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E56045D">
      <w:pPr>
        <w:shd w:val="clear"/>
        <w:spacing w:before="192" w:line="347" w:lineRule="auto"/>
        <w:ind w:left="0" w:leftChars="0" w:firstLine="0" w:firstLineChars="0"/>
        <w:jc w:val="center"/>
        <w:rPr>
          <w:rFonts w:hint="eastAsia" w:ascii="华文中宋" w:hAnsi="华文中宋" w:eastAsia="华文中宋" w:cs="华文中宋"/>
          <w:b/>
          <w:bCs/>
          <w:color w:val="auto"/>
          <w:spacing w:val="-6"/>
          <w:sz w:val="52"/>
          <w:szCs w:val="52"/>
          <w:highlight w:val="none"/>
        </w:rPr>
      </w:pPr>
      <w:bookmarkStart w:id="0" w:name="_Toc462319176"/>
      <w:bookmarkStart w:id="1" w:name="_Toc462394801"/>
      <w:r>
        <w:rPr>
          <w:rFonts w:ascii="华文中宋" w:hAnsi="华文中宋" w:eastAsia="华文中宋" w:cs="华文中宋"/>
          <w:b/>
          <w:bCs/>
          <w:color w:val="auto"/>
          <w:spacing w:val="-6"/>
          <w:sz w:val="52"/>
          <w:szCs w:val="52"/>
          <w:highlight w:val="none"/>
        </w:rPr>
        <w:t>酒钢集团</w:t>
      </w:r>
      <w:r>
        <w:rPr>
          <w:rFonts w:hint="eastAsia" w:ascii="华文中宋" w:hAnsi="华文中宋" w:eastAsia="华文中宋" w:cs="华文中宋"/>
          <w:b/>
          <w:bCs/>
          <w:color w:val="auto"/>
          <w:spacing w:val="-6"/>
          <w:sz w:val="52"/>
          <w:szCs w:val="52"/>
          <w:highlight w:val="none"/>
        </w:rPr>
        <w:t>炼铁厂2号高炉优化升级及超低排放改造项目</w:t>
      </w:r>
    </w:p>
    <w:p w14:paraId="6BB97C05">
      <w:pPr>
        <w:shd w:val="clear"/>
        <w:spacing w:before="192" w:line="347" w:lineRule="auto"/>
        <w:ind w:left="0" w:leftChars="0" w:firstLine="0" w:firstLineChars="0"/>
        <w:jc w:val="center"/>
        <w:rPr>
          <w:rFonts w:hint="eastAsia" w:ascii="华文中宋" w:hAnsi="华文中宋" w:eastAsia="华文中宋" w:cs="华文中宋"/>
          <w:b/>
          <w:bCs/>
          <w:color w:val="auto"/>
          <w:spacing w:val="-6"/>
          <w:sz w:val="52"/>
          <w:szCs w:val="52"/>
          <w:highlight w:val="none"/>
        </w:rPr>
      </w:pPr>
      <w:r>
        <w:rPr>
          <w:rFonts w:hint="eastAsia" w:ascii="华文中宋" w:hAnsi="华文中宋" w:eastAsia="华文中宋" w:cs="华文中宋"/>
          <w:b/>
          <w:bCs/>
          <w:color w:val="auto"/>
          <w:spacing w:val="-6"/>
          <w:sz w:val="52"/>
          <w:szCs w:val="52"/>
          <w:highlight w:val="none"/>
          <w:lang w:val="en-US" w:eastAsia="zh-CN"/>
        </w:rPr>
        <w:t>高炉主体工程</w:t>
      </w:r>
      <w:r>
        <w:rPr>
          <w:rFonts w:hint="eastAsia" w:ascii="华文中宋" w:hAnsi="华文中宋" w:eastAsia="华文中宋" w:cs="华文中宋"/>
          <w:b/>
          <w:bCs/>
          <w:color w:val="auto"/>
          <w:spacing w:val="-6"/>
          <w:sz w:val="52"/>
          <w:szCs w:val="52"/>
          <w:highlight w:val="none"/>
        </w:rPr>
        <w:t>EPC总承包</w:t>
      </w:r>
    </w:p>
    <w:p w14:paraId="10B79B28">
      <w:pPr>
        <w:shd w:val="clear"/>
        <w:spacing w:line="244" w:lineRule="auto"/>
        <w:rPr>
          <w:rFonts w:ascii="Arial"/>
          <w:color w:val="auto"/>
          <w:sz w:val="21"/>
          <w:highlight w:val="none"/>
        </w:rPr>
      </w:pPr>
    </w:p>
    <w:p w14:paraId="32384FCD">
      <w:pPr>
        <w:shd w:val="clear"/>
        <w:spacing w:line="244" w:lineRule="auto"/>
        <w:rPr>
          <w:rFonts w:ascii="Arial"/>
          <w:color w:val="auto"/>
          <w:sz w:val="21"/>
          <w:highlight w:val="none"/>
        </w:rPr>
      </w:pPr>
    </w:p>
    <w:p w14:paraId="73A607D8">
      <w:pPr>
        <w:shd w:val="clear"/>
        <w:spacing w:line="244" w:lineRule="auto"/>
        <w:rPr>
          <w:rFonts w:ascii="Arial"/>
          <w:color w:val="auto"/>
          <w:sz w:val="21"/>
          <w:highlight w:val="none"/>
        </w:rPr>
      </w:pPr>
    </w:p>
    <w:p w14:paraId="2890F808">
      <w:pPr>
        <w:shd w:val="clear"/>
        <w:spacing w:line="244" w:lineRule="auto"/>
        <w:rPr>
          <w:rFonts w:ascii="Arial"/>
          <w:color w:val="auto"/>
          <w:sz w:val="21"/>
          <w:highlight w:val="none"/>
        </w:rPr>
      </w:pPr>
    </w:p>
    <w:p w14:paraId="0DA56A7F">
      <w:pPr>
        <w:pStyle w:val="26"/>
        <w:shd w:val="clear"/>
        <w:spacing w:before="231" w:line="321" w:lineRule="auto"/>
        <w:ind w:left="0" w:leftChars="0" w:right="2179" w:firstLine="0" w:firstLineChars="0"/>
        <w:jc w:val="center"/>
        <w:rPr>
          <w:color w:val="auto"/>
          <w:sz w:val="71"/>
          <w:szCs w:val="71"/>
          <w:highlight w:val="none"/>
        </w:rPr>
      </w:pPr>
      <w:r>
        <w:rPr>
          <w:rFonts w:hint="eastAsia"/>
          <w:b/>
          <w:bCs/>
          <w:color w:val="auto"/>
          <w:spacing w:val="-3"/>
          <w:sz w:val="71"/>
          <w:szCs w:val="71"/>
          <w:highlight w:val="none"/>
          <w:lang w:val="en-US" w:eastAsia="zh-CN"/>
        </w:rPr>
        <w:t xml:space="preserve">    </w:t>
      </w:r>
      <w:r>
        <w:rPr>
          <w:b/>
          <w:bCs/>
          <w:color w:val="auto"/>
          <w:spacing w:val="-3"/>
          <w:sz w:val="71"/>
          <w:szCs w:val="71"/>
          <w:highlight w:val="none"/>
        </w:rPr>
        <w:t>技术附件</w:t>
      </w:r>
    </w:p>
    <w:p w14:paraId="1B0C4427">
      <w:pPr>
        <w:pStyle w:val="26"/>
        <w:shd w:val="clear"/>
        <w:tabs>
          <w:tab w:val="left" w:pos="6000"/>
        </w:tabs>
        <w:spacing w:before="231" w:line="321" w:lineRule="auto"/>
        <w:ind w:right="-64" w:rightChars="0" w:firstLine="2299" w:firstLineChars="500"/>
        <w:rPr>
          <w:color w:val="auto"/>
          <w:sz w:val="47"/>
          <w:szCs w:val="47"/>
          <w:highlight w:val="none"/>
        </w:rPr>
      </w:pPr>
      <w:r>
        <w:rPr>
          <w:b/>
          <w:bCs/>
          <w:color w:val="auto"/>
          <w:spacing w:val="-6"/>
          <w:sz w:val="47"/>
          <w:szCs w:val="47"/>
          <w:highlight w:val="none"/>
        </w:rPr>
        <w:t>附件</w:t>
      </w:r>
      <w:r>
        <w:rPr>
          <w:color w:val="auto"/>
          <w:spacing w:val="-92"/>
          <w:sz w:val="47"/>
          <w:szCs w:val="47"/>
          <w:highlight w:val="none"/>
        </w:rPr>
        <w:t xml:space="preserve"> </w:t>
      </w:r>
      <w:r>
        <w:rPr>
          <w:rFonts w:ascii="Calibri" w:hAnsi="Calibri" w:eastAsia="Calibri" w:cs="Calibri"/>
          <w:b/>
          <w:bCs/>
          <w:color w:val="auto"/>
          <w:spacing w:val="-6"/>
          <w:sz w:val="47"/>
          <w:szCs w:val="47"/>
          <w:highlight w:val="none"/>
        </w:rPr>
        <w:t>2</w:t>
      </w:r>
      <w:r>
        <w:rPr>
          <w:rFonts w:ascii="Calibri" w:hAnsi="Calibri" w:eastAsia="Calibri" w:cs="Calibri"/>
          <w:b/>
          <w:bCs/>
          <w:color w:val="auto"/>
          <w:spacing w:val="23"/>
          <w:sz w:val="47"/>
          <w:szCs w:val="47"/>
          <w:highlight w:val="none"/>
        </w:rPr>
        <w:t xml:space="preserve">  </w:t>
      </w:r>
      <w:r>
        <w:rPr>
          <w:b/>
          <w:bCs/>
          <w:color w:val="auto"/>
          <w:spacing w:val="-6"/>
          <w:sz w:val="47"/>
          <w:szCs w:val="47"/>
          <w:highlight w:val="none"/>
        </w:rPr>
        <w:t>技术规格书</w:t>
      </w:r>
    </w:p>
    <w:p w14:paraId="3D150FC5">
      <w:pPr>
        <w:shd w:val="clear"/>
        <w:spacing w:line="266" w:lineRule="auto"/>
        <w:rPr>
          <w:rFonts w:ascii="Arial"/>
          <w:color w:val="auto"/>
          <w:sz w:val="21"/>
          <w:highlight w:val="none"/>
        </w:rPr>
      </w:pPr>
    </w:p>
    <w:p w14:paraId="5DFDDDBE">
      <w:pPr>
        <w:shd w:val="clear"/>
        <w:spacing w:line="266" w:lineRule="auto"/>
        <w:rPr>
          <w:rFonts w:ascii="Arial"/>
          <w:color w:val="auto"/>
          <w:sz w:val="21"/>
          <w:highlight w:val="none"/>
        </w:rPr>
      </w:pPr>
    </w:p>
    <w:p w14:paraId="620021A0">
      <w:pPr>
        <w:shd w:val="clear"/>
        <w:spacing w:line="266" w:lineRule="auto"/>
        <w:rPr>
          <w:rFonts w:ascii="Arial"/>
          <w:color w:val="auto"/>
          <w:sz w:val="21"/>
          <w:highlight w:val="none"/>
        </w:rPr>
      </w:pPr>
    </w:p>
    <w:p w14:paraId="0650941E">
      <w:pPr>
        <w:shd w:val="clear"/>
        <w:spacing w:line="267" w:lineRule="auto"/>
        <w:rPr>
          <w:rFonts w:ascii="Arial"/>
          <w:color w:val="auto"/>
          <w:sz w:val="21"/>
          <w:highlight w:val="none"/>
        </w:rPr>
      </w:pPr>
    </w:p>
    <w:p w14:paraId="1F121C42">
      <w:pPr>
        <w:shd w:val="clear"/>
        <w:spacing w:line="267" w:lineRule="auto"/>
        <w:rPr>
          <w:rFonts w:ascii="Arial"/>
          <w:color w:val="auto"/>
          <w:sz w:val="21"/>
          <w:highlight w:val="none"/>
        </w:rPr>
      </w:pPr>
    </w:p>
    <w:p w14:paraId="3C8F705B">
      <w:pPr>
        <w:shd w:val="clear"/>
        <w:spacing w:beforeLines="50" w:afterLines="50"/>
        <w:ind w:left="1272" w:leftChars="530" w:firstLine="140" w:firstLineChars="50"/>
        <w:rPr>
          <w:rFonts w:ascii="黑体" w:hAnsi="黑体" w:eastAsia="黑体"/>
          <w:color w:val="auto"/>
          <w:sz w:val="28"/>
          <w:szCs w:val="48"/>
          <w:highlight w:val="none"/>
        </w:rPr>
      </w:pPr>
      <w:r>
        <w:rPr>
          <w:rFonts w:hint="eastAsia" w:ascii="黑体" w:hAnsi="黑体" w:eastAsia="黑体"/>
          <w:color w:val="auto"/>
          <w:sz w:val="28"/>
          <w:szCs w:val="48"/>
          <w:highlight w:val="none"/>
        </w:rPr>
        <w:t>发包人：甘肃酒钢集团宏兴钢铁股份有限公司</w:t>
      </w:r>
      <w:r>
        <w:rPr>
          <w:rFonts w:hint="eastAsia" w:ascii="黑体" w:hAnsi="黑体" w:eastAsia="黑体"/>
          <w:color w:val="auto"/>
          <w:sz w:val="28"/>
          <w:szCs w:val="48"/>
          <w:highlight w:val="none"/>
          <w:lang w:val="en-US" w:eastAsia="zh-CN"/>
        </w:rPr>
        <w:t xml:space="preserve"> </w:t>
      </w:r>
    </w:p>
    <w:p w14:paraId="4C77D5E9">
      <w:pPr>
        <w:shd w:val="clear"/>
        <w:spacing w:beforeLines="50" w:afterLines="50"/>
        <w:ind w:left="1272" w:leftChars="530" w:firstLine="140" w:firstLineChars="50"/>
        <w:rPr>
          <w:rFonts w:ascii="黑体" w:hAnsi="黑体" w:eastAsia="黑体"/>
          <w:color w:val="auto"/>
          <w:sz w:val="28"/>
          <w:szCs w:val="48"/>
          <w:highlight w:val="none"/>
        </w:rPr>
      </w:pPr>
      <w:r>
        <w:rPr>
          <w:rFonts w:hint="eastAsia" w:ascii="黑体" w:hAnsi="黑体" w:eastAsia="黑体"/>
          <w:color w:val="auto"/>
          <w:sz w:val="28"/>
          <w:szCs w:val="48"/>
          <w:highlight w:val="none"/>
        </w:rPr>
        <w:t>发包人项目负责人(签字)：</w:t>
      </w:r>
    </w:p>
    <w:p w14:paraId="225B9C1C">
      <w:pPr>
        <w:shd w:val="clear"/>
        <w:spacing w:beforeLines="50" w:afterLines="50"/>
        <w:ind w:left="1272" w:leftChars="530" w:firstLine="140" w:firstLineChars="50"/>
        <w:rPr>
          <w:rFonts w:ascii="黑体" w:hAnsi="黑体" w:eastAsia="黑体"/>
          <w:color w:val="auto"/>
          <w:sz w:val="28"/>
          <w:szCs w:val="48"/>
          <w:highlight w:val="none"/>
        </w:rPr>
      </w:pPr>
      <w:r>
        <w:rPr>
          <w:rFonts w:hint="eastAsia" w:ascii="黑体" w:hAnsi="黑体" w:eastAsia="黑体"/>
          <w:color w:val="auto"/>
          <w:sz w:val="28"/>
          <w:szCs w:val="48"/>
          <w:highlight w:val="none"/>
          <w:lang w:val="en-US" w:eastAsia="zh-CN"/>
        </w:rPr>
        <w:t>总承包人</w:t>
      </w:r>
      <w:r>
        <w:rPr>
          <w:rFonts w:hint="eastAsia" w:ascii="黑体" w:hAnsi="黑体" w:eastAsia="黑体"/>
          <w:color w:val="auto"/>
          <w:sz w:val="28"/>
          <w:szCs w:val="48"/>
          <w:highlight w:val="none"/>
        </w:rPr>
        <w:t>：</w:t>
      </w:r>
    </w:p>
    <w:p w14:paraId="7055AF1E">
      <w:pPr>
        <w:shd w:val="clear"/>
        <w:spacing w:beforeLines="50" w:afterLines="50"/>
        <w:ind w:left="1272" w:leftChars="530" w:firstLine="140" w:firstLineChars="50"/>
        <w:rPr>
          <w:rFonts w:ascii="黑体" w:hAnsi="黑体" w:eastAsia="黑体"/>
          <w:color w:val="auto"/>
          <w:sz w:val="28"/>
          <w:szCs w:val="48"/>
          <w:highlight w:val="none"/>
        </w:rPr>
      </w:pPr>
      <w:r>
        <w:rPr>
          <w:rFonts w:hint="eastAsia" w:ascii="黑体" w:hAnsi="黑体" w:eastAsia="黑体"/>
          <w:color w:val="auto"/>
          <w:sz w:val="28"/>
          <w:szCs w:val="48"/>
          <w:highlight w:val="none"/>
          <w:lang w:val="en-US" w:eastAsia="zh-CN"/>
        </w:rPr>
        <w:t>总承包人</w:t>
      </w:r>
      <w:r>
        <w:rPr>
          <w:rFonts w:hint="eastAsia" w:ascii="黑体" w:hAnsi="黑体" w:eastAsia="黑体"/>
          <w:color w:val="auto"/>
          <w:sz w:val="28"/>
          <w:szCs w:val="48"/>
          <w:highlight w:val="none"/>
        </w:rPr>
        <w:t>项目负责人(签字)：</w:t>
      </w:r>
    </w:p>
    <w:p w14:paraId="46F1F743">
      <w:pPr>
        <w:shd w:val="clear"/>
        <w:spacing w:beforeLines="50" w:afterLines="50"/>
        <w:ind w:left="1272" w:leftChars="530" w:firstLine="161" w:firstLineChars="50"/>
        <w:rPr>
          <w:rFonts w:ascii="黑体" w:hAnsi="黑体" w:eastAsia="黑体"/>
          <w:b/>
          <w:color w:val="auto"/>
          <w:sz w:val="32"/>
          <w:szCs w:val="48"/>
          <w:highlight w:val="none"/>
        </w:rPr>
      </w:pPr>
    </w:p>
    <w:p w14:paraId="493740CD">
      <w:pPr>
        <w:shd w:val="clear"/>
        <w:spacing w:before="0"/>
        <w:ind w:left="0" w:leftChars="0" w:right="915" w:firstLine="0" w:firstLineChars="0"/>
        <w:jc w:val="center"/>
        <w:rPr>
          <w:rFonts w:hint="eastAsia" w:asciiTheme="minorEastAsia" w:hAnsiTheme="minorEastAsia" w:eastAsiaTheme="minorEastAsia" w:cstheme="minorEastAsia"/>
          <w:b/>
          <w:color w:val="auto"/>
          <w:sz w:val="32"/>
          <w:szCs w:val="32"/>
          <w:highlight w:val="none"/>
        </w:rPr>
      </w:pPr>
      <w:r>
        <w:rPr>
          <w:rFonts w:hint="eastAsia" w:ascii="黑体" w:hAnsi="黑体" w:eastAsia="黑体"/>
          <w:b/>
          <w:color w:val="auto"/>
          <w:sz w:val="28"/>
          <w:szCs w:val="28"/>
          <w:highlight w:val="none"/>
        </w:rPr>
        <w:t>二〇二</w:t>
      </w:r>
      <w:r>
        <w:rPr>
          <w:rFonts w:hint="eastAsia" w:ascii="黑体" w:hAnsi="黑体" w:eastAsia="黑体"/>
          <w:b/>
          <w:color w:val="auto"/>
          <w:sz w:val="28"/>
          <w:szCs w:val="28"/>
          <w:highlight w:val="none"/>
          <w:lang w:val="en-US" w:eastAsia="zh-CN"/>
        </w:rPr>
        <w:t>五</w:t>
      </w:r>
      <w:r>
        <w:rPr>
          <w:rFonts w:hint="eastAsia" w:ascii="黑体" w:hAnsi="黑体" w:eastAsia="黑体"/>
          <w:b/>
          <w:color w:val="auto"/>
          <w:sz w:val="28"/>
          <w:szCs w:val="28"/>
          <w:highlight w:val="none"/>
        </w:rPr>
        <w:t>年</w:t>
      </w:r>
      <w:r>
        <w:rPr>
          <w:rFonts w:hint="eastAsia" w:ascii="黑体" w:hAnsi="黑体" w:eastAsia="黑体"/>
          <w:b/>
          <w:color w:val="auto"/>
          <w:sz w:val="28"/>
          <w:szCs w:val="28"/>
          <w:highlight w:val="none"/>
          <w:lang w:val="en-US" w:eastAsia="zh-CN"/>
        </w:rPr>
        <w:t>一</w:t>
      </w:r>
      <w:r>
        <w:rPr>
          <w:rFonts w:hint="eastAsia" w:ascii="黑体" w:hAnsi="黑体" w:eastAsia="黑体"/>
          <w:b/>
          <w:color w:val="auto"/>
          <w:sz w:val="28"/>
          <w:szCs w:val="28"/>
          <w:highlight w:val="none"/>
        </w:rPr>
        <w:t>月</w:t>
      </w:r>
    </w:p>
    <w:p w14:paraId="3D5DD7AF">
      <w:pPr>
        <w:pStyle w:val="17"/>
        <w:shd w:val="clear"/>
        <w:rPr>
          <w:color w:val="auto"/>
          <w:highlight w:val="none"/>
        </w:rPr>
        <w:sectPr>
          <w:pgSz w:w="11906" w:h="16839"/>
          <w:pgMar w:top="1431" w:right="1785" w:bottom="2781" w:left="1785" w:header="0" w:footer="2447" w:gutter="0"/>
          <w:cols w:space="720" w:num="1"/>
        </w:sectPr>
      </w:pPr>
    </w:p>
    <w:bookmarkEnd w:id="0"/>
    <w:p w14:paraId="0AE5015A">
      <w:pPr>
        <w:pStyle w:val="41"/>
        <w:shd w:val="clear"/>
        <w:tabs>
          <w:tab w:val="right" w:leader="dot" w:pos="8306"/>
        </w:tabs>
        <w:ind w:left="-480" w:leftChars="-200" w:firstLine="420" w:firstLineChars="200"/>
        <w:rPr>
          <w:color w:val="auto"/>
          <w:sz w:val="21"/>
          <w:szCs w:val="21"/>
          <w:highlight w:val="none"/>
        </w:rPr>
      </w:pPr>
      <w:bookmarkStart w:id="2" w:name="_Toc363226951"/>
      <w:bookmarkStart w:id="3" w:name="_Toc461889674"/>
      <w:bookmarkStart w:id="4" w:name="_Toc462256900"/>
      <w:bookmarkStart w:id="5" w:name="_Toc405213777"/>
      <w:bookmarkStart w:id="6" w:name="_Toc170206084"/>
      <w:bookmarkStart w:id="7" w:name="_Toc462319177"/>
      <w:bookmarkStart w:id="8" w:name="_Toc461265312"/>
      <w:bookmarkStart w:id="9" w:name="_Toc462256590"/>
      <w:bookmarkStart w:id="10" w:name="_Toc14440"/>
      <w:bookmarkStart w:id="11" w:name="_Toc461356438"/>
      <w:bookmarkStart w:id="12" w:name="_Toc457891133"/>
      <w:bookmarkStart w:id="13" w:name="_Toc140810884"/>
      <w:bookmarkStart w:id="14" w:name="_Toc457568969"/>
      <w:bookmarkStart w:id="15" w:name="_Toc461891969"/>
      <w:bookmarkStart w:id="16" w:name="_Toc462257098"/>
      <w:bookmarkStart w:id="17" w:name="_Toc457814200"/>
      <w:r>
        <w:rPr>
          <w:color w:val="auto"/>
          <w:sz w:val="21"/>
          <w:szCs w:val="21"/>
          <w:highlight w:val="none"/>
        </w:rPr>
        <w:fldChar w:fldCharType="begin"/>
      </w:r>
      <w:r>
        <w:rPr>
          <w:color w:val="auto"/>
          <w:sz w:val="21"/>
          <w:szCs w:val="21"/>
          <w:highlight w:val="none"/>
        </w:rPr>
        <w:instrText xml:space="preserve">TOC \o "1-2" \h \u </w:instrText>
      </w:r>
      <w:r>
        <w:rPr>
          <w:color w:val="auto"/>
          <w:sz w:val="21"/>
          <w:szCs w:val="21"/>
          <w:highlight w:val="none"/>
        </w:rPr>
        <w:fldChar w:fldCharType="separate"/>
      </w:r>
      <w:r>
        <w:rPr>
          <w:color w:val="auto"/>
          <w:sz w:val="21"/>
          <w:szCs w:val="21"/>
          <w:highlight w:val="none"/>
        </w:rPr>
        <w:fldChar w:fldCharType="begin"/>
      </w:r>
      <w:r>
        <w:rPr>
          <w:color w:val="auto"/>
          <w:sz w:val="21"/>
          <w:szCs w:val="21"/>
          <w:highlight w:val="none"/>
        </w:rPr>
        <w:instrText xml:space="preserve"> HYPERLINK \l _Toc379 </w:instrText>
      </w:r>
      <w:r>
        <w:rPr>
          <w:color w:val="auto"/>
          <w:sz w:val="21"/>
          <w:szCs w:val="21"/>
          <w:highlight w:val="none"/>
        </w:rPr>
        <w:fldChar w:fldCharType="separate"/>
      </w:r>
      <w:r>
        <w:rPr>
          <w:rFonts w:hint="eastAsia"/>
          <w:color w:val="auto"/>
          <w:kern w:val="0"/>
          <w:sz w:val="21"/>
          <w:szCs w:val="21"/>
          <w:highlight w:val="none"/>
        </w:rPr>
        <w:t>1 总论</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_Toc379 \h </w:instrText>
      </w:r>
      <w:r>
        <w:rPr>
          <w:color w:val="auto"/>
          <w:sz w:val="21"/>
          <w:szCs w:val="21"/>
          <w:highlight w:val="none"/>
        </w:rPr>
        <w:fldChar w:fldCharType="separate"/>
      </w:r>
      <w:r>
        <w:rPr>
          <w:color w:val="auto"/>
          <w:sz w:val="21"/>
          <w:szCs w:val="21"/>
          <w:highlight w:val="none"/>
        </w:rPr>
        <w:t>7</w:t>
      </w:r>
      <w:r>
        <w:rPr>
          <w:color w:val="auto"/>
          <w:sz w:val="21"/>
          <w:szCs w:val="21"/>
          <w:highlight w:val="none"/>
        </w:rPr>
        <w:fldChar w:fldCharType="end"/>
      </w:r>
      <w:r>
        <w:rPr>
          <w:color w:val="auto"/>
          <w:sz w:val="21"/>
          <w:szCs w:val="21"/>
          <w:highlight w:val="none"/>
        </w:rPr>
        <w:fldChar w:fldCharType="end"/>
      </w:r>
    </w:p>
    <w:p w14:paraId="5E1586D8">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_Toc7977 </w:instrText>
      </w:r>
      <w:r>
        <w:rPr>
          <w:color w:val="auto"/>
          <w:sz w:val="21"/>
          <w:szCs w:val="21"/>
          <w:highlight w:val="none"/>
        </w:rPr>
        <w:fldChar w:fldCharType="separate"/>
      </w:r>
      <w:r>
        <w:rPr>
          <w:rFonts w:hint="eastAsia" w:cs="Times New Roman"/>
          <w:color w:val="auto"/>
          <w:sz w:val="21"/>
          <w:szCs w:val="21"/>
          <w:highlight w:val="none"/>
        </w:rPr>
        <w:t>1.1 项目背景</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_Toc7977 \h </w:instrText>
      </w:r>
      <w:r>
        <w:rPr>
          <w:color w:val="auto"/>
          <w:sz w:val="21"/>
          <w:szCs w:val="21"/>
          <w:highlight w:val="none"/>
        </w:rPr>
        <w:fldChar w:fldCharType="separate"/>
      </w:r>
      <w:r>
        <w:rPr>
          <w:color w:val="auto"/>
          <w:sz w:val="21"/>
          <w:szCs w:val="21"/>
          <w:highlight w:val="none"/>
        </w:rPr>
        <w:t>7</w:t>
      </w:r>
      <w:r>
        <w:rPr>
          <w:color w:val="auto"/>
          <w:sz w:val="21"/>
          <w:szCs w:val="21"/>
          <w:highlight w:val="none"/>
        </w:rPr>
        <w:fldChar w:fldCharType="end"/>
      </w:r>
      <w:r>
        <w:rPr>
          <w:color w:val="auto"/>
          <w:sz w:val="21"/>
          <w:szCs w:val="21"/>
          <w:highlight w:val="none"/>
        </w:rPr>
        <w:fldChar w:fldCharType="end"/>
      </w:r>
    </w:p>
    <w:p w14:paraId="2F665C5A">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_Toc24655 </w:instrText>
      </w:r>
      <w:r>
        <w:rPr>
          <w:color w:val="auto"/>
          <w:sz w:val="21"/>
          <w:szCs w:val="21"/>
          <w:highlight w:val="none"/>
        </w:rPr>
        <w:fldChar w:fldCharType="separate"/>
      </w:r>
      <w:r>
        <w:rPr>
          <w:rFonts w:hint="eastAsia" w:cs="Times New Roman"/>
          <w:color w:val="auto"/>
          <w:sz w:val="21"/>
          <w:szCs w:val="21"/>
          <w:highlight w:val="none"/>
        </w:rPr>
        <w:t>1.</w:t>
      </w:r>
      <w:r>
        <w:rPr>
          <w:rFonts w:hint="eastAsia" w:cs="Times New Roman"/>
          <w:color w:val="auto"/>
          <w:sz w:val="21"/>
          <w:szCs w:val="21"/>
          <w:highlight w:val="none"/>
          <w:lang w:val="en-US" w:eastAsia="zh-CN"/>
        </w:rPr>
        <w:t>2</w:t>
      </w:r>
      <w:r>
        <w:rPr>
          <w:rFonts w:hint="eastAsia" w:cs="Times New Roman"/>
          <w:color w:val="auto"/>
          <w:sz w:val="21"/>
          <w:szCs w:val="21"/>
          <w:highlight w:val="none"/>
        </w:rPr>
        <w:t>设计范围</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_Toc24655 \h </w:instrText>
      </w:r>
      <w:r>
        <w:rPr>
          <w:color w:val="auto"/>
          <w:sz w:val="21"/>
          <w:szCs w:val="21"/>
          <w:highlight w:val="none"/>
        </w:rPr>
        <w:fldChar w:fldCharType="separate"/>
      </w:r>
      <w:r>
        <w:rPr>
          <w:color w:val="auto"/>
          <w:sz w:val="21"/>
          <w:szCs w:val="21"/>
          <w:highlight w:val="none"/>
        </w:rPr>
        <w:t>7</w:t>
      </w:r>
      <w:r>
        <w:rPr>
          <w:color w:val="auto"/>
          <w:sz w:val="21"/>
          <w:szCs w:val="21"/>
          <w:highlight w:val="none"/>
        </w:rPr>
        <w:fldChar w:fldCharType="end"/>
      </w:r>
      <w:r>
        <w:rPr>
          <w:color w:val="auto"/>
          <w:sz w:val="21"/>
          <w:szCs w:val="21"/>
          <w:highlight w:val="none"/>
        </w:rPr>
        <w:fldChar w:fldCharType="end"/>
      </w:r>
    </w:p>
    <w:p w14:paraId="313BEDF1">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_Toc21052 </w:instrText>
      </w:r>
      <w:r>
        <w:rPr>
          <w:color w:val="auto"/>
          <w:sz w:val="21"/>
          <w:szCs w:val="21"/>
          <w:highlight w:val="none"/>
        </w:rPr>
        <w:fldChar w:fldCharType="separate"/>
      </w:r>
      <w:r>
        <w:rPr>
          <w:rFonts w:hint="eastAsia" w:cs="Times New Roman"/>
          <w:color w:val="auto"/>
          <w:sz w:val="21"/>
          <w:szCs w:val="21"/>
          <w:highlight w:val="none"/>
        </w:rPr>
        <w:t>1.8 高炉改造主要技术方案</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_Toc21052 \h </w:instrText>
      </w:r>
      <w:r>
        <w:rPr>
          <w:color w:val="auto"/>
          <w:sz w:val="21"/>
          <w:szCs w:val="21"/>
          <w:highlight w:val="none"/>
        </w:rPr>
        <w:fldChar w:fldCharType="separate"/>
      </w:r>
      <w:r>
        <w:rPr>
          <w:color w:val="auto"/>
          <w:sz w:val="21"/>
          <w:szCs w:val="21"/>
          <w:highlight w:val="none"/>
        </w:rPr>
        <w:t>8</w:t>
      </w:r>
      <w:r>
        <w:rPr>
          <w:color w:val="auto"/>
          <w:sz w:val="21"/>
          <w:szCs w:val="21"/>
          <w:highlight w:val="none"/>
        </w:rPr>
        <w:fldChar w:fldCharType="end"/>
      </w:r>
      <w:r>
        <w:rPr>
          <w:color w:val="auto"/>
          <w:sz w:val="21"/>
          <w:szCs w:val="21"/>
          <w:highlight w:val="none"/>
        </w:rPr>
        <w:fldChar w:fldCharType="end"/>
      </w:r>
    </w:p>
    <w:p w14:paraId="7C923DEB">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_Toc4233 </w:instrText>
      </w:r>
      <w:r>
        <w:rPr>
          <w:color w:val="auto"/>
          <w:sz w:val="21"/>
          <w:szCs w:val="21"/>
          <w:highlight w:val="none"/>
        </w:rPr>
        <w:fldChar w:fldCharType="separate"/>
      </w:r>
      <w:r>
        <w:rPr>
          <w:rFonts w:hint="eastAsia" w:cs="Times New Roman"/>
          <w:color w:val="auto"/>
          <w:sz w:val="21"/>
          <w:szCs w:val="21"/>
          <w:highlight w:val="none"/>
        </w:rPr>
        <w:t>1.10 改造后的目标效果</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_Toc4233 \h </w:instrText>
      </w:r>
      <w:r>
        <w:rPr>
          <w:color w:val="auto"/>
          <w:sz w:val="21"/>
          <w:szCs w:val="21"/>
          <w:highlight w:val="none"/>
        </w:rPr>
        <w:fldChar w:fldCharType="separate"/>
      </w:r>
      <w:r>
        <w:rPr>
          <w:color w:val="auto"/>
          <w:sz w:val="21"/>
          <w:szCs w:val="21"/>
          <w:highlight w:val="none"/>
        </w:rPr>
        <w:t>11</w:t>
      </w:r>
      <w:r>
        <w:rPr>
          <w:color w:val="auto"/>
          <w:sz w:val="21"/>
          <w:szCs w:val="21"/>
          <w:highlight w:val="none"/>
        </w:rPr>
        <w:fldChar w:fldCharType="end"/>
      </w:r>
      <w:r>
        <w:rPr>
          <w:color w:val="auto"/>
          <w:sz w:val="21"/>
          <w:szCs w:val="21"/>
          <w:highlight w:val="none"/>
        </w:rPr>
        <w:fldChar w:fldCharType="end"/>
      </w:r>
    </w:p>
    <w:p w14:paraId="08C20F19">
      <w:pPr>
        <w:pStyle w:val="41"/>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_Toc15579 </w:instrText>
      </w:r>
      <w:r>
        <w:rPr>
          <w:color w:val="auto"/>
          <w:sz w:val="21"/>
          <w:szCs w:val="21"/>
          <w:highlight w:val="none"/>
        </w:rPr>
        <w:fldChar w:fldCharType="separate"/>
      </w:r>
      <w:r>
        <w:rPr>
          <w:color w:val="auto"/>
          <w:kern w:val="0"/>
          <w:sz w:val="21"/>
          <w:szCs w:val="21"/>
          <w:highlight w:val="none"/>
        </w:rPr>
        <w:t>2 炼铁工艺</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_Toc15579 \h </w:instrText>
      </w:r>
      <w:r>
        <w:rPr>
          <w:color w:val="auto"/>
          <w:sz w:val="21"/>
          <w:szCs w:val="21"/>
          <w:highlight w:val="none"/>
        </w:rPr>
        <w:fldChar w:fldCharType="separate"/>
      </w:r>
      <w:r>
        <w:rPr>
          <w:color w:val="auto"/>
          <w:sz w:val="21"/>
          <w:szCs w:val="21"/>
          <w:highlight w:val="none"/>
        </w:rPr>
        <w:t>13</w:t>
      </w:r>
      <w:r>
        <w:rPr>
          <w:color w:val="auto"/>
          <w:sz w:val="21"/>
          <w:szCs w:val="21"/>
          <w:highlight w:val="none"/>
        </w:rPr>
        <w:fldChar w:fldCharType="end"/>
      </w:r>
      <w:r>
        <w:rPr>
          <w:color w:val="auto"/>
          <w:sz w:val="21"/>
          <w:szCs w:val="21"/>
          <w:highlight w:val="none"/>
        </w:rPr>
        <w:fldChar w:fldCharType="end"/>
      </w:r>
    </w:p>
    <w:p w14:paraId="2CD0D1C6">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_Toc22504 </w:instrText>
      </w:r>
      <w:r>
        <w:rPr>
          <w:color w:val="auto"/>
          <w:sz w:val="21"/>
          <w:szCs w:val="21"/>
          <w:highlight w:val="none"/>
        </w:rPr>
        <w:fldChar w:fldCharType="separate"/>
      </w:r>
      <w:r>
        <w:rPr>
          <w:rFonts w:hint="eastAsia" w:cs="Times New Roman"/>
          <w:color w:val="auto"/>
          <w:sz w:val="21"/>
          <w:szCs w:val="21"/>
          <w:highlight w:val="none"/>
        </w:rPr>
        <w:t>2.1 炼铁工艺改造设计范围</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_Toc22504 \h </w:instrText>
      </w:r>
      <w:r>
        <w:rPr>
          <w:color w:val="auto"/>
          <w:sz w:val="21"/>
          <w:szCs w:val="21"/>
          <w:highlight w:val="none"/>
        </w:rPr>
        <w:fldChar w:fldCharType="separate"/>
      </w:r>
      <w:r>
        <w:rPr>
          <w:color w:val="auto"/>
          <w:sz w:val="21"/>
          <w:szCs w:val="21"/>
          <w:highlight w:val="none"/>
        </w:rPr>
        <w:t>13</w:t>
      </w:r>
      <w:r>
        <w:rPr>
          <w:color w:val="auto"/>
          <w:sz w:val="21"/>
          <w:szCs w:val="21"/>
          <w:highlight w:val="none"/>
        </w:rPr>
        <w:fldChar w:fldCharType="end"/>
      </w:r>
      <w:r>
        <w:rPr>
          <w:color w:val="auto"/>
          <w:sz w:val="21"/>
          <w:szCs w:val="21"/>
          <w:highlight w:val="none"/>
        </w:rPr>
        <w:fldChar w:fldCharType="end"/>
      </w:r>
    </w:p>
    <w:p w14:paraId="4EEB0DC1">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_Toc26022 </w:instrText>
      </w:r>
      <w:r>
        <w:rPr>
          <w:color w:val="auto"/>
          <w:sz w:val="21"/>
          <w:szCs w:val="21"/>
          <w:highlight w:val="none"/>
        </w:rPr>
        <w:fldChar w:fldCharType="separate"/>
      </w:r>
      <w:r>
        <w:rPr>
          <w:rFonts w:hint="eastAsia" w:cs="Times New Roman"/>
          <w:color w:val="auto"/>
          <w:sz w:val="21"/>
          <w:szCs w:val="21"/>
          <w:highlight w:val="none"/>
        </w:rPr>
        <w:t>2.2 槽上系统、槽下供料系统</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_Toc26022 \h </w:instrText>
      </w:r>
      <w:r>
        <w:rPr>
          <w:color w:val="auto"/>
          <w:sz w:val="21"/>
          <w:szCs w:val="21"/>
          <w:highlight w:val="none"/>
        </w:rPr>
        <w:fldChar w:fldCharType="separate"/>
      </w:r>
      <w:r>
        <w:rPr>
          <w:color w:val="auto"/>
          <w:sz w:val="21"/>
          <w:szCs w:val="21"/>
          <w:highlight w:val="none"/>
        </w:rPr>
        <w:t>13</w:t>
      </w:r>
      <w:r>
        <w:rPr>
          <w:color w:val="auto"/>
          <w:sz w:val="21"/>
          <w:szCs w:val="21"/>
          <w:highlight w:val="none"/>
        </w:rPr>
        <w:fldChar w:fldCharType="end"/>
      </w:r>
      <w:r>
        <w:rPr>
          <w:color w:val="auto"/>
          <w:sz w:val="21"/>
          <w:szCs w:val="21"/>
          <w:highlight w:val="none"/>
        </w:rPr>
        <w:fldChar w:fldCharType="end"/>
      </w:r>
    </w:p>
    <w:p w14:paraId="2ADCD1DC">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_Toc8934 </w:instrText>
      </w:r>
      <w:r>
        <w:rPr>
          <w:color w:val="auto"/>
          <w:sz w:val="21"/>
          <w:szCs w:val="21"/>
          <w:highlight w:val="none"/>
        </w:rPr>
        <w:fldChar w:fldCharType="separate"/>
      </w:r>
      <w:r>
        <w:rPr>
          <w:rFonts w:hint="eastAsia" w:cs="Times New Roman"/>
          <w:color w:val="auto"/>
          <w:sz w:val="21"/>
          <w:szCs w:val="21"/>
          <w:highlight w:val="none"/>
        </w:rPr>
        <w:t>2.3 上料系统</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_Toc8934 \h </w:instrText>
      </w:r>
      <w:r>
        <w:rPr>
          <w:color w:val="auto"/>
          <w:sz w:val="21"/>
          <w:szCs w:val="21"/>
          <w:highlight w:val="none"/>
        </w:rPr>
        <w:fldChar w:fldCharType="separate"/>
      </w:r>
      <w:r>
        <w:rPr>
          <w:color w:val="auto"/>
          <w:sz w:val="21"/>
          <w:szCs w:val="21"/>
          <w:highlight w:val="none"/>
        </w:rPr>
        <w:t>24</w:t>
      </w:r>
      <w:r>
        <w:rPr>
          <w:color w:val="auto"/>
          <w:sz w:val="21"/>
          <w:szCs w:val="21"/>
          <w:highlight w:val="none"/>
        </w:rPr>
        <w:fldChar w:fldCharType="end"/>
      </w:r>
      <w:r>
        <w:rPr>
          <w:color w:val="auto"/>
          <w:sz w:val="21"/>
          <w:szCs w:val="21"/>
          <w:highlight w:val="none"/>
        </w:rPr>
        <w:fldChar w:fldCharType="end"/>
      </w:r>
    </w:p>
    <w:p w14:paraId="373DBC0B">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_Toc28198 </w:instrText>
      </w:r>
      <w:r>
        <w:rPr>
          <w:color w:val="auto"/>
          <w:sz w:val="21"/>
          <w:szCs w:val="21"/>
          <w:highlight w:val="none"/>
        </w:rPr>
        <w:fldChar w:fldCharType="separate"/>
      </w:r>
      <w:r>
        <w:rPr>
          <w:rFonts w:cs="Times New Roman"/>
          <w:color w:val="auto"/>
          <w:sz w:val="21"/>
          <w:szCs w:val="21"/>
          <w:highlight w:val="none"/>
        </w:rPr>
        <w:t>2.4 炉顶系统</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_Toc28198 \h </w:instrText>
      </w:r>
      <w:r>
        <w:rPr>
          <w:color w:val="auto"/>
          <w:sz w:val="21"/>
          <w:szCs w:val="21"/>
          <w:highlight w:val="none"/>
        </w:rPr>
        <w:fldChar w:fldCharType="separate"/>
      </w:r>
      <w:r>
        <w:rPr>
          <w:color w:val="auto"/>
          <w:sz w:val="21"/>
          <w:szCs w:val="21"/>
          <w:highlight w:val="none"/>
        </w:rPr>
        <w:t>26</w:t>
      </w:r>
      <w:r>
        <w:rPr>
          <w:color w:val="auto"/>
          <w:sz w:val="21"/>
          <w:szCs w:val="21"/>
          <w:highlight w:val="none"/>
        </w:rPr>
        <w:fldChar w:fldCharType="end"/>
      </w:r>
      <w:r>
        <w:rPr>
          <w:color w:val="auto"/>
          <w:sz w:val="21"/>
          <w:szCs w:val="21"/>
          <w:highlight w:val="none"/>
        </w:rPr>
        <w:fldChar w:fldCharType="end"/>
      </w:r>
    </w:p>
    <w:p w14:paraId="33D04054">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_Toc8217 </w:instrText>
      </w:r>
      <w:r>
        <w:rPr>
          <w:color w:val="auto"/>
          <w:sz w:val="21"/>
          <w:szCs w:val="21"/>
          <w:highlight w:val="none"/>
        </w:rPr>
        <w:fldChar w:fldCharType="separate"/>
      </w:r>
      <w:r>
        <w:rPr>
          <w:rFonts w:cs="Times New Roman"/>
          <w:color w:val="auto"/>
          <w:sz w:val="21"/>
          <w:szCs w:val="21"/>
          <w:highlight w:val="none"/>
        </w:rPr>
        <w:t>2.5 粗煤气系统</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_Toc8217 \h </w:instrText>
      </w:r>
      <w:r>
        <w:rPr>
          <w:color w:val="auto"/>
          <w:sz w:val="21"/>
          <w:szCs w:val="21"/>
          <w:highlight w:val="none"/>
        </w:rPr>
        <w:fldChar w:fldCharType="separate"/>
      </w:r>
      <w:r>
        <w:rPr>
          <w:color w:val="auto"/>
          <w:sz w:val="21"/>
          <w:szCs w:val="21"/>
          <w:highlight w:val="none"/>
        </w:rPr>
        <w:t>33</w:t>
      </w:r>
      <w:r>
        <w:rPr>
          <w:color w:val="auto"/>
          <w:sz w:val="21"/>
          <w:szCs w:val="21"/>
          <w:highlight w:val="none"/>
        </w:rPr>
        <w:fldChar w:fldCharType="end"/>
      </w:r>
      <w:r>
        <w:rPr>
          <w:color w:val="auto"/>
          <w:sz w:val="21"/>
          <w:szCs w:val="21"/>
          <w:highlight w:val="none"/>
        </w:rPr>
        <w:fldChar w:fldCharType="end"/>
      </w:r>
    </w:p>
    <w:p w14:paraId="039840F1">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_Toc14618 </w:instrText>
      </w:r>
      <w:r>
        <w:rPr>
          <w:color w:val="auto"/>
          <w:sz w:val="21"/>
          <w:szCs w:val="21"/>
          <w:highlight w:val="none"/>
        </w:rPr>
        <w:fldChar w:fldCharType="separate"/>
      </w:r>
      <w:r>
        <w:rPr>
          <w:rFonts w:cs="Times New Roman"/>
          <w:color w:val="auto"/>
          <w:sz w:val="21"/>
          <w:szCs w:val="21"/>
          <w:highlight w:val="none"/>
        </w:rPr>
        <w:t>2.6 炉体系统</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_Toc14618 \h </w:instrText>
      </w:r>
      <w:r>
        <w:rPr>
          <w:color w:val="auto"/>
          <w:sz w:val="21"/>
          <w:szCs w:val="21"/>
          <w:highlight w:val="none"/>
        </w:rPr>
        <w:fldChar w:fldCharType="separate"/>
      </w:r>
      <w:r>
        <w:rPr>
          <w:color w:val="auto"/>
          <w:sz w:val="21"/>
          <w:szCs w:val="21"/>
          <w:highlight w:val="none"/>
        </w:rPr>
        <w:t>38</w:t>
      </w:r>
      <w:r>
        <w:rPr>
          <w:color w:val="auto"/>
          <w:sz w:val="21"/>
          <w:szCs w:val="21"/>
          <w:highlight w:val="none"/>
        </w:rPr>
        <w:fldChar w:fldCharType="end"/>
      </w:r>
      <w:r>
        <w:rPr>
          <w:color w:val="auto"/>
          <w:sz w:val="21"/>
          <w:szCs w:val="21"/>
          <w:highlight w:val="none"/>
        </w:rPr>
        <w:fldChar w:fldCharType="end"/>
      </w:r>
    </w:p>
    <w:p w14:paraId="484B78EC">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_Toc15469 </w:instrText>
      </w:r>
      <w:r>
        <w:rPr>
          <w:color w:val="auto"/>
          <w:sz w:val="21"/>
          <w:szCs w:val="21"/>
          <w:highlight w:val="none"/>
        </w:rPr>
        <w:fldChar w:fldCharType="separate"/>
      </w:r>
      <w:r>
        <w:rPr>
          <w:rFonts w:cs="Times New Roman"/>
          <w:color w:val="auto"/>
          <w:sz w:val="21"/>
          <w:szCs w:val="21"/>
          <w:highlight w:val="none"/>
        </w:rPr>
        <w:t>2.7 出铁场系统</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_Toc15469 \h </w:instrText>
      </w:r>
      <w:r>
        <w:rPr>
          <w:color w:val="auto"/>
          <w:sz w:val="21"/>
          <w:szCs w:val="21"/>
          <w:highlight w:val="none"/>
        </w:rPr>
        <w:fldChar w:fldCharType="separate"/>
      </w:r>
      <w:r>
        <w:rPr>
          <w:color w:val="auto"/>
          <w:sz w:val="21"/>
          <w:szCs w:val="21"/>
          <w:highlight w:val="none"/>
        </w:rPr>
        <w:t>63</w:t>
      </w:r>
      <w:r>
        <w:rPr>
          <w:color w:val="auto"/>
          <w:sz w:val="21"/>
          <w:szCs w:val="21"/>
          <w:highlight w:val="none"/>
        </w:rPr>
        <w:fldChar w:fldCharType="end"/>
      </w:r>
      <w:r>
        <w:rPr>
          <w:color w:val="auto"/>
          <w:sz w:val="21"/>
          <w:szCs w:val="21"/>
          <w:highlight w:val="none"/>
        </w:rPr>
        <w:fldChar w:fldCharType="end"/>
      </w:r>
    </w:p>
    <w:p w14:paraId="38E1B596">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_Toc15435 </w:instrText>
      </w:r>
      <w:r>
        <w:rPr>
          <w:color w:val="auto"/>
          <w:sz w:val="21"/>
          <w:szCs w:val="21"/>
          <w:highlight w:val="none"/>
        </w:rPr>
        <w:fldChar w:fldCharType="separate"/>
      </w:r>
      <w:r>
        <w:rPr>
          <w:rFonts w:cs="Times New Roman"/>
          <w:color w:val="auto"/>
          <w:sz w:val="21"/>
          <w:szCs w:val="21"/>
          <w:highlight w:val="none"/>
        </w:rPr>
        <w:t>2.8 渣处理系统</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_Toc15435 \h </w:instrText>
      </w:r>
      <w:r>
        <w:rPr>
          <w:color w:val="auto"/>
          <w:sz w:val="21"/>
          <w:szCs w:val="21"/>
          <w:highlight w:val="none"/>
        </w:rPr>
        <w:fldChar w:fldCharType="separate"/>
      </w:r>
      <w:r>
        <w:rPr>
          <w:color w:val="auto"/>
          <w:sz w:val="21"/>
          <w:szCs w:val="21"/>
          <w:highlight w:val="none"/>
        </w:rPr>
        <w:t>69</w:t>
      </w:r>
      <w:r>
        <w:rPr>
          <w:color w:val="auto"/>
          <w:sz w:val="21"/>
          <w:szCs w:val="21"/>
          <w:highlight w:val="none"/>
        </w:rPr>
        <w:fldChar w:fldCharType="end"/>
      </w:r>
      <w:r>
        <w:rPr>
          <w:color w:val="auto"/>
          <w:sz w:val="21"/>
          <w:szCs w:val="21"/>
          <w:highlight w:val="none"/>
        </w:rPr>
        <w:fldChar w:fldCharType="end"/>
      </w:r>
    </w:p>
    <w:p w14:paraId="1B3A802E">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_Toc9133 </w:instrText>
      </w:r>
      <w:r>
        <w:rPr>
          <w:color w:val="auto"/>
          <w:sz w:val="21"/>
          <w:szCs w:val="21"/>
          <w:highlight w:val="none"/>
        </w:rPr>
        <w:fldChar w:fldCharType="separate"/>
      </w:r>
      <w:r>
        <w:rPr>
          <w:rFonts w:cs="Times New Roman"/>
          <w:color w:val="auto"/>
          <w:sz w:val="21"/>
          <w:szCs w:val="21"/>
          <w:highlight w:val="none"/>
        </w:rPr>
        <w:t>2.10 喷煤系统</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_Toc9133 \h </w:instrText>
      </w:r>
      <w:r>
        <w:rPr>
          <w:color w:val="auto"/>
          <w:sz w:val="21"/>
          <w:szCs w:val="21"/>
          <w:highlight w:val="none"/>
        </w:rPr>
        <w:fldChar w:fldCharType="separate"/>
      </w:r>
      <w:r>
        <w:rPr>
          <w:color w:val="auto"/>
          <w:sz w:val="21"/>
          <w:szCs w:val="21"/>
          <w:highlight w:val="none"/>
        </w:rPr>
        <w:t>69</w:t>
      </w:r>
      <w:r>
        <w:rPr>
          <w:color w:val="auto"/>
          <w:sz w:val="21"/>
          <w:szCs w:val="21"/>
          <w:highlight w:val="none"/>
        </w:rPr>
        <w:fldChar w:fldCharType="end"/>
      </w:r>
      <w:r>
        <w:rPr>
          <w:color w:val="auto"/>
          <w:sz w:val="21"/>
          <w:szCs w:val="21"/>
          <w:highlight w:val="none"/>
        </w:rPr>
        <w:fldChar w:fldCharType="end"/>
      </w:r>
    </w:p>
    <w:p w14:paraId="6BC05E18">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_Toc27079 </w:instrText>
      </w:r>
      <w:r>
        <w:rPr>
          <w:color w:val="auto"/>
          <w:sz w:val="21"/>
          <w:szCs w:val="21"/>
          <w:highlight w:val="none"/>
        </w:rPr>
        <w:fldChar w:fldCharType="separate"/>
      </w:r>
      <w:r>
        <w:rPr>
          <w:rFonts w:ascii="Times New Roman" w:hAnsi="Times New Roman" w:cs="Times New Roman"/>
          <w:color w:val="auto"/>
          <w:sz w:val="21"/>
          <w:szCs w:val="21"/>
          <w:highlight w:val="none"/>
        </w:rPr>
        <w:t>2.1</w:t>
      </w:r>
      <w:r>
        <w:rPr>
          <w:rFonts w:hint="eastAsia" w:ascii="Times New Roman" w:hAnsi="Times New Roman" w:cs="Times New Roman"/>
          <w:color w:val="auto"/>
          <w:sz w:val="21"/>
          <w:szCs w:val="21"/>
          <w:highlight w:val="none"/>
        </w:rPr>
        <w:t>1</w:t>
      </w:r>
      <w:r>
        <w:rPr>
          <w:rFonts w:ascii="Times New Roman" w:hAnsi="Times New Roman" w:cs="Times New Roman"/>
          <w:color w:val="auto"/>
          <w:sz w:val="21"/>
          <w:szCs w:val="21"/>
          <w:highlight w:val="none"/>
        </w:rPr>
        <w:t xml:space="preserve"> 液压润滑系统</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_Toc27079 \h </w:instrText>
      </w:r>
      <w:r>
        <w:rPr>
          <w:color w:val="auto"/>
          <w:sz w:val="21"/>
          <w:szCs w:val="21"/>
          <w:highlight w:val="none"/>
        </w:rPr>
        <w:fldChar w:fldCharType="separate"/>
      </w:r>
      <w:r>
        <w:rPr>
          <w:color w:val="auto"/>
          <w:sz w:val="21"/>
          <w:szCs w:val="21"/>
          <w:highlight w:val="none"/>
        </w:rPr>
        <w:t>71</w:t>
      </w:r>
      <w:r>
        <w:rPr>
          <w:color w:val="auto"/>
          <w:sz w:val="21"/>
          <w:szCs w:val="21"/>
          <w:highlight w:val="none"/>
        </w:rPr>
        <w:fldChar w:fldCharType="end"/>
      </w:r>
      <w:r>
        <w:rPr>
          <w:color w:val="auto"/>
          <w:sz w:val="21"/>
          <w:szCs w:val="21"/>
          <w:highlight w:val="none"/>
        </w:rPr>
        <w:fldChar w:fldCharType="end"/>
      </w:r>
    </w:p>
    <w:p w14:paraId="04B59E3B">
      <w:pPr>
        <w:pStyle w:val="41"/>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_Toc20263 </w:instrText>
      </w:r>
      <w:r>
        <w:rPr>
          <w:color w:val="auto"/>
          <w:sz w:val="21"/>
          <w:szCs w:val="21"/>
          <w:highlight w:val="none"/>
        </w:rPr>
        <w:fldChar w:fldCharType="separate"/>
      </w:r>
      <w:r>
        <w:rPr>
          <w:rFonts w:ascii="Times New Roman" w:hAnsi="Times New Roman" w:cs="Times New Roman"/>
          <w:color w:val="auto"/>
          <w:kern w:val="0"/>
          <w:sz w:val="21"/>
          <w:szCs w:val="21"/>
          <w:highlight w:val="none"/>
        </w:rPr>
        <w:t>3</w:t>
      </w:r>
      <w:r>
        <w:rPr>
          <w:rFonts w:hint="eastAsia" w:ascii="Times New Roman" w:hAnsi="Times New Roman" w:cs="Times New Roman"/>
          <w:color w:val="auto"/>
          <w:kern w:val="0"/>
          <w:sz w:val="21"/>
          <w:szCs w:val="21"/>
          <w:highlight w:val="none"/>
        </w:rPr>
        <w:t xml:space="preserve"> </w:t>
      </w:r>
      <w:r>
        <w:rPr>
          <w:rFonts w:ascii="Times New Roman" w:hAnsi="Times New Roman" w:cs="Times New Roman"/>
          <w:color w:val="auto"/>
          <w:kern w:val="0"/>
          <w:sz w:val="21"/>
          <w:szCs w:val="21"/>
          <w:highlight w:val="none"/>
        </w:rPr>
        <w:t>机械化贮运设施</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_Toc20263 \h </w:instrText>
      </w:r>
      <w:r>
        <w:rPr>
          <w:color w:val="auto"/>
          <w:sz w:val="21"/>
          <w:szCs w:val="21"/>
          <w:highlight w:val="none"/>
        </w:rPr>
        <w:fldChar w:fldCharType="separate"/>
      </w:r>
      <w:r>
        <w:rPr>
          <w:color w:val="auto"/>
          <w:sz w:val="21"/>
          <w:szCs w:val="21"/>
          <w:highlight w:val="none"/>
        </w:rPr>
        <w:t>75</w:t>
      </w:r>
      <w:r>
        <w:rPr>
          <w:color w:val="auto"/>
          <w:sz w:val="21"/>
          <w:szCs w:val="21"/>
          <w:highlight w:val="none"/>
        </w:rPr>
        <w:fldChar w:fldCharType="end"/>
      </w:r>
      <w:r>
        <w:rPr>
          <w:color w:val="auto"/>
          <w:sz w:val="21"/>
          <w:szCs w:val="21"/>
          <w:highlight w:val="none"/>
        </w:rPr>
        <w:fldChar w:fldCharType="end"/>
      </w:r>
    </w:p>
    <w:p w14:paraId="71F43AC4">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_Toc12971 </w:instrText>
      </w:r>
      <w:r>
        <w:rPr>
          <w:color w:val="auto"/>
          <w:sz w:val="21"/>
          <w:szCs w:val="21"/>
          <w:highlight w:val="none"/>
        </w:rPr>
        <w:fldChar w:fldCharType="separate"/>
      </w:r>
      <w:r>
        <w:rPr>
          <w:rFonts w:cs="Times New Roman"/>
          <w:color w:val="auto"/>
          <w:sz w:val="21"/>
          <w:szCs w:val="21"/>
          <w:highlight w:val="none"/>
        </w:rPr>
        <w:t>3.1概述</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_Toc12971 \h </w:instrText>
      </w:r>
      <w:r>
        <w:rPr>
          <w:color w:val="auto"/>
          <w:sz w:val="21"/>
          <w:szCs w:val="21"/>
          <w:highlight w:val="none"/>
        </w:rPr>
        <w:fldChar w:fldCharType="separate"/>
      </w:r>
      <w:r>
        <w:rPr>
          <w:color w:val="auto"/>
          <w:sz w:val="21"/>
          <w:szCs w:val="21"/>
          <w:highlight w:val="none"/>
        </w:rPr>
        <w:t>75</w:t>
      </w:r>
      <w:r>
        <w:rPr>
          <w:color w:val="auto"/>
          <w:sz w:val="21"/>
          <w:szCs w:val="21"/>
          <w:highlight w:val="none"/>
        </w:rPr>
        <w:fldChar w:fldCharType="end"/>
      </w:r>
      <w:r>
        <w:rPr>
          <w:color w:val="auto"/>
          <w:sz w:val="21"/>
          <w:szCs w:val="21"/>
          <w:highlight w:val="none"/>
        </w:rPr>
        <w:fldChar w:fldCharType="end"/>
      </w:r>
    </w:p>
    <w:p w14:paraId="329409CC">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_Toc23845 </w:instrText>
      </w:r>
      <w:r>
        <w:rPr>
          <w:color w:val="auto"/>
          <w:sz w:val="21"/>
          <w:szCs w:val="21"/>
          <w:highlight w:val="none"/>
        </w:rPr>
        <w:fldChar w:fldCharType="separate"/>
      </w:r>
      <w:r>
        <w:rPr>
          <w:rFonts w:cs="Times New Roman"/>
          <w:color w:val="auto"/>
          <w:sz w:val="21"/>
          <w:szCs w:val="21"/>
          <w:highlight w:val="none"/>
        </w:rPr>
        <w:t>3.2 槽下带式输送机改造</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_Toc23845 \h </w:instrText>
      </w:r>
      <w:r>
        <w:rPr>
          <w:color w:val="auto"/>
          <w:sz w:val="21"/>
          <w:szCs w:val="21"/>
          <w:highlight w:val="none"/>
        </w:rPr>
        <w:fldChar w:fldCharType="separate"/>
      </w:r>
      <w:r>
        <w:rPr>
          <w:color w:val="auto"/>
          <w:sz w:val="21"/>
          <w:szCs w:val="21"/>
          <w:highlight w:val="none"/>
        </w:rPr>
        <w:t>75</w:t>
      </w:r>
      <w:r>
        <w:rPr>
          <w:color w:val="auto"/>
          <w:sz w:val="21"/>
          <w:szCs w:val="21"/>
          <w:highlight w:val="none"/>
        </w:rPr>
        <w:fldChar w:fldCharType="end"/>
      </w:r>
      <w:r>
        <w:rPr>
          <w:color w:val="auto"/>
          <w:sz w:val="21"/>
          <w:szCs w:val="21"/>
          <w:highlight w:val="none"/>
        </w:rPr>
        <w:fldChar w:fldCharType="end"/>
      </w:r>
    </w:p>
    <w:p w14:paraId="2A8798A9">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_Toc28372 </w:instrText>
      </w:r>
      <w:r>
        <w:rPr>
          <w:color w:val="auto"/>
          <w:sz w:val="21"/>
          <w:szCs w:val="21"/>
          <w:highlight w:val="none"/>
        </w:rPr>
        <w:fldChar w:fldCharType="separate"/>
      </w:r>
      <w:r>
        <w:rPr>
          <w:rFonts w:cs="Times New Roman"/>
          <w:color w:val="auto"/>
          <w:sz w:val="21"/>
          <w:szCs w:val="21"/>
          <w:highlight w:val="none"/>
        </w:rPr>
        <w:t>3.3 新建返矿外送系统</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_Toc28372 \h </w:instrText>
      </w:r>
      <w:r>
        <w:rPr>
          <w:color w:val="auto"/>
          <w:sz w:val="21"/>
          <w:szCs w:val="21"/>
          <w:highlight w:val="none"/>
        </w:rPr>
        <w:fldChar w:fldCharType="separate"/>
      </w:r>
      <w:r>
        <w:rPr>
          <w:color w:val="auto"/>
          <w:sz w:val="21"/>
          <w:szCs w:val="21"/>
          <w:highlight w:val="none"/>
        </w:rPr>
        <w:t>75</w:t>
      </w:r>
      <w:r>
        <w:rPr>
          <w:color w:val="auto"/>
          <w:sz w:val="21"/>
          <w:szCs w:val="21"/>
          <w:highlight w:val="none"/>
        </w:rPr>
        <w:fldChar w:fldCharType="end"/>
      </w:r>
      <w:r>
        <w:rPr>
          <w:color w:val="auto"/>
          <w:sz w:val="21"/>
          <w:szCs w:val="21"/>
          <w:highlight w:val="none"/>
        </w:rPr>
        <w:fldChar w:fldCharType="end"/>
      </w:r>
    </w:p>
    <w:p w14:paraId="688E8476">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_Toc5600 </w:instrText>
      </w:r>
      <w:r>
        <w:rPr>
          <w:color w:val="auto"/>
          <w:sz w:val="21"/>
          <w:szCs w:val="21"/>
          <w:highlight w:val="none"/>
        </w:rPr>
        <w:fldChar w:fldCharType="separate"/>
      </w:r>
      <w:r>
        <w:rPr>
          <w:rFonts w:cs="Times New Roman"/>
          <w:color w:val="auto"/>
          <w:sz w:val="21"/>
          <w:szCs w:val="21"/>
          <w:highlight w:val="none"/>
        </w:rPr>
        <w:t>3.4返矿外送系统主要新增工艺设备</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_Toc5600 \h </w:instrText>
      </w:r>
      <w:r>
        <w:rPr>
          <w:color w:val="auto"/>
          <w:sz w:val="21"/>
          <w:szCs w:val="21"/>
          <w:highlight w:val="none"/>
        </w:rPr>
        <w:fldChar w:fldCharType="separate"/>
      </w:r>
      <w:r>
        <w:rPr>
          <w:color w:val="auto"/>
          <w:sz w:val="21"/>
          <w:szCs w:val="21"/>
          <w:highlight w:val="none"/>
        </w:rPr>
        <w:t>77</w:t>
      </w:r>
      <w:r>
        <w:rPr>
          <w:color w:val="auto"/>
          <w:sz w:val="21"/>
          <w:szCs w:val="21"/>
          <w:highlight w:val="none"/>
        </w:rPr>
        <w:fldChar w:fldCharType="end"/>
      </w:r>
      <w:r>
        <w:rPr>
          <w:color w:val="auto"/>
          <w:sz w:val="21"/>
          <w:szCs w:val="21"/>
          <w:highlight w:val="none"/>
        </w:rPr>
        <w:fldChar w:fldCharType="end"/>
      </w:r>
    </w:p>
    <w:p w14:paraId="7248DD8C">
      <w:pPr>
        <w:pStyle w:val="41"/>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_Toc7715 </w:instrText>
      </w:r>
      <w:r>
        <w:rPr>
          <w:color w:val="auto"/>
          <w:sz w:val="21"/>
          <w:szCs w:val="21"/>
          <w:highlight w:val="none"/>
        </w:rPr>
        <w:fldChar w:fldCharType="separate"/>
      </w:r>
      <w:r>
        <w:rPr>
          <w:rFonts w:hint="eastAsia" w:ascii="Times New Roman" w:hAnsi="Times New Roman" w:cs="Times New Roman"/>
          <w:color w:val="auto"/>
          <w:sz w:val="21"/>
          <w:szCs w:val="21"/>
          <w:highlight w:val="none"/>
        </w:rPr>
        <w:t>4 燃气设施</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_Toc7715 \h </w:instrText>
      </w:r>
      <w:r>
        <w:rPr>
          <w:color w:val="auto"/>
          <w:sz w:val="21"/>
          <w:szCs w:val="21"/>
          <w:highlight w:val="none"/>
        </w:rPr>
        <w:fldChar w:fldCharType="separate"/>
      </w:r>
      <w:r>
        <w:rPr>
          <w:color w:val="auto"/>
          <w:sz w:val="21"/>
          <w:szCs w:val="21"/>
          <w:highlight w:val="none"/>
        </w:rPr>
        <w:t>78</w:t>
      </w:r>
      <w:r>
        <w:rPr>
          <w:color w:val="auto"/>
          <w:sz w:val="21"/>
          <w:szCs w:val="21"/>
          <w:highlight w:val="none"/>
        </w:rPr>
        <w:fldChar w:fldCharType="end"/>
      </w:r>
      <w:r>
        <w:rPr>
          <w:color w:val="auto"/>
          <w:sz w:val="21"/>
          <w:szCs w:val="21"/>
          <w:highlight w:val="none"/>
        </w:rPr>
        <w:fldChar w:fldCharType="end"/>
      </w:r>
    </w:p>
    <w:p w14:paraId="397CC615">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_Toc6169 </w:instrText>
      </w:r>
      <w:r>
        <w:rPr>
          <w:color w:val="auto"/>
          <w:sz w:val="21"/>
          <w:szCs w:val="21"/>
          <w:highlight w:val="none"/>
        </w:rPr>
        <w:fldChar w:fldCharType="separate"/>
      </w:r>
      <w:r>
        <w:rPr>
          <w:rFonts w:hint="eastAsia" w:cs="Times New Roman"/>
          <w:color w:val="auto"/>
          <w:sz w:val="21"/>
          <w:szCs w:val="21"/>
          <w:highlight w:val="none"/>
        </w:rPr>
        <w:t>4.1 概述</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_Toc6169 \h </w:instrText>
      </w:r>
      <w:r>
        <w:rPr>
          <w:color w:val="auto"/>
          <w:sz w:val="21"/>
          <w:szCs w:val="21"/>
          <w:highlight w:val="none"/>
        </w:rPr>
        <w:fldChar w:fldCharType="separate"/>
      </w:r>
      <w:r>
        <w:rPr>
          <w:color w:val="auto"/>
          <w:sz w:val="21"/>
          <w:szCs w:val="21"/>
          <w:highlight w:val="none"/>
        </w:rPr>
        <w:t>78</w:t>
      </w:r>
      <w:r>
        <w:rPr>
          <w:color w:val="auto"/>
          <w:sz w:val="21"/>
          <w:szCs w:val="21"/>
          <w:highlight w:val="none"/>
        </w:rPr>
        <w:fldChar w:fldCharType="end"/>
      </w:r>
      <w:r>
        <w:rPr>
          <w:color w:val="auto"/>
          <w:sz w:val="21"/>
          <w:szCs w:val="21"/>
          <w:highlight w:val="none"/>
        </w:rPr>
        <w:fldChar w:fldCharType="end"/>
      </w:r>
    </w:p>
    <w:p w14:paraId="10208DDA">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_Toc4396 </w:instrText>
      </w:r>
      <w:r>
        <w:rPr>
          <w:color w:val="auto"/>
          <w:sz w:val="21"/>
          <w:szCs w:val="21"/>
          <w:highlight w:val="none"/>
        </w:rPr>
        <w:fldChar w:fldCharType="separate"/>
      </w:r>
      <w:r>
        <w:rPr>
          <w:rFonts w:hint="eastAsia" w:cs="Times New Roman"/>
          <w:color w:val="auto"/>
          <w:sz w:val="21"/>
          <w:szCs w:val="21"/>
          <w:highlight w:val="none"/>
        </w:rPr>
        <w:t>4</w:t>
      </w:r>
      <w:r>
        <w:rPr>
          <w:rFonts w:cs="Times New Roman"/>
          <w:color w:val="auto"/>
          <w:sz w:val="21"/>
          <w:szCs w:val="21"/>
          <w:highlight w:val="none"/>
        </w:rPr>
        <w:t xml:space="preserve">.2 </w:t>
      </w:r>
      <w:r>
        <w:rPr>
          <w:rFonts w:hint="eastAsia" w:cs="Times New Roman"/>
          <w:color w:val="auto"/>
          <w:sz w:val="21"/>
          <w:szCs w:val="21"/>
          <w:highlight w:val="none"/>
        </w:rPr>
        <w:t>高炉煤气净化</w:t>
      </w:r>
      <w:r>
        <w:rPr>
          <w:rFonts w:cs="Times New Roman"/>
          <w:color w:val="auto"/>
          <w:sz w:val="21"/>
          <w:szCs w:val="21"/>
          <w:highlight w:val="none"/>
        </w:rPr>
        <w:t>系统</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_Toc4396 \h </w:instrText>
      </w:r>
      <w:r>
        <w:rPr>
          <w:color w:val="auto"/>
          <w:sz w:val="21"/>
          <w:szCs w:val="21"/>
          <w:highlight w:val="none"/>
        </w:rPr>
        <w:fldChar w:fldCharType="separate"/>
      </w:r>
      <w:r>
        <w:rPr>
          <w:color w:val="auto"/>
          <w:sz w:val="21"/>
          <w:szCs w:val="21"/>
          <w:highlight w:val="none"/>
        </w:rPr>
        <w:t>78</w:t>
      </w:r>
      <w:r>
        <w:rPr>
          <w:color w:val="auto"/>
          <w:sz w:val="21"/>
          <w:szCs w:val="21"/>
          <w:highlight w:val="none"/>
        </w:rPr>
        <w:fldChar w:fldCharType="end"/>
      </w:r>
      <w:r>
        <w:rPr>
          <w:color w:val="auto"/>
          <w:sz w:val="21"/>
          <w:szCs w:val="21"/>
          <w:highlight w:val="none"/>
        </w:rPr>
        <w:fldChar w:fldCharType="end"/>
      </w:r>
    </w:p>
    <w:p w14:paraId="5847FCB3">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_Toc21376 </w:instrText>
      </w:r>
      <w:r>
        <w:rPr>
          <w:color w:val="auto"/>
          <w:sz w:val="21"/>
          <w:szCs w:val="21"/>
          <w:highlight w:val="none"/>
        </w:rPr>
        <w:fldChar w:fldCharType="separate"/>
      </w:r>
      <w:r>
        <w:rPr>
          <w:rFonts w:hint="eastAsia" w:cs="Times New Roman"/>
          <w:color w:val="auto"/>
          <w:sz w:val="21"/>
          <w:szCs w:val="21"/>
          <w:highlight w:val="none"/>
        </w:rPr>
        <w:t xml:space="preserve">4.4 </w:t>
      </w:r>
      <w:r>
        <w:rPr>
          <w:rFonts w:cs="Times New Roman"/>
          <w:color w:val="auto"/>
          <w:sz w:val="21"/>
          <w:szCs w:val="21"/>
          <w:highlight w:val="none"/>
        </w:rPr>
        <w:t>TRT系统</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_Toc21376 \h </w:instrText>
      </w:r>
      <w:r>
        <w:rPr>
          <w:color w:val="auto"/>
          <w:sz w:val="21"/>
          <w:szCs w:val="21"/>
          <w:highlight w:val="none"/>
        </w:rPr>
        <w:fldChar w:fldCharType="separate"/>
      </w:r>
      <w:r>
        <w:rPr>
          <w:color w:val="auto"/>
          <w:sz w:val="21"/>
          <w:szCs w:val="21"/>
          <w:highlight w:val="none"/>
        </w:rPr>
        <w:t>83</w:t>
      </w:r>
      <w:r>
        <w:rPr>
          <w:color w:val="auto"/>
          <w:sz w:val="21"/>
          <w:szCs w:val="21"/>
          <w:highlight w:val="none"/>
        </w:rPr>
        <w:fldChar w:fldCharType="end"/>
      </w:r>
      <w:r>
        <w:rPr>
          <w:color w:val="auto"/>
          <w:sz w:val="21"/>
          <w:szCs w:val="21"/>
          <w:highlight w:val="none"/>
        </w:rPr>
        <w:fldChar w:fldCharType="end"/>
      </w:r>
    </w:p>
    <w:p w14:paraId="5200F36D">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_Toc7304 </w:instrText>
      </w:r>
      <w:r>
        <w:rPr>
          <w:color w:val="auto"/>
          <w:sz w:val="21"/>
          <w:szCs w:val="21"/>
          <w:highlight w:val="none"/>
        </w:rPr>
        <w:fldChar w:fldCharType="separate"/>
      </w:r>
      <w:r>
        <w:rPr>
          <w:rFonts w:hint="eastAsia" w:cs="Times New Roman"/>
          <w:color w:val="auto"/>
          <w:sz w:val="21"/>
          <w:szCs w:val="21"/>
          <w:highlight w:val="none"/>
        </w:rPr>
        <w:t>4.5 调压阀组及净煤气管道改造</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_Toc7304 \h </w:instrText>
      </w:r>
      <w:r>
        <w:rPr>
          <w:color w:val="auto"/>
          <w:sz w:val="21"/>
          <w:szCs w:val="21"/>
          <w:highlight w:val="none"/>
        </w:rPr>
        <w:fldChar w:fldCharType="separate"/>
      </w:r>
      <w:r>
        <w:rPr>
          <w:color w:val="auto"/>
          <w:sz w:val="21"/>
          <w:szCs w:val="21"/>
          <w:highlight w:val="none"/>
        </w:rPr>
        <w:t>86</w:t>
      </w:r>
      <w:r>
        <w:rPr>
          <w:color w:val="auto"/>
          <w:sz w:val="21"/>
          <w:szCs w:val="21"/>
          <w:highlight w:val="none"/>
        </w:rPr>
        <w:fldChar w:fldCharType="end"/>
      </w:r>
      <w:r>
        <w:rPr>
          <w:color w:val="auto"/>
          <w:sz w:val="21"/>
          <w:szCs w:val="21"/>
          <w:highlight w:val="none"/>
        </w:rPr>
        <w:fldChar w:fldCharType="end"/>
      </w:r>
    </w:p>
    <w:p w14:paraId="5F29BDB9">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_Toc1875 </w:instrText>
      </w:r>
      <w:r>
        <w:rPr>
          <w:color w:val="auto"/>
          <w:sz w:val="21"/>
          <w:szCs w:val="21"/>
          <w:highlight w:val="none"/>
        </w:rPr>
        <w:fldChar w:fldCharType="separate"/>
      </w:r>
      <w:r>
        <w:rPr>
          <w:rFonts w:hint="eastAsia" w:ascii="Times New Roman" w:hAnsi="Times New Roman" w:cs="Times New Roman"/>
          <w:color w:val="auto"/>
          <w:sz w:val="21"/>
          <w:szCs w:val="21"/>
          <w:highlight w:val="none"/>
        </w:rPr>
        <w:t>4.6 区域管网及高炉富氧系统</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_Toc1875 \h </w:instrText>
      </w:r>
      <w:r>
        <w:rPr>
          <w:color w:val="auto"/>
          <w:sz w:val="21"/>
          <w:szCs w:val="21"/>
          <w:highlight w:val="none"/>
        </w:rPr>
        <w:fldChar w:fldCharType="separate"/>
      </w:r>
      <w:r>
        <w:rPr>
          <w:color w:val="auto"/>
          <w:sz w:val="21"/>
          <w:szCs w:val="21"/>
          <w:highlight w:val="none"/>
        </w:rPr>
        <w:t>86</w:t>
      </w:r>
      <w:r>
        <w:rPr>
          <w:color w:val="auto"/>
          <w:sz w:val="21"/>
          <w:szCs w:val="21"/>
          <w:highlight w:val="none"/>
        </w:rPr>
        <w:fldChar w:fldCharType="end"/>
      </w:r>
      <w:r>
        <w:rPr>
          <w:color w:val="auto"/>
          <w:sz w:val="21"/>
          <w:szCs w:val="21"/>
          <w:highlight w:val="none"/>
        </w:rPr>
        <w:fldChar w:fldCharType="end"/>
      </w:r>
    </w:p>
    <w:p w14:paraId="1B11B70D">
      <w:pPr>
        <w:pStyle w:val="41"/>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_Toc21373 </w:instrText>
      </w:r>
      <w:r>
        <w:rPr>
          <w:color w:val="auto"/>
          <w:sz w:val="21"/>
          <w:szCs w:val="21"/>
          <w:highlight w:val="none"/>
        </w:rPr>
        <w:fldChar w:fldCharType="separate"/>
      </w:r>
      <w:r>
        <w:rPr>
          <w:rFonts w:hint="eastAsia" w:ascii="Times New Roman" w:hAnsi="Times New Roman" w:cs="Times New Roman"/>
          <w:color w:val="auto"/>
          <w:kern w:val="0"/>
          <w:sz w:val="21"/>
          <w:szCs w:val="21"/>
          <w:highlight w:val="none"/>
        </w:rPr>
        <w:t>5 热力</w:t>
      </w:r>
      <w:r>
        <w:rPr>
          <w:rFonts w:ascii="Times New Roman" w:hAnsi="Times New Roman" w:cs="Times New Roman"/>
          <w:color w:val="auto"/>
          <w:kern w:val="0"/>
          <w:sz w:val="21"/>
          <w:szCs w:val="21"/>
          <w:highlight w:val="none"/>
        </w:rPr>
        <w:t>设施</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_Toc21373 \h </w:instrText>
      </w:r>
      <w:r>
        <w:rPr>
          <w:color w:val="auto"/>
          <w:sz w:val="21"/>
          <w:szCs w:val="21"/>
          <w:highlight w:val="none"/>
        </w:rPr>
        <w:fldChar w:fldCharType="separate"/>
      </w:r>
      <w:r>
        <w:rPr>
          <w:color w:val="auto"/>
          <w:sz w:val="21"/>
          <w:szCs w:val="21"/>
          <w:highlight w:val="none"/>
        </w:rPr>
        <w:t>89</w:t>
      </w:r>
      <w:r>
        <w:rPr>
          <w:color w:val="auto"/>
          <w:sz w:val="21"/>
          <w:szCs w:val="21"/>
          <w:highlight w:val="none"/>
        </w:rPr>
        <w:fldChar w:fldCharType="end"/>
      </w:r>
      <w:r>
        <w:rPr>
          <w:color w:val="auto"/>
          <w:sz w:val="21"/>
          <w:szCs w:val="21"/>
          <w:highlight w:val="none"/>
        </w:rPr>
        <w:fldChar w:fldCharType="end"/>
      </w:r>
    </w:p>
    <w:p w14:paraId="76F5B50B">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_Toc28368 </w:instrText>
      </w:r>
      <w:r>
        <w:rPr>
          <w:color w:val="auto"/>
          <w:sz w:val="21"/>
          <w:szCs w:val="21"/>
          <w:highlight w:val="none"/>
        </w:rPr>
        <w:fldChar w:fldCharType="separate"/>
      </w:r>
      <w:r>
        <w:rPr>
          <w:rFonts w:hint="eastAsia" w:cs="Times New Roman"/>
          <w:color w:val="auto"/>
          <w:sz w:val="21"/>
          <w:szCs w:val="21"/>
          <w:highlight w:val="none"/>
        </w:rPr>
        <w:t xml:space="preserve">5.1 </w:t>
      </w:r>
      <w:r>
        <w:rPr>
          <w:rFonts w:cs="Times New Roman"/>
          <w:color w:val="auto"/>
          <w:sz w:val="21"/>
          <w:szCs w:val="21"/>
          <w:highlight w:val="none"/>
        </w:rPr>
        <w:t>概述</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_Toc28368 \h </w:instrText>
      </w:r>
      <w:r>
        <w:rPr>
          <w:color w:val="auto"/>
          <w:sz w:val="21"/>
          <w:szCs w:val="21"/>
          <w:highlight w:val="none"/>
        </w:rPr>
        <w:fldChar w:fldCharType="separate"/>
      </w:r>
      <w:r>
        <w:rPr>
          <w:color w:val="auto"/>
          <w:sz w:val="21"/>
          <w:szCs w:val="21"/>
          <w:highlight w:val="none"/>
        </w:rPr>
        <w:t>89</w:t>
      </w:r>
      <w:r>
        <w:rPr>
          <w:color w:val="auto"/>
          <w:sz w:val="21"/>
          <w:szCs w:val="21"/>
          <w:highlight w:val="none"/>
        </w:rPr>
        <w:fldChar w:fldCharType="end"/>
      </w:r>
      <w:r>
        <w:rPr>
          <w:color w:val="auto"/>
          <w:sz w:val="21"/>
          <w:szCs w:val="21"/>
          <w:highlight w:val="none"/>
        </w:rPr>
        <w:fldChar w:fldCharType="end"/>
      </w:r>
    </w:p>
    <w:p w14:paraId="79D5F8DC">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_Toc27925 </w:instrText>
      </w:r>
      <w:r>
        <w:rPr>
          <w:color w:val="auto"/>
          <w:sz w:val="21"/>
          <w:szCs w:val="21"/>
          <w:highlight w:val="none"/>
        </w:rPr>
        <w:fldChar w:fldCharType="separate"/>
      </w:r>
      <w:r>
        <w:rPr>
          <w:rFonts w:hint="eastAsia" w:cs="Times New Roman"/>
          <w:color w:val="auto"/>
          <w:sz w:val="21"/>
          <w:szCs w:val="21"/>
          <w:highlight w:val="none"/>
        </w:rPr>
        <w:t>5.2 高炉鼓风机改造</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_Toc27925 \h </w:instrText>
      </w:r>
      <w:r>
        <w:rPr>
          <w:color w:val="auto"/>
          <w:sz w:val="21"/>
          <w:szCs w:val="21"/>
          <w:highlight w:val="none"/>
        </w:rPr>
        <w:fldChar w:fldCharType="separate"/>
      </w:r>
      <w:r>
        <w:rPr>
          <w:color w:val="auto"/>
          <w:sz w:val="21"/>
          <w:szCs w:val="21"/>
          <w:highlight w:val="none"/>
        </w:rPr>
        <w:t>89</w:t>
      </w:r>
      <w:r>
        <w:rPr>
          <w:color w:val="auto"/>
          <w:sz w:val="21"/>
          <w:szCs w:val="21"/>
          <w:highlight w:val="none"/>
        </w:rPr>
        <w:fldChar w:fldCharType="end"/>
      </w:r>
      <w:r>
        <w:rPr>
          <w:color w:val="auto"/>
          <w:sz w:val="21"/>
          <w:szCs w:val="21"/>
          <w:highlight w:val="none"/>
        </w:rPr>
        <w:fldChar w:fldCharType="end"/>
      </w:r>
    </w:p>
    <w:p w14:paraId="5FB99BA5">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_Toc21113 </w:instrText>
      </w:r>
      <w:r>
        <w:rPr>
          <w:color w:val="auto"/>
          <w:sz w:val="21"/>
          <w:szCs w:val="21"/>
          <w:highlight w:val="none"/>
        </w:rPr>
        <w:fldChar w:fldCharType="separate"/>
      </w:r>
      <w:r>
        <w:rPr>
          <w:rFonts w:hint="eastAsia" w:cs="Times New Roman"/>
          <w:color w:val="auto"/>
          <w:sz w:val="21"/>
          <w:szCs w:val="21"/>
          <w:highlight w:val="none"/>
        </w:rPr>
        <w:t xml:space="preserve">5.3 </w:t>
      </w:r>
      <w:r>
        <w:rPr>
          <w:rFonts w:cs="Times New Roman"/>
          <w:color w:val="auto"/>
          <w:sz w:val="21"/>
          <w:szCs w:val="21"/>
          <w:highlight w:val="none"/>
        </w:rPr>
        <w:t>压缩空气、蒸汽供应</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_Toc21113 \h </w:instrText>
      </w:r>
      <w:r>
        <w:rPr>
          <w:color w:val="auto"/>
          <w:sz w:val="21"/>
          <w:szCs w:val="21"/>
          <w:highlight w:val="none"/>
        </w:rPr>
        <w:fldChar w:fldCharType="separate"/>
      </w:r>
      <w:r>
        <w:rPr>
          <w:color w:val="auto"/>
          <w:sz w:val="21"/>
          <w:szCs w:val="21"/>
          <w:highlight w:val="none"/>
        </w:rPr>
        <w:t>94</w:t>
      </w:r>
      <w:r>
        <w:rPr>
          <w:color w:val="auto"/>
          <w:sz w:val="21"/>
          <w:szCs w:val="21"/>
          <w:highlight w:val="none"/>
        </w:rPr>
        <w:fldChar w:fldCharType="end"/>
      </w:r>
      <w:r>
        <w:rPr>
          <w:color w:val="auto"/>
          <w:sz w:val="21"/>
          <w:szCs w:val="21"/>
          <w:highlight w:val="none"/>
        </w:rPr>
        <w:fldChar w:fldCharType="end"/>
      </w:r>
    </w:p>
    <w:p w14:paraId="637553DA">
      <w:pPr>
        <w:pStyle w:val="41"/>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_Toc20199 </w:instrText>
      </w:r>
      <w:r>
        <w:rPr>
          <w:color w:val="auto"/>
          <w:sz w:val="21"/>
          <w:szCs w:val="21"/>
          <w:highlight w:val="none"/>
        </w:rPr>
        <w:fldChar w:fldCharType="separate"/>
      </w:r>
      <w:r>
        <w:rPr>
          <w:rFonts w:hint="eastAsia"/>
          <w:color w:val="auto"/>
          <w:kern w:val="0"/>
          <w:sz w:val="21"/>
          <w:szCs w:val="21"/>
          <w:highlight w:val="none"/>
        </w:rPr>
        <w:t>6 给排水设施</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_Toc20199 \h </w:instrText>
      </w:r>
      <w:r>
        <w:rPr>
          <w:color w:val="auto"/>
          <w:sz w:val="21"/>
          <w:szCs w:val="21"/>
          <w:highlight w:val="none"/>
        </w:rPr>
        <w:fldChar w:fldCharType="separate"/>
      </w:r>
      <w:r>
        <w:rPr>
          <w:color w:val="auto"/>
          <w:sz w:val="21"/>
          <w:szCs w:val="21"/>
          <w:highlight w:val="none"/>
        </w:rPr>
        <w:t>97</w:t>
      </w:r>
      <w:r>
        <w:rPr>
          <w:color w:val="auto"/>
          <w:sz w:val="21"/>
          <w:szCs w:val="21"/>
          <w:highlight w:val="none"/>
        </w:rPr>
        <w:fldChar w:fldCharType="end"/>
      </w:r>
      <w:r>
        <w:rPr>
          <w:color w:val="auto"/>
          <w:sz w:val="21"/>
          <w:szCs w:val="21"/>
          <w:highlight w:val="none"/>
        </w:rPr>
        <w:fldChar w:fldCharType="end"/>
      </w:r>
    </w:p>
    <w:p w14:paraId="2C8F0C8B">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_Toc11322 </w:instrText>
      </w:r>
      <w:r>
        <w:rPr>
          <w:color w:val="auto"/>
          <w:sz w:val="21"/>
          <w:szCs w:val="21"/>
          <w:highlight w:val="none"/>
        </w:rPr>
        <w:fldChar w:fldCharType="separate"/>
      </w:r>
      <w:r>
        <w:rPr>
          <w:rFonts w:hint="eastAsia" w:cs="Times New Roman"/>
          <w:color w:val="auto"/>
          <w:sz w:val="21"/>
          <w:szCs w:val="21"/>
          <w:highlight w:val="none"/>
        </w:rPr>
        <w:t>6.1</w:t>
      </w:r>
      <w:r>
        <w:rPr>
          <w:rFonts w:cs="Times New Roman"/>
          <w:color w:val="auto"/>
          <w:sz w:val="21"/>
          <w:szCs w:val="21"/>
          <w:highlight w:val="none"/>
        </w:rPr>
        <w:t xml:space="preserve"> </w:t>
      </w:r>
      <w:r>
        <w:rPr>
          <w:rFonts w:hint="eastAsia" w:cs="Times New Roman"/>
          <w:color w:val="auto"/>
          <w:sz w:val="21"/>
          <w:szCs w:val="21"/>
          <w:highlight w:val="none"/>
        </w:rPr>
        <w:t>概述</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_Toc11322 \h </w:instrText>
      </w:r>
      <w:r>
        <w:rPr>
          <w:color w:val="auto"/>
          <w:sz w:val="21"/>
          <w:szCs w:val="21"/>
          <w:highlight w:val="none"/>
        </w:rPr>
        <w:fldChar w:fldCharType="separate"/>
      </w:r>
      <w:r>
        <w:rPr>
          <w:color w:val="auto"/>
          <w:sz w:val="21"/>
          <w:szCs w:val="21"/>
          <w:highlight w:val="none"/>
        </w:rPr>
        <w:t>97</w:t>
      </w:r>
      <w:r>
        <w:rPr>
          <w:color w:val="auto"/>
          <w:sz w:val="21"/>
          <w:szCs w:val="21"/>
          <w:highlight w:val="none"/>
        </w:rPr>
        <w:fldChar w:fldCharType="end"/>
      </w:r>
      <w:r>
        <w:rPr>
          <w:color w:val="auto"/>
          <w:sz w:val="21"/>
          <w:szCs w:val="21"/>
          <w:highlight w:val="none"/>
        </w:rPr>
        <w:fldChar w:fldCharType="end"/>
      </w:r>
    </w:p>
    <w:p w14:paraId="7764028C">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_Toc21272 </w:instrText>
      </w:r>
      <w:r>
        <w:rPr>
          <w:color w:val="auto"/>
          <w:sz w:val="21"/>
          <w:szCs w:val="21"/>
          <w:highlight w:val="none"/>
        </w:rPr>
        <w:fldChar w:fldCharType="separate"/>
      </w:r>
      <w:r>
        <w:rPr>
          <w:rFonts w:hint="eastAsia" w:cs="Times New Roman"/>
          <w:color w:val="auto"/>
          <w:sz w:val="21"/>
          <w:szCs w:val="21"/>
          <w:highlight w:val="none"/>
        </w:rPr>
        <w:t>6.2 设计原则</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_Toc21272 \h </w:instrText>
      </w:r>
      <w:r>
        <w:rPr>
          <w:color w:val="auto"/>
          <w:sz w:val="21"/>
          <w:szCs w:val="21"/>
          <w:highlight w:val="none"/>
        </w:rPr>
        <w:fldChar w:fldCharType="separate"/>
      </w:r>
      <w:r>
        <w:rPr>
          <w:color w:val="auto"/>
          <w:sz w:val="21"/>
          <w:szCs w:val="21"/>
          <w:highlight w:val="none"/>
        </w:rPr>
        <w:t>97</w:t>
      </w:r>
      <w:r>
        <w:rPr>
          <w:color w:val="auto"/>
          <w:sz w:val="21"/>
          <w:szCs w:val="21"/>
          <w:highlight w:val="none"/>
        </w:rPr>
        <w:fldChar w:fldCharType="end"/>
      </w:r>
      <w:r>
        <w:rPr>
          <w:color w:val="auto"/>
          <w:sz w:val="21"/>
          <w:szCs w:val="21"/>
          <w:highlight w:val="none"/>
        </w:rPr>
        <w:fldChar w:fldCharType="end"/>
      </w:r>
    </w:p>
    <w:p w14:paraId="0B8698E6">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_Toc15853 </w:instrText>
      </w:r>
      <w:r>
        <w:rPr>
          <w:color w:val="auto"/>
          <w:sz w:val="21"/>
          <w:szCs w:val="21"/>
          <w:highlight w:val="none"/>
        </w:rPr>
        <w:fldChar w:fldCharType="separate"/>
      </w:r>
      <w:r>
        <w:rPr>
          <w:rFonts w:hint="eastAsia" w:cs="Times New Roman"/>
          <w:color w:val="auto"/>
          <w:sz w:val="21"/>
          <w:szCs w:val="21"/>
          <w:highlight w:val="none"/>
        </w:rPr>
        <w:t>6.3 改造内容</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_Toc15853 \h </w:instrText>
      </w:r>
      <w:r>
        <w:rPr>
          <w:color w:val="auto"/>
          <w:sz w:val="21"/>
          <w:szCs w:val="21"/>
          <w:highlight w:val="none"/>
        </w:rPr>
        <w:fldChar w:fldCharType="separate"/>
      </w:r>
      <w:r>
        <w:rPr>
          <w:color w:val="auto"/>
          <w:sz w:val="21"/>
          <w:szCs w:val="21"/>
          <w:highlight w:val="none"/>
        </w:rPr>
        <w:t>97</w:t>
      </w:r>
      <w:r>
        <w:rPr>
          <w:color w:val="auto"/>
          <w:sz w:val="21"/>
          <w:szCs w:val="21"/>
          <w:highlight w:val="none"/>
        </w:rPr>
        <w:fldChar w:fldCharType="end"/>
      </w:r>
      <w:r>
        <w:rPr>
          <w:color w:val="auto"/>
          <w:sz w:val="21"/>
          <w:szCs w:val="21"/>
          <w:highlight w:val="none"/>
        </w:rPr>
        <w:fldChar w:fldCharType="end"/>
      </w:r>
    </w:p>
    <w:p w14:paraId="54D4D3BA">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_Toc19286 </w:instrText>
      </w:r>
      <w:r>
        <w:rPr>
          <w:color w:val="auto"/>
          <w:sz w:val="21"/>
          <w:szCs w:val="21"/>
          <w:highlight w:val="none"/>
        </w:rPr>
        <w:fldChar w:fldCharType="separate"/>
      </w:r>
      <w:r>
        <w:rPr>
          <w:rFonts w:hint="eastAsia" w:cs="Times New Roman"/>
          <w:color w:val="auto"/>
          <w:sz w:val="21"/>
          <w:szCs w:val="21"/>
          <w:highlight w:val="none"/>
        </w:rPr>
        <w:t>6.3.3 增压水系统改造</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_Toc19286 \h </w:instrText>
      </w:r>
      <w:r>
        <w:rPr>
          <w:color w:val="auto"/>
          <w:sz w:val="21"/>
          <w:szCs w:val="21"/>
          <w:highlight w:val="none"/>
        </w:rPr>
        <w:fldChar w:fldCharType="separate"/>
      </w:r>
      <w:r>
        <w:rPr>
          <w:color w:val="auto"/>
          <w:sz w:val="21"/>
          <w:szCs w:val="21"/>
          <w:highlight w:val="none"/>
        </w:rPr>
        <w:t>99</w:t>
      </w:r>
      <w:r>
        <w:rPr>
          <w:color w:val="auto"/>
          <w:sz w:val="21"/>
          <w:szCs w:val="21"/>
          <w:highlight w:val="none"/>
        </w:rPr>
        <w:fldChar w:fldCharType="end"/>
      </w:r>
      <w:r>
        <w:rPr>
          <w:color w:val="auto"/>
          <w:sz w:val="21"/>
          <w:szCs w:val="21"/>
          <w:highlight w:val="none"/>
        </w:rPr>
        <w:fldChar w:fldCharType="end"/>
      </w:r>
    </w:p>
    <w:p w14:paraId="3FEE8DDA">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_Toc13521 </w:instrText>
      </w:r>
      <w:r>
        <w:rPr>
          <w:color w:val="auto"/>
          <w:sz w:val="21"/>
          <w:szCs w:val="21"/>
          <w:highlight w:val="none"/>
        </w:rPr>
        <w:fldChar w:fldCharType="separate"/>
      </w:r>
      <w:r>
        <w:rPr>
          <w:rFonts w:hint="eastAsia" w:cs="Times New Roman"/>
          <w:color w:val="auto"/>
          <w:sz w:val="21"/>
          <w:szCs w:val="21"/>
          <w:highlight w:val="none"/>
        </w:rPr>
        <w:t>6.3.4 改造内容清单</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_Toc13521 \h </w:instrText>
      </w:r>
      <w:r>
        <w:rPr>
          <w:color w:val="auto"/>
          <w:sz w:val="21"/>
          <w:szCs w:val="21"/>
          <w:highlight w:val="none"/>
        </w:rPr>
        <w:fldChar w:fldCharType="separate"/>
      </w:r>
      <w:r>
        <w:rPr>
          <w:color w:val="auto"/>
          <w:sz w:val="21"/>
          <w:szCs w:val="21"/>
          <w:highlight w:val="none"/>
        </w:rPr>
        <w:t>99</w:t>
      </w:r>
      <w:r>
        <w:rPr>
          <w:color w:val="auto"/>
          <w:sz w:val="21"/>
          <w:szCs w:val="21"/>
          <w:highlight w:val="none"/>
        </w:rPr>
        <w:fldChar w:fldCharType="end"/>
      </w:r>
      <w:r>
        <w:rPr>
          <w:color w:val="auto"/>
          <w:sz w:val="21"/>
          <w:szCs w:val="21"/>
          <w:highlight w:val="none"/>
        </w:rPr>
        <w:fldChar w:fldCharType="end"/>
      </w:r>
    </w:p>
    <w:p w14:paraId="6CFCDAB8">
      <w:pPr>
        <w:pStyle w:val="41"/>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_Toc4331 </w:instrText>
      </w:r>
      <w:r>
        <w:rPr>
          <w:color w:val="auto"/>
          <w:sz w:val="21"/>
          <w:szCs w:val="21"/>
          <w:highlight w:val="none"/>
        </w:rPr>
        <w:fldChar w:fldCharType="separate"/>
      </w:r>
      <w:r>
        <w:rPr>
          <w:rFonts w:hint="eastAsia"/>
          <w:color w:val="auto"/>
          <w:sz w:val="21"/>
          <w:szCs w:val="21"/>
          <w:highlight w:val="none"/>
        </w:rPr>
        <w:t>7</w:t>
      </w:r>
      <w:r>
        <w:rPr>
          <w:color w:val="auto"/>
          <w:sz w:val="21"/>
          <w:szCs w:val="21"/>
          <w:highlight w:val="none"/>
        </w:rPr>
        <w:t xml:space="preserve"> </w:t>
      </w:r>
      <w:r>
        <w:rPr>
          <w:rFonts w:hint="eastAsia"/>
          <w:color w:val="auto"/>
          <w:sz w:val="21"/>
          <w:szCs w:val="21"/>
          <w:highlight w:val="none"/>
        </w:rPr>
        <w:t>通风空调及除尘</w:t>
      </w:r>
      <w:r>
        <w:rPr>
          <w:color w:val="auto"/>
          <w:sz w:val="21"/>
          <w:szCs w:val="21"/>
          <w:highlight w:val="none"/>
        </w:rPr>
        <w:t>设施</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_Toc4331 \h </w:instrText>
      </w:r>
      <w:r>
        <w:rPr>
          <w:color w:val="auto"/>
          <w:sz w:val="21"/>
          <w:szCs w:val="21"/>
          <w:highlight w:val="none"/>
        </w:rPr>
        <w:fldChar w:fldCharType="separate"/>
      </w:r>
      <w:r>
        <w:rPr>
          <w:color w:val="auto"/>
          <w:sz w:val="21"/>
          <w:szCs w:val="21"/>
          <w:highlight w:val="none"/>
        </w:rPr>
        <w:t>105</w:t>
      </w:r>
      <w:r>
        <w:rPr>
          <w:color w:val="auto"/>
          <w:sz w:val="21"/>
          <w:szCs w:val="21"/>
          <w:highlight w:val="none"/>
        </w:rPr>
        <w:fldChar w:fldCharType="end"/>
      </w:r>
      <w:r>
        <w:rPr>
          <w:color w:val="auto"/>
          <w:sz w:val="21"/>
          <w:szCs w:val="21"/>
          <w:highlight w:val="none"/>
        </w:rPr>
        <w:fldChar w:fldCharType="end"/>
      </w:r>
    </w:p>
    <w:p w14:paraId="3907404E">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_Toc2545 </w:instrText>
      </w:r>
      <w:r>
        <w:rPr>
          <w:color w:val="auto"/>
          <w:sz w:val="21"/>
          <w:szCs w:val="21"/>
          <w:highlight w:val="none"/>
        </w:rPr>
        <w:fldChar w:fldCharType="separate"/>
      </w:r>
      <w:r>
        <w:rPr>
          <w:rFonts w:hint="eastAsia" w:cs="Times New Roman"/>
          <w:color w:val="auto"/>
          <w:sz w:val="21"/>
          <w:szCs w:val="21"/>
          <w:highlight w:val="none"/>
        </w:rPr>
        <w:t>7.1 概述</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_Toc2545 \h </w:instrText>
      </w:r>
      <w:r>
        <w:rPr>
          <w:color w:val="auto"/>
          <w:sz w:val="21"/>
          <w:szCs w:val="21"/>
          <w:highlight w:val="none"/>
        </w:rPr>
        <w:fldChar w:fldCharType="separate"/>
      </w:r>
      <w:r>
        <w:rPr>
          <w:color w:val="auto"/>
          <w:sz w:val="21"/>
          <w:szCs w:val="21"/>
          <w:highlight w:val="none"/>
        </w:rPr>
        <w:t>105</w:t>
      </w:r>
      <w:r>
        <w:rPr>
          <w:color w:val="auto"/>
          <w:sz w:val="21"/>
          <w:szCs w:val="21"/>
          <w:highlight w:val="none"/>
        </w:rPr>
        <w:fldChar w:fldCharType="end"/>
      </w:r>
      <w:r>
        <w:rPr>
          <w:color w:val="auto"/>
          <w:sz w:val="21"/>
          <w:szCs w:val="21"/>
          <w:highlight w:val="none"/>
        </w:rPr>
        <w:fldChar w:fldCharType="end"/>
      </w:r>
    </w:p>
    <w:p w14:paraId="1A1457F5">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_Toc12816 </w:instrText>
      </w:r>
      <w:r>
        <w:rPr>
          <w:color w:val="auto"/>
          <w:sz w:val="21"/>
          <w:szCs w:val="21"/>
          <w:highlight w:val="none"/>
        </w:rPr>
        <w:fldChar w:fldCharType="separate"/>
      </w:r>
      <w:r>
        <w:rPr>
          <w:rFonts w:hint="eastAsia" w:cs="Times New Roman"/>
          <w:color w:val="auto"/>
          <w:sz w:val="21"/>
          <w:szCs w:val="21"/>
          <w:highlight w:val="none"/>
        </w:rPr>
        <w:t>7.2 主要设计依据</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_Toc12816 \h </w:instrText>
      </w:r>
      <w:r>
        <w:rPr>
          <w:color w:val="auto"/>
          <w:sz w:val="21"/>
          <w:szCs w:val="21"/>
          <w:highlight w:val="none"/>
        </w:rPr>
        <w:fldChar w:fldCharType="separate"/>
      </w:r>
      <w:r>
        <w:rPr>
          <w:color w:val="auto"/>
          <w:sz w:val="21"/>
          <w:szCs w:val="21"/>
          <w:highlight w:val="none"/>
        </w:rPr>
        <w:t>105</w:t>
      </w:r>
      <w:r>
        <w:rPr>
          <w:color w:val="auto"/>
          <w:sz w:val="21"/>
          <w:szCs w:val="21"/>
          <w:highlight w:val="none"/>
        </w:rPr>
        <w:fldChar w:fldCharType="end"/>
      </w:r>
      <w:r>
        <w:rPr>
          <w:color w:val="auto"/>
          <w:sz w:val="21"/>
          <w:szCs w:val="21"/>
          <w:highlight w:val="none"/>
        </w:rPr>
        <w:fldChar w:fldCharType="end"/>
      </w:r>
    </w:p>
    <w:p w14:paraId="6A5B9DFC">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_Toc3729 </w:instrText>
      </w:r>
      <w:r>
        <w:rPr>
          <w:color w:val="auto"/>
          <w:sz w:val="21"/>
          <w:szCs w:val="21"/>
          <w:highlight w:val="none"/>
        </w:rPr>
        <w:fldChar w:fldCharType="separate"/>
      </w:r>
      <w:r>
        <w:rPr>
          <w:rFonts w:hint="eastAsia" w:cs="Times New Roman"/>
          <w:color w:val="auto"/>
          <w:sz w:val="21"/>
          <w:szCs w:val="21"/>
          <w:highlight w:val="none"/>
        </w:rPr>
        <w:t>7.3设计原则</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_Toc3729 \h </w:instrText>
      </w:r>
      <w:r>
        <w:rPr>
          <w:color w:val="auto"/>
          <w:sz w:val="21"/>
          <w:szCs w:val="21"/>
          <w:highlight w:val="none"/>
        </w:rPr>
        <w:fldChar w:fldCharType="separate"/>
      </w:r>
      <w:r>
        <w:rPr>
          <w:color w:val="auto"/>
          <w:sz w:val="21"/>
          <w:szCs w:val="21"/>
          <w:highlight w:val="none"/>
        </w:rPr>
        <w:t>106</w:t>
      </w:r>
      <w:r>
        <w:rPr>
          <w:color w:val="auto"/>
          <w:sz w:val="21"/>
          <w:szCs w:val="21"/>
          <w:highlight w:val="none"/>
        </w:rPr>
        <w:fldChar w:fldCharType="end"/>
      </w:r>
      <w:r>
        <w:rPr>
          <w:color w:val="auto"/>
          <w:sz w:val="21"/>
          <w:szCs w:val="21"/>
          <w:highlight w:val="none"/>
        </w:rPr>
        <w:fldChar w:fldCharType="end"/>
      </w:r>
    </w:p>
    <w:p w14:paraId="610E065B">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_Toc3878 </w:instrText>
      </w:r>
      <w:r>
        <w:rPr>
          <w:color w:val="auto"/>
          <w:sz w:val="21"/>
          <w:szCs w:val="21"/>
          <w:highlight w:val="none"/>
        </w:rPr>
        <w:fldChar w:fldCharType="separate"/>
      </w:r>
      <w:r>
        <w:rPr>
          <w:rFonts w:hint="eastAsia" w:cs="Times New Roman"/>
          <w:color w:val="auto"/>
          <w:sz w:val="21"/>
          <w:szCs w:val="21"/>
          <w:highlight w:val="none"/>
        </w:rPr>
        <w:t>7.4 除尘改造方案</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_Toc3878 \h </w:instrText>
      </w:r>
      <w:r>
        <w:rPr>
          <w:color w:val="auto"/>
          <w:sz w:val="21"/>
          <w:szCs w:val="21"/>
          <w:highlight w:val="none"/>
        </w:rPr>
        <w:fldChar w:fldCharType="separate"/>
      </w:r>
      <w:r>
        <w:rPr>
          <w:color w:val="auto"/>
          <w:sz w:val="21"/>
          <w:szCs w:val="21"/>
          <w:highlight w:val="none"/>
        </w:rPr>
        <w:t>107</w:t>
      </w:r>
      <w:r>
        <w:rPr>
          <w:color w:val="auto"/>
          <w:sz w:val="21"/>
          <w:szCs w:val="21"/>
          <w:highlight w:val="none"/>
        </w:rPr>
        <w:fldChar w:fldCharType="end"/>
      </w:r>
      <w:r>
        <w:rPr>
          <w:color w:val="auto"/>
          <w:sz w:val="21"/>
          <w:szCs w:val="21"/>
          <w:highlight w:val="none"/>
        </w:rPr>
        <w:fldChar w:fldCharType="end"/>
      </w:r>
    </w:p>
    <w:p w14:paraId="42FE6B04">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_Toc19727 </w:instrText>
      </w:r>
      <w:r>
        <w:rPr>
          <w:color w:val="auto"/>
          <w:sz w:val="21"/>
          <w:szCs w:val="21"/>
          <w:highlight w:val="none"/>
        </w:rPr>
        <w:fldChar w:fldCharType="separate"/>
      </w:r>
      <w:r>
        <w:rPr>
          <w:rFonts w:hint="eastAsia" w:cs="Times New Roman"/>
          <w:color w:val="auto"/>
          <w:sz w:val="21"/>
          <w:szCs w:val="21"/>
          <w:highlight w:val="none"/>
        </w:rPr>
        <w:t>7.5通风空调设施</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_Toc19727 \h </w:instrText>
      </w:r>
      <w:r>
        <w:rPr>
          <w:color w:val="auto"/>
          <w:sz w:val="21"/>
          <w:szCs w:val="21"/>
          <w:highlight w:val="none"/>
        </w:rPr>
        <w:fldChar w:fldCharType="separate"/>
      </w:r>
      <w:r>
        <w:rPr>
          <w:color w:val="auto"/>
          <w:sz w:val="21"/>
          <w:szCs w:val="21"/>
          <w:highlight w:val="none"/>
        </w:rPr>
        <w:t>120</w:t>
      </w:r>
      <w:r>
        <w:rPr>
          <w:color w:val="auto"/>
          <w:sz w:val="21"/>
          <w:szCs w:val="21"/>
          <w:highlight w:val="none"/>
        </w:rPr>
        <w:fldChar w:fldCharType="end"/>
      </w:r>
      <w:r>
        <w:rPr>
          <w:color w:val="auto"/>
          <w:sz w:val="21"/>
          <w:szCs w:val="21"/>
          <w:highlight w:val="none"/>
        </w:rPr>
        <w:fldChar w:fldCharType="end"/>
      </w:r>
    </w:p>
    <w:p w14:paraId="3CC20127">
      <w:pPr>
        <w:pStyle w:val="41"/>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_Toc3722 </w:instrText>
      </w:r>
      <w:r>
        <w:rPr>
          <w:color w:val="auto"/>
          <w:sz w:val="21"/>
          <w:szCs w:val="21"/>
          <w:highlight w:val="none"/>
        </w:rPr>
        <w:fldChar w:fldCharType="separate"/>
      </w:r>
      <w:r>
        <w:rPr>
          <w:bCs/>
          <w:color w:val="auto"/>
          <w:sz w:val="21"/>
          <w:szCs w:val="21"/>
          <w:highlight w:val="none"/>
        </w:rPr>
        <w:t>8 供配电设施</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_Toc3722 \h </w:instrText>
      </w:r>
      <w:r>
        <w:rPr>
          <w:color w:val="auto"/>
          <w:sz w:val="21"/>
          <w:szCs w:val="21"/>
          <w:highlight w:val="none"/>
        </w:rPr>
        <w:fldChar w:fldCharType="separate"/>
      </w:r>
      <w:r>
        <w:rPr>
          <w:color w:val="auto"/>
          <w:sz w:val="21"/>
          <w:szCs w:val="21"/>
          <w:highlight w:val="none"/>
        </w:rPr>
        <w:t>123</w:t>
      </w:r>
      <w:r>
        <w:rPr>
          <w:color w:val="auto"/>
          <w:sz w:val="21"/>
          <w:szCs w:val="21"/>
          <w:highlight w:val="none"/>
        </w:rPr>
        <w:fldChar w:fldCharType="end"/>
      </w:r>
      <w:r>
        <w:rPr>
          <w:color w:val="auto"/>
          <w:sz w:val="21"/>
          <w:szCs w:val="21"/>
          <w:highlight w:val="none"/>
        </w:rPr>
        <w:fldChar w:fldCharType="end"/>
      </w:r>
    </w:p>
    <w:p w14:paraId="63737413">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_Toc27111 </w:instrText>
      </w:r>
      <w:r>
        <w:rPr>
          <w:color w:val="auto"/>
          <w:sz w:val="21"/>
          <w:szCs w:val="21"/>
          <w:highlight w:val="none"/>
        </w:rPr>
        <w:fldChar w:fldCharType="separate"/>
      </w:r>
      <w:r>
        <w:rPr>
          <w:rFonts w:hint="eastAsia" w:cs="Times New Roman"/>
          <w:color w:val="auto"/>
          <w:sz w:val="21"/>
          <w:szCs w:val="21"/>
          <w:highlight w:val="none"/>
        </w:rPr>
        <w:t>8.1 概述</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_Toc27111 \h </w:instrText>
      </w:r>
      <w:r>
        <w:rPr>
          <w:color w:val="auto"/>
          <w:sz w:val="21"/>
          <w:szCs w:val="21"/>
          <w:highlight w:val="none"/>
        </w:rPr>
        <w:fldChar w:fldCharType="separate"/>
      </w:r>
      <w:r>
        <w:rPr>
          <w:color w:val="auto"/>
          <w:sz w:val="21"/>
          <w:szCs w:val="21"/>
          <w:highlight w:val="none"/>
        </w:rPr>
        <w:t>123</w:t>
      </w:r>
      <w:r>
        <w:rPr>
          <w:color w:val="auto"/>
          <w:sz w:val="21"/>
          <w:szCs w:val="21"/>
          <w:highlight w:val="none"/>
        </w:rPr>
        <w:fldChar w:fldCharType="end"/>
      </w:r>
      <w:r>
        <w:rPr>
          <w:color w:val="auto"/>
          <w:sz w:val="21"/>
          <w:szCs w:val="21"/>
          <w:highlight w:val="none"/>
        </w:rPr>
        <w:fldChar w:fldCharType="end"/>
      </w:r>
    </w:p>
    <w:p w14:paraId="587D2B9F">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_Toc1043 </w:instrText>
      </w:r>
      <w:r>
        <w:rPr>
          <w:color w:val="auto"/>
          <w:sz w:val="21"/>
          <w:szCs w:val="21"/>
          <w:highlight w:val="none"/>
        </w:rPr>
        <w:fldChar w:fldCharType="separate"/>
      </w:r>
      <w:r>
        <w:rPr>
          <w:rFonts w:hint="eastAsia" w:cs="Times New Roman"/>
          <w:color w:val="auto"/>
          <w:sz w:val="21"/>
          <w:szCs w:val="21"/>
          <w:highlight w:val="none"/>
        </w:rPr>
        <w:t>8.2 供电电源及高压供配电系统</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_Toc1043 \h </w:instrText>
      </w:r>
      <w:r>
        <w:rPr>
          <w:color w:val="auto"/>
          <w:sz w:val="21"/>
          <w:szCs w:val="21"/>
          <w:highlight w:val="none"/>
        </w:rPr>
        <w:fldChar w:fldCharType="separate"/>
      </w:r>
      <w:r>
        <w:rPr>
          <w:color w:val="auto"/>
          <w:sz w:val="21"/>
          <w:szCs w:val="21"/>
          <w:highlight w:val="none"/>
        </w:rPr>
        <w:t>123</w:t>
      </w:r>
      <w:r>
        <w:rPr>
          <w:color w:val="auto"/>
          <w:sz w:val="21"/>
          <w:szCs w:val="21"/>
          <w:highlight w:val="none"/>
        </w:rPr>
        <w:fldChar w:fldCharType="end"/>
      </w:r>
      <w:r>
        <w:rPr>
          <w:color w:val="auto"/>
          <w:sz w:val="21"/>
          <w:szCs w:val="21"/>
          <w:highlight w:val="none"/>
        </w:rPr>
        <w:fldChar w:fldCharType="end"/>
      </w:r>
    </w:p>
    <w:p w14:paraId="4AE329DC">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_Toc19896 </w:instrText>
      </w:r>
      <w:r>
        <w:rPr>
          <w:color w:val="auto"/>
          <w:sz w:val="21"/>
          <w:szCs w:val="21"/>
          <w:highlight w:val="none"/>
        </w:rPr>
        <w:fldChar w:fldCharType="separate"/>
      </w:r>
      <w:r>
        <w:rPr>
          <w:rFonts w:hint="eastAsia" w:cs="Times New Roman"/>
          <w:color w:val="auto"/>
          <w:sz w:val="21"/>
          <w:szCs w:val="21"/>
          <w:highlight w:val="none"/>
        </w:rPr>
        <w:t>8.3 站用电及直流电源</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_Toc19896 \h </w:instrText>
      </w:r>
      <w:r>
        <w:rPr>
          <w:color w:val="auto"/>
          <w:sz w:val="21"/>
          <w:szCs w:val="21"/>
          <w:highlight w:val="none"/>
        </w:rPr>
        <w:fldChar w:fldCharType="separate"/>
      </w:r>
      <w:r>
        <w:rPr>
          <w:color w:val="auto"/>
          <w:sz w:val="21"/>
          <w:szCs w:val="21"/>
          <w:highlight w:val="none"/>
        </w:rPr>
        <w:t>125</w:t>
      </w:r>
      <w:r>
        <w:rPr>
          <w:color w:val="auto"/>
          <w:sz w:val="21"/>
          <w:szCs w:val="21"/>
          <w:highlight w:val="none"/>
        </w:rPr>
        <w:fldChar w:fldCharType="end"/>
      </w:r>
      <w:r>
        <w:rPr>
          <w:color w:val="auto"/>
          <w:sz w:val="21"/>
          <w:szCs w:val="21"/>
          <w:highlight w:val="none"/>
        </w:rPr>
        <w:fldChar w:fldCharType="end"/>
      </w:r>
    </w:p>
    <w:p w14:paraId="44D768FA">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_Toc4480 </w:instrText>
      </w:r>
      <w:r>
        <w:rPr>
          <w:color w:val="auto"/>
          <w:sz w:val="21"/>
          <w:szCs w:val="21"/>
          <w:highlight w:val="none"/>
        </w:rPr>
        <w:fldChar w:fldCharType="separate"/>
      </w:r>
      <w:r>
        <w:rPr>
          <w:rFonts w:hint="eastAsia" w:cs="Times New Roman"/>
          <w:color w:val="auto"/>
          <w:sz w:val="21"/>
          <w:szCs w:val="21"/>
          <w:highlight w:val="none"/>
        </w:rPr>
        <w:t>8.4 电机启动与调速</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_Toc4480 \h </w:instrText>
      </w:r>
      <w:r>
        <w:rPr>
          <w:color w:val="auto"/>
          <w:sz w:val="21"/>
          <w:szCs w:val="21"/>
          <w:highlight w:val="none"/>
        </w:rPr>
        <w:fldChar w:fldCharType="separate"/>
      </w:r>
      <w:r>
        <w:rPr>
          <w:color w:val="auto"/>
          <w:sz w:val="21"/>
          <w:szCs w:val="21"/>
          <w:highlight w:val="none"/>
        </w:rPr>
        <w:t>126</w:t>
      </w:r>
      <w:r>
        <w:rPr>
          <w:color w:val="auto"/>
          <w:sz w:val="21"/>
          <w:szCs w:val="21"/>
          <w:highlight w:val="none"/>
        </w:rPr>
        <w:fldChar w:fldCharType="end"/>
      </w:r>
      <w:r>
        <w:rPr>
          <w:color w:val="auto"/>
          <w:sz w:val="21"/>
          <w:szCs w:val="21"/>
          <w:highlight w:val="none"/>
        </w:rPr>
        <w:fldChar w:fldCharType="end"/>
      </w:r>
    </w:p>
    <w:p w14:paraId="45912D84">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_Toc26740 </w:instrText>
      </w:r>
      <w:r>
        <w:rPr>
          <w:color w:val="auto"/>
          <w:sz w:val="21"/>
          <w:szCs w:val="21"/>
          <w:highlight w:val="none"/>
        </w:rPr>
        <w:fldChar w:fldCharType="separate"/>
      </w:r>
      <w:r>
        <w:rPr>
          <w:rFonts w:hint="eastAsia" w:cs="Times New Roman"/>
          <w:color w:val="auto"/>
          <w:sz w:val="21"/>
          <w:szCs w:val="21"/>
          <w:highlight w:val="none"/>
        </w:rPr>
        <w:t>8.5 无功补偿装置</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_Toc26740 \h </w:instrText>
      </w:r>
      <w:r>
        <w:rPr>
          <w:color w:val="auto"/>
          <w:sz w:val="21"/>
          <w:szCs w:val="21"/>
          <w:highlight w:val="none"/>
        </w:rPr>
        <w:fldChar w:fldCharType="separate"/>
      </w:r>
      <w:r>
        <w:rPr>
          <w:color w:val="auto"/>
          <w:sz w:val="21"/>
          <w:szCs w:val="21"/>
          <w:highlight w:val="none"/>
        </w:rPr>
        <w:t>126</w:t>
      </w:r>
      <w:r>
        <w:rPr>
          <w:color w:val="auto"/>
          <w:sz w:val="21"/>
          <w:szCs w:val="21"/>
          <w:highlight w:val="none"/>
        </w:rPr>
        <w:fldChar w:fldCharType="end"/>
      </w:r>
      <w:r>
        <w:rPr>
          <w:color w:val="auto"/>
          <w:sz w:val="21"/>
          <w:szCs w:val="21"/>
          <w:highlight w:val="none"/>
        </w:rPr>
        <w:fldChar w:fldCharType="end"/>
      </w:r>
    </w:p>
    <w:p w14:paraId="17A33A3E">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_Toc12130 </w:instrText>
      </w:r>
      <w:r>
        <w:rPr>
          <w:color w:val="auto"/>
          <w:sz w:val="21"/>
          <w:szCs w:val="21"/>
          <w:highlight w:val="none"/>
        </w:rPr>
        <w:fldChar w:fldCharType="separate"/>
      </w:r>
      <w:r>
        <w:rPr>
          <w:rFonts w:hint="eastAsia" w:cs="Times New Roman"/>
          <w:color w:val="auto"/>
          <w:sz w:val="21"/>
          <w:szCs w:val="21"/>
          <w:highlight w:val="none"/>
        </w:rPr>
        <w:t>8.6 中性点接地方式</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_Toc12130 \h </w:instrText>
      </w:r>
      <w:r>
        <w:rPr>
          <w:color w:val="auto"/>
          <w:sz w:val="21"/>
          <w:szCs w:val="21"/>
          <w:highlight w:val="none"/>
        </w:rPr>
        <w:fldChar w:fldCharType="separate"/>
      </w:r>
      <w:r>
        <w:rPr>
          <w:color w:val="auto"/>
          <w:sz w:val="21"/>
          <w:szCs w:val="21"/>
          <w:highlight w:val="none"/>
        </w:rPr>
        <w:t>126</w:t>
      </w:r>
      <w:r>
        <w:rPr>
          <w:color w:val="auto"/>
          <w:sz w:val="21"/>
          <w:szCs w:val="21"/>
          <w:highlight w:val="none"/>
        </w:rPr>
        <w:fldChar w:fldCharType="end"/>
      </w:r>
      <w:r>
        <w:rPr>
          <w:color w:val="auto"/>
          <w:sz w:val="21"/>
          <w:szCs w:val="21"/>
          <w:highlight w:val="none"/>
        </w:rPr>
        <w:fldChar w:fldCharType="end"/>
      </w:r>
    </w:p>
    <w:p w14:paraId="24C0B1D4">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_Toc7979 </w:instrText>
      </w:r>
      <w:r>
        <w:rPr>
          <w:color w:val="auto"/>
          <w:sz w:val="21"/>
          <w:szCs w:val="21"/>
          <w:highlight w:val="none"/>
        </w:rPr>
        <w:fldChar w:fldCharType="separate"/>
      </w:r>
      <w:r>
        <w:rPr>
          <w:rFonts w:hint="eastAsia" w:cs="Times New Roman"/>
          <w:color w:val="auto"/>
          <w:sz w:val="21"/>
          <w:szCs w:val="21"/>
          <w:highlight w:val="none"/>
        </w:rPr>
        <w:t>8.7 继电保护、测量、信号及监控系统</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_Toc7979 \h </w:instrText>
      </w:r>
      <w:r>
        <w:rPr>
          <w:color w:val="auto"/>
          <w:sz w:val="21"/>
          <w:szCs w:val="21"/>
          <w:highlight w:val="none"/>
        </w:rPr>
        <w:fldChar w:fldCharType="separate"/>
      </w:r>
      <w:r>
        <w:rPr>
          <w:color w:val="auto"/>
          <w:sz w:val="21"/>
          <w:szCs w:val="21"/>
          <w:highlight w:val="none"/>
        </w:rPr>
        <w:t>126</w:t>
      </w:r>
      <w:r>
        <w:rPr>
          <w:color w:val="auto"/>
          <w:sz w:val="21"/>
          <w:szCs w:val="21"/>
          <w:highlight w:val="none"/>
        </w:rPr>
        <w:fldChar w:fldCharType="end"/>
      </w:r>
      <w:r>
        <w:rPr>
          <w:color w:val="auto"/>
          <w:sz w:val="21"/>
          <w:szCs w:val="21"/>
          <w:highlight w:val="none"/>
        </w:rPr>
        <w:fldChar w:fldCharType="end"/>
      </w:r>
    </w:p>
    <w:p w14:paraId="76D41483">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_Toc19012 </w:instrText>
      </w:r>
      <w:r>
        <w:rPr>
          <w:color w:val="auto"/>
          <w:sz w:val="21"/>
          <w:szCs w:val="21"/>
          <w:highlight w:val="none"/>
        </w:rPr>
        <w:fldChar w:fldCharType="separate"/>
      </w:r>
      <w:r>
        <w:rPr>
          <w:rFonts w:hint="eastAsia" w:cs="Times New Roman"/>
          <w:color w:val="auto"/>
          <w:sz w:val="21"/>
          <w:szCs w:val="21"/>
          <w:highlight w:val="none"/>
        </w:rPr>
        <w:t>8.8 电气设备布置</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_Toc19012 \h </w:instrText>
      </w:r>
      <w:r>
        <w:rPr>
          <w:color w:val="auto"/>
          <w:sz w:val="21"/>
          <w:szCs w:val="21"/>
          <w:highlight w:val="none"/>
        </w:rPr>
        <w:fldChar w:fldCharType="separate"/>
      </w:r>
      <w:r>
        <w:rPr>
          <w:color w:val="auto"/>
          <w:sz w:val="21"/>
          <w:szCs w:val="21"/>
          <w:highlight w:val="none"/>
        </w:rPr>
        <w:t>127</w:t>
      </w:r>
      <w:r>
        <w:rPr>
          <w:color w:val="auto"/>
          <w:sz w:val="21"/>
          <w:szCs w:val="21"/>
          <w:highlight w:val="none"/>
        </w:rPr>
        <w:fldChar w:fldCharType="end"/>
      </w:r>
      <w:r>
        <w:rPr>
          <w:color w:val="auto"/>
          <w:sz w:val="21"/>
          <w:szCs w:val="21"/>
          <w:highlight w:val="none"/>
        </w:rPr>
        <w:fldChar w:fldCharType="end"/>
      </w:r>
    </w:p>
    <w:p w14:paraId="052DDFAC">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_Toc16654 </w:instrText>
      </w:r>
      <w:r>
        <w:rPr>
          <w:color w:val="auto"/>
          <w:sz w:val="21"/>
          <w:szCs w:val="21"/>
          <w:highlight w:val="none"/>
        </w:rPr>
        <w:fldChar w:fldCharType="separate"/>
      </w:r>
      <w:r>
        <w:rPr>
          <w:rFonts w:hint="eastAsia" w:cs="Times New Roman"/>
          <w:color w:val="auto"/>
          <w:sz w:val="21"/>
          <w:szCs w:val="21"/>
          <w:highlight w:val="none"/>
        </w:rPr>
        <w:t>8.9 主要电力设备选型</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_Toc16654 \h </w:instrText>
      </w:r>
      <w:r>
        <w:rPr>
          <w:color w:val="auto"/>
          <w:sz w:val="21"/>
          <w:szCs w:val="21"/>
          <w:highlight w:val="none"/>
        </w:rPr>
        <w:fldChar w:fldCharType="separate"/>
      </w:r>
      <w:r>
        <w:rPr>
          <w:color w:val="auto"/>
          <w:sz w:val="21"/>
          <w:szCs w:val="21"/>
          <w:highlight w:val="none"/>
        </w:rPr>
        <w:t>127</w:t>
      </w:r>
      <w:r>
        <w:rPr>
          <w:color w:val="auto"/>
          <w:sz w:val="21"/>
          <w:szCs w:val="21"/>
          <w:highlight w:val="none"/>
        </w:rPr>
        <w:fldChar w:fldCharType="end"/>
      </w:r>
      <w:r>
        <w:rPr>
          <w:color w:val="auto"/>
          <w:sz w:val="21"/>
          <w:szCs w:val="21"/>
          <w:highlight w:val="none"/>
        </w:rPr>
        <w:fldChar w:fldCharType="end"/>
      </w:r>
    </w:p>
    <w:p w14:paraId="6B297B77">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_Toc32286 </w:instrText>
      </w:r>
      <w:r>
        <w:rPr>
          <w:color w:val="auto"/>
          <w:sz w:val="21"/>
          <w:szCs w:val="21"/>
          <w:highlight w:val="none"/>
        </w:rPr>
        <w:fldChar w:fldCharType="separate"/>
      </w:r>
      <w:r>
        <w:rPr>
          <w:rFonts w:hint="eastAsia" w:cs="Times New Roman"/>
          <w:color w:val="auto"/>
          <w:sz w:val="21"/>
          <w:szCs w:val="21"/>
          <w:highlight w:val="none"/>
        </w:rPr>
        <w:t>8.10 电缆选型及线路敷设</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_Toc32286 \h </w:instrText>
      </w:r>
      <w:r>
        <w:rPr>
          <w:color w:val="auto"/>
          <w:sz w:val="21"/>
          <w:szCs w:val="21"/>
          <w:highlight w:val="none"/>
        </w:rPr>
        <w:fldChar w:fldCharType="separate"/>
      </w:r>
      <w:r>
        <w:rPr>
          <w:color w:val="auto"/>
          <w:sz w:val="21"/>
          <w:szCs w:val="21"/>
          <w:highlight w:val="none"/>
        </w:rPr>
        <w:t>128</w:t>
      </w:r>
      <w:r>
        <w:rPr>
          <w:color w:val="auto"/>
          <w:sz w:val="21"/>
          <w:szCs w:val="21"/>
          <w:highlight w:val="none"/>
        </w:rPr>
        <w:fldChar w:fldCharType="end"/>
      </w:r>
      <w:r>
        <w:rPr>
          <w:color w:val="auto"/>
          <w:sz w:val="21"/>
          <w:szCs w:val="21"/>
          <w:highlight w:val="none"/>
        </w:rPr>
        <w:fldChar w:fldCharType="end"/>
      </w:r>
    </w:p>
    <w:p w14:paraId="59E2EBD4">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_Toc1432 </w:instrText>
      </w:r>
      <w:r>
        <w:rPr>
          <w:color w:val="auto"/>
          <w:sz w:val="21"/>
          <w:szCs w:val="21"/>
          <w:highlight w:val="none"/>
        </w:rPr>
        <w:fldChar w:fldCharType="separate"/>
      </w:r>
      <w:r>
        <w:rPr>
          <w:rFonts w:hint="eastAsia" w:cs="Times New Roman"/>
          <w:color w:val="auto"/>
          <w:sz w:val="21"/>
          <w:szCs w:val="21"/>
          <w:highlight w:val="none"/>
        </w:rPr>
        <w:t>8.11 火灾报警及防火措施</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_Toc1432 \h </w:instrText>
      </w:r>
      <w:r>
        <w:rPr>
          <w:color w:val="auto"/>
          <w:sz w:val="21"/>
          <w:szCs w:val="21"/>
          <w:highlight w:val="none"/>
        </w:rPr>
        <w:fldChar w:fldCharType="separate"/>
      </w:r>
      <w:r>
        <w:rPr>
          <w:color w:val="auto"/>
          <w:sz w:val="21"/>
          <w:szCs w:val="21"/>
          <w:highlight w:val="none"/>
        </w:rPr>
        <w:t>128</w:t>
      </w:r>
      <w:r>
        <w:rPr>
          <w:color w:val="auto"/>
          <w:sz w:val="21"/>
          <w:szCs w:val="21"/>
          <w:highlight w:val="none"/>
        </w:rPr>
        <w:fldChar w:fldCharType="end"/>
      </w:r>
      <w:r>
        <w:rPr>
          <w:color w:val="auto"/>
          <w:sz w:val="21"/>
          <w:szCs w:val="21"/>
          <w:highlight w:val="none"/>
        </w:rPr>
        <w:fldChar w:fldCharType="end"/>
      </w:r>
    </w:p>
    <w:p w14:paraId="5CC7F384">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_Toc2647 </w:instrText>
      </w:r>
      <w:r>
        <w:rPr>
          <w:color w:val="auto"/>
          <w:sz w:val="21"/>
          <w:szCs w:val="21"/>
          <w:highlight w:val="none"/>
        </w:rPr>
        <w:fldChar w:fldCharType="separate"/>
      </w:r>
      <w:r>
        <w:rPr>
          <w:rFonts w:hint="eastAsia" w:cs="Times New Roman"/>
          <w:color w:val="auto"/>
          <w:sz w:val="21"/>
          <w:szCs w:val="21"/>
          <w:highlight w:val="none"/>
        </w:rPr>
        <w:t>8.12 防震、防雷及接地</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_Toc2647 \h </w:instrText>
      </w:r>
      <w:r>
        <w:rPr>
          <w:color w:val="auto"/>
          <w:sz w:val="21"/>
          <w:szCs w:val="21"/>
          <w:highlight w:val="none"/>
        </w:rPr>
        <w:fldChar w:fldCharType="separate"/>
      </w:r>
      <w:r>
        <w:rPr>
          <w:color w:val="auto"/>
          <w:sz w:val="21"/>
          <w:szCs w:val="21"/>
          <w:highlight w:val="none"/>
        </w:rPr>
        <w:t>129</w:t>
      </w:r>
      <w:r>
        <w:rPr>
          <w:color w:val="auto"/>
          <w:sz w:val="21"/>
          <w:szCs w:val="21"/>
          <w:highlight w:val="none"/>
        </w:rPr>
        <w:fldChar w:fldCharType="end"/>
      </w:r>
      <w:r>
        <w:rPr>
          <w:color w:val="auto"/>
          <w:sz w:val="21"/>
          <w:szCs w:val="21"/>
          <w:highlight w:val="none"/>
        </w:rPr>
        <w:fldChar w:fldCharType="end"/>
      </w:r>
    </w:p>
    <w:p w14:paraId="31DC4EAF">
      <w:pPr>
        <w:pStyle w:val="41"/>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_Toc25863 </w:instrText>
      </w:r>
      <w:r>
        <w:rPr>
          <w:color w:val="auto"/>
          <w:sz w:val="21"/>
          <w:szCs w:val="21"/>
          <w:highlight w:val="none"/>
        </w:rPr>
        <w:fldChar w:fldCharType="separate"/>
      </w:r>
      <w:r>
        <w:rPr>
          <w:rFonts w:hint="eastAsia"/>
          <w:color w:val="auto"/>
          <w:kern w:val="0"/>
          <w:sz w:val="21"/>
          <w:szCs w:val="21"/>
          <w:highlight w:val="none"/>
        </w:rPr>
        <w:t>9 高炉自动化</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_Toc25863 \h </w:instrText>
      </w:r>
      <w:r>
        <w:rPr>
          <w:color w:val="auto"/>
          <w:sz w:val="21"/>
          <w:szCs w:val="21"/>
          <w:highlight w:val="none"/>
        </w:rPr>
        <w:fldChar w:fldCharType="separate"/>
      </w:r>
      <w:r>
        <w:rPr>
          <w:color w:val="auto"/>
          <w:sz w:val="21"/>
          <w:szCs w:val="21"/>
          <w:highlight w:val="none"/>
        </w:rPr>
        <w:t>131</w:t>
      </w:r>
      <w:r>
        <w:rPr>
          <w:color w:val="auto"/>
          <w:sz w:val="21"/>
          <w:szCs w:val="21"/>
          <w:highlight w:val="none"/>
        </w:rPr>
        <w:fldChar w:fldCharType="end"/>
      </w:r>
      <w:r>
        <w:rPr>
          <w:color w:val="auto"/>
          <w:sz w:val="21"/>
          <w:szCs w:val="21"/>
          <w:highlight w:val="none"/>
        </w:rPr>
        <w:fldChar w:fldCharType="end"/>
      </w:r>
    </w:p>
    <w:p w14:paraId="2913F8F8">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_Toc10976 </w:instrText>
      </w:r>
      <w:r>
        <w:rPr>
          <w:color w:val="auto"/>
          <w:sz w:val="21"/>
          <w:szCs w:val="21"/>
          <w:highlight w:val="none"/>
        </w:rPr>
        <w:fldChar w:fldCharType="separate"/>
      </w:r>
      <w:r>
        <w:rPr>
          <w:rFonts w:hint="eastAsia" w:cs="Times New Roman"/>
          <w:color w:val="auto"/>
          <w:sz w:val="21"/>
          <w:szCs w:val="21"/>
          <w:highlight w:val="none"/>
        </w:rPr>
        <w:t>9.1 电气传动</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_Toc10976 \h </w:instrText>
      </w:r>
      <w:r>
        <w:rPr>
          <w:color w:val="auto"/>
          <w:sz w:val="21"/>
          <w:szCs w:val="21"/>
          <w:highlight w:val="none"/>
        </w:rPr>
        <w:fldChar w:fldCharType="separate"/>
      </w:r>
      <w:r>
        <w:rPr>
          <w:color w:val="auto"/>
          <w:sz w:val="21"/>
          <w:szCs w:val="21"/>
          <w:highlight w:val="none"/>
        </w:rPr>
        <w:t>131</w:t>
      </w:r>
      <w:r>
        <w:rPr>
          <w:color w:val="auto"/>
          <w:sz w:val="21"/>
          <w:szCs w:val="21"/>
          <w:highlight w:val="none"/>
        </w:rPr>
        <w:fldChar w:fldCharType="end"/>
      </w:r>
      <w:r>
        <w:rPr>
          <w:color w:val="auto"/>
          <w:sz w:val="21"/>
          <w:szCs w:val="21"/>
          <w:highlight w:val="none"/>
        </w:rPr>
        <w:fldChar w:fldCharType="end"/>
      </w:r>
    </w:p>
    <w:p w14:paraId="0BAC45DC">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_Toc25989 </w:instrText>
      </w:r>
      <w:r>
        <w:rPr>
          <w:color w:val="auto"/>
          <w:sz w:val="21"/>
          <w:szCs w:val="21"/>
          <w:highlight w:val="none"/>
        </w:rPr>
        <w:fldChar w:fldCharType="separate"/>
      </w:r>
      <w:r>
        <w:rPr>
          <w:rFonts w:hint="eastAsia" w:cs="Times New Roman"/>
          <w:color w:val="auto"/>
          <w:sz w:val="21"/>
          <w:szCs w:val="21"/>
          <w:highlight w:val="none"/>
        </w:rPr>
        <w:t>9.2 基础自动化</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_Toc25989 \h </w:instrText>
      </w:r>
      <w:r>
        <w:rPr>
          <w:color w:val="auto"/>
          <w:sz w:val="21"/>
          <w:szCs w:val="21"/>
          <w:highlight w:val="none"/>
        </w:rPr>
        <w:fldChar w:fldCharType="separate"/>
      </w:r>
      <w:r>
        <w:rPr>
          <w:color w:val="auto"/>
          <w:sz w:val="21"/>
          <w:szCs w:val="21"/>
          <w:highlight w:val="none"/>
        </w:rPr>
        <w:t>136</w:t>
      </w:r>
      <w:r>
        <w:rPr>
          <w:color w:val="auto"/>
          <w:sz w:val="21"/>
          <w:szCs w:val="21"/>
          <w:highlight w:val="none"/>
        </w:rPr>
        <w:fldChar w:fldCharType="end"/>
      </w:r>
      <w:r>
        <w:rPr>
          <w:color w:val="auto"/>
          <w:sz w:val="21"/>
          <w:szCs w:val="21"/>
          <w:highlight w:val="none"/>
        </w:rPr>
        <w:fldChar w:fldCharType="end"/>
      </w:r>
    </w:p>
    <w:p w14:paraId="142731FB">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_Toc10038 </w:instrText>
      </w:r>
      <w:r>
        <w:rPr>
          <w:color w:val="auto"/>
          <w:sz w:val="21"/>
          <w:szCs w:val="21"/>
          <w:highlight w:val="none"/>
        </w:rPr>
        <w:fldChar w:fldCharType="separate"/>
      </w:r>
      <w:r>
        <w:rPr>
          <w:rFonts w:hint="eastAsia" w:cs="Times New Roman"/>
          <w:color w:val="auto"/>
          <w:sz w:val="21"/>
          <w:szCs w:val="21"/>
          <w:highlight w:val="none"/>
        </w:rPr>
        <w:t>9.3 过程自动化控制系统（L2）</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_Toc10038 \h </w:instrText>
      </w:r>
      <w:r>
        <w:rPr>
          <w:color w:val="auto"/>
          <w:sz w:val="21"/>
          <w:szCs w:val="21"/>
          <w:highlight w:val="none"/>
        </w:rPr>
        <w:fldChar w:fldCharType="separate"/>
      </w:r>
      <w:r>
        <w:rPr>
          <w:color w:val="auto"/>
          <w:sz w:val="21"/>
          <w:szCs w:val="21"/>
          <w:highlight w:val="none"/>
        </w:rPr>
        <w:t>142</w:t>
      </w:r>
      <w:r>
        <w:rPr>
          <w:color w:val="auto"/>
          <w:sz w:val="21"/>
          <w:szCs w:val="21"/>
          <w:highlight w:val="none"/>
        </w:rPr>
        <w:fldChar w:fldCharType="end"/>
      </w:r>
      <w:r>
        <w:rPr>
          <w:color w:val="auto"/>
          <w:sz w:val="21"/>
          <w:szCs w:val="21"/>
          <w:highlight w:val="none"/>
        </w:rPr>
        <w:fldChar w:fldCharType="end"/>
      </w:r>
    </w:p>
    <w:p w14:paraId="4100C7A6">
      <w:pPr>
        <w:pStyle w:val="41"/>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_Toc2738 </w:instrText>
      </w:r>
      <w:r>
        <w:rPr>
          <w:color w:val="auto"/>
          <w:sz w:val="21"/>
          <w:szCs w:val="21"/>
          <w:highlight w:val="none"/>
        </w:rPr>
        <w:fldChar w:fldCharType="separate"/>
      </w:r>
      <w:r>
        <w:rPr>
          <w:rFonts w:cs="Times New Roman"/>
          <w:color w:val="auto"/>
          <w:sz w:val="21"/>
          <w:szCs w:val="21"/>
          <w:highlight w:val="none"/>
        </w:rPr>
        <w:t>1</w:t>
      </w:r>
      <w:r>
        <w:rPr>
          <w:rFonts w:hint="eastAsia" w:cs="Times New Roman"/>
          <w:color w:val="auto"/>
          <w:sz w:val="21"/>
          <w:szCs w:val="21"/>
          <w:highlight w:val="none"/>
        </w:rPr>
        <w:t>0</w:t>
      </w:r>
      <w:r>
        <w:rPr>
          <w:rFonts w:cs="Times New Roman"/>
          <w:color w:val="auto"/>
          <w:sz w:val="21"/>
          <w:szCs w:val="21"/>
          <w:highlight w:val="none"/>
        </w:rPr>
        <w:t xml:space="preserve"> </w:t>
      </w:r>
      <w:r>
        <w:rPr>
          <w:rFonts w:hint="eastAsia"/>
          <w:bCs/>
          <w:color w:val="auto"/>
          <w:sz w:val="21"/>
          <w:szCs w:val="21"/>
          <w:highlight w:val="none"/>
        </w:rPr>
        <w:t>电讯</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_Toc2738 \h </w:instrText>
      </w:r>
      <w:r>
        <w:rPr>
          <w:color w:val="auto"/>
          <w:sz w:val="21"/>
          <w:szCs w:val="21"/>
          <w:highlight w:val="none"/>
        </w:rPr>
        <w:fldChar w:fldCharType="separate"/>
      </w:r>
      <w:r>
        <w:rPr>
          <w:color w:val="auto"/>
          <w:sz w:val="21"/>
          <w:szCs w:val="21"/>
          <w:highlight w:val="none"/>
        </w:rPr>
        <w:t>145</w:t>
      </w:r>
      <w:r>
        <w:rPr>
          <w:color w:val="auto"/>
          <w:sz w:val="21"/>
          <w:szCs w:val="21"/>
          <w:highlight w:val="none"/>
        </w:rPr>
        <w:fldChar w:fldCharType="end"/>
      </w:r>
      <w:r>
        <w:rPr>
          <w:color w:val="auto"/>
          <w:sz w:val="21"/>
          <w:szCs w:val="21"/>
          <w:highlight w:val="none"/>
        </w:rPr>
        <w:fldChar w:fldCharType="end"/>
      </w:r>
    </w:p>
    <w:p w14:paraId="5E31F4B4">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_Toc11843 </w:instrText>
      </w:r>
      <w:r>
        <w:rPr>
          <w:color w:val="auto"/>
          <w:sz w:val="21"/>
          <w:szCs w:val="21"/>
          <w:highlight w:val="none"/>
        </w:rPr>
        <w:fldChar w:fldCharType="separate"/>
      </w:r>
      <w:r>
        <w:rPr>
          <w:rFonts w:cs="Times New Roman"/>
          <w:color w:val="auto"/>
          <w:sz w:val="21"/>
          <w:szCs w:val="21"/>
          <w:highlight w:val="none"/>
        </w:rPr>
        <w:t>1</w:t>
      </w:r>
      <w:r>
        <w:rPr>
          <w:rFonts w:hint="eastAsia" w:cs="Times New Roman"/>
          <w:color w:val="auto"/>
          <w:sz w:val="21"/>
          <w:szCs w:val="21"/>
          <w:highlight w:val="none"/>
        </w:rPr>
        <w:t>0</w:t>
      </w:r>
      <w:r>
        <w:rPr>
          <w:rFonts w:cs="Times New Roman"/>
          <w:color w:val="auto"/>
          <w:sz w:val="21"/>
          <w:szCs w:val="21"/>
          <w:highlight w:val="none"/>
        </w:rPr>
        <w:t xml:space="preserve">.1 </w:t>
      </w:r>
      <w:r>
        <w:rPr>
          <w:rFonts w:hint="eastAsia" w:cs="Times New Roman"/>
          <w:color w:val="auto"/>
          <w:sz w:val="21"/>
          <w:szCs w:val="21"/>
          <w:highlight w:val="none"/>
        </w:rPr>
        <w:t>概述</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_Toc11843 \h </w:instrText>
      </w:r>
      <w:r>
        <w:rPr>
          <w:color w:val="auto"/>
          <w:sz w:val="21"/>
          <w:szCs w:val="21"/>
          <w:highlight w:val="none"/>
        </w:rPr>
        <w:fldChar w:fldCharType="separate"/>
      </w:r>
      <w:r>
        <w:rPr>
          <w:color w:val="auto"/>
          <w:sz w:val="21"/>
          <w:szCs w:val="21"/>
          <w:highlight w:val="none"/>
        </w:rPr>
        <w:t>145</w:t>
      </w:r>
      <w:r>
        <w:rPr>
          <w:color w:val="auto"/>
          <w:sz w:val="21"/>
          <w:szCs w:val="21"/>
          <w:highlight w:val="none"/>
        </w:rPr>
        <w:fldChar w:fldCharType="end"/>
      </w:r>
      <w:r>
        <w:rPr>
          <w:color w:val="auto"/>
          <w:sz w:val="21"/>
          <w:szCs w:val="21"/>
          <w:highlight w:val="none"/>
        </w:rPr>
        <w:fldChar w:fldCharType="end"/>
      </w:r>
    </w:p>
    <w:p w14:paraId="68DA2714">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_Toc17010 </w:instrText>
      </w:r>
      <w:r>
        <w:rPr>
          <w:color w:val="auto"/>
          <w:sz w:val="21"/>
          <w:szCs w:val="21"/>
          <w:highlight w:val="none"/>
        </w:rPr>
        <w:fldChar w:fldCharType="separate"/>
      </w:r>
      <w:r>
        <w:rPr>
          <w:rFonts w:cs="Times New Roman"/>
          <w:color w:val="auto"/>
          <w:sz w:val="21"/>
          <w:szCs w:val="21"/>
          <w:highlight w:val="none"/>
        </w:rPr>
        <w:t>1</w:t>
      </w:r>
      <w:r>
        <w:rPr>
          <w:rFonts w:hint="eastAsia" w:cs="Times New Roman"/>
          <w:color w:val="auto"/>
          <w:sz w:val="21"/>
          <w:szCs w:val="21"/>
          <w:highlight w:val="none"/>
        </w:rPr>
        <w:t>0</w:t>
      </w:r>
      <w:r>
        <w:rPr>
          <w:rFonts w:cs="Times New Roman"/>
          <w:color w:val="auto"/>
          <w:sz w:val="21"/>
          <w:szCs w:val="21"/>
          <w:highlight w:val="none"/>
        </w:rPr>
        <w:t>.</w:t>
      </w:r>
      <w:r>
        <w:rPr>
          <w:rFonts w:hint="eastAsia" w:cs="Times New Roman"/>
          <w:color w:val="auto"/>
          <w:sz w:val="21"/>
          <w:szCs w:val="21"/>
          <w:highlight w:val="none"/>
        </w:rPr>
        <w:t>2 设计内容</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_Toc17010 \h </w:instrText>
      </w:r>
      <w:r>
        <w:rPr>
          <w:color w:val="auto"/>
          <w:sz w:val="21"/>
          <w:szCs w:val="21"/>
          <w:highlight w:val="none"/>
        </w:rPr>
        <w:fldChar w:fldCharType="separate"/>
      </w:r>
      <w:r>
        <w:rPr>
          <w:color w:val="auto"/>
          <w:sz w:val="21"/>
          <w:szCs w:val="21"/>
          <w:highlight w:val="none"/>
        </w:rPr>
        <w:t>145</w:t>
      </w:r>
      <w:r>
        <w:rPr>
          <w:color w:val="auto"/>
          <w:sz w:val="21"/>
          <w:szCs w:val="21"/>
          <w:highlight w:val="none"/>
        </w:rPr>
        <w:fldChar w:fldCharType="end"/>
      </w:r>
      <w:r>
        <w:rPr>
          <w:color w:val="auto"/>
          <w:sz w:val="21"/>
          <w:szCs w:val="21"/>
          <w:highlight w:val="none"/>
        </w:rPr>
        <w:fldChar w:fldCharType="end"/>
      </w:r>
    </w:p>
    <w:p w14:paraId="07C3382E">
      <w:pPr>
        <w:pStyle w:val="41"/>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_Toc3702 </w:instrText>
      </w:r>
      <w:r>
        <w:rPr>
          <w:color w:val="auto"/>
          <w:sz w:val="21"/>
          <w:szCs w:val="21"/>
          <w:highlight w:val="none"/>
        </w:rPr>
        <w:fldChar w:fldCharType="separate"/>
      </w:r>
      <w:r>
        <w:rPr>
          <w:rFonts w:hint="eastAsia"/>
          <w:color w:val="auto"/>
          <w:sz w:val="21"/>
          <w:szCs w:val="21"/>
          <w:highlight w:val="none"/>
        </w:rPr>
        <w:t>11 过程检测和控制</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_Toc3702 \h </w:instrText>
      </w:r>
      <w:r>
        <w:rPr>
          <w:color w:val="auto"/>
          <w:sz w:val="21"/>
          <w:szCs w:val="21"/>
          <w:highlight w:val="none"/>
        </w:rPr>
        <w:fldChar w:fldCharType="separate"/>
      </w:r>
      <w:r>
        <w:rPr>
          <w:color w:val="auto"/>
          <w:sz w:val="21"/>
          <w:szCs w:val="21"/>
          <w:highlight w:val="none"/>
        </w:rPr>
        <w:t>149</w:t>
      </w:r>
      <w:r>
        <w:rPr>
          <w:color w:val="auto"/>
          <w:sz w:val="21"/>
          <w:szCs w:val="21"/>
          <w:highlight w:val="none"/>
        </w:rPr>
        <w:fldChar w:fldCharType="end"/>
      </w:r>
      <w:r>
        <w:rPr>
          <w:color w:val="auto"/>
          <w:sz w:val="21"/>
          <w:szCs w:val="21"/>
          <w:highlight w:val="none"/>
        </w:rPr>
        <w:fldChar w:fldCharType="end"/>
      </w:r>
    </w:p>
    <w:p w14:paraId="4CD1DD21">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_Toc16676 </w:instrText>
      </w:r>
      <w:r>
        <w:rPr>
          <w:color w:val="auto"/>
          <w:sz w:val="21"/>
          <w:szCs w:val="21"/>
          <w:highlight w:val="none"/>
        </w:rPr>
        <w:fldChar w:fldCharType="separate"/>
      </w:r>
      <w:r>
        <w:rPr>
          <w:rFonts w:hint="eastAsia" w:cs="Times New Roman"/>
          <w:color w:val="auto"/>
          <w:sz w:val="21"/>
          <w:szCs w:val="21"/>
          <w:highlight w:val="none"/>
        </w:rPr>
        <w:t>11.1工程概述</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_Toc16676 \h </w:instrText>
      </w:r>
      <w:r>
        <w:rPr>
          <w:color w:val="auto"/>
          <w:sz w:val="21"/>
          <w:szCs w:val="21"/>
          <w:highlight w:val="none"/>
        </w:rPr>
        <w:fldChar w:fldCharType="separate"/>
      </w:r>
      <w:r>
        <w:rPr>
          <w:color w:val="auto"/>
          <w:sz w:val="21"/>
          <w:szCs w:val="21"/>
          <w:highlight w:val="none"/>
        </w:rPr>
        <w:t>149</w:t>
      </w:r>
      <w:r>
        <w:rPr>
          <w:color w:val="auto"/>
          <w:sz w:val="21"/>
          <w:szCs w:val="21"/>
          <w:highlight w:val="none"/>
        </w:rPr>
        <w:fldChar w:fldCharType="end"/>
      </w:r>
      <w:r>
        <w:rPr>
          <w:color w:val="auto"/>
          <w:sz w:val="21"/>
          <w:szCs w:val="21"/>
          <w:highlight w:val="none"/>
        </w:rPr>
        <w:fldChar w:fldCharType="end"/>
      </w:r>
    </w:p>
    <w:p w14:paraId="4AFE8FB0">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_Toc5015 </w:instrText>
      </w:r>
      <w:r>
        <w:rPr>
          <w:color w:val="auto"/>
          <w:sz w:val="21"/>
          <w:szCs w:val="21"/>
          <w:highlight w:val="none"/>
        </w:rPr>
        <w:fldChar w:fldCharType="separate"/>
      </w:r>
      <w:r>
        <w:rPr>
          <w:rFonts w:hint="eastAsia" w:cs="Times New Roman"/>
          <w:color w:val="auto"/>
          <w:sz w:val="21"/>
          <w:szCs w:val="21"/>
          <w:highlight w:val="none"/>
        </w:rPr>
        <w:t>11.2 设计原则</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_Toc5015 \h </w:instrText>
      </w:r>
      <w:r>
        <w:rPr>
          <w:color w:val="auto"/>
          <w:sz w:val="21"/>
          <w:szCs w:val="21"/>
          <w:highlight w:val="none"/>
        </w:rPr>
        <w:fldChar w:fldCharType="separate"/>
      </w:r>
      <w:r>
        <w:rPr>
          <w:color w:val="auto"/>
          <w:sz w:val="21"/>
          <w:szCs w:val="21"/>
          <w:highlight w:val="none"/>
        </w:rPr>
        <w:t>149</w:t>
      </w:r>
      <w:r>
        <w:rPr>
          <w:color w:val="auto"/>
          <w:sz w:val="21"/>
          <w:szCs w:val="21"/>
          <w:highlight w:val="none"/>
        </w:rPr>
        <w:fldChar w:fldCharType="end"/>
      </w:r>
      <w:r>
        <w:rPr>
          <w:color w:val="auto"/>
          <w:sz w:val="21"/>
          <w:szCs w:val="21"/>
          <w:highlight w:val="none"/>
        </w:rPr>
        <w:fldChar w:fldCharType="end"/>
      </w:r>
    </w:p>
    <w:p w14:paraId="10D5060E">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_Toc4280 </w:instrText>
      </w:r>
      <w:r>
        <w:rPr>
          <w:color w:val="auto"/>
          <w:sz w:val="21"/>
          <w:szCs w:val="21"/>
          <w:highlight w:val="none"/>
        </w:rPr>
        <w:fldChar w:fldCharType="separate"/>
      </w:r>
      <w:r>
        <w:rPr>
          <w:rFonts w:hint="eastAsia" w:cs="Times New Roman"/>
          <w:color w:val="auto"/>
          <w:sz w:val="21"/>
          <w:szCs w:val="21"/>
          <w:highlight w:val="none"/>
        </w:rPr>
        <w:t>11.3 主要检测与控制内容</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_Toc4280 \h </w:instrText>
      </w:r>
      <w:r>
        <w:rPr>
          <w:color w:val="auto"/>
          <w:sz w:val="21"/>
          <w:szCs w:val="21"/>
          <w:highlight w:val="none"/>
        </w:rPr>
        <w:fldChar w:fldCharType="separate"/>
      </w:r>
      <w:r>
        <w:rPr>
          <w:color w:val="auto"/>
          <w:sz w:val="21"/>
          <w:szCs w:val="21"/>
          <w:highlight w:val="none"/>
        </w:rPr>
        <w:t>149</w:t>
      </w:r>
      <w:r>
        <w:rPr>
          <w:color w:val="auto"/>
          <w:sz w:val="21"/>
          <w:szCs w:val="21"/>
          <w:highlight w:val="none"/>
        </w:rPr>
        <w:fldChar w:fldCharType="end"/>
      </w:r>
      <w:r>
        <w:rPr>
          <w:color w:val="auto"/>
          <w:sz w:val="21"/>
          <w:szCs w:val="21"/>
          <w:highlight w:val="none"/>
        </w:rPr>
        <w:fldChar w:fldCharType="end"/>
      </w:r>
    </w:p>
    <w:p w14:paraId="6EBF78A9">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_Toc24595 </w:instrText>
      </w:r>
      <w:r>
        <w:rPr>
          <w:color w:val="auto"/>
          <w:sz w:val="21"/>
          <w:szCs w:val="21"/>
          <w:highlight w:val="none"/>
        </w:rPr>
        <w:fldChar w:fldCharType="separate"/>
      </w:r>
      <w:r>
        <w:rPr>
          <w:rFonts w:hint="eastAsia" w:cs="Times New Roman"/>
          <w:color w:val="auto"/>
          <w:sz w:val="21"/>
          <w:szCs w:val="21"/>
          <w:highlight w:val="none"/>
        </w:rPr>
        <w:t>11.4 仪表选型</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_Toc24595 \h </w:instrText>
      </w:r>
      <w:r>
        <w:rPr>
          <w:color w:val="auto"/>
          <w:sz w:val="21"/>
          <w:szCs w:val="21"/>
          <w:highlight w:val="none"/>
        </w:rPr>
        <w:fldChar w:fldCharType="separate"/>
      </w:r>
      <w:r>
        <w:rPr>
          <w:color w:val="auto"/>
          <w:sz w:val="21"/>
          <w:szCs w:val="21"/>
          <w:highlight w:val="none"/>
        </w:rPr>
        <w:t>154</w:t>
      </w:r>
      <w:r>
        <w:rPr>
          <w:color w:val="auto"/>
          <w:sz w:val="21"/>
          <w:szCs w:val="21"/>
          <w:highlight w:val="none"/>
        </w:rPr>
        <w:fldChar w:fldCharType="end"/>
      </w:r>
      <w:r>
        <w:rPr>
          <w:color w:val="auto"/>
          <w:sz w:val="21"/>
          <w:szCs w:val="21"/>
          <w:highlight w:val="none"/>
        </w:rPr>
        <w:fldChar w:fldCharType="end"/>
      </w:r>
    </w:p>
    <w:p w14:paraId="3A7199D2">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_Toc28984 </w:instrText>
      </w:r>
      <w:r>
        <w:rPr>
          <w:color w:val="auto"/>
          <w:sz w:val="21"/>
          <w:szCs w:val="21"/>
          <w:highlight w:val="none"/>
        </w:rPr>
        <w:fldChar w:fldCharType="separate"/>
      </w:r>
      <w:r>
        <w:rPr>
          <w:rFonts w:hint="eastAsia" w:cs="Times New Roman"/>
          <w:color w:val="auto"/>
          <w:sz w:val="21"/>
          <w:szCs w:val="21"/>
          <w:highlight w:val="none"/>
        </w:rPr>
        <w:t>11.5 仪表盘箱柜</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_Toc28984 \h </w:instrText>
      </w:r>
      <w:r>
        <w:rPr>
          <w:color w:val="auto"/>
          <w:sz w:val="21"/>
          <w:szCs w:val="21"/>
          <w:highlight w:val="none"/>
        </w:rPr>
        <w:fldChar w:fldCharType="separate"/>
      </w:r>
      <w:r>
        <w:rPr>
          <w:color w:val="auto"/>
          <w:sz w:val="21"/>
          <w:szCs w:val="21"/>
          <w:highlight w:val="none"/>
        </w:rPr>
        <w:t>155</w:t>
      </w:r>
      <w:r>
        <w:rPr>
          <w:color w:val="auto"/>
          <w:sz w:val="21"/>
          <w:szCs w:val="21"/>
          <w:highlight w:val="none"/>
        </w:rPr>
        <w:fldChar w:fldCharType="end"/>
      </w:r>
      <w:r>
        <w:rPr>
          <w:color w:val="auto"/>
          <w:sz w:val="21"/>
          <w:szCs w:val="21"/>
          <w:highlight w:val="none"/>
        </w:rPr>
        <w:fldChar w:fldCharType="end"/>
      </w:r>
    </w:p>
    <w:p w14:paraId="77EC621C">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_Toc1498 </w:instrText>
      </w:r>
      <w:r>
        <w:rPr>
          <w:color w:val="auto"/>
          <w:sz w:val="21"/>
          <w:szCs w:val="21"/>
          <w:highlight w:val="none"/>
        </w:rPr>
        <w:fldChar w:fldCharType="separate"/>
      </w:r>
      <w:r>
        <w:rPr>
          <w:rFonts w:hint="eastAsia" w:cs="Times New Roman"/>
          <w:color w:val="auto"/>
          <w:sz w:val="21"/>
          <w:szCs w:val="21"/>
          <w:highlight w:val="none"/>
        </w:rPr>
        <w:t>11.6 其它</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_Toc1498 \h </w:instrText>
      </w:r>
      <w:r>
        <w:rPr>
          <w:color w:val="auto"/>
          <w:sz w:val="21"/>
          <w:szCs w:val="21"/>
          <w:highlight w:val="none"/>
        </w:rPr>
        <w:fldChar w:fldCharType="separate"/>
      </w:r>
      <w:r>
        <w:rPr>
          <w:color w:val="auto"/>
          <w:sz w:val="21"/>
          <w:szCs w:val="21"/>
          <w:highlight w:val="none"/>
        </w:rPr>
        <w:t>155</w:t>
      </w:r>
      <w:r>
        <w:rPr>
          <w:color w:val="auto"/>
          <w:sz w:val="21"/>
          <w:szCs w:val="21"/>
          <w:highlight w:val="none"/>
        </w:rPr>
        <w:fldChar w:fldCharType="end"/>
      </w:r>
      <w:r>
        <w:rPr>
          <w:color w:val="auto"/>
          <w:sz w:val="21"/>
          <w:szCs w:val="21"/>
          <w:highlight w:val="none"/>
        </w:rPr>
        <w:fldChar w:fldCharType="end"/>
      </w:r>
    </w:p>
    <w:p w14:paraId="51C11C4F">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_Toc24247 </w:instrText>
      </w:r>
      <w:r>
        <w:rPr>
          <w:color w:val="auto"/>
          <w:sz w:val="21"/>
          <w:szCs w:val="21"/>
          <w:highlight w:val="none"/>
        </w:rPr>
        <w:fldChar w:fldCharType="separate"/>
      </w:r>
      <w:r>
        <w:rPr>
          <w:rFonts w:hint="eastAsia" w:cs="Times New Roman"/>
          <w:color w:val="auto"/>
          <w:sz w:val="21"/>
          <w:szCs w:val="21"/>
          <w:highlight w:val="none"/>
        </w:rPr>
        <w:t>11.7 控制室设置</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_Toc24247 \h </w:instrText>
      </w:r>
      <w:r>
        <w:rPr>
          <w:color w:val="auto"/>
          <w:sz w:val="21"/>
          <w:szCs w:val="21"/>
          <w:highlight w:val="none"/>
        </w:rPr>
        <w:fldChar w:fldCharType="separate"/>
      </w:r>
      <w:r>
        <w:rPr>
          <w:color w:val="auto"/>
          <w:sz w:val="21"/>
          <w:szCs w:val="21"/>
          <w:highlight w:val="none"/>
        </w:rPr>
        <w:t>156</w:t>
      </w:r>
      <w:r>
        <w:rPr>
          <w:color w:val="auto"/>
          <w:sz w:val="21"/>
          <w:szCs w:val="21"/>
          <w:highlight w:val="none"/>
        </w:rPr>
        <w:fldChar w:fldCharType="end"/>
      </w:r>
      <w:r>
        <w:rPr>
          <w:color w:val="auto"/>
          <w:sz w:val="21"/>
          <w:szCs w:val="21"/>
          <w:highlight w:val="none"/>
        </w:rPr>
        <w:fldChar w:fldCharType="end"/>
      </w:r>
    </w:p>
    <w:p w14:paraId="1AD3F8E0">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_Toc774 </w:instrText>
      </w:r>
      <w:r>
        <w:rPr>
          <w:color w:val="auto"/>
          <w:sz w:val="21"/>
          <w:szCs w:val="21"/>
          <w:highlight w:val="none"/>
        </w:rPr>
        <w:fldChar w:fldCharType="separate"/>
      </w:r>
      <w:r>
        <w:rPr>
          <w:rFonts w:hint="eastAsia" w:cs="Times New Roman"/>
          <w:color w:val="auto"/>
          <w:sz w:val="21"/>
          <w:szCs w:val="21"/>
          <w:highlight w:val="none"/>
        </w:rPr>
        <w:t>11.8 电源</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_Toc774 \h </w:instrText>
      </w:r>
      <w:r>
        <w:rPr>
          <w:color w:val="auto"/>
          <w:sz w:val="21"/>
          <w:szCs w:val="21"/>
          <w:highlight w:val="none"/>
        </w:rPr>
        <w:fldChar w:fldCharType="separate"/>
      </w:r>
      <w:r>
        <w:rPr>
          <w:color w:val="auto"/>
          <w:sz w:val="21"/>
          <w:szCs w:val="21"/>
          <w:highlight w:val="none"/>
        </w:rPr>
        <w:t>156</w:t>
      </w:r>
      <w:r>
        <w:rPr>
          <w:color w:val="auto"/>
          <w:sz w:val="21"/>
          <w:szCs w:val="21"/>
          <w:highlight w:val="none"/>
        </w:rPr>
        <w:fldChar w:fldCharType="end"/>
      </w:r>
      <w:r>
        <w:rPr>
          <w:color w:val="auto"/>
          <w:sz w:val="21"/>
          <w:szCs w:val="21"/>
          <w:highlight w:val="none"/>
        </w:rPr>
        <w:fldChar w:fldCharType="end"/>
      </w:r>
    </w:p>
    <w:p w14:paraId="30BDD5E0">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_Toc28630 </w:instrText>
      </w:r>
      <w:r>
        <w:rPr>
          <w:color w:val="auto"/>
          <w:sz w:val="21"/>
          <w:szCs w:val="21"/>
          <w:highlight w:val="none"/>
        </w:rPr>
        <w:fldChar w:fldCharType="separate"/>
      </w:r>
      <w:r>
        <w:rPr>
          <w:rFonts w:hint="eastAsia" w:cs="Times New Roman"/>
          <w:color w:val="auto"/>
          <w:sz w:val="21"/>
          <w:szCs w:val="21"/>
          <w:highlight w:val="none"/>
        </w:rPr>
        <w:t>11.9 检测设备气源</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_Toc28630 \h </w:instrText>
      </w:r>
      <w:r>
        <w:rPr>
          <w:color w:val="auto"/>
          <w:sz w:val="21"/>
          <w:szCs w:val="21"/>
          <w:highlight w:val="none"/>
        </w:rPr>
        <w:fldChar w:fldCharType="separate"/>
      </w:r>
      <w:r>
        <w:rPr>
          <w:color w:val="auto"/>
          <w:sz w:val="21"/>
          <w:szCs w:val="21"/>
          <w:highlight w:val="none"/>
        </w:rPr>
        <w:t>156</w:t>
      </w:r>
      <w:r>
        <w:rPr>
          <w:color w:val="auto"/>
          <w:sz w:val="21"/>
          <w:szCs w:val="21"/>
          <w:highlight w:val="none"/>
        </w:rPr>
        <w:fldChar w:fldCharType="end"/>
      </w:r>
      <w:r>
        <w:rPr>
          <w:color w:val="auto"/>
          <w:sz w:val="21"/>
          <w:szCs w:val="21"/>
          <w:highlight w:val="none"/>
        </w:rPr>
        <w:fldChar w:fldCharType="end"/>
      </w:r>
    </w:p>
    <w:p w14:paraId="1F2AF51A">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_Toc10468 </w:instrText>
      </w:r>
      <w:r>
        <w:rPr>
          <w:color w:val="auto"/>
          <w:sz w:val="21"/>
          <w:szCs w:val="21"/>
          <w:highlight w:val="none"/>
        </w:rPr>
        <w:fldChar w:fldCharType="separate"/>
      </w:r>
      <w:r>
        <w:rPr>
          <w:rFonts w:hint="eastAsia" w:cs="Times New Roman"/>
          <w:color w:val="auto"/>
          <w:sz w:val="21"/>
          <w:szCs w:val="21"/>
          <w:highlight w:val="none"/>
        </w:rPr>
        <w:t>11.10 仪表及管线伴热和绝热保温</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_Toc10468 \h </w:instrText>
      </w:r>
      <w:r>
        <w:rPr>
          <w:color w:val="auto"/>
          <w:sz w:val="21"/>
          <w:szCs w:val="21"/>
          <w:highlight w:val="none"/>
        </w:rPr>
        <w:fldChar w:fldCharType="separate"/>
      </w:r>
      <w:r>
        <w:rPr>
          <w:color w:val="auto"/>
          <w:sz w:val="21"/>
          <w:szCs w:val="21"/>
          <w:highlight w:val="none"/>
        </w:rPr>
        <w:t>156</w:t>
      </w:r>
      <w:r>
        <w:rPr>
          <w:color w:val="auto"/>
          <w:sz w:val="21"/>
          <w:szCs w:val="21"/>
          <w:highlight w:val="none"/>
        </w:rPr>
        <w:fldChar w:fldCharType="end"/>
      </w:r>
      <w:r>
        <w:rPr>
          <w:color w:val="auto"/>
          <w:sz w:val="21"/>
          <w:szCs w:val="21"/>
          <w:highlight w:val="none"/>
        </w:rPr>
        <w:fldChar w:fldCharType="end"/>
      </w:r>
    </w:p>
    <w:p w14:paraId="22910892">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_Toc6448 </w:instrText>
      </w:r>
      <w:r>
        <w:rPr>
          <w:color w:val="auto"/>
          <w:sz w:val="21"/>
          <w:szCs w:val="21"/>
          <w:highlight w:val="none"/>
        </w:rPr>
        <w:fldChar w:fldCharType="separate"/>
      </w:r>
      <w:r>
        <w:rPr>
          <w:rFonts w:hint="eastAsia" w:cs="Times New Roman"/>
          <w:color w:val="auto"/>
          <w:sz w:val="21"/>
          <w:szCs w:val="21"/>
          <w:highlight w:val="none"/>
        </w:rPr>
        <w:t>11.11 接地</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_Toc6448 \h </w:instrText>
      </w:r>
      <w:r>
        <w:rPr>
          <w:color w:val="auto"/>
          <w:sz w:val="21"/>
          <w:szCs w:val="21"/>
          <w:highlight w:val="none"/>
        </w:rPr>
        <w:fldChar w:fldCharType="separate"/>
      </w:r>
      <w:r>
        <w:rPr>
          <w:color w:val="auto"/>
          <w:sz w:val="21"/>
          <w:szCs w:val="21"/>
          <w:highlight w:val="none"/>
        </w:rPr>
        <w:t>156</w:t>
      </w:r>
      <w:r>
        <w:rPr>
          <w:color w:val="auto"/>
          <w:sz w:val="21"/>
          <w:szCs w:val="21"/>
          <w:highlight w:val="none"/>
        </w:rPr>
        <w:fldChar w:fldCharType="end"/>
      </w:r>
      <w:r>
        <w:rPr>
          <w:color w:val="auto"/>
          <w:sz w:val="21"/>
          <w:szCs w:val="21"/>
          <w:highlight w:val="none"/>
        </w:rPr>
        <w:fldChar w:fldCharType="end"/>
      </w:r>
    </w:p>
    <w:p w14:paraId="6856D02C">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_Toc26645 </w:instrText>
      </w:r>
      <w:r>
        <w:rPr>
          <w:color w:val="auto"/>
          <w:sz w:val="21"/>
          <w:szCs w:val="21"/>
          <w:highlight w:val="none"/>
        </w:rPr>
        <w:fldChar w:fldCharType="separate"/>
      </w:r>
      <w:r>
        <w:rPr>
          <w:rFonts w:hint="eastAsia" w:cs="Times New Roman"/>
          <w:color w:val="auto"/>
          <w:sz w:val="21"/>
          <w:szCs w:val="21"/>
          <w:highlight w:val="none"/>
        </w:rPr>
        <w:t>11.12电缆选型、敷设及其防干扰措施</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_Toc26645 \h </w:instrText>
      </w:r>
      <w:r>
        <w:rPr>
          <w:color w:val="auto"/>
          <w:sz w:val="21"/>
          <w:szCs w:val="21"/>
          <w:highlight w:val="none"/>
        </w:rPr>
        <w:fldChar w:fldCharType="separate"/>
      </w:r>
      <w:r>
        <w:rPr>
          <w:color w:val="auto"/>
          <w:sz w:val="21"/>
          <w:szCs w:val="21"/>
          <w:highlight w:val="none"/>
        </w:rPr>
        <w:t>156</w:t>
      </w:r>
      <w:r>
        <w:rPr>
          <w:color w:val="auto"/>
          <w:sz w:val="21"/>
          <w:szCs w:val="21"/>
          <w:highlight w:val="none"/>
        </w:rPr>
        <w:fldChar w:fldCharType="end"/>
      </w:r>
      <w:r>
        <w:rPr>
          <w:color w:val="auto"/>
          <w:sz w:val="21"/>
          <w:szCs w:val="21"/>
          <w:highlight w:val="none"/>
        </w:rPr>
        <w:fldChar w:fldCharType="end"/>
      </w:r>
    </w:p>
    <w:p w14:paraId="2E004E5E">
      <w:pPr>
        <w:pStyle w:val="41"/>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_Toc1396 </w:instrText>
      </w:r>
      <w:r>
        <w:rPr>
          <w:color w:val="auto"/>
          <w:sz w:val="21"/>
          <w:szCs w:val="21"/>
          <w:highlight w:val="none"/>
        </w:rPr>
        <w:fldChar w:fldCharType="separate"/>
      </w:r>
      <w:r>
        <w:rPr>
          <w:rFonts w:hint="eastAsia"/>
          <w:color w:val="auto"/>
          <w:sz w:val="21"/>
          <w:szCs w:val="21"/>
          <w:highlight w:val="none"/>
        </w:rPr>
        <w:t>12 总图</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_Toc1396 \h </w:instrText>
      </w:r>
      <w:r>
        <w:rPr>
          <w:color w:val="auto"/>
          <w:sz w:val="21"/>
          <w:szCs w:val="21"/>
          <w:highlight w:val="none"/>
        </w:rPr>
        <w:fldChar w:fldCharType="separate"/>
      </w:r>
      <w:r>
        <w:rPr>
          <w:color w:val="auto"/>
          <w:sz w:val="21"/>
          <w:szCs w:val="21"/>
          <w:highlight w:val="none"/>
        </w:rPr>
        <w:t>158</w:t>
      </w:r>
      <w:r>
        <w:rPr>
          <w:color w:val="auto"/>
          <w:sz w:val="21"/>
          <w:szCs w:val="21"/>
          <w:highlight w:val="none"/>
        </w:rPr>
        <w:fldChar w:fldCharType="end"/>
      </w:r>
      <w:r>
        <w:rPr>
          <w:color w:val="auto"/>
          <w:sz w:val="21"/>
          <w:szCs w:val="21"/>
          <w:highlight w:val="none"/>
        </w:rPr>
        <w:fldChar w:fldCharType="end"/>
      </w:r>
    </w:p>
    <w:p w14:paraId="0AD1C7D1">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_Toc4833 </w:instrText>
      </w:r>
      <w:r>
        <w:rPr>
          <w:color w:val="auto"/>
          <w:sz w:val="21"/>
          <w:szCs w:val="21"/>
          <w:highlight w:val="none"/>
        </w:rPr>
        <w:fldChar w:fldCharType="separate"/>
      </w:r>
      <w:r>
        <w:rPr>
          <w:rFonts w:hint="eastAsia" w:ascii="Times New Roman" w:hAnsi="Times New Roman"/>
          <w:color w:val="auto"/>
          <w:sz w:val="21"/>
          <w:szCs w:val="21"/>
          <w:highlight w:val="none"/>
        </w:rPr>
        <w:t>12</w:t>
      </w:r>
      <w:r>
        <w:rPr>
          <w:rFonts w:ascii="Times New Roman" w:hAnsi="Times New Roman"/>
          <w:color w:val="auto"/>
          <w:sz w:val="21"/>
          <w:szCs w:val="21"/>
          <w:highlight w:val="none"/>
        </w:rPr>
        <w:t>.1 概述</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_Toc4833 \h </w:instrText>
      </w:r>
      <w:r>
        <w:rPr>
          <w:color w:val="auto"/>
          <w:sz w:val="21"/>
          <w:szCs w:val="21"/>
          <w:highlight w:val="none"/>
        </w:rPr>
        <w:fldChar w:fldCharType="separate"/>
      </w:r>
      <w:r>
        <w:rPr>
          <w:color w:val="auto"/>
          <w:sz w:val="21"/>
          <w:szCs w:val="21"/>
          <w:highlight w:val="none"/>
        </w:rPr>
        <w:t>158</w:t>
      </w:r>
      <w:r>
        <w:rPr>
          <w:color w:val="auto"/>
          <w:sz w:val="21"/>
          <w:szCs w:val="21"/>
          <w:highlight w:val="none"/>
        </w:rPr>
        <w:fldChar w:fldCharType="end"/>
      </w:r>
      <w:r>
        <w:rPr>
          <w:color w:val="auto"/>
          <w:sz w:val="21"/>
          <w:szCs w:val="21"/>
          <w:highlight w:val="none"/>
        </w:rPr>
        <w:fldChar w:fldCharType="end"/>
      </w:r>
    </w:p>
    <w:p w14:paraId="6097A12D">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_Toc28400 </w:instrText>
      </w:r>
      <w:r>
        <w:rPr>
          <w:color w:val="auto"/>
          <w:sz w:val="21"/>
          <w:szCs w:val="21"/>
          <w:highlight w:val="none"/>
        </w:rPr>
        <w:fldChar w:fldCharType="separate"/>
      </w:r>
      <w:r>
        <w:rPr>
          <w:rFonts w:hint="eastAsia" w:ascii="Times New Roman" w:hAnsi="Times New Roman"/>
          <w:color w:val="auto"/>
          <w:sz w:val="21"/>
          <w:szCs w:val="21"/>
          <w:highlight w:val="none"/>
        </w:rPr>
        <w:t>12</w:t>
      </w:r>
      <w:r>
        <w:rPr>
          <w:rFonts w:ascii="Times New Roman" w:hAnsi="Times New Roman"/>
          <w:color w:val="auto"/>
          <w:sz w:val="21"/>
          <w:szCs w:val="21"/>
          <w:highlight w:val="none"/>
        </w:rPr>
        <w:t>.2 总平面布置</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_Toc28400 \h </w:instrText>
      </w:r>
      <w:r>
        <w:rPr>
          <w:color w:val="auto"/>
          <w:sz w:val="21"/>
          <w:szCs w:val="21"/>
          <w:highlight w:val="none"/>
        </w:rPr>
        <w:fldChar w:fldCharType="separate"/>
      </w:r>
      <w:r>
        <w:rPr>
          <w:color w:val="auto"/>
          <w:sz w:val="21"/>
          <w:szCs w:val="21"/>
          <w:highlight w:val="none"/>
        </w:rPr>
        <w:t>160</w:t>
      </w:r>
      <w:r>
        <w:rPr>
          <w:color w:val="auto"/>
          <w:sz w:val="21"/>
          <w:szCs w:val="21"/>
          <w:highlight w:val="none"/>
        </w:rPr>
        <w:fldChar w:fldCharType="end"/>
      </w:r>
      <w:r>
        <w:rPr>
          <w:color w:val="auto"/>
          <w:sz w:val="21"/>
          <w:szCs w:val="21"/>
          <w:highlight w:val="none"/>
        </w:rPr>
        <w:fldChar w:fldCharType="end"/>
      </w:r>
    </w:p>
    <w:p w14:paraId="2D5FDCA9">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_Toc28399 </w:instrText>
      </w:r>
      <w:r>
        <w:rPr>
          <w:color w:val="auto"/>
          <w:sz w:val="21"/>
          <w:szCs w:val="21"/>
          <w:highlight w:val="none"/>
        </w:rPr>
        <w:fldChar w:fldCharType="separate"/>
      </w:r>
      <w:r>
        <w:rPr>
          <w:rFonts w:hint="eastAsia" w:ascii="Times New Roman" w:hAnsi="Times New Roman"/>
          <w:color w:val="auto"/>
          <w:sz w:val="21"/>
          <w:szCs w:val="21"/>
          <w:highlight w:val="none"/>
        </w:rPr>
        <w:t>12</w:t>
      </w:r>
      <w:r>
        <w:rPr>
          <w:rFonts w:ascii="Times New Roman" w:hAnsi="Times New Roman"/>
          <w:color w:val="auto"/>
          <w:sz w:val="21"/>
          <w:szCs w:val="21"/>
          <w:highlight w:val="none"/>
        </w:rPr>
        <w:t>.3 竖向及排雨水</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_Toc28399 \h </w:instrText>
      </w:r>
      <w:r>
        <w:rPr>
          <w:color w:val="auto"/>
          <w:sz w:val="21"/>
          <w:szCs w:val="21"/>
          <w:highlight w:val="none"/>
        </w:rPr>
        <w:fldChar w:fldCharType="separate"/>
      </w:r>
      <w:r>
        <w:rPr>
          <w:color w:val="auto"/>
          <w:sz w:val="21"/>
          <w:szCs w:val="21"/>
          <w:highlight w:val="none"/>
        </w:rPr>
        <w:t>160</w:t>
      </w:r>
      <w:r>
        <w:rPr>
          <w:color w:val="auto"/>
          <w:sz w:val="21"/>
          <w:szCs w:val="21"/>
          <w:highlight w:val="none"/>
        </w:rPr>
        <w:fldChar w:fldCharType="end"/>
      </w:r>
      <w:r>
        <w:rPr>
          <w:color w:val="auto"/>
          <w:sz w:val="21"/>
          <w:szCs w:val="21"/>
          <w:highlight w:val="none"/>
        </w:rPr>
        <w:fldChar w:fldCharType="end"/>
      </w:r>
    </w:p>
    <w:p w14:paraId="02C99DF7">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_Toc3804 </w:instrText>
      </w:r>
      <w:r>
        <w:rPr>
          <w:color w:val="auto"/>
          <w:sz w:val="21"/>
          <w:szCs w:val="21"/>
          <w:highlight w:val="none"/>
        </w:rPr>
        <w:fldChar w:fldCharType="separate"/>
      </w:r>
      <w:r>
        <w:rPr>
          <w:rFonts w:hint="eastAsia" w:ascii="Times New Roman" w:hAnsi="Times New Roman"/>
          <w:color w:val="auto"/>
          <w:sz w:val="21"/>
          <w:szCs w:val="21"/>
          <w:highlight w:val="none"/>
        </w:rPr>
        <w:t>12</w:t>
      </w:r>
      <w:r>
        <w:rPr>
          <w:rFonts w:ascii="Times New Roman" w:hAnsi="Times New Roman"/>
          <w:color w:val="auto"/>
          <w:sz w:val="21"/>
          <w:szCs w:val="21"/>
          <w:highlight w:val="none"/>
        </w:rPr>
        <w:t>.4 运输设计</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_Toc3804 \h </w:instrText>
      </w:r>
      <w:r>
        <w:rPr>
          <w:color w:val="auto"/>
          <w:sz w:val="21"/>
          <w:szCs w:val="21"/>
          <w:highlight w:val="none"/>
        </w:rPr>
        <w:fldChar w:fldCharType="separate"/>
      </w:r>
      <w:r>
        <w:rPr>
          <w:color w:val="auto"/>
          <w:sz w:val="21"/>
          <w:szCs w:val="21"/>
          <w:highlight w:val="none"/>
        </w:rPr>
        <w:t>161</w:t>
      </w:r>
      <w:r>
        <w:rPr>
          <w:color w:val="auto"/>
          <w:sz w:val="21"/>
          <w:szCs w:val="21"/>
          <w:highlight w:val="none"/>
        </w:rPr>
        <w:fldChar w:fldCharType="end"/>
      </w:r>
      <w:r>
        <w:rPr>
          <w:color w:val="auto"/>
          <w:sz w:val="21"/>
          <w:szCs w:val="21"/>
          <w:highlight w:val="none"/>
        </w:rPr>
        <w:fldChar w:fldCharType="end"/>
      </w:r>
    </w:p>
    <w:p w14:paraId="0A14BB68">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_Toc31236 </w:instrText>
      </w:r>
      <w:r>
        <w:rPr>
          <w:color w:val="auto"/>
          <w:sz w:val="21"/>
          <w:szCs w:val="21"/>
          <w:highlight w:val="none"/>
        </w:rPr>
        <w:fldChar w:fldCharType="separate"/>
      </w:r>
      <w:r>
        <w:rPr>
          <w:rFonts w:hint="eastAsia" w:ascii="Times New Roman" w:hAnsi="Times New Roman"/>
          <w:color w:val="auto"/>
          <w:sz w:val="21"/>
          <w:szCs w:val="21"/>
          <w:highlight w:val="none"/>
        </w:rPr>
        <w:t>12</w:t>
      </w:r>
      <w:r>
        <w:rPr>
          <w:rFonts w:ascii="Times New Roman" w:hAnsi="Times New Roman"/>
          <w:color w:val="auto"/>
          <w:sz w:val="21"/>
          <w:szCs w:val="21"/>
          <w:highlight w:val="none"/>
        </w:rPr>
        <w:t>.5消防和绿化</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_Toc31236 \h </w:instrText>
      </w:r>
      <w:r>
        <w:rPr>
          <w:color w:val="auto"/>
          <w:sz w:val="21"/>
          <w:szCs w:val="21"/>
          <w:highlight w:val="none"/>
        </w:rPr>
        <w:fldChar w:fldCharType="separate"/>
      </w:r>
      <w:r>
        <w:rPr>
          <w:color w:val="auto"/>
          <w:sz w:val="21"/>
          <w:szCs w:val="21"/>
          <w:highlight w:val="none"/>
        </w:rPr>
        <w:t>162</w:t>
      </w:r>
      <w:r>
        <w:rPr>
          <w:color w:val="auto"/>
          <w:sz w:val="21"/>
          <w:szCs w:val="21"/>
          <w:highlight w:val="none"/>
        </w:rPr>
        <w:fldChar w:fldCharType="end"/>
      </w:r>
      <w:r>
        <w:rPr>
          <w:color w:val="auto"/>
          <w:sz w:val="21"/>
          <w:szCs w:val="21"/>
          <w:highlight w:val="none"/>
        </w:rPr>
        <w:fldChar w:fldCharType="end"/>
      </w:r>
    </w:p>
    <w:p w14:paraId="7DE09112">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_Toc6063 </w:instrText>
      </w:r>
      <w:r>
        <w:rPr>
          <w:color w:val="auto"/>
          <w:sz w:val="21"/>
          <w:szCs w:val="21"/>
          <w:highlight w:val="none"/>
        </w:rPr>
        <w:fldChar w:fldCharType="separate"/>
      </w:r>
      <w:r>
        <w:rPr>
          <w:rFonts w:hint="eastAsia" w:ascii="Times New Roman" w:hAnsi="Times New Roman" w:cs="Times New Roman"/>
          <w:color w:val="auto"/>
          <w:sz w:val="21"/>
          <w:szCs w:val="21"/>
          <w:highlight w:val="none"/>
        </w:rPr>
        <w:t>12</w:t>
      </w:r>
      <w:r>
        <w:rPr>
          <w:rFonts w:ascii="Times New Roman" w:hAnsi="Times New Roman" w:cs="Times New Roman"/>
          <w:color w:val="auto"/>
          <w:sz w:val="21"/>
          <w:szCs w:val="21"/>
          <w:highlight w:val="none"/>
        </w:rPr>
        <w:t>.6 主要工程量及经济技术指标</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_Toc6063 \h </w:instrText>
      </w:r>
      <w:r>
        <w:rPr>
          <w:color w:val="auto"/>
          <w:sz w:val="21"/>
          <w:szCs w:val="21"/>
          <w:highlight w:val="none"/>
        </w:rPr>
        <w:fldChar w:fldCharType="separate"/>
      </w:r>
      <w:r>
        <w:rPr>
          <w:color w:val="auto"/>
          <w:sz w:val="21"/>
          <w:szCs w:val="21"/>
          <w:highlight w:val="none"/>
        </w:rPr>
        <w:t>162</w:t>
      </w:r>
      <w:r>
        <w:rPr>
          <w:color w:val="auto"/>
          <w:sz w:val="21"/>
          <w:szCs w:val="21"/>
          <w:highlight w:val="none"/>
        </w:rPr>
        <w:fldChar w:fldCharType="end"/>
      </w:r>
      <w:r>
        <w:rPr>
          <w:color w:val="auto"/>
          <w:sz w:val="21"/>
          <w:szCs w:val="21"/>
          <w:highlight w:val="none"/>
        </w:rPr>
        <w:fldChar w:fldCharType="end"/>
      </w:r>
    </w:p>
    <w:p w14:paraId="2FD8D70A">
      <w:pPr>
        <w:pStyle w:val="41"/>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_Toc8568 </w:instrText>
      </w:r>
      <w:r>
        <w:rPr>
          <w:color w:val="auto"/>
          <w:sz w:val="21"/>
          <w:szCs w:val="21"/>
          <w:highlight w:val="none"/>
        </w:rPr>
        <w:fldChar w:fldCharType="separate"/>
      </w:r>
      <w:r>
        <w:rPr>
          <w:rFonts w:hint="eastAsia" w:ascii="Times New Roman" w:hAnsi="Times New Roman" w:cs="Times New Roman"/>
          <w:color w:val="auto"/>
          <w:kern w:val="0"/>
          <w:sz w:val="21"/>
          <w:szCs w:val="21"/>
          <w:highlight w:val="none"/>
        </w:rPr>
        <w:t>13 建筑与结构</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_Toc8568 \h </w:instrText>
      </w:r>
      <w:r>
        <w:rPr>
          <w:color w:val="auto"/>
          <w:sz w:val="21"/>
          <w:szCs w:val="21"/>
          <w:highlight w:val="none"/>
        </w:rPr>
        <w:fldChar w:fldCharType="separate"/>
      </w:r>
      <w:r>
        <w:rPr>
          <w:color w:val="auto"/>
          <w:sz w:val="21"/>
          <w:szCs w:val="21"/>
          <w:highlight w:val="none"/>
        </w:rPr>
        <w:t>164</w:t>
      </w:r>
      <w:r>
        <w:rPr>
          <w:color w:val="auto"/>
          <w:sz w:val="21"/>
          <w:szCs w:val="21"/>
          <w:highlight w:val="none"/>
        </w:rPr>
        <w:fldChar w:fldCharType="end"/>
      </w:r>
      <w:r>
        <w:rPr>
          <w:color w:val="auto"/>
          <w:sz w:val="21"/>
          <w:szCs w:val="21"/>
          <w:highlight w:val="none"/>
        </w:rPr>
        <w:fldChar w:fldCharType="end"/>
      </w:r>
    </w:p>
    <w:p w14:paraId="46B40C96">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_Toc6960 </w:instrText>
      </w:r>
      <w:r>
        <w:rPr>
          <w:color w:val="auto"/>
          <w:sz w:val="21"/>
          <w:szCs w:val="21"/>
          <w:highlight w:val="none"/>
        </w:rPr>
        <w:fldChar w:fldCharType="separate"/>
      </w:r>
      <w:r>
        <w:rPr>
          <w:rFonts w:hint="eastAsia" w:cs="Times New Roman"/>
          <w:color w:val="auto"/>
          <w:sz w:val="21"/>
          <w:szCs w:val="21"/>
          <w:highlight w:val="none"/>
        </w:rPr>
        <w:t>13.1 工程依据</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_Toc6960 \h </w:instrText>
      </w:r>
      <w:r>
        <w:rPr>
          <w:color w:val="auto"/>
          <w:sz w:val="21"/>
          <w:szCs w:val="21"/>
          <w:highlight w:val="none"/>
        </w:rPr>
        <w:fldChar w:fldCharType="separate"/>
      </w:r>
      <w:r>
        <w:rPr>
          <w:color w:val="auto"/>
          <w:sz w:val="21"/>
          <w:szCs w:val="21"/>
          <w:highlight w:val="none"/>
        </w:rPr>
        <w:t>164</w:t>
      </w:r>
      <w:r>
        <w:rPr>
          <w:color w:val="auto"/>
          <w:sz w:val="21"/>
          <w:szCs w:val="21"/>
          <w:highlight w:val="none"/>
        </w:rPr>
        <w:fldChar w:fldCharType="end"/>
      </w:r>
      <w:r>
        <w:rPr>
          <w:color w:val="auto"/>
          <w:sz w:val="21"/>
          <w:szCs w:val="21"/>
          <w:highlight w:val="none"/>
        </w:rPr>
        <w:fldChar w:fldCharType="end"/>
      </w:r>
    </w:p>
    <w:p w14:paraId="5FB66F1A">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_Toc27258 </w:instrText>
      </w:r>
      <w:r>
        <w:rPr>
          <w:color w:val="auto"/>
          <w:sz w:val="21"/>
          <w:szCs w:val="21"/>
          <w:highlight w:val="none"/>
        </w:rPr>
        <w:fldChar w:fldCharType="separate"/>
      </w:r>
      <w:r>
        <w:rPr>
          <w:rFonts w:hint="eastAsia" w:cs="Times New Roman"/>
          <w:color w:val="auto"/>
          <w:sz w:val="21"/>
          <w:szCs w:val="21"/>
          <w:highlight w:val="none"/>
        </w:rPr>
        <w:t>13.2 主要设计参数</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_Toc27258 \h </w:instrText>
      </w:r>
      <w:r>
        <w:rPr>
          <w:color w:val="auto"/>
          <w:sz w:val="21"/>
          <w:szCs w:val="21"/>
          <w:highlight w:val="none"/>
        </w:rPr>
        <w:fldChar w:fldCharType="separate"/>
      </w:r>
      <w:r>
        <w:rPr>
          <w:color w:val="auto"/>
          <w:sz w:val="21"/>
          <w:szCs w:val="21"/>
          <w:highlight w:val="none"/>
        </w:rPr>
        <w:t>165</w:t>
      </w:r>
      <w:r>
        <w:rPr>
          <w:color w:val="auto"/>
          <w:sz w:val="21"/>
          <w:szCs w:val="21"/>
          <w:highlight w:val="none"/>
        </w:rPr>
        <w:fldChar w:fldCharType="end"/>
      </w:r>
      <w:r>
        <w:rPr>
          <w:color w:val="auto"/>
          <w:sz w:val="21"/>
          <w:szCs w:val="21"/>
          <w:highlight w:val="none"/>
        </w:rPr>
        <w:fldChar w:fldCharType="end"/>
      </w:r>
    </w:p>
    <w:p w14:paraId="1A763F84">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_Toc567 </w:instrText>
      </w:r>
      <w:r>
        <w:rPr>
          <w:color w:val="auto"/>
          <w:sz w:val="21"/>
          <w:szCs w:val="21"/>
          <w:highlight w:val="none"/>
        </w:rPr>
        <w:fldChar w:fldCharType="separate"/>
      </w:r>
      <w:r>
        <w:rPr>
          <w:rFonts w:hint="eastAsia" w:cs="Times New Roman"/>
          <w:color w:val="auto"/>
          <w:sz w:val="21"/>
          <w:szCs w:val="21"/>
          <w:highlight w:val="none"/>
        </w:rPr>
        <w:t>13.3 建筑设计</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_Toc567 \h </w:instrText>
      </w:r>
      <w:r>
        <w:rPr>
          <w:color w:val="auto"/>
          <w:sz w:val="21"/>
          <w:szCs w:val="21"/>
          <w:highlight w:val="none"/>
        </w:rPr>
        <w:fldChar w:fldCharType="separate"/>
      </w:r>
      <w:r>
        <w:rPr>
          <w:color w:val="auto"/>
          <w:sz w:val="21"/>
          <w:szCs w:val="21"/>
          <w:highlight w:val="none"/>
        </w:rPr>
        <w:t>165</w:t>
      </w:r>
      <w:r>
        <w:rPr>
          <w:color w:val="auto"/>
          <w:sz w:val="21"/>
          <w:szCs w:val="21"/>
          <w:highlight w:val="none"/>
        </w:rPr>
        <w:fldChar w:fldCharType="end"/>
      </w:r>
      <w:r>
        <w:rPr>
          <w:color w:val="auto"/>
          <w:sz w:val="21"/>
          <w:szCs w:val="21"/>
          <w:highlight w:val="none"/>
        </w:rPr>
        <w:fldChar w:fldCharType="end"/>
      </w:r>
    </w:p>
    <w:p w14:paraId="1554104E">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_Toc14690 </w:instrText>
      </w:r>
      <w:r>
        <w:rPr>
          <w:color w:val="auto"/>
          <w:sz w:val="21"/>
          <w:szCs w:val="21"/>
          <w:highlight w:val="none"/>
        </w:rPr>
        <w:fldChar w:fldCharType="separate"/>
      </w:r>
      <w:r>
        <w:rPr>
          <w:rFonts w:hint="eastAsia" w:cs="Times New Roman"/>
          <w:color w:val="auto"/>
          <w:sz w:val="21"/>
          <w:szCs w:val="21"/>
          <w:highlight w:val="none"/>
        </w:rPr>
        <w:t>13.4 结构设计</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_Toc14690 \h </w:instrText>
      </w:r>
      <w:r>
        <w:rPr>
          <w:color w:val="auto"/>
          <w:sz w:val="21"/>
          <w:szCs w:val="21"/>
          <w:highlight w:val="none"/>
        </w:rPr>
        <w:fldChar w:fldCharType="separate"/>
      </w:r>
      <w:r>
        <w:rPr>
          <w:color w:val="auto"/>
          <w:sz w:val="21"/>
          <w:szCs w:val="21"/>
          <w:highlight w:val="none"/>
        </w:rPr>
        <w:t>168</w:t>
      </w:r>
      <w:r>
        <w:rPr>
          <w:color w:val="auto"/>
          <w:sz w:val="21"/>
          <w:szCs w:val="21"/>
          <w:highlight w:val="none"/>
        </w:rPr>
        <w:fldChar w:fldCharType="end"/>
      </w:r>
      <w:r>
        <w:rPr>
          <w:color w:val="auto"/>
          <w:sz w:val="21"/>
          <w:szCs w:val="21"/>
          <w:highlight w:val="none"/>
        </w:rPr>
        <w:fldChar w:fldCharType="end"/>
      </w:r>
    </w:p>
    <w:p w14:paraId="6C740A07">
      <w:pPr>
        <w:pStyle w:val="52"/>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_Toc11052 </w:instrText>
      </w:r>
      <w:r>
        <w:rPr>
          <w:color w:val="auto"/>
          <w:sz w:val="21"/>
          <w:szCs w:val="21"/>
          <w:highlight w:val="none"/>
        </w:rPr>
        <w:fldChar w:fldCharType="separate"/>
      </w:r>
      <w:r>
        <w:rPr>
          <w:rFonts w:hint="eastAsia" w:cs="Times New Roman"/>
          <w:color w:val="auto"/>
          <w:sz w:val="21"/>
          <w:szCs w:val="21"/>
          <w:highlight w:val="none"/>
        </w:rPr>
        <w:t>13.5 主要建、构筑物结构形式</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_Toc11052 \h </w:instrText>
      </w:r>
      <w:r>
        <w:rPr>
          <w:color w:val="auto"/>
          <w:sz w:val="21"/>
          <w:szCs w:val="21"/>
          <w:highlight w:val="none"/>
        </w:rPr>
        <w:fldChar w:fldCharType="separate"/>
      </w:r>
      <w:r>
        <w:rPr>
          <w:color w:val="auto"/>
          <w:sz w:val="21"/>
          <w:szCs w:val="21"/>
          <w:highlight w:val="none"/>
        </w:rPr>
        <w:t>171</w:t>
      </w:r>
      <w:r>
        <w:rPr>
          <w:color w:val="auto"/>
          <w:sz w:val="21"/>
          <w:szCs w:val="21"/>
          <w:highlight w:val="none"/>
        </w:rPr>
        <w:fldChar w:fldCharType="end"/>
      </w:r>
      <w:r>
        <w:rPr>
          <w:color w:val="auto"/>
          <w:sz w:val="21"/>
          <w:szCs w:val="21"/>
          <w:highlight w:val="none"/>
        </w:rPr>
        <w:fldChar w:fldCharType="end"/>
      </w:r>
    </w:p>
    <w:p w14:paraId="1C64C16F">
      <w:pPr>
        <w:pStyle w:val="41"/>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_Toc4378 </w:instrText>
      </w:r>
      <w:r>
        <w:rPr>
          <w:color w:val="auto"/>
          <w:sz w:val="21"/>
          <w:szCs w:val="21"/>
          <w:highlight w:val="none"/>
        </w:rPr>
        <w:fldChar w:fldCharType="separate"/>
      </w:r>
      <w:r>
        <w:rPr>
          <w:rFonts w:ascii="Times New Roman" w:hAnsi="Times New Roman" w:cs="Times New Roman"/>
          <w:color w:val="auto"/>
          <w:kern w:val="0"/>
          <w:sz w:val="21"/>
          <w:szCs w:val="21"/>
          <w:highlight w:val="none"/>
          <w:lang w:val="zh-CN"/>
        </w:rPr>
        <w:t>1</w:t>
      </w:r>
      <w:r>
        <w:rPr>
          <w:rFonts w:hint="eastAsia" w:ascii="Times New Roman" w:hAnsi="Times New Roman" w:cs="Times New Roman"/>
          <w:color w:val="auto"/>
          <w:kern w:val="0"/>
          <w:sz w:val="21"/>
          <w:szCs w:val="21"/>
          <w:highlight w:val="none"/>
        </w:rPr>
        <w:t xml:space="preserve">5 </w:t>
      </w:r>
      <w:r>
        <w:rPr>
          <w:rFonts w:ascii="Times New Roman" w:hAnsi="Times New Roman" w:cs="Times New Roman"/>
          <w:color w:val="auto"/>
          <w:kern w:val="0"/>
          <w:sz w:val="21"/>
          <w:szCs w:val="21"/>
          <w:highlight w:val="none"/>
          <w:lang w:val="zh-CN"/>
        </w:rPr>
        <w:t>环境保护</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_Toc4378 \h </w:instrText>
      </w:r>
      <w:r>
        <w:rPr>
          <w:color w:val="auto"/>
          <w:sz w:val="21"/>
          <w:szCs w:val="21"/>
          <w:highlight w:val="none"/>
        </w:rPr>
        <w:fldChar w:fldCharType="separate"/>
      </w:r>
      <w:r>
        <w:rPr>
          <w:color w:val="auto"/>
          <w:sz w:val="21"/>
          <w:szCs w:val="21"/>
          <w:highlight w:val="none"/>
        </w:rPr>
        <w:t>181</w:t>
      </w:r>
      <w:r>
        <w:rPr>
          <w:color w:val="auto"/>
          <w:sz w:val="21"/>
          <w:szCs w:val="21"/>
          <w:highlight w:val="none"/>
        </w:rPr>
        <w:fldChar w:fldCharType="end"/>
      </w:r>
      <w:r>
        <w:rPr>
          <w:color w:val="auto"/>
          <w:sz w:val="21"/>
          <w:szCs w:val="21"/>
          <w:highlight w:val="none"/>
        </w:rPr>
        <w:fldChar w:fldCharType="end"/>
      </w:r>
    </w:p>
    <w:p w14:paraId="3C8C63B1">
      <w:pPr>
        <w:pStyle w:val="41"/>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_Toc32035 </w:instrText>
      </w:r>
      <w:r>
        <w:rPr>
          <w:color w:val="auto"/>
          <w:sz w:val="21"/>
          <w:szCs w:val="21"/>
          <w:highlight w:val="none"/>
        </w:rPr>
        <w:fldChar w:fldCharType="separate"/>
      </w:r>
      <w:r>
        <w:rPr>
          <w:rFonts w:hint="eastAsia" w:ascii="Times New Roman" w:hAnsi="Times New Roman" w:cs="Times New Roman"/>
          <w:color w:val="auto"/>
          <w:kern w:val="0"/>
          <w:sz w:val="21"/>
          <w:szCs w:val="21"/>
          <w:highlight w:val="none"/>
        </w:rPr>
        <w:t>16 劳动安全</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_Toc32035 \h </w:instrText>
      </w:r>
      <w:r>
        <w:rPr>
          <w:color w:val="auto"/>
          <w:sz w:val="21"/>
          <w:szCs w:val="21"/>
          <w:highlight w:val="none"/>
        </w:rPr>
        <w:fldChar w:fldCharType="separate"/>
      </w:r>
      <w:r>
        <w:rPr>
          <w:color w:val="auto"/>
          <w:sz w:val="21"/>
          <w:szCs w:val="21"/>
          <w:highlight w:val="none"/>
        </w:rPr>
        <w:t>196</w:t>
      </w:r>
      <w:r>
        <w:rPr>
          <w:color w:val="auto"/>
          <w:sz w:val="21"/>
          <w:szCs w:val="21"/>
          <w:highlight w:val="none"/>
        </w:rPr>
        <w:fldChar w:fldCharType="end"/>
      </w:r>
      <w:r>
        <w:rPr>
          <w:color w:val="auto"/>
          <w:sz w:val="21"/>
          <w:szCs w:val="21"/>
          <w:highlight w:val="none"/>
        </w:rPr>
        <w:fldChar w:fldCharType="end"/>
      </w:r>
    </w:p>
    <w:p w14:paraId="37985C1C">
      <w:pPr>
        <w:pStyle w:val="41"/>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_Toc28149 </w:instrText>
      </w:r>
      <w:r>
        <w:rPr>
          <w:color w:val="auto"/>
          <w:sz w:val="21"/>
          <w:szCs w:val="21"/>
          <w:highlight w:val="none"/>
        </w:rPr>
        <w:fldChar w:fldCharType="separate"/>
      </w:r>
      <w:r>
        <w:rPr>
          <w:rFonts w:hint="eastAsia" w:ascii="Times New Roman" w:hAnsi="Times New Roman" w:cs="Times New Roman"/>
          <w:color w:val="auto"/>
          <w:kern w:val="0"/>
          <w:sz w:val="21"/>
          <w:szCs w:val="21"/>
          <w:highlight w:val="none"/>
        </w:rPr>
        <w:t>17 职业卫生</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_Toc28149 \h </w:instrText>
      </w:r>
      <w:r>
        <w:rPr>
          <w:color w:val="auto"/>
          <w:sz w:val="21"/>
          <w:szCs w:val="21"/>
          <w:highlight w:val="none"/>
        </w:rPr>
        <w:fldChar w:fldCharType="separate"/>
      </w:r>
      <w:r>
        <w:rPr>
          <w:color w:val="auto"/>
          <w:sz w:val="21"/>
          <w:szCs w:val="21"/>
          <w:highlight w:val="none"/>
        </w:rPr>
        <w:t>206</w:t>
      </w:r>
      <w:r>
        <w:rPr>
          <w:color w:val="auto"/>
          <w:sz w:val="21"/>
          <w:szCs w:val="21"/>
          <w:highlight w:val="none"/>
        </w:rPr>
        <w:fldChar w:fldCharType="end"/>
      </w:r>
      <w:r>
        <w:rPr>
          <w:color w:val="auto"/>
          <w:sz w:val="21"/>
          <w:szCs w:val="21"/>
          <w:highlight w:val="none"/>
        </w:rPr>
        <w:fldChar w:fldCharType="end"/>
      </w:r>
    </w:p>
    <w:p w14:paraId="4D6512A7">
      <w:pPr>
        <w:pStyle w:val="41"/>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_Toc4357 </w:instrText>
      </w:r>
      <w:r>
        <w:rPr>
          <w:color w:val="auto"/>
          <w:sz w:val="21"/>
          <w:szCs w:val="21"/>
          <w:highlight w:val="none"/>
        </w:rPr>
        <w:fldChar w:fldCharType="separate"/>
      </w:r>
      <w:r>
        <w:rPr>
          <w:rFonts w:hint="eastAsia"/>
          <w:bCs/>
          <w:color w:val="auto"/>
          <w:sz w:val="21"/>
          <w:szCs w:val="21"/>
          <w:highlight w:val="none"/>
        </w:rPr>
        <w:t>1</w:t>
      </w:r>
      <w:r>
        <w:rPr>
          <w:bCs/>
          <w:color w:val="auto"/>
          <w:sz w:val="21"/>
          <w:szCs w:val="21"/>
          <w:highlight w:val="none"/>
        </w:rPr>
        <w:t xml:space="preserve">8 </w:t>
      </w:r>
      <w:r>
        <w:rPr>
          <w:rFonts w:hint="eastAsia"/>
          <w:bCs/>
          <w:color w:val="auto"/>
          <w:sz w:val="21"/>
          <w:szCs w:val="21"/>
          <w:highlight w:val="none"/>
        </w:rPr>
        <w:t>消防</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_Toc4357 \h </w:instrText>
      </w:r>
      <w:r>
        <w:rPr>
          <w:color w:val="auto"/>
          <w:sz w:val="21"/>
          <w:szCs w:val="21"/>
          <w:highlight w:val="none"/>
        </w:rPr>
        <w:fldChar w:fldCharType="separate"/>
      </w:r>
      <w:r>
        <w:rPr>
          <w:color w:val="auto"/>
          <w:sz w:val="21"/>
          <w:szCs w:val="21"/>
          <w:highlight w:val="none"/>
        </w:rPr>
        <w:t>210</w:t>
      </w:r>
      <w:r>
        <w:rPr>
          <w:color w:val="auto"/>
          <w:sz w:val="21"/>
          <w:szCs w:val="21"/>
          <w:highlight w:val="none"/>
        </w:rPr>
        <w:fldChar w:fldCharType="end"/>
      </w:r>
      <w:r>
        <w:rPr>
          <w:color w:val="auto"/>
          <w:sz w:val="21"/>
          <w:szCs w:val="21"/>
          <w:highlight w:val="none"/>
        </w:rPr>
        <w:fldChar w:fldCharType="end"/>
      </w:r>
    </w:p>
    <w:p w14:paraId="0F862C5E">
      <w:pPr>
        <w:pStyle w:val="41"/>
        <w:shd w:val="clear"/>
        <w:tabs>
          <w:tab w:val="right" w:leader="dot" w:pos="8306"/>
        </w:tabs>
        <w:ind w:left="-480" w:leftChars="-200" w:firstLine="420" w:firstLineChars="200"/>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HYPERLINK \l _Toc14693 </w:instrText>
      </w:r>
      <w:r>
        <w:rPr>
          <w:color w:val="auto"/>
          <w:sz w:val="21"/>
          <w:szCs w:val="21"/>
          <w:highlight w:val="none"/>
        </w:rPr>
        <w:fldChar w:fldCharType="separate"/>
      </w:r>
      <w:r>
        <w:rPr>
          <w:rFonts w:hint="eastAsia" w:ascii="Times New Roman" w:hAnsi="Times New Roman" w:cs="Times New Roman"/>
          <w:color w:val="auto"/>
          <w:kern w:val="0"/>
          <w:sz w:val="21"/>
          <w:szCs w:val="21"/>
          <w:highlight w:val="none"/>
        </w:rPr>
        <w:t>19 水土保持</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_Toc14693 \h </w:instrText>
      </w:r>
      <w:r>
        <w:rPr>
          <w:color w:val="auto"/>
          <w:sz w:val="21"/>
          <w:szCs w:val="21"/>
          <w:highlight w:val="none"/>
        </w:rPr>
        <w:fldChar w:fldCharType="separate"/>
      </w:r>
      <w:r>
        <w:rPr>
          <w:color w:val="auto"/>
          <w:sz w:val="21"/>
          <w:szCs w:val="21"/>
          <w:highlight w:val="none"/>
        </w:rPr>
        <w:t>229</w:t>
      </w:r>
      <w:r>
        <w:rPr>
          <w:color w:val="auto"/>
          <w:sz w:val="21"/>
          <w:szCs w:val="21"/>
          <w:highlight w:val="none"/>
        </w:rPr>
        <w:fldChar w:fldCharType="end"/>
      </w:r>
      <w:r>
        <w:rPr>
          <w:color w:val="auto"/>
          <w:sz w:val="21"/>
          <w:szCs w:val="21"/>
          <w:highlight w:val="none"/>
        </w:rPr>
        <w:fldChar w:fldCharType="end"/>
      </w:r>
    </w:p>
    <w:p w14:paraId="62F75D6F">
      <w:pPr>
        <w:pStyle w:val="52"/>
        <w:shd w:val="clear"/>
        <w:tabs>
          <w:tab w:val="right" w:leader="dot" w:pos="8306"/>
        </w:tabs>
        <w:ind w:left="-480" w:leftChars="-200" w:firstLine="420" w:firstLineChars="200"/>
        <w:rPr>
          <w:color w:val="auto"/>
          <w:sz w:val="21"/>
          <w:szCs w:val="21"/>
          <w:highlight w:val="none"/>
        </w:rPr>
      </w:pPr>
    </w:p>
    <w:p w14:paraId="6C79AC85">
      <w:pPr>
        <w:shd w:val="clear"/>
        <w:spacing w:line="240" w:lineRule="auto"/>
        <w:ind w:left="-305" w:leftChars="-191" w:hanging="153" w:hangingChars="73"/>
        <w:jc w:val="both"/>
        <w:rPr>
          <w:color w:val="auto"/>
          <w:sz w:val="30"/>
          <w:szCs w:val="30"/>
          <w:highlight w:val="none"/>
        </w:rPr>
      </w:pPr>
      <w:r>
        <w:rPr>
          <w:color w:val="auto"/>
          <w:sz w:val="21"/>
          <w:szCs w:val="21"/>
          <w:highlight w:val="none"/>
        </w:rPr>
        <w:fldChar w:fldCharType="end"/>
      </w:r>
    </w:p>
    <w:p w14:paraId="6CD5F90D">
      <w:pPr>
        <w:shd w:val="clear"/>
        <w:rPr>
          <w:color w:val="auto"/>
          <w:highlight w:val="none"/>
        </w:rPr>
      </w:pPr>
      <w:r>
        <w:rPr>
          <w:color w:val="auto"/>
          <w:highlight w:val="none"/>
        </w:rPr>
        <w:br w:type="page"/>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14:paraId="58F3006E">
      <w:pPr>
        <w:pStyle w:val="27"/>
        <w:shd w:val="clear"/>
        <w:spacing w:line="240" w:lineRule="auto"/>
        <w:ind w:firstLine="602"/>
        <w:jc w:val="center"/>
        <w:outlineLvl w:val="0"/>
        <w:rPr>
          <w:b/>
          <w:color w:val="auto"/>
          <w:kern w:val="0"/>
          <w:sz w:val="30"/>
          <w:szCs w:val="28"/>
          <w:highlight w:val="none"/>
        </w:rPr>
      </w:pPr>
      <w:bookmarkStart w:id="18" w:name="_Toc410021385"/>
      <w:bookmarkStart w:id="19" w:name="_Toc25365"/>
      <w:bookmarkStart w:id="20" w:name="_Toc8931"/>
      <w:bookmarkStart w:id="21" w:name="_Toc23175"/>
      <w:bookmarkStart w:id="22" w:name="_Toc9512"/>
      <w:bookmarkStart w:id="23" w:name="_Toc1517"/>
      <w:bookmarkStart w:id="24" w:name="_Toc17223"/>
      <w:bookmarkStart w:id="25" w:name="_Toc379"/>
      <w:r>
        <w:rPr>
          <w:rFonts w:hint="eastAsia"/>
          <w:b/>
          <w:color w:val="auto"/>
          <w:kern w:val="0"/>
          <w:sz w:val="30"/>
          <w:szCs w:val="28"/>
          <w:highlight w:val="none"/>
        </w:rPr>
        <w:t xml:space="preserve">1 </w:t>
      </w:r>
      <w:bookmarkEnd w:id="18"/>
      <w:bookmarkEnd w:id="19"/>
      <w:r>
        <w:rPr>
          <w:rFonts w:hint="eastAsia"/>
          <w:b/>
          <w:color w:val="auto"/>
          <w:kern w:val="0"/>
          <w:sz w:val="30"/>
          <w:szCs w:val="28"/>
          <w:highlight w:val="none"/>
        </w:rPr>
        <w:t>总论</w:t>
      </w:r>
      <w:bookmarkEnd w:id="20"/>
      <w:bookmarkEnd w:id="21"/>
      <w:bookmarkEnd w:id="22"/>
      <w:bookmarkEnd w:id="23"/>
      <w:bookmarkEnd w:id="24"/>
      <w:bookmarkEnd w:id="25"/>
    </w:p>
    <w:p w14:paraId="75603269">
      <w:pPr>
        <w:shd w:val="clear"/>
        <w:ind w:firstLine="0" w:firstLineChars="0"/>
        <w:outlineLvl w:val="1"/>
        <w:rPr>
          <w:rFonts w:cs="Times New Roman"/>
          <w:b/>
          <w:color w:val="auto"/>
          <w:sz w:val="28"/>
          <w:szCs w:val="28"/>
          <w:highlight w:val="none"/>
        </w:rPr>
      </w:pPr>
      <w:bookmarkStart w:id="26" w:name="_Toc35143399"/>
      <w:bookmarkStart w:id="27" w:name="_Toc410021386"/>
      <w:bookmarkStart w:id="28" w:name="_Toc306198508"/>
      <w:bookmarkStart w:id="29" w:name="_Toc10335"/>
      <w:bookmarkStart w:id="30" w:name="_Toc385945710"/>
      <w:bookmarkStart w:id="31" w:name="_Toc2724"/>
      <w:bookmarkStart w:id="32" w:name="_Toc7977"/>
      <w:bookmarkStart w:id="33" w:name="_Toc13608"/>
      <w:bookmarkStart w:id="34" w:name="_Toc12485"/>
      <w:bookmarkStart w:id="35" w:name="_Toc2420"/>
      <w:bookmarkStart w:id="36" w:name="_Toc4983"/>
      <w:r>
        <w:rPr>
          <w:rFonts w:hint="eastAsia" w:cs="Times New Roman"/>
          <w:b/>
          <w:color w:val="auto"/>
          <w:sz w:val="28"/>
          <w:szCs w:val="28"/>
          <w:highlight w:val="none"/>
        </w:rPr>
        <w:t>1.1</w:t>
      </w:r>
      <w:bookmarkEnd w:id="26"/>
      <w:r>
        <w:rPr>
          <w:rFonts w:hint="eastAsia" w:cs="Times New Roman"/>
          <w:b/>
          <w:color w:val="auto"/>
          <w:sz w:val="28"/>
          <w:szCs w:val="28"/>
          <w:highlight w:val="none"/>
        </w:rPr>
        <w:t xml:space="preserve"> </w:t>
      </w:r>
      <w:bookmarkEnd w:id="27"/>
      <w:bookmarkEnd w:id="28"/>
      <w:bookmarkEnd w:id="29"/>
      <w:bookmarkEnd w:id="30"/>
      <w:r>
        <w:rPr>
          <w:rFonts w:hint="eastAsia" w:cs="Times New Roman"/>
          <w:b/>
          <w:color w:val="auto"/>
          <w:sz w:val="28"/>
          <w:szCs w:val="28"/>
          <w:highlight w:val="none"/>
        </w:rPr>
        <w:t>项目背景</w:t>
      </w:r>
      <w:bookmarkEnd w:id="31"/>
      <w:bookmarkEnd w:id="32"/>
      <w:bookmarkEnd w:id="33"/>
      <w:bookmarkEnd w:id="34"/>
      <w:bookmarkEnd w:id="35"/>
      <w:bookmarkEnd w:id="36"/>
    </w:p>
    <w:p w14:paraId="2F6702B5">
      <w:pPr>
        <w:shd w:val="clear"/>
        <w:jc w:val="both"/>
        <w:rPr>
          <w:rFonts w:ascii="Times New Roman" w:hAnsi="Times New Roman" w:cs="Times New Roman"/>
          <w:color w:val="auto"/>
          <w:highlight w:val="none"/>
        </w:rPr>
      </w:pPr>
      <w:r>
        <w:rPr>
          <w:rFonts w:hint="eastAsia" w:ascii="Times New Roman" w:hAnsi="Times New Roman" w:cs="Times New Roman"/>
          <w:color w:val="auto"/>
          <w:highlight w:val="none"/>
        </w:rPr>
        <w:t>甘肃酒钢集团宏兴钢铁股份有限公司地处甘肃河西走廊中部、公司南接 312 国道，东临嘉峪关酒泉机场，环厂区铁路与兰新铁路衔接，交通便利，形成了集采矿、选矿、烧结、焦化、炼铁、炼钢、热轧、冷轧以及不锈钢生产，具备现代化生产工艺流程，并有完备的动力能源系统、销售物流系统等配套资源的完整钢铁生产一体化产业链条。公司致力于打造西北地区优质建材和精品板材生产基地，目前已形成嘉峪关本部、兰州榆中两大钢铁生产基地，具备年产858万吨铁、1105万吨钢、1100万吨材的综合生产能力，成为西北地区实力强劲、装备优良、影响力深远的钢铁联合企业。</w:t>
      </w:r>
    </w:p>
    <w:p w14:paraId="4EB3675A">
      <w:pPr>
        <w:shd w:val="clear"/>
        <w:jc w:val="both"/>
        <w:rPr>
          <w:rFonts w:ascii="Times New Roman" w:hAnsi="Times New Roman" w:cs="Times New Roman"/>
          <w:color w:val="auto"/>
          <w:highlight w:val="none"/>
        </w:rPr>
      </w:pPr>
      <w:r>
        <w:rPr>
          <w:rFonts w:hint="eastAsia" w:ascii="Times New Roman" w:hAnsi="Times New Roman" w:cs="Times New Roman"/>
          <w:color w:val="auto"/>
          <w:highlight w:val="none"/>
        </w:rPr>
        <w:t>生态环境部等五部委联合发布</w:t>
      </w:r>
      <w:r>
        <w:rPr>
          <w:rFonts w:ascii="Times New Roman" w:hAnsi="Times New Roman" w:cs="Times New Roman"/>
          <w:color w:val="auto"/>
          <w:highlight w:val="none"/>
        </w:rPr>
        <w:t>《关于推进实施钢铁行业超低排放的意见》中</w:t>
      </w:r>
      <w:r>
        <w:rPr>
          <w:rFonts w:hint="eastAsia" w:ascii="Times New Roman" w:hAnsi="Times New Roman" w:cs="Times New Roman"/>
          <w:color w:val="auto"/>
          <w:highlight w:val="none"/>
        </w:rPr>
        <w:t>“</w:t>
      </w:r>
      <w:r>
        <w:rPr>
          <w:rFonts w:ascii="Times New Roman" w:hAnsi="Times New Roman" w:cs="Times New Roman"/>
          <w:color w:val="auto"/>
          <w:highlight w:val="none"/>
        </w:rPr>
        <w:t>到2025年底前，重点区域钢铁企业超低排放改造基本完成</w:t>
      </w:r>
      <w:r>
        <w:rPr>
          <w:rFonts w:hint="eastAsia" w:ascii="Times New Roman" w:hAnsi="Times New Roman" w:cs="Times New Roman"/>
          <w:color w:val="auto"/>
          <w:highlight w:val="none"/>
        </w:rPr>
        <w:t>。”</w:t>
      </w:r>
      <w:r>
        <w:rPr>
          <w:rFonts w:ascii="Times New Roman" w:hAnsi="Times New Roman" w:cs="Times New Roman"/>
          <w:color w:val="auto"/>
          <w:highlight w:val="none"/>
        </w:rPr>
        <w:t>和《甘肃省钢铁行业超低排放改造工作计划》中</w:t>
      </w:r>
      <w:r>
        <w:rPr>
          <w:rFonts w:hint="eastAsia" w:ascii="Times New Roman" w:hAnsi="Times New Roman" w:cs="Times New Roman"/>
          <w:color w:val="auto"/>
          <w:highlight w:val="none"/>
        </w:rPr>
        <w:t>“</w:t>
      </w:r>
      <w:r>
        <w:rPr>
          <w:rFonts w:ascii="Times New Roman" w:hAnsi="Times New Roman" w:cs="Times New Roman"/>
          <w:color w:val="auto"/>
          <w:highlight w:val="none"/>
        </w:rPr>
        <w:t>到2025年前，基本完成全省钢铁企业超低排放改造</w:t>
      </w:r>
      <w:r>
        <w:rPr>
          <w:rFonts w:hint="eastAsia" w:ascii="Times New Roman" w:hAnsi="Times New Roman" w:cs="Times New Roman"/>
          <w:color w:val="auto"/>
          <w:highlight w:val="none"/>
        </w:rPr>
        <w:t>。”</w:t>
      </w:r>
      <w:r>
        <w:rPr>
          <w:rFonts w:ascii="Times New Roman" w:hAnsi="Times New Roman" w:cs="Times New Roman"/>
          <w:color w:val="auto"/>
          <w:highlight w:val="none"/>
        </w:rPr>
        <w:t>的指示</w:t>
      </w:r>
      <w:r>
        <w:rPr>
          <w:rFonts w:hint="eastAsia" w:ascii="Times New Roman" w:hAnsi="Times New Roman" w:cs="Times New Roman"/>
          <w:color w:val="auto"/>
          <w:highlight w:val="none"/>
        </w:rPr>
        <w:t>精神要求</w:t>
      </w:r>
      <w:r>
        <w:rPr>
          <w:rFonts w:ascii="Times New Roman" w:hAnsi="Times New Roman" w:cs="Times New Roman"/>
          <w:color w:val="auto"/>
          <w:highlight w:val="none"/>
        </w:rPr>
        <w:t>，</w:t>
      </w:r>
      <w:r>
        <w:rPr>
          <w:rFonts w:hint="eastAsia" w:ascii="Times New Roman" w:hAnsi="Times New Roman" w:cs="Times New Roman"/>
          <w:color w:val="auto"/>
          <w:highlight w:val="none"/>
        </w:rPr>
        <w:t>酒钢宏兴股份公司</w:t>
      </w:r>
      <w:r>
        <w:rPr>
          <w:rFonts w:ascii="Times New Roman" w:hAnsi="Times New Roman" w:cs="Times New Roman"/>
          <w:color w:val="auto"/>
          <w:highlight w:val="none"/>
        </w:rPr>
        <w:t>计划2025年底</w:t>
      </w:r>
      <w:r>
        <w:rPr>
          <w:rFonts w:hint="eastAsia" w:ascii="Times New Roman" w:hAnsi="Times New Roman" w:cs="Times New Roman"/>
          <w:color w:val="auto"/>
          <w:highlight w:val="none"/>
        </w:rPr>
        <w:t>之前</w:t>
      </w:r>
      <w:r>
        <w:rPr>
          <w:rFonts w:ascii="Times New Roman" w:hAnsi="Times New Roman" w:cs="Times New Roman"/>
          <w:color w:val="auto"/>
          <w:highlight w:val="none"/>
        </w:rPr>
        <w:t>完成</w:t>
      </w:r>
      <w:r>
        <w:rPr>
          <w:rFonts w:hint="eastAsia" w:ascii="Times New Roman" w:hAnsi="Times New Roman" w:cs="Times New Roman"/>
          <w:color w:val="auto"/>
          <w:highlight w:val="none"/>
        </w:rPr>
        <w:t>本部</w:t>
      </w:r>
      <w:r>
        <w:rPr>
          <w:rFonts w:ascii="Times New Roman" w:hAnsi="Times New Roman" w:cs="Times New Roman"/>
          <w:color w:val="auto"/>
          <w:highlight w:val="none"/>
        </w:rPr>
        <w:t>2</w:t>
      </w:r>
      <w:r>
        <w:rPr>
          <w:rFonts w:hint="eastAsia" w:ascii="Times New Roman" w:hAnsi="Times New Roman" w:cs="Times New Roman"/>
          <w:color w:val="auto"/>
          <w:highlight w:val="none"/>
        </w:rPr>
        <w:t>号</w:t>
      </w:r>
      <w:r>
        <w:rPr>
          <w:rFonts w:ascii="Times New Roman" w:hAnsi="Times New Roman" w:cs="Times New Roman"/>
          <w:color w:val="auto"/>
          <w:highlight w:val="none"/>
        </w:rPr>
        <w:t>高炉超低排</w:t>
      </w:r>
      <w:r>
        <w:rPr>
          <w:rFonts w:hint="eastAsia" w:ascii="Times New Roman" w:hAnsi="Times New Roman" w:cs="Times New Roman"/>
          <w:color w:val="auto"/>
          <w:highlight w:val="none"/>
        </w:rPr>
        <w:t>放</w:t>
      </w:r>
      <w:r>
        <w:rPr>
          <w:rFonts w:ascii="Times New Roman" w:hAnsi="Times New Roman" w:cs="Times New Roman"/>
          <w:color w:val="auto"/>
          <w:highlight w:val="none"/>
        </w:rPr>
        <w:t>改造。</w:t>
      </w:r>
    </w:p>
    <w:p w14:paraId="57C66D03">
      <w:pPr>
        <w:widowControl/>
        <w:shd w:val="clear"/>
        <w:jc w:val="both"/>
        <w:rPr>
          <w:rFonts w:ascii="Times New Roman" w:hAnsi="Times New Roman" w:cs="Times New Roman"/>
          <w:color w:val="auto"/>
          <w:highlight w:val="none"/>
        </w:rPr>
      </w:pPr>
      <w:r>
        <w:rPr>
          <w:rFonts w:hint="eastAsia" w:ascii="Times New Roman" w:hAnsi="Times New Roman" w:cs="Times New Roman"/>
          <w:color w:val="auto"/>
          <w:highlight w:val="none"/>
        </w:rPr>
        <w:t>同时，由于</w:t>
      </w:r>
      <w:r>
        <w:rPr>
          <w:rFonts w:ascii="Times New Roman" w:hAnsi="Times New Roman" w:cs="Times New Roman"/>
          <w:color w:val="auto"/>
          <w:highlight w:val="none"/>
        </w:rPr>
        <w:t>国家发改委发布《产业结构调整指导目录（2024年</w:t>
      </w:r>
      <w:r>
        <w:rPr>
          <w:rFonts w:hint="eastAsia" w:ascii="Times New Roman" w:hAnsi="Times New Roman" w:cs="Times New Roman"/>
          <w:color w:val="auto"/>
          <w:highlight w:val="none"/>
        </w:rPr>
        <w:t>本</w:t>
      </w:r>
      <w:r>
        <w:rPr>
          <w:rFonts w:ascii="Times New Roman" w:hAnsi="Times New Roman" w:cs="Times New Roman"/>
          <w:color w:val="auto"/>
          <w:highlight w:val="none"/>
        </w:rPr>
        <w:t>）》明确，“有效容积400立方米以上1200立方米以下炼钢用生铁高炉”属于限制类高炉</w:t>
      </w:r>
      <w:r>
        <w:rPr>
          <w:rFonts w:hint="eastAsia" w:ascii="Times New Roman" w:hAnsi="Times New Roman" w:cs="Times New Roman"/>
          <w:color w:val="auto"/>
          <w:highlight w:val="none"/>
        </w:rPr>
        <w:t>炼铁工艺装备，且本部2号高炉处于炉役末期，</w:t>
      </w:r>
      <w:r>
        <w:rPr>
          <w:rFonts w:ascii="Times New Roman" w:hAnsi="Times New Roman" w:cs="Times New Roman"/>
          <w:color w:val="auto"/>
          <w:highlight w:val="none"/>
        </w:rPr>
        <w:t>统筹考虑改善榆钢经营及解决本部2</w:t>
      </w:r>
      <w:r>
        <w:rPr>
          <w:rFonts w:hint="eastAsia" w:ascii="Times New Roman" w:hAnsi="Times New Roman" w:cs="Times New Roman"/>
          <w:color w:val="auto"/>
          <w:highlight w:val="none"/>
        </w:rPr>
        <w:t>号</w:t>
      </w:r>
      <w:r>
        <w:rPr>
          <w:rFonts w:ascii="Times New Roman" w:hAnsi="Times New Roman" w:cs="Times New Roman"/>
          <w:color w:val="auto"/>
          <w:highlight w:val="none"/>
        </w:rPr>
        <w:t>高炉属于限制类装备的问题，拟将本部2</w:t>
      </w:r>
      <w:r>
        <w:rPr>
          <w:rFonts w:hint="eastAsia" w:ascii="Times New Roman" w:hAnsi="Times New Roman" w:cs="Times New Roman"/>
          <w:color w:val="auto"/>
          <w:highlight w:val="none"/>
        </w:rPr>
        <w:t>号</w:t>
      </w:r>
      <w:r>
        <w:rPr>
          <w:rFonts w:ascii="Times New Roman" w:hAnsi="Times New Roman" w:cs="Times New Roman"/>
          <w:color w:val="auto"/>
          <w:highlight w:val="none"/>
        </w:rPr>
        <w:t>高炉与榆钢3</w:t>
      </w:r>
      <w:r>
        <w:rPr>
          <w:rFonts w:hint="eastAsia" w:ascii="Times New Roman" w:hAnsi="Times New Roman" w:cs="Times New Roman"/>
          <w:color w:val="auto"/>
          <w:highlight w:val="none"/>
        </w:rPr>
        <w:t>号</w:t>
      </w:r>
      <w:r>
        <w:rPr>
          <w:rFonts w:ascii="Times New Roman" w:hAnsi="Times New Roman" w:cs="Times New Roman"/>
          <w:color w:val="auto"/>
          <w:highlight w:val="none"/>
        </w:rPr>
        <w:t>高炉合并进行产能置换。本部</w:t>
      </w:r>
      <w:r>
        <w:rPr>
          <w:rFonts w:hint="eastAsia" w:ascii="Times New Roman" w:hAnsi="Times New Roman" w:cs="Times New Roman"/>
          <w:color w:val="auto"/>
          <w:highlight w:val="none"/>
        </w:rPr>
        <w:t>原</w:t>
      </w:r>
      <w:r>
        <w:rPr>
          <w:rFonts w:ascii="Times New Roman" w:hAnsi="Times New Roman" w:cs="Times New Roman"/>
          <w:color w:val="auto"/>
          <w:highlight w:val="none"/>
        </w:rPr>
        <w:t>2号高炉核定产能97万吨</w:t>
      </w:r>
      <w:r>
        <w:rPr>
          <w:rFonts w:hint="eastAsia" w:ascii="Times New Roman" w:hAnsi="Times New Roman" w:cs="Times New Roman"/>
          <w:color w:val="auto"/>
          <w:highlight w:val="none"/>
        </w:rPr>
        <w:t>，</w:t>
      </w:r>
      <w:r>
        <w:rPr>
          <w:rFonts w:ascii="Times New Roman" w:hAnsi="Times New Roman" w:cs="Times New Roman"/>
          <w:color w:val="auto"/>
          <w:highlight w:val="none"/>
        </w:rPr>
        <w:t>榆钢3号高炉核定产能234万吨，合计产能为331万吨。按照《工业和信息化部关于印发钢铁行业产能置换实施办法的通知》（工信部原〔2021〕46号）（以下简称</w:t>
      </w:r>
      <w:r>
        <w:rPr>
          <w:rFonts w:hint="eastAsia" w:ascii="Times New Roman" w:hAnsi="Times New Roman" w:cs="Times New Roman"/>
          <w:color w:val="auto"/>
          <w:highlight w:val="none"/>
        </w:rPr>
        <w:t>“</w:t>
      </w:r>
      <w:r>
        <w:rPr>
          <w:rFonts w:ascii="Times New Roman" w:hAnsi="Times New Roman" w:cs="Times New Roman"/>
          <w:color w:val="auto"/>
          <w:highlight w:val="none"/>
        </w:rPr>
        <w:t>产能置换实施办法</w:t>
      </w:r>
      <w:r>
        <w:rPr>
          <w:rFonts w:hint="eastAsia" w:ascii="Times New Roman" w:hAnsi="Times New Roman" w:cs="Times New Roman"/>
          <w:color w:val="auto"/>
          <w:highlight w:val="none"/>
        </w:rPr>
        <w:t>”</w:t>
      </w:r>
      <w:r>
        <w:rPr>
          <w:rFonts w:ascii="Times New Roman" w:hAnsi="Times New Roman" w:cs="Times New Roman"/>
          <w:color w:val="auto"/>
          <w:highlight w:val="none"/>
        </w:rPr>
        <w:t>）进行产能置换，置换后</w:t>
      </w:r>
      <w:r>
        <w:rPr>
          <w:rFonts w:hint="eastAsia" w:ascii="Times New Roman" w:hAnsi="Times New Roman" w:cs="Times New Roman"/>
          <w:color w:val="auto"/>
          <w:highlight w:val="none"/>
        </w:rPr>
        <w:t>将</w:t>
      </w:r>
      <w:r>
        <w:rPr>
          <w:rFonts w:ascii="Times New Roman" w:hAnsi="Times New Roman" w:cs="Times New Roman"/>
          <w:color w:val="auto"/>
          <w:highlight w:val="none"/>
        </w:rPr>
        <w:t>本部</w:t>
      </w:r>
      <w:r>
        <w:rPr>
          <w:rFonts w:hint="eastAsia" w:ascii="Times New Roman" w:hAnsi="Times New Roman" w:cs="Times New Roman"/>
          <w:color w:val="auto"/>
          <w:highlight w:val="none"/>
        </w:rPr>
        <w:t>2号高炉改造成</w:t>
      </w:r>
      <w:r>
        <w:rPr>
          <w:rFonts w:ascii="Times New Roman" w:hAnsi="Times New Roman" w:cs="Times New Roman"/>
          <w:color w:val="auto"/>
          <w:highlight w:val="none"/>
        </w:rPr>
        <w:t>一座1210m³高炉，产能113.4万吨</w:t>
      </w:r>
      <w:r>
        <w:rPr>
          <w:rFonts w:hint="eastAsia" w:ascii="Times New Roman" w:hAnsi="Times New Roman" w:cs="Times New Roman"/>
          <w:color w:val="auto"/>
          <w:highlight w:val="none"/>
        </w:rPr>
        <w:t>；</w:t>
      </w:r>
      <w:r>
        <w:rPr>
          <w:rFonts w:ascii="Times New Roman" w:hAnsi="Times New Roman" w:cs="Times New Roman"/>
          <w:color w:val="auto"/>
          <w:highlight w:val="none"/>
        </w:rPr>
        <w:t>榆钢</w:t>
      </w:r>
      <w:r>
        <w:rPr>
          <w:rFonts w:hint="eastAsia" w:ascii="Times New Roman" w:hAnsi="Times New Roman" w:cs="Times New Roman"/>
          <w:color w:val="auto"/>
          <w:highlight w:val="none"/>
        </w:rPr>
        <w:t>3号高炉改造成</w:t>
      </w:r>
      <w:r>
        <w:rPr>
          <w:rFonts w:ascii="Times New Roman" w:hAnsi="Times New Roman" w:cs="Times New Roman"/>
          <w:color w:val="auto"/>
          <w:highlight w:val="none"/>
        </w:rPr>
        <w:t>一座1770m³高炉，产能151.25万吨，置换后产</w:t>
      </w:r>
      <w:r>
        <w:rPr>
          <w:rFonts w:hint="eastAsia" w:ascii="Times New Roman" w:hAnsi="Times New Roman" w:cs="Times New Roman"/>
          <w:color w:val="auto"/>
          <w:highlight w:val="none"/>
        </w:rPr>
        <w:t>能共264.65万吨，压减炼铁产能66.163万吨，</w:t>
      </w:r>
      <w:r>
        <w:rPr>
          <w:rFonts w:ascii="Times New Roman" w:hAnsi="Times New Roman" w:cs="Times New Roman"/>
          <w:color w:val="auto"/>
          <w:highlight w:val="none"/>
        </w:rPr>
        <w:t>剩余0.</w:t>
      </w:r>
      <w:r>
        <w:rPr>
          <w:rFonts w:hint="eastAsia" w:ascii="Times New Roman" w:hAnsi="Times New Roman" w:cs="Times New Roman"/>
          <w:color w:val="auto"/>
          <w:highlight w:val="none"/>
        </w:rPr>
        <w:t>187</w:t>
      </w:r>
      <w:r>
        <w:rPr>
          <w:rFonts w:ascii="Times New Roman" w:hAnsi="Times New Roman" w:cs="Times New Roman"/>
          <w:color w:val="auto"/>
          <w:highlight w:val="none"/>
        </w:rPr>
        <w:t>万吨炼铁产能备用。</w:t>
      </w:r>
    </w:p>
    <w:p w14:paraId="2336C368">
      <w:pPr>
        <w:shd w:val="clear"/>
        <w:ind w:firstLine="0" w:firstLineChars="0"/>
        <w:outlineLvl w:val="1"/>
        <w:rPr>
          <w:rFonts w:cs="Times New Roman"/>
          <w:b/>
          <w:color w:val="auto"/>
          <w:sz w:val="28"/>
          <w:szCs w:val="28"/>
          <w:highlight w:val="none"/>
        </w:rPr>
      </w:pPr>
      <w:bookmarkStart w:id="37" w:name="_Toc410021388"/>
      <w:bookmarkStart w:id="38" w:name="_Toc11324"/>
      <w:bookmarkStart w:id="39" w:name="_Toc24655"/>
      <w:bookmarkStart w:id="40" w:name="_Toc9772"/>
      <w:bookmarkStart w:id="41" w:name="_Toc12954"/>
      <w:bookmarkStart w:id="42" w:name="_Toc30425"/>
      <w:bookmarkStart w:id="43" w:name="_Toc31258"/>
      <w:bookmarkStart w:id="44" w:name="_Toc6288"/>
      <w:r>
        <w:rPr>
          <w:rFonts w:hint="eastAsia" w:cs="Times New Roman"/>
          <w:b/>
          <w:color w:val="auto"/>
          <w:sz w:val="28"/>
          <w:szCs w:val="28"/>
          <w:highlight w:val="none"/>
        </w:rPr>
        <w:t>1.</w:t>
      </w:r>
      <w:bookmarkEnd w:id="37"/>
      <w:r>
        <w:rPr>
          <w:rFonts w:hint="eastAsia" w:cs="Times New Roman"/>
          <w:b/>
          <w:color w:val="auto"/>
          <w:sz w:val="28"/>
          <w:szCs w:val="28"/>
          <w:highlight w:val="none"/>
          <w:lang w:val="en-US" w:eastAsia="zh-CN"/>
        </w:rPr>
        <w:t>2</w:t>
      </w:r>
      <w:r>
        <w:rPr>
          <w:rFonts w:hint="eastAsia" w:cs="Times New Roman"/>
          <w:b/>
          <w:color w:val="auto"/>
          <w:sz w:val="28"/>
          <w:szCs w:val="28"/>
          <w:highlight w:val="none"/>
        </w:rPr>
        <w:t>设计范围</w:t>
      </w:r>
      <w:bookmarkEnd w:id="38"/>
      <w:bookmarkEnd w:id="39"/>
      <w:bookmarkEnd w:id="40"/>
      <w:bookmarkEnd w:id="41"/>
      <w:bookmarkEnd w:id="42"/>
      <w:bookmarkEnd w:id="43"/>
      <w:bookmarkEnd w:id="44"/>
    </w:p>
    <w:p w14:paraId="7B799EFE">
      <w:pPr>
        <w:shd w:val="clear"/>
        <w:jc w:val="both"/>
        <w:rPr>
          <w:rFonts w:ascii="Times New Roman" w:cs="Times New Roman"/>
          <w:color w:val="auto"/>
          <w:highlight w:val="none"/>
        </w:rPr>
      </w:pPr>
      <w:r>
        <w:rPr>
          <w:rFonts w:hint="eastAsia" w:ascii="Times New Roman" w:cs="Times New Roman"/>
          <w:color w:val="auto"/>
          <w:highlight w:val="none"/>
        </w:rPr>
        <w:t>本次优化升级及超低排放改造项目设计范围包括：槽上供料系统、槽下供料、返料及上料系统、高炉本体系统、炉顶及粗煤气系统、风口平台及出铁场系统、渣处理系统、煤粉喷吹系统、鼓风机站、TRT发电系统、干法布袋除尘系统、给排水系统、通风除尘设施、供配电系统、三电控制及通讯系统、计算机系统、总图运输等，以及相关设备、设施的计算、校核。</w:t>
      </w:r>
    </w:p>
    <w:p w14:paraId="3B571B3E">
      <w:pPr>
        <w:ind w:firstLine="0" w:firstLineChars="0"/>
        <w:outlineLvl w:val="1"/>
        <w:rPr>
          <w:rFonts w:cs="Times New Roman"/>
          <w:b/>
          <w:sz w:val="28"/>
          <w:szCs w:val="28"/>
          <w:highlight w:val="none"/>
        </w:rPr>
      </w:pPr>
      <w:bookmarkStart w:id="45" w:name="_Toc242888269"/>
      <w:bookmarkStart w:id="46" w:name="_Toc247423627"/>
      <w:bookmarkStart w:id="47" w:name="_Toc410021387"/>
      <w:bookmarkStart w:id="48" w:name="_Toc142194089"/>
      <w:bookmarkStart w:id="49" w:name="_Toc127607872"/>
      <w:bookmarkStart w:id="50" w:name="_Toc375235406"/>
      <w:bookmarkStart w:id="51" w:name="_Toc372806590"/>
      <w:bookmarkStart w:id="52" w:name="_Toc60"/>
      <w:bookmarkStart w:id="53" w:name="_Toc30002"/>
      <w:bookmarkStart w:id="54" w:name="_Toc26480"/>
      <w:bookmarkStart w:id="55" w:name="_Toc9060"/>
      <w:bookmarkStart w:id="56" w:name="_Toc16037"/>
      <w:bookmarkStart w:id="57" w:name="_Toc32755"/>
      <w:bookmarkStart w:id="58" w:name="_Toc100483673"/>
      <w:bookmarkStart w:id="59" w:name="_Toc21052"/>
      <w:bookmarkStart w:id="60" w:name="_Toc25163"/>
      <w:bookmarkStart w:id="61" w:name="_Toc62643411"/>
      <w:bookmarkStart w:id="62" w:name="_Toc31820"/>
      <w:bookmarkStart w:id="63" w:name="_Toc175920351"/>
      <w:bookmarkStart w:id="64" w:name="_Toc5812"/>
      <w:bookmarkStart w:id="65" w:name="_Toc100483353"/>
      <w:bookmarkStart w:id="66" w:name="_Toc79840253"/>
      <w:bookmarkStart w:id="67" w:name="_Toc9569"/>
      <w:bookmarkStart w:id="68" w:name="_Toc16731"/>
      <w:bookmarkStart w:id="69" w:name="_Toc3124"/>
      <w:bookmarkStart w:id="70" w:name="_Toc5625"/>
      <w:r>
        <w:rPr>
          <w:rFonts w:hint="eastAsia" w:cs="Times New Roman"/>
          <w:b/>
          <w:sz w:val="28"/>
          <w:szCs w:val="28"/>
          <w:highlight w:val="none"/>
        </w:rPr>
        <w:t>1.3 设计原则</w:t>
      </w:r>
      <w:bookmarkEnd w:id="45"/>
      <w:bookmarkEnd w:id="46"/>
      <w:bookmarkEnd w:id="47"/>
      <w:bookmarkEnd w:id="48"/>
      <w:bookmarkEnd w:id="49"/>
      <w:bookmarkEnd w:id="50"/>
      <w:bookmarkEnd w:id="51"/>
      <w:r>
        <w:rPr>
          <w:rFonts w:hint="eastAsia" w:cs="Times New Roman"/>
          <w:b/>
          <w:sz w:val="28"/>
          <w:szCs w:val="28"/>
          <w:highlight w:val="none"/>
        </w:rPr>
        <w:t>及依据</w:t>
      </w:r>
      <w:bookmarkEnd w:id="52"/>
      <w:bookmarkEnd w:id="53"/>
      <w:bookmarkEnd w:id="54"/>
      <w:bookmarkEnd w:id="55"/>
      <w:bookmarkEnd w:id="56"/>
      <w:bookmarkEnd w:id="57"/>
    </w:p>
    <w:p w14:paraId="199E4F4D">
      <w:pPr>
        <w:ind w:firstLine="0" w:firstLineChars="0"/>
        <w:outlineLvl w:val="2"/>
        <w:rPr>
          <w:rFonts w:cs="Times New Roman"/>
          <w:szCs w:val="28"/>
          <w:highlight w:val="none"/>
        </w:rPr>
      </w:pPr>
      <w:bookmarkStart w:id="71" w:name="_Toc9480"/>
      <w:r>
        <w:rPr>
          <w:rFonts w:hint="eastAsia" w:cs="Times New Roman"/>
          <w:szCs w:val="28"/>
          <w:highlight w:val="none"/>
        </w:rPr>
        <w:t>1.3.1 设计原则</w:t>
      </w:r>
      <w:bookmarkEnd w:id="71"/>
    </w:p>
    <w:p w14:paraId="55A4EFDD">
      <w:pPr>
        <w:numPr>
          <w:ilvl w:val="0"/>
          <w:numId w:val="10"/>
        </w:numPr>
        <w:spacing w:line="520" w:lineRule="exact"/>
        <w:jc w:val="both"/>
        <w:rPr>
          <w:rFonts w:ascii="Times New Roman" w:cs="Times New Roman"/>
          <w:highlight w:val="none"/>
        </w:rPr>
      </w:pPr>
      <w:r>
        <w:rPr>
          <w:rFonts w:hint="eastAsia" w:ascii="Times New Roman" w:cs="Times New Roman"/>
          <w:highlight w:val="none"/>
        </w:rPr>
        <w:t>严格遵循国家有关规程、规范，认真落实国家、行业和地方政府有关节能、环境保护、安全生产与工业卫生、消防等法规。</w:t>
      </w:r>
    </w:p>
    <w:p w14:paraId="10C87756">
      <w:pPr>
        <w:numPr>
          <w:ilvl w:val="0"/>
          <w:numId w:val="10"/>
        </w:numPr>
        <w:spacing w:line="520" w:lineRule="exact"/>
        <w:jc w:val="both"/>
        <w:rPr>
          <w:rFonts w:ascii="Times New Roman" w:cs="Times New Roman"/>
          <w:highlight w:val="none"/>
        </w:rPr>
      </w:pPr>
      <w:r>
        <w:rPr>
          <w:rFonts w:hint="eastAsia" w:ascii="Times New Roman" w:cs="Times New Roman"/>
          <w:highlight w:val="none"/>
        </w:rPr>
        <w:t>坚持绿色发展，提高绿色制造水平，对现有环保设施进行升级改造，实现清洁生产、低碳发展和可持续发展，满足超低排放要求，实现排放的减量化、无害化、资源化，成为西部企业绿色发展和生态文明建设的典范。</w:t>
      </w:r>
    </w:p>
    <w:p w14:paraId="228071EC">
      <w:pPr>
        <w:numPr>
          <w:ilvl w:val="0"/>
          <w:numId w:val="10"/>
        </w:numPr>
        <w:spacing w:line="520" w:lineRule="exact"/>
        <w:jc w:val="both"/>
        <w:rPr>
          <w:rFonts w:ascii="Times New Roman" w:cs="Times New Roman"/>
          <w:highlight w:val="none"/>
        </w:rPr>
      </w:pPr>
      <w:r>
        <w:rPr>
          <w:rFonts w:hint="eastAsia" w:ascii="Times New Roman" w:cs="Times New Roman"/>
          <w:highlight w:val="none"/>
        </w:rPr>
        <w:t>消除安全隐患，提高设备设施安全本质化水平。提高设备的可靠性和稳定性，选用成熟、可靠的技术，对关键技术、关键设备及材料严格把关，确保装备和材料的选择合理，从而整体提升高炉装备水平和安全本质化水平。</w:t>
      </w:r>
    </w:p>
    <w:p w14:paraId="43B27C43">
      <w:pPr>
        <w:numPr>
          <w:ilvl w:val="0"/>
          <w:numId w:val="10"/>
        </w:numPr>
        <w:spacing w:line="520" w:lineRule="exact"/>
        <w:jc w:val="both"/>
        <w:rPr>
          <w:rFonts w:ascii="Times New Roman" w:cs="Times New Roman"/>
          <w:highlight w:val="none"/>
        </w:rPr>
      </w:pPr>
      <w:r>
        <w:rPr>
          <w:rFonts w:hint="eastAsia" w:ascii="Times New Roman" w:cs="Times New Roman"/>
          <w:highlight w:val="none"/>
        </w:rPr>
        <w:t>按照从紧必须的原则，充分利旧现有设备及场地设施，尽可能减少拆迁还建，控制投资。</w:t>
      </w:r>
    </w:p>
    <w:p w14:paraId="770373DF">
      <w:pPr>
        <w:numPr>
          <w:ilvl w:val="0"/>
          <w:numId w:val="10"/>
        </w:numPr>
        <w:spacing w:line="520" w:lineRule="exact"/>
        <w:jc w:val="both"/>
        <w:rPr>
          <w:rFonts w:ascii="Times New Roman" w:cs="Times New Roman"/>
          <w:highlight w:val="none"/>
        </w:rPr>
      </w:pPr>
      <w:r>
        <w:rPr>
          <w:rFonts w:hint="eastAsia" w:ascii="Times New Roman" w:cs="Times New Roman"/>
          <w:highlight w:val="none"/>
        </w:rPr>
        <w:t>充分考虑新建或改造的生产设施与现有生产之间的交叉和冲突，考虑改造工期对全厂生产经营的影响，力求减少施工对生产的影响。</w:t>
      </w:r>
    </w:p>
    <w:p w14:paraId="1CD4B200">
      <w:pPr>
        <w:numPr>
          <w:ilvl w:val="0"/>
          <w:numId w:val="10"/>
        </w:numPr>
        <w:spacing w:line="520" w:lineRule="exact"/>
        <w:jc w:val="both"/>
        <w:rPr>
          <w:rFonts w:ascii="Times New Roman" w:cs="Times New Roman"/>
          <w:highlight w:val="none"/>
        </w:rPr>
      </w:pPr>
      <w:r>
        <w:rPr>
          <w:rFonts w:hint="eastAsia" w:ascii="Times New Roman" w:cs="Times New Roman"/>
          <w:highlight w:val="none"/>
          <w:lang w:val="en-US" w:eastAsia="zh-CN"/>
        </w:rPr>
        <w:t>充分考虑酒钢公司管理规定，煤气区域均按防爆设计，包括粗煤气系统、干法除尘系统、均压煤气回收系统、TRT系统、调压阀组、热风炉烟气脱硫系统、热风炉及炉顶的煤气区域。</w:t>
      </w:r>
    </w:p>
    <w:p w14:paraId="0A4B7623">
      <w:pPr>
        <w:spacing w:line="520" w:lineRule="exact"/>
        <w:jc w:val="both"/>
        <w:rPr>
          <w:rFonts w:ascii="Times New Roman" w:hAnsi="Times New Roman" w:cs="Times New Roman"/>
          <w:sz w:val="21"/>
          <w:szCs w:val="20"/>
          <w:highlight w:val="none"/>
        </w:rPr>
      </w:pPr>
      <w:bookmarkStart w:id="72" w:name="_Hlk161929853"/>
      <w:bookmarkStart w:id="73" w:name="_Hlk161929947"/>
      <w:r>
        <w:rPr>
          <w:rFonts w:hint="eastAsia" w:ascii="Times New Roman" w:cs="Times New Roman"/>
          <w:highlight w:val="none"/>
        </w:rPr>
        <w:t>因无法预测2号高炉以后的冶炼条件为完全钒钛矿冶炼模式，因此本次高炉优化升级改造，按常规性矿石冶炼进行相关系统改造，同时考虑能够适应钒钛矿冶炼。</w:t>
      </w:r>
      <w:bookmarkEnd w:id="72"/>
      <w:bookmarkEnd w:id="73"/>
    </w:p>
    <w:p w14:paraId="794AACF1">
      <w:pPr>
        <w:ind w:firstLine="0" w:firstLineChars="0"/>
        <w:outlineLvl w:val="2"/>
        <w:rPr>
          <w:rFonts w:cs="Times New Roman"/>
          <w:szCs w:val="28"/>
          <w:highlight w:val="none"/>
        </w:rPr>
      </w:pPr>
      <w:bookmarkStart w:id="74" w:name="_Toc21758"/>
      <w:r>
        <w:rPr>
          <w:rFonts w:hint="eastAsia" w:cs="Times New Roman"/>
          <w:szCs w:val="28"/>
          <w:highlight w:val="none"/>
        </w:rPr>
        <w:t>1.3.2 设计依据</w:t>
      </w:r>
      <w:bookmarkEnd w:id="74"/>
    </w:p>
    <w:p w14:paraId="032813AC">
      <w:pPr>
        <w:ind w:firstLineChars="0"/>
        <w:jc w:val="both"/>
        <w:rPr>
          <w:rFonts w:ascii="Times New Roman" w:cs="Times New Roman"/>
          <w:highlight w:val="none"/>
        </w:rPr>
      </w:pPr>
      <w:r>
        <w:rPr>
          <w:rFonts w:hint="eastAsia" w:ascii="Times New Roman" w:cs="Times New Roman"/>
          <w:highlight w:val="none"/>
        </w:rPr>
        <w:t>1）酒钢集团宏兴钢铁股份有限公司提供《炼铁厂2号高炉优化升级及超低排放改造项目可行性研究报告》文本。</w:t>
      </w:r>
    </w:p>
    <w:p w14:paraId="6254E410">
      <w:pPr>
        <w:ind w:firstLineChars="0"/>
        <w:jc w:val="both"/>
        <w:rPr>
          <w:rFonts w:ascii="Times New Roman" w:cs="Times New Roman"/>
          <w:highlight w:val="none"/>
        </w:rPr>
      </w:pPr>
      <w:r>
        <w:rPr>
          <w:rFonts w:hint="eastAsia" w:ascii="Times New Roman" w:cs="Times New Roman"/>
          <w:highlight w:val="none"/>
        </w:rPr>
        <w:t>2）酒钢集团宏兴钢铁股份有限公司网上《甘肃酒钢集团宏兴钢铁股份有限公司炼铁厂2号高炉优化升级及超低排放改造项目及7号高炉热风炉烟气超低排放改造分项工程项目初步设计服务采购》招标公告。</w:t>
      </w:r>
    </w:p>
    <w:p w14:paraId="731A6699">
      <w:pPr>
        <w:ind w:firstLineChars="0"/>
        <w:jc w:val="both"/>
        <w:rPr>
          <w:rFonts w:ascii="Times New Roman" w:cs="Times New Roman"/>
          <w:highlight w:val="none"/>
        </w:rPr>
      </w:pPr>
      <w:r>
        <w:rPr>
          <w:rFonts w:hint="eastAsia" w:ascii="Times New Roman" w:cs="Times New Roman"/>
          <w:highlight w:val="none"/>
        </w:rPr>
        <w:t>3）《关于推进实施钢铁行业超低排放的意见》（环大气〔2019〕35号）</w:t>
      </w:r>
    </w:p>
    <w:p w14:paraId="3A15F8E9">
      <w:pPr>
        <w:ind w:firstLineChars="0"/>
        <w:jc w:val="both"/>
        <w:rPr>
          <w:rFonts w:ascii="Times New Roman" w:cs="Times New Roman"/>
          <w:highlight w:val="none"/>
        </w:rPr>
      </w:pPr>
      <w:r>
        <w:rPr>
          <w:rFonts w:hint="eastAsia" w:ascii="Times New Roman" w:cs="Times New Roman"/>
          <w:highlight w:val="none"/>
        </w:rPr>
        <w:t>4）《钢铁工业调整升级规划（2016-2020年）》（工信部规〔2016〕358号）</w:t>
      </w:r>
    </w:p>
    <w:p w14:paraId="04836853">
      <w:pPr>
        <w:ind w:firstLineChars="0"/>
        <w:jc w:val="both"/>
        <w:rPr>
          <w:rFonts w:ascii="Times New Roman" w:cs="Times New Roman"/>
          <w:highlight w:val="none"/>
        </w:rPr>
      </w:pPr>
      <w:r>
        <w:rPr>
          <w:rFonts w:hint="eastAsia" w:ascii="Times New Roman" w:cs="Times New Roman"/>
          <w:highlight w:val="none"/>
        </w:rPr>
        <w:t>5）《甘肃省绿色化信息化智能化改造推进传统产业转型升级实施方案（2019-2022年）》</w:t>
      </w:r>
    </w:p>
    <w:p w14:paraId="0E6BB518">
      <w:pPr>
        <w:ind w:firstLineChars="0"/>
        <w:jc w:val="both"/>
        <w:rPr>
          <w:rFonts w:ascii="Times New Roman" w:cs="Times New Roman"/>
          <w:highlight w:val="none"/>
        </w:rPr>
      </w:pPr>
      <w:r>
        <w:rPr>
          <w:rFonts w:hint="eastAsia" w:ascii="Times New Roman" w:cs="Times New Roman"/>
          <w:highlight w:val="none"/>
        </w:rPr>
        <w:t>6）相关国家、行业、地方的勘察、设计、施工规范及标准。</w:t>
      </w:r>
    </w:p>
    <w:p w14:paraId="035C2B6A">
      <w:pPr>
        <w:ind w:firstLineChars="0"/>
        <w:jc w:val="both"/>
        <w:rPr>
          <w:rFonts w:ascii="Times New Roman" w:cs="Times New Roman"/>
          <w:highlight w:val="none"/>
        </w:rPr>
      </w:pPr>
      <w:r>
        <w:rPr>
          <w:rFonts w:hint="eastAsia" w:ascii="Times New Roman" w:cs="Times New Roman"/>
          <w:highlight w:val="none"/>
        </w:rPr>
        <w:t>7）炼铁三化升级项目部提供的有关资料、双方交流情况及提出的目标等。</w:t>
      </w:r>
    </w:p>
    <w:p w14:paraId="4147DD46">
      <w:pPr>
        <w:shd w:val="clear"/>
        <w:ind w:firstLine="0" w:firstLineChars="0"/>
        <w:outlineLvl w:val="1"/>
        <w:rPr>
          <w:rFonts w:hint="eastAsia" w:cs="Times New Roman"/>
          <w:b/>
          <w:color w:val="auto"/>
          <w:sz w:val="28"/>
          <w:szCs w:val="28"/>
          <w:highlight w:val="none"/>
        </w:rPr>
      </w:pPr>
      <w:r>
        <w:rPr>
          <w:rFonts w:hint="eastAsia" w:ascii="Times New Roman" w:cs="Times New Roman"/>
          <w:highlight w:val="none"/>
        </w:rPr>
        <w:t>8）现场调研获得的相关资料。</w:t>
      </w:r>
    </w:p>
    <w:p w14:paraId="00D295B4">
      <w:pPr>
        <w:shd w:val="clear"/>
        <w:ind w:firstLine="0" w:firstLineChars="0"/>
        <w:outlineLvl w:val="1"/>
        <w:rPr>
          <w:rFonts w:cs="Times New Roman"/>
          <w:b/>
          <w:color w:val="auto"/>
          <w:sz w:val="28"/>
          <w:szCs w:val="28"/>
          <w:highlight w:val="none"/>
        </w:rPr>
      </w:pPr>
      <w:r>
        <w:rPr>
          <w:rFonts w:hint="eastAsia" w:cs="Times New Roman"/>
          <w:b/>
          <w:color w:val="auto"/>
          <w:sz w:val="28"/>
          <w:szCs w:val="28"/>
          <w:highlight w:val="none"/>
        </w:rPr>
        <w:t>1.8 高炉改造主要技术方案</w:t>
      </w:r>
      <w:bookmarkEnd w:id="58"/>
      <w:bookmarkEnd w:id="59"/>
      <w:bookmarkEnd w:id="60"/>
      <w:bookmarkEnd w:id="61"/>
      <w:bookmarkEnd w:id="62"/>
      <w:bookmarkEnd w:id="63"/>
      <w:bookmarkEnd w:id="64"/>
      <w:bookmarkEnd w:id="65"/>
      <w:bookmarkEnd w:id="66"/>
      <w:bookmarkEnd w:id="67"/>
      <w:bookmarkEnd w:id="68"/>
      <w:bookmarkEnd w:id="69"/>
      <w:bookmarkEnd w:id="70"/>
    </w:p>
    <w:p w14:paraId="0C6FDDD5">
      <w:pPr>
        <w:shd w:val="clear"/>
        <w:ind w:firstLineChars="0"/>
        <w:jc w:val="both"/>
        <w:rPr>
          <w:color w:val="auto"/>
          <w:highlight w:val="none"/>
        </w:rPr>
      </w:pPr>
      <w:bookmarkStart w:id="75" w:name="_Toc746"/>
      <w:bookmarkStart w:id="76" w:name="_Toc100483355"/>
      <w:bookmarkStart w:id="77" w:name="_Toc394782175"/>
      <w:bookmarkStart w:id="78" w:name="_Toc394780990"/>
      <w:bookmarkStart w:id="79" w:name="_Hlk161515196"/>
      <w:bookmarkStart w:id="80" w:name="_Toc394780822"/>
      <w:bookmarkStart w:id="81" w:name="_Toc79840255"/>
      <w:bookmarkStart w:id="82" w:name="_Toc62643413"/>
      <w:bookmarkStart w:id="83" w:name="_Toc100483675"/>
      <w:bookmarkStart w:id="84" w:name="_Toc394780647"/>
      <w:r>
        <w:rPr>
          <w:rFonts w:hint="eastAsia"/>
          <w:color w:val="auto"/>
          <w:highlight w:val="none"/>
        </w:rPr>
        <w:t>2号高炉改造，高炉</w:t>
      </w:r>
      <w:r>
        <w:rPr>
          <w:rFonts w:hint="eastAsia" w:ascii="Times New Roman" w:cs="Times New Roman"/>
          <w:color w:val="auto"/>
          <w:highlight w:val="none"/>
        </w:rPr>
        <w:t>容积扩容</w:t>
      </w:r>
      <w:r>
        <w:rPr>
          <w:rFonts w:hint="eastAsia"/>
          <w:color w:val="auto"/>
          <w:highlight w:val="none"/>
        </w:rPr>
        <w:t>至1210m</w:t>
      </w:r>
      <w:r>
        <w:rPr>
          <w:rFonts w:hint="eastAsia"/>
          <w:color w:val="auto"/>
          <w:highlight w:val="none"/>
          <w:vertAlign w:val="superscript"/>
        </w:rPr>
        <w:t>3</w:t>
      </w:r>
      <w:r>
        <w:rPr>
          <w:rFonts w:hint="eastAsia"/>
          <w:color w:val="auto"/>
          <w:highlight w:val="none"/>
        </w:rPr>
        <w:t>，生铁年产量113.4万吨。</w:t>
      </w:r>
      <w:bookmarkEnd w:id="75"/>
    </w:p>
    <w:p w14:paraId="256629F7">
      <w:pPr>
        <w:shd w:val="clear"/>
        <w:ind w:firstLineChars="0"/>
        <w:jc w:val="both"/>
        <w:rPr>
          <w:rFonts w:ascii="Times New Roman" w:cs="Times New Roman"/>
          <w:color w:val="auto"/>
          <w:highlight w:val="none"/>
        </w:rPr>
      </w:pPr>
      <w:r>
        <w:rPr>
          <w:rFonts w:hint="eastAsia" w:ascii="Times New Roman" w:cs="Times New Roman"/>
          <w:color w:val="auto"/>
          <w:highlight w:val="none"/>
        </w:rPr>
        <w:t>结合业主改造目标要求及现场实际情况，除超低排放改造必须新建的除尘设施设施外，高炉主工艺设施主要改造内容见表1-2。</w:t>
      </w:r>
    </w:p>
    <w:p w14:paraId="69D8EA78">
      <w:pPr>
        <w:shd w:val="clear"/>
        <w:ind w:firstLineChars="0"/>
        <w:jc w:val="center"/>
        <w:rPr>
          <w:rFonts w:ascii="Times New Roman" w:cs="Times New Roman"/>
          <w:color w:val="auto"/>
          <w:highlight w:val="none"/>
        </w:rPr>
      </w:pPr>
      <w:r>
        <w:rPr>
          <w:rFonts w:hint="eastAsia" w:ascii="Times New Roman" w:cs="Times New Roman"/>
          <w:color w:val="auto"/>
          <w:highlight w:val="none"/>
        </w:rPr>
        <w:t>表1-2  2号高炉优化升级及超低排放改造主要技术方案</w:t>
      </w:r>
    </w:p>
    <w:tbl>
      <w:tblPr>
        <w:tblStyle w:val="60"/>
        <w:tblW w:w="0" w:type="auto"/>
        <w:jc w:val="center"/>
        <w:tblBorders>
          <w:top w:val="single" w:color="auto" w:sz="4" w:space="0"/>
          <w:left w:val="single" w:color="auto" w:sz="2" w:space="0"/>
          <w:bottom w:val="single" w:color="auto" w:sz="4" w:space="0"/>
          <w:right w:val="single" w:color="auto" w:sz="4" w:space="0"/>
          <w:insideH w:val="single" w:color="auto" w:sz="4" w:space="0"/>
          <w:insideV w:val="single" w:color="auto" w:sz="2" w:space="0"/>
        </w:tblBorders>
        <w:tblLayout w:type="fixed"/>
        <w:tblCellMar>
          <w:top w:w="0" w:type="dxa"/>
          <w:left w:w="108" w:type="dxa"/>
          <w:bottom w:w="0" w:type="dxa"/>
          <w:right w:w="108" w:type="dxa"/>
        </w:tblCellMar>
      </w:tblPr>
      <w:tblGrid>
        <w:gridCol w:w="461"/>
        <w:gridCol w:w="1475"/>
        <w:gridCol w:w="4404"/>
        <w:gridCol w:w="2182"/>
      </w:tblGrid>
      <w:tr w14:paraId="2B32E399">
        <w:tblPrEx>
          <w:tblBorders>
            <w:top w:val="single" w:color="auto" w:sz="4" w:space="0"/>
            <w:left w:val="single" w:color="auto" w:sz="2"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blHeader/>
          <w:jc w:val="center"/>
        </w:trPr>
        <w:tc>
          <w:tcPr>
            <w:tcW w:w="461" w:type="dxa"/>
            <w:vAlign w:val="center"/>
          </w:tcPr>
          <w:p w14:paraId="5A4CA2CD">
            <w:pPr>
              <w:shd w:val="clear"/>
              <w:spacing w:after="120"/>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序号</w:t>
            </w:r>
          </w:p>
        </w:tc>
        <w:tc>
          <w:tcPr>
            <w:tcW w:w="1475" w:type="dxa"/>
            <w:vAlign w:val="center"/>
          </w:tcPr>
          <w:p w14:paraId="21C77E30">
            <w:pPr>
              <w:shd w:val="clear"/>
              <w:spacing w:after="120"/>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系统名称</w:t>
            </w:r>
          </w:p>
        </w:tc>
        <w:tc>
          <w:tcPr>
            <w:tcW w:w="4404" w:type="dxa"/>
            <w:vAlign w:val="center"/>
          </w:tcPr>
          <w:p w14:paraId="5152193D">
            <w:pPr>
              <w:shd w:val="clear"/>
              <w:spacing w:after="120"/>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优化升级及超低排放改造</w:t>
            </w:r>
            <w:r>
              <w:rPr>
                <w:rFonts w:ascii="Times New Roman" w:hAnsi="Times New Roman" w:cs="Times New Roman"/>
                <w:color w:val="auto"/>
                <w:highlight w:val="none"/>
              </w:rPr>
              <w:t>技术方案</w:t>
            </w:r>
          </w:p>
        </w:tc>
        <w:tc>
          <w:tcPr>
            <w:tcW w:w="2182" w:type="dxa"/>
            <w:vAlign w:val="center"/>
          </w:tcPr>
          <w:p w14:paraId="4936F372">
            <w:pPr>
              <w:shd w:val="clear"/>
              <w:spacing w:after="120"/>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改造效果</w:t>
            </w:r>
          </w:p>
        </w:tc>
      </w:tr>
      <w:tr w14:paraId="49E88A8C">
        <w:tblPrEx>
          <w:tblBorders>
            <w:top w:val="single" w:color="auto" w:sz="4" w:space="0"/>
            <w:left w:val="single" w:color="auto" w:sz="2"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461" w:type="dxa"/>
            <w:vAlign w:val="center"/>
          </w:tcPr>
          <w:p w14:paraId="3D5927AD">
            <w:pPr>
              <w:shd w:val="clear"/>
              <w:spacing w:after="120"/>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1</w:t>
            </w:r>
          </w:p>
        </w:tc>
        <w:tc>
          <w:tcPr>
            <w:tcW w:w="1475" w:type="dxa"/>
            <w:vAlign w:val="center"/>
          </w:tcPr>
          <w:p w14:paraId="6578C3B4">
            <w:pPr>
              <w:shd w:val="clear"/>
              <w:spacing w:after="120"/>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原料供料</w:t>
            </w:r>
            <w:r>
              <w:rPr>
                <w:rFonts w:ascii="Times New Roman" w:hAnsi="Times New Roman" w:cs="Times New Roman"/>
                <w:color w:val="auto"/>
                <w:highlight w:val="none"/>
              </w:rPr>
              <w:t>系统</w:t>
            </w:r>
          </w:p>
        </w:tc>
        <w:tc>
          <w:tcPr>
            <w:tcW w:w="4404" w:type="dxa"/>
            <w:vAlign w:val="center"/>
          </w:tcPr>
          <w:p w14:paraId="58D62B4A">
            <w:pPr>
              <w:shd w:val="clear"/>
              <w:spacing w:after="120"/>
              <w:ind w:firstLine="0" w:firstLineChars="0"/>
              <w:rPr>
                <w:rFonts w:ascii="Times New Roman" w:hAnsi="Times New Roman" w:cs="Times New Roman"/>
                <w:color w:val="auto"/>
                <w:highlight w:val="none"/>
              </w:rPr>
            </w:pPr>
            <w:r>
              <w:rPr>
                <w:rFonts w:hint="eastAsia" w:ascii="Times New Roman" w:hAnsi="Times New Roman" w:cs="Times New Roman"/>
                <w:color w:val="auto"/>
                <w:highlight w:val="none"/>
              </w:rPr>
              <w:t>矿焦槽构建筑物检测鉴定加固，整体封闭；更换环保卸料小车，槽上</w:t>
            </w:r>
            <w:r>
              <w:rPr>
                <w:rFonts w:ascii="Times New Roman" w:hAnsi="Times New Roman" w:cs="Times New Roman"/>
                <w:color w:val="auto"/>
                <w:highlight w:val="none"/>
              </w:rPr>
              <w:t>2</w:t>
            </w:r>
            <w:r>
              <w:rPr>
                <w:rFonts w:hint="eastAsia" w:ascii="Times New Roman" w:hAnsi="Times New Roman" w:cs="Times New Roman"/>
                <w:color w:val="auto"/>
                <w:highlight w:val="none"/>
              </w:rPr>
              <w:t>条带式输送机更换；槽下皮带机机架加固，托辊支架更换，增加导料槽密封，恢复废钢加入设施；槽下振动筛改造为环保筛，增设酸返、碱返皮带机外运系统。矿焦槽各落料点设置抽风除尘，达到超低排放要求。（酸返皮带带宽由目前500mm改造为650mm）</w:t>
            </w:r>
          </w:p>
        </w:tc>
        <w:tc>
          <w:tcPr>
            <w:tcW w:w="2182" w:type="dxa"/>
            <w:vAlign w:val="center"/>
          </w:tcPr>
          <w:p w14:paraId="79DF085F">
            <w:pPr>
              <w:shd w:val="clear"/>
              <w:spacing w:after="120"/>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全面符合国家环保政策，作业环境明显改善，改造后达到国家要求的超低排放标准。</w:t>
            </w:r>
            <w:r>
              <w:rPr>
                <w:rFonts w:hint="eastAsia" w:ascii="Times New Roman" w:hAnsi="Times New Roman" w:cs="Times New Roman"/>
                <w:color w:val="auto"/>
                <w:highlight w:val="none"/>
              </w:rPr>
              <w:t>增强设备可靠性，降低入炉粉末量。</w:t>
            </w:r>
          </w:p>
        </w:tc>
      </w:tr>
      <w:tr w14:paraId="09BDF537">
        <w:tblPrEx>
          <w:tblBorders>
            <w:top w:val="single" w:color="auto" w:sz="4" w:space="0"/>
            <w:left w:val="single" w:color="auto" w:sz="2"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461" w:type="dxa"/>
            <w:vAlign w:val="center"/>
          </w:tcPr>
          <w:p w14:paraId="0A6515E0">
            <w:pPr>
              <w:shd w:val="clear"/>
              <w:spacing w:after="120"/>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2</w:t>
            </w:r>
          </w:p>
        </w:tc>
        <w:tc>
          <w:tcPr>
            <w:tcW w:w="1475" w:type="dxa"/>
            <w:vAlign w:val="center"/>
          </w:tcPr>
          <w:p w14:paraId="226BE441">
            <w:pPr>
              <w:shd w:val="clear"/>
              <w:spacing w:after="120"/>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上料系统</w:t>
            </w:r>
          </w:p>
        </w:tc>
        <w:tc>
          <w:tcPr>
            <w:tcW w:w="4404" w:type="dxa"/>
            <w:vAlign w:val="center"/>
          </w:tcPr>
          <w:p w14:paraId="6C72D7B6">
            <w:pPr>
              <w:shd w:val="clear"/>
              <w:spacing w:after="120"/>
              <w:ind w:firstLine="0" w:firstLineChars="0"/>
              <w:rPr>
                <w:rFonts w:ascii="Times New Roman" w:hAnsi="Times New Roman" w:cs="Times New Roman"/>
                <w:color w:val="auto"/>
                <w:highlight w:val="none"/>
              </w:rPr>
            </w:pPr>
            <w:r>
              <w:rPr>
                <w:rFonts w:hint="eastAsia" w:ascii="Times New Roman" w:hAnsi="Times New Roman" w:cs="Times New Roman"/>
                <w:color w:val="auto"/>
                <w:highlight w:val="none"/>
              </w:rPr>
              <w:t>现料车有效容积</w:t>
            </w:r>
            <w:r>
              <w:rPr>
                <w:rFonts w:ascii="Times New Roman" w:hAnsi="Times New Roman" w:cs="Times New Roman"/>
                <w:color w:val="auto"/>
                <w:highlight w:val="none"/>
              </w:rPr>
              <w:t>Vu=</w:t>
            </w:r>
            <w:r>
              <w:rPr>
                <w:rFonts w:hint="eastAsia" w:ascii="Times New Roman" w:hAnsi="Times New Roman" w:cs="Times New Roman"/>
                <w:color w:val="auto"/>
                <w:highlight w:val="none"/>
              </w:rPr>
              <w:t>6.5</w:t>
            </w:r>
            <w:r>
              <w:rPr>
                <w:rFonts w:ascii="Times New Roman" w:hAnsi="Times New Roman" w:cs="Times New Roman"/>
                <w:color w:val="auto"/>
                <w:highlight w:val="none"/>
              </w:rPr>
              <w:t>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w:t>
            </w:r>
            <w:r>
              <w:rPr>
                <w:rFonts w:hint="eastAsia" w:ascii="Times New Roman" w:hAnsi="Times New Roman" w:cs="Times New Roman"/>
                <w:color w:val="auto"/>
                <w:highlight w:val="none"/>
              </w:rPr>
              <w:t>本次改造对斜桥进行检测加固。整套主卷扬系统更换（包括电机、减速机、卷筒等），配套电气设施及控制系统更换。</w:t>
            </w:r>
          </w:p>
        </w:tc>
        <w:tc>
          <w:tcPr>
            <w:tcW w:w="2182" w:type="dxa"/>
            <w:vAlign w:val="center"/>
          </w:tcPr>
          <w:p w14:paraId="38659674">
            <w:pPr>
              <w:shd w:val="clear"/>
              <w:spacing w:after="120"/>
              <w:ind w:firstLine="0" w:firstLineChars="0"/>
              <w:jc w:val="both"/>
              <w:rPr>
                <w:rFonts w:ascii="Times New Roman" w:hAnsi="Times New Roman" w:cs="Times New Roman"/>
                <w:color w:val="auto"/>
                <w:highlight w:val="none"/>
              </w:rPr>
            </w:pPr>
            <w:r>
              <w:rPr>
                <w:rFonts w:hint="eastAsia" w:ascii="Times New Roman" w:hAnsi="Times New Roman" w:cs="Times New Roman"/>
                <w:color w:val="auto"/>
                <w:highlight w:val="none"/>
              </w:rPr>
              <w:t>解决安全生产隐患，增强设备可靠性及系统稳定性。</w:t>
            </w:r>
          </w:p>
        </w:tc>
      </w:tr>
      <w:tr w14:paraId="1E7D2042">
        <w:tblPrEx>
          <w:tblBorders>
            <w:top w:val="single" w:color="auto" w:sz="4" w:space="0"/>
            <w:left w:val="single" w:color="auto" w:sz="2"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461" w:type="dxa"/>
            <w:vAlign w:val="center"/>
          </w:tcPr>
          <w:p w14:paraId="061C3244">
            <w:pPr>
              <w:shd w:val="clear"/>
              <w:spacing w:after="120"/>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3</w:t>
            </w:r>
          </w:p>
        </w:tc>
        <w:tc>
          <w:tcPr>
            <w:tcW w:w="1475" w:type="dxa"/>
            <w:vAlign w:val="center"/>
          </w:tcPr>
          <w:p w14:paraId="0798AD1A">
            <w:pPr>
              <w:shd w:val="clear"/>
              <w:spacing w:after="120"/>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炉顶系统</w:t>
            </w:r>
          </w:p>
        </w:tc>
        <w:tc>
          <w:tcPr>
            <w:tcW w:w="4404" w:type="dxa"/>
            <w:vAlign w:val="center"/>
          </w:tcPr>
          <w:p w14:paraId="50BC61D6">
            <w:pPr>
              <w:shd w:val="clear"/>
              <w:spacing w:after="120"/>
              <w:ind w:firstLine="0" w:firstLineChars="0"/>
              <w:rPr>
                <w:rFonts w:ascii="Times New Roman" w:hAnsi="Times New Roman" w:cs="Times New Roman"/>
                <w:color w:val="auto"/>
                <w:highlight w:val="none"/>
              </w:rPr>
            </w:pPr>
            <w:r>
              <w:rPr>
                <w:rFonts w:hint="eastAsia" w:ascii="Times New Roman" w:hAnsi="Times New Roman" w:cs="Times New Roman"/>
                <w:color w:val="auto"/>
                <w:highlight w:val="none"/>
              </w:rPr>
              <w:t>原无钟炉顶</w:t>
            </w:r>
            <w:r>
              <w:rPr>
                <w:rFonts w:ascii="Times New Roman" w:hAnsi="Times New Roman" w:cs="Times New Roman"/>
                <w:color w:val="auto"/>
                <w:highlight w:val="none"/>
              </w:rPr>
              <w:t>Vu=</w:t>
            </w:r>
            <w:r>
              <w:rPr>
                <w:rFonts w:hint="eastAsia" w:ascii="Times New Roman" w:hAnsi="Times New Roman" w:cs="Times New Roman"/>
                <w:color w:val="auto"/>
                <w:highlight w:val="none"/>
              </w:rPr>
              <w:t>20</w:t>
            </w:r>
            <w:r>
              <w:rPr>
                <w:rFonts w:ascii="Times New Roman" w:hAnsi="Times New Roman" w:cs="Times New Roman"/>
                <w:color w:val="auto"/>
                <w:highlight w:val="none"/>
              </w:rPr>
              <w:t>m</w:t>
            </w:r>
            <w:r>
              <w:rPr>
                <w:rFonts w:ascii="Times New Roman" w:hAnsi="Times New Roman" w:cs="Times New Roman"/>
                <w:color w:val="auto"/>
                <w:highlight w:val="none"/>
                <w:vertAlign w:val="superscript"/>
              </w:rPr>
              <w:t>3</w:t>
            </w:r>
            <w:r>
              <w:rPr>
                <w:rFonts w:hint="eastAsia" w:ascii="Times New Roman" w:hAnsi="Times New Roman" w:cs="Times New Roman"/>
                <w:color w:val="auto"/>
                <w:highlight w:val="none"/>
              </w:rPr>
              <w:t>受料斗和称量</w:t>
            </w:r>
            <w:r>
              <w:rPr>
                <w:rFonts w:ascii="Times New Roman" w:hAnsi="Times New Roman" w:cs="Times New Roman"/>
                <w:color w:val="auto"/>
                <w:highlight w:val="none"/>
              </w:rPr>
              <w:t>料罐</w:t>
            </w:r>
            <w:r>
              <w:rPr>
                <w:rFonts w:hint="eastAsia" w:ascii="Times New Roman" w:hAnsi="Times New Roman" w:cs="Times New Roman"/>
                <w:color w:val="auto"/>
                <w:highlight w:val="none"/>
              </w:rPr>
              <w:t>利旧，串罐无料钟炉顶设备利旧；新增</w:t>
            </w:r>
            <w:r>
              <w:rPr>
                <w:rFonts w:ascii="Times New Roman" w:hAnsi="Times New Roman" w:cs="Times New Roman"/>
                <w:color w:val="auto"/>
                <w:highlight w:val="none"/>
              </w:rPr>
              <w:t>均压煤气回收</w:t>
            </w:r>
            <w:r>
              <w:rPr>
                <w:rFonts w:hint="eastAsia" w:ascii="Times New Roman" w:hAnsi="Times New Roman" w:cs="Times New Roman"/>
                <w:color w:val="auto"/>
                <w:highlight w:val="none"/>
              </w:rPr>
              <w:t>装置；新增智能润滑系统；原旋风除尘器及消音器等设备更换。</w:t>
            </w:r>
          </w:p>
        </w:tc>
        <w:tc>
          <w:tcPr>
            <w:tcW w:w="2182" w:type="dxa"/>
            <w:vAlign w:val="center"/>
          </w:tcPr>
          <w:p w14:paraId="6763EB61">
            <w:pPr>
              <w:shd w:val="clear"/>
              <w:spacing w:after="120"/>
              <w:ind w:firstLine="0" w:firstLineChars="0"/>
              <w:jc w:val="both"/>
              <w:rPr>
                <w:rFonts w:ascii="Times New Roman" w:hAnsi="Times New Roman" w:cs="Times New Roman"/>
                <w:color w:val="auto"/>
                <w:highlight w:val="none"/>
              </w:rPr>
            </w:pPr>
            <w:r>
              <w:rPr>
                <w:rFonts w:hint="eastAsia" w:ascii="Times New Roman" w:hAnsi="Times New Roman" w:cs="Times New Roman"/>
                <w:color w:val="auto"/>
                <w:highlight w:val="none"/>
              </w:rPr>
              <w:t>达标超低排放，改善作业环境，增强设备稳定性，解决安全生产隐患，提高润滑的智能化水平。</w:t>
            </w:r>
          </w:p>
        </w:tc>
      </w:tr>
      <w:tr w14:paraId="4C3361D5">
        <w:tblPrEx>
          <w:tblBorders>
            <w:top w:val="single" w:color="auto" w:sz="4" w:space="0"/>
            <w:left w:val="single" w:color="auto" w:sz="2"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461" w:type="dxa"/>
            <w:vAlign w:val="center"/>
          </w:tcPr>
          <w:p w14:paraId="103BF759">
            <w:pPr>
              <w:shd w:val="clear"/>
              <w:spacing w:after="120"/>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4</w:t>
            </w:r>
          </w:p>
        </w:tc>
        <w:tc>
          <w:tcPr>
            <w:tcW w:w="1475" w:type="dxa"/>
            <w:vAlign w:val="center"/>
          </w:tcPr>
          <w:p w14:paraId="6B7B6BB4">
            <w:pPr>
              <w:shd w:val="clear"/>
              <w:spacing w:after="120"/>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粗煤气系统</w:t>
            </w:r>
          </w:p>
        </w:tc>
        <w:tc>
          <w:tcPr>
            <w:tcW w:w="4404" w:type="dxa"/>
            <w:vAlign w:val="center"/>
          </w:tcPr>
          <w:p w14:paraId="0EC4AF02">
            <w:pPr>
              <w:shd w:val="clear"/>
              <w:spacing w:after="120"/>
              <w:ind w:firstLine="0" w:firstLineChars="0"/>
              <w:rPr>
                <w:rFonts w:ascii="Times New Roman" w:hAnsi="Times New Roman" w:cs="Times New Roman"/>
                <w:color w:val="auto"/>
                <w:highlight w:val="none"/>
              </w:rPr>
            </w:pPr>
            <w:r>
              <w:rPr>
                <w:rFonts w:hint="eastAsia" w:ascii="Times New Roman" w:hAnsi="Times New Roman" w:cs="Times New Roman"/>
                <w:color w:val="auto"/>
                <w:highlight w:val="none"/>
              </w:rPr>
              <w:t>上升管、下降管及重力除尘器修复加固，内衬修复</w:t>
            </w:r>
            <w:r>
              <w:rPr>
                <w:rFonts w:ascii="Times New Roman" w:hAnsi="Times New Roman" w:cs="Times New Roman"/>
                <w:color w:val="auto"/>
                <w:highlight w:val="none"/>
              </w:rPr>
              <w:t>。重力除尘</w:t>
            </w:r>
            <w:r>
              <w:rPr>
                <w:rFonts w:hint="eastAsia" w:ascii="Times New Roman" w:hAnsi="Times New Roman" w:cs="Times New Roman"/>
                <w:color w:val="auto"/>
                <w:highlight w:val="none"/>
              </w:rPr>
              <w:t>灰采用吸引压送密闭罐车密闭运输，更换双轴</w:t>
            </w:r>
            <w:r>
              <w:rPr>
                <w:rFonts w:ascii="Times New Roman" w:hAnsi="Times New Roman" w:cs="Times New Roman"/>
                <w:color w:val="auto"/>
                <w:highlight w:val="none"/>
              </w:rPr>
              <w:t>加湿搅拌机。</w:t>
            </w:r>
          </w:p>
        </w:tc>
        <w:tc>
          <w:tcPr>
            <w:tcW w:w="2182" w:type="dxa"/>
            <w:vAlign w:val="center"/>
          </w:tcPr>
          <w:p w14:paraId="492F9779">
            <w:pPr>
              <w:shd w:val="clear"/>
              <w:spacing w:after="120"/>
              <w:ind w:firstLine="0" w:firstLineChars="0"/>
              <w:jc w:val="both"/>
              <w:rPr>
                <w:rFonts w:ascii="Times New Roman" w:hAnsi="Times New Roman" w:cs="Times New Roman"/>
                <w:color w:val="auto"/>
                <w:highlight w:val="none"/>
              </w:rPr>
            </w:pPr>
            <w:r>
              <w:rPr>
                <w:rFonts w:hint="eastAsia" w:ascii="Times New Roman" w:hAnsi="Times New Roman" w:cs="Times New Roman"/>
                <w:color w:val="auto"/>
                <w:highlight w:val="none"/>
              </w:rPr>
              <w:t>解决安全生产隐患及设备的可靠性，改善作业环境。</w:t>
            </w:r>
          </w:p>
        </w:tc>
      </w:tr>
      <w:tr w14:paraId="3DC1D5BF">
        <w:tblPrEx>
          <w:tblBorders>
            <w:top w:val="single" w:color="auto" w:sz="4" w:space="0"/>
            <w:left w:val="single" w:color="auto" w:sz="2"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461" w:type="dxa"/>
            <w:vAlign w:val="center"/>
          </w:tcPr>
          <w:p w14:paraId="79512DC5">
            <w:pPr>
              <w:shd w:val="clear"/>
              <w:spacing w:after="120"/>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5</w:t>
            </w:r>
          </w:p>
        </w:tc>
        <w:tc>
          <w:tcPr>
            <w:tcW w:w="1475" w:type="dxa"/>
            <w:vAlign w:val="center"/>
          </w:tcPr>
          <w:p w14:paraId="62C28D29">
            <w:pPr>
              <w:shd w:val="clear"/>
              <w:spacing w:after="120"/>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炉体系统</w:t>
            </w:r>
          </w:p>
        </w:tc>
        <w:tc>
          <w:tcPr>
            <w:tcW w:w="4404" w:type="dxa"/>
            <w:vAlign w:val="center"/>
          </w:tcPr>
          <w:p w14:paraId="64D82A24">
            <w:pPr>
              <w:shd w:val="clear"/>
              <w:ind w:firstLine="0" w:firstLineChars="0"/>
              <w:rPr>
                <w:rFonts w:ascii="Times New Roman" w:hAnsi="Times New Roman" w:cs="Times New Roman"/>
                <w:color w:val="auto"/>
                <w:highlight w:val="none"/>
              </w:rPr>
            </w:pPr>
            <w:r>
              <w:rPr>
                <w:rFonts w:hint="eastAsia" w:ascii="Times New Roman" w:hAnsi="Times New Roman" w:cs="Times New Roman"/>
                <w:color w:val="auto"/>
                <w:highlight w:val="none"/>
              </w:rPr>
              <w:t>高炉基础及炉身框架利旧，炉容增大，更换风口带炉皮、冷却壁，更换8-12段铸铁冷却壁；炉底炉缸及炉内耐材更换，对炉底1-3层炭砖利旧，炉缸侵蚀模型修复，炉体监测系统修复。热风围管更换；送风装置及风口检漏更换。</w:t>
            </w:r>
          </w:p>
        </w:tc>
        <w:tc>
          <w:tcPr>
            <w:tcW w:w="2182" w:type="dxa"/>
            <w:vAlign w:val="center"/>
          </w:tcPr>
          <w:p w14:paraId="584C1652">
            <w:pPr>
              <w:shd w:val="clear"/>
              <w:spacing w:after="120"/>
              <w:ind w:firstLine="0" w:firstLineChars="0"/>
              <w:rPr>
                <w:rFonts w:ascii="Times New Roman" w:hAnsi="Times New Roman" w:cs="Times New Roman"/>
                <w:color w:val="auto"/>
                <w:highlight w:val="none"/>
              </w:rPr>
            </w:pPr>
            <w:r>
              <w:rPr>
                <w:rFonts w:hint="eastAsia" w:ascii="Times New Roman" w:hAnsi="Times New Roman" w:cs="Times New Roman"/>
                <w:color w:val="auto"/>
                <w:highlight w:val="none"/>
              </w:rPr>
              <w:t>解决安全生产隐患，保障高炉安全运行。改造后一代炉龄达到10年，进一步提高设备设施安全本质化水平。</w:t>
            </w:r>
          </w:p>
        </w:tc>
      </w:tr>
      <w:tr w14:paraId="0F842943">
        <w:tblPrEx>
          <w:tblBorders>
            <w:top w:val="single" w:color="auto" w:sz="4" w:space="0"/>
            <w:left w:val="single" w:color="auto" w:sz="2"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461" w:type="dxa"/>
            <w:vAlign w:val="center"/>
          </w:tcPr>
          <w:p w14:paraId="370D6DC2">
            <w:pPr>
              <w:shd w:val="clear"/>
              <w:spacing w:after="120"/>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6</w:t>
            </w:r>
          </w:p>
        </w:tc>
        <w:tc>
          <w:tcPr>
            <w:tcW w:w="1475" w:type="dxa"/>
            <w:vAlign w:val="center"/>
          </w:tcPr>
          <w:p w14:paraId="1CC1BA7D">
            <w:pPr>
              <w:shd w:val="clear"/>
              <w:spacing w:after="120"/>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出铁场系统</w:t>
            </w:r>
          </w:p>
        </w:tc>
        <w:tc>
          <w:tcPr>
            <w:tcW w:w="4404" w:type="dxa"/>
            <w:vAlign w:val="center"/>
          </w:tcPr>
          <w:p w14:paraId="64BD6005">
            <w:pPr>
              <w:shd w:val="clear"/>
              <w:ind w:firstLine="0" w:firstLineChars="0"/>
              <w:jc w:val="both"/>
              <w:rPr>
                <w:rFonts w:ascii="Times New Roman" w:hAnsi="Times New Roman" w:cs="Times New Roman"/>
                <w:color w:val="auto"/>
                <w:highlight w:val="none"/>
              </w:rPr>
            </w:pPr>
            <w:r>
              <w:rPr>
                <w:rFonts w:hint="eastAsia"/>
                <w:color w:val="auto"/>
                <w:highlight w:val="none"/>
              </w:rPr>
              <w:t>出</w:t>
            </w:r>
            <w:r>
              <w:rPr>
                <w:color w:val="auto"/>
                <w:highlight w:val="none"/>
              </w:rPr>
              <w:t>铁场</w:t>
            </w:r>
            <w:r>
              <w:rPr>
                <w:rFonts w:hint="eastAsia"/>
                <w:color w:val="auto"/>
                <w:highlight w:val="none"/>
              </w:rPr>
              <w:t>平台及渣铁沟整体利旧；铁口封闭，泥炮操作室外移。</w:t>
            </w:r>
            <w:r>
              <w:rPr>
                <w:rFonts w:hint="eastAsia" w:cs="宋体"/>
                <w:color w:val="auto"/>
                <w:highlight w:val="none"/>
              </w:rPr>
              <w:t>渣铁沟走向不变，主沟改造为智慧主沟、更换主沟、渣铁沟工作衬、耐材修复。铁口区域进行封闭，改善出铁场除尘效果，降低岗位含尘量</w:t>
            </w:r>
            <w:r>
              <w:rPr>
                <w:rFonts w:hint="eastAsia"/>
                <w:color w:val="auto"/>
                <w:highlight w:val="none"/>
              </w:rPr>
              <w:t>。铁沟、渣沟、铁摆盖板部分更换；对铁摆柱、梁加固、防护，铁沟、渣沟、残铁沟沟帮重新设计</w:t>
            </w:r>
          </w:p>
        </w:tc>
        <w:tc>
          <w:tcPr>
            <w:tcW w:w="2182" w:type="dxa"/>
            <w:vAlign w:val="center"/>
          </w:tcPr>
          <w:p w14:paraId="1241D3B4">
            <w:pPr>
              <w:shd w:val="clear"/>
              <w:spacing w:after="120"/>
              <w:ind w:firstLine="0" w:firstLineChars="0"/>
              <w:jc w:val="both"/>
              <w:rPr>
                <w:rFonts w:ascii="Times New Roman" w:hAnsi="Times New Roman" w:cs="Times New Roman"/>
                <w:color w:val="auto"/>
                <w:highlight w:val="none"/>
              </w:rPr>
            </w:pPr>
            <w:r>
              <w:rPr>
                <w:rFonts w:hint="eastAsia" w:ascii="Times New Roman" w:hAnsi="Times New Roman" w:cs="Times New Roman"/>
                <w:color w:val="auto"/>
                <w:highlight w:val="none"/>
              </w:rPr>
              <w:t>解决安全生产隐患，达标超低排放，改善作业环境。</w:t>
            </w:r>
          </w:p>
        </w:tc>
      </w:tr>
      <w:tr w14:paraId="3A365FCF">
        <w:tblPrEx>
          <w:tblBorders>
            <w:top w:val="single" w:color="auto" w:sz="4" w:space="0"/>
            <w:left w:val="single" w:color="auto" w:sz="2"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461" w:type="dxa"/>
            <w:vAlign w:val="center"/>
          </w:tcPr>
          <w:p w14:paraId="4CEF2C08">
            <w:pPr>
              <w:shd w:val="clear"/>
              <w:spacing w:after="120"/>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7</w:t>
            </w:r>
          </w:p>
        </w:tc>
        <w:tc>
          <w:tcPr>
            <w:tcW w:w="1475" w:type="dxa"/>
            <w:vAlign w:val="center"/>
          </w:tcPr>
          <w:p w14:paraId="4D912589">
            <w:pPr>
              <w:shd w:val="clear"/>
              <w:spacing w:after="120"/>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铁水运输</w:t>
            </w:r>
          </w:p>
        </w:tc>
        <w:tc>
          <w:tcPr>
            <w:tcW w:w="4404" w:type="dxa"/>
            <w:vAlign w:val="center"/>
          </w:tcPr>
          <w:p w14:paraId="3513E3B4">
            <w:pPr>
              <w:shd w:val="clear"/>
              <w:spacing w:after="120"/>
              <w:ind w:firstLine="0" w:firstLineChars="0"/>
              <w:rPr>
                <w:rFonts w:ascii="Times New Roman" w:hAnsi="Times New Roman" w:cs="Times New Roman"/>
                <w:color w:val="auto"/>
                <w:highlight w:val="none"/>
              </w:rPr>
            </w:pPr>
            <w:r>
              <w:rPr>
                <w:rFonts w:ascii="Times New Roman" w:hAnsi="Times New Roman" w:cs="Times New Roman"/>
                <w:color w:val="auto"/>
                <w:highlight w:val="none"/>
              </w:rPr>
              <w:t>铁水罐运输</w:t>
            </w:r>
            <w:r>
              <w:rPr>
                <w:rFonts w:hint="eastAsia" w:ascii="Times New Roman" w:hAnsi="Times New Roman" w:cs="Times New Roman"/>
                <w:color w:val="auto"/>
                <w:highlight w:val="none"/>
              </w:rPr>
              <w:t>方式及铁水罐不变。</w:t>
            </w:r>
          </w:p>
        </w:tc>
        <w:tc>
          <w:tcPr>
            <w:tcW w:w="2182" w:type="dxa"/>
            <w:vAlign w:val="center"/>
          </w:tcPr>
          <w:p w14:paraId="5FCE3D21">
            <w:pPr>
              <w:shd w:val="clear"/>
              <w:spacing w:after="120"/>
              <w:ind w:firstLine="0" w:firstLineChars="0"/>
              <w:jc w:val="both"/>
              <w:rPr>
                <w:rFonts w:ascii="Times New Roman" w:hAnsi="Times New Roman" w:cs="Times New Roman"/>
                <w:strike/>
                <w:color w:val="auto"/>
                <w:highlight w:val="none"/>
              </w:rPr>
            </w:pPr>
          </w:p>
        </w:tc>
      </w:tr>
      <w:tr w14:paraId="41F46889">
        <w:tblPrEx>
          <w:tblBorders>
            <w:top w:val="single" w:color="auto" w:sz="4" w:space="0"/>
            <w:left w:val="single" w:color="auto" w:sz="2"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461" w:type="dxa"/>
            <w:vAlign w:val="center"/>
          </w:tcPr>
          <w:p w14:paraId="2316A071">
            <w:pPr>
              <w:shd w:val="clear"/>
              <w:spacing w:after="120"/>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8</w:t>
            </w:r>
          </w:p>
        </w:tc>
        <w:tc>
          <w:tcPr>
            <w:tcW w:w="1475" w:type="dxa"/>
            <w:vAlign w:val="center"/>
          </w:tcPr>
          <w:p w14:paraId="539FE073">
            <w:pPr>
              <w:shd w:val="clear"/>
              <w:spacing w:after="120"/>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炉渣处理系统</w:t>
            </w:r>
          </w:p>
        </w:tc>
        <w:tc>
          <w:tcPr>
            <w:tcW w:w="4404" w:type="dxa"/>
            <w:vAlign w:val="center"/>
          </w:tcPr>
          <w:p w14:paraId="174415BB">
            <w:pPr>
              <w:shd w:val="clear"/>
              <w:spacing w:after="120"/>
              <w:ind w:firstLine="0" w:firstLineChars="0"/>
              <w:rPr>
                <w:rFonts w:ascii="Times New Roman" w:hAnsi="Times New Roman" w:cs="Times New Roman"/>
                <w:color w:val="auto"/>
                <w:highlight w:val="none"/>
              </w:rPr>
            </w:pPr>
            <w:r>
              <w:rPr>
                <w:rFonts w:hint="eastAsia" w:ascii="Times New Roman" w:hAnsi="Times New Roman" w:cs="Times New Roman"/>
                <w:color w:val="auto"/>
                <w:highlight w:val="none"/>
              </w:rPr>
              <w:t>冲渣沟热转鼓工艺不变，转鼓等设备设施均利旧。对水渣沟承重结构进行加固。</w:t>
            </w:r>
          </w:p>
        </w:tc>
        <w:tc>
          <w:tcPr>
            <w:tcW w:w="2182" w:type="dxa"/>
            <w:vAlign w:val="center"/>
          </w:tcPr>
          <w:p w14:paraId="3C668007">
            <w:pPr>
              <w:shd w:val="clear"/>
              <w:spacing w:after="120"/>
              <w:ind w:firstLine="0" w:firstLineChars="0"/>
              <w:jc w:val="both"/>
              <w:rPr>
                <w:rFonts w:ascii="Times New Roman" w:hAnsi="Times New Roman" w:cs="Times New Roman"/>
                <w:strike/>
                <w:color w:val="auto"/>
                <w:highlight w:val="none"/>
              </w:rPr>
            </w:pPr>
            <w:r>
              <w:rPr>
                <w:rFonts w:hint="eastAsia" w:ascii="Times New Roman" w:hAnsi="Times New Roman" w:cs="Times New Roman"/>
                <w:color w:val="auto"/>
                <w:highlight w:val="none"/>
              </w:rPr>
              <w:t>解决安全生产隐患</w:t>
            </w:r>
          </w:p>
        </w:tc>
      </w:tr>
      <w:tr w14:paraId="4097A2CF">
        <w:tblPrEx>
          <w:tblBorders>
            <w:top w:val="single" w:color="auto" w:sz="4" w:space="0"/>
            <w:left w:val="single" w:color="auto" w:sz="2"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461" w:type="dxa"/>
            <w:vAlign w:val="center"/>
          </w:tcPr>
          <w:p w14:paraId="5A4E1776">
            <w:pPr>
              <w:shd w:val="clear"/>
              <w:spacing w:after="120"/>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9</w:t>
            </w:r>
          </w:p>
        </w:tc>
        <w:tc>
          <w:tcPr>
            <w:tcW w:w="1475" w:type="dxa"/>
            <w:vAlign w:val="center"/>
          </w:tcPr>
          <w:p w14:paraId="765CBA8E">
            <w:pPr>
              <w:shd w:val="clear"/>
              <w:spacing w:after="120"/>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热风炉系统</w:t>
            </w:r>
          </w:p>
        </w:tc>
        <w:tc>
          <w:tcPr>
            <w:tcW w:w="4404" w:type="dxa"/>
            <w:vAlign w:val="center"/>
          </w:tcPr>
          <w:p w14:paraId="78A79E7A">
            <w:pPr>
              <w:shd w:val="clear"/>
              <w:spacing w:after="120"/>
              <w:ind w:firstLine="0" w:firstLineChars="0"/>
              <w:rPr>
                <w:rFonts w:ascii="Times New Roman" w:hAnsi="Times New Roman" w:cs="Times New Roman"/>
                <w:color w:val="auto"/>
                <w:highlight w:val="none"/>
              </w:rPr>
            </w:pPr>
            <w:r>
              <w:rPr>
                <w:rFonts w:hint="eastAsia" w:ascii="Times New Roman" w:hAnsi="Times New Roman" w:cs="Times New Roman"/>
                <w:color w:val="auto"/>
                <w:highlight w:val="none"/>
              </w:rPr>
              <w:t>热风围管重新设计</w:t>
            </w:r>
          </w:p>
        </w:tc>
        <w:tc>
          <w:tcPr>
            <w:tcW w:w="2182" w:type="dxa"/>
            <w:vAlign w:val="center"/>
          </w:tcPr>
          <w:p w14:paraId="7F4D17F2">
            <w:pPr>
              <w:shd w:val="clear"/>
              <w:spacing w:after="120"/>
              <w:ind w:firstLine="0" w:firstLineChars="0"/>
              <w:jc w:val="both"/>
              <w:rPr>
                <w:rFonts w:ascii="Times New Roman" w:hAnsi="Times New Roman" w:cs="Times New Roman"/>
                <w:color w:val="auto"/>
                <w:highlight w:val="none"/>
              </w:rPr>
            </w:pPr>
            <w:r>
              <w:rPr>
                <w:rFonts w:hint="eastAsia" w:ascii="Times New Roman" w:hAnsi="Times New Roman" w:cs="Times New Roman"/>
                <w:color w:val="auto"/>
                <w:highlight w:val="none"/>
              </w:rPr>
              <w:t>达标超低排放，解决安全生产隐患，提高设备的稳定性。</w:t>
            </w:r>
          </w:p>
        </w:tc>
      </w:tr>
      <w:tr w14:paraId="025C86C9">
        <w:tblPrEx>
          <w:tblBorders>
            <w:top w:val="single" w:color="auto" w:sz="4" w:space="0"/>
            <w:left w:val="single" w:color="auto" w:sz="2"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461" w:type="dxa"/>
            <w:vAlign w:val="center"/>
          </w:tcPr>
          <w:p w14:paraId="5075042D">
            <w:pPr>
              <w:shd w:val="clear"/>
              <w:spacing w:after="120"/>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10</w:t>
            </w:r>
          </w:p>
        </w:tc>
        <w:tc>
          <w:tcPr>
            <w:tcW w:w="1475" w:type="dxa"/>
            <w:vAlign w:val="center"/>
          </w:tcPr>
          <w:p w14:paraId="6DC1A66D">
            <w:pPr>
              <w:shd w:val="clear"/>
              <w:spacing w:after="120"/>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喷煤系统</w:t>
            </w:r>
          </w:p>
        </w:tc>
        <w:tc>
          <w:tcPr>
            <w:tcW w:w="4404" w:type="dxa"/>
            <w:vAlign w:val="center"/>
          </w:tcPr>
          <w:p w14:paraId="1093226D">
            <w:pPr>
              <w:shd w:val="clear"/>
              <w:ind w:firstLine="0" w:firstLineChars="0"/>
              <w:rPr>
                <w:rFonts w:ascii="Times New Roman" w:hAnsi="Times New Roman" w:cs="Times New Roman"/>
                <w:color w:val="auto"/>
                <w:highlight w:val="none"/>
              </w:rPr>
            </w:pPr>
            <w:r>
              <w:rPr>
                <w:rFonts w:hint="eastAsia" w:ascii="Times New Roman" w:hAnsi="Times New Roman" w:cs="Times New Roman"/>
                <w:color w:val="auto"/>
                <w:highlight w:val="none"/>
              </w:rPr>
              <w:t>煤粉制备及输送系统、</w:t>
            </w:r>
            <w:r>
              <w:rPr>
                <w:rFonts w:ascii="Times New Roman" w:hAnsi="Times New Roman" w:cs="Times New Roman"/>
                <w:color w:val="auto"/>
                <w:highlight w:val="none"/>
              </w:rPr>
              <w:t>喷吹系统</w:t>
            </w:r>
            <w:r>
              <w:rPr>
                <w:rFonts w:hint="eastAsia" w:ascii="Times New Roman" w:hAnsi="Times New Roman" w:cs="Times New Roman"/>
                <w:color w:val="auto"/>
                <w:highlight w:val="none"/>
              </w:rPr>
              <w:t>利旧，更换煤粉分配器及喷吹支管、喷枪。</w:t>
            </w:r>
          </w:p>
        </w:tc>
        <w:tc>
          <w:tcPr>
            <w:tcW w:w="2182" w:type="dxa"/>
            <w:vAlign w:val="center"/>
          </w:tcPr>
          <w:p w14:paraId="3432F967">
            <w:pPr>
              <w:shd w:val="clear"/>
              <w:ind w:firstLine="0" w:firstLineChars="0"/>
              <w:jc w:val="both"/>
              <w:rPr>
                <w:rFonts w:ascii="Times New Roman" w:hAnsi="Times New Roman" w:cs="Times New Roman"/>
                <w:strike/>
                <w:color w:val="auto"/>
                <w:highlight w:val="none"/>
              </w:rPr>
            </w:pPr>
            <w:r>
              <w:rPr>
                <w:rFonts w:hint="eastAsia" w:ascii="Times New Roman" w:hAnsi="Times New Roman" w:cs="Times New Roman"/>
                <w:color w:val="auto"/>
                <w:highlight w:val="none"/>
              </w:rPr>
              <w:t>恢复设备性能。</w:t>
            </w:r>
          </w:p>
        </w:tc>
      </w:tr>
      <w:tr w14:paraId="307B8B55">
        <w:tblPrEx>
          <w:tblBorders>
            <w:top w:val="single" w:color="auto" w:sz="4" w:space="0"/>
            <w:left w:val="single" w:color="auto" w:sz="2"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461" w:type="dxa"/>
            <w:vAlign w:val="center"/>
          </w:tcPr>
          <w:p w14:paraId="36B0E72C">
            <w:pPr>
              <w:shd w:val="clear"/>
              <w:spacing w:after="120"/>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11</w:t>
            </w:r>
          </w:p>
        </w:tc>
        <w:tc>
          <w:tcPr>
            <w:tcW w:w="1475" w:type="dxa"/>
            <w:vAlign w:val="center"/>
          </w:tcPr>
          <w:p w14:paraId="5B28E2FD">
            <w:pPr>
              <w:shd w:val="clear"/>
              <w:spacing w:after="120"/>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煤气净化系统</w:t>
            </w:r>
          </w:p>
        </w:tc>
        <w:tc>
          <w:tcPr>
            <w:tcW w:w="4404" w:type="dxa"/>
            <w:vAlign w:val="center"/>
          </w:tcPr>
          <w:p w14:paraId="131A359A">
            <w:pPr>
              <w:shd w:val="clear"/>
              <w:spacing w:after="120"/>
              <w:ind w:firstLine="0" w:firstLineChars="0"/>
              <w:rPr>
                <w:rFonts w:ascii="Times New Roman" w:hAnsi="Times New Roman" w:cs="Times New Roman"/>
                <w:color w:val="auto"/>
                <w:highlight w:val="none"/>
              </w:rPr>
            </w:pPr>
            <w:r>
              <w:rPr>
                <w:rFonts w:hint="eastAsia" w:ascii="Times New Roman" w:hAnsi="Times New Roman" w:cs="Times New Roman"/>
                <w:color w:val="auto"/>
                <w:highlight w:val="none"/>
              </w:rPr>
              <w:t>干法布袋除尘系统利旧修复，对半净煤气管道更换</w:t>
            </w:r>
            <w:r>
              <w:rPr>
                <w:rFonts w:ascii="Times New Roman" w:hAnsi="Times New Roman" w:cs="Times New Roman"/>
                <w:color w:val="auto"/>
                <w:highlight w:val="none"/>
              </w:rPr>
              <w:t>；</w:t>
            </w:r>
            <w:r>
              <w:rPr>
                <w:rFonts w:hint="eastAsia" w:ascii="Times New Roman" w:hAnsi="Times New Roman" w:cs="Times New Roman"/>
                <w:color w:val="auto"/>
                <w:highlight w:val="none"/>
              </w:rPr>
              <w:t>干法布袋除尘更换为双轴加湿搅拌机，增加除尘点，预留</w:t>
            </w:r>
            <w:r>
              <w:rPr>
                <w:rFonts w:ascii="Times New Roman" w:hAnsi="Times New Roman" w:cs="Times New Roman"/>
                <w:color w:val="auto"/>
                <w:highlight w:val="none"/>
              </w:rPr>
              <w:t>吸</w:t>
            </w:r>
            <w:r>
              <w:rPr>
                <w:rFonts w:hint="eastAsia" w:ascii="Times New Roman" w:hAnsi="Times New Roman" w:cs="Times New Roman"/>
                <w:color w:val="auto"/>
                <w:highlight w:val="none"/>
              </w:rPr>
              <w:t>引压送密闭</w:t>
            </w:r>
            <w:r>
              <w:rPr>
                <w:rFonts w:ascii="Times New Roman" w:hAnsi="Times New Roman" w:cs="Times New Roman"/>
                <w:color w:val="auto"/>
                <w:highlight w:val="none"/>
              </w:rPr>
              <w:t>罐车</w:t>
            </w:r>
            <w:r>
              <w:rPr>
                <w:rFonts w:hint="eastAsia" w:ascii="Times New Roman" w:hAnsi="Times New Roman" w:cs="Times New Roman"/>
                <w:color w:val="auto"/>
                <w:highlight w:val="none"/>
              </w:rPr>
              <w:t>外运接口。</w:t>
            </w:r>
            <w:r>
              <w:rPr>
                <w:rFonts w:ascii="Times New Roman" w:hAnsi="Times New Roman" w:cs="Times New Roman"/>
                <w:color w:val="auto"/>
                <w:highlight w:val="none"/>
              </w:rPr>
              <w:t>净煤气含尘量</w:t>
            </w:r>
            <w:r>
              <w:rPr>
                <w:rFonts w:hint="eastAsia" w:cs="宋体"/>
                <w:color w:val="auto"/>
                <w:highlight w:val="none"/>
              </w:rPr>
              <w:t>≤</w:t>
            </w:r>
            <w:r>
              <w:rPr>
                <w:rFonts w:ascii="Times New Roman" w:hAnsi="Times New Roman" w:cs="Times New Roman"/>
                <w:color w:val="auto"/>
                <w:highlight w:val="none"/>
              </w:rPr>
              <w:t>5mg/m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w:t>
            </w:r>
            <w:r>
              <w:rPr>
                <w:rFonts w:hint="eastAsia" w:ascii="Times New Roman" w:hAnsi="Times New Roman" w:cs="Times New Roman"/>
                <w:color w:val="auto"/>
                <w:highlight w:val="none"/>
              </w:rPr>
              <w:t>增设一个除尘箱体用于炉顶均压煤气回收净化。</w:t>
            </w:r>
          </w:p>
        </w:tc>
        <w:tc>
          <w:tcPr>
            <w:tcW w:w="2182" w:type="dxa"/>
            <w:vAlign w:val="center"/>
          </w:tcPr>
          <w:p w14:paraId="54FF6A59">
            <w:pPr>
              <w:shd w:val="clear"/>
              <w:spacing w:after="120"/>
              <w:ind w:firstLine="0" w:firstLineChars="0"/>
              <w:jc w:val="both"/>
              <w:rPr>
                <w:rFonts w:ascii="Times New Roman" w:hAnsi="Times New Roman" w:cs="Times New Roman"/>
                <w:color w:val="auto"/>
                <w:highlight w:val="none"/>
              </w:rPr>
            </w:pPr>
            <w:r>
              <w:rPr>
                <w:rFonts w:hint="eastAsia" w:ascii="Times New Roman" w:hAnsi="Times New Roman" w:cs="Times New Roman"/>
                <w:color w:val="auto"/>
                <w:highlight w:val="none"/>
              </w:rPr>
              <w:t>达标超低排放，解决安全生产隐患。</w:t>
            </w:r>
          </w:p>
        </w:tc>
      </w:tr>
      <w:tr w14:paraId="13FE5BD4">
        <w:tblPrEx>
          <w:tblBorders>
            <w:top w:val="single" w:color="auto" w:sz="4" w:space="0"/>
            <w:left w:val="single" w:color="auto" w:sz="2"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461" w:type="dxa"/>
            <w:vAlign w:val="center"/>
          </w:tcPr>
          <w:p w14:paraId="62DBBD91">
            <w:pPr>
              <w:shd w:val="clear"/>
              <w:spacing w:after="120"/>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12</w:t>
            </w:r>
          </w:p>
        </w:tc>
        <w:tc>
          <w:tcPr>
            <w:tcW w:w="1475" w:type="dxa"/>
            <w:vAlign w:val="center"/>
          </w:tcPr>
          <w:p w14:paraId="47C6FE73">
            <w:pPr>
              <w:shd w:val="clear"/>
              <w:spacing w:after="120"/>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鼓风机站</w:t>
            </w:r>
          </w:p>
        </w:tc>
        <w:tc>
          <w:tcPr>
            <w:tcW w:w="4404" w:type="dxa"/>
            <w:vAlign w:val="center"/>
          </w:tcPr>
          <w:p w14:paraId="6571AABA">
            <w:pPr>
              <w:shd w:val="clear"/>
              <w:spacing w:after="120"/>
              <w:ind w:firstLine="0" w:firstLineChars="0"/>
              <w:rPr>
                <w:rFonts w:ascii="Times New Roman" w:hAnsi="Times New Roman" w:cs="Times New Roman"/>
                <w:color w:val="auto"/>
                <w:highlight w:val="none"/>
              </w:rPr>
            </w:pPr>
            <w:r>
              <w:rPr>
                <w:rFonts w:hint="eastAsia" w:ascii="Times New Roman" w:hAnsi="Times New Roman" w:cs="Times New Roman"/>
                <w:color w:val="auto"/>
                <w:highlight w:val="none"/>
              </w:rPr>
              <w:t>2#</w:t>
            </w:r>
            <w:r>
              <w:rPr>
                <w:rFonts w:ascii="Times New Roman" w:hAnsi="Times New Roman" w:cs="Times New Roman"/>
                <w:color w:val="auto"/>
                <w:highlight w:val="none"/>
              </w:rPr>
              <w:t>鼓风机本体</w:t>
            </w:r>
            <w:r>
              <w:rPr>
                <w:rFonts w:hint="eastAsia" w:ascii="Times New Roman" w:hAnsi="Times New Roman" w:cs="Times New Roman"/>
                <w:color w:val="auto"/>
                <w:highlight w:val="none"/>
              </w:rPr>
              <w:t>利旧恢复性大修。</w:t>
            </w:r>
            <w:r>
              <w:rPr>
                <w:rFonts w:ascii="Times New Roman" w:hAnsi="Times New Roman" w:cs="Times New Roman"/>
                <w:color w:val="auto"/>
                <w:highlight w:val="none"/>
              </w:rPr>
              <w:t>2</w:t>
            </w:r>
            <w:r>
              <w:rPr>
                <w:rFonts w:hint="eastAsia" w:ascii="Times New Roman" w:hAnsi="Times New Roman" w:cs="Times New Roman"/>
                <w:color w:val="auto"/>
                <w:highlight w:val="none"/>
              </w:rPr>
              <w:t>#鼓风机静叶调节系统使用REXA替代原液压伺服调节系统。</w:t>
            </w:r>
          </w:p>
        </w:tc>
        <w:tc>
          <w:tcPr>
            <w:tcW w:w="2182" w:type="dxa"/>
            <w:vAlign w:val="center"/>
          </w:tcPr>
          <w:p w14:paraId="1C207066">
            <w:pPr>
              <w:shd w:val="clear"/>
              <w:spacing w:after="120"/>
              <w:ind w:firstLine="0" w:firstLineChars="0"/>
              <w:jc w:val="both"/>
              <w:rPr>
                <w:rFonts w:ascii="Times New Roman" w:hAnsi="Times New Roman" w:cs="Times New Roman"/>
                <w:color w:val="auto"/>
                <w:highlight w:val="none"/>
              </w:rPr>
            </w:pPr>
            <w:r>
              <w:rPr>
                <w:rFonts w:hint="eastAsia" w:ascii="Times New Roman" w:hAnsi="Times New Roman" w:cs="Times New Roman"/>
                <w:color w:val="auto"/>
                <w:highlight w:val="none"/>
              </w:rPr>
              <w:t>增强设备性能及设备的稳定性，提高控制调节水平。</w:t>
            </w:r>
          </w:p>
        </w:tc>
      </w:tr>
      <w:tr w14:paraId="34C90DA5">
        <w:tblPrEx>
          <w:tblBorders>
            <w:top w:val="single" w:color="auto" w:sz="4" w:space="0"/>
            <w:left w:val="single" w:color="auto" w:sz="2"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461" w:type="dxa"/>
            <w:vAlign w:val="center"/>
          </w:tcPr>
          <w:p w14:paraId="45837BEA">
            <w:pPr>
              <w:shd w:val="clear"/>
              <w:spacing w:after="120"/>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13</w:t>
            </w:r>
          </w:p>
        </w:tc>
        <w:tc>
          <w:tcPr>
            <w:tcW w:w="1475" w:type="dxa"/>
            <w:vAlign w:val="center"/>
          </w:tcPr>
          <w:p w14:paraId="4F72B883">
            <w:pPr>
              <w:shd w:val="clear"/>
              <w:spacing w:after="120"/>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TRT系统</w:t>
            </w:r>
          </w:p>
        </w:tc>
        <w:tc>
          <w:tcPr>
            <w:tcW w:w="4404" w:type="dxa"/>
            <w:vAlign w:val="center"/>
          </w:tcPr>
          <w:p w14:paraId="48640847">
            <w:pPr>
              <w:shd w:val="clear"/>
              <w:ind w:firstLine="0" w:firstLineChars="0"/>
              <w:jc w:val="both"/>
              <w:rPr>
                <w:rFonts w:ascii="Times New Roman" w:hAnsi="Times New Roman" w:cs="Times New Roman"/>
                <w:color w:val="auto"/>
                <w:sz w:val="28"/>
                <w:szCs w:val="28"/>
                <w:highlight w:val="none"/>
              </w:rPr>
            </w:pPr>
            <w:r>
              <w:rPr>
                <w:rFonts w:hint="eastAsia" w:ascii="Times New Roman" w:hAnsi="Times New Roman" w:cs="Times New Roman"/>
                <w:color w:val="auto"/>
                <w:highlight w:val="none"/>
              </w:rPr>
              <w:t>TRT系统利旧，对TRT的控制系统软硬件更换。</w:t>
            </w:r>
          </w:p>
        </w:tc>
        <w:tc>
          <w:tcPr>
            <w:tcW w:w="2182" w:type="dxa"/>
            <w:vAlign w:val="center"/>
          </w:tcPr>
          <w:p w14:paraId="4F2E898E">
            <w:pPr>
              <w:shd w:val="clear"/>
              <w:ind w:firstLine="0" w:firstLineChars="0"/>
              <w:jc w:val="both"/>
              <w:rPr>
                <w:rFonts w:ascii="Times New Roman" w:hAnsi="Times New Roman" w:cs="Times New Roman"/>
                <w:color w:val="auto"/>
                <w:highlight w:val="none"/>
              </w:rPr>
            </w:pPr>
            <w:r>
              <w:rPr>
                <w:rFonts w:hint="eastAsia" w:ascii="Times New Roman" w:hAnsi="Times New Roman" w:cs="Times New Roman"/>
                <w:color w:val="auto"/>
                <w:highlight w:val="none"/>
              </w:rPr>
              <w:t>提高控制系统的稳定性。</w:t>
            </w:r>
          </w:p>
        </w:tc>
      </w:tr>
      <w:tr w14:paraId="5D0930EE">
        <w:tblPrEx>
          <w:tblBorders>
            <w:top w:val="single" w:color="auto" w:sz="4" w:space="0"/>
            <w:left w:val="single" w:color="auto" w:sz="2"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461" w:type="dxa"/>
            <w:vAlign w:val="center"/>
          </w:tcPr>
          <w:p w14:paraId="158C8C49">
            <w:pPr>
              <w:shd w:val="clear"/>
              <w:spacing w:after="120"/>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1</w:t>
            </w:r>
            <w:r>
              <w:rPr>
                <w:rFonts w:hint="eastAsia" w:ascii="Times New Roman" w:hAnsi="Times New Roman" w:cs="Times New Roman"/>
                <w:color w:val="auto"/>
                <w:highlight w:val="none"/>
              </w:rPr>
              <w:t>4</w:t>
            </w:r>
          </w:p>
        </w:tc>
        <w:tc>
          <w:tcPr>
            <w:tcW w:w="1475" w:type="dxa"/>
            <w:vAlign w:val="center"/>
          </w:tcPr>
          <w:p w14:paraId="2C4FA5C3">
            <w:pPr>
              <w:shd w:val="clear"/>
              <w:spacing w:after="120"/>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给排水设施</w:t>
            </w:r>
          </w:p>
        </w:tc>
        <w:tc>
          <w:tcPr>
            <w:tcW w:w="4404" w:type="dxa"/>
            <w:vAlign w:val="center"/>
          </w:tcPr>
          <w:p w14:paraId="1A18717B">
            <w:pPr>
              <w:shd w:val="clear"/>
              <w:spacing w:after="120"/>
              <w:ind w:firstLine="0" w:firstLineChars="0"/>
              <w:rPr>
                <w:rFonts w:ascii="Times New Roman" w:hAnsi="Times New Roman" w:cs="Times New Roman"/>
                <w:color w:val="auto"/>
                <w:highlight w:val="none"/>
              </w:rPr>
            </w:pPr>
            <w:r>
              <w:rPr>
                <w:rFonts w:hint="eastAsia" w:ascii="Times New Roman" w:hAnsi="Times New Roman" w:cs="Times New Roman"/>
                <w:color w:val="auto"/>
                <w:highlight w:val="none"/>
              </w:rPr>
              <w:t>循环水泵站内设施利旧修复，屋顶的6台蒸发空冷器更换；净环、增压、软环系统部分阀门更换；净环系统、增压水系统恢复功能，增加冷却塔。</w:t>
            </w:r>
          </w:p>
        </w:tc>
        <w:tc>
          <w:tcPr>
            <w:tcW w:w="2182" w:type="dxa"/>
            <w:vAlign w:val="center"/>
          </w:tcPr>
          <w:p w14:paraId="6F1EB2C4">
            <w:pPr>
              <w:shd w:val="clear"/>
              <w:spacing w:after="120"/>
              <w:ind w:firstLine="0" w:firstLineChars="0"/>
              <w:jc w:val="both"/>
              <w:rPr>
                <w:rFonts w:ascii="Times New Roman" w:hAnsi="Times New Roman" w:cs="Times New Roman"/>
                <w:color w:val="auto"/>
                <w:highlight w:val="none"/>
              </w:rPr>
            </w:pPr>
            <w:r>
              <w:rPr>
                <w:rFonts w:hint="eastAsia" w:ascii="Times New Roman" w:hAnsi="Times New Roman" w:cs="Times New Roman"/>
                <w:color w:val="auto"/>
                <w:highlight w:val="none"/>
              </w:rPr>
              <w:t>解决安全生产隐患，增强设备可靠性。</w:t>
            </w:r>
          </w:p>
        </w:tc>
      </w:tr>
      <w:tr w14:paraId="7F59F6C2">
        <w:tblPrEx>
          <w:tblBorders>
            <w:top w:val="single" w:color="auto" w:sz="4" w:space="0"/>
            <w:left w:val="single" w:color="auto" w:sz="2"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461" w:type="dxa"/>
            <w:vAlign w:val="center"/>
          </w:tcPr>
          <w:p w14:paraId="4D188F7D">
            <w:pPr>
              <w:shd w:val="clear"/>
              <w:spacing w:after="120"/>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1</w:t>
            </w:r>
            <w:r>
              <w:rPr>
                <w:rFonts w:hint="eastAsia" w:ascii="Times New Roman" w:hAnsi="Times New Roman" w:cs="Times New Roman"/>
                <w:color w:val="auto"/>
                <w:highlight w:val="none"/>
              </w:rPr>
              <w:t>5</w:t>
            </w:r>
          </w:p>
        </w:tc>
        <w:tc>
          <w:tcPr>
            <w:tcW w:w="1475" w:type="dxa"/>
            <w:vAlign w:val="center"/>
          </w:tcPr>
          <w:p w14:paraId="25D820D2">
            <w:pPr>
              <w:shd w:val="clear"/>
              <w:spacing w:after="120"/>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通风除尘设施</w:t>
            </w:r>
          </w:p>
        </w:tc>
        <w:tc>
          <w:tcPr>
            <w:tcW w:w="4404" w:type="dxa"/>
            <w:vAlign w:val="center"/>
          </w:tcPr>
          <w:p w14:paraId="24C162FE">
            <w:pPr>
              <w:shd w:val="clear"/>
              <w:spacing w:after="120"/>
              <w:ind w:firstLine="0" w:firstLineChars="0"/>
              <w:rPr>
                <w:rFonts w:ascii="仿宋" w:hAnsi="仿宋" w:eastAsia="仿宋" w:cs="Times New Roman"/>
                <w:color w:val="auto"/>
                <w:highlight w:val="none"/>
              </w:rPr>
            </w:pPr>
            <w:r>
              <w:rPr>
                <w:rFonts w:hint="eastAsia" w:ascii="Times New Roman" w:hAnsi="Times New Roman" w:cs="Times New Roman"/>
                <w:color w:val="auto"/>
                <w:highlight w:val="none"/>
              </w:rPr>
              <w:t>新建</w:t>
            </w:r>
            <w:r>
              <w:rPr>
                <w:rFonts w:ascii="Times New Roman" w:hAnsi="Times New Roman" w:cs="Times New Roman"/>
                <w:color w:val="auto"/>
                <w:highlight w:val="none"/>
              </w:rPr>
              <w:t>出铁场</w:t>
            </w:r>
            <w:r>
              <w:rPr>
                <w:rFonts w:hint="eastAsia" w:ascii="Times New Roman" w:hAnsi="Times New Roman" w:cs="Times New Roman"/>
                <w:color w:val="auto"/>
                <w:highlight w:val="none"/>
              </w:rPr>
              <w:t>除尘，矿槽除尘利旧改造，原出铁场除尘利旧改造为地沟除尘。优化除尘管系布置、增加除尘点；</w:t>
            </w:r>
            <w:r>
              <w:rPr>
                <w:rFonts w:ascii="Times New Roman" w:hAnsi="Times New Roman" w:cs="Times New Roman"/>
                <w:color w:val="auto"/>
                <w:highlight w:val="none"/>
              </w:rPr>
              <w:t>排</w:t>
            </w:r>
            <w:r>
              <w:rPr>
                <w:rFonts w:hint="eastAsia" w:ascii="Times New Roman" w:hAnsi="Times New Roman" w:cs="Times New Roman"/>
                <w:color w:val="auto"/>
                <w:highlight w:val="none"/>
              </w:rPr>
              <w:t>气</w:t>
            </w:r>
            <w:r>
              <w:rPr>
                <w:rFonts w:ascii="Times New Roman" w:hAnsi="Times New Roman" w:cs="Times New Roman"/>
                <w:color w:val="auto"/>
                <w:highlight w:val="none"/>
              </w:rPr>
              <w:t>口</w:t>
            </w:r>
            <w:r>
              <w:rPr>
                <w:rFonts w:hint="eastAsia" w:ascii="Times New Roman" w:hAnsi="Times New Roman" w:cs="Times New Roman"/>
                <w:color w:val="auto"/>
                <w:highlight w:val="none"/>
              </w:rPr>
              <w:t>设</w:t>
            </w:r>
            <w:r>
              <w:rPr>
                <w:rFonts w:ascii="Times New Roman" w:hAnsi="Times New Roman" w:cs="Times New Roman"/>
                <w:color w:val="auto"/>
                <w:highlight w:val="none"/>
              </w:rPr>
              <w:t>在线监测，满足最新超低排放要求。</w:t>
            </w:r>
          </w:p>
        </w:tc>
        <w:tc>
          <w:tcPr>
            <w:tcW w:w="2182" w:type="dxa"/>
            <w:vAlign w:val="center"/>
          </w:tcPr>
          <w:p w14:paraId="3CD69DC0">
            <w:pPr>
              <w:shd w:val="clear"/>
              <w:spacing w:after="120"/>
              <w:ind w:firstLine="0" w:firstLineChars="0"/>
              <w:jc w:val="both"/>
              <w:rPr>
                <w:rFonts w:ascii="Times New Roman" w:hAnsi="Times New Roman" w:cs="Times New Roman"/>
                <w:color w:val="auto"/>
                <w:highlight w:val="none"/>
              </w:rPr>
            </w:pPr>
            <w:r>
              <w:rPr>
                <w:rFonts w:hint="eastAsia" w:ascii="Times New Roman" w:hAnsi="Times New Roman" w:cs="Times New Roman"/>
                <w:color w:val="auto"/>
                <w:highlight w:val="none"/>
              </w:rPr>
              <w:t>达标超低排放，改善作业环境。</w:t>
            </w:r>
          </w:p>
        </w:tc>
      </w:tr>
      <w:tr w14:paraId="51F8A56B">
        <w:tblPrEx>
          <w:tblBorders>
            <w:top w:val="single" w:color="auto" w:sz="4" w:space="0"/>
            <w:left w:val="single" w:color="auto" w:sz="2"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jc w:val="center"/>
        </w:trPr>
        <w:tc>
          <w:tcPr>
            <w:tcW w:w="461" w:type="dxa"/>
            <w:vAlign w:val="center"/>
          </w:tcPr>
          <w:p w14:paraId="2EE7681C">
            <w:pPr>
              <w:shd w:val="clear"/>
              <w:spacing w:after="120"/>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1</w:t>
            </w:r>
            <w:r>
              <w:rPr>
                <w:rFonts w:hint="eastAsia" w:ascii="Times New Roman" w:hAnsi="Times New Roman" w:cs="Times New Roman"/>
                <w:color w:val="auto"/>
                <w:highlight w:val="none"/>
              </w:rPr>
              <w:t>6</w:t>
            </w:r>
          </w:p>
        </w:tc>
        <w:tc>
          <w:tcPr>
            <w:tcW w:w="1475" w:type="dxa"/>
            <w:vAlign w:val="center"/>
          </w:tcPr>
          <w:p w14:paraId="5B40CCAF">
            <w:pPr>
              <w:shd w:val="clear"/>
              <w:spacing w:after="120"/>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供配电与自动化控制系统</w:t>
            </w:r>
          </w:p>
        </w:tc>
        <w:tc>
          <w:tcPr>
            <w:tcW w:w="4404" w:type="dxa"/>
            <w:vAlign w:val="center"/>
          </w:tcPr>
          <w:p w14:paraId="6D98973C">
            <w:pPr>
              <w:shd w:val="clear"/>
              <w:spacing w:after="120"/>
              <w:ind w:firstLine="0" w:firstLineChars="0"/>
              <w:rPr>
                <w:rFonts w:ascii="Times New Roman" w:hAnsi="Times New Roman" w:cs="Times New Roman"/>
                <w:color w:val="auto"/>
                <w:highlight w:val="none"/>
              </w:rPr>
            </w:pPr>
            <w:r>
              <w:rPr>
                <w:rFonts w:ascii="Times New Roman" w:hAnsi="Times New Roman" w:cs="Times New Roman"/>
                <w:color w:val="auto"/>
                <w:highlight w:val="none"/>
              </w:rPr>
              <w:t>高炉主工艺线系统和辅助系统的高低压供配电、电气、传动、仪表等设施</w:t>
            </w:r>
            <w:r>
              <w:rPr>
                <w:rFonts w:hint="eastAsia" w:ascii="Times New Roman" w:hAnsi="Times New Roman" w:cs="Times New Roman"/>
                <w:color w:val="auto"/>
                <w:highlight w:val="none"/>
              </w:rPr>
              <w:t>改造修复</w:t>
            </w:r>
            <w:r>
              <w:rPr>
                <w:rFonts w:ascii="Times New Roman" w:hAnsi="Times New Roman" w:cs="Times New Roman"/>
                <w:color w:val="auto"/>
                <w:highlight w:val="none"/>
              </w:rPr>
              <w:t>。</w:t>
            </w:r>
            <w:r>
              <w:rPr>
                <w:rFonts w:hint="eastAsia" w:ascii="Times New Roman" w:hAnsi="Times New Roman" w:cs="Times New Roman"/>
                <w:color w:val="auto"/>
                <w:highlight w:val="none"/>
              </w:rPr>
              <w:t>部分高能耗变压器和高能耗电机更换。</w:t>
            </w:r>
          </w:p>
        </w:tc>
        <w:tc>
          <w:tcPr>
            <w:tcW w:w="2182" w:type="dxa"/>
            <w:vAlign w:val="center"/>
          </w:tcPr>
          <w:p w14:paraId="5991D1CA">
            <w:pPr>
              <w:shd w:val="clear"/>
              <w:spacing w:after="120"/>
              <w:ind w:firstLine="0" w:firstLineChars="0"/>
              <w:jc w:val="both"/>
              <w:rPr>
                <w:rFonts w:ascii="Times New Roman" w:hAnsi="Times New Roman" w:cs="Times New Roman"/>
                <w:color w:val="auto"/>
                <w:highlight w:val="none"/>
              </w:rPr>
            </w:pPr>
            <w:r>
              <w:rPr>
                <w:rFonts w:hint="eastAsia" w:ascii="Times New Roman" w:hAnsi="Times New Roman" w:cs="Times New Roman"/>
                <w:color w:val="auto"/>
                <w:highlight w:val="none"/>
              </w:rPr>
              <w:t>增强设备可靠性，解决安全生产隐患。</w:t>
            </w:r>
          </w:p>
        </w:tc>
      </w:tr>
    </w:tbl>
    <w:p w14:paraId="3E6F9A7C">
      <w:pPr>
        <w:shd w:val="clear"/>
        <w:ind w:firstLineChars="0"/>
        <w:jc w:val="both"/>
        <w:rPr>
          <w:rFonts w:ascii="Times New Roman" w:cs="Times New Roman"/>
          <w:color w:val="auto"/>
          <w:highlight w:val="none"/>
        </w:rPr>
      </w:pPr>
      <w:r>
        <w:rPr>
          <w:rFonts w:hint="eastAsia" w:ascii="Times New Roman" w:cs="Times New Roman"/>
          <w:color w:val="auto"/>
          <w:highlight w:val="none"/>
        </w:rPr>
        <w:t>按照《国家发改委等部门关于发布重点用能产品设备能效先进水平、节能水平和准入水平（2024版）的通知》要求，以上新建或改造内容</w:t>
      </w:r>
      <w:bookmarkStart w:id="85" w:name="_Hlk161843928"/>
      <w:r>
        <w:rPr>
          <w:rFonts w:hint="eastAsia" w:ascii="Times New Roman" w:cs="Times New Roman"/>
          <w:color w:val="auto"/>
          <w:highlight w:val="none"/>
        </w:rPr>
        <w:t>新增主要用能设备能效达到先进水平，利旧用能设备能效水平不做升级。以上新建或改造内容所采用的设备优先考虑使用国产设备。</w:t>
      </w:r>
      <w:bookmarkEnd w:id="85"/>
      <w:r>
        <w:rPr>
          <w:rFonts w:hint="eastAsia" w:ascii="Times New Roman" w:cs="Times New Roman"/>
          <w:color w:val="auto"/>
          <w:highlight w:val="none"/>
        </w:rPr>
        <w:t>本项目增加均压煤气回收、恢复废钢加入设施、新增主要用能设备能效达到先进水平，促进能耗、碳排放降低。</w:t>
      </w:r>
    </w:p>
    <w:bookmarkEnd w:id="76"/>
    <w:bookmarkEnd w:id="77"/>
    <w:bookmarkEnd w:id="78"/>
    <w:bookmarkEnd w:id="79"/>
    <w:bookmarkEnd w:id="80"/>
    <w:bookmarkEnd w:id="81"/>
    <w:bookmarkEnd w:id="82"/>
    <w:bookmarkEnd w:id="83"/>
    <w:bookmarkEnd w:id="84"/>
    <w:p w14:paraId="6A65080A">
      <w:pPr>
        <w:shd w:val="clear"/>
        <w:ind w:firstLine="0" w:firstLineChars="0"/>
        <w:outlineLvl w:val="1"/>
        <w:rPr>
          <w:rFonts w:cs="Times New Roman"/>
          <w:b/>
          <w:color w:val="auto"/>
          <w:sz w:val="28"/>
          <w:szCs w:val="28"/>
          <w:highlight w:val="none"/>
        </w:rPr>
      </w:pPr>
      <w:bookmarkStart w:id="86" w:name="_Toc394780646"/>
      <w:bookmarkStart w:id="87" w:name="_Toc15836"/>
      <w:bookmarkStart w:id="88" w:name="_Toc62643410"/>
      <w:bookmarkStart w:id="89" w:name="_Toc100483352"/>
      <w:bookmarkStart w:id="90" w:name="_Toc16185"/>
      <w:bookmarkStart w:id="91" w:name="_Toc8213"/>
      <w:bookmarkStart w:id="92" w:name="_Toc8141"/>
      <w:bookmarkStart w:id="93" w:name="_Toc394780821"/>
      <w:bookmarkStart w:id="94" w:name="_Toc4233"/>
      <w:bookmarkStart w:id="95" w:name="_Toc12992"/>
      <w:bookmarkStart w:id="96" w:name="_Toc79840252"/>
      <w:bookmarkStart w:id="97" w:name="_Toc16744"/>
      <w:bookmarkStart w:id="98" w:name="_Toc21080"/>
      <w:bookmarkStart w:id="99" w:name="_Toc100483672"/>
      <w:bookmarkStart w:id="100" w:name="_Toc394782174"/>
      <w:bookmarkStart w:id="101" w:name="_Toc175920350"/>
      <w:bookmarkStart w:id="102" w:name="_Toc394780989"/>
      <w:r>
        <w:rPr>
          <w:rFonts w:hint="eastAsia" w:cs="Times New Roman"/>
          <w:b/>
          <w:color w:val="auto"/>
          <w:sz w:val="28"/>
          <w:szCs w:val="28"/>
          <w:highlight w:val="none"/>
        </w:rPr>
        <w:t>1.10 改造后的目标效果</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4CA67E24">
      <w:pPr>
        <w:shd w:val="clear"/>
        <w:ind w:firstLineChars="0"/>
        <w:jc w:val="both"/>
        <w:rPr>
          <w:rFonts w:ascii="Times New Roman" w:cs="Times New Roman"/>
          <w:color w:val="auto"/>
          <w:highlight w:val="none"/>
        </w:rPr>
      </w:pPr>
      <w:r>
        <w:rPr>
          <w:rFonts w:hint="eastAsia" w:ascii="Times New Roman" w:cs="Times New Roman"/>
          <w:color w:val="auto"/>
          <w:highlight w:val="none"/>
        </w:rPr>
        <w:t>1) 改造后的目标效果</w:t>
      </w:r>
    </w:p>
    <w:p w14:paraId="1E3EB203">
      <w:pPr>
        <w:shd w:val="clear"/>
        <w:ind w:firstLineChars="0"/>
        <w:jc w:val="both"/>
        <w:rPr>
          <w:rFonts w:ascii="Times New Roman" w:cs="Times New Roman"/>
          <w:color w:val="auto"/>
          <w:highlight w:val="none"/>
        </w:rPr>
      </w:pPr>
      <w:r>
        <w:rPr>
          <w:rFonts w:hint="eastAsia" w:ascii="Times New Roman" w:cs="Times New Roman"/>
          <w:color w:val="auto"/>
          <w:highlight w:val="none"/>
        </w:rPr>
        <w:t>（1）超低排放：全面符合国家环保政策，作业环境明显改善，改造后达到国家要求的超低排放标准。</w:t>
      </w:r>
    </w:p>
    <w:p w14:paraId="418B5B6B">
      <w:pPr>
        <w:shd w:val="clear"/>
        <w:ind w:firstLineChars="0"/>
        <w:jc w:val="both"/>
        <w:rPr>
          <w:rFonts w:ascii="Times New Roman" w:cs="Times New Roman"/>
          <w:color w:val="auto"/>
          <w:highlight w:val="none"/>
        </w:rPr>
      </w:pPr>
      <w:r>
        <w:rPr>
          <w:rFonts w:hint="eastAsia" w:ascii="Times New Roman" w:cs="Times New Roman"/>
          <w:color w:val="auto"/>
          <w:highlight w:val="none"/>
        </w:rPr>
        <w:t>（2）安全生产：进一步提高设备设施安全本质化水平，减少安全生产隐患。</w:t>
      </w:r>
    </w:p>
    <w:p w14:paraId="2A106EF5">
      <w:pPr>
        <w:shd w:val="clear"/>
        <w:ind w:firstLineChars="0"/>
        <w:jc w:val="both"/>
        <w:rPr>
          <w:rFonts w:ascii="Times New Roman" w:cs="Times New Roman"/>
          <w:color w:val="auto"/>
          <w:highlight w:val="none"/>
        </w:rPr>
      </w:pPr>
      <w:r>
        <w:rPr>
          <w:rFonts w:hint="eastAsia" w:ascii="Times New Roman" w:cs="Times New Roman"/>
          <w:color w:val="auto"/>
          <w:highlight w:val="none"/>
        </w:rPr>
        <w:t>（3）生产优化：高炉各系统功能得到恢复、改进，生产稳定性水平得到提高。</w:t>
      </w:r>
    </w:p>
    <w:p w14:paraId="7481DED2">
      <w:pPr>
        <w:shd w:val="clear"/>
        <w:ind w:firstLineChars="0"/>
        <w:jc w:val="both"/>
        <w:rPr>
          <w:rFonts w:ascii="Times New Roman" w:cs="Times New Roman"/>
          <w:color w:val="auto"/>
          <w:highlight w:val="none"/>
        </w:rPr>
      </w:pPr>
      <w:r>
        <w:rPr>
          <w:rFonts w:hint="eastAsia" w:ascii="Times New Roman" w:cs="Times New Roman"/>
          <w:color w:val="auto"/>
          <w:highlight w:val="none"/>
        </w:rPr>
        <w:t>（4）合规性：</w:t>
      </w:r>
      <w:bookmarkStart w:id="103" w:name="_Hlk152606763"/>
      <w:r>
        <w:rPr>
          <w:rFonts w:hint="eastAsia" w:ascii="Times New Roman" w:cs="Times New Roman"/>
          <w:color w:val="auto"/>
          <w:highlight w:val="none"/>
        </w:rPr>
        <w:t>高炉有效容积由1000m</w:t>
      </w:r>
      <w:r>
        <w:rPr>
          <w:rFonts w:hint="eastAsia" w:ascii="Times New Roman" w:cs="Times New Roman"/>
          <w:color w:val="auto"/>
          <w:highlight w:val="none"/>
          <w:vertAlign w:val="superscript"/>
        </w:rPr>
        <w:t>3</w:t>
      </w:r>
      <w:r>
        <w:rPr>
          <w:rFonts w:hint="eastAsia" w:ascii="Times New Roman" w:cs="Times New Roman"/>
          <w:color w:val="auto"/>
          <w:highlight w:val="none"/>
        </w:rPr>
        <w:t>改造至1210m</w:t>
      </w:r>
      <w:r>
        <w:rPr>
          <w:rFonts w:hint="eastAsia" w:ascii="Times New Roman" w:cs="Times New Roman"/>
          <w:color w:val="auto"/>
          <w:highlight w:val="none"/>
          <w:vertAlign w:val="superscript"/>
        </w:rPr>
        <w:t>3</w:t>
      </w:r>
      <w:r>
        <w:rPr>
          <w:rFonts w:hint="eastAsia" w:ascii="Times New Roman" w:cs="Times New Roman"/>
          <w:color w:val="auto"/>
          <w:highlight w:val="none"/>
        </w:rPr>
        <w:t>，符合2021年6月1日起施行的《钢铁行业产能置换实施办法》及《产业结构调整指导目录（2024年本）》的相关要求及指导意见。</w:t>
      </w:r>
      <w:bookmarkEnd w:id="103"/>
    </w:p>
    <w:p w14:paraId="6BB160D0">
      <w:pPr>
        <w:shd w:val="clear"/>
        <w:ind w:firstLineChars="0"/>
        <w:jc w:val="both"/>
        <w:rPr>
          <w:rFonts w:ascii="Times New Roman" w:cs="Times New Roman"/>
          <w:color w:val="auto"/>
          <w:highlight w:val="none"/>
        </w:rPr>
      </w:pPr>
      <w:r>
        <w:rPr>
          <w:rFonts w:hint="eastAsia" w:ascii="Times New Roman" w:cs="Times New Roman"/>
          <w:color w:val="auto"/>
          <w:highlight w:val="none"/>
        </w:rPr>
        <w:t xml:space="preserve">2）改造后的主要技术经济指标 </w:t>
      </w:r>
    </w:p>
    <w:p w14:paraId="5816F4D9">
      <w:pPr>
        <w:shd w:val="clear"/>
        <w:ind w:firstLineChars="0"/>
        <w:jc w:val="both"/>
        <w:rPr>
          <w:rFonts w:ascii="Times New Roman" w:cs="Times New Roman"/>
          <w:color w:val="auto"/>
          <w:highlight w:val="none"/>
        </w:rPr>
      </w:pPr>
      <w:r>
        <w:rPr>
          <w:rFonts w:hint="eastAsia" w:ascii="Times New Roman" w:cs="Times New Roman"/>
          <w:color w:val="auto"/>
          <w:highlight w:val="none"/>
        </w:rPr>
        <w:t>在研究分析酒钢2号高炉的实际原燃料条件和近3年实际生产技术经济指标的基础上，结合酒钢2号高炉现有的实际生产经验，并分析目前同类型高炉实际生产技术经济指标，确定优化升级改造后的2号高炉主要技术经济指标如下表1-1。</w:t>
      </w:r>
    </w:p>
    <w:p w14:paraId="38D82214">
      <w:pPr>
        <w:shd w:val="clear"/>
        <w:ind w:firstLine="0" w:firstLineChars="0"/>
        <w:rPr>
          <w:rFonts w:ascii="Times New Roman" w:cs="Times New Roman"/>
          <w:color w:val="auto"/>
          <w:highlight w:val="none"/>
        </w:rPr>
      </w:pPr>
      <w:r>
        <w:rPr>
          <w:rFonts w:hint="eastAsia" w:ascii="Times New Roman" w:cs="Times New Roman"/>
          <w:color w:val="auto"/>
          <w:szCs w:val="22"/>
          <w:highlight w:val="none"/>
        </w:rPr>
        <w:t>表1-1  2号高炉优化升级及超低排放改造后主要设计技术经济指标</w:t>
      </w:r>
    </w:p>
    <w:p w14:paraId="559220C8">
      <w:pPr>
        <w:shd w:val="clear"/>
        <w:ind w:firstLineChars="0"/>
        <w:jc w:val="both"/>
        <w:rPr>
          <w:rFonts w:ascii="Times New Roman" w:cs="Times New Roman"/>
          <w:color w:val="auto"/>
          <w:highlight w:val="none"/>
        </w:rPr>
      </w:pPr>
    </w:p>
    <w:tbl>
      <w:tblPr>
        <w:tblStyle w:val="60"/>
        <w:tblW w:w="0" w:type="auto"/>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5" w:type="dxa"/>
          <w:bottom w:w="0" w:type="dxa"/>
          <w:right w:w="105" w:type="dxa"/>
        </w:tblCellMar>
      </w:tblPr>
      <w:tblGrid>
        <w:gridCol w:w="2799"/>
        <w:gridCol w:w="1747"/>
        <w:gridCol w:w="2084"/>
        <w:gridCol w:w="2084"/>
      </w:tblGrid>
      <w:tr w14:paraId="2A8C50B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5" w:type="dxa"/>
            <w:bottom w:w="0" w:type="dxa"/>
            <w:right w:w="105" w:type="dxa"/>
          </w:tblCellMar>
        </w:tblPrEx>
        <w:trPr>
          <w:trHeight w:val="420" w:hRule="atLeast"/>
          <w:jc w:val="center"/>
        </w:trPr>
        <w:tc>
          <w:tcPr>
            <w:tcW w:w="2799" w:type="dxa"/>
            <w:vAlign w:val="center"/>
          </w:tcPr>
          <w:p w14:paraId="1663F281">
            <w:pPr>
              <w:shd w:val="clear"/>
              <w:spacing w:line="24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名称</w:t>
            </w:r>
          </w:p>
        </w:tc>
        <w:tc>
          <w:tcPr>
            <w:tcW w:w="1747" w:type="dxa"/>
            <w:vAlign w:val="center"/>
          </w:tcPr>
          <w:p w14:paraId="694F7E2F">
            <w:pPr>
              <w:shd w:val="clear"/>
              <w:spacing w:line="24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单位</w:t>
            </w:r>
          </w:p>
        </w:tc>
        <w:tc>
          <w:tcPr>
            <w:tcW w:w="2084" w:type="dxa"/>
            <w:vAlign w:val="center"/>
          </w:tcPr>
          <w:p w14:paraId="031AEE10">
            <w:pPr>
              <w:shd w:val="clear"/>
              <w:spacing w:line="24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指标</w:t>
            </w:r>
          </w:p>
        </w:tc>
        <w:tc>
          <w:tcPr>
            <w:tcW w:w="2084" w:type="dxa"/>
            <w:vAlign w:val="center"/>
          </w:tcPr>
          <w:p w14:paraId="38B651B5">
            <w:pPr>
              <w:shd w:val="clear"/>
              <w:spacing w:line="24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备注</w:t>
            </w:r>
          </w:p>
        </w:tc>
      </w:tr>
      <w:tr w14:paraId="329DBF0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5" w:type="dxa"/>
            <w:bottom w:w="0" w:type="dxa"/>
            <w:right w:w="105" w:type="dxa"/>
          </w:tblCellMar>
        </w:tblPrEx>
        <w:trPr>
          <w:trHeight w:val="420" w:hRule="atLeast"/>
          <w:jc w:val="center"/>
        </w:trPr>
        <w:tc>
          <w:tcPr>
            <w:tcW w:w="2799" w:type="dxa"/>
            <w:vAlign w:val="center"/>
          </w:tcPr>
          <w:p w14:paraId="581841A6">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高炉有效容积</w:t>
            </w:r>
          </w:p>
        </w:tc>
        <w:tc>
          <w:tcPr>
            <w:tcW w:w="1747" w:type="dxa"/>
            <w:vAlign w:val="center"/>
          </w:tcPr>
          <w:p w14:paraId="1FF23173">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m3</w:t>
            </w:r>
          </w:p>
        </w:tc>
        <w:tc>
          <w:tcPr>
            <w:tcW w:w="2084" w:type="dxa"/>
            <w:vAlign w:val="center"/>
          </w:tcPr>
          <w:p w14:paraId="4A20C5C3">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1210m3</w:t>
            </w:r>
          </w:p>
        </w:tc>
        <w:tc>
          <w:tcPr>
            <w:tcW w:w="2084" w:type="dxa"/>
            <w:vAlign w:val="center"/>
          </w:tcPr>
          <w:p w14:paraId="224C1E10">
            <w:pPr>
              <w:shd w:val="clear"/>
              <w:spacing w:line="240" w:lineRule="auto"/>
              <w:ind w:firstLine="0" w:firstLineChars="0"/>
              <w:jc w:val="center"/>
              <w:rPr>
                <w:rFonts w:hint="eastAsia" w:ascii="Times New Roman" w:hAnsi="Times New Roman" w:cs="Times New Roman"/>
                <w:color w:val="auto"/>
                <w:highlight w:val="none"/>
              </w:rPr>
            </w:pPr>
          </w:p>
        </w:tc>
      </w:tr>
      <w:tr w14:paraId="2F26AB1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5" w:type="dxa"/>
            <w:bottom w:w="0" w:type="dxa"/>
            <w:right w:w="105" w:type="dxa"/>
          </w:tblCellMar>
        </w:tblPrEx>
        <w:trPr>
          <w:trHeight w:val="420" w:hRule="atLeast"/>
          <w:jc w:val="center"/>
        </w:trPr>
        <w:tc>
          <w:tcPr>
            <w:tcW w:w="2799" w:type="dxa"/>
            <w:vAlign w:val="center"/>
          </w:tcPr>
          <w:p w14:paraId="52D1B4AE">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日平均铁水产量</w:t>
            </w:r>
          </w:p>
        </w:tc>
        <w:tc>
          <w:tcPr>
            <w:tcW w:w="1747" w:type="dxa"/>
            <w:vAlign w:val="center"/>
          </w:tcPr>
          <w:p w14:paraId="3AF77ACC">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t/d</w:t>
            </w:r>
          </w:p>
        </w:tc>
        <w:tc>
          <w:tcPr>
            <w:tcW w:w="2084" w:type="dxa"/>
            <w:vAlign w:val="center"/>
          </w:tcPr>
          <w:p w14:paraId="0BED3277">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3240</w:t>
            </w:r>
          </w:p>
        </w:tc>
        <w:tc>
          <w:tcPr>
            <w:tcW w:w="2084" w:type="dxa"/>
            <w:vAlign w:val="center"/>
          </w:tcPr>
          <w:p w14:paraId="0C5CA136">
            <w:pPr>
              <w:shd w:val="clear"/>
              <w:spacing w:line="240" w:lineRule="auto"/>
              <w:ind w:firstLine="0" w:firstLineChars="0"/>
              <w:jc w:val="center"/>
              <w:rPr>
                <w:rFonts w:hint="eastAsia" w:ascii="Times New Roman" w:hAnsi="Times New Roman" w:cs="Times New Roman"/>
                <w:color w:val="auto"/>
                <w:highlight w:val="none"/>
              </w:rPr>
            </w:pPr>
          </w:p>
        </w:tc>
      </w:tr>
      <w:tr w14:paraId="02703AD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5" w:type="dxa"/>
            <w:bottom w:w="0" w:type="dxa"/>
            <w:right w:w="105" w:type="dxa"/>
          </w:tblCellMar>
        </w:tblPrEx>
        <w:trPr>
          <w:trHeight w:val="420" w:hRule="atLeast"/>
          <w:jc w:val="center"/>
        </w:trPr>
        <w:tc>
          <w:tcPr>
            <w:tcW w:w="2799" w:type="dxa"/>
            <w:vAlign w:val="center"/>
          </w:tcPr>
          <w:p w14:paraId="768D34D1">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年平均利用系数</w:t>
            </w:r>
          </w:p>
        </w:tc>
        <w:tc>
          <w:tcPr>
            <w:tcW w:w="1747" w:type="dxa"/>
            <w:vAlign w:val="center"/>
          </w:tcPr>
          <w:p w14:paraId="04DBE43C">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t/m3.d</w:t>
            </w:r>
          </w:p>
        </w:tc>
        <w:tc>
          <w:tcPr>
            <w:tcW w:w="2084" w:type="dxa"/>
            <w:vAlign w:val="center"/>
          </w:tcPr>
          <w:p w14:paraId="14DD57CA">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2.678</w:t>
            </w:r>
          </w:p>
        </w:tc>
        <w:tc>
          <w:tcPr>
            <w:tcW w:w="2084" w:type="dxa"/>
            <w:vAlign w:val="center"/>
          </w:tcPr>
          <w:p w14:paraId="7B4F841A">
            <w:pPr>
              <w:shd w:val="clear"/>
              <w:spacing w:line="240" w:lineRule="auto"/>
              <w:ind w:firstLine="0" w:firstLineChars="0"/>
              <w:jc w:val="center"/>
              <w:rPr>
                <w:rFonts w:hint="eastAsia" w:ascii="Times New Roman" w:hAnsi="Times New Roman" w:cs="Times New Roman"/>
                <w:color w:val="auto"/>
                <w:highlight w:val="none"/>
              </w:rPr>
            </w:pPr>
          </w:p>
        </w:tc>
      </w:tr>
      <w:tr w14:paraId="11FD4AC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5" w:type="dxa"/>
            <w:bottom w:w="0" w:type="dxa"/>
            <w:right w:w="105" w:type="dxa"/>
          </w:tblCellMar>
        </w:tblPrEx>
        <w:trPr>
          <w:trHeight w:val="362" w:hRule="atLeast"/>
          <w:jc w:val="center"/>
        </w:trPr>
        <w:tc>
          <w:tcPr>
            <w:tcW w:w="2799" w:type="dxa"/>
            <w:vAlign w:val="center"/>
          </w:tcPr>
          <w:p w14:paraId="2589ECB7">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焦比</w:t>
            </w:r>
          </w:p>
        </w:tc>
        <w:tc>
          <w:tcPr>
            <w:tcW w:w="1747" w:type="dxa"/>
            <w:vAlign w:val="center"/>
          </w:tcPr>
          <w:p w14:paraId="003BBCE6">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kg/t</w:t>
            </w:r>
          </w:p>
        </w:tc>
        <w:tc>
          <w:tcPr>
            <w:tcW w:w="2084" w:type="dxa"/>
            <w:vAlign w:val="center"/>
          </w:tcPr>
          <w:p w14:paraId="5AC4F422">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395</w:t>
            </w:r>
          </w:p>
        </w:tc>
        <w:tc>
          <w:tcPr>
            <w:tcW w:w="2084" w:type="dxa"/>
            <w:vAlign w:val="center"/>
          </w:tcPr>
          <w:p w14:paraId="585A74F2">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含小块焦</w:t>
            </w:r>
          </w:p>
        </w:tc>
      </w:tr>
      <w:tr w14:paraId="04E3025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5" w:type="dxa"/>
            <w:bottom w:w="0" w:type="dxa"/>
            <w:right w:w="105" w:type="dxa"/>
          </w:tblCellMar>
        </w:tblPrEx>
        <w:trPr>
          <w:trHeight w:val="420" w:hRule="atLeast"/>
          <w:jc w:val="center"/>
        </w:trPr>
        <w:tc>
          <w:tcPr>
            <w:tcW w:w="2799" w:type="dxa"/>
            <w:vAlign w:val="center"/>
          </w:tcPr>
          <w:p w14:paraId="50BB9BE0">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煤比</w:t>
            </w:r>
          </w:p>
        </w:tc>
        <w:tc>
          <w:tcPr>
            <w:tcW w:w="1747" w:type="dxa"/>
            <w:vAlign w:val="center"/>
          </w:tcPr>
          <w:p w14:paraId="7BD0EB8B">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kg/t</w:t>
            </w:r>
          </w:p>
        </w:tc>
        <w:tc>
          <w:tcPr>
            <w:tcW w:w="2084" w:type="dxa"/>
            <w:vAlign w:val="center"/>
          </w:tcPr>
          <w:p w14:paraId="241DDF03">
            <w:pPr>
              <w:shd w:val="clear"/>
              <w:spacing w:line="240" w:lineRule="auto"/>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1</w:t>
            </w:r>
            <w:r>
              <w:rPr>
                <w:rFonts w:hint="eastAsia" w:ascii="Times New Roman" w:hAnsi="Times New Roman" w:cs="Times New Roman"/>
                <w:color w:val="auto"/>
                <w:highlight w:val="none"/>
                <w:lang w:val="en-US" w:eastAsia="zh-CN"/>
              </w:rPr>
              <w:t>60</w:t>
            </w:r>
          </w:p>
        </w:tc>
        <w:tc>
          <w:tcPr>
            <w:tcW w:w="2084" w:type="dxa"/>
            <w:vAlign w:val="center"/>
          </w:tcPr>
          <w:p w14:paraId="059DD827">
            <w:pPr>
              <w:shd w:val="clear"/>
              <w:spacing w:line="240" w:lineRule="auto"/>
              <w:ind w:firstLine="0" w:firstLineChars="0"/>
              <w:jc w:val="center"/>
              <w:rPr>
                <w:rFonts w:hint="eastAsia" w:ascii="Times New Roman" w:hAnsi="Times New Roman" w:cs="Times New Roman"/>
                <w:color w:val="auto"/>
                <w:highlight w:val="none"/>
              </w:rPr>
            </w:pPr>
          </w:p>
        </w:tc>
      </w:tr>
      <w:tr w14:paraId="4CAF64B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5" w:type="dxa"/>
            <w:bottom w:w="0" w:type="dxa"/>
            <w:right w:w="105" w:type="dxa"/>
          </w:tblCellMar>
        </w:tblPrEx>
        <w:trPr>
          <w:trHeight w:val="420" w:hRule="atLeast"/>
          <w:jc w:val="center"/>
        </w:trPr>
        <w:tc>
          <w:tcPr>
            <w:tcW w:w="2799" w:type="dxa"/>
            <w:vAlign w:val="center"/>
          </w:tcPr>
          <w:p w14:paraId="3A5792B9">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燃料比</w:t>
            </w:r>
          </w:p>
        </w:tc>
        <w:tc>
          <w:tcPr>
            <w:tcW w:w="1747" w:type="dxa"/>
            <w:vAlign w:val="center"/>
          </w:tcPr>
          <w:p w14:paraId="088A91BE">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kg/t</w:t>
            </w:r>
          </w:p>
        </w:tc>
        <w:tc>
          <w:tcPr>
            <w:tcW w:w="2084" w:type="dxa"/>
            <w:vAlign w:val="center"/>
          </w:tcPr>
          <w:p w14:paraId="5714108B">
            <w:pPr>
              <w:shd w:val="clear"/>
              <w:spacing w:line="240" w:lineRule="auto"/>
              <w:ind w:firstLine="0" w:firstLineChars="0"/>
              <w:jc w:val="center"/>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rPr>
              <w:t>55</w:t>
            </w:r>
            <w:r>
              <w:rPr>
                <w:rFonts w:hint="eastAsia" w:ascii="Times New Roman" w:hAnsi="Times New Roman" w:cs="Times New Roman"/>
                <w:color w:val="auto"/>
                <w:highlight w:val="none"/>
                <w:lang w:val="en-US" w:eastAsia="zh-CN"/>
              </w:rPr>
              <w:t>5</w:t>
            </w:r>
          </w:p>
        </w:tc>
        <w:tc>
          <w:tcPr>
            <w:tcW w:w="2084" w:type="dxa"/>
            <w:vAlign w:val="center"/>
          </w:tcPr>
          <w:p w14:paraId="55640256">
            <w:pPr>
              <w:shd w:val="clear"/>
              <w:spacing w:line="240" w:lineRule="auto"/>
              <w:ind w:firstLine="0" w:firstLineChars="0"/>
              <w:jc w:val="center"/>
              <w:rPr>
                <w:rFonts w:hint="eastAsia" w:ascii="Times New Roman" w:hAnsi="Times New Roman" w:cs="Times New Roman"/>
                <w:color w:val="auto"/>
                <w:highlight w:val="none"/>
              </w:rPr>
            </w:pPr>
          </w:p>
        </w:tc>
      </w:tr>
      <w:tr w14:paraId="5D7F832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5" w:type="dxa"/>
            <w:bottom w:w="0" w:type="dxa"/>
            <w:right w:w="105" w:type="dxa"/>
          </w:tblCellMar>
        </w:tblPrEx>
        <w:trPr>
          <w:trHeight w:val="420" w:hRule="atLeast"/>
          <w:jc w:val="center"/>
        </w:trPr>
        <w:tc>
          <w:tcPr>
            <w:tcW w:w="2799" w:type="dxa"/>
            <w:vAlign w:val="center"/>
          </w:tcPr>
          <w:p w14:paraId="7BA37F7E">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热风压力</w:t>
            </w:r>
          </w:p>
        </w:tc>
        <w:tc>
          <w:tcPr>
            <w:tcW w:w="1747" w:type="dxa"/>
            <w:vAlign w:val="center"/>
          </w:tcPr>
          <w:p w14:paraId="4D548D00">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MPa</w:t>
            </w:r>
          </w:p>
        </w:tc>
        <w:tc>
          <w:tcPr>
            <w:tcW w:w="2084" w:type="dxa"/>
            <w:vAlign w:val="center"/>
          </w:tcPr>
          <w:p w14:paraId="5709AC7C">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0.320</w:t>
            </w:r>
          </w:p>
        </w:tc>
        <w:tc>
          <w:tcPr>
            <w:tcW w:w="2084" w:type="dxa"/>
            <w:vAlign w:val="center"/>
          </w:tcPr>
          <w:p w14:paraId="4306999C">
            <w:pPr>
              <w:shd w:val="clear"/>
              <w:spacing w:line="240" w:lineRule="auto"/>
              <w:ind w:firstLine="0" w:firstLineChars="0"/>
              <w:jc w:val="center"/>
              <w:rPr>
                <w:rFonts w:hint="eastAsia" w:ascii="Times New Roman" w:hAnsi="Times New Roman" w:cs="Times New Roman"/>
                <w:color w:val="auto"/>
                <w:highlight w:val="none"/>
              </w:rPr>
            </w:pPr>
          </w:p>
        </w:tc>
      </w:tr>
      <w:tr w14:paraId="3B3BD4B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5" w:type="dxa"/>
            <w:bottom w:w="0" w:type="dxa"/>
            <w:right w:w="105" w:type="dxa"/>
          </w:tblCellMar>
        </w:tblPrEx>
        <w:trPr>
          <w:trHeight w:val="420" w:hRule="atLeast"/>
          <w:jc w:val="center"/>
        </w:trPr>
        <w:tc>
          <w:tcPr>
            <w:tcW w:w="2799" w:type="dxa"/>
            <w:vAlign w:val="center"/>
          </w:tcPr>
          <w:p w14:paraId="5ACFBC65">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炉顶压力</w:t>
            </w:r>
          </w:p>
        </w:tc>
        <w:tc>
          <w:tcPr>
            <w:tcW w:w="1747" w:type="dxa"/>
            <w:vAlign w:val="center"/>
          </w:tcPr>
          <w:p w14:paraId="65CB2386">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MPa</w:t>
            </w:r>
          </w:p>
        </w:tc>
        <w:tc>
          <w:tcPr>
            <w:tcW w:w="2084" w:type="dxa"/>
            <w:vAlign w:val="center"/>
          </w:tcPr>
          <w:p w14:paraId="7AC12667">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0.175</w:t>
            </w:r>
          </w:p>
        </w:tc>
        <w:tc>
          <w:tcPr>
            <w:tcW w:w="2084" w:type="dxa"/>
            <w:vAlign w:val="center"/>
          </w:tcPr>
          <w:p w14:paraId="412520C0">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最大0.18</w:t>
            </w:r>
          </w:p>
        </w:tc>
      </w:tr>
      <w:tr w14:paraId="45D4034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5" w:type="dxa"/>
            <w:bottom w:w="0" w:type="dxa"/>
            <w:right w:w="105" w:type="dxa"/>
          </w:tblCellMar>
        </w:tblPrEx>
        <w:trPr>
          <w:trHeight w:val="420" w:hRule="atLeast"/>
          <w:jc w:val="center"/>
        </w:trPr>
        <w:tc>
          <w:tcPr>
            <w:tcW w:w="2799" w:type="dxa"/>
            <w:vAlign w:val="center"/>
          </w:tcPr>
          <w:p w14:paraId="3214B0FB">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热风温度</w:t>
            </w:r>
          </w:p>
        </w:tc>
        <w:tc>
          <w:tcPr>
            <w:tcW w:w="1747" w:type="dxa"/>
            <w:vAlign w:val="center"/>
          </w:tcPr>
          <w:p w14:paraId="05569565">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w:t>
            </w:r>
          </w:p>
        </w:tc>
        <w:tc>
          <w:tcPr>
            <w:tcW w:w="2084" w:type="dxa"/>
            <w:vAlign w:val="center"/>
          </w:tcPr>
          <w:p w14:paraId="0D17AE90">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1130</w:t>
            </w:r>
          </w:p>
        </w:tc>
        <w:tc>
          <w:tcPr>
            <w:tcW w:w="2084" w:type="dxa"/>
            <w:vAlign w:val="center"/>
          </w:tcPr>
          <w:p w14:paraId="3DC62A3D">
            <w:pPr>
              <w:shd w:val="clear"/>
              <w:spacing w:line="240" w:lineRule="auto"/>
              <w:ind w:firstLine="0" w:firstLineChars="0"/>
              <w:jc w:val="center"/>
              <w:rPr>
                <w:rFonts w:hint="eastAsia" w:ascii="Times New Roman" w:hAnsi="Times New Roman" w:cs="Times New Roman"/>
                <w:color w:val="auto"/>
                <w:highlight w:val="none"/>
              </w:rPr>
            </w:pPr>
          </w:p>
        </w:tc>
      </w:tr>
      <w:tr w14:paraId="0C0E99C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5" w:type="dxa"/>
            <w:bottom w:w="0" w:type="dxa"/>
            <w:right w:w="105" w:type="dxa"/>
          </w:tblCellMar>
        </w:tblPrEx>
        <w:trPr>
          <w:trHeight w:val="420" w:hRule="atLeast"/>
          <w:jc w:val="center"/>
        </w:trPr>
        <w:tc>
          <w:tcPr>
            <w:tcW w:w="2799" w:type="dxa"/>
            <w:vAlign w:val="center"/>
          </w:tcPr>
          <w:p w14:paraId="69723EE2">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渣比</w:t>
            </w:r>
          </w:p>
        </w:tc>
        <w:tc>
          <w:tcPr>
            <w:tcW w:w="1747" w:type="dxa"/>
            <w:vAlign w:val="center"/>
          </w:tcPr>
          <w:p w14:paraId="55C21BD0">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kg/t</w:t>
            </w:r>
          </w:p>
        </w:tc>
        <w:tc>
          <w:tcPr>
            <w:tcW w:w="2084" w:type="dxa"/>
            <w:vAlign w:val="center"/>
          </w:tcPr>
          <w:p w14:paraId="31F46577">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≤460</w:t>
            </w:r>
          </w:p>
        </w:tc>
        <w:tc>
          <w:tcPr>
            <w:tcW w:w="2084" w:type="dxa"/>
            <w:vAlign w:val="center"/>
          </w:tcPr>
          <w:p w14:paraId="610DC99D">
            <w:pPr>
              <w:shd w:val="clear"/>
              <w:spacing w:line="240" w:lineRule="auto"/>
              <w:ind w:firstLine="0" w:firstLineChars="0"/>
              <w:jc w:val="center"/>
              <w:rPr>
                <w:rFonts w:hint="eastAsia" w:ascii="Times New Roman" w:hAnsi="Times New Roman" w:cs="Times New Roman"/>
                <w:color w:val="auto"/>
                <w:highlight w:val="none"/>
              </w:rPr>
            </w:pPr>
          </w:p>
        </w:tc>
      </w:tr>
      <w:tr w14:paraId="579F681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5" w:type="dxa"/>
            <w:bottom w:w="0" w:type="dxa"/>
            <w:right w:w="105" w:type="dxa"/>
          </w:tblCellMar>
        </w:tblPrEx>
        <w:trPr>
          <w:trHeight w:val="420" w:hRule="atLeast"/>
          <w:jc w:val="center"/>
        </w:trPr>
        <w:tc>
          <w:tcPr>
            <w:tcW w:w="2799" w:type="dxa"/>
            <w:vAlign w:val="center"/>
          </w:tcPr>
          <w:p w14:paraId="79FC46C9">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入炉料结构</w:t>
            </w:r>
          </w:p>
        </w:tc>
        <w:tc>
          <w:tcPr>
            <w:tcW w:w="5915" w:type="dxa"/>
            <w:gridSpan w:val="3"/>
            <w:vAlign w:val="center"/>
          </w:tcPr>
          <w:p w14:paraId="57FEF55C">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70% 烧结矿+25%球团矿+5%块矿</w:t>
            </w:r>
          </w:p>
        </w:tc>
      </w:tr>
      <w:tr w14:paraId="02373ED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5" w:type="dxa"/>
            <w:bottom w:w="0" w:type="dxa"/>
            <w:right w:w="105" w:type="dxa"/>
          </w:tblCellMar>
        </w:tblPrEx>
        <w:trPr>
          <w:trHeight w:val="420" w:hRule="atLeast"/>
          <w:jc w:val="center"/>
        </w:trPr>
        <w:tc>
          <w:tcPr>
            <w:tcW w:w="2799" w:type="dxa"/>
            <w:vAlign w:val="center"/>
          </w:tcPr>
          <w:p w14:paraId="5201AF2E">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入炉矿品位</w:t>
            </w:r>
          </w:p>
        </w:tc>
        <w:tc>
          <w:tcPr>
            <w:tcW w:w="1747" w:type="dxa"/>
            <w:vAlign w:val="center"/>
          </w:tcPr>
          <w:p w14:paraId="66F3215E">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w:t>
            </w:r>
          </w:p>
        </w:tc>
        <w:tc>
          <w:tcPr>
            <w:tcW w:w="2084" w:type="dxa"/>
            <w:vAlign w:val="center"/>
          </w:tcPr>
          <w:p w14:paraId="77DAD9BD">
            <w:pPr>
              <w:shd w:val="clear"/>
              <w:spacing w:line="240" w:lineRule="auto"/>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r>
              <w:rPr>
                <w:rFonts w:hint="eastAsia" w:ascii="Times New Roman" w:hAnsi="Times New Roman" w:cs="Times New Roman"/>
                <w:color w:val="auto"/>
                <w:highlight w:val="none"/>
                <w:lang w:val="en-US" w:eastAsia="zh-CN"/>
              </w:rPr>
              <w:t>55</w:t>
            </w:r>
          </w:p>
        </w:tc>
        <w:tc>
          <w:tcPr>
            <w:tcW w:w="2084" w:type="dxa"/>
            <w:vAlign w:val="center"/>
          </w:tcPr>
          <w:p w14:paraId="2DC80680">
            <w:pPr>
              <w:shd w:val="clear"/>
              <w:spacing w:line="240" w:lineRule="auto"/>
              <w:ind w:firstLine="0" w:firstLineChars="0"/>
              <w:jc w:val="center"/>
              <w:rPr>
                <w:rFonts w:hint="eastAsia" w:ascii="Times New Roman" w:hAnsi="Times New Roman" w:cs="Times New Roman"/>
                <w:color w:val="auto"/>
                <w:highlight w:val="none"/>
              </w:rPr>
            </w:pPr>
          </w:p>
        </w:tc>
      </w:tr>
      <w:tr w14:paraId="66B20F5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5" w:type="dxa"/>
            <w:bottom w:w="0" w:type="dxa"/>
            <w:right w:w="105" w:type="dxa"/>
          </w:tblCellMar>
        </w:tblPrEx>
        <w:trPr>
          <w:trHeight w:val="423" w:hRule="atLeast"/>
          <w:jc w:val="center"/>
        </w:trPr>
        <w:tc>
          <w:tcPr>
            <w:tcW w:w="2799" w:type="dxa"/>
            <w:vAlign w:val="center"/>
          </w:tcPr>
          <w:p w14:paraId="15EBFDB4">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富氧率</w:t>
            </w:r>
          </w:p>
        </w:tc>
        <w:tc>
          <w:tcPr>
            <w:tcW w:w="1747" w:type="dxa"/>
            <w:vAlign w:val="center"/>
          </w:tcPr>
          <w:p w14:paraId="4BD2181F">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w:t>
            </w:r>
          </w:p>
        </w:tc>
        <w:tc>
          <w:tcPr>
            <w:tcW w:w="2084" w:type="dxa"/>
            <w:vAlign w:val="center"/>
          </w:tcPr>
          <w:p w14:paraId="0477EF00">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5.0</w:t>
            </w:r>
          </w:p>
        </w:tc>
        <w:tc>
          <w:tcPr>
            <w:tcW w:w="2084" w:type="dxa"/>
            <w:vAlign w:val="center"/>
          </w:tcPr>
          <w:p w14:paraId="77DD4CFA">
            <w:pPr>
              <w:shd w:val="clear"/>
              <w:spacing w:line="240" w:lineRule="auto"/>
              <w:ind w:firstLine="0" w:firstLineChars="0"/>
              <w:jc w:val="center"/>
              <w:rPr>
                <w:rFonts w:hint="eastAsia" w:ascii="Times New Roman" w:hAnsi="Times New Roman" w:cs="Times New Roman"/>
                <w:color w:val="auto"/>
                <w:highlight w:val="none"/>
              </w:rPr>
            </w:pPr>
          </w:p>
        </w:tc>
      </w:tr>
      <w:tr w14:paraId="77AA155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5" w:type="dxa"/>
            <w:bottom w:w="0" w:type="dxa"/>
            <w:right w:w="105" w:type="dxa"/>
          </w:tblCellMar>
        </w:tblPrEx>
        <w:trPr>
          <w:trHeight w:val="423" w:hRule="atLeast"/>
          <w:jc w:val="center"/>
        </w:trPr>
        <w:tc>
          <w:tcPr>
            <w:tcW w:w="2799" w:type="dxa"/>
            <w:vAlign w:val="center"/>
          </w:tcPr>
          <w:p w14:paraId="54CED5C2">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矿焦槽除尘烟囱颗粒物排放浓度</w:t>
            </w:r>
          </w:p>
        </w:tc>
        <w:tc>
          <w:tcPr>
            <w:tcW w:w="1747" w:type="dxa"/>
            <w:vAlign w:val="center"/>
          </w:tcPr>
          <w:p w14:paraId="0D018630">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mg/Nm3</w:t>
            </w:r>
          </w:p>
        </w:tc>
        <w:tc>
          <w:tcPr>
            <w:tcW w:w="2084" w:type="dxa"/>
            <w:vAlign w:val="center"/>
          </w:tcPr>
          <w:p w14:paraId="178CF50C">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≤10</w:t>
            </w:r>
          </w:p>
        </w:tc>
        <w:tc>
          <w:tcPr>
            <w:tcW w:w="2084" w:type="dxa"/>
            <w:vAlign w:val="center"/>
          </w:tcPr>
          <w:p w14:paraId="57CF2E4F">
            <w:pPr>
              <w:shd w:val="clear"/>
              <w:spacing w:line="240" w:lineRule="auto"/>
              <w:ind w:firstLine="0" w:firstLineChars="0"/>
              <w:jc w:val="center"/>
              <w:rPr>
                <w:rFonts w:hint="eastAsia" w:ascii="Times New Roman" w:hAnsi="Times New Roman" w:cs="Times New Roman"/>
                <w:color w:val="auto"/>
                <w:highlight w:val="none"/>
              </w:rPr>
            </w:pPr>
          </w:p>
        </w:tc>
      </w:tr>
      <w:tr w14:paraId="239ADDA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5" w:type="dxa"/>
            <w:bottom w:w="0" w:type="dxa"/>
            <w:right w:w="105" w:type="dxa"/>
          </w:tblCellMar>
        </w:tblPrEx>
        <w:trPr>
          <w:trHeight w:val="423" w:hRule="atLeast"/>
          <w:jc w:val="center"/>
        </w:trPr>
        <w:tc>
          <w:tcPr>
            <w:tcW w:w="2799" w:type="dxa"/>
            <w:vAlign w:val="center"/>
          </w:tcPr>
          <w:p w14:paraId="1FC23A5E">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出铁场除尘烟囱颗粒物排放浓度</w:t>
            </w:r>
          </w:p>
        </w:tc>
        <w:tc>
          <w:tcPr>
            <w:tcW w:w="1747" w:type="dxa"/>
            <w:vAlign w:val="center"/>
          </w:tcPr>
          <w:p w14:paraId="77484C0F">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mg/Nm3</w:t>
            </w:r>
          </w:p>
        </w:tc>
        <w:tc>
          <w:tcPr>
            <w:tcW w:w="2084" w:type="dxa"/>
            <w:vAlign w:val="center"/>
          </w:tcPr>
          <w:p w14:paraId="5ADF40D4">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≤10</w:t>
            </w:r>
          </w:p>
        </w:tc>
        <w:tc>
          <w:tcPr>
            <w:tcW w:w="2084" w:type="dxa"/>
            <w:vAlign w:val="center"/>
          </w:tcPr>
          <w:p w14:paraId="6F571A99">
            <w:pPr>
              <w:shd w:val="clear"/>
              <w:spacing w:line="240" w:lineRule="auto"/>
              <w:ind w:firstLine="0" w:firstLineChars="0"/>
              <w:jc w:val="center"/>
              <w:rPr>
                <w:rFonts w:hint="eastAsia" w:ascii="Times New Roman" w:hAnsi="Times New Roman" w:cs="Times New Roman"/>
                <w:color w:val="auto"/>
                <w:highlight w:val="none"/>
              </w:rPr>
            </w:pPr>
          </w:p>
        </w:tc>
      </w:tr>
      <w:tr w14:paraId="754B24D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5" w:type="dxa"/>
            <w:bottom w:w="0" w:type="dxa"/>
            <w:right w:w="105" w:type="dxa"/>
          </w:tblCellMar>
        </w:tblPrEx>
        <w:trPr>
          <w:trHeight w:val="398" w:hRule="atLeast"/>
          <w:jc w:val="center"/>
        </w:trPr>
        <w:tc>
          <w:tcPr>
            <w:tcW w:w="2799" w:type="dxa"/>
            <w:vAlign w:val="center"/>
          </w:tcPr>
          <w:p w14:paraId="14A80A24">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高炉年平均工作日</w:t>
            </w:r>
          </w:p>
        </w:tc>
        <w:tc>
          <w:tcPr>
            <w:tcW w:w="1747" w:type="dxa"/>
            <w:vAlign w:val="center"/>
          </w:tcPr>
          <w:p w14:paraId="1E3DDC11">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d/a</w:t>
            </w:r>
          </w:p>
        </w:tc>
        <w:tc>
          <w:tcPr>
            <w:tcW w:w="2084" w:type="dxa"/>
            <w:vAlign w:val="center"/>
          </w:tcPr>
          <w:p w14:paraId="4D017204">
            <w:pPr>
              <w:shd w:val="clear"/>
              <w:spacing w:line="240" w:lineRule="auto"/>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350</w:t>
            </w:r>
          </w:p>
        </w:tc>
        <w:tc>
          <w:tcPr>
            <w:tcW w:w="2084" w:type="dxa"/>
            <w:vAlign w:val="center"/>
          </w:tcPr>
          <w:p w14:paraId="3944B3EA">
            <w:pPr>
              <w:shd w:val="clear"/>
              <w:spacing w:line="240" w:lineRule="auto"/>
              <w:ind w:firstLine="0" w:firstLineChars="0"/>
              <w:jc w:val="center"/>
              <w:rPr>
                <w:rFonts w:hint="eastAsia" w:ascii="Times New Roman" w:hAnsi="Times New Roman" w:cs="Times New Roman"/>
                <w:color w:val="auto"/>
                <w:highlight w:val="none"/>
              </w:rPr>
            </w:pPr>
          </w:p>
        </w:tc>
      </w:tr>
      <w:tr w14:paraId="42AF5CE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5" w:type="dxa"/>
            <w:bottom w:w="0" w:type="dxa"/>
            <w:right w:w="105" w:type="dxa"/>
          </w:tblCellMar>
        </w:tblPrEx>
        <w:trPr>
          <w:trHeight w:val="398" w:hRule="atLeast"/>
          <w:jc w:val="center"/>
        </w:trPr>
        <w:tc>
          <w:tcPr>
            <w:tcW w:w="2799" w:type="dxa"/>
            <w:vAlign w:val="center"/>
          </w:tcPr>
          <w:p w14:paraId="6BB0B816">
            <w:pPr>
              <w:shd w:val="clear"/>
              <w:spacing w:line="240" w:lineRule="auto"/>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高炉一代炉役寿命</w:t>
            </w:r>
          </w:p>
        </w:tc>
        <w:tc>
          <w:tcPr>
            <w:tcW w:w="1747" w:type="dxa"/>
            <w:vAlign w:val="center"/>
          </w:tcPr>
          <w:p w14:paraId="753D44B1">
            <w:pPr>
              <w:shd w:val="clear"/>
              <w:spacing w:line="240" w:lineRule="auto"/>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a</w:t>
            </w:r>
          </w:p>
        </w:tc>
        <w:tc>
          <w:tcPr>
            <w:tcW w:w="2084" w:type="dxa"/>
            <w:vAlign w:val="center"/>
          </w:tcPr>
          <w:p w14:paraId="2E30B0DA">
            <w:pPr>
              <w:shd w:val="clear"/>
              <w:spacing w:line="24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10</w:t>
            </w:r>
          </w:p>
        </w:tc>
        <w:tc>
          <w:tcPr>
            <w:tcW w:w="2084" w:type="dxa"/>
            <w:vAlign w:val="center"/>
          </w:tcPr>
          <w:p w14:paraId="41362607">
            <w:pPr>
              <w:shd w:val="clear"/>
              <w:spacing w:line="240" w:lineRule="auto"/>
              <w:ind w:firstLine="0" w:firstLineChars="0"/>
              <w:jc w:val="center"/>
              <w:rPr>
                <w:rFonts w:ascii="Times New Roman" w:hAnsi="Times New Roman" w:cs="Times New Roman"/>
                <w:color w:val="auto"/>
                <w:highlight w:val="none"/>
              </w:rPr>
            </w:pPr>
          </w:p>
        </w:tc>
      </w:tr>
      <w:tr w14:paraId="11CEF55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5" w:type="dxa"/>
            <w:bottom w:w="0" w:type="dxa"/>
            <w:right w:w="105" w:type="dxa"/>
          </w:tblCellMar>
        </w:tblPrEx>
        <w:trPr>
          <w:trHeight w:val="420" w:hRule="atLeast"/>
          <w:jc w:val="center"/>
        </w:trPr>
        <w:tc>
          <w:tcPr>
            <w:tcW w:w="2799" w:type="dxa"/>
            <w:vAlign w:val="center"/>
          </w:tcPr>
          <w:p w14:paraId="48EBF7B3">
            <w:pPr>
              <w:shd w:val="clear"/>
              <w:spacing w:line="24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生铁年产量</w:t>
            </w:r>
          </w:p>
        </w:tc>
        <w:tc>
          <w:tcPr>
            <w:tcW w:w="1747" w:type="dxa"/>
            <w:vAlign w:val="center"/>
          </w:tcPr>
          <w:p w14:paraId="35FB74B0">
            <w:pPr>
              <w:shd w:val="clear"/>
              <w:spacing w:line="24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×10</w:t>
            </w:r>
            <w:r>
              <w:rPr>
                <w:rFonts w:ascii="Times New Roman" w:hAnsi="Times New Roman" w:cs="Times New Roman"/>
                <w:color w:val="auto"/>
                <w:highlight w:val="none"/>
                <w:vertAlign w:val="superscript"/>
              </w:rPr>
              <w:t>4</w:t>
            </w:r>
            <w:r>
              <w:rPr>
                <w:rFonts w:ascii="Times New Roman" w:hAnsi="Times New Roman" w:cs="Times New Roman"/>
                <w:color w:val="auto"/>
                <w:highlight w:val="none"/>
              </w:rPr>
              <w:t xml:space="preserve"> t /a</w:t>
            </w:r>
          </w:p>
        </w:tc>
        <w:tc>
          <w:tcPr>
            <w:tcW w:w="2084" w:type="dxa"/>
            <w:vAlign w:val="center"/>
          </w:tcPr>
          <w:p w14:paraId="5073F8AE">
            <w:pPr>
              <w:shd w:val="clear"/>
              <w:spacing w:line="240" w:lineRule="auto"/>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113.4</w:t>
            </w:r>
          </w:p>
        </w:tc>
        <w:tc>
          <w:tcPr>
            <w:tcW w:w="2084" w:type="dxa"/>
            <w:vAlign w:val="center"/>
          </w:tcPr>
          <w:p w14:paraId="32CAA709">
            <w:pPr>
              <w:shd w:val="clear"/>
              <w:spacing w:line="240" w:lineRule="auto"/>
              <w:ind w:firstLine="0" w:firstLineChars="0"/>
              <w:jc w:val="center"/>
              <w:rPr>
                <w:rFonts w:ascii="Times New Roman" w:hAnsi="Times New Roman" w:cs="Times New Roman"/>
                <w:color w:val="auto"/>
                <w:highlight w:val="none"/>
              </w:rPr>
            </w:pPr>
          </w:p>
        </w:tc>
      </w:tr>
    </w:tbl>
    <w:p w14:paraId="51E32B56">
      <w:pPr>
        <w:shd w:val="clear"/>
        <w:ind w:firstLine="0" w:firstLineChars="0"/>
        <w:rPr>
          <w:color w:val="auto"/>
          <w:highlight w:val="none"/>
        </w:rPr>
      </w:pPr>
      <w:r>
        <w:rPr>
          <w:rFonts w:hint="eastAsia"/>
          <w:color w:val="auto"/>
          <w:highlight w:val="none"/>
        </w:rPr>
        <w:br w:type="page"/>
      </w:r>
    </w:p>
    <w:p w14:paraId="5CBD4CC8">
      <w:pPr>
        <w:pStyle w:val="27"/>
        <w:shd w:val="clear"/>
        <w:spacing w:line="240" w:lineRule="auto"/>
        <w:ind w:firstLine="602"/>
        <w:jc w:val="center"/>
        <w:outlineLvl w:val="0"/>
        <w:rPr>
          <w:b/>
          <w:color w:val="auto"/>
          <w:kern w:val="0"/>
          <w:sz w:val="30"/>
          <w:szCs w:val="28"/>
          <w:highlight w:val="none"/>
        </w:rPr>
      </w:pPr>
      <w:bookmarkStart w:id="104" w:name="_Toc10518"/>
      <w:bookmarkStart w:id="105" w:name="_Toc8473"/>
      <w:bookmarkStart w:id="106" w:name="_Toc15579"/>
      <w:bookmarkStart w:id="107" w:name="_Toc18691"/>
      <w:bookmarkStart w:id="108" w:name="_Toc79840256"/>
      <w:bookmarkStart w:id="109" w:name="_Toc100483679"/>
      <w:bookmarkStart w:id="110" w:name="_Toc100483359"/>
      <w:bookmarkStart w:id="111" w:name="_Toc12227"/>
      <w:bookmarkStart w:id="112" w:name="_Toc17882"/>
      <w:bookmarkStart w:id="113" w:name="_Toc175920356"/>
      <w:r>
        <w:rPr>
          <w:b/>
          <w:color w:val="auto"/>
          <w:kern w:val="0"/>
          <w:sz w:val="30"/>
          <w:szCs w:val="28"/>
          <w:highlight w:val="none"/>
        </w:rPr>
        <w:t>2 炼铁工艺</w:t>
      </w:r>
      <w:bookmarkEnd w:id="104"/>
      <w:bookmarkEnd w:id="105"/>
      <w:bookmarkEnd w:id="106"/>
      <w:bookmarkEnd w:id="107"/>
      <w:bookmarkEnd w:id="108"/>
      <w:bookmarkEnd w:id="109"/>
      <w:bookmarkEnd w:id="110"/>
      <w:bookmarkEnd w:id="111"/>
      <w:bookmarkEnd w:id="112"/>
      <w:bookmarkEnd w:id="113"/>
    </w:p>
    <w:p w14:paraId="274B702C">
      <w:pPr>
        <w:shd w:val="clear"/>
        <w:ind w:firstLine="0" w:firstLineChars="0"/>
        <w:outlineLvl w:val="1"/>
        <w:rPr>
          <w:rFonts w:cs="Times New Roman"/>
          <w:b/>
          <w:color w:val="auto"/>
          <w:sz w:val="28"/>
          <w:szCs w:val="28"/>
          <w:highlight w:val="none"/>
        </w:rPr>
      </w:pPr>
      <w:bookmarkStart w:id="114" w:name="_Toc79840257"/>
      <w:bookmarkStart w:id="115" w:name="_Toc8572"/>
      <w:bookmarkStart w:id="116" w:name="_Toc100483360"/>
      <w:bookmarkStart w:id="117" w:name="_Toc100483680"/>
      <w:bookmarkStart w:id="118" w:name="_Toc28455"/>
      <w:bookmarkStart w:id="119" w:name="_Toc24118"/>
      <w:bookmarkStart w:id="120" w:name="_Toc22504"/>
      <w:bookmarkStart w:id="121" w:name="_Toc29828"/>
      <w:bookmarkStart w:id="122" w:name="_Toc23761"/>
      <w:bookmarkStart w:id="123" w:name="_Toc175920357"/>
      <w:r>
        <w:rPr>
          <w:rFonts w:hint="eastAsia" w:cs="Times New Roman"/>
          <w:b/>
          <w:color w:val="auto"/>
          <w:sz w:val="28"/>
          <w:szCs w:val="28"/>
          <w:highlight w:val="none"/>
        </w:rPr>
        <w:t>2.1 炼铁工艺改造设计范围</w:t>
      </w:r>
      <w:bookmarkEnd w:id="114"/>
      <w:bookmarkEnd w:id="115"/>
      <w:bookmarkEnd w:id="116"/>
      <w:bookmarkEnd w:id="117"/>
      <w:bookmarkEnd w:id="118"/>
      <w:bookmarkEnd w:id="119"/>
      <w:bookmarkEnd w:id="120"/>
      <w:bookmarkEnd w:id="121"/>
      <w:bookmarkEnd w:id="122"/>
      <w:bookmarkEnd w:id="123"/>
    </w:p>
    <w:p w14:paraId="644EC49E">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炼铁工艺设计范围包括以下系统：</w:t>
      </w:r>
    </w:p>
    <w:p w14:paraId="36CB5112">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1）</w:t>
      </w:r>
      <w:r>
        <w:rPr>
          <w:rFonts w:hint="eastAsia" w:ascii="Times New Roman" w:hAnsi="Times New Roman" w:cs="Times New Roman"/>
          <w:bCs/>
          <w:color w:val="auto"/>
          <w:kern w:val="0"/>
          <w:szCs w:val="20"/>
          <w:highlight w:val="none"/>
        </w:rPr>
        <w:t>槽上系统、槽下供料系统</w:t>
      </w:r>
    </w:p>
    <w:p w14:paraId="7B24C526">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2）上料系统</w:t>
      </w:r>
    </w:p>
    <w:p w14:paraId="64EC5183">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3）炉顶系统</w:t>
      </w:r>
    </w:p>
    <w:p w14:paraId="7476184F">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4）粗煤气系统</w:t>
      </w:r>
    </w:p>
    <w:p w14:paraId="47568948">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5）炉体系统</w:t>
      </w:r>
    </w:p>
    <w:p w14:paraId="77CC6C0F">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6）出铁场系统</w:t>
      </w:r>
    </w:p>
    <w:p w14:paraId="5DB87E3B">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7）渣处理系统</w:t>
      </w:r>
    </w:p>
    <w:p w14:paraId="1583ACB8">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8）热风炉系统</w:t>
      </w:r>
    </w:p>
    <w:p w14:paraId="073ADB38">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9）喷煤系统</w:t>
      </w:r>
    </w:p>
    <w:p w14:paraId="170F6CE3">
      <w:pPr>
        <w:shd w:val="clear"/>
        <w:ind w:firstLine="0" w:firstLineChars="0"/>
        <w:outlineLvl w:val="1"/>
        <w:rPr>
          <w:rFonts w:cs="Times New Roman"/>
          <w:b/>
          <w:color w:val="auto"/>
          <w:sz w:val="28"/>
          <w:szCs w:val="28"/>
          <w:highlight w:val="none"/>
        </w:rPr>
      </w:pPr>
      <w:bookmarkStart w:id="124" w:name="_Toc100483681"/>
      <w:bookmarkStart w:id="125" w:name="_Toc175920358"/>
      <w:bookmarkStart w:id="126" w:name="_Toc26022"/>
      <w:bookmarkStart w:id="127" w:name="_Toc8806"/>
      <w:bookmarkStart w:id="128" w:name="_Toc79840258"/>
      <w:bookmarkStart w:id="129" w:name="_Toc7928"/>
      <w:bookmarkStart w:id="130" w:name="_Toc30742"/>
      <w:bookmarkStart w:id="131" w:name="_Toc21685"/>
      <w:bookmarkStart w:id="132" w:name="_Toc26992"/>
      <w:bookmarkStart w:id="133" w:name="_Toc100483361"/>
      <w:r>
        <w:rPr>
          <w:rFonts w:hint="eastAsia" w:cs="Times New Roman"/>
          <w:b/>
          <w:color w:val="auto"/>
          <w:sz w:val="28"/>
          <w:szCs w:val="28"/>
          <w:highlight w:val="none"/>
        </w:rPr>
        <w:t>2.2 槽上系统、槽下供料系统</w:t>
      </w:r>
      <w:bookmarkEnd w:id="124"/>
      <w:bookmarkEnd w:id="125"/>
      <w:bookmarkEnd w:id="126"/>
      <w:bookmarkEnd w:id="127"/>
      <w:bookmarkEnd w:id="128"/>
      <w:bookmarkEnd w:id="129"/>
      <w:bookmarkEnd w:id="130"/>
      <w:bookmarkEnd w:id="131"/>
      <w:bookmarkEnd w:id="132"/>
      <w:bookmarkEnd w:id="133"/>
    </w:p>
    <w:p w14:paraId="3562AAC7">
      <w:pPr>
        <w:shd w:val="clear"/>
        <w:ind w:firstLine="0" w:firstLineChars="0"/>
        <w:outlineLvl w:val="2"/>
        <w:rPr>
          <w:rFonts w:cs="Times New Roman"/>
          <w:color w:val="auto"/>
          <w:szCs w:val="28"/>
          <w:highlight w:val="none"/>
        </w:rPr>
      </w:pPr>
      <w:bookmarkStart w:id="134" w:name="_Toc1024"/>
      <w:bookmarkStart w:id="135" w:name="_Toc79840259"/>
      <w:bookmarkStart w:id="136" w:name="_Toc100483362"/>
      <w:r>
        <w:rPr>
          <w:rFonts w:cs="Times New Roman"/>
          <w:color w:val="auto"/>
          <w:szCs w:val="28"/>
          <w:highlight w:val="none"/>
        </w:rPr>
        <w:t xml:space="preserve">2.2.1 </w:t>
      </w:r>
      <w:r>
        <w:rPr>
          <w:rFonts w:hint="eastAsia" w:cs="Times New Roman"/>
          <w:color w:val="auto"/>
          <w:szCs w:val="28"/>
          <w:highlight w:val="none"/>
        </w:rPr>
        <w:t>矿焦槽</w:t>
      </w:r>
      <w:r>
        <w:rPr>
          <w:rFonts w:cs="Times New Roman"/>
          <w:color w:val="auto"/>
          <w:szCs w:val="28"/>
          <w:highlight w:val="none"/>
        </w:rPr>
        <w:t>系统</w:t>
      </w:r>
      <w:r>
        <w:rPr>
          <w:rFonts w:hint="eastAsia" w:cs="Times New Roman"/>
          <w:color w:val="auto"/>
          <w:szCs w:val="28"/>
          <w:highlight w:val="none"/>
        </w:rPr>
        <w:t>现状</w:t>
      </w:r>
      <w:bookmarkEnd w:id="134"/>
    </w:p>
    <w:p w14:paraId="46C77509">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2号高炉矿焦槽系统</w:t>
      </w:r>
      <w:r>
        <w:rPr>
          <w:rFonts w:hint="eastAsia" w:ascii="Times New Roman" w:hAnsi="Times New Roman" w:cs="Times New Roman"/>
          <w:bCs/>
          <w:color w:val="auto"/>
          <w:kern w:val="0"/>
          <w:szCs w:val="20"/>
          <w:highlight w:val="none"/>
        </w:rPr>
        <w:t>始</w:t>
      </w:r>
      <w:r>
        <w:rPr>
          <w:rFonts w:ascii="Times New Roman" w:hAnsi="Times New Roman" w:cs="Times New Roman"/>
          <w:bCs/>
          <w:color w:val="auto"/>
          <w:kern w:val="0"/>
          <w:szCs w:val="20"/>
          <w:highlight w:val="none"/>
        </w:rPr>
        <w:t>建于1988年，</w:t>
      </w:r>
      <w:r>
        <w:rPr>
          <w:rFonts w:hint="eastAsia" w:ascii="Times New Roman" w:hAnsi="Times New Roman" w:cs="Times New Roman"/>
          <w:bCs/>
          <w:color w:val="auto"/>
          <w:kern w:val="0"/>
          <w:szCs w:val="20"/>
          <w:highlight w:val="none"/>
        </w:rPr>
        <w:t>投产于1</w:t>
      </w:r>
      <w:r>
        <w:rPr>
          <w:rFonts w:ascii="Times New Roman" w:hAnsi="Times New Roman" w:cs="Times New Roman"/>
          <w:bCs/>
          <w:color w:val="auto"/>
          <w:kern w:val="0"/>
          <w:szCs w:val="20"/>
          <w:highlight w:val="none"/>
        </w:rPr>
        <w:t>989</w:t>
      </w:r>
      <w:r>
        <w:rPr>
          <w:rFonts w:hint="eastAsia" w:ascii="Times New Roman" w:hAnsi="Times New Roman" w:cs="Times New Roman"/>
          <w:bCs/>
          <w:color w:val="auto"/>
          <w:kern w:val="0"/>
          <w:szCs w:val="20"/>
          <w:highlight w:val="none"/>
        </w:rPr>
        <w:t>年底，</w:t>
      </w:r>
      <w:r>
        <w:rPr>
          <w:rFonts w:ascii="Times New Roman" w:hAnsi="Times New Roman" w:cs="Times New Roman"/>
          <w:bCs/>
          <w:color w:val="auto"/>
          <w:kern w:val="0"/>
          <w:szCs w:val="20"/>
          <w:highlight w:val="none"/>
        </w:rPr>
        <w:t>现已使用35年</w:t>
      </w:r>
      <w:r>
        <w:rPr>
          <w:rFonts w:hint="eastAsia" w:ascii="Times New Roman" w:hAnsi="Times New Roman" w:cs="Times New Roman"/>
          <w:bCs/>
          <w:color w:val="auto"/>
          <w:kern w:val="0"/>
          <w:szCs w:val="20"/>
          <w:highlight w:val="none"/>
        </w:rPr>
        <w:t>。</w:t>
      </w:r>
      <w:r>
        <w:rPr>
          <w:rFonts w:ascii="Times New Roman" w:hAnsi="Times New Roman" w:cs="Times New Roman"/>
          <w:bCs/>
          <w:color w:val="auto"/>
          <w:kern w:val="0"/>
          <w:szCs w:val="20"/>
          <w:highlight w:val="none"/>
        </w:rPr>
        <w:t>矿焦槽采用斜桥上料的布置方式，由于使用年限长，从结构安全以及环保要求等方面均不能满足现有生产</w:t>
      </w:r>
      <w:r>
        <w:rPr>
          <w:rFonts w:hint="eastAsia" w:ascii="Times New Roman" w:hAnsi="Times New Roman" w:cs="Times New Roman"/>
          <w:bCs/>
          <w:color w:val="auto"/>
          <w:kern w:val="0"/>
          <w:szCs w:val="20"/>
          <w:highlight w:val="none"/>
        </w:rPr>
        <w:t>和超低排放</w:t>
      </w:r>
      <w:r>
        <w:rPr>
          <w:rFonts w:ascii="Times New Roman" w:hAnsi="Times New Roman" w:cs="Times New Roman"/>
          <w:bCs/>
          <w:color w:val="auto"/>
          <w:kern w:val="0"/>
          <w:szCs w:val="20"/>
          <w:highlight w:val="none"/>
        </w:rPr>
        <w:t>的要求，主要表现在以下几个方面：</w:t>
      </w:r>
    </w:p>
    <w:p w14:paraId="5B48FC0A">
      <w:pPr>
        <w:shd w:val="clear"/>
        <w:rPr>
          <w:rFonts w:ascii="Times New Roman" w:hAnsi="Times New Roman" w:cs="Times New Roman"/>
          <w:bCs/>
          <w:color w:val="auto"/>
          <w:kern w:val="0"/>
          <w:szCs w:val="20"/>
          <w:highlight w:val="none"/>
        </w:rPr>
      </w:pPr>
      <w:r>
        <w:rPr>
          <w:rFonts w:hint="eastAsia" w:ascii="Times New Roman" w:hAnsi="Times New Roman" w:cs="Times New Roman"/>
          <w:bCs/>
          <w:color w:val="auto"/>
          <w:kern w:val="0"/>
          <w:szCs w:val="20"/>
          <w:highlight w:val="none"/>
        </w:rPr>
        <w:t>1）矿焦槽西侧，从北向南4根承重立柱存在明显混凝土脱落缺陷，钢筋外露，</w:t>
      </w:r>
      <w:r>
        <w:rPr>
          <w:rFonts w:ascii="Times New Roman" w:hAnsi="Times New Roman" w:cs="Times New Roman"/>
          <w:bCs/>
          <w:color w:val="auto"/>
          <w:kern w:val="0"/>
          <w:szCs w:val="20"/>
          <w:highlight w:val="none"/>
        </w:rPr>
        <w:t>梁端约600毫米，在矿焦槽挤压下变酥、散开</w:t>
      </w:r>
      <w:r>
        <w:rPr>
          <w:rFonts w:hint="eastAsia" w:ascii="Times New Roman" w:hAnsi="Times New Roman" w:cs="Times New Roman"/>
          <w:bCs/>
          <w:color w:val="auto"/>
          <w:kern w:val="0"/>
          <w:szCs w:val="20"/>
          <w:highlight w:val="none"/>
        </w:rPr>
        <w:t>，其中2根钢筋混凝土梁头出现碎裂，2022年经过加固处理。</w:t>
      </w:r>
    </w:p>
    <w:p w14:paraId="6CA970DE">
      <w:pPr>
        <w:shd w:val="clear"/>
        <w:rPr>
          <w:rFonts w:ascii="Times New Roman" w:hAnsi="Times New Roman" w:cs="Times New Roman"/>
          <w:bCs/>
          <w:color w:val="auto"/>
          <w:kern w:val="0"/>
          <w:szCs w:val="20"/>
          <w:highlight w:val="none"/>
        </w:rPr>
      </w:pPr>
      <w:r>
        <w:rPr>
          <w:rFonts w:hint="eastAsia" w:ascii="Times New Roman" w:hAnsi="Times New Roman" w:cs="Times New Roman"/>
          <w:bCs/>
          <w:color w:val="auto"/>
          <w:kern w:val="0"/>
          <w:szCs w:val="20"/>
          <w:highlight w:val="none"/>
        </w:rPr>
        <w:t>2）矿焦槽西侧北焦仓上部钢筋混凝土预制板下沉约30mm，面积约4</w:t>
      </w:r>
      <w:r>
        <w:rPr>
          <w:rFonts w:ascii="Times New Roman" w:hAnsi="Times New Roman" w:cs="Times New Roman"/>
          <w:bCs/>
          <w:color w:val="auto"/>
          <w:kern w:val="0"/>
          <w:szCs w:val="20"/>
          <w:highlight w:val="none"/>
        </w:rPr>
        <w:t>0</w:t>
      </w:r>
      <w:r>
        <w:rPr>
          <w:rFonts w:hint="eastAsia" w:ascii="Times New Roman" w:hAnsi="Times New Roman" w:cs="Times New Roman"/>
          <w:bCs/>
          <w:color w:val="auto"/>
          <w:kern w:val="0"/>
          <w:szCs w:val="20"/>
          <w:highlight w:val="none"/>
        </w:rPr>
        <w:t>m</w:t>
      </w:r>
      <w:r>
        <w:rPr>
          <w:rFonts w:ascii="Times New Roman" w:hAnsi="Times New Roman" w:cs="Times New Roman"/>
          <w:bCs/>
          <w:color w:val="auto"/>
          <w:kern w:val="0"/>
          <w:szCs w:val="20"/>
          <w:highlight w:val="none"/>
          <w:vertAlign w:val="superscript"/>
        </w:rPr>
        <w:t>2</w:t>
      </w:r>
      <w:r>
        <w:rPr>
          <w:rFonts w:hint="eastAsia" w:ascii="Times New Roman" w:hAnsi="Times New Roman" w:cs="Times New Roman"/>
          <w:bCs/>
          <w:color w:val="auto"/>
          <w:kern w:val="0"/>
          <w:szCs w:val="20"/>
          <w:highlight w:val="none"/>
        </w:rPr>
        <w:t>，</w:t>
      </w:r>
      <w:r>
        <w:rPr>
          <w:rFonts w:ascii="Times New Roman" w:hAnsi="Times New Roman" w:cs="Times New Roman"/>
          <w:bCs/>
          <w:color w:val="auto"/>
          <w:kern w:val="0"/>
          <w:szCs w:val="20"/>
          <w:highlight w:val="none"/>
        </w:rPr>
        <w:t>承载能力下降。</w:t>
      </w:r>
      <w:r>
        <w:rPr>
          <w:rFonts w:hint="eastAsia" w:ascii="Times New Roman" w:hAnsi="Times New Roman" w:cs="Times New Roman"/>
          <w:bCs/>
          <w:color w:val="auto"/>
          <w:kern w:val="0"/>
          <w:szCs w:val="20"/>
          <w:highlight w:val="none"/>
        </w:rPr>
        <w:t>9#、10#烧结矿仓上部钢筋混凝土预制板下沉约20-40mm不等，需要处理更换。矿焦槽南、北焦仓进料口钢筋混凝土磨损严重，部分已外漏钢筋。矿焦槽9#-16#矿仓进料口钢筋混凝土磨损严重，部分已外漏钢筋，仓内耐磨层需修复处理。</w:t>
      </w:r>
    </w:p>
    <w:p w14:paraId="5B9F3A02">
      <w:pPr>
        <w:shd w:val="clear"/>
        <w:rPr>
          <w:rFonts w:ascii="Times New Roman" w:hAnsi="Times New Roman" w:cs="Times New Roman"/>
          <w:bCs/>
          <w:color w:val="auto"/>
          <w:kern w:val="0"/>
          <w:szCs w:val="20"/>
          <w:highlight w:val="none"/>
        </w:rPr>
      </w:pPr>
      <w:r>
        <w:rPr>
          <w:rFonts w:hint="eastAsia" w:ascii="Times New Roman" w:hAnsi="Times New Roman" w:cs="Times New Roman"/>
          <w:bCs/>
          <w:color w:val="auto"/>
          <w:kern w:val="0"/>
          <w:szCs w:val="20"/>
          <w:highlight w:val="none"/>
        </w:rPr>
        <w:t>3）矿焦槽南、北焦仓内部耐磨层大部分已脱落，2013年高炉大修在原基础上加固混凝土耐磨层，内含金属网格丝，厚度约120mm，现落料点及周围已全部脱落。</w:t>
      </w:r>
    </w:p>
    <w:p w14:paraId="43945162">
      <w:pPr>
        <w:shd w:val="clear"/>
        <w:rPr>
          <w:rFonts w:ascii="Times New Roman" w:hAnsi="Times New Roman" w:cs="Times New Roman"/>
          <w:bCs/>
          <w:color w:val="auto"/>
          <w:kern w:val="0"/>
          <w:szCs w:val="20"/>
          <w:highlight w:val="none"/>
        </w:rPr>
      </w:pPr>
      <w:r>
        <w:rPr>
          <w:rFonts w:hint="eastAsia" w:ascii="Times New Roman" w:hAnsi="Times New Roman" w:cs="Times New Roman"/>
          <w:bCs/>
          <w:color w:val="auto"/>
          <w:kern w:val="0"/>
          <w:szCs w:val="20"/>
          <w:highlight w:val="none"/>
        </w:rPr>
        <w:t>4）</w:t>
      </w:r>
      <w:r>
        <w:rPr>
          <w:rFonts w:ascii="Times New Roman" w:hAnsi="Times New Roman" w:cs="Times New Roman"/>
          <w:bCs/>
          <w:color w:val="auto"/>
          <w:kern w:val="0"/>
          <w:szCs w:val="20"/>
          <w:highlight w:val="none"/>
        </w:rPr>
        <w:t>矿焦槽</w:t>
      </w:r>
      <w:r>
        <w:rPr>
          <w:rFonts w:hint="eastAsia" w:ascii="Times New Roman" w:hAnsi="Times New Roman" w:cs="Times New Roman"/>
          <w:bCs/>
          <w:color w:val="auto"/>
          <w:kern w:val="0"/>
          <w:szCs w:val="20"/>
          <w:highlight w:val="none"/>
        </w:rPr>
        <w:t>槽上设</w:t>
      </w:r>
      <w:r>
        <w:rPr>
          <w:rFonts w:ascii="Times New Roman" w:hAnsi="Times New Roman" w:cs="Times New Roman"/>
          <w:bCs/>
          <w:color w:val="auto"/>
          <w:kern w:val="0"/>
          <w:szCs w:val="20"/>
          <w:highlight w:val="none"/>
        </w:rPr>
        <w:t>有顶棚，</w:t>
      </w:r>
      <w:r>
        <w:rPr>
          <w:rFonts w:hint="eastAsia" w:ascii="Times New Roman" w:hAnsi="Times New Roman" w:cs="Times New Roman"/>
          <w:bCs/>
          <w:color w:val="auto"/>
          <w:kern w:val="0"/>
          <w:szCs w:val="20"/>
          <w:highlight w:val="none"/>
        </w:rPr>
        <w:t>总共3条上料皮带，</w:t>
      </w:r>
      <w:r>
        <w:rPr>
          <w:rFonts w:ascii="Times New Roman" w:hAnsi="Times New Roman" w:cs="Times New Roman"/>
          <w:bCs/>
          <w:color w:val="auto"/>
          <w:kern w:val="0"/>
          <w:szCs w:val="20"/>
          <w:highlight w:val="none"/>
        </w:rPr>
        <w:t>皮带机机架腐蚀严重，距离地面约100</w:t>
      </w:r>
      <w:r>
        <w:rPr>
          <w:rFonts w:hint="eastAsia" w:ascii="Times New Roman" w:hAnsi="Times New Roman" w:cs="Times New Roman"/>
          <w:bCs/>
          <w:color w:val="auto"/>
          <w:kern w:val="0"/>
          <w:szCs w:val="20"/>
          <w:highlight w:val="none"/>
        </w:rPr>
        <w:t>mm</w:t>
      </w:r>
      <w:r>
        <w:rPr>
          <w:rFonts w:ascii="Times New Roman" w:hAnsi="Times New Roman" w:cs="Times New Roman"/>
          <w:bCs/>
          <w:color w:val="auto"/>
          <w:kern w:val="0"/>
          <w:szCs w:val="20"/>
          <w:highlight w:val="none"/>
        </w:rPr>
        <w:t>腐蚀</w:t>
      </w:r>
      <w:r>
        <w:rPr>
          <w:rFonts w:hint="eastAsia" w:ascii="Times New Roman" w:hAnsi="Times New Roman" w:cs="Times New Roman"/>
          <w:bCs/>
          <w:color w:val="auto"/>
          <w:kern w:val="0"/>
          <w:szCs w:val="20"/>
          <w:highlight w:val="none"/>
        </w:rPr>
        <w:t>严重</w:t>
      </w:r>
      <w:r>
        <w:rPr>
          <w:rFonts w:ascii="Times New Roman" w:hAnsi="Times New Roman" w:cs="Times New Roman"/>
          <w:bCs/>
          <w:color w:val="auto"/>
          <w:kern w:val="0"/>
          <w:szCs w:val="20"/>
          <w:highlight w:val="none"/>
        </w:rPr>
        <w:t>，皮带支架、卸料小车轨道有不同程度下沉，造成卸料小车轨道变形严重，设备故障频繁。</w:t>
      </w:r>
    </w:p>
    <w:p w14:paraId="117DD354">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5</w:t>
      </w:r>
      <w:r>
        <w:rPr>
          <w:rFonts w:hint="eastAsia" w:ascii="Times New Roman" w:hAnsi="Times New Roman" w:cs="Times New Roman"/>
          <w:bCs/>
          <w:color w:val="auto"/>
          <w:kern w:val="0"/>
          <w:szCs w:val="20"/>
          <w:highlight w:val="none"/>
        </w:rPr>
        <w:t>）3台卸料小车原设计为轻型卸料小车，卸料小车故障较多，上料过程中粉尘外溢严重，现场岗位作业环境粉尘严重超标。</w:t>
      </w:r>
    </w:p>
    <w:p w14:paraId="3C663ED2">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6</w:t>
      </w:r>
      <w:r>
        <w:rPr>
          <w:rFonts w:hint="eastAsia" w:ascii="Times New Roman" w:hAnsi="Times New Roman" w:cs="Times New Roman"/>
          <w:bCs/>
          <w:color w:val="auto"/>
          <w:kern w:val="0"/>
          <w:szCs w:val="20"/>
          <w:highlight w:val="none"/>
        </w:rPr>
        <w:t>）矿焦槽南、北焦仓出料口钢板仓口闸门磨损严重，仓口闸门下沉约20mm。振动筛钢结构平台，长期振动，梁柱开裂、开焊较多，需加固处理。高炉振动筛筛体使用年限长，设备老化，大部分为敞开筛，且现有振动筛安装高度不足1.5m，空间狭小，撒料严重，需定期清料，不仅增加劳动强度，还环保不达标，存在安全隐患。</w:t>
      </w:r>
    </w:p>
    <w:p w14:paraId="03145CC5">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7</w:t>
      </w:r>
      <w:r>
        <w:rPr>
          <w:rFonts w:hint="eastAsia" w:ascii="Times New Roman" w:hAnsi="Times New Roman" w:cs="Times New Roman"/>
          <w:bCs/>
          <w:color w:val="auto"/>
          <w:kern w:val="0"/>
          <w:szCs w:val="20"/>
          <w:highlight w:val="none"/>
        </w:rPr>
        <w:t>）</w:t>
      </w:r>
      <w:r>
        <w:rPr>
          <w:rFonts w:ascii="Times New Roman" w:hAnsi="Times New Roman" w:cs="Times New Roman"/>
          <w:bCs/>
          <w:color w:val="auto"/>
          <w:kern w:val="0"/>
          <w:szCs w:val="20"/>
          <w:highlight w:val="none"/>
        </w:rPr>
        <w:t>料坑</w:t>
      </w:r>
      <w:r>
        <w:rPr>
          <w:rFonts w:hint="eastAsia" w:ascii="Times New Roman" w:hAnsi="Times New Roman" w:cs="Times New Roman"/>
          <w:bCs/>
          <w:color w:val="auto"/>
          <w:kern w:val="0"/>
          <w:szCs w:val="20"/>
          <w:highlight w:val="none"/>
        </w:rPr>
        <w:t>料车进出口处</w:t>
      </w:r>
      <w:r>
        <w:rPr>
          <w:rFonts w:ascii="Times New Roman" w:hAnsi="Times New Roman" w:cs="Times New Roman"/>
          <w:bCs/>
          <w:color w:val="auto"/>
          <w:kern w:val="0"/>
          <w:szCs w:val="20"/>
          <w:highlight w:val="none"/>
        </w:rPr>
        <w:t>四周</w:t>
      </w:r>
      <w:r>
        <w:rPr>
          <w:rFonts w:hint="eastAsia" w:ascii="Times New Roman" w:hAnsi="Times New Roman" w:cs="Times New Roman"/>
          <w:bCs/>
          <w:color w:val="auto"/>
          <w:kern w:val="0"/>
          <w:szCs w:val="20"/>
          <w:highlight w:val="none"/>
        </w:rPr>
        <w:t>封闭困难，</w:t>
      </w:r>
      <w:r>
        <w:rPr>
          <w:rFonts w:ascii="Times New Roman" w:hAnsi="Times New Roman" w:cs="Times New Roman"/>
          <w:bCs/>
          <w:color w:val="auto"/>
          <w:kern w:val="0"/>
          <w:szCs w:val="20"/>
          <w:highlight w:val="none"/>
        </w:rPr>
        <w:t>除尘效果较差，现场粉尘弥漫</w:t>
      </w:r>
      <w:r>
        <w:rPr>
          <w:rFonts w:hint="eastAsia" w:ascii="Times New Roman" w:hAnsi="Times New Roman" w:cs="Times New Roman"/>
          <w:bCs/>
          <w:color w:val="auto"/>
          <w:kern w:val="0"/>
          <w:szCs w:val="20"/>
          <w:highlight w:val="none"/>
        </w:rPr>
        <w:t>；</w:t>
      </w:r>
      <w:r>
        <w:rPr>
          <w:rFonts w:ascii="Times New Roman" w:hAnsi="Times New Roman" w:cs="Times New Roman"/>
          <w:bCs/>
          <w:color w:val="auto"/>
          <w:kern w:val="0"/>
          <w:szCs w:val="20"/>
          <w:highlight w:val="none"/>
        </w:rPr>
        <w:t>现场的矿石振动筛均无密封设施，</w:t>
      </w:r>
      <w:r>
        <w:rPr>
          <w:rFonts w:hint="eastAsia" w:ascii="Times New Roman" w:hAnsi="Times New Roman" w:cs="Times New Roman"/>
          <w:bCs/>
          <w:color w:val="auto"/>
          <w:kern w:val="0"/>
          <w:szCs w:val="20"/>
          <w:highlight w:val="none"/>
        </w:rPr>
        <w:t>且原设计无除尘设施，虽在后期生产中增加除尘管道，但由于管系布置不合理、密封</w:t>
      </w:r>
      <w:r>
        <w:rPr>
          <w:rFonts w:ascii="Times New Roman" w:hAnsi="Times New Roman" w:cs="Times New Roman"/>
          <w:bCs/>
          <w:color w:val="auto"/>
          <w:kern w:val="0"/>
          <w:szCs w:val="20"/>
          <w:highlight w:val="none"/>
        </w:rPr>
        <w:t>效果较差，</w:t>
      </w:r>
      <w:r>
        <w:rPr>
          <w:rFonts w:hint="eastAsia" w:ascii="Times New Roman" w:hAnsi="Times New Roman" w:cs="Times New Roman"/>
          <w:bCs/>
          <w:color w:val="auto"/>
          <w:kern w:val="0"/>
          <w:szCs w:val="20"/>
          <w:highlight w:val="none"/>
        </w:rPr>
        <w:t>不能达到超低排放要求。</w:t>
      </w:r>
    </w:p>
    <w:p w14:paraId="387B8D38">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综上所述，目前矿焦槽系统</w:t>
      </w:r>
      <w:r>
        <w:rPr>
          <w:rFonts w:hint="eastAsia" w:ascii="Times New Roman" w:hAnsi="Times New Roman" w:cs="Times New Roman"/>
          <w:bCs/>
          <w:color w:val="auto"/>
          <w:kern w:val="0"/>
          <w:szCs w:val="20"/>
          <w:highlight w:val="none"/>
        </w:rPr>
        <w:t>存在安全隐患、达不到超低排放要求</w:t>
      </w:r>
      <w:r>
        <w:rPr>
          <w:rFonts w:ascii="Times New Roman" w:hAnsi="Times New Roman" w:cs="Times New Roman"/>
          <w:bCs/>
          <w:color w:val="auto"/>
          <w:kern w:val="0"/>
          <w:szCs w:val="20"/>
          <w:highlight w:val="none"/>
        </w:rPr>
        <w:t>，需</w:t>
      </w:r>
      <w:r>
        <w:rPr>
          <w:rFonts w:hint="eastAsia" w:ascii="Times New Roman" w:hAnsi="Times New Roman" w:cs="Times New Roman"/>
          <w:bCs/>
          <w:color w:val="auto"/>
          <w:kern w:val="0"/>
          <w:szCs w:val="20"/>
          <w:highlight w:val="none"/>
        </w:rPr>
        <w:t>在</w:t>
      </w:r>
      <w:r>
        <w:rPr>
          <w:rFonts w:ascii="Times New Roman" w:hAnsi="Times New Roman" w:cs="Times New Roman"/>
          <w:bCs/>
          <w:color w:val="auto"/>
          <w:kern w:val="0"/>
          <w:szCs w:val="20"/>
          <w:highlight w:val="none"/>
        </w:rPr>
        <w:t>超低排放、安全环保方面</w:t>
      </w:r>
      <w:r>
        <w:rPr>
          <w:rFonts w:hint="eastAsia" w:ascii="Times New Roman" w:hAnsi="Times New Roman" w:cs="Times New Roman"/>
          <w:bCs/>
          <w:color w:val="auto"/>
          <w:kern w:val="0"/>
          <w:szCs w:val="20"/>
          <w:highlight w:val="none"/>
        </w:rPr>
        <w:t>进行改造</w:t>
      </w:r>
      <w:r>
        <w:rPr>
          <w:rFonts w:ascii="Times New Roman" w:hAnsi="Times New Roman" w:cs="Times New Roman"/>
          <w:bCs/>
          <w:color w:val="auto"/>
          <w:kern w:val="0"/>
          <w:szCs w:val="20"/>
          <w:highlight w:val="none"/>
        </w:rPr>
        <w:t>设计。</w:t>
      </w:r>
    </w:p>
    <w:p w14:paraId="7D561C2C">
      <w:pPr>
        <w:shd w:val="clear"/>
        <w:ind w:firstLine="0" w:firstLineChars="0"/>
        <w:outlineLvl w:val="2"/>
        <w:rPr>
          <w:rFonts w:cs="Times New Roman"/>
          <w:color w:val="auto"/>
          <w:szCs w:val="28"/>
          <w:highlight w:val="none"/>
        </w:rPr>
      </w:pPr>
      <w:bookmarkStart w:id="137" w:name="_Toc13251"/>
      <w:r>
        <w:rPr>
          <w:rFonts w:cs="Times New Roman"/>
          <w:color w:val="auto"/>
          <w:szCs w:val="28"/>
          <w:highlight w:val="none"/>
        </w:rPr>
        <w:t>2.2.</w:t>
      </w:r>
      <w:bookmarkEnd w:id="135"/>
      <w:bookmarkEnd w:id="136"/>
      <w:r>
        <w:rPr>
          <w:rFonts w:hint="eastAsia" w:cs="Times New Roman"/>
          <w:color w:val="auto"/>
          <w:szCs w:val="28"/>
          <w:highlight w:val="none"/>
        </w:rPr>
        <w:t>2 原燃料供应</w:t>
      </w:r>
      <w:bookmarkEnd w:id="137"/>
    </w:p>
    <w:p w14:paraId="103CAD41">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高炉入炉矿石的综合品位~</w:t>
      </w:r>
      <w:r>
        <w:rPr>
          <w:rFonts w:hint="eastAsia" w:ascii="Times New Roman" w:hAnsi="Times New Roman" w:cs="Times New Roman"/>
          <w:bCs/>
          <w:color w:val="auto"/>
          <w:kern w:val="0"/>
          <w:szCs w:val="20"/>
          <w:highlight w:val="none"/>
          <w:lang w:val="en-US" w:eastAsia="zh-CN"/>
        </w:rPr>
        <w:t>55</w:t>
      </w:r>
      <w:r>
        <w:rPr>
          <w:rFonts w:ascii="Times New Roman" w:hAnsi="Times New Roman" w:cs="Times New Roman"/>
          <w:bCs/>
          <w:color w:val="auto"/>
          <w:kern w:val="0"/>
          <w:szCs w:val="20"/>
          <w:highlight w:val="none"/>
        </w:rPr>
        <w:t>%</w:t>
      </w:r>
      <w:r>
        <w:rPr>
          <w:rFonts w:hint="eastAsia" w:ascii="Times New Roman" w:hAnsi="Times New Roman" w:cs="Times New Roman"/>
          <w:bCs/>
          <w:color w:val="auto"/>
          <w:kern w:val="0"/>
          <w:szCs w:val="20"/>
          <w:highlight w:val="none"/>
          <w:lang w:eastAsia="zh-CN"/>
        </w:rPr>
        <w:t>（</w:t>
      </w:r>
      <w:r>
        <w:rPr>
          <w:rFonts w:hint="eastAsia" w:ascii="Times New Roman" w:hAnsi="Times New Roman" w:cs="Times New Roman"/>
          <w:bCs/>
          <w:color w:val="auto"/>
          <w:kern w:val="0"/>
          <w:szCs w:val="20"/>
          <w:highlight w:val="none"/>
          <w:lang w:val="en-US" w:eastAsia="zh-CN"/>
        </w:rPr>
        <w:t>通过加废钢措施</w:t>
      </w:r>
      <w:r>
        <w:rPr>
          <w:rFonts w:hint="eastAsia" w:ascii="Times New Roman" w:hAnsi="Times New Roman" w:cs="Times New Roman"/>
          <w:bCs/>
          <w:color w:val="auto"/>
          <w:kern w:val="0"/>
          <w:szCs w:val="20"/>
          <w:highlight w:val="none"/>
          <w:lang w:eastAsia="zh-CN"/>
        </w:rPr>
        <w:t>）</w:t>
      </w:r>
      <w:r>
        <w:rPr>
          <w:rFonts w:ascii="Times New Roman" w:hAnsi="Times New Roman" w:cs="Times New Roman"/>
          <w:bCs/>
          <w:color w:val="auto"/>
          <w:kern w:val="0"/>
          <w:szCs w:val="20"/>
          <w:highlight w:val="none"/>
        </w:rPr>
        <w:t>，炉料结构为70%高碱度烧结矿+25%酸性球团矿</w:t>
      </w:r>
      <w:r>
        <w:rPr>
          <w:rFonts w:hint="eastAsia" w:ascii="Times New Roman" w:hAnsi="Times New Roman" w:cs="Times New Roman"/>
          <w:bCs/>
          <w:color w:val="auto"/>
          <w:kern w:val="0"/>
          <w:szCs w:val="20"/>
          <w:highlight w:val="none"/>
        </w:rPr>
        <w:t>+</w:t>
      </w:r>
      <w:r>
        <w:rPr>
          <w:rFonts w:ascii="Times New Roman" w:hAnsi="Times New Roman" w:cs="Times New Roman"/>
          <w:bCs/>
          <w:color w:val="auto"/>
          <w:kern w:val="0"/>
          <w:szCs w:val="20"/>
          <w:highlight w:val="none"/>
        </w:rPr>
        <w:t>5%的块矿。碱负荷为≤7.0Kg/t，锌负荷为≤1.2Kg/t。</w:t>
      </w:r>
    </w:p>
    <w:p w14:paraId="1FDAA21C">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焦比410kg/t铁（含焦丁）</w:t>
      </w:r>
      <w:r>
        <w:rPr>
          <w:rFonts w:hint="eastAsia" w:ascii="Times New Roman" w:hAnsi="Times New Roman" w:cs="Times New Roman"/>
          <w:bCs/>
          <w:color w:val="auto"/>
          <w:kern w:val="0"/>
          <w:szCs w:val="20"/>
          <w:highlight w:val="none"/>
        </w:rPr>
        <w:t>，</w:t>
      </w:r>
      <w:r>
        <w:rPr>
          <w:rFonts w:ascii="Times New Roman" w:hAnsi="Times New Roman" w:cs="Times New Roman"/>
          <w:bCs/>
          <w:color w:val="auto"/>
          <w:kern w:val="0"/>
          <w:szCs w:val="20"/>
          <w:highlight w:val="none"/>
        </w:rPr>
        <w:t>焦炭反应后强度≥65%，</w:t>
      </w:r>
      <w:r>
        <w:rPr>
          <w:rFonts w:hint="eastAsia" w:ascii="Times New Roman" w:hAnsi="Times New Roman" w:cs="Times New Roman"/>
          <w:bCs/>
          <w:color w:val="auto"/>
          <w:kern w:val="0"/>
          <w:szCs w:val="20"/>
          <w:highlight w:val="none"/>
        </w:rPr>
        <w:t>反应性指数</w:t>
      </w:r>
      <w:r>
        <w:rPr>
          <w:rFonts w:ascii="Times New Roman" w:hAnsi="Times New Roman" w:cs="Times New Roman"/>
          <w:bCs/>
          <w:color w:val="auto"/>
          <w:kern w:val="0"/>
          <w:szCs w:val="20"/>
          <w:highlight w:val="none"/>
        </w:rPr>
        <w:t>≤26%，转鼓指数M40（顶装焦≥83%、捣固焦≥86%），M10（顶装焦≤8%、捣固焦≤5%）。</w:t>
      </w:r>
      <w:r>
        <w:rPr>
          <w:rFonts w:hint="eastAsia" w:ascii="Times New Roman" w:hAnsi="Times New Roman" w:cs="Times New Roman"/>
          <w:bCs/>
          <w:color w:val="auto"/>
          <w:kern w:val="0"/>
          <w:szCs w:val="20"/>
          <w:highlight w:val="none"/>
        </w:rPr>
        <w:t>按日产</w:t>
      </w:r>
      <w:r>
        <w:rPr>
          <w:rFonts w:hint="eastAsia" w:ascii="Times New Roman" w:hAnsi="Times New Roman" w:cs="Times New Roman"/>
          <w:bCs/>
          <w:color w:val="auto"/>
          <w:kern w:val="0"/>
          <w:szCs w:val="20"/>
          <w:highlight w:val="none"/>
          <w:lang w:eastAsia="zh-CN"/>
        </w:rPr>
        <w:t>3240</w:t>
      </w:r>
      <w:r>
        <w:rPr>
          <w:rFonts w:hint="eastAsia" w:ascii="Times New Roman" w:hAnsi="Times New Roman" w:cs="Times New Roman"/>
          <w:bCs/>
          <w:color w:val="auto"/>
          <w:kern w:val="0"/>
          <w:szCs w:val="20"/>
          <w:highlight w:val="none"/>
        </w:rPr>
        <w:t>吨铁水计算，</w:t>
      </w:r>
      <w:r>
        <w:rPr>
          <w:rFonts w:ascii="Times New Roman" w:hAnsi="Times New Roman" w:cs="Times New Roman"/>
          <w:bCs/>
          <w:color w:val="auto"/>
          <w:kern w:val="0"/>
          <w:szCs w:val="20"/>
          <w:highlight w:val="none"/>
        </w:rPr>
        <w:t>原燃料供应量如下表2.2-1，贮存时间见表2.2-2。</w:t>
      </w:r>
    </w:p>
    <w:p w14:paraId="460A58EC">
      <w:pPr>
        <w:shd w:val="clear"/>
        <w:jc w:val="center"/>
        <w:rPr>
          <w:rFonts w:ascii="Times New Roman" w:hAnsi="Times New Roman" w:cs="Times New Roman"/>
          <w:color w:val="auto"/>
          <w:highlight w:val="none"/>
        </w:rPr>
      </w:pPr>
      <w:r>
        <w:rPr>
          <w:rFonts w:ascii="Times New Roman" w:hAnsi="Times New Roman" w:cs="Times New Roman"/>
          <w:color w:val="auto"/>
          <w:highlight w:val="none"/>
        </w:rPr>
        <w:t>表2.2-1  每天需要的供料量</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7"/>
        <w:gridCol w:w="3126"/>
        <w:gridCol w:w="3126"/>
      </w:tblGrid>
      <w:tr w14:paraId="563C6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tcBorders>
              <w:top w:val="single" w:color="auto" w:sz="12" w:space="0"/>
              <w:left w:val="single" w:color="auto" w:sz="12" w:space="0"/>
            </w:tcBorders>
            <w:vAlign w:val="center"/>
          </w:tcPr>
          <w:p w14:paraId="2EF128F0">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原燃料名称</w:t>
            </w:r>
          </w:p>
        </w:tc>
        <w:tc>
          <w:tcPr>
            <w:tcW w:w="3126" w:type="dxa"/>
            <w:tcBorders>
              <w:top w:val="single" w:color="auto" w:sz="12" w:space="0"/>
            </w:tcBorders>
            <w:vAlign w:val="center"/>
          </w:tcPr>
          <w:p w14:paraId="5BA697CE">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供料量（入槽量）t/d</w:t>
            </w:r>
          </w:p>
        </w:tc>
        <w:tc>
          <w:tcPr>
            <w:tcW w:w="3126" w:type="dxa"/>
            <w:tcBorders>
              <w:top w:val="single" w:color="auto" w:sz="12" w:space="0"/>
              <w:right w:val="single" w:color="auto" w:sz="12" w:space="0"/>
            </w:tcBorders>
          </w:tcPr>
          <w:p w14:paraId="66A047C0">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筛下率</w:t>
            </w:r>
          </w:p>
        </w:tc>
      </w:tr>
      <w:tr w14:paraId="5F348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tcBorders>
              <w:left w:val="single" w:color="auto" w:sz="12" w:space="0"/>
            </w:tcBorders>
            <w:vAlign w:val="center"/>
          </w:tcPr>
          <w:p w14:paraId="12F56498">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烧结矿</w:t>
            </w:r>
          </w:p>
        </w:tc>
        <w:tc>
          <w:tcPr>
            <w:tcW w:w="3126" w:type="dxa"/>
            <w:vAlign w:val="center"/>
          </w:tcPr>
          <w:p w14:paraId="5D83EB10">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3845.2</w:t>
            </w:r>
          </w:p>
          <w:p w14:paraId="6B5A1D8F">
            <w:pPr>
              <w:widowControl/>
              <w:shd w:val="clear"/>
              <w:ind w:firstLine="420"/>
              <w:jc w:val="center"/>
              <w:textAlignment w:val="bottom"/>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（按最大筛下率4357.9）</w:t>
            </w:r>
          </w:p>
        </w:tc>
        <w:tc>
          <w:tcPr>
            <w:tcW w:w="3126" w:type="dxa"/>
            <w:tcBorders>
              <w:right w:val="single" w:color="auto" w:sz="12" w:space="0"/>
            </w:tcBorders>
          </w:tcPr>
          <w:p w14:paraId="5B070BBA">
            <w:pPr>
              <w:widowControl/>
              <w:shd w:val="clear"/>
              <w:ind w:firstLine="420"/>
              <w:jc w:val="center"/>
              <w:textAlignment w:val="bottom"/>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正常15%</w:t>
            </w:r>
          </w:p>
          <w:p w14:paraId="765B59E9">
            <w:pPr>
              <w:widowControl/>
              <w:shd w:val="clear"/>
              <w:ind w:firstLine="420"/>
              <w:jc w:val="center"/>
              <w:textAlignment w:val="bottom"/>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最大2</w:t>
            </w:r>
            <w:r>
              <w:rPr>
                <w:rFonts w:ascii="Times New Roman" w:hAnsi="Times New Roman" w:cs="Times New Roman"/>
                <w:color w:val="auto"/>
                <w:sz w:val="21"/>
                <w:szCs w:val="21"/>
                <w:highlight w:val="none"/>
              </w:rPr>
              <w:t>5%</w:t>
            </w:r>
          </w:p>
        </w:tc>
      </w:tr>
      <w:tr w14:paraId="19E9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tcBorders>
              <w:left w:val="single" w:color="auto" w:sz="12" w:space="0"/>
            </w:tcBorders>
            <w:vAlign w:val="center"/>
          </w:tcPr>
          <w:p w14:paraId="45957CE5">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块矿</w:t>
            </w:r>
          </w:p>
        </w:tc>
        <w:tc>
          <w:tcPr>
            <w:tcW w:w="3126" w:type="dxa"/>
            <w:vAlign w:val="center"/>
          </w:tcPr>
          <w:p w14:paraId="5798A915">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259.4</w:t>
            </w:r>
          </w:p>
        </w:tc>
        <w:tc>
          <w:tcPr>
            <w:tcW w:w="3126" w:type="dxa"/>
            <w:tcBorders>
              <w:right w:val="single" w:color="auto" w:sz="12" w:space="0"/>
            </w:tcBorders>
          </w:tcPr>
          <w:p w14:paraId="4FAF0AB7">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w:t>
            </w:r>
          </w:p>
        </w:tc>
      </w:tr>
      <w:tr w14:paraId="57A7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tcBorders>
              <w:left w:val="single" w:color="auto" w:sz="12" w:space="0"/>
            </w:tcBorders>
            <w:vAlign w:val="center"/>
          </w:tcPr>
          <w:p w14:paraId="13F3881C">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球团矿</w:t>
            </w:r>
          </w:p>
        </w:tc>
        <w:tc>
          <w:tcPr>
            <w:tcW w:w="3126" w:type="dxa"/>
            <w:vAlign w:val="center"/>
          </w:tcPr>
          <w:p w14:paraId="4EE5EFE8">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1459.1</w:t>
            </w:r>
          </w:p>
        </w:tc>
        <w:tc>
          <w:tcPr>
            <w:tcW w:w="3126" w:type="dxa"/>
            <w:tcBorders>
              <w:right w:val="single" w:color="auto" w:sz="12" w:space="0"/>
            </w:tcBorders>
          </w:tcPr>
          <w:p w14:paraId="6F792BB9">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w:t>
            </w:r>
          </w:p>
        </w:tc>
      </w:tr>
      <w:tr w14:paraId="2D9FE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tcBorders>
              <w:left w:val="single" w:color="auto" w:sz="12" w:space="0"/>
            </w:tcBorders>
            <w:vAlign w:val="center"/>
          </w:tcPr>
          <w:p w14:paraId="6D641BCC">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杂矿</w:t>
            </w:r>
          </w:p>
        </w:tc>
        <w:tc>
          <w:tcPr>
            <w:tcW w:w="3126" w:type="dxa"/>
            <w:vAlign w:val="center"/>
          </w:tcPr>
          <w:p w14:paraId="4902232A">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51.8</w:t>
            </w:r>
          </w:p>
        </w:tc>
        <w:tc>
          <w:tcPr>
            <w:tcW w:w="3126" w:type="dxa"/>
            <w:tcBorders>
              <w:right w:val="single" w:color="auto" w:sz="12" w:space="0"/>
            </w:tcBorders>
          </w:tcPr>
          <w:p w14:paraId="4A28EC1E">
            <w:pPr>
              <w:widowControl/>
              <w:shd w:val="clear"/>
              <w:ind w:firstLine="420"/>
              <w:jc w:val="center"/>
              <w:textAlignment w:val="bottom"/>
              <w:rPr>
                <w:rFonts w:ascii="Times New Roman" w:hAnsi="Times New Roman" w:cs="Times New Roman"/>
                <w:color w:val="auto"/>
                <w:sz w:val="21"/>
                <w:szCs w:val="21"/>
                <w:highlight w:val="none"/>
              </w:rPr>
            </w:pPr>
          </w:p>
        </w:tc>
      </w:tr>
      <w:tr w14:paraId="218D4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tcBorders>
              <w:left w:val="single" w:color="auto" w:sz="12" w:space="0"/>
              <w:bottom w:val="single" w:color="auto" w:sz="12" w:space="0"/>
            </w:tcBorders>
            <w:vAlign w:val="center"/>
          </w:tcPr>
          <w:p w14:paraId="7F37CD0A">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焦炭</w:t>
            </w:r>
          </w:p>
        </w:tc>
        <w:tc>
          <w:tcPr>
            <w:tcW w:w="3126" w:type="dxa"/>
            <w:tcBorders>
              <w:bottom w:val="single" w:color="auto" w:sz="12" w:space="0"/>
            </w:tcBorders>
            <w:vAlign w:val="center"/>
          </w:tcPr>
          <w:p w14:paraId="324F2583">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1192.2</w:t>
            </w:r>
          </w:p>
        </w:tc>
        <w:tc>
          <w:tcPr>
            <w:tcW w:w="3126" w:type="dxa"/>
            <w:tcBorders>
              <w:bottom w:val="single" w:color="auto" w:sz="12" w:space="0"/>
              <w:right w:val="single" w:color="auto" w:sz="12" w:space="0"/>
            </w:tcBorders>
          </w:tcPr>
          <w:p w14:paraId="52F27F6C">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14%</w:t>
            </w:r>
          </w:p>
        </w:tc>
      </w:tr>
    </w:tbl>
    <w:p w14:paraId="4349327E">
      <w:pPr>
        <w:shd w:val="clear"/>
        <w:jc w:val="center"/>
        <w:rPr>
          <w:rFonts w:ascii="Times New Roman" w:hAnsi="Times New Roman" w:cs="Times New Roman"/>
          <w:color w:val="auto"/>
          <w:highlight w:val="none"/>
        </w:rPr>
      </w:pPr>
      <w:r>
        <w:rPr>
          <w:rFonts w:ascii="Times New Roman" w:hAnsi="Times New Roman" w:cs="Times New Roman"/>
          <w:color w:val="auto"/>
          <w:highlight w:val="none"/>
        </w:rPr>
        <w:t>表2.2-2  现有原燃料贮存量及贮存时间</w:t>
      </w:r>
    </w:p>
    <w:tbl>
      <w:tblPr>
        <w:tblStyle w:val="60"/>
        <w:tblW w:w="0" w:type="auto"/>
        <w:jc w:val="center"/>
        <w:tblBorders>
          <w:top w:val="single" w:color="auto" w:sz="2" w:space="0"/>
          <w:left w:val="single" w:color="auto" w:sz="2" w:space="0"/>
          <w:bottom w:val="single" w:color="auto" w:sz="2" w:space="0"/>
          <w:right w:val="single" w:color="auto" w:sz="2" w:space="0"/>
          <w:insideH w:val="single" w:color="auto" w:sz="4" w:space="0"/>
          <w:insideV w:val="single" w:color="auto" w:sz="6" w:space="0"/>
        </w:tblBorders>
        <w:tblLayout w:type="fixed"/>
        <w:tblCellMar>
          <w:top w:w="0" w:type="dxa"/>
          <w:left w:w="108" w:type="dxa"/>
          <w:bottom w:w="0" w:type="dxa"/>
          <w:right w:w="108" w:type="dxa"/>
        </w:tblCellMar>
      </w:tblPr>
      <w:tblGrid>
        <w:gridCol w:w="701"/>
        <w:gridCol w:w="2577"/>
        <w:gridCol w:w="849"/>
        <w:gridCol w:w="1499"/>
        <w:gridCol w:w="1631"/>
        <w:gridCol w:w="1265"/>
      </w:tblGrid>
      <w:tr w14:paraId="709E8FE3">
        <w:tblPrEx>
          <w:tblBorders>
            <w:top w:val="single" w:color="auto" w:sz="2" w:space="0"/>
            <w:left w:val="single" w:color="auto" w:sz="2" w:space="0"/>
            <w:bottom w:val="single" w:color="auto" w:sz="2" w:space="0"/>
            <w:right w:val="single" w:color="auto" w:sz="2" w:space="0"/>
            <w:insideH w:val="single" w:color="auto" w:sz="4" w:space="0"/>
            <w:insideV w:val="single" w:color="auto" w:sz="6" w:space="0"/>
          </w:tblBorders>
          <w:tblCellMar>
            <w:top w:w="0" w:type="dxa"/>
            <w:left w:w="108" w:type="dxa"/>
            <w:bottom w:w="0" w:type="dxa"/>
            <w:right w:w="108" w:type="dxa"/>
          </w:tblCellMar>
        </w:tblPrEx>
        <w:trPr>
          <w:cantSplit/>
          <w:tblHeader/>
          <w:jc w:val="center"/>
        </w:trPr>
        <w:tc>
          <w:tcPr>
            <w:tcW w:w="701" w:type="dxa"/>
            <w:tcBorders>
              <w:top w:val="single" w:color="auto" w:sz="12" w:space="0"/>
              <w:left w:val="single" w:color="auto" w:sz="12" w:space="0"/>
              <w:right w:val="single" w:color="auto" w:sz="4" w:space="0"/>
            </w:tcBorders>
            <w:vAlign w:val="center"/>
          </w:tcPr>
          <w:p w14:paraId="1DCAFDC9">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序号</w:t>
            </w:r>
          </w:p>
        </w:tc>
        <w:tc>
          <w:tcPr>
            <w:tcW w:w="2577" w:type="dxa"/>
            <w:tcBorders>
              <w:top w:val="single" w:color="auto" w:sz="12" w:space="0"/>
              <w:left w:val="single" w:color="auto" w:sz="4" w:space="0"/>
              <w:right w:val="single" w:color="auto" w:sz="4" w:space="0"/>
            </w:tcBorders>
            <w:vAlign w:val="center"/>
          </w:tcPr>
          <w:p w14:paraId="28C8A6F8">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名称</w:t>
            </w:r>
          </w:p>
        </w:tc>
        <w:tc>
          <w:tcPr>
            <w:tcW w:w="849" w:type="dxa"/>
            <w:tcBorders>
              <w:top w:val="single" w:color="auto" w:sz="12" w:space="0"/>
              <w:left w:val="single" w:color="auto" w:sz="4" w:space="0"/>
              <w:right w:val="single" w:color="auto" w:sz="4" w:space="0"/>
            </w:tcBorders>
            <w:vAlign w:val="center"/>
          </w:tcPr>
          <w:p w14:paraId="237CDBCC">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数量/个</w:t>
            </w:r>
          </w:p>
        </w:tc>
        <w:tc>
          <w:tcPr>
            <w:tcW w:w="1499" w:type="dxa"/>
            <w:tcBorders>
              <w:top w:val="single" w:color="auto" w:sz="12" w:space="0"/>
              <w:left w:val="single" w:color="auto" w:sz="4" w:space="0"/>
              <w:right w:val="single" w:color="auto" w:sz="4" w:space="0"/>
            </w:tcBorders>
            <w:vAlign w:val="center"/>
          </w:tcPr>
          <w:p w14:paraId="42B19327">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单槽有效容积/m</w:t>
            </w:r>
            <w:r>
              <w:rPr>
                <w:rFonts w:ascii="Times New Roman" w:hAnsi="Times New Roman" w:cs="Times New Roman"/>
                <w:color w:val="auto"/>
                <w:sz w:val="21"/>
                <w:szCs w:val="21"/>
                <w:highlight w:val="none"/>
                <w:vertAlign w:val="superscript"/>
              </w:rPr>
              <w:t>3</w:t>
            </w:r>
          </w:p>
        </w:tc>
        <w:tc>
          <w:tcPr>
            <w:tcW w:w="1631" w:type="dxa"/>
            <w:tcBorders>
              <w:top w:val="single" w:color="auto" w:sz="12" w:space="0"/>
              <w:left w:val="single" w:color="auto" w:sz="4" w:space="0"/>
              <w:right w:val="single" w:color="auto" w:sz="4" w:space="0"/>
            </w:tcBorders>
            <w:vAlign w:val="center"/>
          </w:tcPr>
          <w:p w14:paraId="4F93DB76">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总有效容积/m</w:t>
            </w:r>
            <w:r>
              <w:rPr>
                <w:rFonts w:ascii="Times New Roman" w:hAnsi="Times New Roman" w:cs="Times New Roman"/>
                <w:color w:val="auto"/>
                <w:sz w:val="21"/>
                <w:szCs w:val="21"/>
                <w:highlight w:val="none"/>
                <w:vertAlign w:val="superscript"/>
              </w:rPr>
              <w:t>3</w:t>
            </w:r>
          </w:p>
        </w:tc>
        <w:tc>
          <w:tcPr>
            <w:tcW w:w="1265" w:type="dxa"/>
            <w:tcBorders>
              <w:top w:val="single" w:color="auto" w:sz="12" w:space="0"/>
              <w:left w:val="single" w:color="auto" w:sz="4" w:space="0"/>
              <w:right w:val="single" w:color="auto" w:sz="12" w:space="0"/>
            </w:tcBorders>
            <w:vAlign w:val="center"/>
          </w:tcPr>
          <w:p w14:paraId="0FCDF079">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贮存时间/h</w:t>
            </w:r>
          </w:p>
        </w:tc>
      </w:tr>
      <w:tr w14:paraId="2C7269F4">
        <w:tblPrEx>
          <w:tblBorders>
            <w:top w:val="single" w:color="auto" w:sz="2" w:space="0"/>
            <w:left w:val="single" w:color="auto" w:sz="2" w:space="0"/>
            <w:bottom w:val="single" w:color="auto" w:sz="2" w:space="0"/>
            <w:right w:val="single" w:color="auto" w:sz="2" w:space="0"/>
            <w:insideH w:val="single" w:color="auto" w:sz="4" w:space="0"/>
            <w:insideV w:val="single" w:color="auto" w:sz="6" w:space="0"/>
          </w:tblBorders>
          <w:tblCellMar>
            <w:top w:w="0" w:type="dxa"/>
            <w:left w:w="108" w:type="dxa"/>
            <w:bottom w:w="0" w:type="dxa"/>
            <w:right w:w="108" w:type="dxa"/>
          </w:tblCellMar>
        </w:tblPrEx>
        <w:trPr>
          <w:cantSplit/>
          <w:jc w:val="center"/>
        </w:trPr>
        <w:tc>
          <w:tcPr>
            <w:tcW w:w="701" w:type="dxa"/>
            <w:tcBorders>
              <w:left w:val="single" w:color="auto" w:sz="12" w:space="0"/>
              <w:right w:val="single" w:color="auto" w:sz="4" w:space="0"/>
            </w:tcBorders>
            <w:vAlign w:val="center"/>
          </w:tcPr>
          <w:p w14:paraId="23209174">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2577" w:type="dxa"/>
            <w:tcBorders>
              <w:left w:val="single" w:color="auto" w:sz="4" w:space="0"/>
              <w:right w:val="single" w:color="auto" w:sz="4" w:space="0"/>
            </w:tcBorders>
            <w:vAlign w:val="center"/>
          </w:tcPr>
          <w:p w14:paraId="1955B68F">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烧结矿槽（9#~10#仓、15#仓）</w:t>
            </w:r>
          </w:p>
        </w:tc>
        <w:tc>
          <w:tcPr>
            <w:tcW w:w="849" w:type="dxa"/>
            <w:tcBorders>
              <w:left w:val="single" w:color="auto" w:sz="4" w:space="0"/>
              <w:right w:val="single" w:color="auto" w:sz="4" w:space="0"/>
            </w:tcBorders>
            <w:vAlign w:val="center"/>
          </w:tcPr>
          <w:p w14:paraId="0584A586">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w:t>
            </w:r>
          </w:p>
        </w:tc>
        <w:tc>
          <w:tcPr>
            <w:tcW w:w="1499" w:type="dxa"/>
            <w:tcBorders>
              <w:left w:val="single" w:color="auto" w:sz="4" w:space="0"/>
              <w:right w:val="single" w:color="auto" w:sz="4" w:space="0"/>
            </w:tcBorders>
            <w:vAlign w:val="center"/>
          </w:tcPr>
          <w:p w14:paraId="4662E9CE">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414</w:t>
            </w:r>
          </w:p>
        </w:tc>
        <w:tc>
          <w:tcPr>
            <w:tcW w:w="1631" w:type="dxa"/>
            <w:tcBorders>
              <w:left w:val="single" w:color="auto" w:sz="4" w:space="0"/>
              <w:right w:val="single" w:color="auto" w:sz="4" w:space="0"/>
            </w:tcBorders>
            <w:vAlign w:val="center"/>
          </w:tcPr>
          <w:p w14:paraId="2C7C9C15">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1242</w:t>
            </w:r>
          </w:p>
        </w:tc>
        <w:tc>
          <w:tcPr>
            <w:tcW w:w="1265" w:type="dxa"/>
            <w:tcBorders>
              <w:left w:val="single" w:color="auto" w:sz="4" w:space="0"/>
              <w:right w:val="single" w:color="auto" w:sz="12" w:space="0"/>
            </w:tcBorders>
            <w:vAlign w:val="center"/>
          </w:tcPr>
          <w:p w14:paraId="76BDB405">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13.6</w:t>
            </w:r>
          </w:p>
          <w:p w14:paraId="0C46F1CA">
            <w:pPr>
              <w:widowControl/>
              <w:shd w:val="clear"/>
              <w:ind w:firstLine="0" w:firstLineChars="0"/>
              <w:jc w:val="center"/>
              <w:textAlignment w:val="bottom"/>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（按最大筛下率12.0）</w:t>
            </w:r>
          </w:p>
        </w:tc>
      </w:tr>
      <w:tr w14:paraId="47D22BA5">
        <w:tblPrEx>
          <w:tblBorders>
            <w:top w:val="single" w:color="auto" w:sz="2" w:space="0"/>
            <w:left w:val="single" w:color="auto" w:sz="2" w:space="0"/>
            <w:bottom w:val="single" w:color="auto" w:sz="2" w:space="0"/>
            <w:right w:val="single" w:color="auto" w:sz="2" w:space="0"/>
            <w:insideH w:val="single" w:color="auto" w:sz="4" w:space="0"/>
            <w:insideV w:val="single" w:color="auto" w:sz="6" w:space="0"/>
          </w:tblBorders>
          <w:tblCellMar>
            <w:top w:w="0" w:type="dxa"/>
            <w:left w:w="108" w:type="dxa"/>
            <w:bottom w:w="0" w:type="dxa"/>
            <w:right w:w="108" w:type="dxa"/>
          </w:tblCellMar>
        </w:tblPrEx>
        <w:trPr>
          <w:cantSplit/>
          <w:trHeight w:val="445" w:hRule="atLeast"/>
          <w:jc w:val="center"/>
        </w:trPr>
        <w:tc>
          <w:tcPr>
            <w:tcW w:w="701" w:type="dxa"/>
            <w:vMerge w:val="restart"/>
            <w:tcBorders>
              <w:left w:val="single" w:color="auto" w:sz="12" w:space="0"/>
              <w:right w:val="single" w:color="auto" w:sz="4" w:space="0"/>
            </w:tcBorders>
            <w:vAlign w:val="center"/>
          </w:tcPr>
          <w:p w14:paraId="151A69DE">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2577" w:type="dxa"/>
            <w:tcBorders>
              <w:left w:val="single" w:color="auto" w:sz="4" w:space="0"/>
              <w:right w:val="single" w:color="auto" w:sz="4" w:space="0"/>
            </w:tcBorders>
            <w:vAlign w:val="center"/>
          </w:tcPr>
          <w:p w14:paraId="67D322E4">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球团矿槽（12#~13#仓）</w:t>
            </w:r>
          </w:p>
        </w:tc>
        <w:tc>
          <w:tcPr>
            <w:tcW w:w="849" w:type="dxa"/>
            <w:tcBorders>
              <w:left w:val="single" w:color="auto" w:sz="4" w:space="0"/>
              <w:right w:val="single" w:color="auto" w:sz="4" w:space="0"/>
            </w:tcBorders>
            <w:vAlign w:val="center"/>
          </w:tcPr>
          <w:p w14:paraId="399AA135">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1499" w:type="dxa"/>
            <w:tcBorders>
              <w:left w:val="single" w:color="auto" w:sz="4" w:space="0"/>
              <w:right w:val="single" w:color="auto" w:sz="4" w:space="0"/>
            </w:tcBorders>
            <w:vAlign w:val="center"/>
          </w:tcPr>
          <w:p w14:paraId="7E3EF1D8">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273</w:t>
            </w:r>
          </w:p>
        </w:tc>
        <w:tc>
          <w:tcPr>
            <w:tcW w:w="1631" w:type="dxa"/>
            <w:vMerge w:val="restart"/>
            <w:tcBorders>
              <w:left w:val="single" w:color="auto" w:sz="4" w:space="0"/>
              <w:right w:val="single" w:color="auto" w:sz="4" w:space="0"/>
            </w:tcBorders>
            <w:vAlign w:val="center"/>
          </w:tcPr>
          <w:p w14:paraId="787BF8DB">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960</w:t>
            </w:r>
          </w:p>
        </w:tc>
        <w:tc>
          <w:tcPr>
            <w:tcW w:w="1265" w:type="dxa"/>
            <w:vMerge w:val="restart"/>
            <w:tcBorders>
              <w:left w:val="single" w:color="auto" w:sz="4" w:space="0"/>
              <w:right w:val="single" w:color="auto" w:sz="12" w:space="0"/>
            </w:tcBorders>
            <w:vAlign w:val="center"/>
          </w:tcPr>
          <w:p w14:paraId="6EBC4876">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34.7</w:t>
            </w:r>
          </w:p>
        </w:tc>
      </w:tr>
      <w:tr w14:paraId="5F1055E0">
        <w:tblPrEx>
          <w:tblBorders>
            <w:top w:val="single" w:color="auto" w:sz="2" w:space="0"/>
            <w:left w:val="single" w:color="auto" w:sz="2" w:space="0"/>
            <w:bottom w:val="single" w:color="auto" w:sz="2" w:space="0"/>
            <w:right w:val="single" w:color="auto" w:sz="2" w:space="0"/>
            <w:insideH w:val="single" w:color="auto" w:sz="4" w:space="0"/>
            <w:insideV w:val="single" w:color="auto" w:sz="6" w:space="0"/>
          </w:tblBorders>
          <w:tblCellMar>
            <w:top w:w="0" w:type="dxa"/>
            <w:left w:w="108" w:type="dxa"/>
            <w:bottom w:w="0" w:type="dxa"/>
            <w:right w:w="108" w:type="dxa"/>
          </w:tblCellMar>
        </w:tblPrEx>
        <w:trPr>
          <w:cantSplit/>
          <w:trHeight w:val="512" w:hRule="atLeast"/>
          <w:jc w:val="center"/>
        </w:trPr>
        <w:tc>
          <w:tcPr>
            <w:tcW w:w="701" w:type="dxa"/>
            <w:vMerge w:val="continue"/>
            <w:tcBorders>
              <w:left w:val="single" w:color="auto" w:sz="12" w:space="0"/>
              <w:right w:val="single" w:color="auto" w:sz="4" w:space="0"/>
            </w:tcBorders>
            <w:vAlign w:val="center"/>
          </w:tcPr>
          <w:p w14:paraId="792408A8">
            <w:pPr>
              <w:widowControl/>
              <w:shd w:val="clear"/>
              <w:ind w:firstLine="0" w:firstLineChars="0"/>
              <w:jc w:val="center"/>
              <w:textAlignment w:val="bottom"/>
              <w:rPr>
                <w:rFonts w:ascii="Times New Roman" w:hAnsi="Times New Roman" w:cs="Times New Roman"/>
                <w:color w:val="auto"/>
                <w:sz w:val="21"/>
                <w:szCs w:val="21"/>
                <w:highlight w:val="none"/>
              </w:rPr>
            </w:pPr>
          </w:p>
        </w:tc>
        <w:tc>
          <w:tcPr>
            <w:tcW w:w="2577" w:type="dxa"/>
            <w:tcBorders>
              <w:left w:val="single" w:color="auto" w:sz="4" w:space="0"/>
              <w:right w:val="single" w:color="auto" w:sz="4" w:space="0"/>
            </w:tcBorders>
            <w:vAlign w:val="center"/>
          </w:tcPr>
          <w:p w14:paraId="5E1427B8">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球团矿槽（16#仓）</w:t>
            </w:r>
          </w:p>
        </w:tc>
        <w:tc>
          <w:tcPr>
            <w:tcW w:w="849" w:type="dxa"/>
            <w:tcBorders>
              <w:left w:val="single" w:color="auto" w:sz="4" w:space="0"/>
              <w:right w:val="single" w:color="auto" w:sz="4" w:space="0"/>
            </w:tcBorders>
            <w:vAlign w:val="center"/>
          </w:tcPr>
          <w:p w14:paraId="2019D6EA">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1499" w:type="dxa"/>
            <w:tcBorders>
              <w:left w:val="single" w:color="auto" w:sz="4" w:space="0"/>
              <w:right w:val="single" w:color="auto" w:sz="4" w:space="0"/>
            </w:tcBorders>
            <w:vAlign w:val="center"/>
          </w:tcPr>
          <w:p w14:paraId="66FA92FC">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414</w:t>
            </w:r>
          </w:p>
        </w:tc>
        <w:tc>
          <w:tcPr>
            <w:tcW w:w="1631" w:type="dxa"/>
            <w:vMerge w:val="continue"/>
            <w:tcBorders>
              <w:left w:val="single" w:color="auto" w:sz="4" w:space="0"/>
              <w:right w:val="single" w:color="auto" w:sz="4" w:space="0"/>
            </w:tcBorders>
            <w:vAlign w:val="center"/>
          </w:tcPr>
          <w:p w14:paraId="698957A3">
            <w:pPr>
              <w:widowControl/>
              <w:shd w:val="clear"/>
              <w:ind w:firstLine="0" w:firstLineChars="0"/>
              <w:jc w:val="center"/>
              <w:textAlignment w:val="bottom"/>
              <w:rPr>
                <w:rFonts w:ascii="Times New Roman" w:hAnsi="Times New Roman" w:cs="Times New Roman"/>
                <w:color w:val="auto"/>
                <w:sz w:val="21"/>
                <w:szCs w:val="21"/>
                <w:highlight w:val="none"/>
              </w:rPr>
            </w:pPr>
          </w:p>
        </w:tc>
        <w:tc>
          <w:tcPr>
            <w:tcW w:w="1265" w:type="dxa"/>
            <w:vMerge w:val="continue"/>
            <w:tcBorders>
              <w:left w:val="single" w:color="auto" w:sz="4" w:space="0"/>
              <w:right w:val="single" w:color="auto" w:sz="12" w:space="0"/>
            </w:tcBorders>
            <w:vAlign w:val="center"/>
          </w:tcPr>
          <w:p w14:paraId="3EA72670">
            <w:pPr>
              <w:widowControl/>
              <w:shd w:val="clear"/>
              <w:ind w:firstLine="0" w:firstLineChars="0"/>
              <w:jc w:val="center"/>
              <w:textAlignment w:val="bottom"/>
              <w:rPr>
                <w:rFonts w:ascii="Times New Roman" w:hAnsi="Times New Roman" w:cs="Times New Roman"/>
                <w:color w:val="auto"/>
                <w:sz w:val="21"/>
                <w:szCs w:val="21"/>
                <w:highlight w:val="none"/>
              </w:rPr>
            </w:pPr>
          </w:p>
        </w:tc>
      </w:tr>
      <w:tr w14:paraId="61F543F2">
        <w:tblPrEx>
          <w:tblBorders>
            <w:top w:val="single" w:color="auto" w:sz="2" w:space="0"/>
            <w:left w:val="single" w:color="auto" w:sz="2" w:space="0"/>
            <w:bottom w:val="single" w:color="auto" w:sz="2" w:space="0"/>
            <w:right w:val="single" w:color="auto" w:sz="2" w:space="0"/>
            <w:insideH w:val="single" w:color="auto" w:sz="4" w:space="0"/>
            <w:insideV w:val="single" w:color="auto" w:sz="6" w:space="0"/>
          </w:tblBorders>
          <w:tblCellMar>
            <w:top w:w="0" w:type="dxa"/>
            <w:left w:w="108" w:type="dxa"/>
            <w:bottom w:w="0" w:type="dxa"/>
            <w:right w:w="108" w:type="dxa"/>
          </w:tblCellMar>
        </w:tblPrEx>
        <w:trPr>
          <w:cantSplit/>
          <w:jc w:val="center"/>
        </w:trPr>
        <w:tc>
          <w:tcPr>
            <w:tcW w:w="701" w:type="dxa"/>
            <w:tcBorders>
              <w:left w:val="single" w:color="auto" w:sz="12" w:space="0"/>
              <w:right w:val="single" w:color="auto" w:sz="4" w:space="0"/>
            </w:tcBorders>
            <w:vAlign w:val="center"/>
          </w:tcPr>
          <w:p w14:paraId="7FF96951">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w:t>
            </w:r>
          </w:p>
        </w:tc>
        <w:tc>
          <w:tcPr>
            <w:tcW w:w="2577" w:type="dxa"/>
            <w:tcBorders>
              <w:left w:val="single" w:color="auto" w:sz="4" w:space="0"/>
              <w:right w:val="single" w:color="auto" w:sz="4" w:space="0"/>
            </w:tcBorders>
            <w:vAlign w:val="center"/>
          </w:tcPr>
          <w:p w14:paraId="08D1568F">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块矿槽（11#仓）</w:t>
            </w:r>
          </w:p>
        </w:tc>
        <w:tc>
          <w:tcPr>
            <w:tcW w:w="849" w:type="dxa"/>
            <w:tcBorders>
              <w:left w:val="single" w:color="auto" w:sz="4" w:space="0"/>
              <w:right w:val="single" w:color="auto" w:sz="4" w:space="0"/>
            </w:tcBorders>
            <w:vAlign w:val="center"/>
          </w:tcPr>
          <w:p w14:paraId="775BFC4A">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1499" w:type="dxa"/>
            <w:tcBorders>
              <w:left w:val="single" w:color="auto" w:sz="4" w:space="0"/>
              <w:right w:val="single" w:color="auto" w:sz="4" w:space="0"/>
            </w:tcBorders>
            <w:vAlign w:val="center"/>
          </w:tcPr>
          <w:p w14:paraId="56973A9D">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147</w:t>
            </w:r>
          </w:p>
        </w:tc>
        <w:tc>
          <w:tcPr>
            <w:tcW w:w="1631" w:type="dxa"/>
            <w:tcBorders>
              <w:left w:val="single" w:color="auto" w:sz="4" w:space="0"/>
              <w:right w:val="single" w:color="auto" w:sz="4" w:space="0"/>
            </w:tcBorders>
            <w:vAlign w:val="center"/>
          </w:tcPr>
          <w:p w14:paraId="604A927E">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147</w:t>
            </w:r>
          </w:p>
        </w:tc>
        <w:tc>
          <w:tcPr>
            <w:tcW w:w="1265" w:type="dxa"/>
            <w:tcBorders>
              <w:left w:val="single" w:color="auto" w:sz="4" w:space="0"/>
              <w:right w:val="single" w:color="auto" w:sz="12" w:space="0"/>
            </w:tcBorders>
            <w:vAlign w:val="center"/>
          </w:tcPr>
          <w:p w14:paraId="19EA4145">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31</w:t>
            </w:r>
          </w:p>
        </w:tc>
      </w:tr>
      <w:tr w14:paraId="424C2B39">
        <w:tblPrEx>
          <w:tblBorders>
            <w:top w:val="single" w:color="auto" w:sz="2" w:space="0"/>
            <w:left w:val="single" w:color="auto" w:sz="2" w:space="0"/>
            <w:bottom w:val="single" w:color="auto" w:sz="2" w:space="0"/>
            <w:right w:val="single" w:color="auto" w:sz="2" w:space="0"/>
            <w:insideH w:val="single" w:color="auto" w:sz="4" w:space="0"/>
            <w:insideV w:val="single" w:color="auto" w:sz="6" w:space="0"/>
          </w:tblBorders>
          <w:tblCellMar>
            <w:top w:w="0" w:type="dxa"/>
            <w:left w:w="108" w:type="dxa"/>
            <w:bottom w:w="0" w:type="dxa"/>
            <w:right w:w="108" w:type="dxa"/>
          </w:tblCellMar>
        </w:tblPrEx>
        <w:trPr>
          <w:cantSplit/>
          <w:jc w:val="center"/>
        </w:trPr>
        <w:tc>
          <w:tcPr>
            <w:tcW w:w="701" w:type="dxa"/>
            <w:tcBorders>
              <w:left w:val="single" w:color="auto" w:sz="12" w:space="0"/>
              <w:right w:val="single" w:color="auto" w:sz="4" w:space="0"/>
            </w:tcBorders>
            <w:vAlign w:val="center"/>
          </w:tcPr>
          <w:p w14:paraId="50A925E2">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w:t>
            </w:r>
          </w:p>
        </w:tc>
        <w:tc>
          <w:tcPr>
            <w:tcW w:w="2577" w:type="dxa"/>
            <w:tcBorders>
              <w:left w:val="single" w:color="auto" w:sz="4" w:space="0"/>
              <w:right w:val="single" w:color="auto" w:sz="4" w:space="0"/>
            </w:tcBorders>
            <w:vAlign w:val="center"/>
          </w:tcPr>
          <w:p w14:paraId="59541A3C">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杂矿槽（14#仓）</w:t>
            </w:r>
          </w:p>
        </w:tc>
        <w:tc>
          <w:tcPr>
            <w:tcW w:w="849" w:type="dxa"/>
            <w:tcBorders>
              <w:left w:val="single" w:color="auto" w:sz="4" w:space="0"/>
              <w:right w:val="single" w:color="auto" w:sz="4" w:space="0"/>
            </w:tcBorders>
            <w:vAlign w:val="center"/>
          </w:tcPr>
          <w:p w14:paraId="627EDE91">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1499" w:type="dxa"/>
            <w:tcBorders>
              <w:left w:val="single" w:color="auto" w:sz="4" w:space="0"/>
              <w:right w:val="single" w:color="auto" w:sz="4" w:space="0"/>
            </w:tcBorders>
            <w:vAlign w:val="center"/>
          </w:tcPr>
          <w:p w14:paraId="5D9E1DD7">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147</w:t>
            </w:r>
          </w:p>
        </w:tc>
        <w:tc>
          <w:tcPr>
            <w:tcW w:w="1631" w:type="dxa"/>
            <w:tcBorders>
              <w:left w:val="single" w:color="auto" w:sz="4" w:space="0"/>
              <w:right w:val="single" w:color="auto" w:sz="4" w:space="0"/>
            </w:tcBorders>
            <w:vAlign w:val="center"/>
          </w:tcPr>
          <w:p w14:paraId="50EDE5F2">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147</w:t>
            </w:r>
          </w:p>
        </w:tc>
        <w:tc>
          <w:tcPr>
            <w:tcW w:w="1265" w:type="dxa"/>
            <w:tcBorders>
              <w:left w:val="single" w:color="auto" w:sz="4" w:space="0"/>
              <w:right w:val="single" w:color="auto" w:sz="12" w:space="0"/>
            </w:tcBorders>
            <w:vAlign w:val="center"/>
          </w:tcPr>
          <w:p w14:paraId="2922AEB8">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r>
      <w:tr w14:paraId="661E13F0">
        <w:tblPrEx>
          <w:tblBorders>
            <w:top w:val="single" w:color="auto" w:sz="2" w:space="0"/>
            <w:left w:val="single" w:color="auto" w:sz="2" w:space="0"/>
            <w:bottom w:val="single" w:color="auto" w:sz="2" w:space="0"/>
            <w:right w:val="single" w:color="auto" w:sz="2" w:space="0"/>
            <w:insideH w:val="single" w:color="auto" w:sz="4" w:space="0"/>
            <w:insideV w:val="single" w:color="auto" w:sz="6" w:space="0"/>
          </w:tblBorders>
          <w:tblCellMar>
            <w:top w:w="0" w:type="dxa"/>
            <w:left w:w="108" w:type="dxa"/>
            <w:bottom w:w="0" w:type="dxa"/>
            <w:right w:w="108" w:type="dxa"/>
          </w:tblCellMar>
        </w:tblPrEx>
        <w:trPr>
          <w:cantSplit/>
          <w:jc w:val="center"/>
        </w:trPr>
        <w:tc>
          <w:tcPr>
            <w:tcW w:w="701" w:type="dxa"/>
            <w:tcBorders>
              <w:left w:val="single" w:color="auto" w:sz="12" w:space="0"/>
              <w:bottom w:val="single" w:color="auto" w:sz="12" w:space="0"/>
              <w:right w:val="single" w:color="auto" w:sz="4" w:space="0"/>
            </w:tcBorders>
            <w:vAlign w:val="center"/>
          </w:tcPr>
          <w:p w14:paraId="123E739E">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w:t>
            </w:r>
          </w:p>
        </w:tc>
        <w:tc>
          <w:tcPr>
            <w:tcW w:w="2577" w:type="dxa"/>
            <w:tcBorders>
              <w:left w:val="single" w:color="auto" w:sz="4" w:space="0"/>
              <w:bottom w:val="single" w:color="auto" w:sz="12" w:space="0"/>
              <w:right w:val="single" w:color="auto" w:sz="4" w:space="0"/>
            </w:tcBorders>
            <w:vAlign w:val="center"/>
          </w:tcPr>
          <w:p w14:paraId="18F75ADB">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焦炭槽</w:t>
            </w:r>
          </w:p>
        </w:tc>
        <w:tc>
          <w:tcPr>
            <w:tcW w:w="849" w:type="dxa"/>
            <w:tcBorders>
              <w:left w:val="single" w:color="auto" w:sz="4" w:space="0"/>
              <w:bottom w:val="single" w:color="auto" w:sz="12" w:space="0"/>
              <w:right w:val="single" w:color="auto" w:sz="4" w:space="0"/>
            </w:tcBorders>
            <w:vAlign w:val="center"/>
          </w:tcPr>
          <w:p w14:paraId="64C9E6DB">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1499" w:type="dxa"/>
            <w:tcBorders>
              <w:left w:val="single" w:color="auto" w:sz="4" w:space="0"/>
              <w:bottom w:val="single" w:color="auto" w:sz="12" w:space="0"/>
              <w:right w:val="single" w:color="auto" w:sz="4" w:space="0"/>
            </w:tcBorders>
            <w:vAlign w:val="center"/>
          </w:tcPr>
          <w:p w14:paraId="61B81DEC">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414</w:t>
            </w:r>
          </w:p>
        </w:tc>
        <w:tc>
          <w:tcPr>
            <w:tcW w:w="1631" w:type="dxa"/>
            <w:tcBorders>
              <w:left w:val="single" w:color="auto" w:sz="4" w:space="0"/>
              <w:bottom w:val="single" w:color="auto" w:sz="12" w:space="0"/>
              <w:right w:val="single" w:color="auto" w:sz="4" w:space="0"/>
            </w:tcBorders>
            <w:vAlign w:val="center"/>
          </w:tcPr>
          <w:p w14:paraId="5D105BD8">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828</w:t>
            </w:r>
          </w:p>
        </w:tc>
        <w:tc>
          <w:tcPr>
            <w:tcW w:w="1265" w:type="dxa"/>
            <w:tcBorders>
              <w:left w:val="single" w:color="auto" w:sz="4" w:space="0"/>
              <w:bottom w:val="single" w:color="auto" w:sz="12" w:space="0"/>
              <w:right w:val="single" w:color="auto" w:sz="12" w:space="0"/>
            </w:tcBorders>
            <w:vAlign w:val="center"/>
          </w:tcPr>
          <w:p w14:paraId="70D5C75E">
            <w:pPr>
              <w:widowControl/>
              <w:shd w:val="clear"/>
              <w:ind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8.3</w:t>
            </w:r>
          </w:p>
        </w:tc>
      </w:tr>
    </w:tbl>
    <w:p w14:paraId="72A02546">
      <w:pPr>
        <w:shd w:val="clear"/>
        <w:adjustRightInd w:val="0"/>
        <w:snapToGrid w:val="0"/>
        <w:rPr>
          <w:color w:val="auto"/>
          <w:highlight w:val="none"/>
        </w:rPr>
      </w:pPr>
      <w:bookmarkStart w:id="138" w:name="_Toc302491945"/>
      <w:bookmarkStart w:id="139" w:name="_Toc296772638"/>
      <w:r>
        <w:rPr>
          <w:color w:val="auto"/>
          <w:highlight w:val="none"/>
        </w:rPr>
        <w:t>按日产铁</w:t>
      </w:r>
      <w:r>
        <w:rPr>
          <w:rFonts w:hint="eastAsia"/>
          <w:color w:val="auto"/>
          <w:highlight w:val="none"/>
        </w:rPr>
        <w:t>水</w:t>
      </w:r>
      <w:r>
        <w:rPr>
          <w:color w:val="auto"/>
          <w:highlight w:val="none"/>
        </w:rPr>
        <w:t>量</w:t>
      </w:r>
      <w:r>
        <w:rPr>
          <w:rFonts w:hint="eastAsia"/>
          <w:color w:val="auto"/>
          <w:highlight w:val="none"/>
        </w:rPr>
        <w:t>3</w:t>
      </w:r>
      <w:r>
        <w:rPr>
          <w:rFonts w:hint="eastAsia"/>
          <w:color w:val="auto"/>
          <w:highlight w:val="none"/>
          <w:lang w:val="en-US" w:eastAsia="zh-CN"/>
        </w:rPr>
        <w:t>240</w:t>
      </w:r>
      <w:r>
        <w:rPr>
          <w:color w:val="auto"/>
          <w:highlight w:val="none"/>
        </w:rPr>
        <w:t>t计算，矿焦槽的贮存时间可满足规范要求。</w:t>
      </w:r>
      <w:bookmarkEnd w:id="138"/>
      <w:bookmarkEnd w:id="139"/>
    </w:p>
    <w:p w14:paraId="3FB9ADDA">
      <w:pPr>
        <w:shd w:val="clear"/>
        <w:ind w:firstLine="0" w:firstLineChars="0"/>
        <w:outlineLvl w:val="2"/>
        <w:rPr>
          <w:rFonts w:cs="Times New Roman"/>
          <w:color w:val="auto"/>
          <w:szCs w:val="28"/>
          <w:highlight w:val="none"/>
        </w:rPr>
      </w:pPr>
      <w:bookmarkStart w:id="140" w:name="_Toc18835"/>
      <w:r>
        <w:rPr>
          <w:rFonts w:cs="Times New Roman"/>
          <w:color w:val="auto"/>
          <w:szCs w:val="28"/>
          <w:highlight w:val="none"/>
        </w:rPr>
        <w:t>2.2.</w:t>
      </w:r>
      <w:r>
        <w:rPr>
          <w:rFonts w:hint="eastAsia" w:cs="Times New Roman"/>
          <w:color w:val="auto"/>
          <w:szCs w:val="28"/>
          <w:highlight w:val="none"/>
        </w:rPr>
        <w:t>3 主要改造内容</w:t>
      </w:r>
      <w:bookmarkEnd w:id="140"/>
    </w:p>
    <w:p w14:paraId="4A67E430">
      <w:pPr>
        <w:shd w:val="clear"/>
        <w:rPr>
          <w:rFonts w:ascii="Times New Roman" w:hAnsi="Times New Roman" w:cs="Times New Roman"/>
          <w:bCs/>
          <w:color w:val="auto"/>
          <w:kern w:val="0"/>
          <w:szCs w:val="20"/>
          <w:highlight w:val="none"/>
        </w:rPr>
      </w:pPr>
      <w:r>
        <w:rPr>
          <w:rFonts w:hint="eastAsia" w:ascii="Times New Roman" w:hAnsi="Times New Roman" w:cs="Times New Roman"/>
          <w:bCs/>
          <w:color w:val="auto"/>
          <w:kern w:val="0"/>
          <w:szCs w:val="20"/>
          <w:highlight w:val="none"/>
        </w:rPr>
        <w:t>1、</w:t>
      </w:r>
      <w:r>
        <w:rPr>
          <w:rFonts w:ascii="Times New Roman" w:hAnsi="Times New Roman" w:cs="Times New Roman"/>
          <w:bCs/>
          <w:color w:val="auto"/>
          <w:kern w:val="0"/>
          <w:szCs w:val="20"/>
          <w:highlight w:val="none"/>
        </w:rPr>
        <w:t>2号高炉矿焦槽系统始建于1988年，</w:t>
      </w:r>
      <w:bookmarkStart w:id="141" w:name="_Hlk175923410"/>
      <w:r>
        <w:rPr>
          <w:rFonts w:hint="eastAsia" w:ascii="Times New Roman" w:hAnsi="Times New Roman" w:cs="Times New Roman"/>
          <w:bCs/>
          <w:color w:val="auto"/>
          <w:kern w:val="0"/>
          <w:szCs w:val="20"/>
          <w:highlight w:val="none"/>
        </w:rPr>
        <w:t>投产于1</w:t>
      </w:r>
      <w:r>
        <w:rPr>
          <w:rFonts w:ascii="Times New Roman" w:hAnsi="Times New Roman" w:cs="Times New Roman"/>
          <w:bCs/>
          <w:color w:val="auto"/>
          <w:kern w:val="0"/>
          <w:szCs w:val="20"/>
          <w:highlight w:val="none"/>
        </w:rPr>
        <w:t>989</w:t>
      </w:r>
      <w:r>
        <w:rPr>
          <w:rFonts w:hint="eastAsia" w:ascii="Times New Roman" w:hAnsi="Times New Roman" w:cs="Times New Roman"/>
          <w:bCs/>
          <w:color w:val="auto"/>
          <w:kern w:val="0"/>
          <w:szCs w:val="20"/>
          <w:highlight w:val="none"/>
        </w:rPr>
        <w:t>年底，</w:t>
      </w:r>
      <w:r>
        <w:rPr>
          <w:rFonts w:ascii="Times New Roman" w:hAnsi="Times New Roman" w:cs="Times New Roman"/>
          <w:bCs/>
          <w:color w:val="auto"/>
          <w:kern w:val="0"/>
          <w:szCs w:val="20"/>
          <w:highlight w:val="none"/>
        </w:rPr>
        <w:t>现已使用35年，</w:t>
      </w:r>
      <w:bookmarkEnd w:id="141"/>
      <w:r>
        <w:rPr>
          <w:rFonts w:ascii="Times New Roman" w:hAnsi="Times New Roman" w:cs="Times New Roman"/>
          <w:bCs/>
          <w:color w:val="auto"/>
          <w:kern w:val="0"/>
          <w:szCs w:val="20"/>
          <w:highlight w:val="none"/>
        </w:rPr>
        <w:t>由于使用年限长，需要对矿焦槽的主要立柱及结构件进行</w:t>
      </w:r>
      <w:bookmarkStart w:id="142" w:name="_Hlk161832044"/>
      <w:r>
        <w:rPr>
          <w:rFonts w:hint="eastAsia" w:ascii="Times New Roman" w:hAnsi="Times New Roman" w:cs="Times New Roman"/>
          <w:bCs/>
          <w:color w:val="auto"/>
          <w:kern w:val="0"/>
          <w:szCs w:val="20"/>
          <w:highlight w:val="none"/>
        </w:rPr>
        <w:t>加固，具体加固方案见结构专业篇章。</w:t>
      </w:r>
      <w:bookmarkEnd w:id="142"/>
    </w:p>
    <w:p w14:paraId="1C23C24A">
      <w:pPr>
        <w:shd w:val="clear"/>
        <w:rPr>
          <w:color w:val="auto"/>
          <w:highlight w:val="none"/>
        </w:rPr>
      </w:pPr>
      <w:bookmarkStart w:id="143" w:name="_Toc12373"/>
      <w:bookmarkStart w:id="144" w:name="_Toc6735"/>
      <w:bookmarkStart w:id="145" w:name="_Toc29982"/>
      <w:bookmarkStart w:id="146" w:name="_Toc25155"/>
      <w:r>
        <w:rPr>
          <w:rFonts w:hint="eastAsia"/>
          <w:color w:val="auto"/>
          <w:highlight w:val="none"/>
        </w:rPr>
        <w:t>2、槽上系统</w:t>
      </w:r>
      <w:bookmarkEnd w:id="143"/>
      <w:bookmarkEnd w:id="144"/>
      <w:bookmarkEnd w:id="145"/>
      <w:bookmarkEnd w:id="146"/>
    </w:p>
    <w:p w14:paraId="50B14618">
      <w:pPr>
        <w:shd w:val="clear"/>
        <w:rPr>
          <w:color w:val="auto"/>
          <w:highlight w:val="none"/>
        </w:rPr>
      </w:pPr>
      <w:r>
        <w:rPr>
          <w:rFonts w:hint="eastAsia" w:ascii="Arial" w:hAnsi="Arial"/>
          <w:color w:val="auto"/>
          <w:szCs w:val="21"/>
          <w:highlight w:val="none"/>
        </w:rPr>
        <w:t>（1）原有矿焦槽部分槽体槽面梁板局部已破坏或下沉，需</w:t>
      </w:r>
      <w:r>
        <w:rPr>
          <w:rFonts w:cs="宋体"/>
          <w:color w:val="auto"/>
          <w:highlight w:val="none"/>
        </w:rPr>
        <w:t>根据鉴定报告进</w:t>
      </w:r>
      <w:r>
        <w:rPr>
          <w:color w:val="auto"/>
          <w:highlight w:val="none"/>
        </w:rPr>
        <w:t>行改造，具体改造方案见</w:t>
      </w:r>
      <w:r>
        <w:rPr>
          <w:rFonts w:hint="eastAsia"/>
          <w:color w:val="auto"/>
          <w:highlight w:val="none"/>
        </w:rPr>
        <w:t>结构</w:t>
      </w:r>
      <w:r>
        <w:rPr>
          <w:color w:val="auto"/>
          <w:highlight w:val="none"/>
        </w:rPr>
        <w:t>专业</w:t>
      </w:r>
      <w:r>
        <w:rPr>
          <w:rFonts w:hint="eastAsia"/>
          <w:color w:val="auto"/>
          <w:highlight w:val="none"/>
        </w:rPr>
        <w:t>篇章</w:t>
      </w:r>
      <w:r>
        <w:rPr>
          <w:color w:val="auto"/>
          <w:highlight w:val="none"/>
        </w:rPr>
        <w:t>。</w:t>
      </w:r>
      <w:r>
        <w:rPr>
          <w:rFonts w:hint="eastAsia"/>
          <w:color w:val="auto"/>
          <w:highlight w:val="none"/>
        </w:rPr>
        <w:t>矿槽从槽面屋顶一直到地面均需封闭，屋面利旧，</w:t>
      </w:r>
      <w:r>
        <w:rPr>
          <w:rFonts w:hint="eastAsia"/>
          <w:color w:val="auto"/>
          <w:highlight w:val="none"/>
          <w:lang w:val="en-US" w:eastAsia="zh-CN"/>
        </w:rPr>
        <w:t>墙面全部进行封闭，</w:t>
      </w:r>
      <w:r>
        <w:rPr>
          <w:rFonts w:hint="eastAsia"/>
          <w:color w:val="auto"/>
          <w:highlight w:val="none"/>
        </w:rPr>
        <w:t>现有酸返皮带机、碱返皮带机机头延伸出矿槽外南侧的区域封闭</w:t>
      </w:r>
      <w:r>
        <w:rPr>
          <w:rFonts w:hint="eastAsia"/>
          <w:color w:val="auto"/>
          <w:highlight w:val="none"/>
          <w:lang w:eastAsia="zh-CN"/>
        </w:rPr>
        <w:t>，</w:t>
      </w:r>
      <w:r>
        <w:rPr>
          <w:rFonts w:hint="eastAsia"/>
          <w:color w:val="auto"/>
          <w:highlight w:val="none"/>
        </w:rPr>
        <w:t>封闭采用全钢结构。</w:t>
      </w:r>
    </w:p>
    <w:p w14:paraId="45A2853F">
      <w:pPr>
        <w:shd w:val="clear"/>
        <w:rPr>
          <w:rFonts w:ascii="Arial" w:hAnsi="Arial"/>
          <w:color w:val="auto"/>
          <w:szCs w:val="21"/>
          <w:highlight w:val="none"/>
        </w:rPr>
      </w:pPr>
      <w:r>
        <w:rPr>
          <w:rFonts w:hint="eastAsia"/>
          <w:color w:val="auto"/>
          <w:highlight w:val="none"/>
        </w:rPr>
        <w:t>（2）槽上2条带式输送机更换（42#、44#机尾落料点导料槽长4.5m，机头导料槽长3.0m），功率不变，皮带机机头漏斗内物料接触面采用料磨料形式，合金耐磨条厚度</w:t>
      </w:r>
      <w:r>
        <w:rPr>
          <w:rFonts w:hint="eastAsia"/>
          <w:color w:val="auto"/>
          <w:highlight w:val="none"/>
          <w:lang w:val="en-US" w:eastAsia="zh-CN"/>
        </w:rPr>
        <w:t>、宽度、间距均为</w:t>
      </w:r>
      <w:r>
        <w:rPr>
          <w:rFonts w:hint="eastAsia"/>
          <w:color w:val="auto"/>
          <w:highlight w:val="none"/>
        </w:rPr>
        <w:t>50mm；43#皮带机胶带、电机、减速机更换，机头、机尾导料槽更换（机尾落料点导料槽长4.5m，机头导料槽长3.0m），功</w:t>
      </w:r>
      <w:r>
        <w:rPr>
          <w:rFonts w:hint="eastAsia" w:ascii="Arial" w:hAnsi="Arial"/>
          <w:color w:val="auto"/>
          <w:szCs w:val="21"/>
          <w:highlight w:val="none"/>
        </w:rPr>
        <w:t>率不变，皮带机拉绳、跑偏装置</w:t>
      </w:r>
      <w:r>
        <w:rPr>
          <w:rFonts w:ascii="宋体" w:hAnsi="宋体" w:eastAsia="宋体" w:cs="宋体"/>
          <w:color w:val="auto"/>
          <w:sz w:val="24"/>
          <w:szCs w:val="24"/>
          <w:highlight w:val="none"/>
        </w:rPr>
        <w:t>保护性拆除</w:t>
      </w:r>
      <w:r>
        <w:rPr>
          <w:rFonts w:hint="eastAsia" w:cs="宋体"/>
          <w:color w:val="auto"/>
          <w:sz w:val="24"/>
          <w:szCs w:val="24"/>
          <w:highlight w:val="none"/>
          <w:lang w:val="en-US" w:eastAsia="zh-CN"/>
        </w:rPr>
        <w:t>后</w:t>
      </w:r>
      <w:r>
        <w:rPr>
          <w:rFonts w:ascii="宋体" w:hAnsi="宋体" w:eastAsia="宋体" w:cs="宋体"/>
          <w:color w:val="auto"/>
          <w:sz w:val="24"/>
          <w:szCs w:val="24"/>
          <w:highlight w:val="none"/>
        </w:rPr>
        <w:t>再恢复</w:t>
      </w:r>
      <w:r>
        <w:rPr>
          <w:rFonts w:hint="eastAsia" w:ascii="Arial" w:hAnsi="Arial"/>
          <w:color w:val="auto"/>
          <w:szCs w:val="21"/>
          <w:highlight w:val="none"/>
        </w:rPr>
        <w:t>，增加打滑检测、溜槽防堵料装置、声光报警、纵向防撕裂装置。</w:t>
      </w:r>
    </w:p>
    <w:p w14:paraId="2AB8CBE9">
      <w:pPr>
        <w:shd w:val="clear"/>
        <w:rPr>
          <w:rFonts w:ascii="Arial" w:hAnsi="Arial"/>
          <w:color w:val="auto"/>
          <w:szCs w:val="21"/>
          <w:highlight w:val="none"/>
        </w:rPr>
      </w:pPr>
      <w:r>
        <w:rPr>
          <w:rFonts w:hint="eastAsia" w:ascii="Arial" w:hAnsi="Arial"/>
          <w:color w:val="auto"/>
          <w:szCs w:val="21"/>
          <w:highlight w:val="none"/>
        </w:rPr>
        <w:t>42# 43# 44#皮带机动力电缆不更换。</w:t>
      </w:r>
    </w:p>
    <w:p w14:paraId="6F38EBA3">
      <w:pPr>
        <w:widowControl/>
        <w:shd w:val="clear"/>
        <w:spacing w:before="157" w:beforeLines="50"/>
        <w:rPr>
          <w:rFonts w:ascii="Arial" w:hAnsi="Arial"/>
          <w:color w:val="auto"/>
          <w:szCs w:val="21"/>
          <w:highlight w:val="none"/>
        </w:rPr>
      </w:pPr>
      <w:r>
        <w:rPr>
          <w:rFonts w:hint="eastAsia" w:ascii="Arial" w:hAnsi="Arial"/>
          <w:color w:val="auto"/>
          <w:szCs w:val="21"/>
          <w:highlight w:val="none"/>
        </w:rPr>
        <w:t>现有槽上供料设施带式输送机参数如下：</w:t>
      </w:r>
    </w:p>
    <w:p w14:paraId="74B7F2AE">
      <w:pPr>
        <w:widowControl/>
        <w:shd w:val="clear"/>
        <w:spacing w:before="157" w:beforeLines="50"/>
        <w:rPr>
          <w:rFonts w:ascii="Arial" w:hAnsi="Arial"/>
          <w:color w:val="auto"/>
          <w:szCs w:val="21"/>
          <w:highlight w:val="none"/>
        </w:rPr>
      </w:pPr>
      <w:r>
        <w:rPr>
          <w:rFonts w:hint="eastAsia" w:ascii="Arial" w:hAnsi="Arial"/>
          <w:color w:val="auto"/>
          <w:szCs w:val="21"/>
          <w:highlight w:val="none"/>
        </w:rPr>
        <w:t>44#焦炭输送系统(1条输送线)：</w:t>
      </w:r>
    </w:p>
    <w:p w14:paraId="403B5F29">
      <w:pPr>
        <w:widowControl/>
        <w:shd w:val="clear"/>
        <w:spacing w:before="157" w:beforeLines="50"/>
        <w:rPr>
          <w:rFonts w:ascii="Arial" w:hAnsi="Arial"/>
          <w:color w:val="auto"/>
          <w:szCs w:val="21"/>
          <w:highlight w:val="none"/>
        </w:rPr>
      </w:pPr>
      <w:r>
        <w:rPr>
          <w:rFonts w:hint="eastAsia" w:ascii="Arial" w:hAnsi="Arial"/>
          <w:color w:val="auto"/>
          <w:szCs w:val="21"/>
          <w:highlight w:val="none"/>
        </w:rPr>
        <w:t>B=1200mm，V=2m/s，Q=350t/h，P=30KW。</w:t>
      </w:r>
    </w:p>
    <w:p w14:paraId="1314CCC4">
      <w:pPr>
        <w:widowControl/>
        <w:shd w:val="clear"/>
        <w:spacing w:before="157" w:beforeLines="50"/>
        <w:rPr>
          <w:rFonts w:ascii="Arial" w:hAnsi="Arial"/>
          <w:color w:val="auto"/>
          <w:szCs w:val="21"/>
          <w:highlight w:val="none"/>
        </w:rPr>
      </w:pPr>
      <w:r>
        <w:rPr>
          <w:rFonts w:hint="eastAsia" w:ascii="Arial" w:hAnsi="Arial"/>
          <w:color w:val="auto"/>
          <w:szCs w:val="21"/>
          <w:highlight w:val="none"/>
        </w:rPr>
        <w:t>43#烧结矿系统(1条输送线)：</w:t>
      </w:r>
    </w:p>
    <w:p w14:paraId="764F211F">
      <w:pPr>
        <w:widowControl/>
        <w:shd w:val="clear"/>
        <w:spacing w:before="157" w:beforeLines="50"/>
        <w:rPr>
          <w:rFonts w:ascii="Arial" w:hAnsi="Arial"/>
          <w:color w:val="auto"/>
          <w:szCs w:val="21"/>
          <w:highlight w:val="none"/>
        </w:rPr>
      </w:pPr>
      <w:r>
        <w:rPr>
          <w:rFonts w:hint="eastAsia" w:ascii="Arial" w:hAnsi="Arial"/>
          <w:color w:val="auto"/>
          <w:szCs w:val="21"/>
          <w:highlight w:val="none"/>
        </w:rPr>
        <w:t>B=1200mm，V=2m/s，Q=800t/h，P=45KW。</w:t>
      </w:r>
    </w:p>
    <w:p w14:paraId="5E686D26">
      <w:pPr>
        <w:widowControl/>
        <w:shd w:val="clear"/>
        <w:spacing w:before="157" w:beforeLines="50"/>
        <w:rPr>
          <w:rFonts w:ascii="Arial" w:hAnsi="Arial"/>
          <w:color w:val="auto"/>
          <w:szCs w:val="21"/>
          <w:highlight w:val="none"/>
        </w:rPr>
      </w:pPr>
      <w:r>
        <w:rPr>
          <w:rFonts w:hint="eastAsia" w:ascii="Arial" w:hAnsi="Arial"/>
          <w:color w:val="auto"/>
          <w:szCs w:val="21"/>
          <w:highlight w:val="none"/>
        </w:rPr>
        <w:t>42#球团块杂矿输送系统(1条输送线)：</w:t>
      </w:r>
    </w:p>
    <w:p w14:paraId="3DDF3278">
      <w:pPr>
        <w:widowControl/>
        <w:shd w:val="clear"/>
        <w:spacing w:before="157" w:beforeLines="50"/>
        <w:rPr>
          <w:rFonts w:ascii="Arial" w:hAnsi="Arial"/>
          <w:color w:val="auto"/>
          <w:szCs w:val="21"/>
          <w:highlight w:val="none"/>
        </w:rPr>
      </w:pPr>
      <w:r>
        <w:rPr>
          <w:rFonts w:hint="eastAsia" w:ascii="Arial" w:hAnsi="Arial"/>
          <w:color w:val="auto"/>
          <w:szCs w:val="21"/>
          <w:highlight w:val="none"/>
        </w:rPr>
        <w:t>B=1200mm，V=2m/s，Q=800t/h，P=45KW。</w:t>
      </w:r>
    </w:p>
    <w:p w14:paraId="35EC3B60">
      <w:pPr>
        <w:shd w:val="clear"/>
        <w:rPr>
          <w:color w:val="auto"/>
          <w:highlight w:val="none"/>
        </w:rPr>
      </w:pPr>
      <w:r>
        <w:rPr>
          <w:rFonts w:hint="eastAsia"/>
          <w:color w:val="auto"/>
          <w:highlight w:val="none"/>
        </w:rPr>
        <w:t>经核算及现场实际生产情况，现有槽上供料设施能满足高炉改造后原燃料供料需求。</w:t>
      </w:r>
    </w:p>
    <w:p w14:paraId="727CA78F">
      <w:pPr>
        <w:shd w:val="clear"/>
        <w:rPr>
          <w:rFonts w:cs="宋体"/>
          <w:color w:val="auto"/>
          <w:highlight w:val="none"/>
        </w:rPr>
      </w:pPr>
      <w:r>
        <w:rPr>
          <w:rFonts w:hint="eastAsia" w:ascii="Arial" w:hAnsi="Arial"/>
          <w:color w:val="auto"/>
          <w:szCs w:val="21"/>
          <w:highlight w:val="none"/>
        </w:rPr>
        <w:t>（3）更换槽上3台卸料小车及配套盖仓胶带，为避免矿焦槽额外增加荷载，更换时仍采用与现场一致的带移动抽风槽的轻型环保卸料小车，现有槽上卸料车定位采用的是格雷姆线定位，42#、44#皮带连支架整体更换，格雷姆线使用年限长且多处破损，拆除后难以利旧，应更换；43#皮带机格雷姆线可利旧，三台卸料小车拖缆更换，</w:t>
      </w:r>
      <w:r>
        <w:rPr>
          <w:rFonts w:cs="宋体"/>
          <w:color w:val="auto"/>
          <w:highlight w:val="none"/>
        </w:rPr>
        <w:t>槽上三条皮带机动力电缆利旧。</w:t>
      </w:r>
    </w:p>
    <w:p w14:paraId="2A236FAB">
      <w:pPr>
        <w:shd w:val="clear"/>
        <w:rPr>
          <w:color w:val="auto"/>
          <w:highlight w:val="none"/>
          <w:shd w:val="clear" w:color="auto" w:fill="FFFF00"/>
        </w:rPr>
      </w:pPr>
      <w:r>
        <w:rPr>
          <w:rFonts w:hint="eastAsia" w:ascii="Arial" w:hAnsi="Arial"/>
          <w:color w:val="auto"/>
          <w:szCs w:val="21"/>
          <w:highlight w:val="none"/>
        </w:rPr>
        <w:t>（4）槽上42#、44#皮带机卸料小车下料口活动篦子整体更换，隔板高度100mm，间距300mm，活动篦子为下沉形式（隔板上表面下沉50mm），采用不等边角钢，隔板上表面低于角钢上表面50mm，每2m设置一条不下沉隔板，起到支撑盖仓胶带作用。43#皮带机的下料口篦子利旧。改造移动卸料小车两侧的仓顶受料口为梯形口，受料口顶宽下窄，保证密封皮带能够密封，避免跑偏，详见除尘专业描述。43#皮带机支腿埋件松动处需加固，加固方式采用植筋，加固至</w:t>
      </w:r>
      <w:r>
        <w:rPr>
          <w:rFonts w:hint="eastAsia" w:ascii="Arial" w:hAnsi="Arial"/>
          <w:color w:val="auto"/>
          <w:szCs w:val="21"/>
          <w:highlight w:val="none"/>
          <w:lang w:val="en-US" w:eastAsia="zh-CN"/>
        </w:rPr>
        <w:t>与</w:t>
      </w:r>
      <w:r>
        <w:rPr>
          <w:rFonts w:hint="eastAsia" w:ascii="Arial" w:hAnsi="Arial"/>
          <w:color w:val="auto"/>
          <w:szCs w:val="21"/>
          <w:highlight w:val="none"/>
        </w:rPr>
        <w:t>原</w:t>
      </w:r>
      <w:r>
        <w:rPr>
          <w:rFonts w:hint="eastAsia" w:ascii="Arial" w:hAnsi="Arial"/>
          <w:color w:val="auto"/>
          <w:szCs w:val="21"/>
          <w:highlight w:val="none"/>
          <w:lang w:val="en-US" w:eastAsia="zh-CN"/>
        </w:rPr>
        <w:t>有</w:t>
      </w:r>
      <w:r>
        <w:rPr>
          <w:rFonts w:hint="eastAsia" w:ascii="Arial" w:hAnsi="Arial"/>
          <w:color w:val="auto"/>
          <w:szCs w:val="21"/>
          <w:highlight w:val="none"/>
        </w:rPr>
        <w:t>埋件一致。</w:t>
      </w:r>
    </w:p>
    <w:p w14:paraId="354A8AA4">
      <w:pPr>
        <w:shd w:val="clear"/>
        <w:rPr>
          <w:rFonts w:hint="eastAsia" w:ascii="Arial" w:hAnsi="Arial"/>
          <w:color w:val="auto"/>
          <w:szCs w:val="21"/>
          <w:highlight w:val="none"/>
        </w:rPr>
      </w:pPr>
      <w:r>
        <w:rPr>
          <w:rFonts w:hint="eastAsia" w:ascii="Arial" w:hAnsi="Arial"/>
          <w:color w:val="auto"/>
          <w:szCs w:val="21"/>
          <w:highlight w:val="none"/>
        </w:rPr>
        <w:t>（5）42#、43#、44#皮带机采用三道头部清扫器，一级一道EXHD重型聚氨酯一级清扫器，二级一道合金橡胶二级清扫器，三级一道橡胶清扫器。</w:t>
      </w:r>
    </w:p>
    <w:p w14:paraId="1CDA1F21">
      <w:pPr>
        <w:numPr>
          <w:ilvl w:val="0"/>
          <w:numId w:val="11"/>
        </w:numPr>
        <w:shd w:val="clear"/>
        <w:jc w:val="both"/>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皮带机垂直拉紧装置四周</w:t>
      </w:r>
      <w:r>
        <w:rPr>
          <w:rFonts w:hint="eastAsia" w:ascii="Times New Roman" w:hAnsi="Times New Roman" w:cs="Times New Roman"/>
          <w:bCs/>
          <w:color w:val="auto"/>
          <w:kern w:val="0"/>
          <w:szCs w:val="20"/>
          <w:highlight w:val="none"/>
          <w:lang w:val="en-US" w:eastAsia="zh-CN"/>
        </w:rPr>
        <w:t>彩钢板</w:t>
      </w:r>
      <w:r>
        <w:rPr>
          <w:rFonts w:ascii="Times New Roman" w:hAnsi="Times New Roman" w:cs="Times New Roman"/>
          <w:bCs/>
          <w:color w:val="auto"/>
          <w:kern w:val="0"/>
          <w:szCs w:val="20"/>
          <w:highlight w:val="none"/>
        </w:rPr>
        <w:t>全封闭</w:t>
      </w:r>
      <w:r>
        <w:rPr>
          <w:rFonts w:hint="eastAsia" w:ascii="Times New Roman" w:hAnsi="Times New Roman" w:cs="Times New Roman"/>
          <w:bCs/>
          <w:color w:val="auto"/>
          <w:kern w:val="0"/>
          <w:szCs w:val="20"/>
          <w:highlight w:val="none"/>
          <w:lang w:eastAsia="zh-CN"/>
        </w:rPr>
        <w:t>，</w:t>
      </w:r>
      <w:r>
        <w:rPr>
          <w:rFonts w:hint="eastAsia" w:ascii="Times New Roman" w:hAnsi="Times New Roman" w:cs="Times New Roman"/>
          <w:bCs/>
          <w:color w:val="auto"/>
          <w:kern w:val="0"/>
          <w:szCs w:val="20"/>
          <w:highlight w:val="none"/>
          <w:lang w:val="en-US" w:eastAsia="zh-CN"/>
        </w:rPr>
        <w:t>在封闭里面设2m高的安全栅栏并设置防护网</w:t>
      </w:r>
      <w:r>
        <w:rPr>
          <w:rFonts w:ascii="Times New Roman" w:hAnsi="Times New Roman" w:cs="Times New Roman"/>
          <w:bCs/>
          <w:color w:val="auto"/>
          <w:kern w:val="0"/>
          <w:szCs w:val="20"/>
          <w:highlight w:val="none"/>
        </w:rPr>
        <w:t>。</w:t>
      </w:r>
    </w:p>
    <w:p w14:paraId="7A485699">
      <w:pPr>
        <w:numPr>
          <w:ilvl w:val="0"/>
          <w:numId w:val="0"/>
        </w:numPr>
        <w:shd w:val="clear"/>
        <w:ind w:firstLine="480" w:firstLineChars="200"/>
        <w:jc w:val="both"/>
        <w:rPr>
          <w:rFonts w:hint="eastAsia" w:ascii="Times New Roman" w:hAnsi="Times New Roman" w:cs="Times New Roman"/>
          <w:bCs/>
          <w:color w:val="auto"/>
          <w:kern w:val="0"/>
          <w:szCs w:val="20"/>
          <w:highlight w:val="none"/>
        </w:rPr>
      </w:pPr>
      <w:r>
        <w:rPr>
          <w:rFonts w:hint="eastAsia"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导料槽</w:t>
      </w:r>
      <w:r>
        <w:rPr>
          <w:rFonts w:ascii="宋体" w:hAnsi="宋体" w:eastAsia="宋体" w:cs="宋体"/>
          <w:color w:val="auto"/>
          <w:sz w:val="24"/>
          <w:szCs w:val="24"/>
          <w:highlight w:val="none"/>
        </w:rPr>
        <w:t>需要有挡皮</w:t>
      </w:r>
      <w:r>
        <w:rPr>
          <w:rFonts w:hint="eastAsia" w:cs="宋体"/>
          <w:color w:val="auto"/>
          <w:sz w:val="24"/>
          <w:szCs w:val="24"/>
          <w:highlight w:val="none"/>
          <w:lang w:val="en-US" w:eastAsia="zh-CN"/>
        </w:rPr>
        <w:t>和</w:t>
      </w:r>
      <w:r>
        <w:rPr>
          <w:rFonts w:ascii="宋体" w:hAnsi="宋体" w:eastAsia="宋体" w:cs="宋体"/>
          <w:color w:val="auto"/>
          <w:sz w:val="24"/>
          <w:szCs w:val="24"/>
          <w:highlight w:val="none"/>
        </w:rPr>
        <w:t>快速更换挡皮的销板结构</w:t>
      </w:r>
      <w:r>
        <w:rPr>
          <w:rFonts w:hint="eastAsia" w:cs="宋体"/>
          <w:color w:val="auto"/>
          <w:sz w:val="24"/>
          <w:szCs w:val="24"/>
          <w:highlight w:val="none"/>
          <w:lang w:eastAsia="zh-CN"/>
        </w:rPr>
        <w:t>。</w:t>
      </w:r>
    </w:p>
    <w:p w14:paraId="7CBFDFD2">
      <w:pPr>
        <w:numPr>
          <w:ilvl w:val="0"/>
          <w:numId w:val="12"/>
        </w:numPr>
        <w:shd w:val="clear"/>
        <w:rPr>
          <w:color w:val="auto"/>
          <w:highlight w:val="none"/>
        </w:rPr>
      </w:pPr>
      <w:bookmarkStart w:id="147" w:name="_Toc32552"/>
      <w:bookmarkStart w:id="148" w:name="_Toc6155"/>
      <w:bookmarkStart w:id="149" w:name="_Toc608"/>
      <w:bookmarkStart w:id="150" w:name="_Toc12674"/>
      <w:r>
        <w:rPr>
          <w:rFonts w:hint="eastAsia"/>
          <w:color w:val="auto"/>
          <w:highlight w:val="none"/>
        </w:rPr>
        <w:t>槽下系统</w:t>
      </w:r>
      <w:bookmarkEnd w:id="147"/>
      <w:bookmarkEnd w:id="148"/>
      <w:bookmarkEnd w:id="149"/>
      <w:bookmarkEnd w:id="150"/>
    </w:p>
    <w:p w14:paraId="6C7532A3">
      <w:pPr>
        <w:shd w:val="clear"/>
        <w:rPr>
          <w:rFonts w:ascii="Arial" w:hAnsi="Arial"/>
          <w:color w:val="auto"/>
          <w:szCs w:val="21"/>
          <w:highlight w:val="none"/>
        </w:rPr>
      </w:pPr>
      <w:r>
        <w:rPr>
          <w:rFonts w:hint="eastAsia" w:ascii="Arial" w:hAnsi="Arial"/>
          <w:color w:val="auto"/>
          <w:szCs w:val="21"/>
          <w:highlight w:val="none"/>
        </w:rPr>
        <w:t>（</w:t>
      </w:r>
      <w:r>
        <w:rPr>
          <w:rFonts w:hint="eastAsia"/>
          <w:color w:val="auto"/>
          <w:highlight w:val="none"/>
        </w:rPr>
        <w:t>1）</w:t>
      </w:r>
      <w:r>
        <w:rPr>
          <w:rFonts w:hint="eastAsia" w:ascii="Arial" w:hAnsi="Arial"/>
          <w:color w:val="auto"/>
          <w:szCs w:val="21"/>
          <w:highlight w:val="none"/>
        </w:rPr>
        <w:t>整个矿槽结构须根据检测鉴定结果进行适当的加固；料仓卸料口需改造，改造采用钢结构与钢筋混凝土结构结合（参考现有1</w:t>
      </w:r>
      <w:r>
        <w:rPr>
          <w:rFonts w:ascii="Arial" w:hAnsi="Arial"/>
          <w:color w:val="auto"/>
          <w:szCs w:val="21"/>
          <w:highlight w:val="none"/>
        </w:rPr>
        <w:t>#</w:t>
      </w:r>
      <w:r>
        <w:rPr>
          <w:rFonts w:hint="eastAsia" w:ascii="Arial" w:hAnsi="Arial"/>
          <w:color w:val="auto"/>
          <w:szCs w:val="21"/>
          <w:highlight w:val="none"/>
        </w:rPr>
        <w:t>高炉仓口改造形式）；</w:t>
      </w:r>
    </w:p>
    <w:p w14:paraId="38D7C3F0">
      <w:pPr>
        <w:shd w:val="clear"/>
        <w:rPr>
          <w:rFonts w:hint="eastAsia" w:ascii="Times New Roman" w:hAnsi="Times New Roman" w:cs="Times New Roman"/>
          <w:bCs/>
          <w:color w:val="auto"/>
          <w:kern w:val="0"/>
          <w:szCs w:val="20"/>
          <w:highlight w:val="none"/>
        </w:rPr>
      </w:pPr>
      <w:r>
        <w:rPr>
          <w:rFonts w:hint="eastAsia"/>
          <w:color w:val="auto"/>
          <w:highlight w:val="none"/>
        </w:rPr>
        <w:t>（2）</w:t>
      </w:r>
      <w:r>
        <w:rPr>
          <w:rFonts w:hint="eastAsia" w:ascii="Times New Roman" w:hAnsi="Times New Roman" w:cs="Times New Roman"/>
          <w:bCs/>
          <w:color w:val="auto"/>
          <w:kern w:val="0"/>
          <w:szCs w:val="20"/>
          <w:highlight w:val="none"/>
        </w:rPr>
        <w:t>矿焦槽内壁磨损严重，锥段内壁及锥段往上500mm直段内壁的微晶铸石衬板修复，微晶铸石衬板厚度50mm，修复面积按20%考虑</w:t>
      </w:r>
      <w:r>
        <w:rPr>
          <w:rFonts w:hint="eastAsia" w:ascii="Times New Roman" w:hAnsi="Times New Roman" w:cs="Times New Roman"/>
          <w:bCs/>
          <w:color w:val="auto"/>
          <w:kern w:val="0"/>
          <w:szCs w:val="20"/>
          <w:highlight w:val="none"/>
          <w:lang w:eastAsia="zh-CN"/>
        </w:rPr>
        <w:t>，</w:t>
      </w:r>
      <w:r>
        <w:rPr>
          <w:rFonts w:hint="eastAsia" w:ascii="Times New Roman" w:hAnsi="Times New Roman" w:cs="Times New Roman"/>
          <w:bCs/>
          <w:color w:val="auto"/>
          <w:kern w:val="0"/>
          <w:szCs w:val="20"/>
          <w:highlight w:val="none"/>
        </w:rPr>
        <w:t>指标见表2.2-</w:t>
      </w:r>
      <w:r>
        <w:rPr>
          <w:rFonts w:hint="eastAsia" w:ascii="Times New Roman" w:hAnsi="Times New Roman" w:cs="Times New Roman"/>
          <w:bCs/>
          <w:color w:val="auto"/>
          <w:kern w:val="0"/>
          <w:szCs w:val="20"/>
          <w:highlight w:val="none"/>
          <w:lang w:val="en-US" w:eastAsia="zh-CN"/>
        </w:rPr>
        <w:t>3</w:t>
      </w:r>
      <w:r>
        <w:rPr>
          <w:rFonts w:hint="eastAsia" w:ascii="Times New Roman" w:hAnsi="Times New Roman" w:cs="Times New Roman"/>
          <w:bCs/>
          <w:color w:val="auto"/>
          <w:kern w:val="0"/>
          <w:szCs w:val="20"/>
          <w:highlight w:val="none"/>
        </w:rPr>
        <w:t>；剩余直段内壁</w:t>
      </w:r>
      <w:r>
        <w:rPr>
          <w:rFonts w:hint="eastAsia" w:ascii="Times New Roman" w:hAnsi="Times New Roman" w:cs="Times New Roman"/>
          <w:bCs/>
          <w:color w:val="auto"/>
          <w:kern w:val="0"/>
          <w:szCs w:val="20"/>
          <w:highlight w:val="none"/>
          <w:lang w:val="en-US" w:eastAsia="zh-CN"/>
        </w:rPr>
        <w:t>全部清理，</w:t>
      </w:r>
      <w:r>
        <w:rPr>
          <w:rFonts w:hint="eastAsia" w:ascii="Times New Roman" w:hAnsi="Times New Roman" w:cs="Times New Roman"/>
          <w:bCs/>
          <w:color w:val="auto"/>
          <w:kern w:val="0"/>
          <w:szCs w:val="20"/>
          <w:highlight w:val="none"/>
        </w:rPr>
        <w:t>采用陶瓷耐磨浇筑料修复，厚度50mm，陶瓷耐磨浇筑料指标见表2.2-</w:t>
      </w:r>
      <w:r>
        <w:rPr>
          <w:rFonts w:hint="eastAsia" w:ascii="Times New Roman" w:hAnsi="Times New Roman" w:cs="Times New Roman"/>
          <w:bCs/>
          <w:color w:val="auto"/>
          <w:kern w:val="0"/>
          <w:szCs w:val="20"/>
          <w:highlight w:val="none"/>
          <w:lang w:val="en-US" w:eastAsia="zh-CN"/>
        </w:rPr>
        <w:t>4</w:t>
      </w:r>
      <w:r>
        <w:rPr>
          <w:rFonts w:hint="eastAsia" w:ascii="Times New Roman" w:hAnsi="Times New Roman" w:cs="Times New Roman"/>
          <w:bCs/>
          <w:color w:val="auto"/>
          <w:kern w:val="0"/>
          <w:szCs w:val="20"/>
          <w:highlight w:val="none"/>
        </w:rPr>
        <w:t>。矿焦槽出料口改造，</w:t>
      </w:r>
      <w:r>
        <w:rPr>
          <w:rFonts w:hint="eastAsia" w:ascii="Times New Roman" w:hAnsi="Times New Roman" w:cs="Times New Roman"/>
          <w:bCs/>
          <w:color w:val="auto"/>
          <w:kern w:val="0"/>
          <w:szCs w:val="20"/>
          <w:highlight w:val="none"/>
          <w:lang w:val="en-US" w:eastAsia="zh-CN"/>
        </w:rPr>
        <w:t>出</w:t>
      </w:r>
      <w:r>
        <w:rPr>
          <w:rFonts w:hint="eastAsia" w:ascii="Times New Roman" w:hAnsi="Times New Roman" w:cs="Times New Roman"/>
          <w:bCs/>
          <w:color w:val="auto"/>
          <w:kern w:val="0"/>
          <w:szCs w:val="20"/>
          <w:highlight w:val="none"/>
        </w:rPr>
        <w:t>料口收口改造</w:t>
      </w:r>
      <w:r>
        <w:rPr>
          <w:rFonts w:hint="eastAsia" w:ascii="Times New Roman" w:hAnsi="Times New Roman" w:cs="Times New Roman"/>
          <w:bCs/>
          <w:color w:val="auto"/>
          <w:kern w:val="0"/>
          <w:szCs w:val="20"/>
          <w:highlight w:val="none"/>
          <w:lang w:val="en-US" w:eastAsia="zh-CN"/>
        </w:rPr>
        <w:t>采用</w:t>
      </w:r>
      <w:r>
        <w:rPr>
          <w:rFonts w:hint="eastAsia" w:ascii="Times New Roman" w:hAnsi="Times New Roman" w:cs="Times New Roman"/>
          <w:bCs/>
          <w:color w:val="auto"/>
          <w:kern w:val="0"/>
          <w:szCs w:val="20"/>
          <w:highlight w:val="none"/>
        </w:rPr>
        <w:t>钢结构仓嘴</w:t>
      </w:r>
      <w:r>
        <w:rPr>
          <w:rFonts w:hint="eastAsia" w:ascii="Times New Roman" w:hAnsi="Times New Roman" w:cs="Times New Roman"/>
          <w:bCs/>
          <w:color w:val="auto"/>
          <w:kern w:val="0"/>
          <w:szCs w:val="20"/>
          <w:highlight w:val="none"/>
          <w:lang w:eastAsia="zh-CN"/>
        </w:rPr>
        <w:t>，</w:t>
      </w:r>
      <w:r>
        <w:rPr>
          <w:rFonts w:hint="eastAsia" w:ascii="Times New Roman" w:hAnsi="Times New Roman" w:cs="Times New Roman"/>
          <w:bCs/>
          <w:color w:val="auto"/>
          <w:kern w:val="0"/>
          <w:szCs w:val="20"/>
          <w:highlight w:val="none"/>
          <w:lang w:val="en-US" w:eastAsia="zh-CN"/>
        </w:rPr>
        <w:t>高度1m，改造的钢结构锥面</w:t>
      </w:r>
      <w:r>
        <w:rPr>
          <w:rFonts w:hint="eastAsia" w:ascii="Times New Roman" w:hAnsi="Times New Roman" w:cs="Times New Roman"/>
          <w:bCs/>
          <w:color w:val="auto"/>
          <w:kern w:val="0"/>
          <w:szCs w:val="20"/>
          <w:highlight w:val="none"/>
        </w:rPr>
        <w:t>衬板采用复合合金衬板</w:t>
      </w:r>
      <w:r>
        <w:rPr>
          <w:rFonts w:hint="eastAsia" w:ascii="Times New Roman" w:hAnsi="Times New Roman" w:cs="Times New Roman"/>
          <w:bCs/>
          <w:color w:val="auto"/>
          <w:kern w:val="0"/>
          <w:szCs w:val="20"/>
          <w:highlight w:val="none"/>
          <w:lang w:eastAsia="zh-CN"/>
        </w:rPr>
        <w:t>，</w:t>
      </w:r>
      <w:r>
        <w:rPr>
          <w:rFonts w:hint="eastAsia" w:ascii="Times New Roman" w:hAnsi="Times New Roman" w:cs="Times New Roman"/>
          <w:bCs/>
          <w:color w:val="auto"/>
          <w:kern w:val="0"/>
          <w:szCs w:val="20"/>
          <w:highlight w:val="none"/>
          <w:lang w:val="en-US" w:eastAsia="zh-CN"/>
        </w:rPr>
        <w:t>厚度30mm</w:t>
      </w:r>
      <w:r>
        <w:rPr>
          <w:rFonts w:hint="eastAsia" w:ascii="Times New Roman" w:hAnsi="Times New Roman" w:cs="Times New Roman"/>
          <w:bCs/>
          <w:color w:val="auto"/>
          <w:kern w:val="0"/>
          <w:szCs w:val="20"/>
          <w:highlight w:val="none"/>
        </w:rPr>
        <w:t>，指标见表2.2-</w:t>
      </w:r>
      <w:r>
        <w:rPr>
          <w:rFonts w:hint="eastAsia" w:ascii="Times New Roman" w:hAnsi="Times New Roman" w:cs="Times New Roman"/>
          <w:bCs/>
          <w:color w:val="auto"/>
          <w:kern w:val="0"/>
          <w:szCs w:val="20"/>
          <w:highlight w:val="none"/>
          <w:lang w:val="en-US" w:eastAsia="zh-CN"/>
        </w:rPr>
        <w:t>5</w:t>
      </w:r>
      <w:r>
        <w:rPr>
          <w:rFonts w:hint="eastAsia" w:ascii="Times New Roman" w:hAnsi="Times New Roman" w:cs="Times New Roman"/>
          <w:bCs/>
          <w:color w:val="auto"/>
          <w:kern w:val="0"/>
          <w:szCs w:val="20"/>
          <w:highlight w:val="none"/>
        </w:rPr>
        <w:t>。</w:t>
      </w:r>
    </w:p>
    <w:p w14:paraId="4B9264BE">
      <w:pPr>
        <w:shd w:val="clear"/>
        <w:ind w:firstLine="0" w:firstLineChars="0"/>
        <w:jc w:val="center"/>
        <w:rPr>
          <w:rFonts w:ascii="Times New Roman" w:hAnsi="Times New Roman" w:cs="Times New Roman"/>
          <w:bCs/>
          <w:color w:val="auto"/>
          <w:kern w:val="0"/>
          <w:szCs w:val="20"/>
          <w:highlight w:val="none"/>
        </w:rPr>
      </w:pPr>
      <w:r>
        <w:rPr>
          <w:rFonts w:hint="eastAsia" w:ascii="Times New Roman" w:hAnsi="Times New Roman" w:cs="Times New Roman"/>
          <w:bCs/>
          <w:color w:val="auto"/>
          <w:kern w:val="0"/>
          <w:szCs w:val="20"/>
          <w:highlight w:val="none"/>
        </w:rPr>
        <w:t>表2.2-3  微晶铸石衬板指标</w:t>
      </w:r>
    </w:p>
    <w:tbl>
      <w:tblPr>
        <w:tblStyle w:val="60"/>
        <w:tblW w:w="842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14"/>
        <w:gridCol w:w="2783"/>
        <w:gridCol w:w="1218"/>
        <w:gridCol w:w="3214"/>
      </w:tblGrid>
      <w:tr w14:paraId="48B4C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90081">
            <w:pPr>
              <w:keepNext w:val="0"/>
              <w:keepLines w:val="0"/>
              <w:widowControl/>
              <w:suppressLineNumbers w:val="0"/>
              <w:shd w:val="clear"/>
              <w:ind w:left="0" w:leftChars="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96E6E">
            <w:pPr>
              <w:shd w:val="clear"/>
              <w:rPr>
                <w:rFonts w:hint="eastAsia" w:ascii="宋体" w:hAnsi="宋体" w:eastAsia="宋体" w:cs="宋体"/>
                <w:i w:val="0"/>
                <w:iCs w:val="0"/>
                <w:color w:val="auto"/>
                <w:sz w:val="21"/>
                <w:szCs w:val="21"/>
                <w:highlight w:val="none"/>
                <w:u w:val="none"/>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2820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3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79D8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指标</w:t>
            </w:r>
          </w:p>
        </w:tc>
      </w:tr>
      <w:tr w14:paraId="3BC0D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4EC29">
            <w:pPr>
              <w:keepNext w:val="0"/>
              <w:keepLines w:val="0"/>
              <w:widowControl/>
              <w:suppressLineNumbers w:val="0"/>
              <w:shd w:val="clear"/>
              <w:ind w:left="0" w:leftChars="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材质</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1E7C9">
            <w:pPr>
              <w:shd w:val="clear"/>
              <w:rPr>
                <w:rFonts w:hint="eastAsia" w:ascii="宋体" w:hAnsi="宋体" w:eastAsia="宋体" w:cs="宋体"/>
                <w:i w:val="0"/>
                <w:iCs w:val="0"/>
                <w:color w:val="auto"/>
                <w:sz w:val="21"/>
                <w:szCs w:val="21"/>
                <w:highlight w:val="none"/>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F734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3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8E2DE">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铸石衬板</w:t>
            </w:r>
          </w:p>
        </w:tc>
      </w:tr>
      <w:tr w14:paraId="5CD40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6855D">
            <w:pPr>
              <w:keepNext w:val="0"/>
              <w:keepLines w:val="0"/>
              <w:widowControl/>
              <w:suppressLineNumbers w:val="0"/>
              <w:shd w:val="clear"/>
              <w:ind w:left="0" w:leftChars="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FF923">
            <w:pPr>
              <w:shd w:val="clear"/>
              <w:rPr>
                <w:rFonts w:hint="eastAsia" w:ascii="宋体" w:hAnsi="宋体" w:eastAsia="宋体" w:cs="宋体"/>
                <w:i w:val="0"/>
                <w:iCs w:val="0"/>
                <w:color w:val="auto"/>
                <w:sz w:val="21"/>
                <w:szCs w:val="21"/>
                <w:highlight w:val="none"/>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9CFE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mm</w:t>
            </w:r>
          </w:p>
        </w:tc>
        <w:tc>
          <w:tcPr>
            <w:tcW w:w="3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0A21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300x100x50</w:t>
            </w:r>
          </w:p>
        </w:tc>
      </w:tr>
      <w:tr w14:paraId="74F0C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B5F61">
            <w:pPr>
              <w:keepNext w:val="0"/>
              <w:keepLines w:val="0"/>
              <w:widowControl/>
              <w:suppressLineNumbers w:val="0"/>
              <w:shd w:val="clear"/>
              <w:ind w:left="0" w:leftChars="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抗压强度</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1BF93">
            <w:pPr>
              <w:shd w:val="clear"/>
              <w:rPr>
                <w:rFonts w:hint="eastAsia" w:ascii="宋体" w:hAnsi="宋体" w:eastAsia="宋体" w:cs="宋体"/>
                <w:i w:val="0"/>
                <w:iCs w:val="0"/>
                <w:color w:val="auto"/>
                <w:sz w:val="21"/>
                <w:szCs w:val="21"/>
                <w:highlight w:val="none"/>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88E8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MPa</w:t>
            </w:r>
          </w:p>
        </w:tc>
        <w:tc>
          <w:tcPr>
            <w:tcW w:w="3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93A4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≥588</w:t>
            </w:r>
          </w:p>
        </w:tc>
      </w:tr>
      <w:tr w14:paraId="4D915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1FB49">
            <w:pPr>
              <w:keepNext w:val="0"/>
              <w:keepLines w:val="0"/>
              <w:widowControl/>
              <w:suppressLineNumbers w:val="0"/>
              <w:shd w:val="clear"/>
              <w:ind w:left="0" w:leftChars="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弯曲强度</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1DAEE">
            <w:pPr>
              <w:shd w:val="clear"/>
              <w:rPr>
                <w:rFonts w:hint="eastAsia" w:ascii="宋体" w:hAnsi="宋体" w:eastAsia="宋体" w:cs="宋体"/>
                <w:i w:val="0"/>
                <w:iCs w:val="0"/>
                <w:color w:val="auto"/>
                <w:sz w:val="21"/>
                <w:szCs w:val="21"/>
                <w:highlight w:val="none"/>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2E53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MPa</w:t>
            </w:r>
          </w:p>
        </w:tc>
        <w:tc>
          <w:tcPr>
            <w:tcW w:w="3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9668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≥63.7</w:t>
            </w:r>
          </w:p>
        </w:tc>
      </w:tr>
      <w:tr w14:paraId="3F8B0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655A6">
            <w:pPr>
              <w:keepNext w:val="0"/>
              <w:keepLines w:val="0"/>
              <w:widowControl/>
              <w:suppressLineNumbers w:val="0"/>
              <w:shd w:val="clear"/>
              <w:ind w:left="0" w:leftChars="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*磨损度</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08BE6">
            <w:pPr>
              <w:shd w:val="clear"/>
              <w:rPr>
                <w:rFonts w:hint="eastAsia" w:ascii="宋体" w:hAnsi="宋体" w:eastAsia="宋体" w:cs="宋体"/>
                <w:i w:val="0"/>
                <w:iCs w:val="0"/>
                <w:color w:val="auto"/>
                <w:sz w:val="21"/>
                <w:szCs w:val="21"/>
                <w:highlight w:val="none"/>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6E86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g/cm2</w:t>
            </w:r>
          </w:p>
        </w:tc>
        <w:tc>
          <w:tcPr>
            <w:tcW w:w="3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34E8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≤0.09</w:t>
            </w:r>
          </w:p>
        </w:tc>
      </w:tr>
      <w:tr w14:paraId="22817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3590C">
            <w:pPr>
              <w:keepNext w:val="0"/>
              <w:keepLines w:val="0"/>
              <w:widowControl/>
              <w:suppressLineNumbers w:val="0"/>
              <w:shd w:val="clear"/>
              <w:ind w:left="0" w:leftChars="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*冲击韧性</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48056">
            <w:pPr>
              <w:shd w:val="clear"/>
              <w:rPr>
                <w:rFonts w:hint="eastAsia" w:ascii="宋体" w:hAnsi="宋体" w:eastAsia="宋体" w:cs="宋体"/>
                <w:i w:val="0"/>
                <w:iCs w:val="0"/>
                <w:color w:val="auto"/>
                <w:sz w:val="21"/>
                <w:szCs w:val="21"/>
                <w:highlight w:val="none"/>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C644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KJ/m2</w:t>
            </w:r>
          </w:p>
        </w:tc>
        <w:tc>
          <w:tcPr>
            <w:tcW w:w="3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D249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≥1.57</w:t>
            </w:r>
          </w:p>
        </w:tc>
      </w:tr>
      <w:tr w14:paraId="77F6E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2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EFA123">
            <w:pPr>
              <w:keepNext w:val="0"/>
              <w:keepLines w:val="0"/>
              <w:widowControl/>
              <w:suppressLineNumbers w:val="0"/>
              <w:shd w:val="clear"/>
              <w:ind w:left="0" w:leftChars="0" w:firstLine="0" w:firstLineChars="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耐急冷急热性能</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1034D">
            <w:pPr>
              <w:keepNext w:val="0"/>
              <w:keepLines w:val="0"/>
              <w:widowControl/>
              <w:suppressLineNumbers w:val="0"/>
              <w:shd w:val="clear"/>
              <w:ind w:left="0" w:leftChars="0" w:firstLine="0" w:firstLineChars="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水浴法 20℃-70℃反复一次</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C925A">
            <w:pPr>
              <w:shd w:val="clear"/>
              <w:jc w:val="center"/>
              <w:rPr>
                <w:rFonts w:hint="eastAsia" w:ascii="宋体" w:hAnsi="宋体" w:eastAsia="宋体" w:cs="宋体"/>
                <w:i w:val="0"/>
                <w:iCs w:val="0"/>
                <w:color w:val="auto"/>
                <w:sz w:val="21"/>
                <w:szCs w:val="21"/>
                <w:highlight w:val="none"/>
                <w:u w:val="none"/>
              </w:rPr>
            </w:pPr>
          </w:p>
        </w:tc>
        <w:tc>
          <w:tcPr>
            <w:tcW w:w="3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2DFE0">
            <w:pPr>
              <w:keepNext w:val="0"/>
              <w:keepLines w:val="0"/>
              <w:widowControl/>
              <w:suppressLineNumbers w:val="0"/>
              <w:shd w:val="clear"/>
              <w:ind w:left="0" w:leftChars="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合格试样块数/试样块数≥36/50</w:t>
            </w:r>
          </w:p>
        </w:tc>
      </w:tr>
      <w:tr w14:paraId="2C1D2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2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FA0E2">
            <w:pPr>
              <w:shd w:val="clear"/>
              <w:jc w:val="center"/>
              <w:rPr>
                <w:rFonts w:hint="eastAsia" w:ascii="宋体" w:hAnsi="宋体" w:eastAsia="宋体" w:cs="宋体"/>
                <w:i w:val="0"/>
                <w:iCs w:val="0"/>
                <w:color w:val="auto"/>
                <w:sz w:val="21"/>
                <w:szCs w:val="21"/>
                <w:highlight w:val="none"/>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620CF">
            <w:pPr>
              <w:keepNext w:val="0"/>
              <w:keepLines w:val="0"/>
              <w:widowControl/>
              <w:suppressLineNumbers w:val="0"/>
              <w:shd w:val="clear"/>
              <w:ind w:left="0" w:leftChars="0" w:firstLine="0" w:firstLineChars="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汽浴法25℃-200℃反复一次</w:t>
            </w: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6E35B">
            <w:pPr>
              <w:shd w:val="clear"/>
              <w:jc w:val="center"/>
              <w:rPr>
                <w:rFonts w:hint="eastAsia" w:ascii="宋体" w:hAnsi="宋体" w:eastAsia="宋体" w:cs="宋体"/>
                <w:i w:val="0"/>
                <w:iCs w:val="0"/>
                <w:color w:val="auto"/>
                <w:sz w:val="21"/>
                <w:szCs w:val="21"/>
                <w:highlight w:val="none"/>
                <w:u w:val="none"/>
              </w:rPr>
            </w:pPr>
          </w:p>
        </w:tc>
        <w:tc>
          <w:tcPr>
            <w:tcW w:w="3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0AED6">
            <w:pPr>
              <w:shd w:val="clear"/>
              <w:rPr>
                <w:rFonts w:hint="eastAsia" w:ascii="宋体" w:hAnsi="宋体" w:eastAsia="宋体" w:cs="宋体"/>
                <w:i w:val="0"/>
                <w:iCs w:val="0"/>
                <w:color w:val="auto"/>
                <w:sz w:val="21"/>
                <w:szCs w:val="21"/>
                <w:highlight w:val="none"/>
                <w:u w:val="none"/>
              </w:rPr>
            </w:pPr>
          </w:p>
        </w:tc>
      </w:tr>
      <w:tr w14:paraId="5ADC8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DD3D3">
            <w:pPr>
              <w:keepNext w:val="0"/>
              <w:keepLines w:val="0"/>
              <w:widowControl/>
              <w:suppressLineNumbers w:val="0"/>
              <w:shd w:val="clear"/>
              <w:ind w:left="0" w:leftChars="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密度</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F4DC4">
            <w:pPr>
              <w:shd w:val="clear"/>
              <w:rPr>
                <w:rFonts w:hint="eastAsia" w:ascii="宋体" w:hAnsi="宋体" w:eastAsia="宋体" w:cs="宋体"/>
                <w:i w:val="0"/>
                <w:iCs w:val="0"/>
                <w:color w:val="auto"/>
                <w:sz w:val="21"/>
                <w:szCs w:val="21"/>
                <w:highlight w:val="none"/>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8672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g/cm3</w:t>
            </w:r>
          </w:p>
        </w:tc>
        <w:tc>
          <w:tcPr>
            <w:tcW w:w="3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0FCD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2.9-3.0</w:t>
            </w:r>
          </w:p>
        </w:tc>
      </w:tr>
      <w:tr w14:paraId="7954B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0361DD">
            <w:pPr>
              <w:keepNext w:val="0"/>
              <w:keepLines w:val="0"/>
              <w:widowControl/>
              <w:suppressLineNumbers w:val="0"/>
              <w:shd w:val="clear"/>
              <w:ind w:left="0" w:leftChars="0" w:firstLine="0" w:firstLineChars="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耐酸(碱)度</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DB9F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硫酸(密度1.84g/cm3 )</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C1B0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3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3DA1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≥99</w:t>
            </w:r>
          </w:p>
        </w:tc>
      </w:tr>
      <w:tr w14:paraId="36AE3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5A16EC">
            <w:pPr>
              <w:shd w:val="clear"/>
              <w:jc w:val="center"/>
              <w:rPr>
                <w:rFonts w:hint="eastAsia" w:ascii="宋体" w:hAnsi="宋体" w:eastAsia="宋体" w:cs="宋体"/>
                <w:i w:val="0"/>
                <w:iCs w:val="0"/>
                <w:color w:val="auto"/>
                <w:sz w:val="21"/>
                <w:szCs w:val="21"/>
                <w:highlight w:val="none"/>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B34C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20%硫酸溶液</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524D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3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5A3A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≥96</w:t>
            </w:r>
          </w:p>
        </w:tc>
      </w:tr>
    </w:tbl>
    <w:p w14:paraId="152C669A">
      <w:pPr>
        <w:shd w:val="clear"/>
        <w:ind w:firstLine="0" w:firstLineChars="0"/>
        <w:jc w:val="center"/>
        <w:rPr>
          <w:rFonts w:hint="eastAsia" w:ascii="Times New Roman" w:hAnsi="Times New Roman" w:cs="Times New Roman"/>
          <w:bCs/>
          <w:color w:val="auto"/>
          <w:kern w:val="0"/>
          <w:szCs w:val="20"/>
          <w:highlight w:val="none"/>
        </w:rPr>
      </w:pPr>
    </w:p>
    <w:p w14:paraId="255C734E">
      <w:pPr>
        <w:shd w:val="clear"/>
        <w:ind w:firstLine="0" w:firstLineChars="0"/>
        <w:jc w:val="center"/>
        <w:rPr>
          <w:rFonts w:ascii="Times New Roman" w:hAnsi="Times New Roman" w:cs="Times New Roman"/>
          <w:bCs/>
          <w:color w:val="auto"/>
          <w:kern w:val="0"/>
          <w:szCs w:val="20"/>
          <w:highlight w:val="none"/>
        </w:rPr>
      </w:pPr>
      <w:r>
        <w:rPr>
          <w:rFonts w:hint="eastAsia" w:ascii="Times New Roman" w:hAnsi="Times New Roman" w:cs="Times New Roman"/>
          <w:bCs/>
          <w:color w:val="auto"/>
          <w:kern w:val="0"/>
          <w:szCs w:val="20"/>
          <w:highlight w:val="none"/>
        </w:rPr>
        <w:t>表2.2-</w:t>
      </w:r>
      <w:r>
        <w:rPr>
          <w:rFonts w:hint="eastAsia" w:ascii="Times New Roman" w:hAnsi="Times New Roman" w:cs="Times New Roman"/>
          <w:bCs/>
          <w:color w:val="auto"/>
          <w:kern w:val="0"/>
          <w:szCs w:val="20"/>
          <w:highlight w:val="none"/>
          <w:lang w:val="en-US" w:eastAsia="zh-CN"/>
        </w:rPr>
        <w:t>4</w:t>
      </w:r>
      <w:r>
        <w:rPr>
          <w:rFonts w:hint="eastAsia" w:ascii="Times New Roman" w:hAnsi="Times New Roman" w:cs="Times New Roman"/>
          <w:bCs/>
          <w:color w:val="auto"/>
          <w:kern w:val="0"/>
          <w:szCs w:val="20"/>
          <w:highlight w:val="none"/>
        </w:rPr>
        <w:t xml:space="preserve">  陶瓷耐磨浇筑料指标</w:t>
      </w:r>
    </w:p>
    <w:tbl>
      <w:tblPr>
        <w:tblStyle w:val="6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108" w:type="dxa"/>
          <w:bottom w:w="57" w:type="dxa"/>
          <w:right w:w="108" w:type="dxa"/>
        </w:tblCellMar>
      </w:tblPr>
      <w:tblGrid>
        <w:gridCol w:w="934"/>
        <w:gridCol w:w="3140"/>
        <w:gridCol w:w="1643"/>
        <w:gridCol w:w="2805"/>
      </w:tblGrid>
      <w:tr w14:paraId="38B894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blHeader/>
        </w:trPr>
        <w:tc>
          <w:tcPr>
            <w:tcW w:w="934" w:type="dxa"/>
            <w:vAlign w:val="center"/>
          </w:tcPr>
          <w:p w14:paraId="7C7CC96A">
            <w:pPr>
              <w:shd w:val="clear"/>
              <w:spacing w:line="240" w:lineRule="auto"/>
              <w:ind w:firstLine="0" w:firstLineChars="0"/>
              <w:jc w:val="center"/>
              <w:rPr>
                <w:rFonts w:ascii="Times New Roman"/>
                <w:color w:val="auto"/>
                <w:sz w:val="21"/>
                <w:szCs w:val="21"/>
                <w:highlight w:val="none"/>
              </w:rPr>
            </w:pPr>
            <w:r>
              <w:rPr>
                <w:rFonts w:hint="eastAsia" w:ascii="Times New Roman"/>
                <w:color w:val="auto"/>
                <w:sz w:val="21"/>
                <w:szCs w:val="21"/>
                <w:highlight w:val="none"/>
              </w:rPr>
              <w:t>序号</w:t>
            </w:r>
          </w:p>
        </w:tc>
        <w:tc>
          <w:tcPr>
            <w:tcW w:w="3140" w:type="dxa"/>
            <w:vAlign w:val="center"/>
          </w:tcPr>
          <w:p w14:paraId="70C7C1BE">
            <w:pPr>
              <w:shd w:val="clear"/>
              <w:spacing w:line="240" w:lineRule="auto"/>
              <w:ind w:firstLine="0" w:firstLineChars="0"/>
              <w:jc w:val="center"/>
              <w:rPr>
                <w:rFonts w:ascii="Times New Roman"/>
                <w:color w:val="auto"/>
                <w:sz w:val="21"/>
                <w:szCs w:val="21"/>
                <w:highlight w:val="none"/>
              </w:rPr>
            </w:pPr>
            <w:r>
              <w:rPr>
                <w:rFonts w:ascii="Times New Roman"/>
                <w:color w:val="auto"/>
                <w:sz w:val="21"/>
                <w:szCs w:val="21"/>
                <w:highlight w:val="none"/>
              </w:rPr>
              <w:t>项目</w:t>
            </w:r>
          </w:p>
        </w:tc>
        <w:tc>
          <w:tcPr>
            <w:tcW w:w="1643" w:type="dxa"/>
            <w:vAlign w:val="center"/>
          </w:tcPr>
          <w:p w14:paraId="5A8096BF">
            <w:pPr>
              <w:shd w:val="clear"/>
              <w:spacing w:line="240" w:lineRule="auto"/>
              <w:ind w:firstLine="0" w:firstLineChars="0"/>
              <w:jc w:val="center"/>
              <w:rPr>
                <w:rFonts w:ascii="Times New Roman"/>
                <w:color w:val="auto"/>
                <w:sz w:val="21"/>
                <w:szCs w:val="21"/>
                <w:highlight w:val="none"/>
              </w:rPr>
            </w:pPr>
            <w:r>
              <w:rPr>
                <w:rFonts w:ascii="Times New Roman"/>
                <w:color w:val="auto"/>
                <w:sz w:val="21"/>
                <w:szCs w:val="21"/>
                <w:highlight w:val="none"/>
              </w:rPr>
              <w:t>单位</w:t>
            </w:r>
          </w:p>
        </w:tc>
        <w:tc>
          <w:tcPr>
            <w:tcW w:w="2805" w:type="dxa"/>
            <w:vAlign w:val="center"/>
          </w:tcPr>
          <w:p w14:paraId="74F2D18F">
            <w:pPr>
              <w:shd w:val="clear"/>
              <w:spacing w:line="240" w:lineRule="auto"/>
              <w:ind w:firstLine="0" w:firstLineChars="0"/>
              <w:jc w:val="center"/>
              <w:rPr>
                <w:rFonts w:ascii="Times New Roman"/>
                <w:color w:val="auto"/>
                <w:sz w:val="21"/>
                <w:szCs w:val="21"/>
                <w:highlight w:val="none"/>
              </w:rPr>
            </w:pPr>
            <w:r>
              <w:rPr>
                <w:rFonts w:ascii="Times New Roman"/>
                <w:color w:val="auto"/>
                <w:sz w:val="21"/>
                <w:szCs w:val="21"/>
                <w:highlight w:val="none"/>
              </w:rPr>
              <w:t>指标</w:t>
            </w:r>
          </w:p>
        </w:tc>
      </w:tr>
      <w:tr w14:paraId="6C5D94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rPr>
        <w:tc>
          <w:tcPr>
            <w:tcW w:w="934" w:type="dxa"/>
            <w:vAlign w:val="center"/>
          </w:tcPr>
          <w:p w14:paraId="138109AF">
            <w:pPr>
              <w:shd w:val="clear"/>
              <w:spacing w:line="240" w:lineRule="auto"/>
              <w:ind w:firstLine="0" w:firstLineChars="0"/>
              <w:jc w:val="center"/>
              <w:rPr>
                <w:rFonts w:ascii="Times New Roman"/>
                <w:color w:val="auto"/>
                <w:sz w:val="21"/>
                <w:szCs w:val="21"/>
                <w:highlight w:val="none"/>
              </w:rPr>
            </w:pPr>
            <w:r>
              <w:rPr>
                <w:rFonts w:hint="eastAsia" w:ascii="Times New Roman"/>
                <w:color w:val="auto"/>
                <w:sz w:val="21"/>
                <w:szCs w:val="21"/>
                <w:highlight w:val="none"/>
              </w:rPr>
              <w:t>1</w:t>
            </w:r>
          </w:p>
        </w:tc>
        <w:tc>
          <w:tcPr>
            <w:tcW w:w="3140" w:type="dxa"/>
            <w:vAlign w:val="center"/>
          </w:tcPr>
          <w:p w14:paraId="0E2D62C0">
            <w:pPr>
              <w:shd w:val="clear"/>
              <w:spacing w:line="240" w:lineRule="auto"/>
              <w:ind w:firstLine="0" w:firstLineChars="0"/>
              <w:rPr>
                <w:rFonts w:ascii="Times New Roman"/>
                <w:color w:val="auto"/>
                <w:sz w:val="21"/>
                <w:szCs w:val="21"/>
                <w:highlight w:val="none"/>
              </w:rPr>
            </w:pPr>
            <w:r>
              <w:rPr>
                <w:rFonts w:hint="eastAsia" w:ascii="Times New Roman"/>
                <w:color w:val="auto"/>
                <w:sz w:val="21"/>
                <w:szCs w:val="21"/>
                <w:highlight w:val="none"/>
              </w:rPr>
              <w:t>体积密度（干燥至）</w:t>
            </w:r>
          </w:p>
        </w:tc>
        <w:tc>
          <w:tcPr>
            <w:tcW w:w="1643" w:type="dxa"/>
            <w:vAlign w:val="center"/>
          </w:tcPr>
          <w:p w14:paraId="7AEBA695">
            <w:pPr>
              <w:shd w:val="clear"/>
              <w:spacing w:line="240" w:lineRule="auto"/>
              <w:ind w:firstLine="0" w:firstLineChars="0"/>
              <w:jc w:val="center"/>
              <w:rPr>
                <w:rFonts w:ascii="Times New Roman"/>
                <w:color w:val="auto"/>
                <w:sz w:val="21"/>
                <w:szCs w:val="21"/>
                <w:highlight w:val="none"/>
              </w:rPr>
            </w:pPr>
            <w:r>
              <w:rPr>
                <w:rFonts w:hint="eastAsia" w:ascii="Times New Roman"/>
                <w:color w:val="auto"/>
                <w:sz w:val="21"/>
                <w:szCs w:val="21"/>
                <w:highlight w:val="none"/>
              </w:rPr>
              <w:t>t</w:t>
            </w:r>
            <w:r>
              <w:rPr>
                <w:rFonts w:ascii="Times New Roman"/>
                <w:color w:val="auto"/>
                <w:sz w:val="21"/>
                <w:szCs w:val="21"/>
                <w:highlight w:val="none"/>
              </w:rPr>
              <w:t>/m</w:t>
            </w:r>
            <w:r>
              <w:rPr>
                <w:rFonts w:ascii="Times New Roman"/>
                <w:color w:val="auto"/>
                <w:sz w:val="21"/>
                <w:szCs w:val="21"/>
                <w:highlight w:val="none"/>
                <w:vertAlign w:val="superscript"/>
              </w:rPr>
              <w:t>3</w:t>
            </w:r>
          </w:p>
        </w:tc>
        <w:tc>
          <w:tcPr>
            <w:tcW w:w="2805" w:type="dxa"/>
            <w:vAlign w:val="center"/>
          </w:tcPr>
          <w:p w14:paraId="57EB9870">
            <w:pPr>
              <w:shd w:val="clear"/>
              <w:spacing w:line="240" w:lineRule="auto"/>
              <w:ind w:firstLine="0" w:firstLineChars="0"/>
              <w:jc w:val="center"/>
              <w:rPr>
                <w:rFonts w:ascii="Times New Roman"/>
                <w:color w:val="auto"/>
                <w:sz w:val="21"/>
                <w:szCs w:val="21"/>
                <w:highlight w:val="none"/>
              </w:rPr>
            </w:pPr>
            <w:r>
              <w:rPr>
                <w:rFonts w:ascii="Times New Roman"/>
                <w:color w:val="auto"/>
                <w:sz w:val="21"/>
                <w:szCs w:val="21"/>
                <w:highlight w:val="none"/>
              </w:rPr>
              <w:t>≥2.</w:t>
            </w:r>
            <w:r>
              <w:rPr>
                <w:rFonts w:hint="eastAsia" w:ascii="Times New Roman"/>
                <w:color w:val="auto"/>
                <w:sz w:val="21"/>
                <w:szCs w:val="21"/>
                <w:highlight w:val="none"/>
              </w:rPr>
              <w:t>2</w:t>
            </w:r>
          </w:p>
        </w:tc>
      </w:tr>
      <w:tr w14:paraId="1AE4B7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rPr>
        <w:tc>
          <w:tcPr>
            <w:tcW w:w="934" w:type="dxa"/>
            <w:vAlign w:val="center"/>
          </w:tcPr>
          <w:p w14:paraId="7B7B6F19">
            <w:pPr>
              <w:shd w:val="clear"/>
              <w:spacing w:line="240" w:lineRule="auto"/>
              <w:ind w:firstLine="0" w:firstLineChars="0"/>
              <w:jc w:val="center"/>
              <w:rPr>
                <w:rFonts w:ascii="Times New Roman"/>
                <w:color w:val="auto"/>
                <w:sz w:val="21"/>
                <w:szCs w:val="21"/>
                <w:highlight w:val="none"/>
              </w:rPr>
            </w:pPr>
          </w:p>
        </w:tc>
        <w:tc>
          <w:tcPr>
            <w:tcW w:w="3140" w:type="dxa"/>
            <w:vAlign w:val="center"/>
          </w:tcPr>
          <w:p w14:paraId="7AA940D1">
            <w:pPr>
              <w:shd w:val="clear"/>
              <w:spacing w:line="240" w:lineRule="auto"/>
              <w:ind w:firstLine="0" w:firstLineChars="0"/>
              <w:rPr>
                <w:rFonts w:ascii="Times New Roman"/>
                <w:color w:val="auto"/>
                <w:sz w:val="21"/>
                <w:szCs w:val="21"/>
                <w:highlight w:val="none"/>
              </w:rPr>
            </w:pPr>
            <w:r>
              <w:rPr>
                <w:rFonts w:hint="eastAsia" w:ascii="Times New Roman"/>
                <w:color w:val="auto"/>
                <w:sz w:val="21"/>
                <w:szCs w:val="21"/>
                <w:highlight w:val="none"/>
              </w:rPr>
              <w:t>骨料粒度</w:t>
            </w:r>
          </w:p>
        </w:tc>
        <w:tc>
          <w:tcPr>
            <w:tcW w:w="1643" w:type="dxa"/>
            <w:vAlign w:val="center"/>
          </w:tcPr>
          <w:p w14:paraId="63D14AFC">
            <w:pPr>
              <w:shd w:val="clear"/>
              <w:spacing w:line="240" w:lineRule="auto"/>
              <w:ind w:firstLine="0" w:firstLineChars="0"/>
              <w:jc w:val="center"/>
              <w:rPr>
                <w:rFonts w:ascii="Times New Roman"/>
                <w:color w:val="auto"/>
                <w:sz w:val="21"/>
                <w:szCs w:val="21"/>
                <w:highlight w:val="none"/>
              </w:rPr>
            </w:pPr>
            <w:r>
              <w:rPr>
                <w:rFonts w:hint="eastAsia" w:ascii="Times New Roman"/>
                <w:color w:val="auto"/>
                <w:sz w:val="21"/>
                <w:szCs w:val="21"/>
                <w:highlight w:val="none"/>
              </w:rPr>
              <w:t>mm</w:t>
            </w:r>
          </w:p>
        </w:tc>
        <w:tc>
          <w:tcPr>
            <w:tcW w:w="2805" w:type="dxa"/>
            <w:vAlign w:val="center"/>
          </w:tcPr>
          <w:p w14:paraId="193327D9">
            <w:pPr>
              <w:shd w:val="clear"/>
              <w:spacing w:line="240" w:lineRule="auto"/>
              <w:ind w:firstLine="0" w:firstLineChars="0"/>
              <w:jc w:val="center"/>
              <w:rPr>
                <w:rFonts w:ascii="Times New Roman"/>
                <w:color w:val="auto"/>
                <w:sz w:val="21"/>
                <w:szCs w:val="21"/>
                <w:highlight w:val="none"/>
              </w:rPr>
            </w:pPr>
            <w:r>
              <w:rPr>
                <w:rFonts w:hint="eastAsia" w:ascii="Times New Roman"/>
                <w:color w:val="auto"/>
                <w:sz w:val="21"/>
                <w:szCs w:val="21"/>
                <w:highlight w:val="none"/>
              </w:rPr>
              <w:t>0-5</w:t>
            </w:r>
          </w:p>
        </w:tc>
      </w:tr>
      <w:tr w14:paraId="18D1F6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rPr>
        <w:tc>
          <w:tcPr>
            <w:tcW w:w="934" w:type="dxa"/>
            <w:vAlign w:val="center"/>
          </w:tcPr>
          <w:p w14:paraId="06D40152">
            <w:pPr>
              <w:shd w:val="clear"/>
              <w:spacing w:line="240" w:lineRule="auto"/>
              <w:ind w:firstLine="0" w:firstLineChars="0"/>
              <w:jc w:val="center"/>
              <w:rPr>
                <w:rFonts w:ascii="Times New Roman"/>
                <w:color w:val="auto"/>
                <w:sz w:val="21"/>
                <w:szCs w:val="21"/>
                <w:highlight w:val="none"/>
              </w:rPr>
            </w:pPr>
            <w:r>
              <w:rPr>
                <w:rFonts w:hint="eastAsia" w:ascii="Times New Roman"/>
                <w:color w:val="auto"/>
                <w:sz w:val="21"/>
                <w:szCs w:val="21"/>
                <w:highlight w:val="none"/>
              </w:rPr>
              <w:t>※ 2</w:t>
            </w:r>
          </w:p>
        </w:tc>
        <w:tc>
          <w:tcPr>
            <w:tcW w:w="3140" w:type="dxa"/>
            <w:vAlign w:val="center"/>
          </w:tcPr>
          <w:p w14:paraId="72E91DAA">
            <w:pPr>
              <w:shd w:val="clear"/>
              <w:spacing w:line="240" w:lineRule="auto"/>
              <w:ind w:firstLine="0" w:firstLineChars="0"/>
              <w:rPr>
                <w:rFonts w:ascii="Times New Roman"/>
                <w:color w:val="auto"/>
                <w:sz w:val="21"/>
                <w:szCs w:val="21"/>
                <w:highlight w:val="none"/>
              </w:rPr>
            </w:pPr>
            <w:r>
              <w:rPr>
                <w:rFonts w:hint="eastAsia" w:ascii="Times New Roman"/>
                <w:color w:val="auto"/>
                <w:sz w:val="21"/>
                <w:szCs w:val="21"/>
                <w:highlight w:val="none"/>
              </w:rPr>
              <w:t>抗压强度</w:t>
            </w:r>
          </w:p>
        </w:tc>
        <w:tc>
          <w:tcPr>
            <w:tcW w:w="1643" w:type="dxa"/>
            <w:vAlign w:val="center"/>
          </w:tcPr>
          <w:p w14:paraId="5C6B3C47">
            <w:pPr>
              <w:shd w:val="clear"/>
              <w:spacing w:line="240" w:lineRule="auto"/>
              <w:ind w:firstLine="0" w:firstLineChars="0"/>
              <w:jc w:val="center"/>
              <w:rPr>
                <w:rFonts w:ascii="Times New Roman"/>
                <w:color w:val="auto"/>
                <w:sz w:val="21"/>
                <w:szCs w:val="21"/>
                <w:highlight w:val="none"/>
              </w:rPr>
            </w:pPr>
            <w:r>
              <w:rPr>
                <w:rFonts w:ascii="Times New Roman"/>
                <w:color w:val="auto"/>
                <w:sz w:val="21"/>
                <w:szCs w:val="21"/>
                <w:highlight w:val="none"/>
              </w:rPr>
              <w:t>MPa</w:t>
            </w:r>
          </w:p>
        </w:tc>
        <w:tc>
          <w:tcPr>
            <w:tcW w:w="2805" w:type="dxa"/>
            <w:vAlign w:val="center"/>
          </w:tcPr>
          <w:p w14:paraId="0EA59441">
            <w:pPr>
              <w:shd w:val="clear"/>
              <w:spacing w:line="240" w:lineRule="auto"/>
              <w:ind w:firstLine="0" w:firstLineChars="0"/>
              <w:jc w:val="center"/>
              <w:rPr>
                <w:rFonts w:ascii="Times New Roman"/>
                <w:color w:val="auto"/>
                <w:sz w:val="21"/>
                <w:szCs w:val="21"/>
                <w:highlight w:val="none"/>
              </w:rPr>
            </w:pPr>
          </w:p>
        </w:tc>
      </w:tr>
      <w:tr w14:paraId="7D8CB0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rPr>
        <w:tc>
          <w:tcPr>
            <w:tcW w:w="934" w:type="dxa"/>
            <w:vAlign w:val="center"/>
          </w:tcPr>
          <w:p w14:paraId="7655414F">
            <w:pPr>
              <w:shd w:val="clear"/>
              <w:spacing w:line="240" w:lineRule="auto"/>
              <w:ind w:firstLine="0" w:firstLineChars="0"/>
              <w:jc w:val="center"/>
              <w:rPr>
                <w:rFonts w:ascii="Times New Roman"/>
                <w:color w:val="auto"/>
                <w:sz w:val="21"/>
                <w:szCs w:val="21"/>
                <w:highlight w:val="none"/>
              </w:rPr>
            </w:pPr>
          </w:p>
        </w:tc>
        <w:tc>
          <w:tcPr>
            <w:tcW w:w="3140" w:type="dxa"/>
            <w:vAlign w:val="center"/>
          </w:tcPr>
          <w:p w14:paraId="3300D082">
            <w:pPr>
              <w:shd w:val="clear"/>
              <w:spacing w:line="240" w:lineRule="auto"/>
              <w:ind w:firstLine="0" w:firstLineChars="0"/>
              <w:rPr>
                <w:rFonts w:ascii="Times New Roman"/>
                <w:color w:val="auto"/>
                <w:sz w:val="21"/>
                <w:szCs w:val="21"/>
                <w:highlight w:val="none"/>
              </w:rPr>
            </w:pPr>
            <w:r>
              <w:rPr>
                <w:rFonts w:hint="eastAsia" w:ascii="Times New Roman"/>
                <w:color w:val="auto"/>
                <w:sz w:val="21"/>
                <w:szCs w:val="21"/>
                <w:highlight w:val="none"/>
              </w:rPr>
              <w:t>1天</w:t>
            </w:r>
          </w:p>
        </w:tc>
        <w:tc>
          <w:tcPr>
            <w:tcW w:w="1643" w:type="dxa"/>
            <w:vAlign w:val="center"/>
          </w:tcPr>
          <w:p w14:paraId="1A495A96">
            <w:pPr>
              <w:shd w:val="clear"/>
              <w:spacing w:line="240" w:lineRule="auto"/>
              <w:ind w:firstLine="0" w:firstLineChars="0"/>
              <w:jc w:val="center"/>
              <w:rPr>
                <w:rFonts w:ascii="Times New Roman"/>
                <w:color w:val="auto"/>
                <w:sz w:val="21"/>
                <w:szCs w:val="21"/>
                <w:highlight w:val="none"/>
              </w:rPr>
            </w:pPr>
            <w:r>
              <w:rPr>
                <w:rFonts w:ascii="Times New Roman"/>
                <w:color w:val="auto"/>
                <w:sz w:val="21"/>
                <w:szCs w:val="21"/>
                <w:highlight w:val="none"/>
              </w:rPr>
              <w:t>MPa</w:t>
            </w:r>
          </w:p>
        </w:tc>
        <w:tc>
          <w:tcPr>
            <w:tcW w:w="2805" w:type="dxa"/>
            <w:vAlign w:val="center"/>
          </w:tcPr>
          <w:p w14:paraId="2B801018">
            <w:pPr>
              <w:shd w:val="clear"/>
              <w:spacing w:line="240" w:lineRule="auto"/>
              <w:ind w:firstLine="0" w:firstLineChars="0"/>
              <w:jc w:val="center"/>
              <w:rPr>
                <w:rFonts w:ascii="Times New Roman"/>
                <w:color w:val="auto"/>
                <w:sz w:val="21"/>
                <w:szCs w:val="21"/>
                <w:highlight w:val="none"/>
              </w:rPr>
            </w:pPr>
            <w:r>
              <w:rPr>
                <w:rFonts w:ascii="Times New Roman"/>
                <w:color w:val="auto"/>
                <w:sz w:val="21"/>
                <w:szCs w:val="21"/>
                <w:highlight w:val="none"/>
              </w:rPr>
              <w:t>≥</w:t>
            </w:r>
            <w:r>
              <w:rPr>
                <w:rFonts w:hint="eastAsia" w:ascii="Times New Roman"/>
                <w:color w:val="auto"/>
                <w:sz w:val="21"/>
                <w:szCs w:val="21"/>
                <w:highlight w:val="none"/>
              </w:rPr>
              <w:t>20</w:t>
            </w:r>
          </w:p>
        </w:tc>
      </w:tr>
      <w:tr w14:paraId="153033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rPr>
        <w:tc>
          <w:tcPr>
            <w:tcW w:w="934" w:type="dxa"/>
            <w:vAlign w:val="center"/>
          </w:tcPr>
          <w:p w14:paraId="2B8A14EA">
            <w:pPr>
              <w:shd w:val="clear"/>
              <w:spacing w:line="240" w:lineRule="auto"/>
              <w:ind w:firstLine="0" w:firstLineChars="0"/>
              <w:jc w:val="center"/>
              <w:rPr>
                <w:rFonts w:ascii="Times New Roman"/>
                <w:color w:val="auto"/>
                <w:sz w:val="21"/>
                <w:szCs w:val="21"/>
                <w:highlight w:val="none"/>
              </w:rPr>
            </w:pPr>
          </w:p>
        </w:tc>
        <w:tc>
          <w:tcPr>
            <w:tcW w:w="3140" w:type="dxa"/>
            <w:vAlign w:val="center"/>
          </w:tcPr>
          <w:p w14:paraId="78329877">
            <w:pPr>
              <w:shd w:val="clear"/>
              <w:spacing w:line="240" w:lineRule="auto"/>
              <w:ind w:firstLine="0" w:firstLineChars="0"/>
              <w:rPr>
                <w:rFonts w:ascii="Times New Roman"/>
                <w:color w:val="auto"/>
                <w:sz w:val="21"/>
                <w:szCs w:val="21"/>
                <w:highlight w:val="none"/>
              </w:rPr>
            </w:pPr>
            <w:r>
              <w:rPr>
                <w:rFonts w:hint="eastAsia" w:ascii="Times New Roman"/>
                <w:color w:val="auto"/>
                <w:sz w:val="21"/>
                <w:szCs w:val="21"/>
                <w:highlight w:val="none"/>
              </w:rPr>
              <w:t>3天</w:t>
            </w:r>
          </w:p>
        </w:tc>
        <w:tc>
          <w:tcPr>
            <w:tcW w:w="1643" w:type="dxa"/>
            <w:vAlign w:val="center"/>
          </w:tcPr>
          <w:p w14:paraId="71ED5953">
            <w:pPr>
              <w:shd w:val="clear"/>
              <w:spacing w:line="240" w:lineRule="auto"/>
              <w:ind w:firstLine="0" w:firstLineChars="0"/>
              <w:jc w:val="center"/>
              <w:rPr>
                <w:rFonts w:ascii="Times New Roman"/>
                <w:color w:val="auto"/>
                <w:sz w:val="21"/>
                <w:szCs w:val="21"/>
                <w:highlight w:val="none"/>
              </w:rPr>
            </w:pPr>
            <w:r>
              <w:rPr>
                <w:rFonts w:ascii="Times New Roman"/>
                <w:color w:val="auto"/>
                <w:sz w:val="21"/>
                <w:szCs w:val="21"/>
                <w:highlight w:val="none"/>
              </w:rPr>
              <w:t>MPa</w:t>
            </w:r>
          </w:p>
        </w:tc>
        <w:tc>
          <w:tcPr>
            <w:tcW w:w="2805" w:type="dxa"/>
            <w:vAlign w:val="center"/>
          </w:tcPr>
          <w:p w14:paraId="6B09A518">
            <w:pPr>
              <w:shd w:val="clear"/>
              <w:spacing w:line="240" w:lineRule="auto"/>
              <w:ind w:firstLine="0" w:firstLineChars="0"/>
              <w:jc w:val="center"/>
              <w:rPr>
                <w:rFonts w:ascii="Times New Roman"/>
                <w:color w:val="auto"/>
                <w:sz w:val="21"/>
                <w:szCs w:val="21"/>
                <w:highlight w:val="none"/>
              </w:rPr>
            </w:pPr>
            <w:r>
              <w:rPr>
                <w:rFonts w:ascii="Times New Roman"/>
                <w:color w:val="auto"/>
                <w:sz w:val="21"/>
                <w:szCs w:val="21"/>
                <w:highlight w:val="none"/>
              </w:rPr>
              <w:t>≥</w:t>
            </w:r>
            <w:r>
              <w:rPr>
                <w:rFonts w:hint="eastAsia" w:ascii="Times New Roman"/>
                <w:color w:val="auto"/>
                <w:sz w:val="21"/>
                <w:szCs w:val="21"/>
                <w:highlight w:val="none"/>
              </w:rPr>
              <w:t>45</w:t>
            </w:r>
          </w:p>
        </w:tc>
      </w:tr>
      <w:tr w14:paraId="28D48F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rPr>
        <w:tc>
          <w:tcPr>
            <w:tcW w:w="934" w:type="dxa"/>
            <w:vAlign w:val="center"/>
          </w:tcPr>
          <w:p w14:paraId="441A2146">
            <w:pPr>
              <w:shd w:val="clear"/>
              <w:spacing w:line="240" w:lineRule="auto"/>
              <w:ind w:firstLine="0" w:firstLineChars="0"/>
              <w:jc w:val="center"/>
              <w:rPr>
                <w:rFonts w:ascii="Times New Roman"/>
                <w:color w:val="auto"/>
                <w:sz w:val="21"/>
                <w:szCs w:val="21"/>
                <w:highlight w:val="none"/>
              </w:rPr>
            </w:pPr>
          </w:p>
        </w:tc>
        <w:tc>
          <w:tcPr>
            <w:tcW w:w="3140" w:type="dxa"/>
            <w:vAlign w:val="center"/>
          </w:tcPr>
          <w:p w14:paraId="1A85A4A8">
            <w:pPr>
              <w:shd w:val="clear"/>
              <w:spacing w:line="240" w:lineRule="auto"/>
              <w:ind w:firstLine="0" w:firstLineChars="0"/>
              <w:rPr>
                <w:rFonts w:ascii="Times New Roman"/>
                <w:color w:val="auto"/>
                <w:sz w:val="21"/>
                <w:szCs w:val="21"/>
                <w:highlight w:val="none"/>
              </w:rPr>
            </w:pPr>
            <w:r>
              <w:rPr>
                <w:rFonts w:hint="eastAsia" w:ascii="Times New Roman"/>
                <w:color w:val="auto"/>
                <w:sz w:val="21"/>
                <w:szCs w:val="21"/>
                <w:highlight w:val="none"/>
              </w:rPr>
              <w:t>28天</w:t>
            </w:r>
          </w:p>
        </w:tc>
        <w:tc>
          <w:tcPr>
            <w:tcW w:w="1643" w:type="dxa"/>
            <w:vAlign w:val="center"/>
          </w:tcPr>
          <w:p w14:paraId="38C056DA">
            <w:pPr>
              <w:shd w:val="clear"/>
              <w:spacing w:line="240" w:lineRule="auto"/>
              <w:ind w:firstLine="0" w:firstLineChars="0"/>
              <w:jc w:val="center"/>
              <w:rPr>
                <w:rFonts w:ascii="Times New Roman"/>
                <w:color w:val="auto"/>
                <w:sz w:val="21"/>
                <w:szCs w:val="21"/>
                <w:highlight w:val="none"/>
              </w:rPr>
            </w:pPr>
            <w:r>
              <w:rPr>
                <w:rFonts w:ascii="Times New Roman"/>
                <w:color w:val="auto"/>
                <w:sz w:val="21"/>
                <w:szCs w:val="21"/>
                <w:highlight w:val="none"/>
              </w:rPr>
              <w:t>MPa</w:t>
            </w:r>
          </w:p>
        </w:tc>
        <w:tc>
          <w:tcPr>
            <w:tcW w:w="2805" w:type="dxa"/>
            <w:vAlign w:val="center"/>
          </w:tcPr>
          <w:p w14:paraId="0E739D50">
            <w:pPr>
              <w:shd w:val="clear"/>
              <w:spacing w:line="240" w:lineRule="auto"/>
              <w:ind w:firstLine="0" w:firstLineChars="0"/>
              <w:jc w:val="center"/>
              <w:rPr>
                <w:rFonts w:ascii="Times New Roman"/>
                <w:color w:val="auto"/>
                <w:sz w:val="21"/>
                <w:szCs w:val="21"/>
                <w:highlight w:val="none"/>
              </w:rPr>
            </w:pPr>
            <w:r>
              <w:rPr>
                <w:rFonts w:ascii="Times New Roman"/>
                <w:color w:val="auto"/>
                <w:sz w:val="21"/>
                <w:szCs w:val="21"/>
                <w:highlight w:val="none"/>
              </w:rPr>
              <w:t>≥</w:t>
            </w:r>
            <w:r>
              <w:rPr>
                <w:rFonts w:hint="eastAsia" w:ascii="Times New Roman"/>
                <w:color w:val="auto"/>
                <w:sz w:val="21"/>
                <w:szCs w:val="21"/>
                <w:highlight w:val="none"/>
              </w:rPr>
              <w:t>65</w:t>
            </w:r>
          </w:p>
        </w:tc>
      </w:tr>
      <w:tr w14:paraId="2F1EF8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rPr>
        <w:tc>
          <w:tcPr>
            <w:tcW w:w="934" w:type="dxa"/>
            <w:vAlign w:val="center"/>
          </w:tcPr>
          <w:p w14:paraId="7D3E3B2D">
            <w:pPr>
              <w:shd w:val="clear"/>
              <w:spacing w:line="240" w:lineRule="auto"/>
              <w:ind w:firstLine="0" w:firstLineChars="0"/>
              <w:jc w:val="center"/>
              <w:rPr>
                <w:rFonts w:ascii="Times New Roman"/>
                <w:color w:val="auto"/>
                <w:sz w:val="21"/>
                <w:szCs w:val="21"/>
                <w:highlight w:val="none"/>
              </w:rPr>
            </w:pPr>
            <w:r>
              <w:rPr>
                <w:rFonts w:hint="eastAsia" w:ascii="Times New Roman"/>
                <w:color w:val="auto"/>
                <w:sz w:val="21"/>
                <w:szCs w:val="21"/>
                <w:highlight w:val="none"/>
              </w:rPr>
              <w:t>3</w:t>
            </w:r>
          </w:p>
        </w:tc>
        <w:tc>
          <w:tcPr>
            <w:tcW w:w="3140" w:type="dxa"/>
            <w:vAlign w:val="center"/>
          </w:tcPr>
          <w:p w14:paraId="46E7E394">
            <w:pPr>
              <w:shd w:val="clear"/>
              <w:spacing w:line="240" w:lineRule="auto"/>
              <w:ind w:firstLine="0" w:firstLineChars="0"/>
              <w:rPr>
                <w:rFonts w:ascii="Times New Roman"/>
                <w:color w:val="auto"/>
                <w:sz w:val="21"/>
                <w:szCs w:val="21"/>
                <w:highlight w:val="none"/>
              </w:rPr>
            </w:pPr>
            <w:r>
              <w:rPr>
                <w:rFonts w:hint="eastAsia" w:ascii="Times New Roman"/>
                <w:color w:val="auto"/>
                <w:sz w:val="21"/>
                <w:szCs w:val="21"/>
                <w:highlight w:val="none"/>
              </w:rPr>
              <w:t>膨胀率</w:t>
            </w:r>
          </w:p>
        </w:tc>
        <w:tc>
          <w:tcPr>
            <w:tcW w:w="1643" w:type="dxa"/>
            <w:vAlign w:val="center"/>
          </w:tcPr>
          <w:p w14:paraId="50A943B2">
            <w:pPr>
              <w:shd w:val="clear"/>
              <w:spacing w:line="240" w:lineRule="auto"/>
              <w:ind w:firstLine="0" w:firstLineChars="0"/>
              <w:jc w:val="center"/>
              <w:rPr>
                <w:rFonts w:ascii="Times New Roman"/>
                <w:color w:val="auto"/>
                <w:sz w:val="21"/>
                <w:szCs w:val="21"/>
                <w:highlight w:val="none"/>
              </w:rPr>
            </w:pPr>
            <w:r>
              <w:rPr>
                <w:rFonts w:ascii="Times New Roman"/>
                <w:color w:val="auto"/>
                <w:sz w:val="21"/>
                <w:szCs w:val="21"/>
                <w:highlight w:val="none"/>
              </w:rPr>
              <w:t>%</w:t>
            </w:r>
          </w:p>
        </w:tc>
        <w:tc>
          <w:tcPr>
            <w:tcW w:w="2805" w:type="dxa"/>
            <w:vAlign w:val="center"/>
          </w:tcPr>
          <w:p w14:paraId="2FC894FB">
            <w:pPr>
              <w:shd w:val="clear"/>
              <w:spacing w:line="240" w:lineRule="auto"/>
              <w:ind w:firstLine="0" w:firstLineChars="0"/>
              <w:jc w:val="center"/>
              <w:rPr>
                <w:rFonts w:ascii="Times New Roman"/>
                <w:color w:val="auto"/>
                <w:sz w:val="21"/>
                <w:szCs w:val="21"/>
                <w:highlight w:val="none"/>
              </w:rPr>
            </w:pPr>
            <w:r>
              <w:rPr>
                <w:rFonts w:hint="eastAsia" w:ascii="Times New Roman"/>
                <w:color w:val="auto"/>
                <w:sz w:val="21"/>
                <w:szCs w:val="21"/>
                <w:highlight w:val="none"/>
              </w:rPr>
              <w:t>0.01~0.03</w:t>
            </w:r>
          </w:p>
        </w:tc>
      </w:tr>
      <w:tr w14:paraId="582C3D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rPr>
        <w:tc>
          <w:tcPr>
            <w:tcW w:w="934" w:type="dxa"/>
            <w:vAlign w:val="center"/>
          </w:tcPr>
          <w:p w14:paraId="1949A930">
            <w:pPr>
              <w:shd w:val="clear"/>
              <w:spacing w:line="240" w:lineRule="auto"/>
              <w:ind w:firstLine="0" w:firstLineChars="0"/>
              <w:jc w:val="center"/>
              <w:rPr>
                <w:rFonts w:ascii="Times New Roman"/>
                <w:color w:val="auto"/>
                <w:sz w:val="21"/>
                <w:szCs w:val="21"/>
                <w:highlight w:val="none"/>
              </w:rPr>
            </w:pPr>
            <w:r>
              <w:rPr>
                <w:rFonts w:hint="eastAsia" w:ascii="Times New Roman"/>
                <w:color w:val="auto"/>
                <w:sz w:val="21"/>
                <w:szCs w:val="21"/>
                <w:highlight w:val="none"/>
              </w:rPr>
              <w:t>4</w:t>
            </w:r>
          </w:p>
        </w:tc>
        <w:tc>
          <w:tcPr>
            <w:tcW w:w="3140" w:type="dxa"/>
            <w:vAlign w:val="center"/>
          </w:tcPr>
          <w:p w14:paraId="2AA8FDBB">
            <w:pPr>
              <w:shd w:val="clear"/>
              <w:spacing w:line="240" w:lineRule="auto"/>
              <w:ind w:firstLine="0" w:firstLineChars="0"/>
              <w:rPr>
                <w:rFonts w:ascii="Times New Roman"/>
                <w:color w:val="auto"/>
                <w:sz w:val="21"/>
                <w:szCs w:val="21"/>
                <w:highlight w:val="none"/>
              </w:rPr>
            </w:pPr>
            <w:r>
              <w:rPr>
                <w:rFonts w:hint="eastAsia" w:ascii="Times New Roman"/>
                <w:color w:val="auto"/>
                <w:sz w:val="21"/>
                <w:szCs w:val="21"/>
                <w:highlight w:val="none"/>
              </w:rPr>
              <w:t>弹性模量</w:t>
            </w:r>
          </w:p>
        </w:tc>
        <w:tc>
          <w:tcPr>
            <w:tcW w:w="1643" w:type="dxa"/>
            <w:vAlign w:val="center"/>
          </w:tcPr>
          <w:p w14:paraId="6A6FE2DF">
            <w:pPr>
              <w:shd w:val="clear"/>
              <w:spacing w:line="240" w:lineRule="auto"/>
              <w:ind w:firstLine="0" w:firstLineChars="0"/>
              <w:jc w:val="center"/>
              <w:rPr>
                <w:rFonts w:ascii="Times New Roman"/>
                <w:color w:val="auto"/>
                <w:sz w:val="21"/>
                <w:szCs w:val="21"/>
                <w:highlight w:val="none"/>
              </w:rPr>
            </w:pPr>
            <w:r>
              <w:rPr>
                <w:rFonts w:ascii="Times New Roman"/>
                <w:color w:val="auto"/>
                <w:sz w:val="21"/>
                <w:szCs w:val="21"/>
                <w:highlight w:val="none"/>
              </w:rPr>
              <w:t>MPa</w:t>
            </w:r>
          </w:p>
        </w:tc>
        <w:tc>
          <w:tcPr>
            <w:tcW w:w="2805" w:type="dxa"/>
            <w:vAlign w:val="center"/>
          </w:tcPr>
          <w:p w14:paraId="14A9A091">
            <w:pPr>
              <w:shd w:val="clear"/>
              <w:spacing w:line="240" w:lineRule="auto"/>
              <w:ind w:firstLine="0" w:firstLineChars="0"/>
              <w:jc w:val="center"/>
              <w:rPr>
                <w:rFonts w:ascii="Times New Roman"/>
                <w:color w:val="auto"/>
                <w:sz w:val="21"/>
                <w:szCs w:val="21"/>
                <w:highlight w:val="none"/>
              </w:rPr>
            </w:pPr>
            <w:r>
              <w:rPr>
                <w:rFonts w:ascii="Times New Roman"/>
                <w:color w:val="auto"/>
                <w:sz w:val="21"/>
                <w:szCs w:val="21"/>
                <w:highlight w:val="none"/>
              </w:rPr>
              <w:t>≥</w:t>
            </w:r>
            <w:r>
              <w:rPr>
                <w:rFonts w:hint="eastAsia" w:ascii="Times New Roman"/>
                <w:color w:val="auto"/>
                <w:sz w:val="21"/>
                <w:szCs w:val="21"/>
                <w:highlight w:val="none"/>
              </w:rPr>
              <w:t>4.0×10</w:t>
            </w:r>
            <w:r>
              <w:rPr>
                <w:rFonts w:hint="eastAsia" w:ascii="Times New Roman"/>
                <w:color w:val="auto"/>
                <w:sz w:val="21"/>
                <w:szCs w:val="21"/>
                <w:highlight w:val="none"/>
                <w:vertAlign w:val="superscript"/>
              </w:rPr>
              <w:t>4</w:t>
            </w:r>
          </w:p>
        </w:tc>
      </w:tr>
      <w:tr w14:paraId="1232A0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rPr>
        <w:tc>
          <w:tcPr>
            <w:tcW w:w="934" w:type="dxa"/>
            <w:vAlign w:val="center"/>
          </w:tcPr>
          <w:p w14:paraId="334FF3C6">
            <w:pPr>
              <w:shd w:val="clear"/>
              <w:spacing w:line="240" w:lineRule="auto"/>
              <w:ind w:firstLine="0" w:firstLineChars="0"/>
              <w:jc w:val="center"/>
              <w:rPr>
                <w:rFonts w:ascii="Times New Roman"/>
                <w:color w:val="auto"/>
                <w:sz w:val="21"/>
                <w:szCs w:val="21"/>
                <w:highlight w:val="none"/>
              </w:rPr>
            </w:pPr>
            <w:r>
              <w:rPr>
                <w:rFonts w:hint="eastAsia" w:ascii="Times New Roman"/>
                <w:color w:val="auto"/>
                <w:sz w:val="21"/>
                <w:szCs w:val="21"/>
                <w:highlight w:val="none"/>
              </w:rPr>
              <w:t>5</w:t>
            </w:r>
          </w:p>
        </w:tc>
        <w:tc>
          <w:tcPr>
            <w:tcW w:w="3140" w:type="dxa"/>
            <w:vAlign w:val="center"/>
          </w:tcPr>
          <w:p w14:paraId="02177AC9">
            <w:pPr>
              <w:shd w:val="clear"/>
              <w:spacing w:line="240" w:lineRule="auto"/>
              <w:ind w:firstLine="0" w:firstLineChars="0"/>
              <w:rPr>
                <w:rFonts w:ascii="Times New Roman"/>
                <w:color w:val="auto"/>
                <w:sz w:val="21"/>
                <w:szCs w:val="21"/>
                <w:highlight w:val="none"/>
              </w:rPr>
            </w:pPr>
            <w:r>
              <w:rPr>
                <w:rFonts w:hint="eastAsia" w:ascii="Times New Roman"/>
                <w:color w:val="auto"/>
                <w:sz w:val="21"/>
                <w:szCs w:val="21"/>
                <w:highlight w:val="none"/>
              </w:rPr>
              <w:t>粗糙系数</w:t>
            </w:r>
          </w:p>
        </w:tc>
        <w:tc>
          <w:tcPr>
            <w:tcW w:w="1643" w:type="dxa"/>
            <w:vAlign w:val="center"/>
          </w:tcPr>
          <w:p w14:paraId="3C86EB9A">
            <w:pPr>
              <w:shd w:val="clear"/>
              <w:spacing w:line="240" w:lineRule="auto"/>
              <w:ind w:firstLine="0" w:firstLineChars="0"/>
              <w:jc w:val="center"/>
              <w:rPr>
                <w:rFonts w:ascii="Times New Roman"/>
                <w:color w:val="auto"/>
                <w:sz w:val="21"/>
                <w:szCs w:val="21"/>
                <w:highlight w:val="none"/>
              </w:rPr>
            </w:pPr>
          </w:p>
        </w:tc>
        <w:tc>
          <w:tcPr>
            <w:tcW w:w="2805" w:type="dxa"/>
            <w:vAlign w:val="center"/>
          </w:tcPr>
          <w:p w14:paraId="38FAC943">
            <w:pPr>
              <w:shd w:val="clear"/>
              <w:spacing w:line="240" w:lineRule="auto"/>
              <w:ind w:firstLine="0" w:firstLineChars="0"/>
              <w:jc w:val="center"/>
              <w:rPr>
                <w:rFonts w:ascii="Times New Roman"/>
                <w:color w:val="auto"/>
                <w:sz w:val="21"/>
                <w:szCs w:val="21"/>
                <w:highlight w:val="none"/>
              </w:rPr>
            </w:pPr>
            <w:r>
              <w:rPr>
                <w:rFonts w:hint="eastAsia" w:ascii="Times New Roman"/>
                <w:color w:val="auto"/>
                <w:sz w:val="21"/>
                <w:szCs w:val="21"/>
                <w:highlight w:val="none"/>
              </w:rPr>
              <w:t>≤0.015</w:t>
            </w:r>
          </w:p>
        </w:tc>
      </w:tr>
      <w:tr w14:paraId="3B189D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rPr>
        <w:tc>
          <w:tcPr>
            <w:tcW w:w="934" w:type="dxa"/>
            <w:vAlign w:val="center"/>
          </w:tcPr>
          <w:p w14:paraId="4D451504">
            <w:pPr>
              <w:shd w:val="clear"/>
              <w:spacing w:line="240" w:lineRule="auto"/>
              <w:ind w:firstLine="0" w:firstLineChars="0"/>
              <w:jc w:val="center"/>
              <w:rPr>
                <w:rFonts w:ascii="Times New Roman"/>
                <w:color w:val="auto"/>
                <w:sz w:val="21"/>
                <w:szCs w:val="21"/>
                <w:highlight w:val="none"/>
              </w:rPr>
            </w:pPr>
            <w:r>
              <w:rPr>
                <w:rFonts w:hint="eastAsia" w:ascii="Times New Roman"/>
                <w:color w:val="auto"/>
                <w:sz w:val="21"/>
                <w:szCs w:val="21"/>
                <w:highlight w:val="none"/>
              </w:rPr>
              <w:t>※6</w:t>
            </w:r>
          </w:p>
        </w:tc>
        <w:tc>
          <w:tcPr>
            <w:tcW w:w="3140" w:type="dxa"/>
            <w:vAlign w:val="center"/>
          </w:tcPr>
          <w:p w14:paraId="5BEA47D5">
            <w:pPr>
              <w:shd w:val="clear"/>
              <w:spacing w:line="240" w:lineRule="auto"/>
              <w:ind w:firstLine="0" w:firstLineChars="0"/>
              <w:rPr>
                <w:rFonts w:ascii="Times New Roman"/>
                <w:color w:val="auto"/>
                <w:sz w:val="21"/>
                <w:szCs w:val="21"/>
                <w:highlight w:val="none"/>
              </w:rPr>
            </w:pPr>
            <w:r>
              <w:rPr>
                <w:rFonts w:hint="eastAsia" w:ascii="Times New Roman"/>
                <w:color w:val="auto"/>
                <w:sz w:val="21"/>
                <w:szCs w:val="21"/>
                <w:highlight w:val="none"/>
              </w:rPr>
              <w:t>磨损量</w:t>
            </w:r>
          </w:p>
        </w:tc>
        <w:tc>
          <w:tcPr>
            <w:tcW w:w="1643" w:type="dxa"/>
            <w:vAlign w:val="center"/>
          </w:tcPr>
          <w:p w14:paraId="035BA39A">
            <w:pPr>
              <w:shd w:val="clear"/>
              <w:spacing w:line="240" w:lineRule="auto"/>
              <w:ind w:firstLine="0" w:firstLineChars="0"/>
              <w:jc w:val="center"/>
              <w:rPr>
                <w:rFonts w:ascii="Times New Roman"/>
                <w:color w:val="auto"/>
                <w:sz w:val="21"/>
                <w:szCs w:val="21"/>
                <w:highlight w:val="none"/>
              </w:rPr>
            </w:pPr>
            <w:r>
              <w:rPr>
                <w:rFonts w:hint="eastAsia" w:ascii="Times New Roman"/>
                <w:color w:val="auto"/>
                <w:sz w:val="21"/>
                <w:szCs w:val="21"/>
                <w:highlight w:val="none"/>
              </w:rPr>
              <w:t>g</w:t>
            </w:r>
            <w:r>
              <w:rPr>
                <w:rFonts w:ascii="Times New Roman"/>
                <w:color w:val="auto"/>
                <w:sz w:val="21"/>
                <w:szCs w:val="21"/>
                <w:highlight w:val="none"/>
              </w:rPr>
              <w:t>/</w:t>
            </w:r>
            <w:r>
              <w:rPr>
                <w:rFonts w:hint="eastAsia" w:ascii="Times New Roman"/>
                <w:color w:val="auto"/>
                <w:sz w:val="21"/>
                <w:szCs w:val="21"/>
                <w:highlight w:val="none"/>
              </w:rPr>
              <w:t>c</w:t>
            </w:r>
            <w:r>
              <w:rPr>
                <w:rFonts w:ascii="Times New Roman"/>
                <w:color w:val="auto"/>
                <w:sz w:val="21"/>
                <w:szCs w:val="21"/>
                <w:highlight w:val="none"/>
              </w:rPr>
              <w:t>m</w:t>
            </w:r>
            <w:r>
              <w:rPr>
                <w:rFonts w:hint="eastAsia" w:ascii="Times New Roman"/>
                <w:color w:val="auto"/>
                <w:sz w:val="21"/>
                <w:szCs w:val="21"/>
                <w:highlight w:val="none"/>
                <w:vertAlign w:val="superscript"/>
              </w:rPr>
              <w:t>2</w:t>
            </w:r>
          </w:p>
        </w:tc>
        <w:tc>
          <w:tcPr>
            <w:tcW w:w="2805" w:type="dxa"/>
            <w:vAlign w:val="center"/>
          </w:tcPr>
          <w:p w14:paraId="3AA0C176">
            <w:pPr>
              <w:shd w:val="clear"/>
              <w:spacing w:line="240" w:lineRule="auto"/>
              <w:ind w:firstLine="0" w:firstLineChars="0"/>
              <w:jc w:val="center"/>
              <w:rPr>
                <w:rFonts w:ascii="Times New Roman"/>
                <w:color w:val="auto"/>
                <w:sz w:val="21"/>
                <w:szCs w:val="21"/>
                <w:highlight w:val="none"/>
              </w:rPr>
            </w:pPr>
            <w:r>
              <w:rPr>
                <w:rFonts w:hint="eastAsia" w:ascii="Times New Roman"/>
                <w:color w:val="auto"/>
                <w:sz w:val="21"/>
                <w:szCs w:val="21"/>
                <w:highlight w:val="none"/>
              </w:rPr>
              <w:t>≤0.01</w:t>
            </w:r>
          </w:p>
        </w:tc>
      </w:tr>
      <w:tr w14:paraId="48AC0A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rPr>
        <w:tc>
          <w:tcPr>
            <w:tcW w:w="934" w:type="dxa"/>
            <w:vAlign w:val="center"/>
          </w:tcPr>
          <w:p w14:paraId="758D89F4">
            <w:pPr>
              <w:shd w:val="clear"/>
              <w:spacing w:line="240" w:lineRule="auto"/>
              <w:ind w:firstLine="0" w:firstLineChars="0"/>
              <w:jc w:val="center"/>
              <w:rPr>
                <w:rFonts w:ascii="Times New Roman"/>
                <w:color w:val="auto"/>
                <w:sz w:val="21"/>
                <w:szCs w:val="21"/>
                <w:highlight w:val="none"/>
              </w:rPr>
            </w:pPr>
            <w:r>
              <w:rPr>
                <w:rFonts w:hint="eastAsia" w:ascii="Times New Roman"/>
                <w:color w:val="auto"/>
                <w:sz w:val="21"/>
                <w:szCs w:val="21"/>
                <w:highlight w:val="none"/>
              </w:rPr>
              <w:t>7</w:t>
            </w:r>
          </w:p>
        </w:tc>
        <w:tc>
          <w:tcPr>
            <w:tcW w:w="3140" w:type="dxa"/>
            <w:vAlign w:val="center"/>
          </w:tcPr>
          <w:p w14:paraId="742F5F8B">
            <w:pPr>
              <w:shd w:val="clear"/>
              <w:spacing w:line="240" w:lineRule="auto"/>
              <w:ind w:firstLine="0" w:firstLineChars="0"/>
              <w:rPr>
                <w:rFonts w:ascii="Times New Roman"/>
                <w:color w:val="auto"/>
                <w:sz w:val="21"/>
                <w:szCs w:val="21"/>
                <w:highlight w:val="none"/>
              </w:rPr>
            </w:pPr>
            <w:r>
              <w:rPr>
                <w:rFonts w:hint="eastAsia" w:ascii="Times New Roman"/>
                <w:color w:val="auto"/>
                <w:sz w:val="21"/>
                <w:szCs w:val="21"/>
                <w:highlight w:val="none"/>
              </w:rPr>
              <w:t>耐温性能</w:t>
            </w:r>
          </w:p>
        </w:tc>
        <w:tc>
          <w:tcPr>
            <w:tcW w:w="1643" w:type="dxa"/>
            <w:vAlign w:val="center"/>
          </w:tcPr>
          <w:p w14:paraId="10080A78">
            <w:pPr>
              <w:shd w:val="clear"/>
              <w:spacing w:line="240" w:lineRule="auto"/>
              <w:ind w:firstLine="0" w:firstLineChars="0"/>
              <w:jc w:val="center"/>
              <w:rPr>
                <w:rFonts w:ascii="Times New Roman"/>
                <w:color w:val="auto"/>
                <w:sz w:val="21"/>
                <w:szCs w:val="21"/>
                <w:highlight w:val="none"/>
              </w:rPr>
            </w:pPr>
            <w:r>
              <w:rPr>
                <w:rFonts w:hint="eastAsia" w:ascii="Times New Roman"/>
                <w:color w:val="auto"/>
                <w:sz w:val="21"/>
                <w:szCs w:val="21"/>
                <w:highlight w:val="none"/>
              </w:rPr>
              <w:t>℃</w:t>
            </w:r>
          </w:p>
        </w:tc>
        <w:tc>
          <w:tcPr>
            <w:tcW w:w="2805" w:type="dxa"/>
            <w:vAlign w:val="center"/>
          </w:tcPr>
          <w:p w14:paraId="23FCCAED">
            <w:pPr>
              <w:shd w:val="clear"/>
              <w:spacing w:line="240" w:lineRule="auto"/>
              <w:ind w:firstLine="0" w:firstLineChars="0"/>
              <w:jc w:val="center"/>
              <w:rPr>
                <w:rFonts w:ascii="Times New Roman"/>
                <w:color w:val="auto"/>
                <w:sz w:val="21"/>
                <w:szCs w:val="21"/>
                <w:highlight w:val="none"/>
              </w:rPr>
            </w:pPr>
            <w:r>
              <w:rPr>
                <w:rFonts w:hint="eastAsia" w:ascii="Times New Roman"/>
                <w:color w:val="auto"/>
                <w:sz w:val="21"/>
                <w:szCs w:val="21"/>
                <w:highlight w:val="none"/>
              </w:rPr>
              <w:t>≤600</w:t>
            </w:r>
          </w:p>
        </w:tc>
      </w:tr>
      <w:tr w14:paraId="108328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rPr>
        <w:tc>
          <w:tcPr>
            <w:tcW w:w="934" w:type="dxa"/>
            <w:vAlign w:val="center"/>
          </w:tcPr>
          <w:p w14:paraId="1B18D3A3">
            <w:pPr>
              <w:shd w:val="clear"/>
              <w:spacing w:line="240" w:lineRule="auto"/>
              <w:ind w:firstLine="0" w:firstLineChars="0"/>
              <w:jc w:val="center"/>
              <w:rPr>
                <w:rFonts w:ascii="Times New Roman"/>
                <w:color w:val="auto"/>
                <w:sz w:val="21"/>
                <w:szCs w:val="21"/>
                <w:highlight w:val="none"/>
              </w:rPr>
            </w:pPr>
            <w:r>
              <w:rPr>
                <w:rFonts w:hint="eastAsia" w:ascii="Times New Roman"/>
                <w:color w:val="auto"/>
                <w:sz w:val="21"/>
                <w:szCs w:val="21"/>
                <w:highlight w:val="none"/>
              </w:rPr>
              <w:t>8</w:t>
            </w:r>
          </w:p>
        </w:tc>
        <w:tc>
          <w:tcPr>
            <w:tcW w:w="3140" w:type="dxa"/>
            <w:vAlign w:val="center"/>
          </w:tcPr>
          <w:p w14:paraId="3125D68D">
            <w:pPr>
              <w:shd w:val="clear"/>
              <w:spacing w:line="240" w:lineRule="auto"/>
              <w:ind w:firstLine="0" w:firstLineChars="0"/>
              <w:rPr>
                <w:rFonts w:ascii="Times New Roman"/>
                <w:color w:val="auto"/>
                <w:sz w:val="21"/>
                <w:szCs w:val="21"/>
                <w:highlight w:val="none"/>
              </w:rPr>
            </w:pPr>
            <w:r>
              <w:rPr>
                <w:rFonts w:hint="eastAsia" w:ascii="Times New Roman"/>
                <w:color w:val="auto"/>
                <w:sz w:val="21"/>
                <w:szCs w:val="21"/>
                <w:highlight w:val="none"/>
              </w:rPr>
              <w:t>抗冲击强度</w:t>
            </w:r>
          </w:p>
        </w:tc>
        <w:tc>
          <w:tcPr>
            <w:tcW w:w="1643" w:type="dxa"/>
            <w:vAlign w:val="center"/>
          </w:tcPr>
          <w:p w14:paraId="3FCE7BAF">
            <w:pPr>
              <w:shd w:val="clear"/>
              <w:spacing w:line="240" w:lineRule="auto"/>
              <w:ind w:firstLine="0" w:firstLineChars="0"/>
              <w:jc w:val="center"/>
              <w:rPr>
                <w:rFonts w:ascii="Times New Roman"/>
                <w:color w:val="auto"/>
                <w:sz w:val="21"/>
                <w:szCs w:val="21"/>
                <w:highlight w:val="none"/>
              </w:rPr>
            </w:pPr>
            <w:r>
              <w:rPr>
                <w:rFonts w:hint="eastAsia" w:ascii="Times New Roman"/>
                <w:color w:val="auto"/>
                <w:sz w:val="21"/>
                <w:szCs w:val="21"/>
                <w:highlight w:val="none"/>
              </w:rPr>
              <w:t>J/</w:t>
            </w:r>
            <w:r>
              <w:rPr>
                <w:rFonts w:ascii="Times New Roman"/>
                <w:color w:val="auto"/>
                <w:sz w:val="21"/>
                <w:szCs w:val="21"/>
                <w:highlight w:val="none"/>
              </w:rPr>
              <w:t>m</w:t>
            </w:r>
            <w:r>
              <w:rPr>
                <w:rFonts w:hint="eastAsia" w:ascii="Times New Roman"/>
                <w:color w:val="auto"/>
                <w:sz w:val="21"/>
                <w:szCs w:val="21"/>
                <w:highlight w:val="none"/>
                <w:vertAlign w:val="superscript"/>
              </w:rPr>
              <w:t>2</w:t>
            </w:r>
          </w:p>
        </w:tc>
        <w:tc>
          <w:tcPr>
            <w:tcW w:w="2805" w:type="dxa"/>
            <w:vAlign w:val="center"/>
          </w:tcPr>
          <w:p w14:paraId="139C0D2A">
            <w:pPr>
              <w:shd w:val="clear"/>
              <w:spacing w:line="240" w:lineRule="auto"/>
              <w:ind w:firstLine="0" w:firstLineChars="0"/>
              <w:jc w:val="center"/>
              <w:rPr>
                <w:rFonts w:ascii="Times New Roman"/>
                <w:color w:val="auto"/>
                <w:sz w:val="21"/>
                <w:szCs w:val="21"/>
                <w:highlight w:val="none"/>
              </w:rPr>
            </w:pPr>
            <w:r>
              <w:rPr>
                <w:rFonts w:ascii="Times New Roman"/>
                <w:color w:val="auto"/>
                <w:sz w:val="21"/>
                <w:szCs w:val="21"/>
                <w:highlight w:val="none"/>
              </w:rPr>
              <w:t>≥</w:t>
            </w:r>
            <w:r>
              <w:rPr>
                <w:rFonts w:hint="eastAsia" w:ascii="Times New Roman"/>
                <w:color w:val="auto"/>
                <w:sz w:val="21"/>
                <w:szCs w:val="21"/>
                <w:highlight w:val="none"/>
              </w:rPr>
              <w:t>5000</w:t>
            </w:r>
          </w:p>
        </w:tc>
      </w:tr>
    </w:tbl>
    <w:p w14:paraId="68481029">
      <w:pPr>
        <w:shd w:val="clear"/>
        <w:ind w:firstLine="0" w:firstLineChars="0"/>
        <w:jc w:val="center"/>
        <w:rPr>
          <w:rFonts w:ascii="Times New Roman" w:hAnsi="Times New Roman" w:cs="Times New Roman"/>
          <w:bCs/>
          <w:color w:val="auto"/>
          <w:kern w:val="0"/>
          <w:szCs w:val="20"/>
          <w:highlight w:val="none"/>
        </w:rPr>
      </w:pPr>
      <w:r>
        <w:rPr>
          <w:rFonts w:hint="eastAsia" w:ascii="Times New Roman" w:hAnsi="Times New Roman" w:cs="Times New Roman"/>
          <w:bCs/>
          <w:color w:val="auto"/>
          <w:kern w:val="0"/>
          <w:szCs w:val="20"/>
          <w:highlight w:val="none"/>
        </w:rPr>
        <w:t>表2.2-</w:t>
      </w:r>
      <w:r>
        <w:rPr>
          <w:rFonts w:hint="eastAsia" w:ascii="Times New Roman" w:hAnsi="Times New Roman" w:cs="Times New Roman"/>
          <w:bCs/>
          <w:color w:val="auto"/>
          <w:kern w:val="0"/>
          <w:szCs w:val="20"/>
          <w:highlight w:val="none"/>
          <w:lang w:val="en-US" w:eastAsia="zh-CN"/>
        </w:rPr>
        <w:t>5</w:t>
      </w:r>
      <w:r>
        <w:rPr>
          <w:rFonts w:hint="eastAsia" w:ascii="Times New Roman" w:hAnsi="Times New Roman" w:cs="Times New Roman"/>
          <w:bCs/>
          <w:color w:val="auto"/>
          <w:kern w:val="0"/>
          <w:szCs w:val="20"/>
          <w:highlight w:val="none"/>
        </w:rPr>
        <w:t xml:space="preserve">  </w:t>
      </w:r>
      <w:r>
        <w:rPr>
          <w:rFonts w:hint="eastAsia"/>
          <w:bCs/>
          <w:color w:val="auto"/>
          <w:highlight w:val="none"/>
        </w:rPr>
        <w:t>复合耐磨衬板指标</w:t>
      </w:r>
    </w:p>
    <w:tbl>
      <w:tblPr>
        <w:tblStyle w:val="6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0"/>
        <w:gridCol w:w="7000"/>
      </w:tblGrid>
      <w:tr w14:paraId="3AA189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520" w:type="dxa"/>
            <w:vAlign w:val="center"/>
          </w:tcPr>
          <w:p w14:paraId="65E3678A">
            <w:pPr>
              <w:shd w:val="clear"/>
              <w:spacing w:line="240" w:lineRule="auto"/>
              <w:ind w:firstLine="0" w:firstLineChars="0"/>
              <w:jc w:val="center"/>
              <w:rPr>
                <w:bCs/>
                <w:color w:val="auto"/>
                <w:highlight w:val="none"/>
              </w:rPr>
            </w:pPr>
            <w:r>
              <w:rPr>
                <w:rFonts w:hint="eastAsia"/>
                <w:bCs/>
                <w:color w:val="auto"/>
                <w:highlight w:val="none"/>
              </w:rPr>
              <w:t>序号</w:t>
            </w:r>
          </w:p>
        </w:tc>
        <w:tc>
          <w:tcPr>
            <w:tcW w:w="7000" w:type="dxa"/>
            <w:vAlign w:val="center"/>
          </w:tcPr>
          <w:p w14:paraId="75545173">
            <w:pPr>
              <w:shd w:val="clear"/>
              <w:spacing w:line="240" w:lineRule="auto"/>
              <w:ind w:firstLine="0" w:firstLineChars="0"/>
              <w:jc w:val="both"/>
              <w:rPr>
                <w:bCs/>
                <w:color w:val="auto"/>
                <w:highlight w:val="none"/>
              </w:rPr>
            </w:pPr>
            <w:r>
              <w:rPr>
                <w:rFonts w:hint="eastAsia"/>
                <w:bCs/>
                <w:color w:val="auto"/>
                <w:highlight w:val="none"/>
              </w:rPr>
              <w:t>复合耐磨衬板主要技术参数</w:t>
            </w:r>
          </w:p>
        </w:tc>
      </w:tr>
      <w:tr w14:paraId="561425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520" w:type="dxa"/>
            <w:vAlign w:val="center"/>
          </w:tcPr>
          <w:p w14:paraId="473BA85E">
            <w:pPr>
              <w:shd w:val="clear"/>
              <w:spacing w:line="240" w:lineRule="auto"/>
              <w:ind w:firstLine="0" w:firstLineChars="0"/>
              <w:jc w:val="center"/>
              <w:rPr>
                <w:bCs/>
                <w:color w:val="auto"/>
                <w:highlight w:val="none"/>
              </w:rPr>
            </w:pPr>
            <w:r>
              <w:rPr>
                <w:rFonts w:hint="eastAsia"/>
                <w:bCs/>
                <w:color w:val="auto"/>
                <w:highlight w:val="none"/>
              </w:rPr>
              <w:t>1</w:t>
            </w:r>
          </w:p>
        </w:tc>
        <w:tc>
          <w:tcPr>
            <w:tcW w:w="7000" w:type="dxa"/>
            <w:vAlign w:val="center"/>
          </w:tcPr>
          <w:p w14:paraId="48336553">
            <w:pPr>
              <w:shd w:val="clear"/>
              <w:spacing w:line="240" w:lineRule="auto"/>
              <w:ind w:firstLine="0" w:firstLineChars="0"/>
              <w:jc w:val="both"/>
              <w:rPr>
                <w:bCs/>
                <w:color w:val="auto"/>
                <w:highlight w:val="none"/>
              </w:rPr>
            </w:pPr>
            <w:r>
              <w:rPr>
                <w:rFonts w:hint="eastAsia"/>
                <w:bCs/>
                <w:color w:val="auto"/>
                <w:highlight w:val="none"/>
              </w:rPr>
              <w:t>洛氏硬度</w:t>
            </w:r>
            <w:r>
              <w:rPr>
                <w:bCs/>
                <w:color w:val="auto"/>
                <w:highlight w:val="none"/>
              </w:rPr>
              <w:t>≥63</w:t>
            </w:r>
            <w:r>
              <w:rPr>
                <w:rFonts w:hint="eastAsia"/>
                <w:bCs/>
                <w:color w:val="auto"/>
                <w:highlight w:val="none"/>
              </w:rPr>
              <w:t>HRC</w:t>
            </w:r>
          </w:p>
        </w:tc>
      </w:tr>
      <w:tr w14:paraId="3F7F8F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520" w:type="dxa"/>
            <w:vAlign w:val="center"/>
          </w:tcPr>
          <w:p w14:paraId="24927D49">
            <w:pPr>
              <w:shd w:val="clear"/>
              <w:spacing w:line="240" w:lineRule="auto"/>
              <w:ind w:firstLine="0" w:firstLineChars="0"/>
              <w:jc w:val="center"/>
              <w:rPr>
                <w:bCs/>
                <w:color w:val="auto"/>
                <w:highlight w:val="none"/>
              </w:rPr>
            </w:pPr>
            <w:r>
              <w:rPr>
                <w:rFonts w:hint="eastAsia"/>
                <w:bCs/>
                <w:color w:val="auto"/>
                <w:highlight w:val="none"/>
              </w:rPr>
              <w:t>2</w:t>
            </w:r>
          </w:p>
        </w:tc>
        <w:tc>
          <w:tcPr>
            <w:tcW w:w="7000" w:type="dxa"/>
            <w:vAlign w:val="center"/>
          </w:tcPr>
          <w:p w14:paraId="64142A61">
            <w:pPr>
              <w:shd w:val="clear"/>
              <w:spacing w:line="240" w:lineRule="auto"/>
              <w:ind w:firstLine="0" w:firstLineChars="0"/>
              <w:jc w:val="both"/>
              <w:rPr>
                <w:bCs/>
                <w:color w:val="auto"/>
                <w:highlight w:val="none"/>
              </w:rPr>
            </w:pPr>
            <w:r>
              <w:rPr>
                <w:rFonts w:hint="eastAsia"/>
                <w:bCs/>
                <w:color w:val="auto"/>
                <w:highlight w:val="none"/>
              </w:rPr>
              <w:t>密度</w:t>
            </w:r>
            <w:r>
              <w:rPr>
                <w:bCs/>
                <w:color w:val="auto"/>
                <w:highlight w:val="none"/>
              </w:rPr>
              <w:t>≥7.78</w:t>
            </w:r>
            <w:r>
              <w:rPr>
                <w:rFonts w:hint="eastAsia"/>
                <w:bCs/>
                <w:color w:val="auto"/>
                <w:highlight w:val="none"/>
              </w:rPr>
              <w:t>g/cm</w:t>
            </w:r>
            <w:r>
              <w:rPr>
                <w:bCs/>
                <w:color w:val="auto"/>
                <w:highlight w:val="none"/>
                <w:vertAlign w:val="superscript"/>
              </w:rPr>
              <w:t>3</w:t>
            </w:r>
          </w:p>
        </w:tc>
      </w:tr>
      <w:tr w14:paraId="244848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520" w:type="dxa"/>
            <w:vAlign w:val="center"/>
          </w:tcPr>
          <w:p w14:paraId="6AFBBF19">
            <w:pPr>
              <w:shd w:val="clear"/>
              <w:spacing w:line="240" w:lineRule="auto"/>
              <w:ind w:firstLine="0" w:firstLineChars="0"/>
              <w:jc w:val="center"/>
              <w:rPr>
                <w:bCs/>
                <w:color w:val="auto"/>
                <w:highlight w:val="none"/>
              </w:rPr>
            </w:pPr>
            <w:r>
              <w:rPr>
                <w:rFonts w:hint="eastAsia"/>
                <w:bCs/>
                <w:color w:val="auto"/>
                <w:highlight w:val="none"/>
              </w:rPr>
              <w:t>3</w:t>
            </w:r>
          </w:p>
        </w:tc>
        <w:tc>
          <w:tcPr>
            <w:tcW w:w="7000" w:type="dxa"/>
            <w:vAlign w:val="center"/>
          </w:tcPr>
          <w:p w14:paraId="1E7C4ABF">
            <w:pPr>
              <w:shd w:val="clear"/>
              <w:spacing w:line="240" w:lineRule="auto"/>
              <w:ind w:firstLine="0" w:firstLineChars="0"/>
              <w:jc w:val="both"/>
              <w:rPr>
                <w:bCs/>
                <w:color w:val="auto"/>
                <w:highlight w:val="none"/>
              </w:rPr>
            </w:pPr>
            <w:r>
              <w:rPr>
                <w:rFonts w:hint="eastAsia"/>
                <w:bCs/>
                <w:color w:val="auto"/>
                <w:highlight w:val="none"/>
              </w:rPr>
              <w:t>抗冲击强度2</w:t>
            </w:r>
            <w:r>
              <w:rPr>
                <w:bCs/>
                <w:color w:val="auto"/>
                <w:highlight w:val="none"/>
              </w:rPr>
              <w:t>7</w:t>
            </w:r>
            <w:r>
              <w:rPr>
                <w:rFonts w:hint="eastAsia"/>
                <w:bCs/>
                <w:color w:val="auto"/>
                <w:highlight w:val="none"/>
              </w:rPr>
              <w:t>J/ cm</w:t>
            </w:r>
            <w:r>
              <w:rPr>
                <w:bCs/>
                <w:color w:val="auto"/>
                <w:highlight w:val="none"/>
                <w:vertAlign w:val="superscript"/>
              </w:rPr>
              <w:t>2</w:t>
            </w:r>
          </w:p>
        </w:tc>
      </w:tr>
      <w:tr w14:paraId="2DD6E4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520" w:type="dxa"/>
            <w:vAlign w:val="center"/>
          </w:tcPr>
          <w:p w14:paraId="1F98D0E4">
            <w:pPr>
              <w:shd w:val="clear"/>
              <w:spacing w:line="240" w:lineRule="auto"/>
              <w:ind w:firstLine="0" w:firstLineChars="0"/>
              <w:jc w:val="center"/>
              <w:rPr>
                <w:bCs/>
                <w:color w:val="auto"/>
                <w:highlight w:val="none"/>
              </w:rPr>
            </w:pPr>
            <w:r>
              <w:rPr>
                <w:rFonts w:hint="eastAsia"/>
                <w:bCs/>
                <w:color w:val="auto"/>
                <w:highlight w:val="none"/>
              </w:rPr>
              <w:t>4</w:t>
            </w:r>
          </w:p>
        </w:tc>
        <w:tc>
          <w:tcPr>
            <w:tcW w:w="7000" w:type="dxa"/>
            <w:vAlign w:val="center"/>
          </w:tcPr>
          <w:p w14:paraId="7997A785">
            <w:pPr>
              <w:shd w:val="clear"/>
              <w:spacing w:line="240" w:lineRule="auto"/>
              <w:ind w:firstLine="0" w:firstLineChars="0"/>
              <w:jc w:val="both"/>
              <w:rPr>
                <w:bCs/>
                <w:color w:val="auto"/>
                <w:highlight w:val="none"/>
              </w:rPr>
            </w:pPr>
            <w:r>
              <w:rPr>
                <w:rFonts w:hint="eastAsia"/>
                <w:bCs/>
                <w:color w:val="auto"/>
                <w:highlight w:val="none"/>
              </w:rPr>
              <w:t>抗压强度2</w:t>
            </w:r>
            <w:r>
              <w:rPr>
                <w:bCs/>
                <w:color w:val="auto"/>
                <w:highlight w:val="none"/>
              </w:rPr>
              <w:t>20</w:t>
            </w:r>
            <w:r>
              <w:rPr>
                <w:rFonts w:hint="eastAsia"/>
                <w:bCs/>
                <w:color w:val="auto"/>
                <w:highlight w:val="none"/>
              </w:rPr>
              <w:t xml:space="preserve"> Mpa</w:t>
            </w:r>
          </w:p>
        </w:tc>
      </w:tr>
    </w:tbl>
    <w:p w14:paraId="70B99894">
      <w:pPr>
        <w:shd w:val="clear"/>
        <w:rPr>
          <w:rFonts w:hint="eastAsia" w:ascii="Times New Roman" w:hAnsi="Times New Roman" w:cs="Times New Roman"/>
          <w:bCs/>
          <w:color w:val="auto"/>
          <w:kern w:val="0"/>
          <w:szCs w:val="20"/>
          <w:highlight w:val="none"/>
        </w:rPr>
      </w:pPr>
      <w:r>
        <w:rPr>
          <w:rFonts w:hint="eastAsia" w:ascii="Times New Roman" w:hAnsi="Times New Roman" w:cs="Times New Roman"/>
          <w:bCs/>
          <w:color w:val="auto"/>
          <w:kern w:val="0"/>
          <w:szCs w:val="20"/>
          <w:highlight w:val="none"/>
        </w:rPr>
        <w:t>（3）矿焦槽仓下闸门、给料机及振动筛全部更换。矿槽仓下闸门更换为电液动闸门；电液动闸门（机旁操作）采用20mm锰钢板355B，给料机采用25mm厚三合一陶瓷衬板，矿石振动筛采用振动电机驱动形式，焦槽仓下闸门更换手动闸门；两台焦炭振动筛采用激振器驱动形式，四台电机，两用两备，环保型振动筛利于改善振动筛密封效果并提高原燃料筛分效果，碎焦筛更换。振动筛的筛下溜槽根据配套振动筛重新设计更换，并设置料打料耐磨措施。筛上</w:t>
      </w:r>
      <w:r>
        <w:rPr>
          <w:rFonts w:hint="eastAsia" w:ascii="Times New Roman" w:hAnsi="Times New Roman" w:cs="Times New Roman"/>
          <w:bCs/>
          <w:color w:val="auto"/>
          <w:kern w:val="0"/>
          <w:szCs w:val="20"/>
          <w:highlight w:val="none"/>
          <w:lang w:val="en-US" w:eastAsia="zh-CN"/>
        </w:rPr>
        <w:t>物</w:t>
      </w:r>
      <w:r>
        <w:rPr>
          <w:rFonts w:hint="eastAsia" w:ascii="Times New Roman" w:hAnsi="Times New Roman" w:cs="Times New Roman"/>
          <w:bCs/>
          <w:color w:val="auto"/>
          <w:kern w:val="0"/>
          <w:szCs w:val="20"/>
          <w:highlight w:val="none"/>
        </w:rPr>
        <w:t>溜槽壳体利旧，衬板全部更换，</w:t>
      </w:r>
      <w:r>
        <w:rPr>
          <w:rFonts w:hint="eastAsia" w:ascii="Times New Roman" w:hAnsi="Times New Roman" w:cs="Times New Roman"/>
          <w:bCs/>
          <w:color w:val="auto"/>
          <w:kern w:val="0"/>
          <w:szCs w:val="20"/>
          <w:highlight w:val="none"/>
          <w:lang w:val="en-US" w:eastAsia="zh-CN"/>
        </w:rPr>
        <w:t>采用25mm厚</w:t>
      </w:r>
      <w:r>
        <w:rPr>
          <w:rFonts w:hint="eastAsia" w:ascii="Times New Roman" w:hAnsi="Times New Roman" w:cs="Times New Roman"/>
          <w:bCs/>
          <w:color w:val="auto"/>
          <w:kern w:val="0"/>
          <w:szCs w:val="20"/>
          <w:highlight w:val="none"/>
        </w:rPr>
        <w:t>三合一陶瓷衬板，指标见表2.2-</w:t>
      </w:r>
      <w:r>
        <w:rPr>
          <w:rFonts w:hint="eastAsia" w:ascii="Times New Roman" w:hAnsi="Times New Roman" w:cs="Times New Roman"/>
          <w:bCs/>
          <w:color w:val="auto"/>
          <w:kern w:val="0"/>
          <w:szCs w:val="20"/>
          <w:highlight w:val="none"/>
          <w:lang w:val="en-US" w:eastAsia="zh-CN"/>
        </w:rPr>
        <w:t>6</w:t>
      </w:r>
      <w:r>
        <w:rPr>
          <w:rFonts w:hint="eastAsia" w:ascii="Times New Roman" w:hAnsi="Times New Roman" w:cs="Times New Roman"/>
          <w:bCs/>
          <w:color w:val="auto"/>
          <w:kern w:val="0"/>
          <w:szCs w:val="20"/>
          <w:highlight w:val="none"/>
        </w:rPr>
        <w:t>；筛上</w:t>
      </w:r>
      <w:r>
        <w:rPr>
          <w:rFonts w:hint="eastAsia" w:ascii="Times New Roman" w:hAnsi="Times New Roman" w:cs="Times New Roman"/>
          <w:bCs/>
          <w:color w:val="auto"/>
          <w:kern w:val="0"/>
          <w:szCs w:val="20"/>
          <w:highlight w:val="none"/>
          <w:lang w:val="en-US" w:eastAsia="zh-CN"/>
        </w:rPr>
        <w:t>物</w:t>
      </w:r>
      <w:r>
        <w:rPr>
          <w:rFonts w:hint="eastAsia" w:ascii="Times New Roman" w:hAnsi="Times New Roman" w:cs="Times New Roman"/>
          <w:bCs/>
          <w:color w:val="auto"/>
          <w:kern w:val="0"/>
          <w:szCs w:val="20"/>
          <w:highlight w:val="none"/>
        </w:rPr>
        <w:t>溜槽需根据振动筛筛上溜槽接口改造密封。</w:t>
      </w:r>
    </w:p>
    <w:p w14:paraId="4C7D240E">
      <w:pPr>
        <w:shd w:val="clear"/>
        <w:ind w:firstLine="0" w:firstLineChars="0"/>
        <w:jc w:val="center"/>
        <w:rPr>
          <w:rFonts w:ascii="Times New Roman" w:hAnsi="Times New Roman" w:cs="Times New Roman"/>
          <w:bCs/>
          <w:color w:val="auto"/>
          <w:kern w:val="0"/>
          <w:szCs w:val="20"/>
          <w:highlight w:val="none"/>
        </w:rPr>
      </w:pPr>
      <w:r>
        <w:rPr>
          <w:rFonts w:hint="eastAsia" w:ascii="Times New Roman" w:hAnsi="Times New Roman" w:cs="Times New Roman"/>
          <w:bCs/>
          <w:color w:val="auto"/>
          <w:kern w:val="0"/>
          <w:szCs w:val="20"/>
          <w:highlight w:val="none"/>
        </w:rPr>
        <w:t>表2.2-</w:t>
      </w:r>
      <w:r>
        <w:rPr>
          <w:rFonts w:hint="eastAsia" w:ascii="Times New Roman" w:hAnsi="Times New Roman" w:cs="Times New Roman"/>
          <w:bCs/>
          <w:color w:val="auto"/>
          <w:kern w:val="0"/>
          <w:szCs w:val="20"/>
          <w:highlight w:val="none"/>
          <w:lang w:val="en-US" w:eastAsia="zh-CN"/>
        </w:rPr>
        <w:t>6</w:t>
      </w:r>
      <w:r>
        <w:rPr>
          <w:rFonts w:hint="eastAsia" w:ascii="Times New Roman" w:hAnsi="Times New Roman" w:cs="Times New Roman"/>
          <w:bCs/>
          <w:color w:val="auto"/>
          <w:kern w:val="0"/>
          <w:szCs w:val="20"/>
          <w:highlight w:val="none"/>
        </w:rPr>
        <w:t xml:space="preserve">  </w:t>
      </w:r>
      <w:r>
        <w:rPr>
          <w:rFonts w:hint="eastAsia"/>
          <w:bCs/>
          <w:color w:val="auto"/>
          <w:highlight w:val="none"/>
        </w:rPr>
        <w:t>陶瓷复合衬板指标</w:t>
      </w:r>
    </w:p>
    <w:tbl>
      <w:tblPr>
        <w:tblStyle w:val="6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0"/>
        <w:gridCol w:w="7000"/>
      </w:tblGrid>
      <w:tr w14:paraId="7C628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520" w:type="dxa"/>
            <w:vAlign w:val="center"/>
          </w:tcPr>
          <w:p w14:paraId="13464154">
            <w:pPr>
              <w:shd w:val="clear"/>
              <w:spacing w:line="240" w:lineRule="auto"/>
              <w:ind w:firstLine="0" w:firstLineChars="0"/>
              <w:jc w:val="center"/>
              <w:rPr>
                <w:bCs/>
                <w:color w:val="auto"/>
                <w:highlight w:val="none"/>
              </w:rPr>
            </w:pPr>
            <w:r>
              <w:rPr>
                <w:rFonts w:hint="eastAsia"/>
                <w:bCs/>
                <w:color w:val="auto"/>
                <w:highlight w:val="none"/>
              </w:rPr>
              <w:t>序号</w:t>
            </w:r>
          </w:p>
        </w:tc>
        <w:tc>
          <w:tcPr>
            <w:tcW w:w="7000" w:type="dxa"/>
            <w:vAlign w:val="center"/>
          </w:tcPr>
          <w:p w14:paraId="7B420121">
            <w:pPr>
              <w:shd w:val="clear"/>
              <w:spacing w:line="240" w:lineRule="auto"/>
              <w:ind w:firstLine="0" w:firstLineChars="0"/>
              <w:jc w:val="both"/>
              <w:rPr>
                <w:bCs/>
                <w:color w:val="auto"/>
                <w:highlight w:val="none"/>
              </w:rPr>
            </w:pPr>
            <w:r>
              <w:rPr>
                <w:rFonts w:hint="eastAsia"/>
                <w:bCs/>
                <w:color w:val="auto"/>
                <w:highlight w:val="none"/>
              </w:rPr>
              <w:t>橡胶陶瓷复合衬板技术指标</w:t>
            </w:r>
          </w:p>
        </w:tc>
      </w:tr>
      <w:tr w14:paraId="6301D5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520" w:type="dxa"/>
            <w:vAlign w:val="center"/>
          </w:tcPr>
          <w:p w14:paraId="2ACBBE86">
            <w:pPr>
              <w:shd w:val="clear"/>
              <w:spacing w:line="240" w:lineRule="auto"/>
              <w:ind w:firstLine="0" w:firstLineChars="0"/>
              <w:jc w:val="center"/>
              <w:rPr>
                <w:bCs/>
                <w:color w:val="auto"/>
                <w:highlight w:val="none"/>
              </w:rPr>
            </w:pPr>
            <w:r>
              <w:rPr>
                <w:rFonts w:hint="eastAsia"/>
                <w:bCs/>
                <w:color w:val="auto"/>
                <w:highlight w:val="none"/>
              </w:rPr>
              <w:t>1</w:t>
            </w:r>
          </w:p>
        </w:tc>
        <w:tc>
          <w:tcPr>
            <w:tcW w:w="7000" w:type="dxa"/>
            <w:vAlign w:val="center"/>
          </w:tcPr>
          <w:p w14:paraId="19FFE53E">
            <w:pPr>
              <w:shd w:val="clear"/>
              <w:spacing w:line="240" w:lineRule="auto"/>
              <w:ind w:firstLine="0" w:firstLineChars="0"/>
              <w:jc w:val="both"/>
              <w:rPr>
                <w:bCs/>
                <w:color w:val="auto"/>
                <w:highlight w:val="none"/>
              </w:rPr>
            </w:pPr>
            <w:r>
              <w:rPr>
                <w:rFonts w:hint="eastAsia"/>
                <w:bCs/>
                <w:color w:val="auto"/>
                <w:highlight w:val="none"/>
              </w:rPr>
              <w:t>扯断强度&gt;16Mpa</w:t>
            </w:r>
          </w:p>
        </w:tc>
      </w:tr>
      <w:tr w14:paraId="5EB441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520" w:type="dxa"/>
            <w:vAlign w:val="center"/>
          </w:tcPr>
          <w:p w14:paraId="2BB63270">
            <w:pPr>
              <w:shd w:val="clear"/>
              <w:spacing w:line="240" w:lineRule="auto"/>
              <w:ind w:firstLine="0" w:firstLineChars="0"/>
              <w:jc w:val="center"/>
              <w:rPr>
                <w:bCs/>
                <w:color w:val="auto"/>
                <w:highlight w:val="none"/>
              </w:rPr>
            </w:pPr>
            <w:r>
              <w:rPr>
                <w:rFonts w:hint="eastAsia"/>
                <w:bCs/>
                <w:color w:val="auto"/>
                <w:highlight w:val="none"/>
              </w:rPr>
              <w:t>2</w:t>
            </w:r>
          </w:p>
        </w:tc>
        <w:tc>
          <w:tcPr>
            <w:tcW w:w="7000" w:type="dxa"/>
            <w:vAlign w:val="center"/>
          </w:tcPr>
          <w:p w14:paraId="7B84636A">
            <w:pPr>
              <w:shd w:val="clear"/>
              <w:spacing w:line="240" w:lineRule="auto"/>
              <w:ind w:firstLine="0" w:firstLineChars="0"/>
              <w:jc w:val="both"/>
              <w:rPr>
                <w:bCs/>
                <w:color w:val="auto"/>
                <w:highlight w:val="none"/>
              </w:rPr>
            </w:pPr>
            <w:r>
              <w:rPr>
                <w:rFonts w:hint="eastAsia"/>
                <w:bCs/>
                <w:color w:val="auto"/>
                <w:highlight w:val="none"/>
              </w:rPr>
              <w:t>邵氏硬度(度)≥60</w:t>
            </w:r>
          </w:p>
        </w:tc>
      </w:tr>
      <w:tr w14:paraId="75E005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520" w:type="dxa"/>
            <w:vAlign w:val="center"/>
          </w:tcPr>
          <w:p w14:paraId="0222DFBF">
            <w:pPr>
              <w:shd w:val="clear"/>
              <w:spacing w:line="240" w:lineRule="auto"/>
              <w:ind w:firstLine="0" w:firstLineChars="0"/>
              <w:jc w:val="center"/>
              <w:rPr>
                <w:bCs/>
                <w:color w:val="auto"/>
                <w:highlight w:val="none"/>
              </w:rPr>
            </w:pPr>
            <w:r>
              <w:rPr>
                <w:rFonts w:hint="eastAsia"/>
                <w:bCs/>
                <w:color w:val="auto"/>
                <w:highlight w:val="none"/>
              </w:rPr>
              <w:t>3</w:t>
            </w:r>
          </w:p>
        </w:tc>
        <w:tc>
          <w:tcPr>
            <w:tcW w:w="7000" w:type="dxa"/>
            <w:vAlign w:val="center"/>
          </w:tcPr>
          <w:p w14:paraId="6E999220">
            <w:pPr>
              <w:shd w:val="clear"/>
              <w:spacing w:line="240" w:lineRule="auto"/>
              <w:ind w:firstLine="0" w:firstLineChars="0"/>
              <w:jc w:val="both"/>
              <w:rPr>
                <w:bCs/>
                <w:color w:val="auto"/>
                <w:highlight w:val="none"/>
              </w:rPr>
            </w:pPr>
            <w:r>
              <w:rPr>
                <w:rFonts w:hint="eastAsia"/>
                <w:bCs/>
                <w:color w:val="auto"/>
                <w:highlight w:val="none"/>
              </w:rPr>
              <w:t>扯断永久变形(%)≥24</w:t>
            </w:r>
          </w:p>
        </w:tc>
      </w:tr>
      <w:tr w14:paraId="0E068C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520" w:type="dxa"/>
            <w:vAlign w:val="center"/>
          </w:tcPr>
          <w:p w14:paraId="39F4F1FA">
            <w:pPr>
              <w:shd w:val="clear"/>
              <w:spacing w:line="240" w:lineRule="auto"/>
              <w:ind w:firstLine="0" w:firstLineChars="0"/>
              <w:jc w:val="center"/>
              <w:rPr>
                <w:bCs/>
                <w:color w:val="auto"/>
                <w:highlight w:val="none"/>
              </w:rPr>
            </w:pPr>
            <w:r>
              <w:rPr>
                <w:rFonts w:hint="eastAsia"/>
                <w:bCs/>
                <w:color w:val="auto"/>
                <w:highlight w:val="none"/>
              </w:rPr>
              <w:t>4</w:t>
            </w:r>
          </w:p>
        </w:tc>
        <w:tc>
          <w:tcPr>
            <w:tcW w:w="7000" w:type="dxa"/>
            <w:vAlign w:val="center"/>
          </w:tcPr>
          <w:p w14:paraId="3090B21C">
            <w:pPr>
              <w:shd w:val="clear"/>
              <w:spacing w:line="240" w:lineRule="auto"/>
              <w:ind w:firstLine="0" w:firstLineChars="0"/>
              <w:jc w:val="both"/>
              <w:rPr>
                <w:bCs/>
                <w:color w:val="auto"/>
                <w:highlight w:val="none"/>
              </w:rPr>
            </w:pPr>
            <w:r>
              <w:rPr>
                <w:rFonts w:hint="eastAsia"/>
                <w:bCs/>
                <w:color w:val="auto"/>
                <w:highlight w:val="none"/>
              </w:rPr>
              <w:t>橡胶与陶瓷粘合力(Maa)(剪切应力)≥3.0</w:t>
            </w:r>
          </w:p>
        </w:tc>
      </w:tr>
    </w:tbl>
    <w:p w14:paraId="3769CC2C">
      <w:pPr>
        <w:shd w:val="clear"/>
        <w:rPr>
          <w:rFonts w:ascii="Times New Roman" w:hAnsi="Times New Roman" w:cs="Times New Roman"/>
          <w:bCs/>
          <w:color w:val="auto"/>
          <w:kern w:val="0"/>
          <w:szCs w:val="20"/>
          <w:highlight w:val="none"/>
        </w:rPr>
      </w:pPr>
      <w:r>
        <w:rPr>
          <w:rFonts w:hint="eastAsia"/>
          <w:color w:val="auto"/>
          <w:highlight w:val="none"/>
        </w:rPr>
        <w:t>（4）矿石集中称量斗、焦炭集中称量斗内衬全部更换，</w:t>
      </w:r>
      <w:r>
        <w:rPr>
          <w:rFonts w:hint="eastAsia" w:ascii="Times New Roman" w:hAnsi="Times New Roman" w:cs="Times New Roman"/>
          <w:bCs/>
          <w:color w:val="auto"/>
          <w:kern w:val="0"/>
          <w:szCs w:val="20"/>
          <w:highlight w:val="none"/>
        </w:rPr>
        <w:t>采用</w:t>
      </w:r>
      <w:r>
        <w:rPr>
          <w:rFonts w:hint="eastAsia" w:ascii="Times New Roman" w:hAnsi="Times New Roman" w:cs="Times New Roman"/>
          <w:bCs/>
          <w:color w:val="auto"/>
          <w:kern w:val="0"/>
          <w:szCs w:val="20"/>
          <w:highlight w:val="none"/>
          <w:lang w:val="en-US" w:eastAsia="zh-CN"/>
        </w:rPr>
        <w:t>30mm厚</w:t>
      </w:r>
      <w:r>
        <w:rPr>
          <w:rFonts w:hint="eastAsia" w:ascii="Times New Roman" w:hAnsi="Times New Roman" w:cs="Times New Roman"/>
          <w:bCs/>
          <w:color w:val="auto"/>
          <w:kern w:val="0"/>
          <w:szCs w:val="20"/>
          <w:highlight w:val="none"/>
        </w:rPr>
        <w:t>复合合金衬板，指标见表2.2-4，</w:t>
      </w:r>
      <w:r>
        <w:rPr>
          <w:rFonts w:hint="eastAsia" w:ascii="Times New Roman" w:hAnsi="Times New Roman" w:cs="Times New Roman"/>
          <w:bCs/>
          <w:color w:val="auto"/>
          <w:kern w:val="0"/>
          <w:szCs w:val="20"/>
          <w:highlight w:val="none"/>
          <w:lang w:val="en-US" w:eastAsia="zh-CN"/>
        </w:rPr>
        <w:t>落料点采用料打料</w:t>
      </w:r>
      <w:r>
        <w:rPr>
          <w:rFonts w:hint="eastAsia" w:ascii="Arial" w:hAnsi="Arial"/>
          <w:color w:val="auto"/>
          <w:szCs w:val="21"/>
          <w:highlight w:val="none"/>
        </w:rPr>
        <w:t>厚度</w:t>
      </w:r>
      <w:r>
        <w:rPr>
          <w:rFonts w:hint="eastAsia" w:ascii="Arial" w:hAnsi="Arial"/>
          <w:color w:val="auto"/>
          <w:szCs w:val="21"/>
          <w:highlight w:val="none"/>
          <w:lang w:val="en-US" w:eastAsia="zh-CN"/>
        </w:rPr>
        <w:t>、宽度、间距均为</w:t>
      </w:r>
      <w:r>
        <w:rPr>
          <w:rFonts w:hint="eastAsia" w:ascii="Arial" w:hAnsi="Arial"/>
          <w:color w:val="auto"/>
          <w:szCs w:val="21"/>
          <w:highlight w:val="none"/>
        </w:rPr>
        <w:t>50mm；</w:t>
      </w:r>
      <w:r>
        <w:rPr>
          <w:rFonts w:hint="eastAsia" w:ascii="Times New Roman" w:hAnsi="Times New Roman" w:cs="Times New Roman"/>
          <w:bCs/>
          <w:color w:val="auto"/>
          <w:kern w:val="0"/>
          <w:szCs w:val="20"/>
          <w:highlight w:val="none"/>
        </w:rPr>
        <w:t>更换四台称量斗下液压闸门。</w:t>
      </w:r>
    </w:p>
    <w:p w14:paraId="211AFC99">
      <w:pPr>
        <w:shd w:val="clear"/>
        <w:rPr>
          <w:rFonts w:ascii="Times New Roman" w:hAnsi="Times New Roman" w:cs="Times New Roman"/>
          <w:bCs/>
          <w:color w:val="auto"/>
          <w:kern w:val="0"/>
          <w:szCs w:val="20"/>
          <w:highlight w:val="none"/>
        </w:rPr>
      </w:pPr>
      <w:r>
        <w:rPr>
          <w:rFonts w:hint="eastAsia"/>
          <w:color w:val="auto"/>
          <w:highlight w:val="none"/>
        </w:rPr>
        <w:t>（5）</w:t>
      </w:r>
      <w:r>
        <w:rPr>
          <w:rFonts w:hint="eastAsia" w:ascii="Times New Roman" w:hAnsi="Times New Roman" w:cs="Times New Roman"/>
          <w:bCs/>
          <w:color w:val="auto"/>
          <w:kern w:val="0"/>
          <w:szCs w:val="20"/>
          <w:highlight w:val="none"/>
        </w:rPr>
        <w:t>矿石环保型振动筛：环保型振动筛由筛箱、筛网、防尘罩、振动电机、主振弹簧、减振弹簧、支座等组成；工作时振动电机作为激振源驱动。振动筛采用振动电机形式，减小了参振质量，激振力可以随之减小，有利于节能降耗，振动电机一年内免维护，无需加油。</w:t>
      </w:r>
    </w:p>
    <w:p w14:paraId="610CC5E4">
      <w:pPr>
        <w:shd w:val="clear"/>
        <w:rPr>
          <w:rFonts w:ascii="Arial" w:hAnsi="Arial"/>
          <w:color w:val="auto"/>
          <w:szCs w:val="21"/>
          <w:highlight w:val="none"/>
        </w:rPr>
      </w:pPr>
      <w:r>
        <w:rPr>
          <w:rFonts w:hint="eastAsia"/>
          <w:color w:val="auto"/>
          <w:highlight w:val="none"/>
        </w:rPr>
        <w:t>（</w:t>
      </w:r>
      <w:r>
        <w:rPr>
          <w:rFonts w:hint="eastAsia"/>
          <w:color w:val="auto"/>
          <w:highlight w:val="none"/>
          <w:lang w:val="en-US" w:eastAsia="zh-CN"/>
        </w:rPr>
        <w:t>6</w:t>
      </w:r>
      <w:r>
        <w:rPr>
          <w:rFonts w:hint="eastAsia"/>
          <w:color w:val="auto"/>
          <w:highlight w:val="none"/>
        </w:rPr>
        <w:t>）</w:t>
      </w:r>
      <w:r>
        <w:rPr>
          <w:rFonts w:hint="eastAsia" w:ascii="Arial" w:hAnsi="Arial"/>
          <w:color w:val="auto"/>
          <w:szCs w:val="21"/>
          <w:highlight w:val="none"/>
        </w:rPr>
        <w:t>槽下南北上料带式输送机：机架加固，托辊及托棍支架整体原样更换各1</w:t>
      </w:r>
      <w:r>
        <w:rPr>
          <w:rFonts w:ascii="Arial" w:hAnsi="Arial"/>
          <w:color w:val="auto"/>
          <w:szCs w:val="21"/>
          <w:highlight w:val="none"/>
        </w:rPr>
        <w:t>0</w:t>
      </w:r>
      <w:r>
        <w:rPr>
          <w:rFonts w:hint="eastAsia" w:ascii="Arial" w:hAnsi="Arial"/>
          <w:color w:val="auto"/>
          <w:szCs w:val="21"/>
          <w:highlight w:val="none"/>
        </w:rPr>
        <w:t>组，胶带更换，带式输送机机头、机尾滚筒更换，电机及减速机利旧，全程增加导料槽及防护网（B</w:t>
      </w:r>
      <w:r>
        <w:rPr>
          <w:rFonts w:ascii="Arial" w:hAnsi="Arial"/>
          <w:color w:val="auto"/>
          <w:szCs w:val="21"/>
          <w:highlight w:val="none"/>
        </w:rPr>
        <w:t>=800m</w:t>
      </w:r>
      <w:r>
        <w:rPr>
          <w:rFonts w:hint="eastAsia" w:ascii="Arial" w:hAnsi="Arial"/>
          <w:color w:val="auto"/>
          <w:szCs w:val="21"/>
          <w:highlight w:val="none"/>
        </w:rPr>
        <w:t>，L</w:t>
      </w:r>
      <w:r>
        <w:rPr>
          <w:rFonts w:ascii="Arial" w:hAnsi="Arial"/>
          <w:color w:val="auto"/>
          <w:szCs w:val="21"/>
          <w:highlight w:val="none"/>
        </w:rPr>
        <w:t>=35m</w:t>
      </w:r>
      <w:r>
        <w:rPr>
          <w:rFonts w:hint="eastAsia" w:ascii="Arial" w:hAnsi="Arial"/>
          <w:color w:val="auto"/>
          <w:szCs w:val="21"/>
          <w:highlight w:val="none"/>
        </w:rPr>
        <w:t>），皮带机拉绳、跑偏装置利旧，增加打滑检测、溜槽防堵料装置、纵向防撕裂、声光报警装置，南北上料带式输送机采用三道头部清扫器，一级一道EXHD重型聚氨酯一级清扫器，二级一道合金橡胶二级清扫器，三级一道橡胶清扫器。</w:t>
      </w:r>
    </w:p>
    <w:p w14:paraId="31C6D9FC">
      <w:pPr>
        <w:widowControl/>
        <w:shd w:val="clear"/>
        <w:spacing w:before="157" w:beforeLines="50"/>
        <w:rPr>
          <w:rFonts w:hint="eastAsia" w:ascii="Arial" w:hAnsi="Arial"/>
          <w:color w:val="auto"/>
          <w:szCs w:val="21"/>
          <w:highlight w:val="none"/>
        </w:rPr>
      </w:pPr>
      <w:r>
        <w:rPr>
          <w:rFonts w:hint="eastAsia"/>
          <w:color w:val="auto"/>
          <w:highlight w:val="none"/>
        </w:rPr>
        <w:t>（</w:t>
      </w:r>
      <w:r>
        <w:rPr>
          <w:rFonts w:hint="eastAsia"/>
          <w:color w:val="auto"/>
          <w:highlight w:val="none"/>
          <w:lang w:val="en-US" w:eastAsia="zh-CN"/>
        </w:rPr>
        <w:t>7</w:t>
      </w:r>
      <w:r>
        <w:rPr>
          <w:rFonts w:hint="eastAsia"/>
          <w:color w:val="auto"/>
          <w:highlight w:val="none"/>
        </w:rPr>
        <w:t>）</w:t>
      </w:r>
      <w:r>
        <w:rPr>
          <w:rFonts w:hint="eastAsia" w:ascii="Arial" w:hAnsi="Arial"/>
          <w:color w:val="auto"/>
          <w:szCs w:val="21"/>
          <w:highlight w:val="none"/>
        </w:rPr>
        <w:t>恢复废钢加入设施，废钢皮带机机架加固，皮带通廊封闭，汽车卸料点封闭，增加相关除尘点。废钢仓汽车卸料槽封闭应能容纳整个车辆，</w:t>
      </w:r>
      <w:r>
        <w:rPr>
          <w:rFonts w:hint="eastAsia" w:ascii="Arial" w:hAnsi="Arial"/>
          <w:color w:val="auto"/>
          <w:szCs w:val="21"/>
          <w:highlight w:val="none"/>
          <w:lang w:val="en-US" w:eastAsia="zh-CN"/>
        </w:rPr>
        <w:t>实现封闭卸车，</w:t>
      </w:r>
      <w:r>
        <w:rPr>
          <w:rFonts w:hint="eastAsia" w:ascii="Arial" w:hAnsi="Arial"/>
          <w:color w:val="auto"/>
          <w:szCs w:val="21"/>
          <w:highlight w:val="none"/>
        </w:rPr>
        <w:t>并配置集尘罩；废钢回供车辆为自卸车，车辆转弯半径大于12米。废钢仓汽车卸料槽封闭，废钢仓仓口新增振动给料机，废钢皮带机全程防护网，全程导料槽</w:t>
      </w:r>
      <w:r>
        <w:rPr>
          <w:rFonts w:hint="eastAsia" w:ascii="Arial" w:hAnsi="Arial"/>
          <w:color w:val="auto"/>
          <w:szCs w:val="21"/>
          <w:highlight w:val="none"/>
          <w:lang w:eastAsia="zh-CN"/>
        </w:rPr>
        <w:t>，</w:t>
      </w:r>
      <w:r>
        <w:rPr>
          <w:rFonts w:hint="eastAsia" w:ascii="Arial" w:hAnsi="Arial"/>
          <w:color w:val="auto"/>
          <w:szCs w:val="21"/>
          <w:highlight w:val="none"/>
          <w:lang w:val="en-US" w:eastAsia="zh-CN"/>
        </w:rPr>
        <w:t>废钢</w:t>
      </w:r>
      <w:r>
        <w:rPr>
          <w:rFonts w:hint="eastAsia" w:ascii="Arial" w:hAnsi="Arial"/>
          <w:color w:val="auto"/>
          <w:szCs w:val="21"/>
          <w:highlight w:val="none"/>
        </w:rPr>
        <w:t>皮带机拉绳、跑偏装置保护性拆除</w:t>
      </w:r>
      <w:r>
        <w:rPr>
          <w:rFonts w:hint="eastAsia" w:ascii="Arial" w:hAnsi="Arial"/>
          <w:color w:val="auto"/>
          <w:szCs w:val="21"/>
          <w:highlight w:val="none"/>
          <w:lang w:val="en-US" w:eastAsia="zh-CN"/>
        </w:rPr>
        <w:t>后</w:t>
      </w:r>
      <w:r>
        <w:rPr>
          <w:rFonts w:hint="eastAsia" w:ascii="Arial" w:hAnsi="Arial"/>
          <w:color w:val="auto"/>
          <w:szCs w:val="21"/>
          <w:highlight w:val="none"/>
        </w:rPr>
        <w:t>再恢复，增加打滑检测、溜槽防堵料装置、声光报警、纵向防撕裂装置</w:t>
      </w:r>
      <w:r>
        <w:rPr>
          <w:rFonts w:hint="eastAsia" w:ascii="Arial" w:hAnsi="Arial"/>
          <w:color w:val="auto"/>
          <w:szCs w:val="21"/>
          <w:highlight w:val="none"/>
          <w:lang w:eastAsia="zh-CN"/>
        </w:rPr>
        <w:t>，</w:t>
      </w:r>
      <w:r>
        <w:rPr>
          <w:rFonts w:hint="eastAsia" w:ascii="Arial" w:hAnsi="Arial"/>
          <w:color w:val="auto"/>
          <w:szCs w:val="21"/>
          <w:highlight w:val="none"/>
        </w:rPr>
        <w:t>废钢皮带机加固量</w:t>
      </w:r>
      <w:r>
        <w:rPr>
          <w:rFonts w:hint="eastAsia" w:ascii="Arial" w:hAnsi="Arial"/>
          <w:color w:val="auto"/>
          <w:szCs w:val="21"/>
          <w:highlight w:val="none"/>
          <w:lang w:val="en-US" w:eastAsia="zh-CN"/>
        </w:rPr>
        <w:t>暂</w:t>
      </w:r>
      <w:r>
        <w:rPr>
          <w:rFonts w:hint="eastAsia" w:ascii="Arial" w:hAnsi="Arial"/>
          <w:color w:val="auto"/>
          <w:szCs w:val="21"/>
          <w:highlight w:val="none"/>
        </w:rPr>
        <w:t>按皮带机重量20%考虑。</w:t>
      </w:r>
    </w:p>
    <w:p w14:paraId="4282978F">
      <w:pPr>
        <w:widowControl/>
        <w:shd w:val="clear"/>
        <w:spacing w:before="157" w:beforeLines="50"/>
        <w:rPr>
          <w:rFonts w:hint="default" w:ascii="Arial" w:hAnsi="Arial" w:eastAsia="宋体"/>
          <w:color w:val="auto"/>
          <w:szCs w:val="21"/>
          <w:highlight w:val="none"/>
          <w:lang w:val="en-US" w:eastAsia="zh-CN"/>
        </w:rPr>
      </w:pPr>
      <w:r>
        <w:rPr>
          <w:rFonts w:hint="eastAsia" w:ascii="Arial" w:hAnsi="Arial"/>
          <w:color w:val="auto"/>
          <w:szCs w:val="21"/>
          <w:highlight w:val="none"/>
        </w:rPr>
        <w:t>（</w:t>
      </w:r>
      <w:r>
        <w:rPr>
          <w:rFonts w:hint="eastAsia" w:ascii="Arial" w:hAnsi="Arial"/>
          <w:color w:val="auto"/>
          <w:szCs w:val="21"/>
          <w:highlight w:val="none"/>
          <w:lang w:val="en-US" w:eastAsia="zh-CN"/>
        </w:rPr>
        <w:t>8</w:t>
      </w:r>
      <w:r>
        <w:rPr>
          <w:rFonts w:hint="eastAsia" w:ascii="Arial" w:hAnsi="Arial"/>
          <w:color w:val="auto"/>
          <w:szCs w:val="21"/>
          <w:highlight w:val="none"/>
        </w:rPr>
        <w:t>）振动筛钢结构平台部分区域需保护性拆除并恢复，同时按需改造或加固，12#、13#矿仓振动筛+2.95m检修平台沿28轴线分别向27，29轴线外挑约3.5m并增加钢梯通至+4.606平台。</w:t>
      </w:r>
      <w:r>
        <w:rPr>
          <w:rFonts w:hint="eastAsia" w:ascii="Arial" w:hAnsi="Arial"/>
          <w:color w:val="auto"/>
          <w:szCs w:val="21"/>
          <w:highlight w:val="none"/>
          <w:lang w:val="en-US" w:eastAsia="zh-CN"/>
        </w:rPr>
        <w:t>9-16号筛子其余部分通过增加800mm过桥连接（不影响检修）。</w:t>
      </w:r>
    </w:p>
    <w:p w14:paraId="24F8AB0E">
      <w:pPr>
        <w:shd w:val="clear"/>
        <w:rPr>
          <w:rFonts w:ascii="Arial" w:hAnsi="Arial"/>
          <w:color w:val="auto"/>
          <w:szCs w:val="21"/>
          <w:highlight w:val="none"/>
        </w:rPr>
      </w:pPr>
      <w:r>
        <w:rPr>
          <w:rFonts w:hint="eastAsia"/>
          <w:color w:val="auto"/>
          <w:highlight w:val="none"/>
        </w:rPr>
        <w:t>（</w:t>
      </w:r>
      <w:r>
        <w:rPr>
          <w:rFonts w:hint="eastAsia"/>
          <w:color w:val="auto"/>
          <w:highlight w:val="none"/>
          <w:lang w:val="en-US" w:eastAsia="zh-CN"/>
        </w:rPr>
        <w:t>9</w:t>
      </w:r>
      <w:r>
        <w:rPr>
          <w:rFonts w:hint="eastAsia"/>
          <w:color w:val="auto"/>
          <w:highlight w:val="none"/>
        </w:rPr>
        <w:t>）</w:t>
      </w:r>
      <w:r>
        <w:rPr>
          <w:rFonts w:hint="eastAsia" w:ascii="Arial" w:hAnsi="Arial"/>
          <w:color w:val="auto"/>
          <w:szCs w:val="21"/>
          <w:highlight w:val="none"/>
        </w:rPr>
        <w:t>加密南、北上料皮带机，南碱返皮带机受料点处的缓冲托辊，加密布置后对受料点处的胶带有更好的支撑作用，可以有效降低胶带的下扰度，提升胶带与导料槽密封板之间的密封性，减少粉尘外溢及撒料；</w:t>
      </w:r>
    </w:p>
    <w:p w14:paraId="727BDEBB">
      <w:pPr>
        <w:shd w:val="clear"/>
        <w:rPr>
          <w:rFonts w:ascii="Arial" w:hAnsi="Arial"/>
          <w:color w:val="auto"/>
          <w:szCs w:val="21"/>
          <w:highlight w:val="none"/>
        </w:rPr>
      </w:pPr>
      <w:r>
        <w:rPr>
          <w:rFonts w:hint="eastAsia" w:ascii="Arial" w:hAnsi="Arial"/>
          <w:color w:val="auto"/>
          <w:szCs w:val="21"/>
          <w:highlight w:val="none"/>
        </w:rPr>
        <w:t>（</w:t>
      </w:r>
      <w:r>
        <w:rPr>
          <w:rFonts w:hint="eastAsia"/>
          <w:color w:val="auto"/>
          <w:highlight w:val="none"/>
        </w:rPr>
        <w:t>1</w:t>
      </w:r>
      <w:r>
        <w:rPr>
          <w:rFonts w:hint="eastAsia"/>
          <w:color w:val="auto"/>
          <w:highlight w:val="none"/>
          <w:lang w:val="en-US" w:eastAsia="zh-CN"/>
        </w:rPr>
        <w:t>0</w:t>
      </w:r>
      <w:r>
        <w:rPr>
          <w:rFonts w:hint="eastAsia"/>
          <w:color w:val="auto"/>
          <w:highlight w:val="none"/>
        </w:rPr>
        <w:t>）</w:t>
      </w:r>
      <w:r>
        <w:rPr>
          <w:rFonts w:hint="eastAsia" w:ascii="Arial" w:hAnsi="Arial"/>
          <w:color w:val="auto"/>
          <w:szCs w:val="21"/>
          <w:highlight w:val="none"/>
        </w:rPr>
        <w:t>优化落料点处落料溜槽的出料口尺寸，在确保下料顺畅的前提下使落料溜槽出口的宽度尽量收窄并插入导料槽一定深度，从而控制物料下落后尽量贴近输送机中心线分布，达到既防止胶带受物料不均衡冲击导致跑偏又确保不撒料的效果。</w:t>
      </w:r>
    </w:p>
    <w:p w14:paraId="6257FDC9">
      <w:pPr>
        <w:shd w:val="clear"/>
        <w:rPr>
          <w:color w:val="auto"/>
          <w:highlight w:val="none"/>
        </w:rPr>
      </w:pPr>
      <w:bookmarkStart w:id="151" w:name="_Toc10927"/>
      <w:r>
        <w:rPr>
          <w:rFonts w:hint="eastAsia"/>
          <w:color w:val="auto"/>
          <w:highlight w:val="none"/>
        </w:rPr>
        <w:t>（1</w:t>
      </w:r>
      <w:r>
        <w:rPr>
          <w:rFonts w:hint="eastAsia"/>
          <w:color w:val="auto"/>
          <w:highlight w:val="none"/>
          <w:lang w:val="en-US" w:eastAsia="zh-CN"/>
        </w:rPr>
        <w:t>1</w:t>
      </w:r>
      <w:r>
        <w:rPr>
          <w:rFonts w:hint="eastAsia"/>
          <w:color w:val="auto"/>
          <w:highlight w:val="none"/>
        </w:rPr>
        <w:t>）在满足结构设计规范的前提下，对矿焦槽整体封闭处理。</w:t>
      </w:r>
      <w:bookmarkEnd w:id="151"/>
    </w:p>
    <w:p w14:paraId="468E1E47">
      <w:pPr>
        <w:shd w:val="clear"/>
        <w:rPr>
          <w:rFonts w:hint="eastAsia" w:ascii="Arial" w:hAnsi="Arial"/>
          <w:color w:val="auto"/>
          <w:szCs w:val="21"/>
          <w:highlight w:val="none"/>
        </w:rPr>
      </w:pPr>
      <w:r>
        <w:rPr>
          <w:rFonts w:hint="eastAsia" w:ascii="Arial" w:hAnsi="Arial"/>
          <w:color w:val="auto"/>
          <w:szCs w:val="21"/>
          <w:highlight w:val="none"/>
        </w:rPr>
        <w:t>（</w:t>
      </w:r>
      <w:r>
        <w:rPr>
          <w:rFonts w:hint="eastAsia"/>
          <w:color w:val="auto"/>
          <w:highlight w:val="none"/>
        </w:rPr>
        <w:t>1</w:t>
      </w:r>
      <w:r>
        <w:rPr>
          <w:rFonts w:hint="eastAsia"/>
          <w:color w:val="auto"/>
          <w:highlight w:val="none"/>
          <w:lang w:val="en-US" w:eastAsia="zh-CN"/>
        </w:rPr>
        <w:t>2</w:t>
      </w:r>
      <w:r>
        <w:rPr>
          <w:rFonts w:hint="eastAsia"/>
          <w:color w:val="auto"/>
          <w:highlight w:val="none"/>
        </w:rPr>
        <w:t>）</w:t>
      </w:r>
      <w:r>
        <w:rPr>
          <w:rFonts w:hint="eastAsia" w:ascii="Arial" w:hAnsi="Arial"/>
          <w:color w:val="auto"/>
          <w:szCs w:val="21"/>
          <w:highlight w:val="none"/>
        </w:rPr>
        <w:t>除尘管道布置进行优化设计，在主要的原燃料落料点、皮带转运卸料点及料坑落料点等容易扬尘的地方适当增加除尘点及除尘风量，返矿仓卸料处增加除尘，以满足矿焦槽除尘超低排放的改造要求，相关改造说明见通风除尘章节。</w:t>
      </w:r>
    </w:p>
    <w:p w14:paraId="4133D814">
      <w:pPr>
        <w:pStyle w:val="73"/>
        <w:shd w:val="clear"/>
        <w:rPr>
          <w:color w:val="auto"/>
          <w:highlight w:val="none"/>
        </w:rPr>
      </w:pPr>
      <w:r>
        <w:rPr>
          <w:rFonts w:hint="eastAsia"/>
          <w:color w:val="auto"/>
          <w:highlight w:val="none"/>
          <w:lang w:eastAsia="zh-CN"/>
        </w:rPr>
        <w:t>（</w:t>
      </w:r>
      <w:r>
        <w:rPr>
          <w:rFonts w:hint="eastAsia"/>
          <w:color w:val="auto"/>
          <w:highlight w:val="none"/>
          <w:lang w:val="en-US" w:eastAsia="zh-CN"/>
        </w:rPr>
        <w:t>13</w:t>
      </w:r>
      <w:r>
        <w:rPr>
          <w:rFonts w:hint="eastAsia"/>
          <w:color w:val="auto"/>
          <w:highlight w:val="none"/>
          <w:lang w:eastAsia="zh-CN"/>
        </w:rPr>
        <w:t>）</w:t>
      </w:r>
      <w:r>
        <w:rPr>
          <w:rFonts w:hint="eastAsia"/>
          <w:color w:val="auto"/>
          <w:highlight w:val="none"/>
        </w:rPr>
        <w:t>槽下9#、10#、15#振动筛下方各增加2条小皮带，共6条，实现故障期间碱返向酸返皮带倒运。</w:t>
      </w:r>
    </w:p>
    <w:p w14:paraId="659128D8">
      <w:pPr>
        <w:shd w:val="clear"/>
        <w:jc w:val="center"/>
        <w:rPr>
          <w:rFonts w:ascii="Times New Roman" w:hAnsi="Times New Roman" w:cs="Times New Roman"/>
          <w:color w:val="auto"/>
          <w:highlight w:val="none"/>
        </w:rPr>
      </w:pPr>
      <w:r>
        <w:rPr>
          <w:rFonts w:ascii="Times New Roman" w:hAnsi="Times New Roman" w:cs="Times New Roman"/>
          <w:color w:val="auto"/>
          <w:highlight w:val="none"/>
        </w:rPr>
        <w:t>表2.2-</w:t>
      </w:r>
      <w:r>
        <w:rPr>
          <w:rFonts w:hint="eastAsia" w:ascii="Times New Roman" w:hAnsi="Times New Roman" w:cs="Times New Roman"/>
          <w:color w:val="auto"/>
          <w:highlight w:val="none"/>
          <w:lang w:val="en-US" w:eastAsia="zh-CN"/>
        </w:rPr>
        <w:t>7</w:t>
      </w:r>
      <w:r>
        <w:rPr>
          <w:rFonts w:ascii="Times New Roman" w:hAnsi="Times New Roman" w:cs="Times New Roman"/>
          <w:color w:val="auto"/>
          <w:highlight w:val="none"/>
        </w:rPr>
        <w:t xml:space="preserve">  槽下</w:t>
      </w:r>
      <w:r>
        <w:rPr>
          <w:rFonts w:hint="eastAsia" w:ascii="Times New Roman" w:hAnsi="Times New Roman" w:cs="Times New Roman"/>
          <w:color w:val="auto"/>
          <w:highlight w:val="none"/>
        </w:rPr>
        <w:t>系统</w:t>
      </w:r>
      <w:r>
        <w:rPr>
          <w:rFonts w:ascii="Times New Roman" w:hAnsi="Times New Roman" w:cs="Times New Roman"/>
          <w:color w:val="auto"/>
          <w:highlight w:val="none"/>
        </w:rPr>
        <w:t>主要工艺设备</w:t>
      </w:r>
      <w:r>
        <w:rPr>
          <w:rFonts w:hint="eastAsia" w:ascii="Times New Roman" w:hAnsi="Times New Roman" w:cs="Times New Roman"/>
          <w:color w:val="auto"/>
          <w:highlight w:val="none"/>
        </w:rPr>
        <w:t>更换</w:t>
      </w:r>
      <w:r>
        <w:rPr>
          <w:rFonts w:ascii="Times New Roman" w:hAnsi="Times New Roman" w:cs="Times New Roman"/>
          <w:color w:val="auto"/>
          <w:highlight w:val="none"/>
        </w:rPr>
        <w:t>利旧情况</w:t>
      </w:r>
    </w:p>
    <w:tbl>
      <w:tblPr>
        <w:tblStyle w:val="6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643"/>
        <w:gridCol w:w="883"/>
        <w:gridCol w:w="2378"/>
        <w:gridCol w:w="636"/>
        <w:gridCol w:w="2312"/>
        <w:gridCol w:w="1491"/>
      </w:tblGrid>
      <w:tr w14:paraId="3B0498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cantSplit/>
          <w:tblHeader/>
          <w:jc w:val="center"/>
        </w:trPr>
        <w:tc>
          <w:tcPr>
            <w:tcW w:w="643" w:type="dxa"/>
            <w:tcBorders>
              <w:top w:val="single" w:color="auto" w:sz="12" w:space="0"/>
              <w:left w:val="single" w:color="auto" w:sz="12" w:space="0"/>
              <w:bottom w:val="single" w:color="auto" w:sz="4" w:space="0"/>
              <w:right w:val="single" w:color="auto" w:sz="4" w:space="0"/>
            </w:tcBorders>
            <w:shd w:val="clear" w:color="auto" w:fill="auto"/>
            <w:vAlign w:val="center"/>
          </w:tcPr>
          <w:p w14:paraId="2DABB464">
            <w:pPr>
              <w:widowControl/>
              <w:shd w:val="clear"/>
              <w:ind w:firstLine="0" w:firstLineChars="0"/>
              <w:jc w:val="center"/>
              <w:textAlignment w:val="bottom"/>
              <w:rPr>
                <w:color w:val="auto"/>
                <w:sz w:val="21"/>
                <w:szCs w:val="21"/>
                <w:highlight w:val="none"/>
              </w:rPr>
            </w:pPr>
            <w:r>
              <w:rPr>
                <w:color w:val="auto"/>
                <w:sz w:val="21"/>
                <w:szCs w:val="21"/>
                <w:highlight w:val="none"/>
              </w:rPr>
              <w:t>序号</w:t>
            </w:r>
          </w:p>
        </w:tc>
        <w:tc>
          <w:tcPr>
            <w:tcW w:w="3261"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14:paraId="5351AD9F">
            <w:pPr>
              <w:widowControl/>
              <w:shd w:val="clear"/>
              <w:ind w:firstLine="0" w:firstLineChars="0"/>
              <w:jc w:val="center"/>
              <w:textAlignment w:val="bottom"/>
              <w:rPr>
                <w:color w:val="auto"/>
                <w:sz w:val="21"/>
                <w:szCs w:val="21"/>
                <w:highlight w:val="none"/>
              </w:rPr>
            </w:pPr>
            <w:r>
              <w:rPr>
                <w:color w:val="auto"/>
                <w:sz w:val="21"/>
                <w:szCs w:val="21"/>
                <w:highlight w:val="none"/>
              </w:rPr>
              <w:t>设备名称</w:t>
            </w:r>
          </w:p>
        </w:tc>
        <w:tc>
          <w:tcPr>
            <w:tcW w:w="636" w:type="dxa"/>
            <w:tcBorders>
              <w:top w:val="single" w:color="auto" w:sz="12" w:space="0"/>
              <w:left w:val="single" w:color="auto" w:sz="4" w:space="0"/>
              <w:bottom w:val="single" w:color="auto" w:sz="4" w:space="0"/>
              <w:right w:val="single" w:color="auto" w:sz="4" w:space="0"/>
            </w:tcBorders>
            <w:shd w:val="clear" w:color="auto" w:fill="auto"/>
            <w:vAlign w:val="center"/>
          </w:tcPr>
          <w:p w14:paraId="53686F9A">
            <w:pPr>
              <w:widowControl/>
              <w:shd w:val="clear"/>
              <w:ind w:firstLine="0" w:firstLineChars="0"/>
              <w:jc w:val="center"/>
              <w:textAlignment w:val="bottom"/>
              <w:rPr>
                <w:color w:val="auto"/>
                <w:sz w:val="21"/>
                <w:szCs w:val="21"/>
                <w:highlight w:val="none"/>
              </w:rPr>
            </w:pPr>
            <w:r>
              <w:rPr>
                <w:color w:val="auto"/>
                <w:sz w:val="21"/>
                <w:szCs w:val="21"/>
                <w:highlight w:val="none"/>
              </w:rPr>
              <w:t>数量/台</w:t>
            </w:r>
          </w:p>
        </w:tc>
        <w:tc>
          <w:tcPr>
            <w:tcW w:w="2312" w:type="dxa"/>
            <w:tcBorders>
              <w:top w:val="single" w:color="auto" w:sz="12" w:space="0"/>
              <w:left w:val="single" w:color="auto" w:sz="4" w:space="0"/>
              <w:bottom w:val="single" w:color="auto" w:sz="4" w:space="0"/>
              <w:right w:val="single" w:color="auto" w:sz="4" w:space="0"/>
            </w:tcBorders>
            <w:shd w:val="clear" w:color="auto" w:fill="auto"/>
            <w:vAlign w:val="center"/>
          </w:tcPr>
          <w:p w14:paraId="7287110F">
            <w:pPr>
              <w:widowControl/>
              <w:shd w:val="clear"/>
              <w:ind w:firstLine="0" w:firstLineChars="0"/>
              <w:jc w:val="center"/>
              <w:textAlignment w:val="bottom"/>
              <w:rPr>
                <w:color w:val="auto"/>
                <w:sz w:val="21"/>
                <w:szCs w:val="21"/>
                <w:highlight w:val="none"/>
              </w:rPr>
            </w:pPr>
            <w:r>
              <w:rPr>
                <w:rFonts w:hint="eastAsia"/>
                <w:color w:val="auto"/>
                <w:sz w:val="21"/>
                <w:szCs w:val="21"/>
                <w:highlight w:val="none"/>
              </w:rPr>
              <w:t>更换</w:t>
            </w:r>
            <w:r>
              <w:rPr>
                <w:color w:val="auto"/>
                <w:sz w:val="21"/>
                <w:szCs w:val="21"/>
                <w:highlight w:val="none"/>
              </w:rPr>
              <w:t>利旧情况</w:t>
            </w:r>
          </w:p>
        </w:tc>
        <w:tc>
          <w:tcPr>
            <w:tcW w:w="1491" w:type="dxa"/>
            <w:tcBorders>
              <w:top w:val="single" w:color="auto" w:sz="12" w:space="0"/>
              <w:left w:val="single" w:color="auto" w:sz="4" w:space="0"/>
              <w:bottom w:val="single" w:color="auto" w:sz="4" w:space="0"/>
              <w:right w:val="single" w:color="auto" w:sz="12" w:space="0"/>
            </w:tcBorders>
            <w:shd w:val="clear" w:color="auto" w:fill="auto"/>
            <w:vAlign w:val="center"/>
          </w:tcPr>
          <w:p w14:paraId="0F3C51B7">
            <w:pPr>
              <w:widowControl/>
              <w:shd w:val="clear"/>
              <w:ind w:firstLine="0" w:firstLineChars="0"/>
              <w:jc w:val="center"/>
              <w:textAlignment w:val="bottom"/>
              <w:rPr>
                <w:color w:val="auto"/>
                <w:sz w:val="21"/>
                <w:szCs w:val="21"/>
                <w:highlight w:val="none"/>
              </w:rPr>
            </w:pPr>
            <w:r>
              <w:rPr>
                <w:color w:val="auto"/>
                <w:sz w:val="21"/>
                <w:szCs w:val="21"/>
                <w:highlight w:val="none"/>
              </w:rPr>
              <w:t>备注</w:t>
            </w:r>
          </w:p>
        </w:tc>
      </w:tr>
      <w:tr w14:paraId="5473D7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cantSplit/>
          <w:trHeight w:val="397" w:hRule="atLeast"/>
          <w:jc w:val="center"/>
        </w:trPr>
        <w:tc>
          <w:tcPr>
            <w:tcW w:w="643" w:type="dxa"/>
            <w:tcBorders>
              <w:top w:val="single" w:color="auto" w:sz="4" w:space="0"/>
              <w:left w:val="single" w:color="auto" w:sz="12" w:space="0"/>
              <w:bottom w:val="single" w:color="auto" w:sz="4" w:space="0"/>
              <w:right w:val="single" w:color="auto" w:sz="4" w:space="0"/>
            </w:tcBorders>
            <w:shd w:val="clear" w:color="auto" w:fill="auto"/>
            <w:vAlign w:val="center"/>
          </w:tcPr>
          <w:p w14:paraId="008B313B">
            <w:pPr>
              <w:widowControl/>
              <w:shd w:val="clear"/>
              <w:ind w:firstLine="0" w:firstLineChars="0"/>
              <w:jc w:val="center"/>
              <w:textAlignment w:val="bottom"/>
              <w:rPr>
                <w:color w:val="auto"/>
                <w:sz w:val="21"/>
                <w:szCs w:val="21"/>
                <w:highlight w:val="none"/>
              </w:rPr>
            </w:pPr>
            <w:r>
              <w:rPr>
                <w:color w:val="auto"/>
                <w:sz w:val="21"/>
                <w:szCs w:val="21"/>
                <w:highlight w:val="none"/>
              </w:rPr>
              <w:t>1</w:t>
            </w:r>
          </w:p>
        </w:tc>
        <w:tc>
          <w:tcPr>
            <w:tcW w:w="32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E083BEF">
            <w:pPr>
              <w:widowControl/>
              <w:shd w:val="clear"/>
              <w:ind w:firstLine="0" w:firstLineChars="0"/>
              <w:jc w:val="center"/>
              <w:textAlignment w:val="bottom"/>
              <w:rPr>
                <w:color w:val="auto"/>
                <w:sz w:val="21"/>
                <w:szCs w:val="21"/>
                <w:highlight w:val="none"/>
              </w:rPr>
            </w:pPr>
            <w:r>
              <w:rPr>
                <w:color w:val="auto"/>
                <w:sz w:val="21"/>
                <w:szCs w:val="21"/>
                <w:highlight w:val="none"/>
              </w:rPr>
              <w:t>焦槽振动筛</w:t>
            </w:r>
          </w:p>
        </w:tc>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14:paraId="11C05806">
            <w:pPr>
              <w:widowControl/>
              <w:shd w:val="clear"/>
              <w:ind w:firstLine="0" w:firstLineChars="0"/>
              <w:jc w:val="center"/>
              <w:textAlignment w:val="bottom"/>
              <w:rPr>
                <w:color w:val="auto"/>
                <w:sz w:val="21"/>
                <w:szCs w:val="21"/>
                <w:highlight w:val="none"/>
              </w:rPr>
            </w:pPr>
            <w:r>
              <w:rPr>
                <w:color w:val="auto"/>
                <w:sz w:val="21"/>
                <w:szCs w:val="21"/>
                <w:highlight w:val="none"/>
              </w:rPr>
              <w:t>2</w:t>
            </w:r>
          </w:p>
        </w:tc>
        <w:tc>
          <w:tcPr>
            <w:tcW w:w="2312" w:type="dxa"/>
            <w:tcBorders>
              <w:top w:val="single" w:color="auto" w:sz="4" w:space="0"/>
              <w:left w:val="single" w:color="auto" w:sz="4" w:space="0"/>
              <w:bottom w:val="single" w:color="auto" w:sz="4" w:space="0"/>
              <w:right w:val="single" w:color="auto" w:sz="4" w:space="0"/>
            </w:tcBorders>
            <w:shd w:val="clear" w:color="auto" w:fill="auto"/>
            <w:vAlign w:val="center"/>
          </w:tcPr>
          <w:p w14:paraId="1230503B">
            <w:pPr>
              <w:widowControl/>
              <w:shd w:val="clear"/>
              <w:ind w:firstLine="0" w:firstLineChars="0"/>
              <w:jc w:val="center"/>
              <w:textAlignment w:val="bottom"/>
              <w:rPr>
                <w:color w:val="auto"/>
                <w:sz w:val="21"/>
                <w:szCs w:val="21"/>
                <w:highlight w:val="none"/>
              </w:rPr>
            </w:pPr>
            <w:r>
              <w:rPr>
                <w:color w:val="auto"/>
                <w:sz w:val="21"/>
                <w:szCs w:val="21"/>
                <w:highlight w:val="none"/>
              </w:rPr>
              <w:t>改型为环保筛</w:t>
            </w:r>
          </w:p>
        </w:tc>
        <w:tc>
          <w:tcPr>
            <w:tcW w:w="1491" w:type="dxa"/>
            <w:tcBorders>
              <w:top w:val="single" w:color="auto" w:sz="4" w:space="0"/>
              <w:left w:val="single" w:color="auto" w:sz="4" w:space="0"/>
              <w:bottom w:val="single" w:color="auto" w:sz="4" w:space="0"/>
              <w:right w:val="single" w:color="auto" w:sz="12" w:space="0"/>
            </w:tcBorders>
            <w:shd w:val="clear" w:color="auto" w:fill="auto"/>
            <w:vAlign w:val="center"/>
          </w:tcPr>
          <w:p w14:paraId="5671256F">
            <w:pPr>
              <w:widowControl/>
              <w:shd w:val="clear"/>
              <w:ind w:firstLine="0" w:firstLineChars="0"/>
              <w:jc w:val="center"/>
              <w:textAlignment w:val="bottom"/>
              <w:rPr>
                <w:color w:val="auto"/>
                <w:sz w:val="21"/>
                <w:szCs w:val="21"/>
                <w:highlight w:val="none"/>
              </w:rPr>
            </w:pPr>
            <w:r>
              <w:rPr>
                <w:rFonts w:hint="eastAsia"/>
                <w:color w:val="auto"/>
                <w:sz w:val="21"/>
                <w:szCs w:val="21"/>
                <w:highlight w:val="none"/>
              </w:rPr>
              <w:t>电机采用两用两备</w:t>
            </w:r>
          </w:p>
        </w:tc>
      </w:tr>
      <w:tr w14:paraId="2F42BB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43" w:type="dxa"/>
            <w:tcBorders>
              <w:top w:val="single" w:color="auto" w:sz="4" w:space="0"/>
              <w:left w:val="single" w:color="auto" w:sz="12" w:space="0"/>
              <w:bottom w:val="single" w:color="auto" w:sz="4" w:space="0"/>
              <w:right w:val="single" w:color="auto" w:sz="4" w:space="0"/>
            </w:tcBorders>
            <w:shd w:val="clear" w:color="auto" w:fill="auto"/>
            <w:vAlign w:val="center"/>
          </w:tcPr>
          <w:p w14:paraId="5670AB17">
            <w:pPr>
              <w:widowControl/>
              <w:shd w:val="clear"/>
              <w:ind w:firstLine="0" w:firstLineChars="0"/>
              <w:jc w:val="center"/>
              <w:textAlignment w:val="bottom"/>
              <w:rPr>
                <w:color w:val="auto"/>
                <w:sz w:val="21"/>
                <w:szCs w:val="21"/>
                <w:highlight w:val="none"/>
              </w:rPr>
            </w:pPr>
            <w:r>
              <w:rPr>
                <w:color w:val="auto"/>
                <w:sz w:val="21"/>
                <w:szCs w:val="21"/>
                <w:highlight w:val="none"/>
              </w:rPr>
              <w:t>2</w:t>
            </w:r>
          </w:p>
        </w:tc>
        <w:tc>
          <w:tcPr>
            <w:tcW w:w="32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D0D27B1">
            <w:pPr>
              <w:widowControl/>
              <w:shd w:val="clear"/>
              <w:ind w:firstLine="0" w:firstLineChars="0"/>
              <w:jc w:val="center"/>
              <w:textAlignment w:val="bottom"/>
              <w:rPr>
                <w:color w:val="auto"/>
                <w:sz w:val="21"/>
                <w:szCs w:val="21"/>
                <w:highlight w:val="none"/>
              </w:rPr>
            </w:pPr>
            <w:r>
              <w:rPr>
                <w:color w:val="auto"/>
                <w:sz w:val="21"/>
                <w:szCs w:val="21"/>
                <w:highlight w:val="none"/>
                <w:shd w:val="clear"/>
              </w:rPr>
              <w:t>烧结矿</w:t>
            </w:r>
            <w:r>
              <w:rPr>
                <w:color w:val="auto"/>
                <w:sz w:val="21"/>
                <w:szCs w:val="21"/>
                <w:highlight w:val="none"/>
                <w:shd w:val="clear" w:color="auto"/>
              </w:rPr>
              <w:t>闸门、</w:t>
            </w:r>
            <w:r>
              <w:rPr>
                <w:color w:val="auto"/>
                <w:sz w:val="21"/>
                <w:szCs w:val="21"/>
                <w:highlight w:val="none"/>
                <w:shd w:val="clear"/>
              </w:rPr>
              <w:t>给料机</w:t>
            </w:r>
            <w:r>
              <w:rPr>
                <w:color w:val="auto"/>
                <w:sz w:val="21"/>
                <w:szCs w:val="21"/>
                <w:highlight w:val="none"/>
              </w:rPr>
              <w:t>及振动筛</w:t>
            </w:r>
          </w:p>
        </w:tc>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14:paraId="454ED845">
            <w:pPr>
              <w:widowControl/>
              <w:shd w:val="clear"/>
              <w:ind w:firstLine="0" w:firstLineChars="0"/>
              <w:jc w:val="center"/>
              <w:textAlignment w:val="bottom"/>
              <w:rPr>
                <w:color w:val="auto"/>
                <w:sz w:val="21"/>
                <w:szCs w:val="21"/>
                <w:highlight w:val="none"/>
              </w:rPr>
            </w:pPr>
            <w:r>
              <w:rPr>
                <w:color w:val="auto"/>
                <w:sz w:val="21"/>
                <w:szCs w:val="21"/>
                <w:highlight w:val="none"/>
              </w:rPr>
              <w:t>6</w:t>
            </w:r>
          </w:p>
        </w:tc>
        <w:tc>
          <w:tcPr>
            <w:tcW w:w="2312" w:type="dxa"/>
            <w:tcBorders>
              <w:top w:val="single" w:color="auto" w:sz="4" w:space="0"/>
              <w:left w:val="single" w:color="auto" w:sz="4" w:space="0"/>
              <w:bottom w:val="single" w:color="auto" w:sz="4" w:space="0"/>
              <w:right w:val="single" w:color="auto" w:sz="4" w:space="0"/>
            </w:tcBorders>
            <w:shd w:val="clear" w:color="auto" w:fill="auto"/>
            <w:vAlign w:val="center"/>
          </w:tcPr>
          <w:p w14:paraId="6DE25585">
            <w:pPr>
              <w:widowControl/>
              <w:shd w:val="clear"/>
              <w:ind w:firstLine="0" w:firstLineChars="0"/>
              <w:jc w:val="center"/>
              <w:textAlignment w:val="bottom"/>
              <w:rPr>
                <w:color w:val="auto"/>
                <w:sz w:val="21"/>
                <w:szCs w:val="21"/>
                <w:highlight w:val="none"/>
              </w:rPr>
            </w:pPr>
            <w:r>
              <w:rPr>
                <w:color w:val="auto"/>
                <w:sz w:val="21"/>
                <w:szCs w:val="21"/>
                <w:highlight w:val="none"/>
                <w:shd w:val="clear" w:color="auto"/>
              </w:rPr>
              <w:t>改为电液动闸门</w:t>
            </w:r>
          </w:p>
          <w:p w14:paraId="084E488E">
            <w:pPr>
              <w:widowControl/>
              <w:shd w:val="clear"/>
              <w:ind w:firstLine="0" w:firstLineChars="0"/>
              <w:jc w:val="center"/>
              <w:textAlignment w:val="bottom"/>
              <w:rPr>
                <w:color w:val="auto"/>
                <w:sz w:val="21"/>
                <w:szCs w:val="21"/>
                <w:highlight w:val="none"/>
              </w:rPr>
            </w:pPr>
            <w:r>
              <w:rPr>
                <w:color w:val="auto"/>
                <w:sz w:val="21"/>
                <w:szCs w:val="21"/>
                <w:highlight w:val="none"/>
              </w:rPr>
              <w:t>改型为环保筛</w:t>
            </w:r>
          </w:p>
        </w:tc>
        <w:tc>
          <w:tcPr>
            <w:tcW w:w="1491" w:type="dxa"/>
            <w:tcBorders>
              <w:top w:val="single" w:color="auto" w:sz="4" w:space="0"/>
              <w:left w:val="single" w:color="auto" w:sz="4" w:space="0"/>
              <w:bottom w:val="single" w:color="auto" w:sz="4" w:space="0"/>
              <w:right w:val="single" w:color="auto" w:sz="12" w:space="0"/>
            </w:tcBorders>
            <w:shd w:val="clear" w:color="auto" w:fill="auto"/>
            <w:vAlign w:val="center"/>
          </w:tcPr>
          <w:p w14:paraId="40148DD6">
            <w:pPr>
              <w:widowControl/>
              <w:shd w:val="clear"/>
              <w:ind w:firstLine="0" w:firstLineChars="0"/>
              <w:jc w:val="center"/>
              <w:textAlignment w:val="bottom"/>
              <w:rPr>
                <w:color w:val="auto"/>
                <w:sz w:val="21"/>
                <w:szCs w:val="21"/>
                <w:highlight w:val="none"/>
              </w:rPr>
            </w:pPr>
            <w:r>
              <w:rPr>
                <w:color w:val="auto"/>
                <w:sz w:val="21"/>
                <w:szCs w:val="21"/>
                <w:highlight w:val="none"/>
              </w:rPr>
              <w:t>仓下双筛（9#~10#仓、15#仓）</w:t>
            </w:r>
          </w:p>
        </w:tc>
      </w:tr>
      <w:tr w14:paraId="1D5A42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cantSplit/>
          <w:trHeight w:val="399" w:hRule="atLeast"/>
          <w:jc w:val="center"/>
        </w:trPr>
        <w:tc>
          <w:tcPr>
            <w:tcW w:w="643" w:type="dxa"/>
            <w:tcBorders>
              <w:top w:val="single" w:color="auto" w:sz="4" w:space="0"/>
              <w:left w:val="single" w:color="auto" w:sz="12" w:space="0"/>
              <w:bottom w:val="single" w:color="auto" w:sz="4" w:space="0"/>
              <w:right w:val="single" w:color="auto" w:sz="4" w:space="0"/>
            </w:tcBorders>
            <w:shd w:val="clear" w:color="auto" w:fill="auto"/>
            <w:vAlign w:val="center"/>
          </w:tcPr>
          <w:p w14:paraId="6E5A20DB">
            <w:pPr>
              <w:widowControl/>
              <w:shd w:val="clear"/>
              <w:ind w:firstLine="0" w:firstLineChars="0"/>
              <w:jc w:val="center"/>
              <w:textAlignment w:val="bottom"/>
              <w:rPr>
                <w:color w:val="auto"/>
                <w:sz w:val="21"/>
                <w:szCs w:val="21"/>
                <w:highlight w:val="none"/>
              </w:rPr>
            </w:pPr>
            <w:r>
              <w:rPr>
                <w:color w:val="auto"/>
                <w:sz w:val="21"/>
                <w:szCs w:val="21"/>
                <w:highlight w:val="none"/>
              </w:rPr>
              <w:t>3</w:t>
            </w:r>
          </w:p>
        </w:tc>
        <w:tc>
          <w:tcPr>
            <w:tcW w:w="32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FCE9D5A">
            <w:pPr>
              <w:widowControl/>
              <w:shd w:val="clear"/>
              <w:ind w:firstLine="0" w:firstLineChars="0"/>
              <w:jc w:val="center"/>
              <w:textAlignment w:val="bottom"/>
              <w:rPr>
                <w:color w:val="auto"/>
                <w:sz w:val="21"/>
                <w:szCs w:val="21"/>
                <w:highlight w:val="none"/>
              </w:rPr>
            </w:pPr>
            <w:r>
              <w:rPr>
                <w:color w:val="auto"/>
                <w:sz w:val="21"/>
                <w:szCs w:val="21"/>
                <w:highlight w:val="none"/>
              </w:rPr>
              <w:t>球团矿</w:t>
            </w:r>
            <w:r>
              <w:rPr>
                <w:color w:val="auto"/>
                <w:sz w:val="21"/>
                <w:szCs w:val="21"/>
                <w:highlight w:val="none"/>
                <w:shd w:val="clear" w:color="auto"/>
              </w:rPr>
              <w:t>闸门、</w:t>
            </w:r>
            <w:r>
              <w:rPr>
                <w:color w:val="auto"/>
                <w:sz w:val="21"/>
                <w:szCs w:val="21"/>
                <w:highlight w:val="none"/>
              </w:rPr>
              <w:t>给料机及振动筛</w:t>
            </w:r>
          </w:p>
        </w:tc>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14:paraId="7C50E39E">
            <w:pPr>
              <w:widowControl/>
              <w:shd w:val="clear"/>
              <w:ind w:firstLine="0" w:firstLineChars="0"/>
              <w:jc w:val="center"/>
              <w:textAlignment w:val="bottom"/>
              <w:rPr>
                <w:color w:val="auto"/>
                <w:sz w:val="21"/>
                <w:szCs w:val="21"/>
                <w:highlight w:val="none"/>
              </w:rPr>
            </w:pPr>
            <w:r>
              <w:rPr>
                <w:color w:val="auto"/>
                <w:sz w:val="21"/>
                <w:szCs w:val="21"/>
                <w:highlight w:val="none"/>
              </w:rPr>
              <w:t>4</w:t>
            </w:r>
          </w:p>
        </w:tc>
        <w:tc>
          <w:tcPr>
            <w:tcW w:w="2312" w:type="dxa"/>
            <w:tcBorders>
              <w:top w:val="single" w:color="auto" w:sz="4" w:space="0"/>
              <w:left w:val="single" w:color="auto" w:sz="4" w:space="0"/>
              <w:bottom w:val="single" w:color="auto" w:sz="4" w:space="0"/>
              <w:right w:val="single" w:color="auto" w:sz="4" w:space="0"/>
            </w:tcBorders>
            <w:shd w:val="clear" w:color="auto" w:fill="auto"/>
            <w:vAlign w:val="center"/>
          </w:tcPr>
          <w:p w14:paraId="76EC3728">
            <w:pPr>
              <w:widowControl/>
              <w:shd w:val="clear"/>
              <w:ind w:firstLine="0" w:firstLineChars="0"/>
              <w:jc w:val="center"/>
              <w:textAlignment w:val="bottom"/>
              <w:rPr>
                <w:color w:val="auto"/>
                <w:sz w:val="21"/>
                <w:szCs w:val="21"/>
                <w:highlight w:val="none"/>
                <w:shd w:val="clear" w:color="auto" w:fill="FFFF00"/>
              </w:rPr>
            </w:pPr>
            <w:r>
              <w:rPr>
                <w:color w:val="auto"/>
                <w:sz w:val="21"/>
                <w:szCs w:val="21"/>
                <w:highlight w:val="none"/>
                <w:shd w:val="clear" w:color="auto"/>
              </w:rPr>
              <w:t>改为电液动闸门</w:t>
            </w:r>
          </w:p>
          <w:p w14:paraId="2FA92F71">
            <w:pPr>
              <w:widowControl/>
              <w:shd w:val="clear"/>
              <w:ind w:firstLine="0" w:firstLineChars="0"/>
              <w:jc w:val="center"/>
              <w:textAlignment w:val="bottom"/>
              <w:rPr>
                <w:color w:val="auto"/>
                <w:sz w:val="21"/>
                <w:szCs w:val="21"/>
                <w:highlight w:val="none"/>
              </w:rPr>
            </w:pPr>
            <w:r>
              <w:rPr>
                <w:color w:val="auto"/>
                <w:sz w:val="21"/>
                <w:szCs w:val="21"/>
                <w:highlight w:val="none"/>
              </w:rPr>
              <w:t>改型为环保筛</w:t>
            </w:r>
          </w:p>
        </w:tc>
        <w:tc>
          <w:tcPr>
            <w:tcW w:w="1491" w:type="dxa"/>
            <w:tcBorders>
              <w:top w:val="single" w:color="auto" w:sz="4" w:space="0"/>
              <w:left w:val="single" w:color="auto" w:sz="4" w:space="0"/>
              <w:bottom w:val="single" w:color="auto" w:sz="4" w:space="0"/>
              <w:right w:val="single" w:color="auto" w:sz="12" w:space="0"/>
            </w:tcBorders>
            <w:shd w:val="clear" w:color="auto" w:fill="auto"/>
            <w:vAlign w:val="center"/>
          </w:tcPr>
          <w:p w14:paraId="01AB4F64">
            <w:pPr>
              <w:widowControl/>
              <w:shd w:val="clear"/>
              <w:ind w:firstLine="0" w:firstLineChars="0"/>
              <w:jc w:val="center"/>
              <w:textAlignment w:val="bottom"/>
              <w:rPr>
                <w:color w:val="auto"/>
                <w:sz w:val="21"/>
                <w:szCs w:val="21"/>
                <w:highlight w:val="none"/>
              </w:rPr>
            </w:pPr>
            <w:r>
              <w:rPr>
                <w:color w:val="auto"/>
                <w:sz w:val="21"/>
                <w:szCs w:val="21"/>
                <w:highlight w:val="none"/>
              </w:rPr>
              <w:t>12#~13#仓下单筛；16#仓下双筛</w:t>
            </w:r>
          </w:p>
        </w:tc>
      </w:tr>
      <w:tr w14:paraId="3D3BF4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43" w:type="dxa"/>
            <w:tcBorders>
              <w:top w:val="single" w:color="auto" w:sz="4" w:space="0"/>
              <w:left w:val="single" w:color="auto" w:sz="12" w:space="0"/>
              <w:bottom w:val="single" w:color="auto" w:sz="4" w:space="0"/>
              <w:right w:val="single" w:color="auto" w:sz="4" w:space="0"/>
            </w:tcBorders>
            <w:shd w:val="clear" w:color="auto" w:fill="auto"/>
            <w:vAlign w:val="center"/>
          </w:tcPr>
          <w:p w14:paraId="7623D365">
            <w:pPr>
              <w:widowControl/>
              <w:shd w:val="clear"/>
              <w:ind w:firstLine="0" w:firstLineChars="0"/>
              <w:jc w:val="center"/>
              <w:textAlignment w:val="bottom"/>
              <w:rPr>
                <w:color w:val="auto"/>
                <w:sz w:val="21"/>
                <w:szCs w:val="21"/>
                <w:highlight w:val="none"/>
              </w:rPr>
            </w:pPr>
            <w:r>
              <w:rPr>
                <w:color w:val="auto"/>
                <w:sz w:val="21"/>
                <w:szCs w:val="21"/>
                <w:highlight w:val="none"/>
              </w:rPr>
              <w:t>4</w:t>
            </w:r>
          </w:p>
        </w:tc>
        <w:tc>
          <w:tcPr>
            <w:tcW w:w="32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C8D1D03">
            <w:pPr>
              <w:widowControl/>
              <w:shd w:val="clear"/>
              <w:ind w:firstLine="0" w:firstLineChars="0"/>
              <w:jc w:val="center"/>
              <w:textAlignment w:val="bottom"/>
              <w:rPr>
                <w:color w:val="auto"/>
                <w:sz w:val="21"/>
                <w:szCs w:val="21"/>
                <w:highlight w:val="none"/>
              </w:rPr>
            </w:pPr>
            <w:r>
              <w:rPr>
                <w:color w:val="auto"/>
                <w:sz w:val="21"/>
                <w:szCs w:val="21"/>
                <w:highlight w:val="none"/>
              </w:rPr>
              <w:t>块杂矿</w:t>
            </w:r>
            <w:r>
              <w:rPr>
                <w:color w:val="auto"/>
                <w:sz w:val="21"/>
                <w:szCs w:val="21"/>
                <w:highlight w:val="none"/>
                <w:shd w:val="clear" w:color="auto"/>
              </w:rPr>
              <w:t>闸门、</w:t>
            </w:r>
            <w:r>
              <w:rPr>
                <w:color w:val="auto"/>
                <w:sz w:val="21"/>
                <w:szCs w:val="21"/>
                <w:highlight w:val="none"/>
              </w:rPr>
              <w:t>给料机及振动筛</w:t>
            </w:r>
          </w:p>
        </w:tc>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14:paraId="065FA7D6">
            <w:pPr>
              <w:widowControl/>
              <w:shd w:val="clear"/>
              <w:ind w:firstLine="0" w:firstLineChars="0"/>
              <w:jc w:val="center"/>
              <w:textAlignment w:val="bottom"/>
              <w:rPr>
                <w:color w:val="auto"/>
                <w:sz w:val="21"/>
                <w:szCs w:val="21"/>
                <w:highlight w:val="none"/>
              </w:rPr>
            </w:pPr>
            <w:r>
              <w:rPr>
                <w:color w:val="auto"/>
                <w:sz w:val="21"/>
                <w:szCs w:val="21"/>
                <w:highlight w:val="none"/>
              </w:rPr>
              <w:t>2</w:t>
            </w:r>
          </w:p>
        </w:tc>
        <w:tc>
          <w:tcPr>
            <w:tcW w:w="2312" w:type="dxa"/>
            <w:tcBorders>
              <w:top w:val="single" w:color="auto" w:sz="4" w:space="0"/>
              <w:left w:val="single" w:color="auto" w:sz="4" w:space="0"/>
              <w:bottom w:val="single" w:color="auto" w:sz="4" w:space="0"/>
              <w:right w:val="single" w:color="auto" w:sz="4" w:space="0"/>
            </w:tcBorders>
            <w:shd w:val="clear" w:color="auto" w:fill="auto"/>
            <w:vAlign w:val="center"/>
          </w:tcPr>
          <w:p w14:paraId="01E40945">
            <w:pPr>
              <w:widowControl/>
              <w:shd w:val="clear"/>
              <w:ind w:firstLine="0" w:firstLineChars="0"/>
              <w:jc w:val="center"/>
              <w:textAlignment w:val="bottom"/>
              <w:rPr>
                <w:color w:val="auto"/>
                <w:sz w:val="21"/>
                <w:szCs w:val="21"/>
                <w:highlight w:val="none"/>
                <w:shd w:val="clear" w:color="auto" w:fill="FFFF00"/>
              </w:rPr>
            </w:pPr>
            <w:r>
              <w:rPr>
                <w:color w:val="auto"/>
                <w:sz w:val="21"/>
                <w:szCs w:val="21"/>
                <w:highlight w:val="none"/>
                <w:shd w:val="clear" w:color="auto"/>
              </w:rPr>
              <w:t>改为电液动闸门</w:t>
            </w:r>
          </w:p>
          <w:p w14:paraId="284F1F92">
            <w:pPr>
              <w:widowControl/>
              <w:shd w:val="clear"/>
              <w:ind w:firstLine="0" w:firstLineChars="0"/>
              <w:jc w:val="center"/>
              <w:textAlignment w:val="bottom"/>
              <w:rPr>
                <w:color w:val="auto"/>
                <w:sz w:val="21"/>
                <w:szCs w:val="21"/>
                <w:highlight w:val="none"/>
              </w:rPr>
            </w:pPr>
            <w:r>
              <w:rPr>
                <w:color w:val="auto"/>
                <w:sz w:val="21"/>
                <w:szCs w:val="21"/>
                <w:highlight w:val="none"/>
              </w:rPr>
              <w:t>改型为环保筛</w:t>
            </w:r>
          </w:p>
        </w:tc>
        <w:tc>
          <w:tcPr>
            <w:tcW w:w="1491" w:type="dxa"/>
            <w:tcBorders>
              <w:top w:val="single" w:color="auto" w:sz="4" w:space="0"/>
              <w:left w:val="single" w:color="auto" w:sz="4" w:space="0"/>
              <w:bottom w:val="single" w:color="auto" w:sz="4" w:space="0"/>
              <w:right w:val="single" w:color="auto" w:sz="12" w:space="0"/>
            </w:tcBorders>
            <w:shd w:val="clear" w:color="auto" w:fill="auto"/>
            <w:vAlign w:val="center"/>
          </w:tcPr>
          <w:p w14:paraId="4A7A1074">
            <w:pPr>
              <w:widowControl/>
              <w:shd w:val="clear"/>
              <w:ind w:firstLine="0" w:firstLineChars="0"/>
              <w:jc w:val="center"/>
              <w:textAlignment w:val="bottom"/>
              <w:rPr>
                <w:color w:val="auto"/>
                <w:sz w:val="21"/>
                <w:szCs w:val="21"/>
                <w:highlight w:val="none"/>
              </w:rPr>
            </w:pPr>
            <w:r>
              <w:rPr>
                <w:color w:val="auto"/>
                <w:sz w:val="21"/>
                <w:szCs w:val="21"/>
                <w:highlight w:val="none"/>
              </w:rPr>
              <w:t>11#及14#仓下单筛</w:t>
            </w:r>
          </w:p>
        </w:tc>
      </w:tr>
      <w:tr w14:paraId="68D57A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cantSplit/>
          <w:trHeight w:val="397" w:hRule="atLeast"/>
          <w:jc w:val="center"/>
        </w:trPr>
        <w:tc>
          <w:tcPr>
            <w:tcW w:w="643" w:type="dxa"/>
            <w:tcBorders>
              <w:top w:val="single" w:color="auto" w:sz="4" w:space="0"/>
              <w:left w:val="single" w:color="auto" w:sz="12" w:space="0"/>
              <w:bottom w:val="single" w:color="auto" w:sz="4" w:space="0"/>
              <w:right w:val="single" w:color="auto" w:sz="4" w:space="0"/>
            </w:tcBorders>
            <w:shd w:val="clear" w:color="auto" w:fill="auto"/>
            <w:vAlign w:val="center"/>
          </w:tcPr>
          <w:p w14:paraId="1D275EC2">
            <w:pPr>
              <w:widowControl/>
              <w:shd w:val="clear"/>
              <w:ind w:firstLine="0" w:firstLineChars="0"/>
              <w:jc w:val="center"/>
              <w:textAlignment w:val="bottom"/>
              <w:rPr>
                <w:color w:val="auto"/>
                <w:sz w:val="21"/>
                <w:szCs w:val="21"/>
                <w:highlight w:val="none"/>
              </w:rPr>
            </w:pPr>
            <w:r>
              <w:rPr>
                <w:color w:val="auto"/>
                <w:sz w:val="21"/>
                <w:szCs w:val="21"/>
                <w:highlight w:val="none"/>
              </w:rPr>
              <w:t>5</w:t>
            </w:r>
          </w:p>
        </w:tc>
        <w:tc>
          <w:tcPr>
            <w:tcW w:w="32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B9E5AD3">
            <w:pPr>
              <w:widowControl/>
              <w:shd w:val="clear"/>
              <w:ind w:firstLine="0" w:firstLineChars="0"/>
              <w:jc w:val="center"/>
              <w:textAlignment w:val="bottom"/>
              <w:rPr>
                <w:color w:val="auto"/>
                <w:sz w:val="21"/>
                <w:szCs w:val="21"/>
                <w:highlight w:val="none"/>
              </w:rPr>
            </w:pPr>
            <w:r>
              <w:rPr>
                <w:color w:val="auto"/>
                <w:sz w:val="21"/>
                <w:szCs w:val="21"/>
                <w:highlight w:val="none"/>
              </w:rPr>
              <w:t>焦炭集中称量斗</w:t>
            </w:r>
          </w:p>
        </w:tc>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14:paraId="4A21CDEC">
            <w:pPr>
              <w:widowControl/>
              <w:shd w:val="clear"/>
              <w:ind w:firstLine="0" w:firstLineChars="0"/>
              <w:jc w:val="center"/>
              <w:textAlignment w:val="bottom"/>
              <w:rPr>
                <w:color w:val="auto"/>
                <w:sz w:val="21"/>
                <w:szCs w:val="21"/>
                <w:highlight w:val="none"/>
              </w:rPr>
            </w:pPr>
            <w:r>
              <w:rPr>
                <w:color w:val="auto"/>
                <w:sz w:val="21"/>
                <w:szCs w:val="21"/>
                <w:highlight w:val="none"/>
              </w:rPr>
              <w:t>2</w:t>
            </w:r>
          </w:p>
        </w:tc>
        <w:tc>
          <w:tcPr>
            <w:tcW w:w="2312" w:type="dxa"/>
            <w:tcBorders>
              <w:top w:val="single" w:color="auto" w:sz="4" w:space="0"/>
              <w:left w:val="single" w:color="auto" w:sz="4" w:space="0"/>
              <w:bottom w:val="single" w:color="auto" w:sz="4" w:space="0"/>
              <w:right w:val="single" w:color="auto" w:sz="4" w:space="0"/>
            </w:tcBorders>
            <w:shd w:val="clear" w:color="auto" w:fill="auto"/>
            <w:vAlign w:val="center"/>
          </w:tcPr>
          <w:p w14:paraId="6E023228">
            <w:pPr>
              <w:widowControl/>
              <w:shd w:val="clear"/>
              <w:ind w:firstLine="0" w:firstLineChars="0"/>
              <w:jc w:val="center"/>
              <w:textAlignment w:val="bottom"/>
              <w:rPr>
                <w:color w:val="auto"/>
                <w:sz w:val="21"/>
                <w:szCs w:val="21"/>
                <w:highlight w:val="none"/>
              </w:rPr>
            </w:pPr>
            <w:r>
              <w:rPr>
                <w:color w:val="auto"/>
                <w:sz w:val="21"/>
                <w:szCs w:val="21"/>
                <w:highlight w:val="none"/>
              </w:rPr>
              <w:t>壳体利旧、衬板更换</w:t>
            </w:r>
          </w:p>
        </w:tc>
        <w:tc>
          <w:tcPr>
            <w:tcW w:w="1491" w:type="dxa"/>
            <w:tcBorders>
              <w:top w:val="single" w:color="auto" w:sz="4" w:space="0"/>
              <w:left w:val="single" w:color="auto" w:sz="4" w:space="0"/>
              <w:bottom w:val="single" w:color="auto" w:sz="4" w:space="0"/>
              <w:right w:val="single" w:color="auto" w:sz="12" w:space="0"/>
            </w:tcBorders>
            <w:shd w:val="clear" w:color="auto" w:fill="auto"/>
            <w:vAlign w:val="center"/>
          </w:tcPr>
          <w:p w14:paraId="23EF3784">
            <w:pPr>
              <w:widowControl/>
              <w:shd w:val="clear"/>
              <w:ind w:firstLine="0" w:firstLineChars="0"/>
              <w:jc w:val="center"/>
              <w:textAlignment w:val="bottom"/>
              <w:rPr>
                <w:color w:val="auto"/>
                <w:sz w:val="21"/>
                <w:szCs w:val="21"/>
                <w:highlight w:val="none"/>
              </w:rPr>
            </w:pPr>
          </w:p>
        </w:tc>
      </w:tr>
      <w:tr w14:paraId="7E6722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cantSplit/>
          <w:trHeight w:val="397" w:hRule="atLeast"/>
          <w:jc w:val="center"/>
        </w:trPr>
        <w:tc>
          <w:tcPr>
            <w:tcW w:w="643" w:type="dxa"/>
            <w:tcBorders>
              <w:top w:val="single" w:color="auto" w:sz="4" w:space="0"/>
              <w:left w:val="single" w:color="auto" w:sz="12" w:space="0"/>
              <w:bottom w:val="single" w:color="auto" w:sz="4" w:space="0"/>
              <w:right w:val="single" w:color="auto" w:sz="4" w:space="0"/>
            </w:tcBorders>
            <w:shd w:val="clear" w:color="auto" w:fill="auto"/>
            <w:vAlign w:val="center"/>
          </w:tcPr>
          <w:p w14:paraId="62DBDA64">
            <w:pPr>
              <w:widowControl/>
              <w:shd w:val="clear"/>
              <w:ind w:firstLine="0" w:firstLineChars="0"/>
              <w:jc w:val="center"/>
              <w:textAlignment w:val="bottom"/>
              <w:rPr>
                <w:color w:val="auto"/>
                <w:sz w:val="21"/>
                <w:szCs w:val="21"/>
                <w:highlight w:val="none"/>
              </w:rPr>
            </w:pPr>
            <w:r>
              <w:rPr>
                <w:color w:val="auto"/>
                <w:sz w:val="21"/>
                <w:szCs w:val="21"/>
                <w:highlight w:val="none"/>
              </w:rPr>
              <w:t>6</w:t>
            </w:r>
          </w:p>
        </w:tc>
        <w:tc>
          <w:tcPr>
            <w:tcW w:w="32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D5813BB">
            <w:pPr>
              <w:widowControl/>
              <w:shd w:val="clear"/>
              <w:ind w:firstLine="0" w:firstLineChars="0"/>
              <w:jc w:val="center"/>
              <w:textAlignment w:val="bottom"/>
              <w:rPr>
                <w:color w:val="auto"/>
                <w:sz w:val="21"/>
                <w:szCs w:val="21"/>
                <w:highlight w:val="none"/>
              </w:rPr>
            </w:pPr>
            <w:r>
              <w:rPr>
                <w:color w:val="auto"/>
                <w:sz w:val="21"/>
                <w:szCs w:val="21"/>
                <w:highlight w:val="none"/>
              </w:rPr>
              <w:t>矿石集中称量斗</w:t>
            </w:r>
          </w:p>
        </w:tc>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14:paraId="63619C8B">
            <w:pPr>
              <w:widowControl/>
              <w:shd w:val="clear"/>
              <w:ind w:firstLine="0" w:firstLineChars="0"/>
              <w:jc w:val="center"/>
              <w:textAlignment w:val="bottom"/>
              <w:rPr>
                <w:color w:val="auto"/>
                <w:sz w:val="21"/>
                <w:szCs w:val="21"/>
                <w:highlight w:val="none"/>
              </w:rPr>
            </w:pPr>
            <w:r>
              <w:rPr>
                <w:color w:val="auto"/>
                <w:sz w:val="21"/>
                <w:szCs w:val="21"/>
                <w:highlight w:val="none"/>
              </w:rPr>
              <w:t>2</w:t>
            </w:r>
          </w:p>
        </w:tc>
        <w:tc>
          <w:tcPr>
            <w:tcW w:w="2312" w:type="dxa"/>
            <w:tcBorders>
              <w:top w:val="single" w:color="auto" w:sz="4" w:space="0"/>
              <w:left w:val="single" w:color="auto" w:sz="4" w:space="0"/>
              <w:bottom w:val="single" w:color="auto" w:sz="4" w:space="0"/>
              <w:right w:val="single" w:color="auto" w:sz="4" w:space="0"/>
            </w:tcBorders>
            <w:shd w:val="clear" w:color="auto" w:fill="auto"/>
            <w:vAlign w:val="center"/>
          </w:tcPr>
          <w:p w14:paraId="13BA3EE0">
            <w:pPr>
              <w:widowControl/>
              <w:shd w:val="clear"/>
              <w:ind w:firstLine="0" w:firstLineChars="0"/>
              <w:jc w:val="center"/>
              <w:textAlignment w:val="bottom"/>
              <w:rPr>
                <w:color w:val="auto"/>
                <w:sz w:val="21"/>
                <w:szCs w:val="21"/>
                <w:highlight w:val="none"/>
              </w:rPr>
            </w:pPr>
            <w:r>
              <w:rPr>
                <w:color w:val="auto"/>
                <w:sz w:val="21"/>
                <w:szCs w:val="21"/>
                <w:highlight w:val="none"/>
              </w:rPr>
              <w:t>壳体利旧、衬板更换</w:t>
            </w:r>
          </w:p>
        </w:tc>
        <w:tc>
          <w:tcPr>
            <w:tcW w:w="1491" w:type="dxa"/>
            <w:tcBorders>
              <w:top w:val="single" w:color="auto" w:sz="4" w:space="0"/>
              <w:left w:val="single" w:color="auto" w:sz="4" w:space="0"/>
              <w:bottom w:val="single" w:color="auto" w:sz="4" w:space="0"/>
              <w:right w:val="single" w:color="auto" w:sz="12" w:space="0"/>
            </w:tcBorders>
            <w:shd w:val="clear" w:color="auto" w:fill="auto"/>
            <w:vAlign w:val="center"/>
          </w:tcPr>
          <w:p w14:paraId="54DF190A">
            <w:pPr>
              <w:widowControl/>
              <w:shd w:val="clear"/>
              <w:ind w:firstLine="0" w:firstLineChars="0"/>
              <w:jc w:val="center"/>
              <w:textAlignment w:val="bottom"/>
              <w:rPr>
                <w:color w:val="auto"/>
                <w:sz w:val="21"/>
                <w:szCs w:val="21"/>
                <w:highlight w:val="none"/>
              </w:rPr>
            </w:pPr>
          </w:p>
        </w:tc>
      </w:tr>
      <w:tr w14:paraId="526F2D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3" w:type="dxa"/>
            <w:tcBorders>
              <w:top w:val="single" w:color="auto" w:sz="4" w:space="0"/>
              <w:left w:val="single" w:color="auto" w:sz="12" w:space="0"/>
              <w:bottom w:val="single" w:color="auto" w:sz="4" w:space="0"/>
              <w:right w:val="single" w:color="auto" w:sz="4" w:space="0"/>
            </w:tcBorders>
            <w:shd w:val="clear" w:color="auto" w:fill="auto"/>
            <w:vAlign w:val="center"/>
          </w:tcPr>
          <w:p w14:paraId="2B0E343B">
            <w:pPr>
              <w:widowControl/>
              <w:shd w:val="clear"/>
              <w:ind w:firstLine="0" w:firstLineChars="0"/>
              <w:jc w:val="center"/>
              <w:textAlignment w:val="bottom"/>
              <w:rPr>
                <w:color w:val="auto"/>
                <w:sz w:val="21"/>
                <w:szCs w:val="21"/>
                <w:highlight w:val="none"/>
              </w:rPr>
            </w:pPr>
            <w:r>
              <w:rPr>
                <w:color w:val="auto"/>
                <w:sz w:val="21"/>
                <w:szCs w:val="21"/>
                <w:highlight w:val="none"/>
              </w:rPr>
              <w:t>7</w:t>
            </w:r>
          </w:p>
        </w:tc>
        <w:tc>
          <w:tcPr>
            <w:tcW w:w="32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FBB0F1F">
            <w:pPr>
              <w:widowControl/>
              <w:shd w:val="clear"/>
              <w:ind w:firstLine="0" w:firstLineChars="0"/>
              <w:jc w:val="center"/>
              <w:textAlignment w:val="bottom"/>
              <w:rPr>
                <w:color w:val="auto"/>
                <w:sz w:val="21"/>
                <w:szCs w:val="21"/>
                <w:highlight w:val="none"/>
              </w:rPr>
            </w:pPr>
            <w:r>
              <w:rPr>
                <w:rFonts w:hint="eastAsia"/>
                <w:color w:val="auto"/>
                <w:sz w:val="21"/>
                <w:szCs w:val="21"/>
                <w:highlight w:val="none"/>
              </w:rPr>
              <w:t>筛上溜槽</w:t>
            </w:r>
          </w:p>
        </w:tc>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14:paraId="6FA044DB">
            <w:pPr>
              <w:widowControl/>
              <w:shd w:val="clear"/>
              <w:ind w:firstLine="0" w:firstLineChars="0"/>
              <w:jc w:val="center"/>
              <w:textAlignment w:val="bottom"/>
              <w:rPr>
                <w:color w:val="auto"/>
                <w:sz w:val="21"/>
                <w:szCs w:val="21"/>
                <w:highlight w:val="none"/>
              </w:rPr>
            </w:pPr>
          </w:p>
        </w:tc>
        <w:tc>
          <w:tcPr>
            <w:tcW w:w="2312" w:type="dxa"/>
            <w:tcBorders>
              <w:top w:val="single" w:color="auto" w:sz="4" w:space="0"/>
              <w:left w:val="single" w:color="auto" w:sz="4" w:space="0"/>
              <w:bottom w:val="single" w:color="auto" w:sz="4" w:space="0"/>
              <w:right w:val="single" w:color="auto" w:sz="4" w:space="0"/>
            </w:tcBorders>
            <w:shd w:val="clear" w:color="auto" w:fill="auto"/>
            <w:vAlign w:val="center"/>
          </w:tcPr>
          <w:p w14:paraId="1C51B115">
            <w:pPr>
              <w:widowControl/>
              <w:shd w:val="clear"/>
              <w:ind w:firstLine="0" w:firstLineChars="0"/>
              <w:jc w:val="center"/>
              <w:textAlignment w:val="bottom"/>
              <w:rPr>
                <w:color w:val="auto"/>
                <w:sz w:val="21"/>
                <w:szCs w:val="21"/>
                <w:highlight w:val="none"/>
              </w:rPr>
            </w:pPr>
            <w:r>
              <w:rPr>
                <w:color w:val="auto"/>
                <w:sz w:val="21"/>
                <w:szCs w:val="21"/>
                <w:highlight w:val="none"/>
              </w:rPr>
              <w:t>壳体利旧、衬板更换</w:t>
            </w:r>
          </w:p>
        </w:tc>
        <w:tc>
          <w:tcPr>
            <w:tcW w:w="1491" w:type="dxa"/>
            <w:tcBorders>
              <w:top w:val="single" w:color="auto" w:sz="4" w:space="0"/>
              <w:left w:val="single" w:color="auto" w:sz="4" w:space="0"/>
              <w:bottom w:val="single" w:color="auto" w:sz="4" w:space="0"/>
              <w:right w:val="single" w:color="auto" w:sz="12" w:space="0"/>
            </w:tcBorders>
            <w:shd w:val="clear" w:color="auto" w:fill="auto"/>
            <w:vAlign w:val="center"/>
          </w:tcPr>
          <w:p w14:paraId="4E9EF8C1">
            <w:pPr>
              <w:widowControl/>
              <w:shd w:val="clear"/>
              <w:ind w:firstLine="0" w:firstLineChars="0"/>
              <w:jc w:val="center"/>
              <w:textAlignment w:val="bottom"/>
              <w:rPr>
                <w:color w:val="auto"/>
                <w:sz w:val="21"/>
                <w:szCs w:val="21"/>
                <w:highlight w:val="none"/>
              </w:rPr>
            </w:pPr>
          </w:p>
        </w:tc>
      </w:tr>
      <w:tr w14:paraId="01E214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cantSplit/>
          <w:jc w:val="center"/>
        </w:trPr>
        <w:tc>
          <w:tcPr>
            <w:tcW w:w="643" w:type="dxa"/>
            <w:tcBorders>
              <w:top w:val="single" w:color="auto" w:sz="4" w:space="0"/>
              <w:left w:val="single" w:color="auto" w:sz="12" w:space="0"/>
              <w:bottom w:val="single" w:color="auto" w:sz="4" w:space="0"/>
              <w:right w:val="single" w:color="auto" w:sz="4" w:space="0"/>
            </w:tcBorders>
            <w:shd w:val="clear" w:color="auto" w:fill="auto"/>
            <w:vAlign w:val="center"/>
          </w:tcPr>
          <w:p w14:paraId="61267CBD">
            <w:pPr>
              <w:widowControl/>
              <w:shd w:val="clear"/>
              <w:ind w:firstLine="0" w:firstLineChars="0"/>
              <w:jc w:val="center"/>
              <w:textAlignment w:val="bottom"/>
              <w:rPr>
                <w:color w:val="auto"/>
                <w:sz w:val="21"/>
                <w:szCs w:val="21"/>
                <w:highlight w:val="none"/>
              </w:rPr>
            </w:pPr>
            <w:r>
              <w:rPr>
                <w:color w:val="auto"/>
                <w:sz w:val="21"/>
                <w:szCs w:val="21"/>
                <w:highlight w:val="none"/>
              </w:rPr>
              <w:t>8</w:t>
            </w:r>
          </w:p>
        </w:tc>
        <w:tc>
          <w:tcPr>
            <w:tcW w:w="32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390A776">
            <w:pPr>
              <w:widowControl/>
              <w:shd w:val="clear"/>
              <w:ind w:firstLine="0" w:firstLineChars="0"/>
              <w:jc w:val="center"/>
              <w:textAlignment w:val="bottom"/>
              <w:rPr>
                <w:color w:val="auto"/>
                <w:sz w:val="21"/>
                <w:szCs w:val="21"/>
                <w:highlight w:val="none"/>
              </w:rPr>
            </w:pPr>
            <w:r>
              <w:rPr>
                <w:rFonts w:hint="eastAsia"/>
                <w:color w:val="auto"/>
                <w:sz w:val="21"/>
                <w:szCs w:val="21"/>
                <w:highlight w:val="none"/>
              </w:rPr>
              <w:t>筛下</w:t>
            </w:r>
            <w:r>
              <w:rPr>
                <w:color w:val="auto"/>
                <w:sz w:val="21"/>
                <w:szCs w:val="21"/>
                <w:highlight w:val="none"/>
              </w:rPr>
              <w:t>溜槽</w:t>
            </w:r>
          </w:p>
        </w:tc>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14:paraId="7D13EA92">
            <w:pPr>
              <w:widowControl/>
              <w:shd w:val="clear"/>
              <w:ind w:firstLine="0" w:firstLineChars="0"/>
              <w:jc w:val="center"/>
              <w:textAlignment w:val="bottom"/>
              <w:rPr>
                <w:color w:val="auto"/>
                <w:sz w:val="21"/>
                <w:szCs w:val="21"/>
                <w:highlight w:val="none"/>
              </w:rPr>
            </w:pPr>
          </w:p>
        </w:tc>
        <w:tc>
          <w:tcPr>
            <w:tcW w:w="2312" w:type="dxa"/>
            <w:tcBorders>
              <w:top w:val="single" w:color="auto" w:sz="4" w:space="0"/>
              <w:left w:val="single" w:color="auto" w:sz="4" w:space="0"/>
              <w:bottom w:val="single" w:color="auto" w:sz="4" w:space="0"/>
              <w:right w:val="single" w:color="auto" w:sz="4" w:space="0"/>
            </w:tcBorders>
            <w:shd w:val="clear" w:color="auto" w:fill="auto"/>
            <w:vAlign w:val="center"/>
          </w:tcPr>
          <w:p w14:paraId="4F5D5C04">
            <w:pPr>
              <w:widowControl/>
              <w:shd w:val="clear"/>
              <w:ind w:firstLine="0" w:firstLineChars="0"/>
              <w:jc w:val="center"/>
              <w:textAlignment w:val="bottom"/>
              <w:rPr>
                <w:color w:val="auto"/>
                <w:sz w:val="21"/>
                <w:szCs w:val="21"/>
                <w:highlight w:val="none"/>
              </w:rPr>
            </w:pPr>
            <w:r>
              <w:rPr>
                <w:color w:val="auto"/>
                <w:sz w:val="21"/>
                <w:szCs w:val="21"/>
                <w:highlight w:val="none"/>
              </w:rPr>
              <w:t>壳体</w:t>
            </w:r>
            <w:r>
              <w:rPr>
                <w:rFonts w:hint="eastAsia"/>
                <w:color w:val="auto"/>
                <w:sz w:val="21"/>
                <w:szCs w:val="21"/>
                <w:highlight w:val="none"/>
              </w:rPr>
              <w:t>更新并设料打料防磨损措施</w:t>
            </w:r>
          </w:p>
        </w:tc>
        <w:tc>
          <w:tcPr>
            <w:tcW w:w="1491" w:type="dxa"/>
            <w:tcBorders>
              <w:top w:val="single" w:color="auto" w:sz="4" w:space="0"/>
              <w:left w:val="single" w:color="auto" w:sz="4" w:space="0"/>
              <w:bottom w:val="single" w:color="auto" w:sz="4" w:space="0"/>
              <w:right w:val="single" w:color="auto" w:sz="12" w:space="0"/>
            </w:tcBorders>
            <w:shd w:val="clear" w:color="auto" w:fill="auto"/>
            <w:vAlign w:val="center"/>
          </w:tcPr>
          <w:p w14:paraId="570BE0B6">
            <w:pPr>
              <w:widowControl/>
              <w:shd w:val="clear"/>
              <w:ind w:firstLine="0" w:firstLineChars="0"/>
              <w:jc w:val="center"/>
              <w:textAlignment w:val="bottom"/>
              <w:rPr>
                <w:color w:val="auto"/>
                <w:sz w:val="21"/>
                <w:szCs w:val="21"/>
                <w:highlight w:val="none"/>
              </w:rPr>
            </w:pPr>
          </w:p>
        </w:tc>
      </w:tr>
      <w:tr w14:paraId="4AF483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cantSplit/>
          <w:jc w:val="center"/>
        </w:trPr>
        <w:tc>
          <w:tcPr>
            <w:tcW w:w="643"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14:paraId="212AC909">
            <w:pPr>
              <w:widowControl/>
              <w:shd w:val="clear"/>
              <w:ind w:firstLine="0" w:firstLineChars="0"/>
              <w:jc w:val="center"/>
              <w:textAlignment w:val="bottom"/>
              <w:rPr>
                <w:color w:val="auto"/>
                <w:sz w:val="21"/>
                <w:szCs w:val="21"/>
                <w:highlight w:val="none"/>
              </w:rPr>
            </w:pPr>
            <w:r>
              <w:rPr>
                <w:color w:val="auto"/>
                <w:sz w:val="21"/>
                <w:szCs w:val="21"/>
                <w:highlight w:val="none"/>
              </w:rPr>
              <w:t>9</w:t>
            </w:r>
          </w:p>
        </w:tc>
        <w:tc>
          <w:tcPr>
            <w:tcW w:w="8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57B5EFB">
            <w:pPr>
              <w:widowControl/>
              <w:shd w:val="clear"/>
              <w:ind w:right="-233" w:rightChars="-97" w:firstLine="0" w:firstLineChars="0"/>
              <w:jc w:val="both"/>
              <w:textAlignment w:val="bottom"/>
              <w:rPr>
                <w:color w:val="auto"/>
                <w:sz w:val="21"/>
                <w:szCs w:val="21"/>
                <w:highlight w:val="none"/>
              </w:rPr>
            </w:pPr>
            <w:r>
              <w:rPr>
                <w:color w:val="auto"/>
                <w:sz w:val="21"/>
                <w:szCs w:val="21"/>
                <w:highlight w:val="none"/>
              </w:rPr>
              <w:t>槽下闸</w:t>
            </w:r>
          </w:p>
          <w:p w14:paraId="0212CB26">
            <w:pPr>
              <w:widowControl/>
              <w:shd w:val="clear"/>
              <w:ind w:right="-233" w:rightChars="-97" w:firstLine="0" w:firstLineChars="0"/>
              <w:jc w:val="both"/>
              <w:textAlignment w:val="bottom"/>
              <w:rPr>
                <w:color w:val="auto"/>
                <w:sz w:val="21"/>
                <w:szCs w:val="21"/>
                <w:highlight w:val="none"/>
              </w:rPr>
            </w:pPr>
            <w:r>
              <w:rPr>
                <w:color w:val="auto"/>
                <w:sz w:val="21"/>
                <w:szCs w:val="21"/>
                <w:highlight w:val="none"/>
              </w:rPr>
              <w:t>门</w:t>
            </w:r>
          </w:p>
        </w:tc>
        <w:tc>
          <w:tcPr>
            <w:tcW w:w="2378" w:type="dxa"/>
            <w:tcBorders>
              <w:top w:val="single" w:color="auto" w:sz="4" w:space="0"/>
              <w:left w:val="single" w:color="auto" w:sz="4" w:space="0"/>
              <w:bottom w:val="single" w:color="auto" w:sz="4" w:space="0"/>
              <w:right w:val="single" w:color="auto" w:sz="4" w:space="0"/>
            </w:tcBorders>
            <w:shd w:val="clear" w:color="auto" w:fill="auto"/>
            <w:vAlign w:val="center"/>
          </w:tcPr>
          <w:p w14:paraId="2B31C02B">
            <w:pPr>
              <w:widowControl/>
              <w:shd w:val="clear"/>
              <w:ind w:firstLine="0" w:firstLineChars="0"/>
              <w:jc w:val="center"/>
              <w:textAlignment w:val="bottom"/>
              <w:rPr>
                <w:color w:val="auto"/>
                <w:sz w:val="21"/>
                <w:szCs w:val="21"/>
                <w:highlight w:val="none"/>
              </w:rPr>
            </w:pPr>
            <w:r>
              <w:rPr>
                <w:color w:val="auto"/>
                <w:sz w:val="21"/>
                <w:szCs w:val="21"/>
                <w:highlight w:val="none"/>
              </w:rPr>
              <w:t>焦炭集中称量斗闸门</w:t>
            </w:r>
          </w:p>
        </w:tc>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14:paraId="6D847A8B">
            <w:pPr>
              <w:widowControl/>
              <w:shd w:val="clear"/>
              <w:ind w:firstLine="0" w:firstLineChars="0"/>
              <w:jc w:val="center"/>
              <w:textAlignment w:val="bottom"/>
              <w:rPr>
                <w:color w:val="auto"/>
                <w:sz w:val="21"/>
                <w:szCs w:val="21"/>
                <w:highlight w:val="none"/>
              </w:rPr>
            </w:pPr>
            <w:r>
              <w:rPr>
                <w:color w:val="auto"/>
                <w:sz w:val="21"/>
                <w:szCs w:val="21"/>
                <w:highlight w:val="none"/>
              </w:rPr>
              <w:t>2</w:t>
            </w:r>
          </w:p>
        </w:tc>
        <w:tc>
          <w:tcPr>
            <w:tcW w:w="23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6AEE726">
            <w:pPr>
              <w:widowControl/>
              <w:shd w:val="clear"/>
              <w:ind w:firstLine="0" w:firstLineChars="0"/>
              <w:jc w:val="center"/>
              <w:textAlignment w:val="bottom"/>
              <w:rPr>
                <w:color w:val="auto"/>
                <w:sz w:val="21"/>
                <w:szCs w:val="21"/>
                <w:highlight w:val="none"/>
              </w:rPr>
            </w:pPr>
            <w:r>
              <w:rPr>
                <w:color w:val="auto"/>
                <w:sz w:val="21"/>
                <w:szCs w:val="21"/>
                <w:highlight w:val="none"/>
              </w:rPr>
              <w:t>全部</w:t>
            </w:r>
            <w:r>
              <w:rPr>
                <w:rFonts w:hint="eastAsia"/>
                <w:color w:val="auto"/>
                <w:sz w:val="21"/>
                <w:szCs w:val="21"/>
                <w:highlight w:val="none"/>
              </w:rPr>
              <w:t>更换</w:t>
            </w:r>
          </w:p>
        </w:tc>
        <w:tc>
          <w:tcPr>
            <w:tcW w:w="1491" w:type="dxa"/>
            <w:vMerge w:val="restart"/>
            <w:tcBorders>
              <w:top w:val="single" w:color="auto" w:sz="4" w:space="0"/>
              <w:left w:val="single" w:color="auto" w:sz="4" w:space="0"/>
              <w:bottom w:val="single" w:color="auto" w:sz="4" w:space="0"/>
              <w:right w:val="single" w:color="auto" w:sz="12" w:space="0"/>
            </w:tcBorders>
            <w:shd w:val="clear" w:color="auto" w:fill="auto"/>
            <w:vAlign w:val="center"/>
          </w:tcPr>
          <w:p w14:paraId="3BA71C48">
            <w:pPr>
              <w:widowControl/>
              <w:shd w:val="clear"/>
              <w:ind w:firstLine="0" w:firstLineChars="0"/>
              <w:jc w:val="center"/>
              <w:textAlignment w:val="bottom"/>
              <w:rPr>
                <w:color w:val="auto"/>
                <w:sz w:val="21"/>
                <w:szCs w:val="21"/>
                <w:highlight w:val="none"/>
              </w:rPr>
            </w:pPr>
          </w:p>
        </w:tc>
      </w:tr>
      <w:tr w14:paraId="2781D0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cantSplit/>
          <w:jc w:val="center"/>
        </w:trPr>
        <w:tc>
          <w:tcPr>
            <w:tcW w:w="643"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272F2F5B">
            <w:pPr>
              <w:widowControl/>
              <w:shd w:val="clear"/>
              <w:ind w:left="-30" w:leftChars="-100" w:hanging="210" w:hangingChars="100"/>
              <w:jc w:val="center"/>
              <w:textAlignment w:val="bottom"/>
              <w:rPr>
                <w:color w:val="auto"/>
                <w:sz w:val="21"/>
                <w:szCs w:val="21"/>
                <w:highlight w:val="none"/>
              </w:rPr>
            </w:pPr>
          </w:p>
        </w:tc>
        <w:tc>
          <w:tcPr>
            <w:tcW w:w="88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1E5535">
            <w:pPr>
              <w:widowControl/>
              <w:shd w:val="clear"/>
              <w:ind w:firstLine="420"/>
              <w:jc w:val="center"/>
              <w:textAlignment w:val="bottom"/>
              <w:rPr>
                <w:color w:val="auto"/>
                <w:sz w:val="21"/>
                <w:szCs w:val="21"/>
                <w:highlight w:val="none"/>
              </w:rPr>
            </w:pPr>
          </w:p>
        </w:tc>
        <w:tc>
          <w:tcPr>
            <w:tcW w:w="2378" w:type="dxa"/>
            <w:tcBorders>
              <w:top w:val="single" w:color="auto" w:sz="4" w:space="0"/>
              <w:left w:val="single" w:color="auto" w:sz="4" w:space="0"/>
              <w:bottom w:val="single" w:color="auto" w:sz="4" w:space="0"/>
              <w:right w:val="single" w:color="auto" w:sz="4" w:space="0"/>
            </w:tcBorders>
            <w:shd w:val="clear" w:color="auto" w:fill="auto"/>
            <w:vAlign w:val="center"/>
          </w:tcPr>
          <w:p w14:paraId="4610C6AF">
            <w:pPr>
              <w:widowControl/>
              <w:shd w:val="clear"/>
              <w:ind w:firstLine="0" w:firstLineChars="0"/>
              <w:jc w:val="center"/>
              <w:textAlignment w:val="bottom"/>
              <w:rPr>
                <w:color w:val="auto"/>
                <w:sz w:val="21"/>
                <w:szCs w:val="21"/>
                <w:highlight w:val="none"/>
              </w:rPr>
            </w:pPr>
            <w:r>
              <w:rPr>
                <w:color w:val="auto"/>
                <w:sz w:val="21"/>
                <w:szCs w:val="21"/>
                <w:highlight w:val="none"/>
              </w:rPr>
              <w:t>矿石集中称量斗闸门</w:t>
            </w:r>
          </w:p>
        </w:tc>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14:paraId="1741428D">
            <w:pPr>
              <w:widowControl/>
              <w:shd w:val="clear"/>
              <w:ind w:firstLine="0" w:firstLineChars="0"/>
              <w:jc w:val="center"/>
              <w:textAlignment w:val="bottom"/>
              <w:rPr>
                <w:color w:val="auto"/>
                <w:sz w:val="21"/>
                <w:szCs w:val="21"/>
                <w:highlight w:val="none"/>
              </w:rPr>
            </w:pPr>
            <w:r>
              <w:rPr>
                <w:color w:val="auto"/>
                <w:sz w:val="21"/>
                <w:szCs w:val="21"/>
                <w:highlight w:val="none"/>
              </w:rPr>
              <w:t>2</w:t>
            </w:r>
          </w:p>
        </w:tc>
        <w:tc>
          <w:tcPr>
            <w:tcW w:w="23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E9B6B8">
            <w:pPr>
              <w:widowControl/>
              <w:shd w:val="clear"/>
              <w:ind w:firstLine="420"/>
              <w:jc w:val="center"/>
              <w:textAlignment w:val="bottom"/>
              <w:rPr>
                <w:color w:val="auto"/>
                <w:sz w:val="21"/>
                <w:szCs w:val="21"/>
                <w:highlight w:val="none"/>
              </w:rPr>
            </w:pPr>
          </w:p>
        </w:tc>
        <w:tc>
          <w:tcPr>
            <w:tcW w:w="1491" w:type="dxa"/>
            <w:vMerge w:val="continue"/>
            <w:tcBorders>
              <w:top w:val="single" w:color="auto" w:sz="4" w:space="0"/>
              <w:left w:val="single" w:color="auto" w:sz="4" w:space="0"/>
              <w:bottom w:val="single" w:color="auto" w:sz="4" w:space="0"/>
              <w:right w:val="single" w:color="auto" w:sz="12" w:space="0"/>
            </w:tcBorders>
            <w:shd w:val="clear" w:color="auto" w:fill="auto"/>
            <w:vAlign w:val="center"/>
          </w:tcPr>
          <w:p w14:paraId="15E59FA9">
            <w:pPr>
              <w:widowControl/>
              <w:shd w:val="clear"/>
              <w:ind w:firstLine="420"/>
              <w:jc w:val="center"/>
              <w:textAlignment w:val="bottom"/>
              <w:rPr>
                <w:color w:val="auto"/>
                <w:sz w:val="21"/>
                <w:szCs w:val="21"/>
                <w:highlight w:val="none"/>
              </w:rPr>
            </w:pPr>
          </w:p>
        </w:tc>
      </w:tr>
      <w:tr w14:paraId="60F375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3" w:type="dxa"/>
            <w:tcBorders>
              <w:top w:val="single" w:color="auto" w:sz="4" w:space="0"/>
              <w:left w:val="single" w:color="auto" w:sz="12" w:space="0"/>
              <w:bottom w:val="single" w:color="auto" w:sz="4" w:space="0"/>
              <w:right w:val="single" w:color="auto" w:sz="4" w:space="0"/>
            </w:tcBorders>
            <w:shd w:val="clear" w:color="auto" w:fill="auto"/>
            <w:vAlign w:val="center"/>
          </w:tcPr>
          <w:p w14:paraId="1EE567EB">
            <w:pPr>
              <w:widowControl/>
              <w:shd w:val="clear"/>
              <w:ind w:firstLine="0" w:firstLineChars="0"/>
              <w:jc w:val="center"/>
              <w:textAlignment w:val="bottom"/>
              <w:rPr>
                <w:color w:val="auto"/>
                <w:sz w:val="21"/>
                <w:szCs w:val="21"/>
                <w:highlight w:val="none"/>
              </w:rPr>
            </w:pPr>
            <w:r>
              <w:rPr>
                <w:color w:val="auto"/>
                <w:sz w:val="21"/>
                <w:szCs w:val="21"/>
                <w:highlight w:val="none"/>
              </w:rPr>
              <w:t>10</w:t>
            </w:r>
          </w:p>
        </w:tc>
        <w:tc>
          <w:tcPr>
            <w:tcW w:w="32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CBEB57B">
            <w:pPr>
              <w:widowControl/>
              <w:shd w:val="clear"/>
              <w:ind w:firstLine="420"/>
              <w:jc w:val="center"/>
              <w:textAlignment w:val="bottom"/>
              <w:rPr>
                <w:color w:val="auto"/>
                <w:sz w:val="21"/>
                <w:szCs w:val="21"/>
                <w:highlight w:val="none"/>
              </w:rPr>
            </w:pPr>
            <w:r>
              <w:rPr>
                <w:rFonts w:hint="eastAsia"/>
                <w:color w:val="auto"/>
                <w:sz w:val="21"/>
                <w:szCs w:val="21"/>
                <w:highlight w:val="none"/>
              </w:rPr>
              <w:t>废钢</w:t>
            </w:r>
            <w:r>
              <w:rPr>
                <w:color w:val="auto"/>
                <w:sz w:val="21"/>
                <w:szCs w:val="21"/>
                <w:highlight w:val="none"/>
              </w:rPr>
              <w:t>给料机</w:t>
            </w:r>
          </w:p>
        </w:tc>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14:paraId="1147997B">
            <w:pPr>
              <w:widowControl/>
              <w:shd w:val="clear"/>
              <w:ind w:firstLine="0" w:firstLineChars="0"/>
              <w:jc w:val="center"/>
              <w:textAlignment w:val="bottom"/>
              <w:rPr>
                <w:color w:val="auto"/>
                <w:sz w:val="21"/>
                <w:szCs w:val="21"/>
                <w:highlight w:val="none"/>
              </w:rPr>
            </w:pPr>
            <w:r>
              <w:rPr>
                <w:color w:val="auto"/>
                <w:sz w:val="21"/>
                <w:szCs w:val="21"/>
                <w:highlight w:val="none"/>
              </w:rPr>
              <w:t>1</w:t>
            </w:r>
          </w:p>
        </w:tc>
        <w:tc>
          <w:tcPr>
            <w:tcW w:w="2312" w:type="dxa"/>
            <w:tcBorders>
              <w:top w:val="single" w:color="auto" w:sz="4" w:space="0"/>
              <w:left w:val="single" w:color="auto" w:sz="4" w:space="0"/>
              <w:bottom w:val="single" w:color="auto" w:sz="4" w:space="0"/>
              <w:right w:val="single" w:color="auto" w:sz="4" w:space="0"/>
            </w:tcBorders>
            <w:shd w:val="clear" w:color="auto" w:fill="auto"/>
            <w:vAlign w:val="center"/>
          </w:tcPr>
          <w:p w14:paraId="15D77DFC">
            <w:pPr>
              <w:widowControl/>
              <w:shd w:val="clear"/>
              <w:ind w:firstLine="0" w:firstLineChars="0"/>
              <w:jc w:val="center"/>
              <w:textAlignment w:val="bottom"/>
              <w:rPr>
                <w:color w:val="auto"/>
                <w:sz w:val="21"/>
                <w:szCs w:val="21"/>
                <w:highlight w:val="none"/>
              </w:rPr>
            </w:pPr>
            <w:r>
              <w:rPr>
                <w:rFonts w:hint="eastAsia"/>
                <w:color w:val="auto"/>
                <w:sz w:val="21"/>
                <w:szCs w:val="21"/>
                <w:highlight w:val="none"/>
              </w:rPr>
              <w:t>更换</w:t>
            </w:r>
          </w:p>
        </w:tc>
        <w:tc>
          <w:tcPr>
            <w:tcW w:w="1491" w:type="dxa"/>
            <w:tcBorders>
              <w:top w:val="single" w:color="auto" w:sz="4" w:space="0"/>
              <w:left w:val="single" w:color="auto" w:sz="4" w:space="0"/>
              <w:bottom w:val="single" w:color="auto" w:sz="4" w:space="0"/>
              <w:right w:val="single" w:color="auto" w:sz="12" w:space="0"/>
            </w:tcBorders>
            <w:shd w:val="clear" w:color="auto" w:fill="auto"/>
            <w:vAlign w:val="center"/>
          </w:tcPr>
          <w:p w14:paraId="6A016CF7">
            <w:pPr>
              <w:widowControl/>
              <w:shd w:val="clear"/>
              <w:ind w:firstLine="420"/>
              <w:jc w:val="center"/>
              <w:textAlignment w:val="bottom"/>
              <w:rPr>
                <w:color w:val="auto"/>
                <w:sz w:val="21"/>
                <w:szCs w:val="21"/>
                <w:highlight w:val="none"/>
              </w:rPr>
            </w:pPr>
          </w:p>
        </w:tc>
      </w:tr>
      <w:tr w14:paraId="51F932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cantSplit/>
          <w:jc w:val="center"/>
        </w:trPr>
        <w:tc>
          <w:tcPr>
            <w:tcW w:w="643" w:type="dxa"/>
            <w:tcBorders>
              <w:top w:val="single" w:color="auto" w:sz="4" w:space="0"/>
              <w:left w:val="single" w:color="auto" w:sz="12" w:space="0"/>
              <w:bottom w:val="single" w:color="auto" w:sz="4" w:space="0"/>
              <w:right w:val="single" w:color="auto" w:sz="4" w:space="0"/>
            </w:tcBorders>
            <w:shd w:val="clear" w:color="auto" w:fill="auto"/>
            <w:vAlign w:val="center"/>
          </w:tcPr>
          <w:p w14:paraId="6BFD9962">
            <w:pPr>
              <w:widowControl/>
              <w:shd w:val="clear"/>
              <w:ind w:firstLine="0" w:firstLineChars="0"/>
              <w:jc w:val="center"/>
              <w:textAlignment w:val="bottom"/>
              <w:rPr>
                <w:color w:val="auto"/>
                <w:sz w:val="21"/>
                <w:szCs w:val="21"/>
                <w:highlight w:val="none"/>
              </w:rPr>
            </w:pPr>
            <w:r>
              <w:rPr>
                <w:rFonts w:hint="eastAsia"/>
                <w:color w:val="auto"/>
                <w:sz w:val="21"/>
                <w:szCs w:val="21"/>
                <w:highlight w:val="none"/>
              </w:rPr>
              <w:t>11</w:t>
            </w:r>
          </w:p>
        </w:tc>
        <w:tc>
          <w:tcPr>
            <w:tcW w:w="32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6FF753A">
            <w:pPr>
              <w:widowControl/>
              <w:shd w:val="clear"/>
              <w:ind w:firstLine="420"/>
              <w:jc w:val="center"/>
              <w:textAlignment w:val="bottom"/>
              <w:rPr>
                <w:color w:val="auto"/>
                <w:sz w:val="21"/>
                <w:szCs w:val="21"/>
                <w:highlight w:val="none"/>
              </w:rPr>
            </w:pPr>
            <w:r>
              <w:rPr>
                <w:rFonts w:hint="eastAsia"/>
                <w:color w:val="auto"/>
                <w:sz w:val="21"/>
                <w:szCs w:val="21"/>
                <w:highlight w:val="none"/>
              </w:rPr>
              <w:t>南北上料皮带机胶带、托辊支架10组、五防、导料槽，机头清扫器</w:t>
            </w:r>
          </w:p>
        </w:tc>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14:paraId="4CF1670D">
            <w:pPr>
              <w:widowControl/>
              <w:shd w:val="clear"/>
              <w:ind w:firstLine="0" w:firstLineChars="0"/>
              <w:jc w:val="center"/>
              <w:textAlignment w:val="bottom"/>
              <w:rPr>
                <w:color w:val="auto"/>
                <w:sz w:val="21"/>
                <w:szCs w:val="21"/>
                <w:highlight w:val="none"/>
              </w:rPr>
            </w:pPr>
            <w:r>
              <w:rPr>
                <w:rFonts w:hint="eastAsia"/>
                <w:color w:val="auto"/>
                <w:sz w:val="21"/>
                <w:szCs w:val="21"/>
                <w:highlight w:val="none"/>
              </w:rPr>
              <w:t>2</w:t>
            </w:r>
          </w:p>
        </w:tc>
        <w:tc>
          <w:tcPr>
            <w:tcW w:w="2312" w:type="dxa"/>
            <w:tcBorders>
              <w:top w:val="single" w:color="auto" w:sz="4" w:space="0"/>
              <w:left w:val="single" w:color="auto" w:sz="4" w:space="0"/>
              <w:bottom w:val="single" w:color="auto" w:sz="4" w:space="0"/>
              <w:right w:val="single" w:color="auto" w:sz="4" w:space="0"/>
            </w:tcBorders>
            <w:shd w:val="clear" w:color="auto" w:fill="auto"/>
            <w:vAlign w:val="center"/>
          </w:tcPr>
          <w:p w14:paraId="6FFAD63F">
            <w:pPr>
              <w:widowControl/>
              <w:shd w:val="clear"/>
              <w:ind w:firstLine="0" w:firstLineChars="0"/>
              <w:jc w:val="center"/>
              <w:textAlignment w:val="bottom"/>
              <w:rPr>
                <w:color w:val="auto"/>
                <w:sz w:val="21"/>
                <w:szCs w:val="21"/>
                <w:highlight w:val="none"/>
              </w:rPr>
            </w:pPr>
            <w:r>
              <w:rPr>
                <w:rFonts w:hint="eastAsia"/>
                <w:color w:val="auto"/>
                <w:sz w:val="21"/>
                <w:szCs w:val="21"/>
                <w:highlight w:val="none"/>
              </w:rPr>
              <w:t>皮带机拉绳、跑偏装置保护性拆除</w:t>
            </w:r>
            <w:r>
              <w:rPr>
                <w:rFonts w:hint="eastAsia"/>
                <w:color w:val="auto"/>
                <w:sz w:val="21"/>
                <w:szCs w:val="21"/>
                <w:highlight w:val="none"/>
                <w:lang w:val="en-US" w:eastAsia="zh-CN"/>
              </w:rPr>
              <w:t>后</w:t>
            </w:r>
            <w:r>
              <w:rPr>
                <w:rFonts w:hint="eastAsia"/>
                <w:color w:val="auto"/>
                <w:sz w:val="21"/>
                <w:szCs w:val="21"/>
                <w:highlight w:val="none"/>
              </w:rPr>
              <w:t>再恢复，增加打滑检测、溜槽防堵料装置、声光报警、纵向防撕裂装置</w:t>
            </w:r>
          </w:p>
        </w:tc>
        <w:tc>
          <w:tcPr>
            <w:tcW w:w="1491" w:type="dxa"/>
            <w:tcBorders>
              <w:top w:val="single" w:color="auto" w:sz="4" w:space="0"/>
              <w:left w:val="single" w:color="auto" w:sz="4" w:space="0"/>
              <w:bottom w:val="single" w:color="auto" w:sz="4" w:space="0"/>
              <w:right w:val="single" w:color="auto" w:sz="12" w:space="0"/>
            </w:tcBorders>
            <w:shd w:val="clear" w:color="auto" w:fill="auto"/>
            <w:vAlign w:val="center"/>
          </w:tcPr>
          <w:p w14:paraId="7685479E">
            <w:pPr>
              <w:widowControl/>
              <w:shd w:val="clear"/>
              <w:ind w:firstLine="420"/>
              <w:jc w:val="center"/>
              <w:textAlignment w:val="bottom"/>
              <w:rPr>
                <w:color w:val="auto"/>
                <w:sz w:val="21"/>
                <w:szCs w:val="21"/>
                <w:highlight w:val="none"/>
              </w:rPr>
            </w:pPr>
          </w:p>
        </w:tc>
      </w:tr>
      <w:tr w14:paraId="5C51C0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cantSplit/>
          <w:jc w:val="center"/>
        </w:trPr>
        <w:tc>
          <w:tcPr>
            <w:tcW w:w="643" w:type="dxa"/>
            <w:tcBorders>
              <w:top w:val="single" w:color="auto" w:sz="4" w:space="0"/>
              <w:left w:val="single" w:color="auto" w:sz="12" w:space="0"/>
              <w:bottom w:val="single" w:color="auto" w:sz="4" w:space="0"/>
              <w:right w:val="single" w:color="auto" w:sz="4" w:space="0"/>
            </w:tcBorders>
            <w:shd w:val="clear" w:color="auto" w:fill="auto"/>
            <w:vAlign w:val="center"/>
          </w:tcPr>
          <w:p w14:paraId="190ACBE7">
            <w:pPr>
              <w:widowControl/>
              <w:shd w:val="clear"/>
              <w:ind w:firstLine="0" w:firstLineChars="0"/>
              <w:jc w:val="center"/>
              <w:textAlignment w:val="bottom"/>
              <w:rPr>
                <w:rFonts w:hint="default" w:eastAsia="宋体"/>
                <w:color w:val="auto"/>
                <w:sz w:val="21"/>
                <w:szCs w:val="21"/>
                <w:highlight w:val="none"/>
                <w:lang w:val="en-US" w:eastAsia="zh-CN"/>
              </w:rPr>
            </w:pPr>
            <w:bookmarkStart w:id="152" w:name="_Toc12245"/>
            <w:bookmarkStart w:id="153" w:name="_Toc10314"/>
            <w:bookmarkStart w:id="154" w:name="_Toc9226"/>
            <w:bookmarkStart w:id="155" w:name="_Toc19163"/>
            <w:r>
              <w:rPr>
                <w:rFonts w:hint="eastAsia"/>
                <w:color w:val="auto"/>
                <w:sz w:val="21"/>
                <w:szCs w:val="21"/>
                <w:highlight w:val="none"/>
                <w:lang w:val="en-US" w:eastAsia="zh-CN"/>
              </w:rPr>
              <w:t>12</w:t>
            </w:r>
          </w:p>
        </w:tc>
        <w:tc>
          <w:tcPr>
            <w:tcW w:w="32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7AC217B">
            <w:pPr>
              <w:widowControl/>
              <w:shd w:val="clear"/>
              <w:ind w:firstLine="420"/>
              <w:jc w:val="center"/>
              <w:textAlignment w:val="bottom"/>
              <w:rPr>
                <w:rFonts w:hint="eastAsia" w:eastAsia="宋体"/>
                <w:color w:val="auto"/>
                <w:sz w:val="21"/>
                <w:szCs w:val="21"/>
                <w:highlight w:val="none"/>
                <w:lang w:val="en-US" w:eastAsia="zh-CN"/>
              </w:rPr>
            </w:pPr>
            <w:r>
              <w:rPr>
                <w:rFonts w:hint="eastAsia"/>
                <w:color w:val="auto"/>
                <w:sz w:val="21"/>
                <w:szCs w:val="21"/>
                <w:highlight w:val="none"/>
                <w:lang w:val="en-US" w:eastAsia="zh-CN"/>
              </w:rPr>
              <w:t>南碱返皮带机托辊加密</w:t>
            </w:r>
          </w:p>
        </w:tc>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14:paraId="17B10782">
            <w:pPr>
              <w:widowControl/>
              <w:shd w:val="clear"/>
              <w:ind w:firstLine="0" w:firstLineChars="0"/>
              <w:jc w:val="center"/>
              <w:textAlignment w:val="bottom"/>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c>
          <w:tcPr>
            <w:tcW w:w="2312" w:type="dxa"/>
            <w:tcBorders>
              <w:top w:val="single" w:color="auto" w:sz="4" w:space="0"/>
              <w:left w:val="single" w:color="auto" w:sz="4" w:space="0"/>
              <w:bottom w:val="single" w:color="auto" w:sz="4" w:space="0"/>
              <w:right w:val="single" w:color="auto" w:sz="4" w:space="0"/>
            </w:tcBorders>
            <w:shd w:val="clear" w:color="auto" w:fill="auto"/>
            <w:vAlign w:val="center"/>
          </w:tcPr>
          <w:p w14:paraId="3FBB304D">
            <w:pPr>
              <w:widowControl/>
              <w:shd w:val="clear"/>
              <w:ind w:firstLine="0" w:firstLineChars="0"/>
              <w:jc w:val="center"/>
              <w:textAlignment w:val="bottom"/>
              <w:rPr>
                <w:rFonts w:hint="eastAsia"/>
                <w:color w:val="auto"/>
                <w:sz w:val="21"/>
                <w:szCs w:val="21"/>
                <w:highlight w:val="none"/>
              </w:rPr>
            </w:pPr>
          </w:p>
        </w:tc>
        <w:tc>
          <w:tcPr>
            <w:tcW w:w="1491" w:type="dxa"/>
            <w:tcBorders>
              <w:top w:val="single" w:color="auto" w:sz="4" w:space="0"/>
              <w:left w:val="single" w:color="auto" w:sz="4" w:space="0"/>
              <w:bottom w:val="single" w:color="auto" w:sz="4" w:space="0"/>
              <w:right w:val="single" w:color="auto" w:sz="12" w:space="0"/>
            </w:tcBorders>
            <w:shd w:val="clear" w:color="auto" w:fill="auto"/>
            <w:vAlign w:val="center"/>
          </w:tcPr>
          <w:p w14:paraId="0C102103">
            <w:pPr>
              <w:widowControl/>
              <w:shd w:val="clear"/>
              <w:ind w:firstLine="420"/>
              <w:jc w:val="center"/>
              <w:textAlignment w:val="bottom"/>
              <w:rPr>
                <w:color w:val="auto"/>
                <w:sz w:val="21"/>
                <w:szCs w:val="21"/>
                <w:highlight w:val="none"/>
              </w:rPr>
            </w:pPr>
          </w:p>
        </w:tc>
      </w:tr>
    </w:tbl>
    <w:p w14:paraId="3C156F51">
      <w:pPr>
        <w:numPr>
          <w:ilvl w:val="0"/>
          <w:numId w:val="12"/>
        </w:numPr>
        <w:shd w:val="clear"/>
        <w:rPr>
          <w:color w:val="auto"/>
          <w:highlight w:val="none"/>
        </w:rPr>
      </w:pPr>
      <w:r>
        <w:rPr>
          <w:rFonts w:hint="eastAsia"/>
          <w:color w:val="auto"/>
          <w:highlight w:val="none"/>
        </w:rPr>
        <w:t>槽下碎焦系统</w:t>
      </w:r>
      <w:bookmarkEnd w:id="152"/>
      <w:bookmarkEnd w:id="153"/>
      <w:bookmarkEnd w:id="154"/>
      <w:bookmarkEnd w:id="155"/>
    </w:p>
    <w:p w14:paraId="3EE029B2">
      <w:pPr>
        <w:numPr>
          <w:ilvl w:val="0"/>
          <w:numId w:val="13"/>
        </w:numPr>
        <w:shd w:val="clear"/>
        <w:rPr>
          <w:color w:val="auto"/>
          <w:highlight w:val="none"/>
        </w:rPr>
      </w:pPr>
      <w:bookmarkStart w:id="156" w:name="_Toc14426"/>
      <w:bookmarkStart w:id="157" w:name="_Toc32287"/>
      <w:bookmarkStart w:id="158" w:name="_Toc12882"/>
      <w:bookmarkStart w:id="159" w:name="_Toc21714"/>
      <w:r>
        <w:rPr>
          <w:rFonts w:hint="eastAsia"/>
          <w:color w:val="auto"/>
          <w:highlight w:val="none"/>
        </w:rPr>
        <w:t>更换两台碎焦振动筛及筛上、筛下溜槽</w:t>
      </w:r>
      <w:r>
        <w:rPr>
          <w:rFonts w:hint="eastAsia"/>
          <w:color w:val="auto"/>
          <w:highlight w:val="none"/>
          <w:lang w:eastAsia="zh-CN"/>
        </w:rPr>
        <w:t>，</w:t>
      </w:r>
      <w:bookmarkEnd w:id="156"/>
      <w:bookmarkEnd w:id="157"/>
      <w:bookmarkEnd w:id="158"/>
      <w:bookmarkEnd w:id="159"/>
      <w:r>
        <w:rPr>
          <w:rFonts w:hint="eastAsia" w:ascii="Times New Roman" w:hAnsi="Times New Roman" w:cs="Times New Roman"/>
          <w:bCs/>
          <w:color w:val="auto"/>
          <w:kern w:val="0"/>
          <w:szCs w:val="20"/>
          <w:highlight w:val="none"/>
          <w:shd w:val="clear" w:color="auto"/>
          <w:lang w:val="en-US" w:eastAsia="zh-CN"/>
        </w:rPr>
        <w:t>采用25mm厚</w:t>
      </w:r>
      <w:r>
        <w:rPr>
          <w:rFonts w:ascii="Times New Roman" w:hAnsi="Times New Roman" w:cs="Times New Roman"/>
          <w:bCs/>
          <w:color w:val="auto"/>
          <w:kern w:val="0"/>
          <w:szCs w:val="20"/>
          <w:highlight w:val="none"/>
          <w:shd w:val="clear" w:color="auto"/>
        </w:rPr>
        <w:t>三合一陶瓷衬板</w:t>
      </w:r>
      <w:r>
        <w:rPr>
          <w:rFonts w:hint="eastAsia" w:ascii="Times New Roman" w:hAnsi="Times New Roman" w:cs="Times New Roman"/>
          <w:bCs/>
          <w:color w:val="auto"/>
          <w:kern w:val="0"/>
          <w:szCs w:val="20"/>
          <w:highlight w:val="none"/>
          <w:shd w:val="clear" w:color="auto"/>
          <w:lang w:eastAsia="zh-CN"/>
        </w:rPr>
        <w:t>。</w:t>
      </w:r>
    </w:p>
    <w:p w14:paraId="75D60335">
      <w:pPr>
        <w:numPr>
          <w:ilvl w:val="0"/>
          <w:numId w:val="13"/>
        </w:numPr>
        <w:shd w:val="clear"/>
        <w:rPr>
          <w:color w:val="auto"/>
          <w:highlight w:val="none"/>
          <w:shd w:val="clear" w:color="auto" w:fill="FFFF00"/>
        </w:rPr>
      </w:pPr>
      <w:r>
        <w:rPr>
          <w:rFonts w:hint="eastAsia"/>
          <w:color w:val="auto"/>
          <w:highlight w:val="none"/>
          <w:shd w:val="clear" w:color="auto"/>
        </w:rPr>
        <w:t>返焦仓、碎焦仓落地点全封闭，酸返仓、碱返仓落地点全封闭，并预留车辆进出口大门。</w:t>
      </w:r>
    </w:p>
    <w:p w14:paraId="75993833">
      <w:pPr>
        <w:numPr>
          <w:ilvl w:val="0"/>
          <w:numId w:val="0"/>
        </w:numPr>
        <w:shd w:val="clear"/>
        <w:ind w:firstLine="480" w:firstLineChars="200"/>
        <w:rPr>
          <w:rFonts w:ascii="Arial" w:hAnsi="Arial"/>
          <w:color w:val="auto"/>
          <w:spacing w:val="20"/>
          <w:kern w:val="0"/>
          <w:sz w:val="14"/>
          <w:szCs w:val="20"/>
          <w:highlight w:val="none"/>
        </w:rPr>
      </w:pPr>
      <w:r>
        <w:rPr>
          <w:rFonts w:hint="eastAsia"/>
          <w:color w:val="auto"/>
          <w:highlight w:val="none"/>
        </w:rPr>
        <w:t>（3）更换两台碎焦溜槽闸门（机械重锤式），粉焦仓、焦丁仓溜槽四台闸门更换为电液动扇形闸门</w:t>
      </w:r>
      <w:r>
        <w:rPr>
          <w:rFonts w:hint="eastAsia"/>
          <w:color w:val="auto"/>
          <w:highlight w:val="none"/>
          <w:lang w:eastAsia="zh-CN"/>
        </w:rPr>
        <w:t>，</w:t>
      </w:r>
      <w:r>
        <w:rPr>
          <w:rFonts w:hint="eastAsia"/>
          <w:color w:val="auto"/>
          <w:highlight w:val="none"/>
          <w:lang w:val="en-US" w:eastAsia="zh-CN"/>
        </w:rPr>
        <w:t>衬板</w:t>
      </w:r>
      <w:r>
        <w:rPr>
          <w:rFonts w:hint="eastAsia" w:ascii="Times New Roman" w:hAnsi="Times New Roman" w:cs="Times New Roman"/>
          <w:bCs/>
          <w:color w:val="auto"/>
          <w:kern w:val="0"/>
          <w:szCs w:val="20"/>
          <w:highlight w:val="none"/>
          <w:shd w:val="clear" w:color="auto"/>
          <w:lang w:val="en-US" w:eastAsia="zh-CN"/>
        </w:rPr>
        <w:t>采用25mm厚</w:t>
      </w:r>
      <w:r>
        <w:rPr>
          <w:rFonts w:ascii="Times New Roman" w:hAnsi="Times New Roman" w:cs="Times New Roman"/>
          <w:bCs/>
          <w:color w:val="auto"/>
          <w:kern w:val="0"/>
          <w:szCs w:val="20"/>
          <w:highlight w:val="none"/>
          <w:shd w:val="clear" w:color="auto"/>
        </w:rPr>
        <w:t>三合一陶瓷衬板</w:t>
      </w:r>
      <w:r>
        <w:rPr>
          <w:rFonts w:hint="eastAsia" w:ascii="Times New Roman" w:hAnsi="Times New Roman" w:cs="Times New Roman"/>
          <w:bCs/>
          <w:color w:val="auto"/>
          <w:kern w:val="0"/>
          <w:szCs w:val="20"/>
          <w:highlight w:val="none"/>
          <w:shd w:val="clear" w:color="auto"/>
          <w:lang w:eastAsia="zh-CN"/>
        </w:rPr>
        <w:t>。</w:t>
      </w:r>
    </w:p>
    <w:p w14:paraId="2F6DA25C">
      <w:pPr>
        <w:shd w:val="clear"/>
        <w:rPr>
          <w:color w:val="auto"/>
          <w:highlight w:val="none"/>
        </w:rPr>
      </w:pPr>
      <w:r>
        <w:rPr>
          <w:rFonts w:hint="eastAsia"/>
          <w:color w:val="auto"/>
          <w:highlight w:val="none"/>
        </w:rPr>
        <w:t>（4）两台碎焦小车</w:t>
      </w:r>
      <w:r>
        <w:rPr>
          <w:rFonts w:hint="eastAsia"/>
          <w:color w:val="auto"/>
          <w:highlight w:val="none"/>
          <w:lang w:val="en-US" w:eastAsia="zh-CN"/>
        </w:rPr>
        <w:t>利旧，落料点安装</w:t>
      </w:r>
      <w:r>
        <w:rPr>
          <w:rFonts w:hint="eastAsia" w:ascii="Times New Roman" w:hAnsi="Times New Roman" w:cs="Times New Roman"/>
          <w:bCs/>
          <w:color w:val="auto"/>
          <w:kern w:val="0"/>
          <w:szCs w:val="20"/>
          <w:highlight w:val="none"/>
        </w:rPr>
        <w:t>复合合金衬板，指标见表2.2-</w:t>
      </w:r>
      <w:r>
        <w:rPr>
          <w:rFonts w:hint="eastAsia" w:ascii="Times New Roman" w:hAnsi="Times New Roman" w:cs="Times New Roman"/>
          <w:bCs/>
          <w:color w:val="auto"/>
          <w:kern w:val="0"/>
          <w:szCs w:val="20"/>
          <w:highlight w:val="none"/>
          <w:lang w:val="en-US" w:eastAsia="zh-CN"/>
        </w:rPr>
        <w:t>4</w:t>
      </w:r>
      <w:r>
        <w:rPr>
          <w:rFonts w:hint="eastAsia" w:ascii="Times New Roman" w:hAnsi="Times New Roman" w:cs="Times New Roman"/>
          <w:bCs/>
          <w:color w:val="auto"/>
          <w:kern w:val="0"/>
          <w:szCs w:val="20"/>
          <w:highlight w:val="none"/>
        </w:rPr>
        <w:t>。</w:t>
      </w:r>
    </w:p>
    <w:p w14:paraId="062BDD06">
      <w:pPr>
        <w:shd w:val="clear"/>
        <w:jc w:val="center"/>
        <w:rPr>
          <w:rFonts w:ascii="Times New Roman" w:hAnsi="Times New Roman" w:cs="Times New Roman"/>
          <w:color w:val="auto"/>
          <w:highlight w:val="none"/>
        </w:rPr>
      </w:pPr>
      <w:r>
        <w:rPr>
          <w:rFonts w:ascii="Times New Roman" w:hAnsi="Times New Roman" w:cs="Times New Roman"/>
          <w:color w:val="auto"/>
          <w:highlight w:val="none"/>
        </w:rPr>
        <w:t>表2.2-</w:t>
      </w:r>
      <w:r>
        <w:rPr>
          <w:rFonts w:hint="eastAsia" w:ascii="Times New Roman" w:hAnsi="Times New Roman" w:cs="Times New Roman"/>
          <w:color w:val="auto"/>
          <w:highlight w:val="none"/>
          <w:lang w:val="en-US" w:eastAsia="zh-CN"/>
        </w:rPr>
        <w:t>8</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rPr>
        <w:t>碎焦系统</w:t>
      </w:r>
      <w:r>
        <w:rPr>
          <w:rFonts w:ascii="Times New Roman" w:hAnsi="Times New Roman" w:cs="Times New Roman"/>
          <w:color w:val="auto"/>
          <w:highlight w:val="none"/>
        </w:rPr>
        <w:t>主要工艺设备</w:t>
      </w:r>
      <w:r>
        <w:rPr>
          <w:rFonts w:hint="eastAsia" w:ascii="Times New Roman" w:hAnsi="Times New Roman" w:cs="Times New Roman"/>
          <w:color w:val="auto"/>
          <w:highlight w:val="none"/>
        </w:rPr>
        <w:t>更换</w:t>
      </w:r>
      <w:r>
        <w:rPr>
          <w:rFonts w:ascii="Times New Roman" w:hAnsi="Times New Roman" w:cs="Times New Roman"/>
          <w:color w:val="auto"/>
          <w:highlight w:val="none"/>
        </w:rPr>
        <w:t>利旧情况</w:t>
      </w:r>
    </w:p>
    <w:tbl>
      <w:tblPr>
        <w:tblStyle w:val="6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3"/>
        <w:gridCol w:w="3193"/>
        <w:gridCol w:w="848"/>
        <w:gridCol w:w="2168"/>
        <w:gridCol w:w="1489"/>
      </w:tblGrid>
      <w:tr w14:paraId="1DE35A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643" w:type="dxa"/>
            <w:tcBorders>
              <w:top w:val="single" w:color="auto" w:sz="12" w:space="0"/>
              <w:left w:val="single" w:color="auto" w:sz="12" w:space="0"/>
              <w:bottom w:val="single" w:color="auto" w:sz="4" w:space="0"/>
              <w:right w:val="single" w:color="auto" w:sz="4" w:space="0"/>
            </w:tcBorders>
            <w:vAlign w:val="center"/>
          </w:tcPr>
          <w:p w14:paraId="613627FE">
            <w:pPr>
              <w:widowControl/>
              <w:shd w:val="clear"/>
              <w:ind w:firstLine="0" w:firstLineChars="0"/>
              <w:jc w:val="center"/>
              <w:textAlignment w:val="bottom"/>
              <w:rPr>
                <w:color w:val="auto"/>
                <w:sz w:val="21"/>
                <w:szCs w:val="21"/>
                <w:highlight w:val="none"/>
              </w:rPr>
            </w:pPr>
            <w:r>
              <w:rPr>
                <w:color w:val="auto"/>
                <w:sz w:val="21"/>
                <w:szCs w:val="21"/>
                <w:highlight w:val="none"/>
              </w:rPr>
              <w:t>序号</w:t>
            </w:r>
          </w:p>
        </w:tc>
        <w:tc>
          <w:tcPr>
            <w:tcW w:w="3193" w:type="dxa"/>
            <w:tcBorders>
              <w:top w:val="single" w:color="auto" w:sz="12" w:space="0"/>
              <w:left w:val="single" w:color="auto" w:sz="4" w:space="0"/>
              <w:bottom w:val="single" w:color="auto" w:sz="4" w:space="0"/>
              <w:right w:val="single" w:color="auto" w:sz="4" w:space="0"/>
            </w:tcBorders>
            <w:vAlign w:val="center"/>
          </w:tcPr>
          <w:p w14:paraId="3404FA3D">
            <w:pPr>
              <w:widowControl/>
              <w:shd w:val="clear"/>
              <w:ind w:firstLine="0" w:firstLineChars="0"/>
              <w:jc w:val="center"/>
              <w:textAlignment w:val="bottom"/>
              <w:rPr>
                <w:color w:val="auto"/>
                <w:sz w:val="21"/>
                <w:szCs w:val="21"/>
                <w:highlight w:val="none"/>
              </w:rPr>
            </w:pPr>
            <w:r>
              <w:rPr>
                <w:color w:val="auto"/>
                <w:sz w:val="21"/>
                <w:szCs w:val="21"/>
                <w:highlight w:val="none"/>
              </w:rPr>
              <w:t>设备名称</w:t>
            </w:r>
          </w:p>
        </w:tc>
        <w:tc>
          <w:tcPr>
            <w:tcW w:w="848" w:type="dxa"/>
            <w:tcBorders>
              <w:top w:val="single" w:color="auto" w:sz="12" w:space="0"/>
              <w:left w:val="single" w:color="auto" w:sz="4" w:space="0"/>
              <w:bottom w:val="single" w:color="auto" w:sz="4" w:space="0"/>
              <w:right w:val="single" w:color="auto" w:sz="4" w:space="0"/>
            </w:tcBorders>
            <w:vAlign w:val="center"/>
          </w:tcPr>
          <w:p w14:paraId="061F4B84">
            <w:pPr>
              <w:widowControl/>
              <w:shd w:val="clear"/>
              <w:ind w:firstLine="0" w:firstLineChars="0"/>
              <w:jc w:val="center"/>
              <w:textAlignment w:val="bottom"/>
              <w:rPr>
                <w:color w:val="auto"/>
                <w:sz w:val="21"/>
                <w:szCs w:val="21"/>
                <w:highlight w:val="none"/>
              </w:rPr>
            </w:pPr>
            <w:r>
              <w:rPr>
                <w:color w:val="auto"/>
                <w:sz w:val="21"/>
                <w:szCs w:val="21"/>
                <w:highlight w:val="none"/>
              </w:rPr>
              <w:t>数量/台</w:t>
            </w:r>
          </w:p>
        </w:tc>
        <w:tc>
          <w:tcPr>
            <w:tcW w:w="2168" w:type="dxa"/>
            <w:tcBorders>
              <w:top w:val="single" w:color="auto" w:sz="12" w:space="0"/>
              <w:left w:val="single" w:color="auto" w:sz="4" w:space="0"/>
              <w:bottom w:val="single" w:color="auto" w:sz="4" w:space="0"/>
              <w:right w:val="single" w:color="auto" w:sz="4" w:space="0"/>
            </w:tcBorders>
            <w:vAlign w:val="center"/>
          </w:tcPr>
          <w:p w14:paraId="666EDC75">
            <w:pPr>
              <w:widowControl/>
              <w:shd w:val="clear"/>
              <w:ind w:firstLine="0" w:firstLineChars="0"/>
              <w:jc w:val="center"/>
              <w:textAlignment w:val="bottom"/>
              <w:rPr>
                <w:color w:val="auto"/>
                <w:sz w:val="21"/>
                <w:szCs w:val="21"/>
                <w:highlight w:val="none"/>
              </w:rPr>
            </w:pPr>
            <w:r>
              <w:rPr>
                <w:rFonts w:hint="eastAsia"/>
                <w:color w:val="auto"/>
                <w:sz w:val="21"/>
                <w:szCs w:val="21"/>
                <w:highlight w:val="none"/>
              </w:rPr>
              <w:t>更换</w:t>
            </w:r>
            <w:r>
              <w:rPr>
                <w:color w:val="auto"/>
                <w:sz w:val="21"/>
                <w:szCs w:val="21"/>
                <w:highlight w:val="none"/>
              </w:rPr>
              <w:t>利旧情况</w:t>
            </w:r>
          </w:p>
        </w:tc>
        <w:tc>
          <w:tcPr>
            <w:tcW w:w="1489" w:type="dxa"/>
            <w:tcBorders>
              <w:top w:val="single" w:color="auto" w:sz="12" w:space="0"/>
              <w:left w:val="single" w:color="auto" w:sz="4" w:space="0"/>
              <w:bottom w:val="single" w:color="auto" w:sz="4" w:space="0"/>
              <w:right w:val="single" w:color="auto" w:sz="12" w:space="0"/>
            </w:tcBorders>
            <w:vAlign w:val="center"/>
          </w:tcPr>
          <w:p w14:paraId="00FD8996">
            <w:pPr>
              <w:widowControl/>
              <w:shd w:val="clear"/>
              <w:ind w:firstLine="0" w:firstLineChars="0"/>
              <w:jc w:val="center"/>
              <w:textAlignment w:val="bottom"/>
              <w:rPr>
                <w:color w:val="auto"/>
                <w:sz w:val="21"/>
                <w:szCs w:val="21"/>
                <w:highlight w:val="none"/>
              </w:rPr>
            </w:pPr>
            <w:r>
              <w:rPr>
                <w:color w:val="auto"/>
                <w:sz w:val="21"/>
                <w:szCs w:val="21"/>
                <w:highlight w:val="none"/>
              </w:rPr>
              <w:t>备注</w:t>
            </w:r>
          </w:p>
        </w:tc>
      </w:tr>
      <w:tr w14:paraId="69BD4B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3" w:type="dxa"/>
            <w:tcBorders>
              <w:top w:val="single" w:color="auto" w:sz="4" w:space="0"/>
              <w:left w:val="single" w:color="auto" w:sz="12" w:space="0"/>
              <w:bottom w:val="single" w:color="auto" w:sz="4" w:space="0"/>
              <w:right w:val="single" w:color="auto" w:sz="4" w:space="0"/>
            </w:tcBorders>
            <w:vAlign w:val="center"/>
          </w:tcPr>
          <w:p w14:paraId="44B7047C">
            <w:pPr>
              <w:widowControl/>
              <w:shd w:val="clear"/>
              <w:ind w:firstLine="0" w:firstLineChars="0"/>
              <w:jc w:val="center"/>
              <w:textAlignment w:val="bottom"/>
              <w:rPr>
                <w:color w:val="auto"/>
                <w:sz w:val="21"/>
                <w:szCs w:val="21"/>
                <w:highlight w:val="none"/>
              </w:rPr>
            </w:pPr>
            <w:r>
              <w:rPr>
                <w:rFonts w:hint="eastAsia"/>
                <w:color w:val="auto"/>
                <w:sz w:val="21"/>
                <w:szCs w:val="21"/>
                <w:highlight w:val="none"/>
              </w:rPr>
              <w:t>1</w:t>
            </w:r>
          </w:p>
        </w:tc>
        <w:tc>
          <w:tcPr>
            <w:tcW w:w="3193" w:type="dxa"/>
            <w:tcBorders>
              <w:top w:val="single" w:color="auto" w:sz="4" w:space="0"/>
              <w:left w:val="single" w:color="auto" w:sz="4" w:space="0"/>
              <w:bottom w:val="single" w:color="auto" w:sz="4" w:space="0"/>
              <w:right w:val="single" w:color="auto" w:sz="4" w:space="0"/>
            </w:tcBorders>
            <w:vAlign w:val="center"/>
          </w:tcPr>
          <w:p w14:paraId="017C9D4D">
            <w:pPr>
              <w:widowControl/>
              <w:shd w:val="clear"/>
              <w:ind w:firstLine="0" w:firstLineChars="0"/>
              <w:jc w:val="center"/>
              <w:textAlignment w:val="bottom"/>
              <w:rPr>
                <w:color w:val="auto"/>
                <w:sz w:val="21"/>
                <w:szCs w:val="21"/>
                <w:highlight w:val="none"/>
              </w:rPr>
            </w:pPr>
            <w:r>
              <w:rPr>
                <w:color w:val="auto"/>
                <w:sz w:val="21"/>
                <w:szCs w:val="21"/>
                <w:highlight w:val="none"/>
              </w:rPr>
              <w:t>碎焦小车</w:t>
            </w:r>
          </w:p>
        </w:tc>
        <w:tc>
          <w:tcPr>
            <w:tcW w:w="848" w:type="dxa"/>
            <w:tcBorders>
              <w:top w:val="single" w:color="auto" w:sz="4" w:space="0"/>
              <w:left w:val="single" w:color="auto" w:sz="4" w:space="0"/>
              <w:bottom w:val="single" w:color="auto" w:sz="4" w:space="0"/>
              <w:right w:val="single" w:color="auto" w:sz="4" w:space="0"/>
            </w:tcBorders>
            <w:vAlign w:val="center"/>
          </w:tcPr>
          <w:p w14:paraId="5DA582D5">
            <w:pPr>
              <w:widowControl/>
              <w:shd w:val="clear"/>
              <w:ind w:firstLine="0" w:firstLineChars="0"/>
              <w:jc w:val="center"/>
              <w:textAlignment w:val="bottom"/>
              <w:rPr>
                <w:color w:val="auto"/>
                <w:sz w:val="21"/>
                <w:szCs w:val="21"/>
                <w:highlight w:val="none"/>
              </w:rPr>
            </w:pPr>
            <w:r>
              <w:rPr>
                <w:color w:val="auto"/>
                <w:sz w:val="21"/>
                <w:szCs w:val="21"/>
                <w:highlight w:val="none"/>
              </w:rPr>
              <w:t>2</w:t>
            </w:r>
          </w:p>
        </w:tc>
        <w:tc>
          <w:tcPr>
            <w:tcW w:w="2168" w:type="dxa"/>
            <w:tcBorders>
              <w:top w:val="single" w:color="auto" w:sz="4" w:space="0"/>
              <w:left w:val="single" w:color="auto" w:sz="4" w:space="0"/>
              <w:bottom w:val="single" w:color="auto" w:sz="4" w:space="0"/>
              <w:right w:val="single" w:color="auto" w:sz="4" w:space="0"/>
            </w:tcBorders>
            <w:vAlign w:val="center"/>
          </w:tcPr>
          <w:p w14:paraId="3BC9D203">
            <w:pPr>
              <w:widowControl/>
              <w:shd w:val="clear"/>
              <w:ind w:firstLine="0" w:firstLineChars="0"/>
              <w:jc w:val="center"/>
              <w:textAlignment w:val="bottom"/>
              <w:rPr>
                <w:color w:val="auto"/>
                <w:sz w:val="21"/>
                <w:szCs w:val="21"/>
                <w:highlight w:val="none"/>
              </w:rPr>
            </w:pPr>
            <w:r>
              <w:rPr>
                <w:rFonts w:hint="eastAsia"/>
                <w:color w:val="auto"/>
                <w:sz w:val="21"/>
                <w:szCs w:val="21"/>
                <w:highlight w:val="none"/>
              </w:rPr>
              <w:t>衬板更换</w:t>
            </w:r>
          </w:p>
        </w:tc>
        <w:tc>
          <w:tcPr>
            <w:tcW w:w="1489" w:type="dxa"/>
            <w:tcBorders>
              <w:top w:val="single" w:color="auto" w:sz="4" w:space="0"/>
              <w:left w:val="single" w:color="auto" w:sz="4" w:space="0"/>
              <w:bottom w:val="single" w:color="auto" w:sz="4" w:space="0"/>
              <w:right w:val="single" w:color="auto" w:sz="12" w:space="0"/>
            </w:tcBorders>
            <w:vAlign w:val="center"/>
          </w:tcPr>
          <w:p w14:paraId="64E3763C">
            <w:pPr>
              <w:widowControl/>
              <w:shd w:val="clear"/>
              <w:ind w:firstLine="0" w:firstLineChars="0"/>
              <w:jc w:val="center"/>
              <w:textAlignment w:val="bottom"/>
              <w:rPr>
                <w:color w:val="auto"/>
                <w:sz w:val="21"/>
                <w:szCs w:val="21"/>
                <w:highlight w:val="none"/>
              </w:rPr>
            </w:pPr>
          </w:p>
        </w:tc>
      </w:tr>
      <w:tr w14:paraId="26C9CD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3" w:type="dxa"/>
            <w:tcBorders>
              <w:top w:val="single" w:color="auto" w:sz="4" w:space="0"/>
              <w:left w:val="single" w:color="auto" w:sz="12" w:space="0"/>
              <w:bottom w:val="single" w:color="auto" w:sz="4" w:space="0"/>
              <w:right w:val="single" w:color="auto" w:sz="4" w:space="0"/>
            </w:tcBorders>
            <w:vAlign w:val="center"/>
          </w:tcPr>
          <w:p w14:paraId="78A8B9DF">
            <w:pPr>
              <w:widowControl/>
              <w:shd w:val="clear"/>
              <w:ind w:firstLine="0" w:firstLineChars="0"/>
              <w:jc w:val="center"/>
              <w:textAlignment w:val="bottom"/>
              <w:rPr>
                <w:color w:val="auto"/>
                <w:sz w:val="21"/>
                <w:szCs w:val="21"/>
                <w:highlight w:val="none"/>
              </w:rPr>
            </w:pPr>
            <w:r>
              <w:rPr>
                <w:rFonts w:hint="eastAsia"/>
                <w:color w:val="auto"/>
                <w:sz w:val="21"/>
                <w:szCs w:val="21"/>
                <w:highlight w:val="none"/>
              </w:rPr>
              <w:t>2</w:t>
            </w:r>
          </w:p>
        </w:tc>
        <w:tc>
          <w:tcPr>
            <w:tcW w:w="3193" w:type="dxa"/>
            <w:tcBorders>
              <w:top w:val="single" w:color="auto" w:sz="4" w:space="0"/>
              <w:left w:val="single" w:color="auto" w:sz="4" w:space="0"/>
              <w:bottom w:val="single" w:color="auto" w:sz="4" w:space="0"/>
              <w:right w:val="single" w:color="auto" w:sz="4" w:space="0"/>
            </w:tcBorders>
            <w:vAlign w:val="center"/>
          </w:tcPr>
          <w:p w14:paraId="66726AE0">
            <w:pPr>
              <w:widowControl/>
              <w:shd w:val="clear"/>
              <w:ind w:firstLine="0" w:firstLineChars="0"/>
              <w:jc w:val="center"/>
              <w:textAlignment w:val="bottom"/>
              <w:rPr>
                <w:color w:val="auto"/>
                <w:sz w:val="21"/>
                <w:szCs w:val="21"/>
                <w:highlight w:val="none"/>
              </w:rPr>
            </w:pPr>
            <w:r>
              <w:rPr>
                <w:color w:val="auto"/>
                <w:sz w:val="21"/>
                <w:szCs w:val="21"/>
                <w:highlight w:val="none"/>
              </w:rPr>
              <w:t>碎焦溜槽闸门</w:t>
            </w:r>
          </w:p>
        </w:tc>
        <w:tc>
          <w:tcPr>
            <w:tcW w:w="848" w:type="dxa"/>
            <w:tcBorders>
              <w:top w:val="single" w:color="auto" w:sz="4" w:space="0"/>
              <w:left w:val="single" w:color="auto" w:sz="4" w:space="0"/>
              <w:bottom w:val="single" w:color="auto" w:sz="4" w:space="0"/>
              <w:right w:val="single" w:color="auto" w:sz="4" w:space="0"/>
            </w:tcBorders>
            <w:vAlign w:val="center"/>
          </w:tcPr>
          <w:p w14:paraId="2E7C71F6">
            <w:pPr>
              <w:widowControl/>
              <w:shd w:val="clear"/>
              <w:ind w:firstLine="0" w:firstLineChars="0"/>
              <w:jc w:val="center"/>
              <w:textAlignment w:val="bottom"/>
              <w:rPr>
                <w:color w:val="auto"/>
                <w:sz w:val="21"/>
                <w:szCs w:val="21"/>
                <w:highlight w:val="none"/>
              </w:rPr>
            </w:pPr>
            <w:r>
              <w:rPr>
                <w:color w:val="auto"/>
                <w:sz w:val="21"/>
                <w:szCs w:val="21"/>
                <w:highlight w:val="none"/>
              </w:rPr>
              <w:t>2</w:t>
            </w:r>
          </w:p>
        </w:tc>
        <w:tc>
          <w:tcPr>
            <w:tcW w:w="2168" w:type="dxa"/>
            <w:tcBorders>
              <w:top w:val="single" w:color="auto" w:sz="4" w:space="0"/>
              <w:left w:val="single" w:color="auto" w:sz="4" w:space="0"/>
              <w:bottom w:val="single" w:color="auto" w:sz="4" w:space="0"/>
              <w:right w:val="single" w:color="auto" w:sz="4" w:space="0"/>
            </w:tcBorders>
            <w:vAlign w:val="center"/>
          </w:tcPr>
          <w:p w14:paraId="3B30B8A2">
            <w:pPr>
              <w:widowControl/>
              <w:shd w:val="clear"/>
              <w:ind w:firstLine="0" w:firstLineChars="0"/>
              <w:jc w:val="center"/>
              <w:textAlignment w:val="bottom"/>
              <w:rPr>
                <w:color w:val="auto"/>
                <w:sz w:val="21"/>
                <w:szCs w:val="21"/>
                <w:highlight w:val="none"/>
              </w:rPr>
            </w:pPr>
            <w:r>
              <w:rPr>
                <w:rFonts w:hint="eastAsia"/>
                <w:color w:val="auto"/>
                <w:sz w:val="21"/>
                <w:szCs w:val="21"/>
                <w:highlight w:val="none"/>
              </w:rPr>
              <w:t>更换</w:t>
            </w:r>
          </w:p>
        </w:tc>
        <w:tc>
          <w:tcPr>
            <w:tcW w:w="1489" w:type="dxa"/>
            <w:tcBorders>
              <w:top w:val="single" w:color="auto" w:sz="4" w:space="0"/>
              <w:left w:val="single" w:color="auto" w:sz="4" w:space="0"/>
              <w:bottom w:val="single" w:color="auto" w:sz="4" w:space="0"/>
              <w:right w:val="single" w:color="auto" w:sz="12" w:space="0"/>
            </w:tcBorders>
            <w:vAlign w:val="center"/>
          </w:tcPr>
          <w:p w14:paraId="651F683E">
            <w:pPr>
              <w:widowControl/>
              <w:shd w:val="clear"/>
              <w:ind w:firstLine="0" w:firstLineChars="0"/>
              <w:jc w:val="center"/>
              <w:textAlignment w:val="bottom"/>
              <w:rPr>
                <w:color w:val="auto"/>
                <w:sz w:val="21"/>
                <w:szCs w:val="21"/>
                <w:highlight w:val="none"/>
              </w:rPr>
            </w:pPr>
          </w:p>
        </w:tc>
      </w:tr>
      <w:tr w14:paraId="64A31D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3" w:type="dxa"/>
            <w:tcBorders>
              <w:top w:val="single" w:color="auto" w:sz="4" w:space="0"/>
              <w:left w:val="single" w:color="auto" w:sz="12" w:space="0"/>
              <w:bottom w:val="single" w:color="auto" w:sz="4" w:space="0"/>
              <w:right w:val="single" w:color="auto" w:sz="4" w:space="0"/>
            </w:tcBorders>
            <w:vAlign w:val="center"/>
          </w:tcPr>
          <w:p w14:paraId="53A07CE4">
            <w:pPr>
              <w:widowControl/>
              <w:shd w:val="clear"/>
              <w:ind w:firstLine="0" w:firstLineChars="0"/>
              <w:jc w:val="center"/>
              <w:textAlignment w:val="bottom"/>
              <w:rPr>
                <w:color w:val="auto"/>
                <w:sz w:val="21"/>
                <w:szCs w:val="21"/>
                <w:highlight w:val="none"/>
              </w:rPr>
            </w:pPr>
            <w:r>
              <w:rPr>
                <w:rFonts w:hint="eastAsia"/>
                <w:color w:val="auto"/>
                <w:sz w:val="21"/>
                <w:szCs w:val="21"/>
                <w:highlight w:val="none"/>
              </w:rPr>
              <w:t>3</w:t>
            </w:r>
          </w:p>
        </w:tc>
        <w:tc>
          <w:tcPr>
            <w:tcW w:w="3193" w:type="dxa"/>
            <w:tcBorders>
              <w:top w:val="single" w:color="auto" w:sz="4" w:space="0"/>
              <w:left w:val="single" w:color="auto" w:sz="4" w:space="0"/>
              <w:bottom w:val="single" w:color="auto" w:sz="4" w:space="0"/>
              <w:right w:val="single" w:color="auto" w:sz="4" w:space="0"/>
            </w:tcBorders>
            <w:vAlign w:val="center"/>
          </w:tcPr>
          <w:p w14:paraId="651DEF34">
            <w:pPr>
              <w:widowControl/>
              <w:shd w:val="clear"/>
              <w:ind w:firstLine="0" w:firstLineChars="0"/>
              <w:jc w:val="center"/>
              <w:textAlignment w:val="bottom"/>
              <w:rPr>
                <w:color w:val="auto"/>
                <w:sz w:val="21"/>
                <w:szCs w:val="21"/>
                <w:highlight w:val="none"/>
              </w:rPr>
            </w:pPr>
            <w:r>
              <w:rPr>
                <w:color w:val="auto"/>
                <w:sz w:val="21"/>
                <w:szCs w:val="21"/>
                <w:highlight w:val="none"/>
              </w:rPr>
              <w:t>焦丁仓及粉焦仓闸门</w:t>
            </w:r>
          </w:p>
        </w:tc>
        <w:tc>
          <w:tcPr>
            <w:tcW w:w="848" w:type="dxa"/>
            <w:tcBorders>
              <w:top w:val="single" w:color="auto" w:sz="4" w:space="0"/>
              <w:left w:val="single" w:color="auto" w:sz="4" w:space="0"/>
              <w:bottom w:val="single" w:color="auto" w:sz="4" w:space="0"/>
              <w:right w:val="single" w:color="auto" w:sz="4" w:space="0"/>
            </w:tcBorders>
            <w:vAlign w:val="center"/>
          </w:tcPr>
          <w:p w14:paraId="555538A1">
            <w:pPr>
              <w:widowControl/>
              <w:shd w:val="clear"/>
              <w:ind w:firstLine="0" w:firstLineChars="0"/>
              <w:jc w:val="center"/>
              <w:textAlignment w:val="bottom"/>
              <w:rPr>
                <w:color w:val="auto"/>
                <w:sz w:val="21"/>
                <w:szCs w:val="21"/>
                <w:highlight w:val="none"/>
              </w:rPr>
            </w:pPr>
            <w:r>
              <w:rPr>
                <w:color w:val="auto"/>
                <w:sz w:val="21"/>
                <w:szCs w:val="21"/>
                <w:highlight w:val="none"/>
              </w:rPr>
              <w:t>4</w:t>
            </w:r>
          </w:p>
        </w:tc>
        <w:tc>
          <w:tcPr>
            <w:tcW w:w="2168" w:type="dxa"/>
            <w:tcBorders>
              <w:top w:val="single" w:color="auto" w:sz="4" w:space="0"/>
              <w:left w:val="single" w:color="auto" w:sz="4" w:space="0"/>
              <w:bottom w:val="single" w:color="auto" w:sz="4" w:space="0"/>
              <w:right w:val="single" w:color="auto" w:sz="4" w:space="0"/>
            </w:tcBorders>
            <w:vAlign w:val="center"/>
          </w:tcPr>
          <w:p w14:paraId="7AACE0F0">
            <w:pPr>
              <w:widowControl/>
              <w:shd w:val="clear"/>
              <w:ind w:firstLine="0" w:firstLineChars="0"/>
              <w:jc w:val="center"/>
              <w:textAlignment w:val="bottom"/>
              <w:rPr>
                <w:color w:val="auto"/>
                <w:sz w:val="21"/>
                <w:szCs w:val="21"/>
                <w:highlight w:val="none"/>
              </w:rPr>
            </w:pPr>
            <w:r>
              <w:rPr>
                <w:rFonts w:hint="eastAsia"/>
                <w:color w:val="auto"/>
                <w:sz w:val="21"/>
                <w:szCs w:val="21"/>
                <w:highlight w:val="none"/>
              </w:rPr>
              <w:t>更换</w:t>
            </w:r>
          </w:p>
        </w:tc>
        <w:tc>
          <w:tcPr>
            <w:tcW w:w="1489" w:type="dxa"/>
            <w:tcBorders>
              <w:top w:val="single" w:color="auto" w:sz="4" w:space="0"/>
              <w:left w:val="single" w:color="auto" w:sz="4" w:space="0"/>
              <w:bottom w:val="single" w:color="auto" w:sz="4" w:space="0"/>
              <w:right w:val="single" w:color="auto" w:sz="12" w:space="0"/>
            </w:tcBorders>
            <w:vAlign w:val="center"/>
          </w:tcPr>
          <w:p w14:paraId="13CE354D">
            <w:pPr>
              <w:widowControl/>
              <w:shd w:val="clear"/>
              <w:ind w:firstLine="0" w:firstLineChars="0"/>
              <w:jc w:val="center"/>
              <w:textAlignment w:val="bottom"/>
              <w:rPr>
                <w:color w:val="auto"/>
                <w:sz w:val="21"/>
                <w:szCs w:val="21"/>
                <w:highlight w:val="none"/>
              </w:rPr>
            </w:pPr>
          </w:p>
        </w:tc>
      </w:tr>
      <w:tr w14:paraId="1F7BF7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3" w:type="dxa"/>
            <w:tcBorders>
              <w:top w:val="single" w:color="auto" w:sz="4" w:space="0"/>
              <w:left w:val="single" w:color="auto" w:sz="12" w:space="0"/>
              <w:bottom w:val="single" w:color="auto" w:sz="4" w:space="0"/>
              <w:right w:val="single" w:color="auto" w:sz="4" w:space="0"/>
            </w:tcBorders>
            <w:vAlign w:val="center"/>
          </w:tcPr>
          <w:p w14:paraId="2EDA3892">
            <w:pPr>
              <w:widowControl/>
              <w:shd w:val="clear"/>
              <w:ind w:firstLine="0" w:firstLineChars="0"/>
              <w:jc w:val="center"/>
              <w:textAlignment w:val="bottom"/>
              <w:rPr>
                <w:color w:val="auto"/>
                <w:sz w:val="21"/>
                <w:szCs w:val="21"/>
                <w:highlight w:val="none"/>
              </w:rPr>
            </w:pPr>
            <w:r>
              <w:rPr>
                <w:rFonts w:hint="eastAsia"/>
                <w:color w:val="auto"/>
                <w:sz w:val="21"/>
                <w:szCs w:val="21"/>
                <w:highlight w:val="none"/>
              </w:rPr>
              <w:t>4</w:t>
            </w:r>
          </w:p>
        </w:tc>
        <w:tc>
          <w:tcPr>
            <w:tcW w:w="3193" w:type="dxa"/>
            <w:tcBorders>
              <w:top w:val="single" w:color="auto" w:sz="4" w:space="0"/>
              <w:left w:val="single" w:color="auto" w:sz="4" w:space="0"/>
              <w:bottom w:val="single" w:color="auto" w:sz="4" w:space="0"/>
              <w:right w:val="single" w:color="auto" w:sz="4" w:space="0"/>
            </w:tcBorders>
            <w:vAlign w:val="center"/>
          </w:tcPr>
          <w:p w14:paraId="040C675B">
            <w:pPr>
              <w:widowControl/>
              <w:shd w:val="clear"/>
              <w:ind w:firstLine="420"/>
              <w:jc w:val="center"/>
              <w:textAlignment w:val="bottom"/>
              <w:rPr>
                <w:color w:val="auto"/>
                <w:sz w:val="21"/>
                <w:szCs w:val="21"/>
                <w:highlight w:val="none"/>
              </w:rPr>
            </w:pPr>
            <w:r>
              <w:rPr>
                <w:color w:val="auto"/>
                <w:sz w:val="21"/>
                <w:szCs w:val="21"/>
                <w:highlight w:val="none"/>
              </w:rPr>
              <w:t>碎焦筛</w:t>
            </w:r>
          </w:p>
        </w:tc>
        <w:tc>
          <w:tcPr>
            <w:tcW w:w="848" w:type="dxa"/>
            <w:tcBorders>
              <w:top w:val="single" w:color="auto" w:sz="4" w:space="0"/>
              <w:left w:val="single" w:color="auto" w:sz="4" w:space="0"/>
              <w:bottom w:val="single" w:color="auto" w:sz="4" w:space="0"/>
              <w:right w:val="single" w:color="auto" w:sz="4" w:space="0"/>
            </w:tcBorders>
            <w:vAlign w:val="center"/>
          </w:tcPr>
          <w:p w14:paraId="5F5DD088">
            <w:pPr>
              <w:widowControl/>
              <w:shd w:val="clear"/>
              <w:ind w:firstLine="0" w:firstLineChars="0"/>
              <w:jc w:val="center"/>
              <w:textAlignment w:val="bottom"/>
              <w:rPr>
                <w:color w:val="auto"/>
                <w:sz w:val="21"/>
                <w:szCs w:val="21"/>
                <w:highlight w:val="none"/>
              </w:rPr>
            </w:pPr>
            <w:r>
              <w:rPr>
                <w:color w:val="auto"/>
                <w:sz w:val="21"/>
                <w:szCs w:val="21"/>
                <w:highlight w:val="none"/>
              </w:rPr>
              <w:t>2</w:t>
            </w:r>
          </w:p>
        </w:tc>
        <w:tc>
          <w:tcPr>
            <w:tcW w:w="2168" w:type="dxa"/>
            <w:tcBorders>
              <w:top w:val="single" w:color="auto" w:sz="4" w:space="0"/>
              <w:left w:val="single" w:color="auto" w:sz="4" w:space="0"/>
              <w:bottom w:val="single" w:color="auto" w:sz="4" w:space="0"/>
              <w:right w:val="single" w:color="auto" w:sz="4" w:space="0"/>
            </w:tcBorders>
            <w:vAlign w:val="center"/>
          </w:tcPr>
          <w:p w14:paraId="5039454D">
            <w:pPr>
              <w:widowControl/>
              <w:shd w:val="clear"/>
              <w:ind w:firstLine="0" w:firstLineChars="0"/>
              <w:jc w:val="center"/>
              <w:textAlignment w:val="bottom"/>
              <w:rPr>
                <w:color w:val="auto"/>
                <w:sz w:val="21"/>
                <w:szCs w:val="21"/>
                <w:highlight w:val="none"/>
              </w:rPr>
            </w:pPr>
            <w:r>
              <w:rPr>
                <w:color w:val="auto"/>
                <w:sz w:val="21"/>
                <w:szCs w:val="21"/>
                <w:highlight w:val="none"/>
              </w:rPr>
              <w:t>改型为环保筛</w:t>
            </w:r>
          </w:p>
        </w:tc>
        <w:tc>
          <w:tcPr>
            <w:tcW w:w="1489" w:type="dxa"/>
            <w:tcBorders>
              <w:top w:val="single" w:color="auto" w:sz="4" w:space="0"/>
              <w:left w:val="single" w:color="auto" w:sz="4" w:space="0"/>
              <w:bottom w:val="single" w:color="auto" w:sz="4" w:space="0"/>
              <w:right w:val="single" w:color="auto" w:sz="12" w:space="0"/>
            </w:tcBorders>
            <w:vAlign w:val="center"/>
          </w:tcPr>
          <w:p w14:paraId="66EEDAE0">
            <w:pPr>
              <w:widowControl/>
              <w:shd w:val="clear"/>
              <w:ind w:firstLine="420"/>
              <w:jc w:val="center"/>
              <w:textAlignment w:val="bottom"/>
              <w:rPr>
                <w:color w:val="auto"/>
                <w:sz w:val="21"/>
                <w:szCs w:val="21"/>
                <w:highlight w:val="none"/>
              </w:rPr>
            </w:pPr>
          </w:p>
        </w:tc>
      </w:tr>
    </w:tbl>
    <w:p w14:paraId="0C60B2AE">
      <w:pPr>
        <w:numPr>
          <w:ilvl w:val="0"/>
          <w:numId w:val="12"/>
        </w:numPr>
        <w:shd w:val="clear"/>
        <w:rPr>
          <w:color w:val="auto"/>
          <w:highlight w:val="none"/>
        </w:rPr>
      </w:pPr>
      <w:bookmarkStart w:id="160" w:name="_Toc23986"/>
      <w:bookmarkStart w:id="161" w:name="_Toc1100"/>
      <w:bookmarkStart w:id="162" w:name="_Toc31553"/>
      <w:bookmarkStart w:id="163" w:name="_Toc8907"/>
      <w:r>
        <w:rPr>
          <w:rFonts w:hint="eastAsia"/>
          <w:color w:val="auto"/>
          <w:highlight w:val="none"/>
        </w:rPr>
        <w:t>槽下碎矿系统</w:t>
      </w:r>
      <w:bookmarkEnd w:id="160"/>
      <w:bookmarkEnd w:id="161"/>
      <w:bookmarkEnd w:id="162"/>
      <w:bookmarkEnd w:id="163"/>
    </w:p>
    <w:p w14:paraId="2BDC6998">
      <w:pPr>
        <w:shd w:val="clear"/>
        <w:rPr>
          <w:color w:val="auto"/>
          <w:highlight w:val="none"/>
        </w:rPr>
      </w:pPr>
      <w:r>
        <w:rPr>
          <w:color w:val="auto"/>
          <w:highlight w:val="none"/>
        </w:rPr>
        <w:t>更换现有酸返带式输送机、改造碱返带式输送机，</w:t>
      </w:r>
      <w:r>
        <w:rPr>
          <w:rFonts w:hint="eastAsia"/>
          <w:color w:val="auto"/>
          <w:highlight w:val="none"/>
        </w:rPr>
        <w:t>将返矿运</w:t>
      </w:r>
      <w:r>
        <w:rPr>
          <w:color w:val="auto"/>
          <w:highlight w:val="none"/>
        </w:rPr>
        <w:t>至新建 FA、FB 大倾角胶带机，大倾角胶带机运料至新建酸返、碱返仓。仓下新设 F01 带式输送机，通过新建带式输送机运输系统，物料依次经 F02、F03、F04 带式输送机，最终交料至 FK-2 返矿带式输送机上。</w:t>
      </w:r>
    </w:p>
    <w:p w14:paraId="38FC3580">
      <w:pPr>
        <w:shd w:val="clear"/>
        <w:rPr>
          <w:rFonts w:ascii="Arial" w:hAnsi="Arial"/>
          <w:color w:val="auto"/>
          <w:szCs w:val="21"/>
          <w:highlight w:val="none"/>
        </w:rPr>
      </w:pPr>
      <w:r>
        <w:rPr>
          <w:rFonts w:hint="eastAsia" w:ascii="Arial" w:hAnsi="Arial"/>
          <w:color w:val="auto"/>
          <w:szCs w:val="21"/>
          <w:highlight w:val="none"/>
        </w:rPr>
        <w:t>现有酸返、碱返皮带机采用三道头部清扫器，一级一道EXHD重型聚氨酯一级清扫器，二级一道合金橡胶二级清扫器，三级一道橡胶清扫器。</w:t>
      </w:r>
    </w:p>
    <w:p w14:paraId="3604D443">
      <w:pPr>
        <w:shd w:val="clear"/>
        <w:rPr>
          <w:color w:val="auto"/>
          <w:highlight w:val="none"/>
        </w:rPr>
      </w:pPr>
      <w:bookmarkStart w:id="164" w:name="_Toc19868"/>
      <w:bookmarkStart w:id="165" w:name="_Toc30793"/>
      <w:bookmarkStart w:id="166" w:name="_Toc31090"/>
      <w:r>
        <w:rPr>
          <w:rFonts w:hint="eastAsia"/>
          <w:color w:val="auto"/>
          <w:highlight w:val="none"/>
        </w:rPr>
        <w:t>因目前酸返皮带带宽500mm运输能力不足，长期存在撒料情况，现场职工劳动强度较大，清料作业过程安全隐患大，为解决以上问题，本次改造为带宽650mm的皮带。</w:t>
      </w:r>
    </w:p>
    <w:p w14:paraId="53398368">
      <w:pPr>
        <w:shd w:val="clear"/>
        <w:rPr>
          <w:color w:val="auto"/>
          <w:highlight w:val="none"/>
        </w:rPr>
      </w:pPr>
      <w:bookmarkStart w:id="167" w:name="_Toc23679"/>
      <w:r>
        <w:rPr>
          <w:rFonts w:hint="eastAsia"/>
          <w:color w:val="auto"/>
          <w:highlight w:val="none"/>
        </w:rPr>
        <w:t>（1）</w:t>
      </w:r>
      <w:r>
        <w:rPr>
          <w:color w:val="auto"/>
          <w:highlight w:val="none"/>
        </w:rPr>
        <w:t>工作制度</w:t>
      </w:r>
      <w:bookmarkEnd w:id="164"/>
      <w:bookmarkEnd w:id="165"/>
      <w:bookmarkEnd w:id="166"/>
      <w:bookmarkEnd w:id="167"/>
    </w:p>
    <w:p w14:paraId="12B47571">
      <w:pPr>
        <w:shd w:val="clear"/>
        <w:rPr>
          <w:color w:val="auto"/>
          <w:highlight w:val="none"/>
        </w:rPr>
      </w:pPr>
      <w:r>
        <w:rPr>
          <w:color w:val="auto"/>
          <w:highlight w:val="none"/>
        </w:rPr>
        <w:t>改造后的碱返胶带机、酸返胶带机及波状挡边带式输送机的工作制度与现有碱返胶带机的工作制度保持一致。即，四班三运转， 日工作班数三班，班工作时间为 8 小时，</w:t>
      </w:r>
    </w:p>
    <w:p w14:paraId="350907E1">
      <w:pPr>
        <w:shd w:val="clear"/>
        <w:rPr>
          <w:color w:val="auto"/>
          <w:highlight w:val="none"/>
        </w:rPr>
      </w:pPr>
      <w:r>
        <w:rPr>
          <w:color w:val="auto"/>
          <w:highlight w:val="none"/>
        </w:rPr>
        <w:t>新增 F01～F04 带式输送机，需要根据新3#高炉酸、碱返仓卸料时间来确认工作制度</w:t>
      </w:r>
      <w:r>
        <w:rPr>
          <w:rFonts w:hint="eastAsia"/>
          <w:color w:val="auto"/>
          <w:highlight w:val="none"/>
        </w:rPr>
        <w:t>，</w:t>
      </w:r>
      <w:r>
        <w:rPr>
          <w:color w:val="auto"/>
          <w:highlight w:val="none"/>
        </w:rPr>
        <w:t>操作权限在</w:t>
      </w:r>
      <w:r>
        <w:rPr>
          <w:rFonts w:hint="eastAsia"/>
          <w:color w:val="auto"/>
          <w:highlight w:val="none"/>
          <w:lang w:val="en-US" w:eastAsia="zh-CN"/>
        </w:rPr>
        <w:t>1、2号高炉地沟操作室</w:t>
      </w:r>
      <w:r>
        <w:rPr>
          <w:rFonts w:hint="eastAsia"/>
          <w:color w:val="auto"/>
          <w:highlight w:val="none"/>
          <w:lang w:eastAsia="zh-CN"/>
        </w:rPr>
        <w:t>，</w:t>
      </w:r>
      <w:r>
        <w:rPr>
          <w:rFonts w:hint="eastAsia"/>
          <w:color w:val="auto"/>
          <w:highlight w:val="none"/>
          <w:lang w:val="en-US" w:eastAsia="zh-CN"/>
        </w:rPr>
        <w:t>其控制由新增返矿PLC来实现，操作员通过设置在1、2号高炉地沟操作室内的返矿系统上位机进行远程操作</w:t>
      </w:r>
      <w:r>
        <w:rPr>
          <w:color w:val="auto"/>
          <w:highlight w:val="none"/>
        </w:rPr>
        <w:t>。</w:t>
      </w:r>
    </w:p>
    <w:p w14:paraId="07BD59B2">
      <w:pPr>
        <w:shd w:val="clear"/>
        <w:rPr>
          <w:color w:val="auto"/>
          <w:highlight w:val="none"/>
        </w:rPr>
      </w:pPr>
      <w:bookmarkStart w:id="168" w:name="_Toc17830"/>
      <w:bookmarkStart w:id="169" w:name="_Toc26424"/>
      <w:bookmarkStart w:id="170" w:name="_Toc24214"/>
      <w:bookmarkStart w:id="171" w:name="_Toc4750"/>
      <w:r>
        <w:rPr>
          <w:rFonts w:hint="eastAsia"/>
          <w:color w:val="auto"/>
          <w:highlight w:val="none"/>
        </w:rPr>
        <w:t>（2）</w:t>
      </w:r>
      <w:r>
        <w:rPr>
          <w:color w:val="auto"/>
          <w:highlight w:val="none"/>
        </w:rPr>
        <w:t xml:space="preserve"> 碱返仓、酸返仓储存能力计算</w:t>
      </w:r>
      <w:bookmarkEnd w:id="168"/>
      <w:bookmarkEnd w:id="169"/>
      <w:bookmarkEnd w:id="170"/>
      <w:bookmarkEnd w:id="171"/>
    </w:p>
    <w:p w14:paraId="038EF16D">
      <w:pPr>
        <w:shd w:val="clear"/>
        <w:rPr>
          <w:color w:val="auto"/>
          <w:highlight w:val="none"/>
        </w:rPr>
      </w:pPr>
      <w:r>
        <w:rPr>
          <w:color w:val="auto"/>
          <w:highlight w:val="none"/>
        </w:rPr>
        <w:t xml:space="preserve">根据炼铁厂提供资料，2#高炉碱返量 </w:t>
      </w:r>
      <w:r>
        <w:rPr>
          <w:rFonts w:hint="eastAsia"/>
          <w:color w:val="auto"/>
          <w:highlight w:val="none"/>
        </w:rPr>
        <w:t>113</w:t>
      </w:r>
      <w:r>
        <w:rPr>
          <w:color w:val="auto"/>
          <w:highlight w:val="none"/>
        </w:rPr>
        <w:t>0t/d，1、2#高炉酸返量</w:t>
      </w:r>
      <w:r>
        <w:rPr>
          <w:rFonts w:hint="eastAsia"/>
          <w:color w:val="auto"/>
          <w:highlight w:val="none"/>
        </w:rPr>
        <w:t>80</w:t>
      </w:r>
      <w:r>
        <w:rPr>
          <w:color w:val="auto"/>
          <w:highlight w:val="none"/>
        </w:rPr>
        <w:t>0t/d。</w:t>
      </w:r>
    </w:p>
    <w:p w14:paraId="3C52249B">
      <w:pPr>
        <w:shd w:val="clear"/>
        <w:rPr>
          <w:color w:val="auto"/>
          <w:highlight w:val="none"/>
        </w:rPr>
      </w:pPr>
      <w:r>
        <w:rPr>
          <w:color w:val="auto"/>
          <w:highlight w:val="none"/>
        </w:rPr>
        <w:t xml:space="preserve">新建 2#高炉碱返仓，按储存 </w:t>
      </w:r>
      <w:r>
        <w:rPr>
          <w:rFonts w:hint="eastAsia"/>
          <w:color w:val="auto"/>
          <w:highlight w:val="none"/>
        </w:rPr>
        <w:t>9</w:t>
      </w:r>
      <w:r>
        <w:rPr>
          <w:color w:val="auto"/>
          <w:highlight w:val="none"/>
        </w:rPr>
        <w:t>h 计算，储存量为 4</w:t>
      </w:r>
      <w:r>
        <w:rPr>
          <w:rFonts w:hint="eastAsia"/>
          <w:color w:val="auto"/>
          <w:highlight w:val="none"/>
        </w:rPr>
        <w:t>24</w:t>
      </w:r>
      <w:r>
        <w:rPr>
          <w:color w:val="auto"/>
          <w:highlight w:val="none"/>
        </w:rPr>
        <w:t>t，烧结矿返料密度按 1.</w:t>
      </w:r>
      <w:r>
        <w:rPr>
          <w:rFonts w:hint="eastAsia"/>
          <w:color w:val="auto"/>
          <w:highlight w:val="none"/>
        </w:rPr>
        <w:t>8</w:t>
      </w:r>
      <w:r>
        <w:rPr>
          <w:color w:val="auto"/>
          <w:highlight w:val="none"/>
        </w:rPr>
        <w:t>5t/m³计算，新建 2#高炉碱返仓有效容积约 230m³。</w:t>
      </w:r>
    </w:p>
    <w:p w14:paraId="097546F7">
      <w:pPr>
        <w:shd w:val="clear"/>
        <w:rPr>
          <w:color w:val="auto"/>
          <w:highlight w:val="none"/>
        </w:rPr>
      </w:pPr>
      <w:r>
        <w:rPr>
          <w:color w:val="auto"/>
          <w:highlight w:val="none"/>
        </w:rPr>
        <w:t xml:space="preserve">新建 1、2#高炉酸返仓，按储存 12h 计算，储存量为 </w:t>
      </w:r>
      <w:r>
        <w:rPr>
          <w:rFonts w:hint="eastAsia"/>
          <w:color w:val="auto"/>
          <w:highlight w:val="none"/>
        </w:rPr>
        <w:t>400</w:t>
      </w:r>
      <w:r>
        <w:rPr>
          <w:color w:val="auto"/>
          <w:highlight w:val="none"/>
        </w:rPr>
        <w:t>t，</w:t>
      </w:r>
      <w:r>
        <w:rPr>
          <w:rFonts w:hint="eastAsia"/>
          <w:color w:val="auto"/>
          <w:highlight w:val="none"/>
        </w:rPr>
        <w:t>球团/块</w:t>
      </w:r>
      <w:r>
        <w:rPr>
          <w:color w:val="auto"/>
          <w:highlight w:val="none"/>
        </w:rPr>
        <w:t>矿</w:t>
      </w:r>
      <w:r>
        <w:rPr>
          <w:rFonts w:hint="eastAsia"/>
          <w:color w:val="auto"/>
          <w:highlight w:val="none"/>
        </w:rPr>
        <w:t>返料</w:t>
      </w:r>
      <w:r>
        <w:rPr>
          <w:color w:val="auto"/>
          <w:highlight w:val="none"/>
        </w:rPr>
        <w:t>密度按</w:t>
      </w:r>
      <w:r>
        <w:rPr>
          <w:rFonts w:hint="eastAsia"/>
          <w:color w:val="auto"/>
          <w:highlight w:val="none"/>
        </w:rPr>
        <w:t>2.0</w:t>
      </w:r>
      <w:r>
        <w:rPr>
          <w:color w:val="auto"/>
          <w:highlight w:val="none"/>
        </w:rPr>
        <w:t>t/m³计算，新建 1、2#高炉酸返仓有效容积约</w:t>
      </w:r>
      <w:r>
        <w:rPr>
          <w:rFonts w:hint="eastAsia"/>
          <w:color w:val="auto"/>
          <w:highlight w:val="none"/>
        </w:rPr>
        <w:t>20</w:t>
      </w:r>
      <w:r>
        <w:rPr>
          <w:color w:val="auto"/>
          <w:highlight w:val="none"/>
        </w:rPr>
        <w:t>0m³</w:t>
      </w:r>
      <w:r>
        <w:rPr>
          <w:rFonts w:hint="eastAsia"/>
          <w:color w:val="auto"/>
          <w:highlight w:val="none"/>
        </w:rPr>
        <w:t>。</w:t>
      </w:r>
    </w:p>
    <w:p w14:paraId="19A5FBD0">
      <w:pPr>
        <w:shd w:val="clear"/>
        <w:rPr>
          <w:color w:val="auto"/>
          <w:highlight w:val="none"/>
        </w:rPr>
      </w:pPr>
      <w:r>
        <w:rPr>
          <w:rFonts w:hint="eastAsia"/>
          <w:color w:val="auto"/>
          <w:highlight w:val="none"/>
        </w:rPr>
        <w:t>根据</w:t>
      </w:r>
      <w:r>
        <w:rPr>
          <w:color w:val="auto"/>
          <w:highlight w:val="none"/>
        </w:rPr>
        <w:t>场地限制及工艺布置综合考虑，本次将 2#高炉碱返仓有效容积按 2</w:t>
      </w:r>
      <w:r>
        <w:rPr>
          <w:rFonts w:hint="eastAsia"/>
          <w:color w:val="auto"/>
          <w:highlight w:val="none"/>
        </w:rPr>
        <w:t>3</w:t>
      </w:r>
      <w:r>
        <w:rPr>
          <w:color w:val="auto"/>
          <w:highlight w:val="none"/>
        </w:rPr>
        <w:t xml:space="preserve">0m³设置，1、2#高炉酸返仓有效容积按 </w:t>
      </w:r>
      <w:r>
        <w:rPr>
          <w:rFonts w:hint="eastAsia"/>
          <w:color w:val="auto"/>
          <w:highlight w:val="none"/>
        </w:rPr>
        <w:t>20</w:t>
      </w:r>
      <w:r>
        <w:rPr>
          <w:color w:val="auto"/>
          <w:highlight w:val="none"/>
        </w:rPr>
        <w:t xml:space="preserve">0m³设置。本次新建碱返仓为 </w:t>
      </w:r>
      <w:r>
        <w:rPr>
          <w:rFonts w:hint="eastAsia"/>
          <w:color w:val="auto"/>
          <w:highlight w:val="none"/>
        </w:rPr>
        <w:t>9</w:t>
      </w:r>
      <w:r>
        <w:rPr>
          <w:color w:val="auto"/>
          <w:highlight w:val="none"/>
        </w:rPr>
        <w:t>m×</w:t>
      </w:r>
      <w:r>
        <w:rPr>
          <w:rFonts w:hint="eastAsia"/>
          <w:color w:val="auto"/>
          <w:highlight w:val="none"/>
        </w:rPr>
        <w:t>7</w:t>
      </w:r>
      <w:r>
        <w:rPr>
          <w:color w:val="auto"/>
          <w:highlight w:val="none"/>
        </w:rPr>
        <w:t>m×9.</w:t>
      </w:r>
      <w:r>
        <w:rPr>
          <w:rFonts w:hint="eastAsia"/>
          <w:color w:val="auto"/>
          <w:highlight w:val="none"/>
        </w:rPr>
        <w:t>8</w:t>
      </w:r>
      <w:r>
        <w:rPr>
          <w:color w:val="auto"/>
          <w:highlight w:val="none"/>
        </w:rPr>
        <w:t xml:space="preserve">m（长×宽×高），本次新建酸返仓为 </w:t>
      </w:r>
      <w:r>
        <w:rPr>
          <w:rFonts w:hint="eastAsia"/>
          <w:color w:val="auto"/>
          <w:highlight w:val="none"/>
        </w:rPr>
        <w:t>6</w:t>
      </w:r>
      <w:r>
        <w:rPr>
          <w:color w:val="auto"/>
          <w:highlight w:val="none"/>
        </w:rPr>
        <w:t>m×</w:t>
      </w:r>
      <w:r>
        <w:rPr>
          <w:rFonts w:hint="eastAsia"/>
          <w:color w:val="auto"/>
          <w:highlight w:val="none"/>
        </w:rPr>
        <w:t>7</w:t>
      </w:r>
      <w:r>
        <w:rPr>
          <w:color w:val="auto"/>
          <w:highlight w:val="none"/>
        </w:rPr>
        <w:t>m×9.</w:t>
      </w:r>
      <w:r>
        <w:rPr>
          <w:rFonts w:hint="eastAsia"/>
          <w:color w:val="auto"/>
          <w:highlight w:val="none"/>
        </w:rPr>
        <w:t>8</w:t>
      </w:r>
      <w:r>
        <w:rPr>
          <w:color w:val="auto"/>
          <w:highlight w:val="none"/>
        </w:rPr>
        <w:t>m（长×宽×高）。</w:t>
      </w:r>
    </w:p>
    <w:p w14:paraId="4016BD6D">
      <w:pPr>
        <w:numPr>
          <w:ilvl w:val="0"/>
          <w:numId w:val="13"/>
        </w:numPr>
        <w:shd w:val="clear"/>
        <w:rPr>
          <w:color w:val="auto"/>
          <w:highlight w:val="none"/>
        </w:rPr>
      </w:pPr>
      <w:bookmarkStart w:id="172" w:name="_Toc19172"/>
      <w:bookmarkStart w:id="173" w:name="_Toc4109"/>
      <w:bookmarkStart w:id="174" w:name="_Toc7211"/>
      <w:bookmarkStart w:id="175" w:name="_Toc9075"/>
      <w:r>
        <w:rPr>
          <w:color w:val="auto"/>
          <w:highlight w:val="none"/>
        </w:rPr>
        <w:t>新建带式输送机能力计算</w:t>
      </w:r>
      <w:bookmarkEnd w:id="172"/>
      <w:bookmarkEnd w:id="173"/>
      <w:bookmarkEnd w:id="174"/>
      <w:bookmarkEnd w:id="175"/>
    </w:p>
    <w:p w14:paraId="429DF02E">
      <w:pPr>
        <w:shd w:val="clear"/>
        <w:rPr>
          <w:color w:val="auto"/>
          <w:highlight w:val="none"/>
        </w:rPr>
      </w:pPr>
      <w:r>
        <w:rPr>
          <w:color w:val="auto"/>
          <w:highlight w:val="none"/>
        </w:rPr>
        <w:t>返矿外送系统主要是将 2#高炉碱返、1#、2#高炉酸返矿通过中间仓缓存，然后通过新增胶带机系统，最终转运至 FK-2 带式输送机（现有）。FK-2 带式输送机：带宽 800mm，带速 1.6m/s，输送量 500t/h。</w:t>
      </w:r>
    </w:p>
    <w:p w14:paraId="4C45AA1C">
      <w:pPr>
        <w:shd w:val="clear"/>
        <w:rPr>
          <w:color w:val="auto"/>
          <w:highlight w:val="none"/>
        </w:rPr>
      </w:pPr>
      <w:r>
        <w:rPr>
          <w:color w:val="auto"/>
          <w:highlight w:val="none"/>
        </w:rPr>
        <w:t>根据FK-2带式输送机性能参数，本次新增带式输送机均按带宽800mm</w:t>
      </w:r>
      <w:r>
        <w:rPr>
          <w:rFonts w:hint="eastAsia"/>
          <w:color w:val="auto"/>
          <w:highlight w:val="none"/>
          <w:lang w:eastAsia="zh-CN"/>
        </w:rPr>
        <w:t>（</w:t>
      </w:r>
      <w:r>
        <w:rPr>
          <w:rFonts w:hint="eastAsia"/>
          <w:color w:val="auto"/>
          <w:highlight w:val="none"/>
          <w:lang w:val="en-US" w:eastAsia="zh-CN"/>
        </w:rPr>
        <w:t>不包含</w:t>
      </w:r>
      <w:r>
        <w:rPr>
          <w:color w:val="auto"/>
          <w:highlight w:val="none"/>
        </w:rPr>
        <w:t>FA、FB波状挡边带式输送机</w:t>
      </w:r>
      <w:r>
        <w:rPr>
          <w:rFonts w:hint="eastAsia"/>
          <w:color w:val="auto"/>
          <w:highlight w:val="none"/>
          <w:lang w:eastAsia="zh-CN"/>
        </w:rPr>
        <w:t>）</w:t>
      </w:r>
      <w:r>
        <w:rPr>
          <w:color w:val="auto"/>
          <w:highlight w:val="none"/>
        </w:rPr>
        <w:t>，带速 1.6m/s，输送量 500t/h 设置，与 FK-2 带式输送机一致。</w:t>
      </w:r>
    </w:p>
    <w:p w14:paraId="01FEDC0B">
      <w:pPr>
        <w:shd w:val="clear"/>
        <w:rPr>
          <w:color w:val="auto"/>
          <w:highlight w:val="none"/>
        </w:rPr>
      </w:pPr>
      <w:bookmarkStart w:id="176" w:name="_Toc29284"/>
      <w:bookmarkStart w:id="177" w:name="_Toc21074"/>
      <w:bookmarkStart w:id="178" w:name="_Toc19960"/>
      <w:bookmarkStart w:id="179" w:name="_Toc32186"/>
      <w:r>
        <w:rPr>
          <w:rFonts w:hint="eastAsia"/>
          <w:color w:val="auto"/>
          <w:highlight w:val="none"/>
        </w:rPr>
        <w:t>（3）</w:t>
      </w:r>
      <w:r>
        <w:rPr>
          <w:color w:val="auto"/>
          <w:highlight w:val="none"/>
        </w:rPr>
        <w:t>返矿外送系统工艺流程</w:t>
      </w:r>
      <w:bookmarkEnd w:id="176"/>
      <w:bookmarkEnd w:id="177"/>
      <w:bookmarkEnd w:id="178"/>
      <w:bookmarkEnd w:id="179"/>
    </w:p>
    <w:p w14:paraId="3B98B20A">
      <w:pPr>
        <w:shd w:val="clear"/>
        <w:rPr>
          <w:color w:val="auto"/>
          <w:highlight w:val="none"/>
        </w:rPr>
      </w:pPr>
      <w:r>
        <w:rPr>
          <w:rFonts w:hint="eastAsia"/>
          <w:color w:val="auto"/>
          <w:highlight w:val="none"/>
        </w:rPr>
        <w:t>更换</w:t>
      </w:r>
      <w:r>
        <w:rPr>
          <w:color w:val="auto"/>
          <w:highlight w:val="none"/>
        </w:rPr>
        <w:t>现有酸返带式输送机（</w:t>
      </w:r>
      <w:r>
        <w:rPr>
          <w:rFonts w:hint="eastAsia"/>
          <w:color w:val="auto"/>
          <w:highlight w:val="none"/>
        </w:rPr>
        <w:t>B=500mm更换为</w:t>
      </w:r>
      <w:r>
        <w:rPr>
          <w:color w:val="auto"/>
          <w:highlight w:val="none"/>
        </w:rPr>
        <w:t>B=</w:t>
      </w:r>
      <w:r>
        <w:rPr>
          <w:rFonts w:hint="eastAsia"/>
          <w:color w:val="auto"/>
          <w:highlight w:val="none"/>
        </w:rPr>
        <w:t>65</w:t>
      </w:r>
      <w:r>
        <w:rPr>
          <w:color w:val="auto"/>
          <w:highlight w:val="none"/>
        </w:rPr>
        <w:t>0</w:t>
      </w:r>
      <w:r>
        <w:rPr>
          <w:rFonts w:hint="eastAsia"/>
          <w:color w:val="auto"/>
          <w:highlight w:val="none"/>
        </w:rPr>
        <w:t>mm</w:t>
      </w:r>
      <w:r>
        <w:rPr>
          <w:color w:val="auto"/>
          <w:highlight w:val="none"/>
        </w:rPr>
        <w:t>），</w:t>
      </w:r>
      <w:r>
        <w:rPr>
          <w:rFonts w:hint="eastAsia"/>
          <w:color w:val="auto"/>
          <w:highlight w:val="none"/>
        </w:rPr>
        <w:t>运</w:t>
      </w:r>
      <w:r>
        <w:rPr>
          <w:color w:val="auto"/>
          <w:highlight w:val="none"/>
        </w:rPr>
        <w:t>料至新建的 FA 波状挡边带式输送机，FA 波状挡边带式输送机运输至新建酸返仓+</w:t>
      </w:r>
      <w:r>
        <w:rPr>
          <w:rFonts w:hint="eastAsia"/>
          <w:color w:val="auto"/>
          <w:highlight w:val="none"/>
        </w:rPr>
        <w:t>19.93</w:t>
      </w:r>
      <w:r>
        <w:rPr>
          <w:color w:val="auto"/>
          <w:highlight w:val="none"/>
        </w:rPr>
        <w:t>m 处，进入酸返仓。</w:t>
      </w:r>
      <w:r>
        <w:rPr>
          <w:rFonts w:hint="eastAsia" w:ascii="Times New Roman" w:hAnsi="Times New Roman" w:cs="Times New Roman"/>
          <w:bCs/>
          <w:color w:val="auto"/>
          <w:kern w:val="0"/>
          <w:szCs w:val="20"/>
          <w:highlight w:val="none"/>
        </w:rPr>
        <w:t>1号高炉与2号高炉槽下碱返皮带分离设计，碱返皮带中间截断，增加皮带尾轮及拉紧装置等；2号高炉碱返皮带往南延长，运</w:t>
      </w:r>
      <w:r>
        <w:rPr>
          <w:color w:val="auto"/>
          <w:highlight w:val="none"/>
        </w:rPr>
        <w:t>料至新建的 FB 波状挡边带式输送机，FB 波状挡边带式输送机运输至新建碱返仓+</w:t>
      </w:r>
      <w:r>
        <w:rPr>
          <w:rFonts w:hint="eastAsia"/>
          <w:color w:val="auto"/>
          <w:highlight w:val="none"/>
        </w:rPr>
        <w:t>19.93</w:t>
      </w:r>
      <w:r>
        <w:rPr>
          <w:color w:val="auto"/>
          <w:highlight w:val="none"/>
        </w:rPr>
        <w:t>m 处，进入碱返仓。</w:t>
      </w:r>
    </w:p>
    <w:p w14:paraId="70D214F4">
      <w:pPr>
        <w:shd w:val="clear"/>
        <w:rPr>
          <w:color w:val="auto"/>
          <w:highlight w:val="none"/>
        </w:rPr>
      </w:pPr>
      <w:r>
        <w:rPr>
          <w:color w:val="auto"/>
          <w:highlight w:val="none"/>
        </w:rPr>
        <w:t>具体工艺流程详见下图：</w:t>
      </w:r>
    </w:p>
    <w:p w14:paraId="47F364A6">
      <w:pPr>
        <w:shd w:val="clear"/>
        <w:rPr>
          <w:color w:val="auto"/>
          <w:highlight w:val="none"/>
        </w:rPr>
      </w:pPr>
    </w:p>
    <w:p w14:paraId="1BECC2F5">
      <w:pPr>
        <w:shd w:val="clear"/>
        <w:rPr>
          <w:color w:val="auto"/>
          <w:highlight w:val="none"/>
        </w:rPr>
      </w:pPr>
      <w:r>
        <w:rPr>
          <w:color w:val="auto"/>
          <w:highlight w:val="none"/>
        </w:rPr>
        <w:drawing>
          <wp:inline distT="0" distB="0" distL="114300" distR="114300">
            <wp:extent cx="4943475" cy="3056890"/>
            <wp:effectExtent l="0" t="0" r="9525" b="3810"/>
            <wp:docPr id="15" name="图片 62"/>
            <wp:cNvGraphicFramePr/>
            <a:graphic xmlns:a="http://schemas.openxmlformats.org/drawingml/2006/main">
              <a:graphicData uri="http://schemas.openxmlformats.org/drawingml/2006/picture">
                <pic:pic xmlns:pic="http://schemas.openxmlformats.org/drawingml/2006/picture">
                  <pic:nvPicPr>
                    <pic:cNvPr id="15" name="图片 62"/>
                    <pic:cNvPicPr/>
                  </pic:nvPicPr>
                  <pic:blipFill>
                    <a:blip r:embed="rId10" cstate="print"/>
                    <a:stretch>
                      <a:fillRect/>
                    </a:stretch>
                  </pic:blipFill>
                  <pic:spPr>
                    <a:xfrm>
                      <a:off x="0" y="0"/>
                      <a:ext cx="4943729" cy="3057271"/>
                    </a:xfrm>
                    <a:prstGeom prst="rect">
                      <a:avLst/>
                    </a:prstGeom>
                    <a:noFill/>
                    <a:ln>
                      <a:noFill/>
                    </a:ln>
                  </pic:spPr>
                </pic:pic>
              </a:graphicData>
            </a:graphic>
          </wp:inline>
        </w:drawing>
      </w:r>
    </w:p>
    <w:p w14:paraId="075D5BDB">
      <w:pPr>
        <w:shd w:val="clear"/>
        <w:rPr>
          <w:color w:val="auto"/>
          <w:highlight w:val="none"/>
        </w:rPr>
      </w:pPr>
      <w:bookmarkStart w:id="180" w:name="_Toc24264"/>
      <w:bookmarkStart w:id="181" w:name="_Toc14436"/>
      <w:bookmarkStart w:id="182" w:name="_Toc29499"/>
      <w:bookmarkStart w:id="183" w:name="_Toc960"/>
      <w:r>
        <w:rPr>
          <w:rFonts w:hint="eastAsia"/>
          <w:color w:val="auto"/>
          <w:highlight w:val="none"/>
        </w:rPr>
        <w:t>（4）</w:t>
      </w:r>
      <w:r>
        <w:rPr>
          <w:color w:val="auto"/>
          <w:highlight w:val="none"/>
        </w:rPr>
        <w:t>返矿外送系统新增工艺设备</w:t>
      </w:r>
      <w:bookmarkEnd w:id="180"/>
      <w:bookmarkEnd w:id="181"/>
      <w:bookmarkEnd w:id="182"/>
      <w:bookmarkEnd w:id="183"/>
    </w:p>
    <w:p w14:paraId="68709ECF">
      <w:pPr>
        <w:shd w:val="clear"/>
        <w:rPr>
          <w:color w:val="auto"/>
          <w:highlight w:val="none"/>
        </w:rPr>
      </w:pPr>
      <w:r>
        <w:rPr>
          <w:color w:val="auto"/>
          <w:highlight w:val="none"/>
        </w:rPr>
        <w:t>现有酸返（B=500mm）带式输送机</w:t>
      </w:r>
      <w:r>
        <w:rPr>
          <w:rFonts w:hint="eastAsia"/>
          <w:color w:val="auto"/>
          <w:highlight w:val="none"/>
        </w:rPr>
        <w:t>改造为B=650mm</w:t>
      </w:r>
      <w:r>
        <w:rPr>
          <w:color w:val="auto"/>
          <w:highlight w:val="none"/>
        </w:rPr>
        <w:t>输送量约</w:t>
      </w:r>
      <w:r>
        <w:rPr>
          <w:rFonts w:hint="eastAsia"/>
          <w:color w:val="auto"/>
          <w:highlight w:val="none"/>
        </w:rPr>
        <w:t>12</w:t>
      </w:r>
      <w:r>
        <w:rPr>
          <w:color w:val="auto"/>
          <w:highlight w:val="none"/>
        </w:rPr>
        <w:t>0t/h，</w:t>
      </w:r>
      <w:r>
        <w:rPr>
          <w:rFonts w:hint="eastAsia"/>
          <w:color w:val="auto"/>
          <w:highlight w:val="none"/>
        </w:rPr>
        <w:t>全程导料槽。</w:t>
      </w:r>
    </w:p>
    <w:p w14:paraId="51905436">
      <w:pPr>
        <w:shd w:val="clear"/>
        <w:rPr>
          <w:color w:val="auto"/>
          <w:highlight w:val="none"/>
        </w:rPr>
      </w:pPr>
      <w:r>
        <w:rPr>
          <w:rFonts w:hint="eastAsia"/>
          <w:color w:val="auto"/>
          <w:highlight w:val="none"/>
        </w:rPr>
        <w:t>现有碱返皮带从8#、9#振筛中间截断，1号高炉碱返皮带</w:t>
      </w:r>
      <w:r>
        <w:rPr>
          <w:color w:val="auto"/>
          <w:highlight w:val="none"/>
        </w:rPr>
        <w:t>利旧现有碱返带式输送机，</w:t>
      </w:r>
      <w:r>
        <w:rPr>
          <w:rFonts w:hint="eastAsia"/>
          <w:color w:val="auto"/>
          <w:highlight w:val="none"/>
          <w:shd w:val="clear" w:color="auto"/>
        </w:rPr>
        <w:t>导料槽利旧，</w:t>
      </w:r>
      <w:r>
        <w:rPr>
          <w:rFonts w:hint="eastAsia"/>
          <w:color w:val="auto"/>
          <w:highlight w:val="none"/>
        </w:rPr>
        <w:t>增加机尾滚筒</w:t>
      </w:r>
      <w:r>
        <w:rPr>
          <w:rFonts w:hint="eastAsia"/>
          <w:color w:val="auto"/>
          <w:highlight w:val="none"/>
          <w:lang w:val="en-US" w:eastAsia="zh-CN"/>
        </w:rPr>
        <w:t>及配重</w:t>
      </w:r>
      <w:r>
        <w:rPr>
          <w:rFonts w:hint="eastAsia"/>
          <w:color w:val="auto"/>
          <w:highlight w:val="none"/>
        </w:rPr>
        <w:t>。2号高炉碱返皮带</w:t>
      </w:r>
      <w:r>
        <w:rPr>
          <w:color w:val="auto"/>
          <w:highlight w:val="none"/>
        </w:rPr>
        <w:t>（B=650mm）带式输送机改造</w:t>
      </w:r>
      <w:r>
        <w:rPr>
          <w:rFonts w:hint="eastAsia"/>
          <w:color w:val="auto"/>
          <w:highlight w:val="none"/>
        </w:rPr>
        <w:t>，向南延长约15m，胶带更换，托辊支架全部更换、五防更换、更换全程导料槽、</w:t>
      </w:r>
      <w:r>
        <w:rPr>
          <w:rFonts w:hint="eastAsia"/>
          <w:color w:val="auto"/>
          <w:highlight w:val="none"/>
          <w:shd w:val="clear" w:color="auto"/>
        </w:rPr>
        <w:t>全程防护网、</w:t>
      </w:r>
      <w:r>
        <w:rPr>
          <w:rFonts w:hint="eastAsia"/>
          <w:color w:val="auto"/>
          <w:highlight w:val="none"/>
        </w:rPr>
        <w:t>增加机头、机尾滚筒</w:t>
      </w:r>
      <w:r>
        <w:rPr>
          <w:rFonts w:hint="eastAsia"/>
          <w:color w:val="auto"/>
          <w:highlight w:val="none"/>
          <w:lang w:val="en-US" w:eastAsia="zh-CN"/>
        </w:rPr>
        <w:t>及配重</w:t>
      </w:r>
      <w:r>
        <w:rPr>
          <w:rFonts w:hint="eastAsia"/>
          <w:color w:val="auto"/>
          <w:highlight w:val="none"/>
        </w:rPr>
        <w:t>、电机、减速机</w:t>
      </w:r>
      <w:r>
        <w:rPr>
          <w:color w:val="auto"/>
          <w:highlight w:val="none"/>
        </w:rPr>
        <w:t>，输送量约</w:t>
      </w:r>
      <w:r>
        <w:rPr>
          <w:rFonts w:hint="eastAsia"/>
          <w:color w:val="auto"/>
          <w:highlight w:val="none"/>
        </w:rPr>
        <w:t>12</w:t>
      </w:r>
      <w:r>
        <w:rPr>
          <w:color w:val="auto"/>
          <w:highlight w:val="none"/>
        </w:rPr>
        <w:t>0t/h</w:t>
      </w:r>
      <w:r>
        <w:rPr>
          <w:rFonts w:hint="eastAsia"/>
          <w:color w:val="auto"/>
          <w:highlight w:val="none"/>
        </w:rPr>
        <w:t>。</w:t>
      </w:r>
    </w:p>
    <w:p w14:paraId="24416145">
      <w:pPr>
        <w:shd w:val="clear"/>
        <w:rPr>
          <w:color w:val="auto"/>
          <w:highlight w:val="none"/>
        </w:rPr>
      </w:pPr>
      <w:bookmarkStart w:id="184" w:name="_Toc100483682"/>
      <w:bookmarkStart w:id="185" w:name="_Toc100483374"/>
      <w:bookmarkStart w:id="186" w:name="_Toc9941"/>
      <w:bookmarkStart w:id="187" w:name="_Toc10129"/>
      <w:bookmarkStart w:id="188" w:name="_Toc79840271"/>
      <w:bookmarkStart w:id="189" w:name="_Toc175920359"/>
      <w:bookmarkStart w:id="190" w:name="_Toc28294"/>
      <w:bookmarkStart w:id="191" w:name="_Toc17619"/>
      <w:r>
        <w:rPr>
          <w:color w:val="auto"/>
          <w:highlight w:val="none"/>
        </w:rPr>
        <w:t>新增 2 条（FA、FB）波状挡边带式输送机，Q=1</w:t>
      </w:r>
      <w:r>
        <w:rPr>
          <w:rFonts w:hint="eastAsia"/>
          <w:color w:val="auto"/>
          <w:highlight w:val="none"/>
        </w:rPr>
        <w:t>2</w:t>
      </w:r>
      <w:r>
        <w:rPr>
          <w:color w:val="auto"/>
          <w:highlight w:val="none"/>
        </w:rPr>
        <w:t>0t/h，V=1.</w:t>
      </w:r>
      <w:r>
        <w:rPr>
          <w:rFonts w:hint="eastAsia"/>
          <w:color w:val="auto"/>
          <w:highlight w:val="none"/>
        </w:rPr>
        <w:t>6</w:t>
      </w:r>
      <w:r>
        <w:rPr>
          <w:color w:val="auto"/>
          <w:highlight w:val="none"/>
        </w:rPr>
        <w:t xml:space="preserve">m/s， B=1000mm，每条长约 30m，提升高度约 25m，电动机功率约 </w:t>
      </w:r>
      <w:r>
        <w:rPr>
          <w:rFonts w:hint="eastAsia"/>
          <w:color w:val="auto"/>
          <w:highlight w:val="none"/>
          <w:lang w:val="en-US" w:eastAsia="zh-CN"/>
        </w:rPr>
        <w:t>45</w:t>
      </w:r>
      <w:r>
        <w:rPr>
          <w:color w:val="auto"/>
          <w:highlight w:val="none"/>
        </w:rPr>
        <w:t>kW/台；</w:t>
      </w:r>
    </w:p>
    <w:p w14:paraId="63A85216">
      <w:pPr>
        <w:shd w:val="clear"/>
        <w:rPr>
          <w:color w:val="auto"/>
          <w:highlight w:val="none"/>
        </w:rPr>
      </w:pPr>
      <w:r>
        <w:rPr>
          <w:rFonts w:hint="eastAsia"/>
          <w:color w:val="auto"/>
          <w:highlight w:val="none"/>
        </w:rPr>
        <w:t>地沟西侧、东侧、南侧道路及地面硬化</w:t>
      </w:r>
      <w:r>
        <w:rPr>
          <w:rFonts w:hint="eastAsia"/>
          <w:color w:val="auto"/>
          <w:highlight w:val="none"/>
          <w:lang w:eastAsia="zh-CN"/>
        </w:rPr>
        <w:t>，</w:t>
      </w:r>
      <w:r>
        <w:rPr>
          <w:rFonts w:hint="eastAsia"/>
          <w:color w:val="auto"/>
          <w:highlight w:val="none"/>
          <w:lang w:val="en-US" w:eastAsia="zh-CN"/>
        </w:rPr>
        <w:t>面积见总图</w:t>
      </w:r>
      <w:r>
        <w:rPr>
          <w:rFonts w:hint="eastAsia" w:ascii="Times New Roman" w:hAnsi="Times New Roman" w:cs="Times New Roman"/>
          <w:b/>
          <w:bCs/>
          <w:color w:val="auto"/>
          <w:highlight w:val="none"/>
        </w:rPr>
        <w:t>。</w:t>
      </w:r>
    </w:p>
    <w:p w14:paraId="206E5F3C">
      <w:pPr>
        <w:numPr>
          <w:ilvl w:val="0"/>
          <w:numId w:val="12"/>
        </w:numPr>
        <w:shd w:val="clear"/>
        <w:rPr>
          <w:color w:val="auto"/>
          <w:highlight w:val="none"/>
        </w:rPr>
      </w:pPr>
      <w:bookmarkStart w:id="192" w:name="_Toc4130"/>
      <w:r>
        <w:rPr>
          <w:rFonts w:hint="eastAsia"/>
          <w:color w:val="auto"/>
          <w:highlight w:val="none"/>
        </w:rPr>
        <w:t>现有电机更换为高能效电机（更换为一级能效电机）</w:t>
      </w:r>
      <w:bookmarkEnd w:id="192"/>
    </w:p>
    <w:tbl>
      <w:tblPr>
        <w:tblStyle w:val="60"/>
        <w:tblW w:w="0" w:type="auto"/>
        <w:tblInd w:w="0" w:type="dxa"/>
        <w:tblLayout w:type="fixed"/>
        <w:tblCellMar>
          <w:top w:w="0" w:type="dxa"/>
          <w:left w:w="108" w:type="dxa"/>
          <w:bottom w:w="0" w:type="dxa"/>
          <w:right w:w="108" w:type="dxa"/>
        </w:tblCellMar>
      </w:tblPr>
      <w:tblGrid>
        <w:gridCol w:w="711"/>
        <w:gridCol w:w="1896"/>
        <w:gridCol w:w="1463"/>
        <w:gridCol w:w="1475"/>
        <w:gridCol w:w="1074"/>
        <w:gridCol w:w="899"/>
        <w:gridCol w:w="1001"/>
      </w:tblGrid>
      <w:tr w14:paraId="26E3BD42">
        <w:tblPrEx>
          <w:tblCellMar>
            <w:top w:w="0" w:type="dxa"/>
            <w:left w:w="108" w:type="dxa"/>
            <w:bottom w:w="0" w:type="dxa"/>
            <w:right w:w="108" w:type="dxa"/>
          </w:tblCellMar>
        </w:tblPrEx>
        <w:trPr>
          <w:trHeight w:val="855" w:hRule="atLeast"/>
        </w:trPr>
        <w:tc>
          <w:tcPr>
            <w:tcW w:w="711" w:type="dxa"/>
            <w:tcBorders>
              <w:top w:val="single" w:color="000000" w:sz="4" w:space="0"/>
              <w:left w:val="single" w:color="000000" w:sz="4" w:space="0"/>
              <w:bottom w:val="single" w:color="000000" w:sz="4" w:space="0"/>
              <w:right w:val="single" w:color="000000" w:sz="4" w:space="0"/>
            </w:tcBorders>
            <w:vAlign w:val="center"/>
          </w:tcPr>
          <w:p w14:paraId="34AE2137">
            <w:pPr>
              <w:widowControl/>
              <w:shd w:val="clear"/>
              <w:spacing w:line="240" w:lineRule="auto"/>
              <w:ind w:firstLine="0" w:firstLineChars="0"/>
              <w:textAlignment w:val="center"/>
              <w:rPr>
                <w:rFonts w:cs="宋体"/>
                <w:color w:val="auto"/>
                <w:highlight w:val="none"/>
              </w:rPr>
            </w:pPr>
            <w:r>
              <w:rPr>
                <w:rFonts w:hint="eastAsia" w:cs="宋体"/>
                <w:color w:val="auto"/>
                <w:kern w:val="0"/>
                <w:highlight w:val="none"/>
                <w:lang w:bidi="ar"/>
              </w:rPr>
              <w:t>序号</w:t>
            </w:r>
          </w:p>
        </w:tc>
        <w:tc>
          <w:tcPr>
            <w:tcW w:w="1896" w:type="dxa"/>
            <w:tcBorders>
              <w:top w:val="single" w:color="000000" w:sz="4" w:space="0"/>
              <w:left w:val="single" w:color="000000" w:sz="4" w:space="0"/>
              <w:bottom w:val="single" w:color="000000" w:sz="4" w:space="0"/>
              <w:right w:val="single" w:color="000000" w:sz="4" w:space="0"/>
            </w:tcBorders>
            <w:vAlign w:val="center"/>
          </w:tcPr>
          <w:p w14:paraId="5E4B86AE">
            <w:pPr>
              <w:widowControl/>
              <w:shd w:val="clear"/>
              <w:spacing w:line="240" w:lineRule="auto"/>
              <w:ind w:firstLine="0" w:firstLineChars="0"/>
              <w:textAlignment w:val="center"/>
              <w:rPr>
                <w:rFonts w:cs="宋体"/>
                <w:color w:val="auto"/>
                <w:highlight w:val="none"/>
              </w:rPr>
            </w:pPr>
            <w:r>
              <w:rPr>
                <w:rFonts w:hint="eastAsia" w:cs="宋体"/>
                <w:color w:val="auto"/>
                <w:kern w:val="0"/>
                <w:highlight w:val="none"/>
                <w:lang w:bidi="ar"/>
              </w:rPr>
              <w:t>安装位置</w:t>
            </w:r>
          </w:p>
        </w:tc>
        <w:tc>
          <w:tcPr>
            <w:tcW w:w="1463" w:type="dxa"/>
            <w:tcBorders>
              <w:top w:val="single" w:color="000000" w:sz="4" w:space="0"/>
              <w:left w:val="single" w:color="000000" w:sz="4" w:space="0"/>
              <w:bottom w:val="single" w:color="000000" w:sz="4" w:space="0"/>
              <w:right w:val="single" w:color="000000" w:sz="4" w:space="0"/>
            </w:tcBorders>
            <w:vAlign w:val="center"/>
          </w:tcPr>
          <w:p w14:paraId="6861B631">
            <w:pPr>
              <w:widowControl/>
              <w:shd w:val="clear"/>
              <w:spacing w:line="240" w:lineRule="auto"/>
              <w:ind w:firstLine="0" w:firstLineChars="0"/>
              <w:textAlignment w:val="center"/>
              <w:rPr>
                <w:rFonts w:cs="宋体"/>
                <w:color w:val="auto"/>
                <w:highlight w:val="none"/>
              </w:rPr>
            </w:pPr>
            <w:r>
              <w:rPr>
                <w:rFonts w:hint="eastAsia" w:cs="宋体"/>
                <w:color w:val="auto"/>
                <w:kern w:val="0"/>
                <w:highlight w:val="none"/>
                <w:lang w:bidi="ar"/>
              </w:rPr>
              <w:t>设备名称</w:t>
            </w:r>
          </w:p>
        </w:tc>
        <w:tc>
          <w:tcPr>
            <w:tcW w:w="1475" w:type="dxa"/>
            <w:tcBorders>
              <w:top w:val="single" w:color="000000" w:sz="4" w:space="0"/>
              <w:left w:val="single" w:color="000000" w:sz="4" w:space="0"/>
              <w:bottom w:val="single" w:color="000000" w:sz="4" w:space="0"/>
              <w:right w:val="single" w:color="000000" w:sz="4" w:space="0"/>
            </w:tcBorders>
            <w:vAlign w:val="center"/>
          </w:tcPr>
          <w:p w14:paraId="1807D5A7">
            <w:pPr>
              <w:widowControl/>
              <w:shd w:val="clear"/>
              <w:spacing w:line="240" w:lineRule="auto"/>
              <w:ind w:firstLine="0" w:firstLineChars="0"/>
              <w:textAlignment w:val="center"/>
              <w:rPr>
                <w:rFonts w:cs="宋体"/>
                <w:color w:val="auto"/>
                <w:highlight w:val="none"/>
              </w:rPr>
            </w:pPr>
            <w:r>
              <w:rPr>
                <w:rFonts w:hint="eastAsia" w:cs="宋体"/>
                <w:color w:val="auto"/>
                <w:kern w:val="0"/>
                <w:highlight w:val="none"/>
                <w:lang w:bidi="ar"/>
              </w:rPr>
              <w:t>产品型号</w:t>
            </w:r>
          </w:p>
        </w:tc>
        <w:tc>
          <w:tcPr>
            <w:tcW w:w="1074" w:type="dxa"/>
            <w:tcBorders>
              <w:top w:val="single" w:color="000000" w:sz="4" w:space="0"/>
              <w:left w:val="single" w:color="000000" w:sz="4" w:space="0"/>
              <w:bottom w:val="single" w:color="000000" w:sz="4" w:space="0"/>
              <w:right w:val="single" w:color="000000" w:sz="4" w:space="0"/>
            </w:tcBorders>
            <w:vAlign w:val="center"/>
          </w:tcPr>
          <w:p w14:paraId="5F050D7F">
            <w:pPr>
              <w:widowControl/>
              <w:shd w:val="clear"/>
              <w:spacing w:line="240" w:lineRule="auto"/>
              <w:ind w:firstLine="0" w:firstLineChars="0"/>
              <w:textAlignment w:val="center"/>
              <w:rPr>
                <w:rFonts w:cs="宋体"/>
                <w:color w:val="auto"/>
                <w:highlight w:val="none"/>
              </w:rPr>
            </w:pPr>
            <w:r>
              <w:rPr>
                <w:rFonts w:hint="eastAsia" w:cs="宋体"/>
                <w:color w:val="auto"/>
                <w:kern w:val="0"/>
                <w:highlight w:val="none"/>
                <w:lang w:bidi="ar"/>
              </w:rPr>
              <w:t>电压等级</w:t>
            </w:r>
          </w:p>
        </w:tc>
        <w:tc>
          <w:tcPr>
            <w:tcW w:w="899" w:type="dxa"/>
            <w:tcBorders>
              <w:top w:val="single" w:color="000000" w:sz="4" w:space="0"/>
              <w:left w:val="single" w:color="000000" w:sz="4" w:space="0"/>
              <w:bottom w:val="single" w:color="000000" w:sz="4" w:space="0"/>
              <w:right w:val="single" w:color="000000" w:sz="4" w:space="0"/>
            </w:tcBorders>
            <w:vAlign w:val="center"/>
          </w:tcPr>
          <w:p w14:paraId="6176FE6E">
            <w:pPr>
              <w:widowControl/>
              <w:shd w:val="clear"/>
              <w:spacing w:line="240" w:lineRule="auto"/>
              <w:ind w:firstLine="0" w:firstLineChars="0"/>
              <w:textAlignment w:val="center"/>
              <w:rPr>
                <w:rFonts w:cs="宋体"/>
                <w:color w:val="auto"/>
                <w:highlight w:val="none"/>
              </w:rPr>
            </w:pPr>
            <w:r>
              <w:rPr>
                <w:rFonts w:hint="eastAsia" w:cs="宋体"/>
                <w:color w:val="auto"/>
                <w:kern w:val="0"/>
                <w:highlight w:val="none"/>
                <w:lang w:bidi="ar"/>
              </w:rPr>
              <w:t>功率/容量</w:t>
            </w:r>
            <w:r>
              <w:rPr>
                <w:rFonts w:hint="eastAsia" w:cs="宋体"/>
                <w:color w:val="auto"/>
                <w:kern w:val="0"/>
                <w:highlight w:val="none"/>
                <w:lang w:bidi="ar"/>
              </w:rPr>
              <w:br w:type="textWrapping"/>
            </w:r>
            <w:r>
              <w:rPr>
                <w:rFonts w:hint="eastAsia" w:cs="宋体"/>
                <w:color w:val="auto"/>
                <w:kern w:val="0"/>
                <w:highlight w:val="none"/>
                <w:lang w:bidi="ar"/>
              </w:rPr>
              <w:t>（kW)</w:t>
            </w:r>
          </w:p>
        </w:tc>
        <w:tc>
          <w:tcPr>
            <w:tcW w:w="1001" w:type="dxa"/>
            <w:tcBorders>
              <w:top w:val="single" w:color="000000" w:sz="4" w:space="0"/>
              <w:left w:val="single" w:color="000000" w:sz="4" w:space="0"/>
              <w:bottom w:val="single" w:color="000000" w:sz="4" w:space="0"/>
              <w:right w:val="single" w:color="000000" w:sz="4" w:space="0"/>
            </w:tcBorders>
            <w:vAlign w:val="center"/>
          </w:tcPr>
          <w:p w14:paraId="279204B9">
            <w:pPr>
              <w:widowControl/>
              <w:shd w:val="clear"/>
              <w:spacing w:line="240" w:lineRule="auto"/>
              <w:ind w:firstLine="0" w:firstLineChars="0"/>
              <w:textAlignment w:val="center"/>
              <w:rPr>
                <w:rFonts w:cs="宋体"/>
                <w:color w:val="auto"/>
                <w:highlight w:val="none"/>
              </w:rPr>
            </w:pPr>
            <w:r>
              <w:rPr>
                <w:rFonts w:hint="eastAsia" w:cs="宋体"/>
                <w:color w:val="auto"/>
                <w:kern w:val="0"/>
                <w:highlight w:val="none"/>
                <w:lang w:bidi="ar"/>
              </w:rPr>
              <w:t>数量（台）</w:t>
            </w:r>
          </w:p>
        </w:tc>
      </w:tr>
      <w:tr w14:paraId="61D33913">
        <w:tblPrEx>
          <w:tblCellMar>
            <w:top w:w="0" w:type="dxa"/>
            <w:left w:w="108" w:type="dxa"/>
            <w:bottom w:w="0" w:type="dxa"/>
            <w:right w:w="108" w:type="dxa"/>
          </w:tblCellMar>
        </w:tblPrEx>
        <w:trPr>
          <w:trHeight w:val="570" w:hRule="atLeast"/>
        </w:trPr>
        <w:tc>
          <w:tcPr>
            <w:tcW w:w="711" w:type="dxa"/>
            <w:tcBorders>
              <w:top w:val="single" w:color="000000" w:sz="4" w:space="0"/>
              <w:left w:val="single" w:color="000000" w:sz="4" w:space="0"/>
              <w:bottom w:val="single" w:color="000000" w:sz="4" w:space="0"/>
              <w:right w:val="single" w:color="000000" w:sz="4" w:space="0"/>
            </w:tcBorders>
            <w:vAlign w:val="center"/>
          </w:tcPr>
          <w:p w14:paraId="253723B1">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c>
          <w:tcPr>
            <w:tcW w:w="1896" w:type="dxa"/>
            <w:tcBorders>
              <w:top w:val="single" w:color="000000" w:sz="4" w:space="0"/>
              <w:left w:val="single" w:color="000000" w:sz="4" w:space="0"/>
              <w:bottom w:val="single" w:color="000000" w:sz="4" w:space="0"/>
              <w:right w:val="single" w:color="000000" w:sz="4" w:space="0"/>
            </w:tcBorders>
            <w:vAlign w:val="center"/>
          </w:tcPr>
          <w:p w14:paraId="786A69C8">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2#高炉42#皮带</w:t>
            </w:r>
          </w:p>
        </w:tc>
        <w:tc>
          <w:tcPr>
            <w:tcW w:w="1463" w:type="dxa"/>
            <w:tcBorders>
              <w:top w:val="single" w:color="000000" w:sz="4" w:space="0"/>
              <w:left w:val="single" w:color="000000" w:sz="4" w:space="0"/>
              <w:bottom w:val="single" w:color="000000" w:sz="4" w:space="0"/>
              <w:right w:val="single" w:color="000000" w:sz="4" w:space="0"/>
            </w:tcBorders>
            <w:vAlign w:val="center"/>
          </w:tcPr>
          <w:p w14:paraId="32BAF363">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电机</w:t>
            </w:r>
          </w:p>
        </w:tc>
        <w:tc>
          <w:tcPr>
            <w:tcW w:w="1475" w:type="dxa"/>
            <w:tcBorders>
              <w:top w:val="single" w:color="000000" w:sz="4" w:space="0"/>
              <w:left w:val="single" w:color="000000" w:sz="4" w:space="0"/>
              <w:bottom w:val="single" w:color="000000" w:sz="4" w:space="0"/>
              <w:right w:val="single" w:color="000000" w:sz="4" w:space="0"/>
            </w:tcBorders>
            <w:vAlign w:val="center"/>
          </w:tcPr>
          <w:p w14:paraId="7321676B">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Y-225M-4</w:t>
            </w:r>
          </w:p>
        </w:tc>
        <w:tc>
          <w:tcPr>
            <w:tcW w:w="1074" w:type="dxa"/>
            <w:tcBorders>
              <w:top w:val="single" w:color="000000" w:sz="4" w:space="0"/>
              <w:left w:val="single" w:color="000000" w:sz="4" w:space="0"/>
              <w:bottom w:val="single" w:color="000000" w:sz="4" w:space="0"/>
              <w:right w:val="single" w:color="000000" w:sz="4" w:space="0"/>
            </w:tcBorders>
            <w:vAlign w:val="center"/>
          </w:tcPr>
          <w:p w14:paraId="7AB40526">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380V</w:t>
            </w:r>
          </w:p>
        </w:tc>
        <w:tc>
          <w:tcPr>
            <w:tcW w:w="899" w:type="dxa"/>
            <w:tcBorders>
              <w:top w:val="single" w:color="000000" w:sz="4" w:space="0"/>
              <w:left w:val="single" w:color="000000" w:sz="4" w:space="0"/>
              <w:bottom w:val="single" w:color="000000" w:sz="4" w:space="0"/>
              <w:right w:val="single" w:color="000000" w:sz="4" w:space="0"/>
            </w:tcBorders>
            <w:vAlign w:val="center"/>
          </w:tcPr>
          <w:p w14:paraId="27DD517C">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45</w:t>
            </w:r>
          </w:p>
        </w:tc>
        <w:tc>
          <w:tcPr>
            <w:tcW w:w="1001" w:type="dxa"/>
            <w:tcBorders>
              <w:top w:val="single" w:color="000000" w:sz="4" w:space="0"/>
              <w:left w:val="single" w:color="000000" w:sz="4" w:space="0"/>
              <w:bottom w:val="single" w:color="000000" w:sz="4" w:space="0"/>
              <w:right w:val="single" w:color="000000" w:sz="4" w:space="0"/>
            </w:tcBorders>
            <w:vAlign w:val="center"/>
          </w:tcPr>
          <w:p w14:paraId="0EA47825">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3E4C207C">
        <w:tblPrEx>
          <w:tblCellMar>
            <w:top w:w="0" w:type="dxa"/>
            <w:left w:w="108" w:type="dxa"/>
            <w:bottom w:w="0" w:type="dxa"/>
            <w:right w:w="108" w:type="dxa"/>
          </w:tblCellMar>
        </w:tblPrEx>
        <w:trPr>
          <w:trHeight w:val="570" w:hRule="atLeast"/>
        </w:trPr>
        <w:tc>
          <w:tcPr>
            <w:tcW w:w="711" w:type="dxa"/>
            <w:tcBorders>
              <w:top w:val="single" w:color="000000" w:sz="4" w:space="0"/>
              <w:left w:val="single" w:color="000000" w:sz="4" w:space="0"/>
              <w:bottom w:val="single" w:color="000000" w:sz="4" w:space="0"/>
              <w:right w:val="single" w:color="000000" w:sz="4" w:space="0"/>
            </w:tcBorders>
            <w:vAlign w:val="center"/>
          </w:tcPr>
          <w:p w14:paraId="135828C2">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2</w:t>
            </w:r>
          </w:p>
        </w:tc>
        <w:tc>
          <w:tcPr>
            <w:tcW w:w="1896" w:type="dxa"/>
            <w:tcBorders>
              <w:top w:val="single" w:color="000000" w:sz="4" w:space="0"/>
              <w:left w:val="single" w:color="000000" w:sz="4" w:space="0"/>
              <w:bottom w:val="single" w:color="000000" w:sz="4" w:space="0"/>
              <w:right w:val="single" w:color="000000" w:sz="4" w:space="0"/>
            </w:tcBorders>
            <w:vAlign w:val="center"/>
          </w:tcPr>
          <w:p w14:paraId="5D413442">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2#高炉43#皮带</w:t>
            </w:r>
          </w:p>
        </w:tc>
        <w:tc>
          <w:tcPr>
            <w:tcW w:w="1463" w:type="dxa"/>
            <w:tcBorders>
              <w:top w:val="single" w:color="000000" w:sz="4" w:space="0"/>
              <w:left w:val="single" w:color="000000" w:sz="4" w:space="0"/>
              <w:bottom w:val="single" w:color="000000" w:sz="4" w:space="0"/>
              <w:right w:val="single" w:color="000000" w:sz="4" w:space="0"/>
            </w:tcBorders>
            <w:vAlign w:val="center"/>
          </w:tcPr>
          <w:p w14:paraId="7B7DDEB5">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电机</w:t>
            </w:r>
          </w:p>
        </w:tc>
        <w:tc>
          <w:tcPr>
            <w:tcW w:w="1475" w:type="dxa"/>
            <w:tcBorders>
              <w:top w:val="single" w:color="000000" w:sz="4" w:space="0"/>
              <w:left w:val="single" w:color="000000" w:sz="4" w:space="0"/>
              <w:bottom w:val="single" w:color="000000" w:sz="4" w:space="0"/>
              <w:right w:val="single" w:color="000000" w:sz="4" w:space="0"/>
            </w:tcBorders>
            <w:vAlign w:val="center"/>
          </w:tcPr>
          <w:p w14:paraId="70B6B2B5">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Y-225M-4</w:t>
            </w:r>
          </w:p>
        </w:tc>
        <w:tc>
          <w:tcPr>
            <w:tcW w:w="1074" w:type="dxa"/>
            <w:tcBorders>
              <w:top w:val="single" w:color="000000" w:sz="4" w:space="0"/>
              <w:left w:val="single" w:color="000000" w:sz="4" w:space="0"/>
              <w:bottom w:val="single" w:color="000000" w:sz="4" w:space="0"/>
              <w:right w:val="single" w:color="000000" w:sz="4" w:space="0"/>
            </w:tcBorders>
            <w:vAlign w:val="center"/>
          </w:tcPr>
          <w:p w14:paraId="6440B856">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380V</w:t>
            </w:r>
          </w:p>
        </w:tc>
        <w:tc>
          <w:tcPr>
            <w:tcW w:w="899" w:type="dxa"/>
            <w:tcBorders>
              <w:top w:val="single" w:color="000000" w:sz="4" w:space="0"/>
              <w:left w:val="single" w:color="000000" w:sz="4" w:space="0"/>
              <w:bottom w:val="single" w:color="000000" w:sz="4" w:space="0"/>
              <w:right w:val="single" w:color="000000" w:sz="4" w:space="0"/>
            </w:tcBorders>
            <w:vAlign w:val="center"/>
          </w:tcPr>
          <w:p w14:paraId="63C56D96">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45</w:t>
            </w:r>
          </w:p>
        </w:tc>
        <w:tc>
          <w:tcPr>
            <w:tcW w:w="1001" w:type="dxa"/>
            <w:tcBorders>
              <w:top w:val="single" w:color="000000" w:sz="4" w:space="0"/>
              <w:left w:val="single" w:color="000000" w:sz="4" w:space="0"/>
              <w:bottom w:val="single" w:color="000000" w:sz="4" w:space="0"/>
              <w:right w:val="single" w:color="000000" w:sz="4" w:space="0"/>
            </w:tcBorders>
            <w:vAlign w:val="center"/>
          </w:tcPr>
          <w:p w14:paraId="569E831A">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389DF99C">
        <w:tblPrEx>
          <w:tblCellMar>
            <w:top w:w="0" w:type="dxa"/>
            <w:left w:w="108" w:type="dxa"/>
            <w:bottom w:w="0" w:type="dxa"/>
            <w:right w:w="108" w:type="dxa"/>
          </w:tblCellMar>
        </w:tblPrEx>
        <w:trPr>
          <w:trHeight w:val="570" w:hRule="atLeast"/>
        </w:trPr>
        <w:tc>
          <w:tcPr>
            <w:tcW w:w="711" w:type="dxa"/>
            <w:tcBorders>
              <w:top w:val="single" w:color="000000" w:sz="4" w:space="0"/>
              <w:left w:val="single" w:color="000000" w:sz="4" w:space="0"/>
              <w:bottom w:val="single" w:color="000000" w:sz="4" w:space="0"/>
              <w:right w:val="single" w:color="000000" w:sz="4" w:space="0"/>
            </w:tcBorders>
            <w:vAlign w:val="center"/>
          </w:tcPr>
          <w:p w14:paraId="0E35FAD7">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3</w:t>
            </w:r>
          </w:p>
        </w:tc>
        <w:tc>
          <w:tcPr>
            <w:tcW w:w="1896" w:type="dxa"/>
            <w:tcBorders>
              <w:top w:val="single" w:color="000000" w:sz="4" w:space="0"/>
              <w:left w:val="single" w:color="000000" w:sz="4" w:space="0"/>
              <w:bottom w:val="single" w:color="000000" w:sz="4" w:space="0"/>
              <w:right w:val="single" w:color="000000" w:sz="4" w:space="0"/>
            </w:tcBorders>
            <w:vAlign w:val="center"/>
          </w:tcPr>
          <w:p w14:paraId="1E2C0CC6">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2#高炉44#皮带</w:t>
            </w:r>
          </w:p>
        </w:tc>
        <w:tc>
          <w:tcPr>
            <w:tcW w:w="1463" w:type="dxa"/>
            <w:tcBorders>
              <w:top w:val="single" w:color="000000" w:sz="4" w:space="0"/>
              <w:left w:val="single" w:color="000000" w:sz="4" w:space="0"/>
              <w:bottom w:val="single" w:color="000000" w:sz="4" w:space="0"/>
              <w:right w:val="single" w:color="000000" w:sz="4" w:space="0"/>
            </w:tcBorders>
            <w:vAlign w:val="center"/>
          </w:tcPr>
          <w:p w14:paraId="0FBD9996">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电机</w:t>
            </w:r>
          </w:p>
        </w:tc>
        <w:tc>
          <w:tcPr>
            <w:tcW w:w="1475" w:type="dxa"/>
            <w:tcBorders>
              <w:top w:val="single" w:color="000000" w:sz="4" w:space="0"/>
              <w:left w:val="single" w:color="000000" w:sz="4" w:space="0"/>
              <w:bottom w:val="single" w:color="000000" w:sz="4" w:space="0"/>
              <w:right w:val="single" w:color="000000" w:sz="4" w:space="0"/>
            </w:tcBorders>
            <w:vAlign w:val="center"/>
          </w:tcPr>
          <w:p w14:paraId="6B04B417">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Y-200L-4</w:t>
            </w:r>
          </w:p>
        </w:tc>
        <w:tc>
          <w:tcPr>
            <w:tcW w:w="1074" w:type="dxa"/>
            <w:tcBorders>
              <w:top w:val="single" w:color="000000" w:sz="4" w:space="0"/>
              <w:left w:val="single" w:color="000000" w:sz="4" w:space="0"/>
              <w:bottom w:val="single" w:color="000000" w:sz="4" w:space="0"/>
              <w:right w:val="single" w:color="000000" w:sz="4" w:space="0"/>
            </w:tcBorders>
            <w:vAlign w:val="center"/>
          </w:tcPr>
          <w:p w14:paraId="12953C3D">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380V</w:t>
            </w:r>
          </w:p>
        </w:tc>
        <w:tc>
          <w:tcPr>
            <w:tcW w:w="899" w:type="dxa"/>
            <w:tcBorders>
              <w:top w:val="single" w:color="000000" w:sz="4" w:space="0"/>
              <w:left w:val="single" w:color="000000" w:sz="4" w:space="0"/>
              <w:bottom w:val="single" w:color="000000" w:sz="4" w:space="0"/>
              <w:right w:val="single" w:color="000000" w:sz="4" w:space="0"/>
            </w:tcBorders>
            <w:vAlign w:val="center"/>
          </w:tcPr>
          <w:p w14:paraId="23658371">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30</w:t>
            </w:r>
          </w:p>
        </w:tc>
        <w:tc>
          <w:tcPr>
            <w:tcW w:w="1001" w:type="dxa"/>
            <w:tcBorders>
              <w:top w:val="single" w:color="000000" w:sz="4" w:space="0"/>
              <w:left w:val="single" w:color="000000" w:sz="4" w:space="0"/>
              <w:bottom w:val="single" w:color="000000" w:sz="4" w:space="0"/>
              <w:right w:val="single" w:color="000000" w:sz="4" w:space="0"/>
            </w:tcBorders>
            <w:vAlign w:val="center"/>
          </w:tcPr>
          <w:p w14:paraId="5B65A419">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bl>
    <w:p w14:paraId="0CF7E988">
      <w:pPr>
        <w:shd w:val="clear"/>
        <w:rPr>
          <w:color w:val="auto"/>
          <w:highlight w:val="none"/>
        </w:rPr>
      </w:pPr>
      <w:r>
        <w:rPr>
          <w:rFonts w:hint="eastAsia"/>
          <w:color w:val="auto"/>
          <w:highlight w:val="none"/>
        </w:rPr>
        <w:t>以下皮带机需增加“五防”</w:t>
      </w:r>
    </w:p>
    <w:tbl>
      <w:tblPr>
        <w:tblStyle w:val="60"/>
        <w:tblW w:w="0" w:type="auto"/>
        <w:tblInd w:w="0" w:type="dxa"/>
        <w:tblLayout w:type="fixed"/>
        <w:tblCellMar>
          <w:top w:w="0" w:type="dxa"/>
          <w:left w:w="108" w:type="dxa"/>
          <w:bottom w:w="0" w:type="dxa"/>
          <w:right w:w="108" w:type="dxa"/>
        </w:tblCellMar>
      </w:tblPr>
      <w:tblGrid>
        <w:gridCol w:w="760"/>
        <w:gridCol w:w="1831"/>
        <w:gridCol w:w="1866"/>
        <w:gridCol w:w="1744"/>
        <w:gridCol w:w="2318"/>
      </w:tblGrid>
      <w:tr w14:paraId="5737DD75">
        <w:tblPrEx>
          <w:tblCellMar>
            <w:top w:w="0" w:type="dxa"/>
            <w:left w:w="108" w:type="dxa"/>
            <w:bottom w:w="0" w:type="dxa"/>
            <w:right w:w="108" w:type="dxa"/>
          </w:tblCellMar>
        </w:tblPrEx>
        <w:trPr>
          <w:trHeight w:val="270" w:hRule="atLeast"/>
        </w:trPr>
        <w:tc>
          <w:tcPr>
            <w:tcW w:w="760" w:type="dxa"/>
            <w:tcBorders>
              <w:top w:val="single" w:color="000000" w:sz="4" w:space="0"/>
              <w:left w:val="single" w:color="000000" w:sz="4" w:space="0"/>
              <w:bottom w:val="single" w:color="000000" w:sz="4" w:space="0"/>
              <w:right w:val="single" w:color="000000" w:sz="4" w:space="0"/>
            </w:tcBorders>
            <w:noWrap/>
            <w:vAlign w:val="center"/>
          </w:tcPr>
          <w:p w14:paraId="1BDA7554">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序号</w:t>
            </w:r>
          </w:p>
        </w:tc>
        <w:tc>
          <w:tcPr>
            <w:tcW w:w="1831" w:type="dxa"/>
            <w:tcBorders>
              <w:top w:val="single" w:color="000000" w:sz="4" w:space="0"/>
              <w:left w:val="single" w:color="000000" w:sz="4" w:space="0"/>
              <w:bottom w:val="single" w:color="000000" w:sz="4" w:space="0"/>
              <w:right w:val="single" w:color="000000" w:sz="4" w:space="0"/>
            </w:tcBorders>
            <w:noWrap/>
            <w:vAlign w:val="center"/>
          </w:tcPr>
          <w:p w14:paraId="3BECD1C5">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名称</w:t>
            </w:r>
          </w:p>
        </w:tc>
        <w:tc>
          <w:tcPr>
            <w:tcW w:w="1866" w:type="dxa"/>
            <w:tcBorders>
              <w:top w:val="single" w:color="000000" w:sz="4" w:space="0"/>
              <w:left w:val="single" w:color="000000" w:sz="4" w:space="0"/>
              <w:bottom w:val="single" w:color="000000" w:sz="4" w:space="0"/>
              <w:right w:val="single" w:color="000000" w:sz="4" w:space="0"/>
            </w:tcBorders>
            <w:noWrap/>
            <w:vAlign w:val="center"/>
          </w:tcPr>
          <w:p w14:paraId="1C569A79">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防堵料检测</w:t>
            </w:r>
          </w:p>
        </w:tc>
        <w:tc>
          <w:tcPr>
            <w:tcW w:w="1744" w:type="dxa"/>
            <w:tcBorders>
              <w:top w:val="single" w:color="000000" w:sz="4" w:space="0"/>
              <w:left w:val="single" w:color="000000" w:sz="4" w:space="0"/>
              <w:bottom w:val="single" w:color="000000" w:sz="4" w:space="0"/>
              <w:right w:val="single" w:color="000000" w:sz="4" w:space="0"/>
            </w:tcBorders>
            <w:noWrap/>
            <w:vAlign w:val="center"/>
          </w:tcPr>
          <w:p w14:paraId="3A7DE593">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打滑检测</w:t>
            </w:r>
          </w:p>
        </w:tc>
        <w:tc>
          <w:tcPr>
            <w:tcW w:w="2318" w:type="dxa"/>
            <w:tcBorders>
              <w:top w:val="single" w:color="000000" w:sz="4" w:space="0"/>
              <w:left w:val="single" w:color="000000" w:sz="4" w:space="0"/>
              <w:bottom w:val="single" w:color="000000" w:sz="4" w:space="0"/>
              <w:right w:val="single" w:color="000000" w:sz="4" w:space="0"/>
            </w:tcBorders>
            <w:noWrap/>
            <w:vAlign w:val="center"/>
          </w:tcPr>
          <w:p w14:paraId="45427B24">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防撕裂检测</w:t>
            </w:r>
          </w:p>
        </w:tc>
      </w:tr>
      <w:tr w14:paraId="520D30D1">
        <w:tblPrEx>
          <w:tblCellMar>
            <w:top w:w="0" w:type="dxa"/>
            <w:left w:w="108" w:type="dxa"/>
            <w:bottom w:w="0" w:type="dxa"/>
            <w:right w:w="108" w:type="dxa"/>
          </w:tblCellMar>
        </w:tblPrEx>
        <w:trPr>
          <w:trHeight w:val="270" w:hRule="atLeast"/>
        </w:trPr>
        <w:tc>
          <w:tcPr>
            <w:tcW w:w="760" w:type="dxa"/>
            <w:tcBorders>
              <w:top w:val="single" w:color="000000" w:sz="4" w:space="0"/>
              <w:left w:val="single" w:color="000000" w:sz="4" w:space="0"/>
              <w:bottom w:val="single" w:color="000000" w:sz="4" w:space="0"/>
              <w:right w:val="single" w:color="000000" w:sz="4" w:space="0"/>
            </w:tcBorders>
            <w:noWrap/>
            <w:vAlign w:val="center"/>
          </w:tcPr>
          <w:p w14:paraId="1D7A729E">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c>
          <w:tcPr>
            <w:tcW w:w="1831" w:type="dxa"/>
            <w:tcBorders>
              <w:top w:val="single" w:color="000000" w:sz="4" w:space="0"/>
              <w:left w:val="single" w:color="000000" w:sz="4" w:space="0"/>
              <w:bottom w:val="single" w:color="000000" w:sz="4" w:space="0"/>
              <w:right w:val="single" w:color="000000" w:sz="4" w:space="0"/>
            </w:tcBorders>
            <w:noWrap/>
            <w:vAlign w:val="center"/>
          </w:tcPr>
          <w:p w14:paraId="33BD1085">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南上料皮带</w:t>
            </w:r>
          </w:p>
        </w:tc>
        <w:tc>
          <w:tcPr>
            <w:tcW w:w="1866" w:type="dxa"/>
            <w:tcBorders>
              <w:top w:val="single" w:color="000000" w:sz="4" w:space="0"/>
              <w:left w:val="single" w:color="000000" w:sz="4" w:space="0"/>
              <w:bottom w:val="single" w:color="000000" w:sz="4" w:space="0"/>
              <w:right w:val="single" w:color="000000" w:sz="4" w:space="0"/>
            </w:tcBorders>
            <w:noWrap/>
            <w:vAlign w:val="center"/>
          </w:tcPr>
          <w:p w14:paraId="5AB93A15">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c>
          <w:tcPr>
            <w:tcW w:w="1744" w:type="dxa"/>
            <w:tcBorders>
              <w:top w:val="single" w:color="000000" w:sz="4" w:space="0"/>
              <w:left w:val="single" w:color="000000" w:sz="4" w:space="0"/>
              <w:bottom w:val="single" w:color="000000" w:sz="4" w:space="0"/>
              <w:right w:val="single" w:color="000000" w:sz="4" w:space="0"/>
            </w:tcBorders>
            <w:noWrap/>
            <w:vAlign w:val="center"/>
          </w:tcPr>
          <w:p w14:paraId="42C3B3A9">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c>
          <w:tcPr>
            <w:tcW w:w="2318" w:type="dxa"/>
            <w:tcBorders>
              <w:top w:val="single" w:color="000000" w:sz="4" w:space="0"/>
              <w:left w:val="single" w:color="000000" w:sz="4" w:space="0"/>
              <w:bottom w:val="single" w:color="000000" w:sz="4" w:space="0"/>
              <w:right w:val="single" w:color="000000" w:sz="4" w:space="0"/>
            </w:tcBorders>
            <w:noWrap/>
            <w:vAlign w:val="center"/>
          </w:tcPr>
          <w:p w14:paraId="203BE74B">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r>
      <w:tr w14:paraId="6E9770DF">
        <w:tblPrEx>
          <w:tblCellMar>
            <w:top w:w="0" w:type="dxa"/>
            <w:left w:w="108" w:type="dxa"/>
            <w:bottom w:w="0" w:type="dxa"/>
            <w:right w:w="108" w:type="dxa"/>
          </w:tblCellMar>
        </w:tblPrEx>
        <w:trPr>
          <w:trHeight w:val="270" w:hRule="atLeast"/>
        </w:trPr>
        <w:tc>
          <w:tcPr>
            <w:tcW w:w="760" w:type="dxa"/>
            <w:tcBorders>
              <w:top w:val="single" w:color="000000" w:sz="4" w:space="0"/>
              <w:left w:val="single" w:color="000000" w:sz="4" w:space="0"/>
              <w:bottom w:val="single" w:color="000000" w:sz="4" w:space="0"/>
              <w:right w:val="single" w:color="000000" w:sz="4" w:space="0"/>
            </w:tcBorders>
            <w:noWrap/>
            <w:vAlign w:val="center"/>
          </w:tcPr>
          <w:p w14:paraId="55ABA801">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2</w:t>
            </w:r>
          </w:p>
        </w:tc>
        <w:tc>
          <w:tcPr>
            <w:tcW w:w="1831" w:type="dxa"/>
            <w:tcBorders>
              <w:top w:val="single" w:color="000000" w:sz="4" w:space="0"/>
              <w:left w:val="single" w:color="000000" w:sz="4" w:space="0"/>
              <w:bottom w:val="single" w:color="000000" w:sz="4" w:space="0"/>
              <w:right w:val="single" w:color="000000" w:sz="4" w:space="0"/>
            </w:tcBorders>
            <w:noWrap/>
            <w:vAlign w:val="center"/>
          </w:tcPr>
          <w:p w14:paraId="6E8910AB">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北上料皮带</w:t>
            </w:r>
          </w:p>
        </w:tc>
        <w:tc>
          <w:tcPr>
            <w:tcW w:w="1866" w:type="dxa"/>
            <w:tcBorders>
              <w:top w:val="single" w:color="000000" w:sz="4" w:space="0"/>
              <w:left w:val="single" w:color="000000" w:sz="4" w:space="0"/>
              <w:bottom w:val="single" w:color="000000" w:sz="4" w:space="0"/>
              <w:right w:val="single" w:color="000000" w:sz="4" w:space="0"/>
            </w:tcBorders>
            <w:noWrap/>
            <w:vAlign w:val="center"/>
          </w:tcPr>
          <w:p w14:paraId="49F0BFBE">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c>
          <w:tcPr>
            <w:tcW w:w="1744" w:type="dxa"/>
            <w:tcBorders>
              <w:top w:val="single" w:color="000000" w:sz="4" w:space="0"/>
              <w:left w:val="single" w:color="000000" w:sz="4" w:space="0"/>
              <w:bottom w:val="single" w:color="000000" w:sz="4" w:space="0"/>
              <w:right w:val="single" w:color="000000" w:sz="4" w:space="0"/>
            </w:tcBorders>
            <w:noWrap/>
            <w:vAlign w:val="center"/>
          </w:tcPr>
          <w:p w14:paraId="26FDCEFE">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c>
          <w:tcPr>
            <w:tcW w:w="2318" w:type="dxa"/>
            <w:tcBorders>
              <w:top w:val="single" w:color="000000" w:sz="4" w:space="0"/>
              <w:left w:val="single" w:color="000000" w:sz="4" w:space="0"/>
              <w:bottom w:val="single" w:color="000000" w:sz="4" w:space="0"/>
              <w:right w:val="single" w:color="000000" w:sz="4" w:space="0"/>
            </w:tcBorders>
            <w:noWrap/>
            <w:vAlign w:val="center"/>
          </w:tcPr>
          <w:p w14:paraId="08EDEE41">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r>
      <w:tr w14:paraId="6468043E">
        <w:tblPrEx>
          <w:tblCellMar>
            <w:top w:w="0" w:type="dxa"/>
            <w:left w:w="108" w:type="dxa"/>
            <w:bottom w:w="0" w:type="dxa"/>
            <w:right w:w="108" w:type="dxa"/>
          </w:tblCellMar>
        </w:tblPrEx>
        <w:trPr>
          <w:trHeight w:val="270" w:hRule="atLeast"/>
        </w:trPr>
        <w:tc>
          <w:tcPr>
            <w:tcW w:w="760" w:type="dxa"/>
            <w:tcBorders>
              <w:top w:val="single" w:color="000000" w:sz="4" w:space="0"/>
              <w:left w:val="single" w:color="000000" w:sz="4" w:space="0"/>
              <w:bottom w:val="single" w:color="000000" w:sz="4" w:space="0"/>
              <w:right w:val="single" w:color="000000" w:sz="4" w:space="0"/>
            </w:tcBorders>
            <w:noWrap/>
            <w:vAlign w:val="center"/>
          </w:tcPr>
          <w:p w14:paraId="28C1148D">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3</w:t>
            </w:r>
          </w:p>
        </w:tc>
        <w:tc>
          <w:tcPr>
            <w:tcW w:w="1831" w:type="dxa"/>
            <w:tcBorders>
              <w:top w:val="single" w:color="000000" w:sz="4" w:space="0"/>
              <w:left w:val="single" w:color="000000" w:sz="4" w:space="0"/>
              <w:bottom w:val="single" w:color="000000" w:sz="4" w:space="0"/>
              <w:right w:val="single" w:color="000000" w:sz="4" w:space="0"/>
            </w:tcBorders>
            <w:noWrap/>
            <w:vAlign w:val="center"/>
          </w:tcPr>
          <w:p w14:paraId="4B9D94E0">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酸返皮带</w:t>
            </w:r>
          </w:p>
        </w:tc>
        <w:tc>
          <w:tcPr>
            <w:tcW w:w="1866" w:type="dxa"/>
            <w:tcBorders>
              <w:top w:val="single" w:color="000000" w:sz="4" w:space="0"/>
              <w:left w:val="single" w:color="000000" w:sz="4" w:space="0"/>
              <w:bottom w:val="single" w:color="000000" w:sz="4" w:space="0"/>
              <w:right w:val="single" w:color="000000" w:sz="4" w:space="0"/>
            </w:tcBorders>
            <w:noWrap/>
            <w:vAlign w:val="center"/>
          </w:tcPr>
          <w:p w14:paraId="25C22D76">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c>
          <w:tcPr>
            <w:tcW w:w="1744" w:type="dxa"/>
            <w:tcBorders>
              <w:top w:val="single" w:color="000000" w:sz="4" w:space="0"/>
              <w:left w:val="single" w:color="000000" w:sz="4" w:space="0"/>
              <w:bottom w:val="single" w:color="000000" w:sz="4" w:space="0"/>
              <w:right w:val="single" w:color="000000" w:sz="4" w:space="0"/>
            </w:tcBorders>
            <w:noWrap/>
            <w:vAlign w:val="center"/>
          </w:tcPr>
          <w:p w14:paraId="7C9D01B1">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c>
          <w:tcPr>
            <w:tcW w:w="2318" w:type="dxa"/>
            <w:tcBorders>
              <w:top w:val="single" w:color="000000" w:sz="4" w:space="0"/>
              <w:left w:val="single" w:color="000000" w:sz="4" w:space="0"/>
              <w:bottom w:val="single" w:color="000000" w:sz="4" w:space="0"/>
              <w:right w:val="single" w:color="000000" w:sz="4" w:space="0"/>
            </w:tcBorders>
            <w:noWrap/>
            <w:vAlign w:val="center"/>
          </w:tcPr>
          <w:p w14:paraId="6B0C55EE">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r>
      <w:tr w14:paraId="12D24AD0">
        <w:tblPrEx>
          <w:tblCellMar>
            <w:top w:w="0" w:type="dxa"/>
            <w:left w:w="108" w:type="dxa"/>
            <w:bottom w:w="0" w:type="dxa"/>
            <w:right w:w="108" w:type="dxa"/>
          </w:tblCellMar>
        </w:tblPrEx>
        <w:trPr>
          <w:trHeight w:val="270" w:hRule="atLeast"/>
        </w:trPr>
        <w:tc>
          <w:tcPr>
            <w:tcW w:w="760" w:type="dxa"/>
            <w:tcBorders>
              <w:top w:val="single" w:color="000000" w:sz="4" w:space="0"/>
              <w:left w:val="single" w:color="000000" w:sz="4" w:space="0"/>
              <w:bottom w:val="single" w:color="000000" w:sz="4" w:space="0"/>
              <w:right w:val="single" w:color="000000" w:sz="4" w:space="0"/>
            </w:tcBorders>
            <w:noWrap/>
            <w:vAlign w:val="center"/>
          </w:tcPr>
          <w:p w14:paraId="602DB8CC">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4</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CA01D">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16#-1小皮带</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3FE7E">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75A82">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D7677">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r>
      <w:tr w14:paraId="5224C565">
        <w:tblPrEx>
          <w:tblCellMar>
            <w:top w:w="0" w:type="dxa"/>
            <w:left w:w="108" w:type="dxa"/>
            <w:bottom w:w="0" w:type="dxa"/>
            <w:right w:w="108" w:type="dxa"/>
          </w:tblCellMar>
        </w:tblPrEx>
        <w:trPr>
          <w:trHeight w:val="270" w:hRule="atLeast"/>
        </w:trPr>
        <w:tc>
          <w:tcPr>
            <w:tcW w:w="760" w:type="dxa"/>
            <w:tcBorders>
              <w:top w:val="single" w:color="000000" w:sz="4" w:space="0"/>
              <w:left w:val="single" w:color="000000" w:sz="4" w:space="0"/>
              <w:bottom w:val="single" w:color="000000" w:sz="4" w:space="0"/>
              <w:right w:val="single" w:color="000000" w:sz="4" w:space="0"/>
            </w:tcBorders>
            <w:noWrap/>
            <w:vAlign w:val="center"/>
          </w:tcPr>
          <w:p w14:paraId="602755EA">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5</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13252">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16#-2小皮带</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6C1A2">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3A569">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D9B18">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r>
      <w:tr w14:paraId="12205FA0">
        <w:tblPrEx>
          <w:tblCellMar>
            <w:top w:w="0" w:type="dxa"/>
            <w:left w:w="108" w:type="dxa"/>
            <w:bottom w:w="0" w:type="dxa"/>
            <w:right w:w="108" w:type="dxa"/>
          </w:tblCellMar>
        </w:tblPrEx>
        <w:trPr>
          <w:trHeight w:val="270" w:hRule="atLeast"/>
        </w:trPr>
        <w:tc>
          <w:tcPr>
            <w:tcW w:w="760" w:type="dxa"/>
            <w:tcBorders>
              <w:top w:val="single" w:color="000000" w:sz="4" w:space="0"/>
              <w:left w:val="single" w:color="000000" w:sz="4" w:space="0"/>
              <w:bottom w:val="single" w:color="000000" w:sz="4" w:space="0"/>
              <w:right w:val="single" w:color="000000" w:sz="4" w:space="0"/>
            </w:tcBorders>
            <w:noWrap/>
            <w:vAlign w:val="center"/>
          </w:tcPr>
          <w:p w14:paraId="6A33082C">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6</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88388">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42#皮带</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66EB5">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D58B1">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1F3D7">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r>
      <w:tr w14:paraId="0FF4CC9B">
        <w:tblPrEx>
          <w:tblCellMar>
            <w:top w:w="0" w:type="dxa"/>
            <w:left w:w="108" w:type="dxa"/>
            <w:bottom w:w="0" w:type="dxa"/>
            <w:right w:w="108" w:type="dxa"/>
          </w:tblCellMar>
        </w:tblPrEx>
        <w:trPr>
          <w:trHeight w:val="270" w:hRule="atLeast"/>
        </w:trPr>
        <w:tc>
          <w:tcPr>
            <w:tcW w:w="760" w:type="dxa"/>
            <w:tcBorders>
              <w:top w:val="single" w:color="000000" w:sz="4" w:space="0"/>
              <w:left w:val="single" w:color="000000" w:sz="4" w:space="0"/>
              <w:bottom w:val="single" w:color="000000" w:sz="4" w:space="0"/>
              <w:right w:val="single" w:color="000000" w:sz="4" w:space="0"/>
            </w:tcBorders>
            <w:noWrap/>
            <w:vAlign w:val="center"/>
          </w:tcPr>
          <w:p w14:paraId="3AD51431">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7</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EEF2A">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43#皮带</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3FE9D">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C8B92">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3FE1D">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r>
      <w:tr w14:paraId="4A47B77F">
        <w:tblPrEx>
          <w:tblCellMar>
            <w:top w:w="0" w:type="dxa"/>
            <w:left w:w="108" w:type="dxa"/>
            <w:bottom w:w="0" w:type="dxa"/>
            <w:right w:w="108" w:type="dxa"/>
          </w:tblCellMar>
        </w:tblPrEx>
        <w:trPr>
          <w:trHeight w:val="270" w:hRule="atLeast"/>
        </w:trPr>
        <w:tc>
          <w:tcPr>
            <w:tcW w:w="760" w:type="dxa"/>
            <w:tcBorders>
              <w:top w:val="single" w:color="000000" w:sz="4" w:space="0"/>
              <w:left w:val="single" w:color="000000" w:sz="4" w:space="0"/>
              <w:bottom w:val="single" w:color="000000" w:sz="4" w:space="0"/>
              <w:right w:val="single" w:color="000000" w:sz="4" w:space="0"/>
            </w:tcBorders>
            <w:noWrap/>
            <w:vAlign w:val="center"/>
          </w:tcPr>
          <w:p w14:paraId="46BCAC6B">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8</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FBAE5">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44#皮带</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32427">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BBA4F">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B13C4">
            <w:pPr>
              <w:widowControl/>
              <w:shd w:val="clear"/>
              <w:spacing w:line="240" w:lineRule="auto"/>
              <w:ind w:firstLine="0" w:firstLineChars="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r>
    </w:tbl>
    <w:p w14:paraId="0474F372">
      <w:pPr>
        <w:shd w:val="clear"/>
        <w:ind w:firstLine="0" w:firstLineChars="0"/>
        <w:outlineLvl w:val="1"/>
        <w:rPr>
          <w:rFonts w:cs="Times New Roman"/>
          <w:b/>
          <w:color w:val="auto"/>
          <w:sz w:val="28"/>
          <w:szCs w:val="28"/>
          <w:highlight w:val="none"/>
        </w:rPr>
      </w:pPr>
      <w:bookmarkStart w:id="193" w:name="_Toc7515"/>
      <w:bookmarkStart w:id="194" w:name="_Toc8934"/>
      <w:r>
        <w:rPr>
          <w:rFonts w:hint="eastAsia" w:cs="Times New Roman"/>
          <w:b/>
          <w:color w:val="auto"/>
          <w:sz w:val="28"/>
          <w:szCs w:val="28"/>
          <w:highlight w:val="none"/>
        </w:rPr>
        <w:t>2.3 上料系统</w:t>
      </w:r>
      <w:bookmarkEnd w:id="184"/>
      <w:bookmarkEnd w:id="185"/>
      <w:bookmarkEnd w:id="186"/>
      <w:bookmarkEnd w:id="187"/>
      <w:bookmarkEnd w:id="188"/>
      <w:bookmarkEnd w:id="189"/>
      <w:bookmarkEnd w:id="190"/>
      <w:bookmarkEnd w:id="191"/>
      <w:bookmarkEnd w:id="193"/>
      <w:bookmarkEnd w:id="194"/>
    </w:p>
    <w:p w14:paraId="5A76B0AA">
      <w:pPr>
        <w:shd w:val="clear"/>
        <w:ind w:firstLine="0" w:firstLineChars="0"/>
        <w:outlineLvl w:val="2"/>
        <w:rPr>
          <w:rFonts w:cs="Times New Roman"/>
          <w:color w:val="auto"/>
          <w:szCs w:val="28"/>
          <w:highlight w:val="none"/>
        </w:rPr>
      </w:pPr>
      <w:bookmarkStart w:id="195" w:name="_Toc2932"/>
      <w:r>
        <w:rPr>
          <w:rFonts w:hint="eastAsia" w:cs="Times New Roman"/>
          <w:color w:val="auto"/>
          <w:szCs w:val="28"/>
          <w:highlight w:val="none"/>
        </w:rPr>
        <w:t>2.3.1 焦炭和矿石的批重</w:t>
      </w:r>
      <w:bookmarkEnd w:id="195"/>
    </w:p>
    <w:p w14:paraId="77B3BD16">
      <w:pPr>
        <w:shd w:val="clear"/>
        <w:rPr>
          <w:rFonts w:ascii="Times New Roman" w:hAnsi="Times New Roman" w:cs="Times New Roman"/>
          <w:bCs/>
          <w:color w:val="auto"/>
          <w:kern w:val="0"/>
          <w:szCs w:val="20"/>
          <w:highlight w:val="none"/>
        </w:rPr>
      </w:pPr>
      <w:bookmarkStart w:id="196" w:name="_Hlk175923786"/>
      <w:r>
        <w:rPr>
          <w:rFonts w:hint="eastAsia" w:ascii="Times New Roman" w:hAnsi="Times New Roman" w:cs="Times New Roman"/>
          <w:bCs/>
          <w:color w:val="auto"/>
          <w:kern w:val="0"/>
          <w:szCs w:val="20"/>
          <w:highlight w:val="none"/>
        </w:rPr>
        <w:t>上料系统采用双料车斜桥上料，料车有效容积</w:t>
      </w:r>
      <w:r>
        <w:rPr>
          <w:rFonts w:ascii="Times New Roman" w:hAnsi="Times New Roman" w:cs="Times New Roman"/>
          <w:bCs/>
          <w:color w:val="auto"/>
          <w:kern w:val="0"/>
          <w:szCs w:val="20"/>
          <w:highlight w:val="none"/>
        </w:rPr>
        <w:t>6.5</w:t>
      </w:r>
      <w:r>
        <w:rPr>
          <w:rFonts w:hint="eastAsia" w:ascii="Times New Roman" w:hAnsi="Times New Roman" w:cs="Times New Roman"/>
          <w:bCs/>
          <w:color w:val="auto"/>
          <w:kern w:val="0"/>
          <w:szCs w:val="20"/>
          <w:highlight w:val="none"/>
        </w:rPr>
        <w:t>m3。</w:t>
      </w:r>
    </w:p>
    <w:bookmarkEnd w:id="196"/>
    <w:p w14:paraId="32016E8C">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根据料车、卷扬等设备的</w:t>
      </w:r>
      <w:r>
        <w:rPr>
          <w:rFonts w:hint="eastAsia" w:ascii="Times New Roman" w:hAnsi="Times New Roman" w:cs="Times New Roman"/>
          <w:bCs/>
          <w:color w:val="auto"/>
          <w:kern w:val="0"/>
          <w:szCs w:val="20"/>
          <w:highlight w:val="none"/>
        </w:rPr>
        <w:t>现在</w:t>
      </w:r>
      <w:r>
        <w:rPr>
          <w:rFonts w:ascii="Times New Roman" w:hAnsi="Times New Roman" w:cs="Times New Roman"/>
          <w:bCs/>
          <w:color w:val="auto"/>
          <w:kern w:val="0"/>
          <w:szCs w:val="20"/>
          <w:highlight w:val="none"/>
        </w:rPr>
        <w:t>实际配置情况，按高炉年平均利用系数</w:t>
      </w:r>
      <w:r>
        <w:rPr>
          <w:rFonts w:hint="eastAsia" w:ascii="Times New Roman" w:hAnsi="Times New Roman" w:cs="Times New Roman"/>
          <w:bCs/>
          <w:color w:val="auto"/>
          <w:kern w:val="0"/>
          <w:szCs w:val="20"/>
          <w:highlight w:val="none"/>
        </w:rPr>
        <w:t>2.64</w:t>
      </w:r>
      <w:r>
        <w:rPr>
          <w:rFonts w:ascii="Times New Roman" w:hAnsi="Times New Roman" w:cs="Times New Roman"/>
          <w:bCs/>
          <w:color w:val="auto"/>
          <w:kern w:val="0"/>
          <w:szCs w:val="20"/>
          <w:highlight w:val="none"/>
        </w:rPr>
        <w:t>t/m3.d计算，确定焦批和矿批如下：</w:t>
      </w:r>
    </w:p>
    <w:p w14:paraId="098CBF2B">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焦炭批重：最小5t   （2车）</w:t>
      </w:r>
    </w:p>
    <w:p w14:paraId="266ECD8F">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正常6.5 t （2车）</w:t>
      </w:r>
    </w:p>
    <w:p w14:paraId="6FFEF4D2">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最大8t   （3车）</w:t>
      </w:r>
    </w:p>
    <w:p w14:paraId="17209A94">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矿石批重：最小23t  （2车）</w:t>
      </w:r>
    </w:p>
    <w:p w14:paraId="4AC78661">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正常29.8t （3车）</w:t>
      </w:r>
    </w:p>
    <w:p w14:paraId="5A105B0F">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最大37t  （3车）</w:t>
      </w:r>
    </w:p>
    <w:p w14:paraId="4DE95B1B">
      <w:pPr>
        <w:shd w:val="clear"/>
        <w:ind w:firstLine="0" w:firstLineChars="0"/>
        <w:outlineLvl w:val="2"/>
        <w:rPr>
          <w:rFonts w:cs="Times New Roman"/>
          <w:color w:val="auto"/>
          <w:szCs w:val="28"/>
          <w:highlight w:val="none"/>
        </w:rPr>
      </w:pPr>
      <w:bookmarkStart w:id="197" w:name="_Toc5255"/>
      <w:r>
        <w:rPr>
          <w:rFonts w:hint="eastAsia" w:cs="Times New Roman"/>
          <w:color w:val="auto"/>
          <w:szCs w:val="28"/>
          <w:highlight w:val="none"/>
        </w:rPr>
        <w:t>2.3.2 高炉日装料批数和装一批料时间</w:t>
      </w:r>
      <w:bookmarkEnd w:id="197"/>
    </w:p>
    <w:p w14:paraId="168C5F86">
      <w:pPr>
        <w:shd w:val="clear"/>
        <w:rPr>
          <w:rFonts w:ascii="Calibri" w:hAnsi="Calibri" w:cs="Calibri"/>
          <w:color w:val="auto"/>
          <w:sz w:val="28"/>
          <w:szCs w:val="28"/>
          <w:highlight w:val="none"/>
        </w:rPr>
      </w:pPr>
      <w:r>
        <w:rPr>
          <w:rFonts w:ascii="Times New Roman" w:hAnsi="Times New Roman" w:cs="Times New Roman"/>
          <w:bCs/>
          <w:color w:val="auto"/>
          <w:kern w:val="0"/>
          <w:szCs w:val="20"/>
          <w:highlight w:val="none"/>
        </w:rPr>
        <w:t>高炉每日所需装料批数和要求装一批料的时间见下表。</w:t>
      </w:r>
    </w:p>
    <w:p w14:paraId="2B7E6F76">
      <w:pPr>
        <w:shd w:val="clear"/>
        <w:jc w:val="cente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表2.3-1  装料批数和要求装一批料的时间</w:t>
      </w:r>
    </w:p>
    <w:tbl>
      <w:tblPr>
        <w:tblStyle w:val="60"/>
        <w:tblW w:w="0" w:type="auto"/>
        <w:tblInd w:w="0" w:type="dxa"/>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108" w:type="dxa"/>
          <w:bottom w:w="0" w:type="dxa"/>
          <w:right w:w="108" w:type="dxa"/>
        </w:tblCellMar>
      </w:tblPr>
      <w:tblGrid>
        <w:gridCol w:w="3652"/>
        <w:gridCol w:w="1558"/>
        <w:gridCol w:w="1700"/>
        <w:gridCol w:w="1609"/>
      </w:tblGrid>
      <w:tr w14:paraId="1F43E648">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412" w:hRule="atLeast"/>
        </w:trPr>
        <w:tc>
          <w:tcPr>
            <w:tcW w:w="3652" w:type="dxa"/>
            <w:tcBorders>
              <w:top w:val="single" w:color="000000" w:sz="12" w:space="0"/>
              <w:left w:val="single" w:color="000000" w:sz="12" w:space="0"/>
              <w:bottom w:val="single" w:color="000000" w:sz="4" w:space="0"/>
              <w:right w:val="single" w:color="000000" w:sz="4" w:space="0"/>
            </w:tcBorders>
            <w:vAlign w:val="center"/>
          </w:tcPr>
          <w:p w14:paraId="32D8F94A">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焦炭批重（t）</w:t>
            </w:r>
          </w:p>
        </w:tc>
        <w:tc>
          <w:tcPr>
            <w:tcW w:w="1558" w:type="dxa"/>
            <w:tcBorders>
              <w:top w:val="single" w:color="000000" w:sz="12" w:space="0"/>
              <w:left w:val="single" w:color="000000" w:sz="4" w:space="0"/>
              <w:bottom w:val="single" w:color="000000" w:sz="4" w:space="0"/>
              <w:right w:val="single" w:color="000000" w:sz="4" w:space="0"/>
            </w:tcBorders>
            <w:vAlign w:val="center"/>
          </w:tcPr>
          <w:p w14:paraId="7BAF575C">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w:t>
            </w:r>
          </w:p>
        </w:tc>
        <w:tc>
          <w:tcPr>
            <w:tcW w:w="1700" w:type="dxa"/>
            <w:tcBorders>
              <w:top w:val="single" w:color="000000" w:sz="12" w:space="0"/>
              <w:left w:val="single" w:color="000000" w:sz="4" w:space="0"/>
              <w:bottom w:val="single" w:color="000000" w:sz="4" w:space="0"/>
              <w:right w:val="single" w:color="000000" w:sz="4" w:space="0"/>
            </w:tcBorders>
            <w:vAlign w:val="center"/>
          </w:tcPr>
          <w:p w14:paraId="2763E224">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6.5</w:t>
            </w:r>
          </w:p>
        </w:tc>
        <w:tc>
          <w:tcPr>
            <w:tcW w:w="1609" w:type="dxa"/>
            <w:tcBorders>
              <w:top w:val="single" w:color="000000" w:sz="12" w:space="0"/>
              <w:left w:val="single" w:color="000000" w:sz="4" w:space="0"/>
              <w:bottom w:val="single" w:color="000000" w:sz="4" w:space="0"/>
              <w:right w:val="single" w:color="000000" w:sz="12" w:space="0"/>
            </w:tcBorders>
            <w:vAlign w:val="center"/>
          </w:tcPr>
          <w:p w14:paraId="742EEFD8">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w:t>
            </w:r>
          </w:p>
        </w:tc>
      </w:tr>
      <w:tr w14:paraId="424F019F">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280" w:hRule="atLeast"/>
        </w:trPr>
        <w:tc>
          <w:tcPr>
            <w:tcW w:w="3652" w:type="dxa"/>
            <w:tcBorders>
              <w:top w:val="single" w:color="000000" w:sz="4" w:space="0"/>
              <w:left w:val="single" w:color="000000" w:sz="12" w:space="0"/>
              <w:bottom w:val="single" w:color="000000" w:sz="4" w:space="0"/>
              <w:right w:val="single" w:color="000000" w:sz="4" w:space="0"/>
            </w:tcBorders>
            <w:vAlign w:val="center"/>
          </w:tcPr>
          <w:p w14:paraId="4FB5FD5D">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日装批数（批）</w:t>
            </w:r>
          </w:p>
        </w:tc>
        <w:tc>
          <w:tcPr>
            <w:tcW w:w="1558" w:type="dxa"/>
            <w:tcBorders>
              <w:top w:val="single" w:color="000000" w:sz="4" w:space="0"/>
              <w:left w:val="single" w:color="000000" w:sz="4" w:space="0"/>
              <w:bottom w:val="single" w:color="000000" w:sz="4" w:space="0"/>
              <w:right w:val="single" w:color="000000" w:sz="4" w:space="0"/>
            </w:tcBorders>
            <w:vAlign w:val="center"/>
          </w:tcPr>
          <w:p w14:paraId="0F04C4FD">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192</w:t>
            </w:r>
          </w:p>
        </w:tc>
        <w:tc>
          <w:tcPr>
            <w:tcW w:w="1700" w:type="dxa"/>
            <w:tcBorders>
              <w:top w:val="single" w:color="000000" w:sz="4" w:space="0"/>
              <w:left w:val="single" w:color="000000" w:sz="4" w:space="0"/>
              <w:bottom w:val="single" w:color="000000" w:sz="4" w:space="0"/>
              <w:right w:val="single" w:color="000000" w:sz="4" w:space="0"/>
            </w:tcBorders>
            <w:vAlign w:val="center"/>
          </w:tcPr>
          <w:p w14:paraId="1A472244">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152</w:t>
            </w:r>
          </w:p>
        </w:tc>
        <w:tc>
          <w:tcPr>
            <w:tcW w:w="1609" w:type="dxa"/>
            <w:tcBorders>
              <w:top w:val="single" w:color="000000" w:sz="4" w:space="0"/>
              <w:left w:val="single" w:color="000000" w:sz="4" w:space="0"/>
              <w:bottom w:val="single" w:color="000000" w:sz="4" w:space="0"/>
              <w:right w:val="single" w:color="000000" w:sz="12" w:space="0"/>
            </w:tcBorders>
            <w:vAlign w:val="center"/>
          </w:tcPr>
          <w:p w14:paraId="0E6FDCED">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120</w:t>
            </w:r>
          </w:p>
        </w:tc>
      </w:tr>
      <w:tr w14:paraId="5EA1F29B">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274" w:hRule="atLeast"/>
        </w:trPr>
        <w:tc>
          <w:tcPr>
            <w:tcW w:w="3652" w:type="dxa"/>
            <w:tcBorders>
              <w:top w:val="single" w:color="000000" w:sz="4" w:space="0"/>
              <w:left w:val="single" w:color="000000" w:sz="12" w:space="0"/>
              <w:bottom w:val="single" w:color="000000" w:sz="12" w:space="0"/>
              <w:right w:val="single" w:color="000000" w:sz="4" w:space="0"/>
            </w:tcBorders>
            <w:vAlign w:val="center"/>
          </w:tcPr>
          <w:p w14:paraId="64477236">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要求装一批料时间（s）</w:t>
            </w:r>
          </w:p>
        </w:tc>
        <w:tc>
          <w:tcPr>
            <w:tcW w:w="1558" w:type="dxa"/>
            <w:tcBorders>
              <w:top w:val="single" w:color="000000" w:sz="4" w:space="0"/>
              <w:left w:val="single" w:color="000000" w:sz="4" w:space="0"/>
              <w:bottom w:val="single" w:color="000000" w:sz="12" w:space="0"/>
              <w:right w:val="single" w:color="000000" w:sz="4" w:space="0"/>
            </w:tcBorders>
            <w:vAlign w:val="center"/>
          </w:tcPr>
          <w:p w14:paraId="11A12E82">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450</w:t>
            </w:r>
          </w:p>
        </w:tc>
        <w:tc>
          <w:tcPr>
            <w:tcW w:w="1700" w:type="dxa"/>
            <w:tcBorders>
              <w:top w:val="single" w:color="000000" w:sz="4" w:space="0"/>
              <w:left w:val="single" w:color="000000" w:sz="4" w:space="0"/>
              <w:bottom w:val="single" w:color="000000" w:sz="12" w:space="0"/>
              <w:right w:val="single" w:color="000000" w:sz="4" w:space="0"/>
            </w:tcBorders>
            <w:vAlign w:val="center"/>
          </w:tcPr>
          <w:p w14:paraId="2246A92C">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568</w:t>
            </w:r>
          </w:p>
        </w:tc>
        <w:tc>
          <w:tcPr>
            <w:tcW w:w="1609" w:type="dxa"/>
            <w:tcBorders>
              <w:top w:val="single" w:color="000000" w:sz="4" w:space="0"/>
              <w:left w:val="single" w:color="000000" w:sz="4" w:space="0"/>
              <w:bottom w:val="single" w:color="000000" w:sz="12" w:space="0"/>
              <w:right w:val="single" w:color="000000" w:sz="12" w:space="0"/>
            </w:tcBorders>
            <w:vAlign w:val="center"/>
          </w:tcPr>
          <w:p w14:paraId="78CE5DEC">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720</w:t>
            </w:r>
          </w:p>
        </w:tc>
      </w:tr>
    </w:tbl>
    <w:p w14:paraId="468FCE99">
      <w:pPr>
        <w:shd w:val="clear"/>
        <w:ind w:firstLine="0" w:firstLineChars="0"/>
        <w:outlineLvl w:val="2"/>
        <w:rPr>
          <w:rFonts w:cs="Times New Roman"/>
          <w:color w:val="auto"/>
          <w:szCs w:val="28"/>
          <w:highlight w:val="none"/>
        </w:rPr>
      </w:pPr>
      <w:bookmarkStart w:id="198" w:name="_Toc4140"/>
      <w:r>
        <w:rPr>
          <w:rFonts w:hint="eastAsia" w:cs="Times New Roman"/>
          <w:color w:val="auto"/>
          <w:szCs w:val="28"/>
          <w:highlight w:val="none"/>
        </w:rPr>
        <w:t>2.3.3 料车上料系统作业率</w:t>
      </w:r>
      <w:bookmarkEnd w:id="198"/>
    </w:p>
    <w:p w14:paraId="6F12E42C">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当焦炭批重为5t或6.5t时，每批焦分成2车装入，当焦炭批重为8t时，每批焦分3车装入，相应的矿批分成2车或3车装入，不同情况下料车卷扬作业率见下表：</w:t>
      </w:r>
    </w:p>
    <w:p w14:paraId="46748B2B">
      <w:pPr>
        <w:shd w:val="clear"/>
        <w:jc w:val="cente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表2.3-2  料车卷扬作业率</w:t>
      </w:r>
    </w:p>
    <w:tbl>
      <w:tblPr>
        <w:tblStyle w:val="60"/>
        <w:tblW w:w="0" w:type="auto"/>
        <w:tblInd w:w="0" w:type="dxa"/>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108" w:type="dxa"/>
          <w:bottom w:w="0" w:type="dxa"/>
          <w:right w:w="108" w:type="dxa"/>
        </w:tblCellMar>
      </w:tblPr>
      <w:tblGrid>
        <w:gridCol w:w="3652"/>
        <w:gridCol w:w="1558"/>
        <w:gridCol w:w="1700"/>
        <w:gridCol w:w="1609"/>
      </w:tblGrid>
      <w:tr w14:paraId="33E22DC6">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652" w:type="dxa"/>
            <w:tcBorders>
              <w:top w:val="single" w:color="000000" w:sz="12" w:space="0"/>
              <w:left w:val="single" w:color="000000" w:sz="12" w:space="0"/>
              <w:bottom w:val="single" w:color="000000" w:sz="4" w:space="0"/>
              <w:right w:val="single" w:color="000000" w:sz="4" w:space="0"/>
            </w:tcBorders>
          </w:tcPr>
          <w:p w14:paraId="673F4246">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焦炭批重（t）</w:t>
            </w:r>
          </w:p>
        </w:tc>
        <w:tc>
          <w:tcPr>
            <w:tcW w:w="1558" w:type="dxa"/>
            <w:tcBorders>
              <w:top w:val="single" w:color="000000" w:sz="12" w:space="0"/>
              <w:left w:val="single" w:color="000000" w:sz="4" w:space="0"/>
              <w:bottom w:val="single" w:color="000000" w:sz="4" w:space="0"/>
              <w:right w:val="single" w:color="000000" w:sz="4" w:space="0"/>
            </w:tcBorders>
          </w:tcPr>
          <w:p w14:paraId="413F24E2">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w:t>
            </w:r>
          </w:p>
        </w:tc>
        <w:tc>
          <w:tcPr>
            <w:tcW w:w="1700" w:type="dxa"/>
            <w:tcBorders>
              <w:top w:val="single" w:color="000000" w:sz="12" w:space="0"/>
              <w:left w:val="single" w:color="000000" w:sz="4" w:space="0"/>
              <w:bottom w:val="single" w:color="000000" w:sz="4" w:space="0"/>
              <w:right w:val="single" w:color="000000" w:sz="4" w:space="0"/>
            </w:tcBorders>
          </w:tcPr>
          <w:p w14:paraId="49D52C59">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6.5</w:t>
            </w:r>
          </w:p>
        </w:tc>
        <w:tc>
          <w:tcPr>
            <w:tcW w:w="1609" w:type="dxa"/>
            <w:tcBorders>
              <w:top w:val="single" w:color="000000" w:sz="12" w:space="0"/>
              <w:left w:val="single" w:color="000000" w:sz="4" w:space="0"/>
              <w:bottom w:val="single" w:color="000000" w:sz="4" w:space="0"/>
              <w:right w:val="single" w:color="000000" w:sz="12" w:space="0"/>
            </w:tcBorders>
          </w:tcPr>
          <w:p w14:paraId="5CD8E36E">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w:t>
            </w:r>
          </w:p>
        </w:tc>
      </w:tr>
      <w:tr w14:paraId="15E3C258">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c>
          <w:tcPr>
            <w:tcW w:w="3652" w:type="dxa"/>
            <w:tcBorders>
              <w:top w:val="single" w:color="000000" w:sz="4" w:space="0"/>
              <w:left w:val="single" w:color="000000" w:sz="12" w:space="0"/>
              <w:bottom w:val="single" w:color="000000" w:sz="4" w:space="0"/>
              <w:right w:val="single" w:color="000000" w:sz="4" w:space="0"/>
            </w:tcBorders>
          </w:tcPr>
          <w:p w14:paraId="74FE285A">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高炉要求装一批料时间（s）</w:t>
            </w:r>
          </w:p>
        </w:tc>
        <w:tc>
          <w:tcPr>
            <w:tcW w:w="1558" w:type="dxa"/>
            <w:tcBorders>
              <w:top w:val="single" w:color="000000" w:sz="4" w:space="0"/>
              <w:left w:val="single" w:color="000000" w:sz="4" w:space="0"/>
              <w:bottom w:val="single" w:color="000000" w:sz="4" w:space="0"/>
              <w:right w:val="single" w:color="000000" w:sz="4" w:space="0"/>
            </w:tcBorders>
            <w:vAlign w:val="center"/>
          </w:tcPr>
          <w:p w14:paraId="2842A454">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450</w:t>
            </w:r>
          </w:p>
        </w:tc>
        <w:tc>
          <w:tcPr>
            <w:tcW w:w="1700" w:type="dxa"/>
            <w:tcBorders>
              <w:top w:val="single" w:color="000000" w:sz="4" w:space="0"/>
              <w:left w:val="single" w:color="000000" w:sz="4" w:space="0"/>
              <w:bottom w:val="single" w:color="000000" w:sz="4" w:space="0"/>
              <w:right w:val="single" w:color="000000" w:sz="4" w:space="0"/>
            </w:tcBorders>
            <w:vAlign w:val="center"/>
          </w:tcPr>
          <w:p w14:paraId="0413F825">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568</w:t>
            </w:r>
          </w:p>
        </w:tc>
        <w:tc>
          <w:tcPr>
            <w:tcW w:w="1609" w:type="dxa"/>
            <w:tcBorders>
              <w:top w:val="single" w:color="000000" w:sz="4" w:space="0"/>
              <w:left w:val="single" w:color="000000" w:sz="4" w:space="0"/>
              <w:bottom w:val="single" w:color="000000" w:sz="4" w:space="0"/>
              <w:right w:val="single" w:color="000000" w:sz="12" w:space="0"/>
            </w:tcBorders>
            <w:vAlign w:val="center"/>
          </w:tcPr>
          <w:p w14:paraId="533879B2">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720</w:t>
            </w:r>
          </w:p>
        </w:tc>
      </w:tr>
      <w:tr w14:paraId="6680BD7F">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c>
          <w:tcPr>
            <w:tcW w:w="3652" w:type="dxa"/>
            <w:tcBorders>
              <w:top w:val="single" w:color="000000" w:sz="4" w:space="0"/>
              <w:left w:val="single" w:color="000000" w:sz="12" w:space="0"/>
              <w:bottom w:val="single" w:color="000000" w:sz="4" w:space="0"/>
              <w:right w:val="single" w:color="000000" w:sz="4" w:space="0"/>
            </w:tcBorders>
          </w:tcPr>
          <w:p w14:paraId="2858E620">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料车卷扬上一批料时间（s）</w:t>
            </w:r>
          </w:p>
        </w:tc>
        <w:tc>
          <w:tcPr>
            <w:tcW w:w="1558" w:type="dxa"/>
            <w:tcBorders>
              <w:top w:val="single" w:color="000000" w:sz="4" w:space="0"/>
              <w:left w:val="single" w:color="000000" w:sz="4" w:space="0"/>
              <w:bottom w:val="single" w:color="000000" w:sz="4" w:space="0"/>
              <w:right w:val="single" w:color="000000" w:sz="4" w:space="0"/>
            </w:tcBorders>
          </w:tcPr>
          <w:p w14:paraId="277077EA">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280~310</w:t>
            </w:r>
          </w:p>
        </w:tc>
        <w:tc>
          <w:tcPr>
            <w:tcW w:w="1700" w:type="dxa"/>
            <w:tcBorders>
              <w:top w:val="single" w:color="000000" w:sz="4" w:space="0"/>
              <w:left w:val="single" w:color="000000" w:sz="4" w:space="0"/>
              <w:bottom w:val="single" w:color="000000" w:sz="4" w:space="0"/>
              <w:right w:val="single" w:color="000000" w:sz="4" w:space="0"/>
            </w:tcBorders>
          </w:tcPr>
          <w:p w14:paraId="2C45B749">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345~380</w:t>
            </w:r>
          </w:p>
        </w:tc>
        <w:tc>
          <w:tcPr>
            <w:tcW w:w="1609" w:type="dxa"/>
            <w:tcBorders>
              <w:top w:val="single" w:color="000000" w:sz="4" w:space="0"/>
              <w:left w:val="single" w:color="000000" w:sz="4" w:space="0"/>
              <w:bottom w:val="single" w:color="000000" w:sz="4" w:space="0"/>
              <w:right w:val="single" w:color="000000" w:sz="12" w:space="0"/>
            </w:tcBorders>
          </w:tcPr>
          <w:p w14:paraId="5CCF9F8C">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420~465</w:t>
            </w:r>
          </w:p>
        </w:tc>
      </w:tr>
      <w:tr w14:paraId="1B659CC5">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c>
          <w:tcPr>
            <w:tcW w:w="3652" w:type="dxa"/>
            <w:tcBorders>
              <w:top w:val="single" w:color="000000" w:sz="4" w:space="0"/>
              <w:left w:val="single" w:color="000000" w:sz="12" w:space="0"/>
              <w:bottom w:val="single" w:color="000000" w:sz="12" w:space="0"/>
              <w:right w:val="single" w:color="000000" w:sz="4" w:space="0"/>
            </w:tcBorders>
          </w:tcPr>
          <w:p w14:paraId="63A54FDC">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料车卷扬上料作业率（%）</w:t>
            </w:r>
          </w:p>
        </w:tc>
        <w:tc>
          <w:tcPr>
            <w:tcW w:w="1558" w:type="dxa"/>
            <w:tcBorders>
              <w:top w:val="single" w:color="000000" w:sz="4" w:space="0"/>
              <w:left w:val="single" w:color="000000" w:sz="4" w:space="0"/>
              <w:bottom w:val="single" w:color="000000" w:sz="12" w:space="0"/>
              <w:right w:val="single" w:color="000000" w:sz="4" w:space="0"/>
            </w:tcBorders>
          </w:tcPr>
          <w:p w14:paraId="72F4C8F7">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62.2~68.9</w:t>
            </w:r>
          </w:p>
        </w:tc>
        <w:tc>
          <w:tcPr>
            <w:tcW w:w="1700" w:type="dxa"/>
            <w:tcBorders>
              <w:top w:val="single" w:color="000000" w:sz="4" w:space="0"/>
              <w:left w:val="single" w:color="000000" w:sz="4" w:space="0"/>
              <w:bottom w:val="single" w:color="000000" w:sz="12" w:space="0"/>
              <w:right w:val="single" w:color="000000" w:sz="4" w:space="0"/>
            </w:tcBorders>
          </w:tcPr>
          <w:p w14:paraId="76505CF0">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60.7~66.9</w:t>
            </w:r>
          </w:p>
        </w:tc>
        <w:tc>
          <w:tcPr>
            <w:tcW w:w="1609" w:type="dxa"/>
            <w:tcBorders>
              <w:top w:val="single" w:color="000000" w:sz="4" w:space="0"/>
              <w:left w:val="single" w:color="000000" w:sz="4" w:space="0"/>
              <w:bottom w:val="single" w:color="000000" w:sz="12" w:space="0"/>
              <w:right w:val="single" w:color="000000" w:sz="12" w:space="0"/>
            </w:tcBorders>
          </w:tcPr>
          <w:p w14:paraId="124C311C">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58.3~64.5</w:t>
            </w:r>
          </w:p>
        </w:tc>
      </w:tr>
    </w:tbl>
    <w:p w14:paraId="0B4DBD98">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注：矿石称量斗装一车矿的时间为20~25s，焦炭称量斗装一车焦的时间为30~40s，料车从底部上到顶部时间为45s，计算得出料车卷扬上一批料的时间。</w:t>
      </w:r>
    </w:p>
    <w:p w14:paraId="3830E7A1">
      <w:pPr>
        <w:shd w:val="clear"/>
        <w:rPr>
          <w:rFonts w:ascii="Times New Roman" w:hAnsi="Times New Roman" w:cs="Times New Roman"/>
          <w:bCs/>
          <w:strike/>
          <w:color w:val="auto"/>
          <w:kern w:val="0"/>
          <w:szCs w:val="20"/>
          <w:highlight w:val="none"/>
        </w:rPr>
      </w:pPr>
      <w:r>
        <w:rPr>
          <w:rFonts w:ascii="Times New Roman" w:hAnsi="Times New Roman" w:cs="Times New Roman"/>
          <w:bCs/>
          <w:color w:val="auto"/>
          <w:kern w:val="0"/>
          <w:szCs w:val="20"/>
          <w:highlight w:val="none"/>
        </w:rPr>
        <w:t>初步核算，高炉日产铁量</w:t>
      </w:r>
      <w:r>
        <w:rPr>
          <w:rFonts w:hint="eastAsia" w:ascii="Times New Roman" w:hAnsi="Times New Roman" w:cs="Times New Roman"/>
          <w:bCs/>
          <w:color w:val="auto"/>
          <w:kern w:val="0"/>
          <w:szCs w:val="20"/>
          <w:highlight w:val="none"/>
          <w:lang w:eastAsia="zh-CN"/>
        </w:rPr>
        <w:t>3240</w:t>
      </w:r>
      <w:r>
        <w:rPr>
          <w:rFonts w:ascii="Times New Roman" w:hAnsi="Times New Roman" w:cs="Times New Roman"/>
          <w:bCs/>
          <w:color w:val="auto"/>
          <w:kern w:val="0"/>
          <w:szCs w:val="20"/>
          <w:highlight w:val="none"/>
        </w:rPr>
        <w:t>t的情况下，料车卷扬斜桥上料系统最高作业率约为68.9%，未超过80%的规范要求，可以满足高炉生产要求。</w:t>
      </w:r>
    </w:p>
    <w:p w14:paraId="0D22EDBB">
      <w:pPr>
        <w:shd w:val="clear"/>
        <w:ind w:firstLine="0" w:firstLineChars="0"/>
        <w:outlineLvl w:val="2"/>
        <w:rPr>
          <w:rFonts w:cs="Times New Roman"/>
          <w:color w:val="auto"/>
          <w:szCs w:val="28"/>
          <w:highlight w:val="none"/>
        </w:rPr>
      </w:pPr>
      <w:bookmarkStart w:id="199" w:name="_Toc30031"/>
      <w:r>
        <w:rPr>
          <w:rFonts w:hint="eastAsia" w:cs="Times New Roman"/>
          <w:color w:val="auto"/>
          <w:szCs w:val="28"/>
          <w:highlight w:val="none"/>
        </w:rPr>
        <w:t>2.3.4 料车上料系统改造内容</w:t>
      </w:r>
      <w:bookmarkEnd w:id="199"/>
    </w:p>
    <w:p w14:paraId="158E2F8D">
      <w:pPr>
        <w:shd w:val="clear"/>
        <w:rPr>
          <w:rFonts w:ascii="Times New Roman" w:hAnsi="Times New Roman" w:cs="Times New Roman"/>
          <w:bCs/>
          <w:color w:val="auto"/>
          <w:kern w:val="0"/>
          <w:szCs w:val="20"/>
          <w:highlight w:val="none"/>
        </w:rPr>
      </w:pPr>
      <w:bookmarkStart w:id="200" w:name="_Hlk175923872"/>
      <w:r>
        <w:rPr>
          <w:rFonts w:hint="eastAsia" w:ascii="Times New Roman" w:hAnsi="Times New Roman" w:cs="Times New Roman"/>
          <w:bCs/>
          <w:color w:val="auto"/>
          <w:kern w:val="0"/>
          <w:szCs w:val="20"/>
          <w:highlight w:val="none"/>
        </w:rPr>
        <w:t>上料系统采用双料车斜桥上料，料车有效容积</w:t>
      </w:r>
      <w:r>
        <w:rPr>
          <w:rFonts w:ascii="Times New Roman" w:hAnsi="Times New Roman" w:cs="Times New Roman"/>
          <w:bCs/>
          <w:color w:val="auto"/>
          <w:kern w:val="0"/>
          <w:szCs w:val="20"/>
          <w:highlight w:val="none"/>
        </w:rPr>
        <w:t>6.5</w:t>
      </w:r>
      <w:r>
        <w:rPr>
          <w:rFonts w:hint="eastAsia" w:ascii="Times New Roman" w:hAnsi="Times New Roman" w:cs="Times New Roman"/>
          <w:bCs/>
          <w:color w:val="auto"/>
          <w:kern w:val="0"/>
          <w:szCs w:val="20"/>
          <w:highlight w:val="none"/>
        </w:rPr>
        <w:t>m3。</w:t>
      </w:r>
    </w:p>
    <w:p w14:paraId="2733C04B">
      <w:pPr>
        <w:shd w:val="clear"/>
        <w:rPr>
          <w:rFonts w:ascii="Times New Roman" w:hAnsi="Times New Roman" w:cs="Times New Roman"/>
          <w:bCs/>
          <w:color w:val="auto"/>
          <w:kern w:val="0"/>
          <w:szCs w:val="20"/>
          <w:highlight w:val="none"/>
        </w:rPr>
      </w:pPr>
      <w:r>
        <w:rPr>
          <w:rFonts w:hint="eastAsia" w:ascii="Times New Roman" w:hAnsi="Times New Roman" w:cs="Times New Roman"/>
          <w:bCs/>
          <w:color w:val="auto"/>
          <w:kern w:val="0"/>
          <w:szCs w:val="20"/>
          <w:highlight w:val="none"/>
        </w:rPr>
        <w:t>料车主卷扬机使用年限较长（3</w:t>
      </w:r>
      <w:r>
        <w:rPr>
          <w:rFonts w:ascii="Times New Roman" w:hAnsi="Times New Roman" w:cs="Times New Roman"/>
          <w:bCs/>
          <w:color w:val="auto"/>
          <w:kern w:val="0"/>
          <w:szCs w:val="20"/>
          <w:highlight w:val="none"/>
        </w:rPr>
        <w:t>5</w:t>
      </w:r>
      <w:r>
        <w:rPr>
          <w:rFonts w:hint="eastAsia" w:ascii="Times New Roman" w:hAnsi="Times New Roman" w:cs="Times New Roman"/>
          <w:bCs/>
          <w:color w:val="auto"/>
          <w:kern w:val="0"/>
          <w:szCs w:val="20"/>
          <w:highlight w:val="none"/>
        </w:rPr>
        <w:t>年），</w:t>
      </w:r>
      <w:r>
        <w:rPr>
          <w:rFonts w:ascii="Times New Roman" w:hAnsi="Times New Roman" w:cs="Times New Roman"/>
          <w:bCs/>
          <w:color w:val="auto"/>
          <w:kern w:val="0"/>
          <w:szCs w:val="20"/>
          <w:highlight w:val="none"/>
        </w:rPr>
        <w:t>减速机齿面腐蚀，减速机轴承座镗孔内侧外涮严重，轴承振动值</w:t>
      </w:r>
      <w:r>
        <w:rPr>
          <w:rFonts w:hint="eastAsia" w:ascii="Times New Roman" w:hAnsi="Times New Roman" w:cs="Times New Roman"/>
          <w:bCs/>
          <w:color w:val="auto"/>
          <w:kern w:val="0"/>
          <w:szCs w:val="20"/>
          <w:highlight w:val="none"/>
        </w:rPr>
        <w:t>偏</w:t>
      </w:r>
      <w:r>
        <w:rPr>
          <w:rFonts w:ascii="Times New Roman" w:hAnsi="Times New Roman" w:cs="Times New Roman"/>
          <w:bCs/>
          <w:color w:val="auto"/>
          <w:kern w:val="0"/>
          <w:szCs w:val="20"/>
          <w:highlight w:val="none"/>
        </w:rPr>
        <w:t>大，</w:t>
      </w:r>
      <w:r>
        <w:rPr>
          <w:rFonts w:hint="eastAsia" w:ascii="Times New Roman" w:hAnsi="Times New Roman" w:cs="Times New Roman"/>
          <w:bCs/>
          <w:color w:val="auto"/>
          <w:kern w:val="0"/>
          <w:szCs w:val="20"/>
          <w:highlight w:val="none"/>
        </w:rPr>
        <w:t>运行</w:t>
      </w:r>
      <w:r>
        <w:rPr>
          <w:rFonts w:ascii="Times New Roman" w:hAnsi="Times New Roman" w:cs="Times New Roman"/>
          <w:bCs/>
          <w:color w:val="auto"/>
          <w:kern w:val="0"/>
          <w:szCs w:val="20"/>
          <w:highlight w:val="none"/>
        </w:rPr>
        <w:t>温度</w:t>
      </w:r>
      <w:r>
        <w:rPr>
          <w:rFonts w:hint="eastAsia" w:ascii="Times New Roman" w:hAnsi="Times New Roman" w:cs="Times New Roman"/>
          <w:bCs/>
          <w:color w:val="auto"/>
          <w:kern w:val="0"/>
          <w:szCs w:val="20"/>
          <w:highlight w:val="none"/>
        </w:rPr>
        <w:t>偏高</w:t>
      </w:r>
      <w:r>
        <w:rPr>
          <w:rFonts w:ascii="Times New Roman" w:hAnsi="Times New Roman" w:cs="Times New Roman"/>
          <w:bCs/>
          <w:color w:val="auto"/>
          <w:kern w:val="0"/>
          <w:szCs w:val="20"/>
          <w:highlight w:val="none"/>
        </w:rPr>
        <w:t>，轴承</w:t>
      </w:r>
      <w:r>
        <w:rPr>
          <w:rFonts w:hint="eastAsia" w:ascii="Times New Roman" w:hAnsi="Times New Roman" w:cs="Times New Roman"/>
          <w:bCs/>
          <w:color w:val="auto"/>
          <w:kern w:val="0"/>
          <w:szCs w:val="20"/>
          <w:highlight w:val="none"/>
        </w:rPr>
        <w:t>为干油润滑，轴端漏油严重。</w:t>
      </w:r>
    </w:p>
    <w:p w14:paraId="1F0A27EE">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卷扬机电机采用的是直流电机，减速机与电机之间的抱闸轮采用直流电磁抱闸线圈，体积大、故障多，调试困难，属于落后淘汰产品</w:t>
      </w:r>
      <w:r>
        <w:rPr>
          <w:rFonts w:hint="eastAsia" w:ascii="Times New Roman" w:hAnsi="Times New Roman" w:cs="Times New Roman"/>
          <w:bCs/>
          <w:color w:val="auto"/>
          <w:kern w:val="0"/>
          <w:szCs w:val="20"/>
          <w:highlight w:val="none"/>
        </w:rPr>
        <w:t>，碳刷需每1</w:t>
      </w:r>
      <w:r>
        <w:rPr>
          <w:rFonts w:ascii="Times New Roman" w:hAnsi="Times New Roman" w:cs="Times New Roman"/>
          <w:bCs/>
          <w:color w:val="auto"/>
          <w:kern w:val="0"/>
          <w:szCs w:val="20"/>
          <w:highlight w:val="none"/>
        </w:rPr>
        <w:t>~</w:t>
      </w:r>
      <w:r>
        <w:rPr>
          <w:rFonts w:hint="eastAsia" w:ascii="Times New Roman" w:hAnsi="Times New Roman" w:cs="Times New Roman"/>
          <w:bCs/>
          <w:color w:val="auto"/>
          <w:kern w:val="0"/>
          <w:szCs w:val="20"/>
          <w:highlight w:val="none"/>
        </w:rPr>
        <w:t>2个月频繁更换，且更换困难。主卷扬机6RA7096系列传动系统使用12年，严重老化、故障较多。6RA70系列的直流调速装置已不再生产，零部件（控制板、电源板等）无法采购。直流电机换向器厂内无法维修，需要返厂维修，维护成本高。</w:t>
      </w:r>
    </w:p>
    <w:p w14:paraId="037940AA">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为保证高炉的安全稳定生产，优化指标，对料车</w:t>
      </w:r>
      <w:r>
        <w:rPr>
          <w:rFonts w:hint="eastAsia" w:ascii="Times New Roman" w:hAnsi="Times New Roman" w:cs="Times New Roman"/>
          <w:bCs/>
          <w:color w:val="auto"/>
          <w:kern w:val="0"/>
          <w:szCs w:val="20"/>
          <w:highlight w:val="none"/>
        </w:rPr>
        <w:t>主卷扬系统</w:t>
      </w:r>
      <w:r>
        <w:rPr>
          <w:rFonts w:ascii="Times New Roman" w:hAnsi="Times New Roman" w:cs="Times New Roman"/>
          <w:bCs/>
          <w:color w:val="auto"/>
          <w:kern w:val="0"/>
          <w:szCs w:val="20"/>
          <w:highlight w:val="none"/>
        </w:rPr>
        <w:t>进行</w:t>
      </w:r>
      <w:r>
        <w:rPr>
          <w:rFonts w:hint="eastAsia" w:ascii="Times New Roman" w:hAnsi="Times New Roman" w:cs="Times New Roman"/>
          <w:bCs/>
          <w:color w:val="auto"/>
          <w:kern w:val="0"/>
          <w:szCs w:val="20"/>
          <w:highlight w:val="none"/>
        </w:rPr>
        <w:t>整体更换</w:t>
      </w:r>
      <w:r>
        <w:rPr>
          <w:rFonts w:ascii="Times New Roman" w:hAnsi="Times New Roman" w:cs="Times New Roman"/>
          <w:bCs/>
          <w:color w:val="auto"/>
          <w:kern w:val="0"/>
          <w:szCs w:val="20"/>
          <w:highlight w:val="none"/>
        </w:rPr>
        <w:t>，并对主卷扬机传动控制系统</w:t>
      </w:r>
      <w:r>
        <w:rPr>
          <w:rFonts w:hint="eastAsia" w:ascii="Times New Roman" w:hAnsi="Times New Roman" w:cs="Times New Roman"/>
          <w:bCs/>
          <w:color w:val="auto"/>
          <w:kern w:val="0"/>
          <w:szCs w:val="20"/>
          <w:highlight w:val="none"/>
        </w:rPr>
        <w:t>更换</w:t>
      </w:r>
      <w:r>
        <w:rPr>
          <w:rFonts w:ascii="Times New Roman" w:hAnsi="Times New Roman" w:cs="Times New Roman"/>
          <w:bCs/>
          <w:color w:val="auto"/>
          <w:kern w:val="0"/>
          <w:szCs w:val="20"/>
          <w:highlight w:val="none"/>
        </w:rPr>
        <w:t>。</w:t>
      </w:r>
    </w:p>
    <w:p w14:paraId="6FB3C5E7">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上料斜桥可根据现场实际检测鉴定情况进行加固</w:t>
      </w:r>
      <w:r>
        <w:rPr>
          <w:rFonts w:hint="eastAsia" w:ascii="Times New Roman" w:hAnsi="Times New Roman" w:cs="Times New Roman"/>
          <w:bCs/>
          <w:color w:val="auto"/>
          <w:kern w:val="0"/>
          <w:szCs w:val="20"/>
          <w:highlight w:val="none"/>
        </w:rPr>
        <w:t>处理</w:t>
      </w:r>
      <w:r>
        <w:rPr>
          <w:rFonts w:ascii="Times New Roman" w:hAnsi="Times New Roman" w:cs="Times New Roman"/>
          <w:bCs/>
          <w:color w:val="auto"/>
          <w:kern w:val="0"/>
          <w:szCs w:val="20"/>
          <w:highlight w:val="none"/>
        </w:rPr>
        <w:t>，</w:t>
      </w:r>
      <w:r>
        <w:rPr>
          <w:rFonts w:ascii="宋体" w:hAnsi="宋体" w:eastAsia="宋体" w:cs="宋体"/>
          <w:color w:val="auto"/>
          <w:sz w:val="24"/>
          <w:szCs w:val="24"/>
          <w:highlight w:val="none"/>
        </w:rPr>
        <w:t>斜桥加固完成后按照整体进行除锈、防腐刷漆；</w:t>
      </w:r>
      <w:r>
        <w:rPr>
          <w:rFonts w:ascii="Times New Roman" w:hAnsi="Times New Roman" w:cs="Times New Roman"/>
          <w:bCs/>
          <w:color w:val="auto"/>
          <w:kern w:val="0"/>
          <w:szCs w:val="20"/>
          <w:highlight w:val="none"/>
        </w:rPr>
        <w:t>对</w:t>
      </w:r>
      <w:r>
        <w:rPr>
          <w:rFonts w:hint="eastAsia" w:ascii="Times New Roman" w:hAnsi="Times New Roman" w:cs="Times New Roman"/>
          <w:bCs/>
          <w:color w:val="auto"/>
          <w:kern w:val="0"/>
          <w:szCs w:val="20"/>
          <w:highlight w:val="none"/>
        </w:rPr>
        <w:t>斜桥</w:t>
      </w:r>
      <w:r>
        <w:rPr>
          <w:rFonts w:ascii="Times New Roman" w:hAnsi="Times New Roman" w:cs="Times New Roman"/>
          <w:bCs/>
          <w:color w:val="auto"/>
          <w:kern w:val="0"/>
          <w:szCs w:val="20"/>
          <w:highlight w:val="none"/>
        </w:rPr>
        <w:t>轨道进行找正处理</w:t>
      </w:r>
      <w:r>
        <w:rPr>
          <w:rFonts w:hint="eastAsia" w:ascii="Times New Roman" w:hAnsi="Times New Roman" w:cs="Times New Roman"/>
          <w:bCs/>
          <w:color w:val="auto"/>
          <w:kern w:val="0"/>
          <w:szCs w:val="20"/>
          <w:highlight w:val="none"/>
        </w:rPr>
        <w:t>并更换料坑内4根轨道及顶部分曲轨，上部钢构架地板腐蚀</w:t>
      </w:r>
      <w:r>
        <w:rPr>
          <w:rFonts w:hint="eastAsia" w:ascii="Times New Roman" w:hAnsi="Times New Roman" w:cs="Times New Roman"/>
          <w:bCs/>
          <w:color w:val="auto"/>
          <w:kern w:val="0"/>
          <w:szCs w:val="20"/>
          <w:highlight w:val="none"/>
          <w:shd w:val="clear" w:color="auto"/>
        </w:rPr>
        <w:t>长度</w:t>
      </w:r>
      <w:r>
        <w:rPr>
          <w:rFonts w:hint="eastAsia" w:ascii="Times New Roman" w:hAnsi="Times New Roman" w:cs="Times New Roman"/>
          <w:bCs/>
          <w:color w:val="auto"/>
          <w:kern w:val="0"/>
          <w:szCs w:val="20"/>
          <w:highlight w:val="none"/>
        </w:rPr>
        <w:t>更换3m</w:t>
      </w:r>
      <w:r>
        <w:rPr>
          <w:rFonts w:ascii="Times New Roman" w:hAnsi="Times New Roman" w:cs="Times New Roman"/>
          <w:bCs/>
          <w:color w:val="auto"/>
          <w:kern w:val="0"/>
          <w:szCs w:val="20"/>
          <w:highlight w:val="none"/>
        </w:rPr>
        <w:t>。业主方委托专业机构对斜桥结构</w:t>
      </w:r>
      <w:r>
        <w:rPr>
          <w:rFonts w:hint="eastAsia" w:ascii="Times New Roman" w:hAnsi="Times New Roman" w:cs="Times New Roman"/>
          <w:bCs/>
          <w:color w:val="auto"/>
          <w:kern w:val="0"/>
          <w:szCs w:val="20"/>
          <w:highlight w:val="none"/>
        </w:rPr>
        <w:t>及卷扬机基础</w:t>
      </w:r>
      <w:r>
        <w:rPr>
          <w:rFonts w:ascii="Times New Roman" w:hAnsi="Times New Roman" w:cs="Times New Roman"/>
          <w:bCs/>
          <w:color w:val="auto"/>
          <w:kern w:val="0"/>
          <w:szCs w:val="20"/>
          <w:highlight w:val="none"/>
        </w:rPr>
        <w:t>进行检测</w:t>
      </w:r>
      <w:r>
        <w:rPr>
          <w:rFonts w:hint="eastAsia" w:ascii="Times New Roman" w:hAnsi="Times New Roman" w:cs="Times New Roman"/>
          <w:bCs/>
          <w:color w:val="auto"/>
          <w:kern w:val="0"/>
          <w:szCs w:val="20"/>
          <w:highlight w:val="none"/>
        </w:rPr>
        <w:t>鉴定</w:t>
      </w:r>
      <w:r>
        <w:rPr>
          <w:rFonts w:ascii="Times New Roman" w:hAnsi="Times New Roman" w:cs="Times New Roman"/>
          <w:bCs/>
          <w:color w:val="auto"/>
          <w:kern w:val="0"/>
          <w:szCs w:val="20"/>
          <w:highlight w:val="none"/>
        </w:rPr>
        <w:t>，并出具检测鉴定报告</w:t>
      </w:r>
      <w:r>
        <w:rPr>
          <w:rFonts w:hint="eastAsia" w:ascii="Times New Roman" w:hAnsi="Times New Roman" w:cs="Times New Roman"/>
          <w:bCs/>
          <w:color w:val="auto"/>
          <w:kern w:val="0"/>
          <w:szCs w:val="20"/>
          <w:highlight w:val="none"/>
        </w:rPr>
        <w:t>，</w:t>
      </w:r>
      <w:r>
        <w:rPr>
          <w:rFonts w:cs="宋体"/>
          <w:color w:val="auto"/>
          <w:highlight w:val="none"/>
        </w:rPr>
        <w:t>根据鉴定报告进行改造，具体改造方案见土建专业描述</w:t>
      </w:r>
      <w:r>
        <w:rPr>
          <w:rFonts w:ascii="Times New Roman" w:hAnsi="Times New Roman" w:cs="Times New Roman"/>
          <w:bCs/>
          <w:color w:val="auto"/>
          <w:kern w:val="0"/>
          <w:szCs w:val="20"/>
          <w:highlight w:val="none"/>
        </w:rPr>
        <w:t>。</w:t>
      </w:r>
      <w:bookmarkEnd w:id="200"/>
    </w:p>
    <w:p w14:paraId="18777E5B">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料车卷扬机为上料系统的关键设备。</w:t>
      </w:r>
      <w:bookmarkStart w:id="201" w:name="_Hlk175923927"/>
      <w:r>
        <w:rPr>
          <w:rFonts w:hint="eastAsia" w:ascii="Times New Roman" w:hAnsi="Times New Roman" w:cs="Times New Roman"/>
          <w:bCs/>
          <w:color w:val="auto"/>
          <w:kern w:val="0"/>
          <w:szCs w:val="20"/>
          <w:highlight w:val="none"/>
        </w:rPr>
        <w:t>更换后的料车卷扬机</w:t>
      </w:r>
      <w:bookmarkEnd w:id="201"/>
      <w:r>
        <w:rPr>
          <w:rFonts w:ascii="Times New Roman" w:hAnsi="Times New Roman" w:cs="Times New Roman"/>
          <w:bCs/>
          <w:color w:val="auto"/>
          <w:kern w:val="0"/>
          <w:szCs w:val="20"/>
          <w:highlight w:val="none"/>
        </w:rPr>
        <w:t>主要由交流变频电机、减速机、卷筒本体、制动器、设备机座、编码器、主令控制器等组成。通过电机减速机驱动卷筒的正反旋转，旋转卷筒带动钢丝绳牵引料车上下运动以实现料车装料卸料的功能。主卷扬参数如下：</w:t>
      </w:r>
    </w:p>
    <w:p w14:paraId="6600C6B1">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正常卷扬能力：180kN</w:t>
      </w:r>
    </w:p>
    <w:p w14:paraId="78F78DA3">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最大卷扬能力：240kN</w:t>
      </w:r>
    </w:p>
    <w:p w14:paraId="46A39A1E">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卷扬速度：～3.2m/s</w:t>
      </w:r>
    </w:p>
    <w:p w14:paraId="0EAE5101">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最大卷扬行程：～85m</w:t>
      </w:r>
    </w:p>
    <w:p w14:paraId="720BC8A6">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卷筒直径：Ф2000mm</w:t>
      </w:r>
    </w:p>
    <w:p w14:paraId="27B2ECDC">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钢丝绳直径</w:t>
      </w:r>
      <w:r>
        <w:rPr>
          <w:rFonts w:hint="eastAsia" w:ascii="Times New Roman" w:hAnsi="Times New Roman" w:cs="Times New Roman"/>
          <w:bCs/>
          <w:color w:val="auto"/>
          <w:kern w:val="0"/>
          <w:szCs w:val="20"/>
          <w:highlight w:val="none"/>
        </w:rPr>
        <w:t>：</w:t>
      </w:r>
      <w:r>
        <w:rPr>
          <w:rFonts w:ascii="Times New Roman" w:hAnsi="Times New Roman" w:cs="Times New Roman"/>
          <w:bCs/>
          <w:color w:val="auto"/>
          <w:kern w:val="0"/>
          <w:szCs w:val="20"/>
          <w:highlight w:val="none"/>
        </w:rPr>
        <w:t>Ф40mm</w:t>
      </w:r>
    </w:p>
    <w:p w14:paraId="524C4A81">
      <w:pPr>
        <w:shd w:val="clear"/>
        <w:rPr>
          <w:rFonts w:ascii="Times New Roman" w:hAnsi="Times New Roman" w:cs="Times New Roman"/>
          <w:bCs/>
          <w:color w:val="auto"/>
          <w:kern w:val="0"/>
          <w:szCs w:val="20"/>
          <w:highlight w:val="none"/>
          <w:vertAlign w:val="superscript"/>
        </w:rPr>
      </w:pPr>
      <w:bookmarkStart w:id="202" w:name="_Toc17234"/>
      <w:r>
        <w:rPr>
          <w:rFonts w:ascii="Times New Roman" w:hAnsi="Times New Roman" w:cs="Times New Roman"/>
          <w:bCs/>
          <w:color w:val="auto"/>
          <w:kern w:val="0"/>
          <w:szCs w:val="20"/>
          <w:highlight w:val="none"/>
        </w:rPr>
        <w:t>料车有效容积：6.5m</w:t>
      </w:r>
      <w:r>
        <w:rPr>
          <w:rFonts w:ascii="Times New Roman" w:hAnsi="Times New Roman" w:cs="Times New Roman"/>
          <w:bCs/>
          <w:color w:val="auto"/>
          <w:kern w:val="0"/>
          <w:szCs w:val="20"/>
          <w:highlight w:val="none"/>
          <w:vertAlign w:val="superscript"/>
        </w:rPr>
        <w:t>3</w:t>
      </w:r>
      <w:bookmarkEnd w:id="202"/>
    </w:p>
    <w:p w14:paraId="0C26499A">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主卷扬电机功率：</w:t>
      </w:r>
      <w:r>
        <w:rPr>
          <w:rFonts w:hint="eastAsia" w:ascii="Times New Roman" w:hAnsi="Times New Roman" w:cs="Times New Roman"/>
          <w:bCs/>
          <w:color w:val="auto"/>
          <w:kern w:val="0"/>
          <w:szCs w:val="20"/>
          <w:highlight w:val="none"/>
        </w:rPr>
        <w:t>约</w:t>
      </w:r>
      <w:r>
        <w:rPr>
          <w:rFonts w:ascii="Times New Roman" w:hAnsi="Times New Roman" w:cs="Times New Roman"/>
          <w:bCs/>
          <w:color w:val="auto"/>
          <w:kern w:val="0"/>
          <w:szCs w:val="20"/>
          <w:highlight w:val="none"/>
        </w:rPr>
        <w:t>2</w:t>
      </w:r>
      <w:r>
        <w:rPr>
          <w:rFonts w:hint="eastAsia" w:ascii="Times New Roman" w:hAnsi="Times New Roman" w:cs="Times New Roman"/>
          <w:bCs/>
          <w:color w:val="auto"/>
          <w:kern w:val="0"/>
          <w:szCs w:val="20"/>
          <w:highlight w:val="none"/>
        </w:rPr>
        <w:t>×</w:t>
      </w:r>
      <w:r>
        <w:rPr>
          <w:rFonts w:ascii="Times New Roman" w:hAnsi="Times New Roman" w:cs="Times New Roman"/>
          <w:bCs/>
          <w:color w:val="auto"/>
          <w:kern w:val="0"/>
          <w:szCs w:val="20"/>
          <w:highlight w:val="none"/>
        </w:rPr>
        <w:t>355kW，工作方式：频繁启制动，工作制：S3，额定电压：AC690V。主卷扬机设置双智能主令控制器，一用一备，每台带1个绝对型编码器。电机增量型旋转编码器（设备自带），数量：2个。主卷扬电机冷却采用骑士风机，同时电机设置加热器用于电机受潮时烘干，设置测温元件用于定子和轴承测温。主卷扬设有制动器2台，设有钢丝绳松绳报警开关2台和料车防冲顶开关2台。</w:t>
      </w:r>
    </w:p>
    <w:p w14:paraId="0AEB5707">
      <w:pPr>
        <w:shd w:val="clear"/>
        <w:rPr>
          <w:rFonts w:ascii="Times New Roman" w:hAnsi="Times New Roman" w:cs="Times New Roman"/>
          <w:bCs/>
          <w:color w:val="auto"/>
          <w:kern w:val="0"/>
          <w:szCs w:val="20"/>
          <w:highlight w:val="none"/>
        </w:rPr>
      </w:pPr>
      <w:bookmarkStart w:id="203" w:name="_Hlk175923972"/>
      <w:r>
        <w:rPr>
          <w:rFonts w:hint="eastAsia" w:ascii="Times New Roman" w:hAnsi="Times New Roman" w:cs="Times New Roman"/>
          <w:bCs/>
          <w:color w:val="auto"/>
          <w:kern w:val="0"/>
          <w:szCs w:val="20"/>
          <w:highlight w:val="none"/>
        </w:rPr>
        <w:t>另外，</w:t>
      </w:r>
      <w:r>
        <w:rPr>
          <w:rFonts w:ascii="Times New Roman" w:hAnsi="Times New Roman" w:cs="Times New Roman"/>
          <w:bCs/>
          <w:color w:val="auto"/>
          <w:kern w:val="0"/>
          <w:szCs w:val="20"/>
          <w:highlight w:val="none"/>
        </w:rPr>
        <w:t>本次改造</w:t>
      </w:r>
      <w:r>
        <w:rPr>
          <w:rFonts w:hint="eastAsia" w:ascii="Times New Roman" w:hAnsi="Times New Roman" w:cs="Times New Roman"/>
          <w:bCs/>
          <w:color w:val="auto"/>
          <w:kern w:val="0"/>
          <w:szCs w:val="20"/>
          <w:highlight w:val="none"/>
        </w:rPr>
        <w:t>，</w:t>
      </w:r>
      <w:bookmarkEnd w:id="203"/>
      <w:r>
        <w:rPr>
          <w:rFonts w:ascii="Times New Roman" w:hAnsi="Times New Roman" w:cs="Times New Roman"/>
          <w:bCs/>
          <w:color w:val="auto"/>
          <w:kern w:val="0"/>
          <w:szCs w:val="20"/>
          <w:highlight w:val="none"/>
        </w:rPr>
        <w:t>上料系统天轮换新，天轮直径2000mm。料车钢丝绳换新，换新钢丝绳直径为40mm，配套换新绳夹，套环等钢丝绳附件。料车</w:t>
      </w:r>
      <w:r>
        <w:rPr>
          <w:rFonts w:hint="eastAsia" w:ascii="Times New Roman" w:hAnsi="Times New Roman" w:cs="Times New Roman"/>
          <w:bCs/>
          <w:color w:val="auto"/>
          <w:kern w:val="0"/>
          <w:szCs w:val="20"/>
          <w:highlight w:val="none"/>
        </w:rPr>
        <w:t>本体</w:t>
      </w:r>
      <w:r>
        <w:rPr>
          <w:rFonts w:ascii="Times New Roman" w:hAnsi="Times New Roman" w:cs="Times New Roman"/>
          <w:bCs/>
          <w:color w:val="auto"/>
          <w:kern w:val="0"/>
          <w:szCs w:val="20"/>
          <w:highlight w:val="none"/>
        </w:rPr>
        <w:t>利旧</w:t>
      </w:r>
      <w:r>
        <w:rPr>
          <w:rFonts w:hint="eastAsia" w:ascii="Times New Roman" w:hAnsi="Times New Roman" w:cs="Times New Roman"/>
          <w:bCs/>
          <w:color w:val="auto"/>
          <w:kern w:val="0"/>
          <w:szCs w:val="20"/>
          <w:highlight w:val="none"/>
        </w:rPr>
        <w:t>，衬板更换，衬板材质采用复合合金衬板</w:t>
      </w:r>
      <w:r>
        <w:rPr>
          <w:rFonts w:hint="eastAsia" w:ascii="Times New Roman" w:hAnsi="Times New Roman" w:cs="Times New Roman"/>
          <w:bCs/>
          <w:color w:val="auto"/>
          <w:kern w:val="0"/>
          <w:szCs w:val="20"/>
          <w:highlight w:val="none"/>
          <w:lang w:eastAsia="zh-CN"/>
        </w:rPr>
        <w:t>，</w:t>
      </w:r>
      <w:r>
        <w:rPr>
          <w:rFonts w:hint="eastAsia" w:ascii="Times New Roman" w:hAnsi="Times New Roman" w:cs="Times New Roman"/>
          <w:bCs/>
          <w:color w:val="auto"/>
          <w:kern w:val="0"/>
          <w:szCs w:val="20"/>
          <w:highlight w:val="none"/>
        </w:rPr>
        <w:t>地板</w:t>
      </w:r>
      <w:r>
        <w:rPr>
          <w:rFonts w:hint="eastAsia" w:ascii="Times New Roman" w:hAnsi="Times New Roman" w:cs="Times New Roman"/>
          <w:bCs/>
          <w:color w:val="auto"/>
          <w:kern w:val="0"/>
          <w:szCs w:val="20"/>
          <w:highlight w:val="none"/>
          <w:lang w:val="en-US" w:eastAsia="zh-CN"/>
        </w:rPr>
        <w:t>厚度</w:t>
      </w:r>
      <w:r>
        <w:rPr>
          <w:rFonts w:hint="eastAsia" w:ascii="Times New Roman" w:hAnsi="Times New Roman" w:cs="Times New Roman"/>
          <w:bCs/>
          <w:color w:val="auto"/>
          <w:kern w:val="0"/>
          <w:szCs w:val="20"/>
          <w:highlight w:val="none"/>
        </w:rPr>
        <w:t>40mm，侧板</w:t>
      </w:r>
      <w:r>
        <w:rPr>
          <w:rFonts w:hint="eastAsia" w:ascii="Times New Roman" w:hAnsi="Times New Roman" w:cs="Times New Roman"/>
          <w:bCs/>
          <w:color w:val="auto"/>
          <w:kern w:val="0"/>
          <w:szCs w:val="20"/>
          <w:highlight w:val="none"/>
          <w:lang w:val="en-US" w:eastAsia="zh-CN"/>
        </w:rPr>
        <w:t>厚度</w:t>
      </w:r>
      <w:r>
        <w:rPr>
          <w:rFonts w:hint="eastAsia" w:ascii="Times New Roman" w:hAnsi="Times New Roman" w:cs="Times New Roman"/>
          <w:bCs/>
          <w:color w:val="auto"/>
          <w:kern w:val="0"/>
          <w:szCs w:val="20"/>
          <w:highlight w:val="none"/>
        </w:rPr>
        <w:t>30mm。</w:t>
      </w:r>
    </w:p>
    <w:p w14:paraId="77CC6C4A">
      <w:pPr>
        <w:shd w:val="clear"/>
        <w:ind w:firstLine="0" w:firstLineChars="0"/>
        <w:outlineLvl w:val="1"/>
        <w:rPr>
          <w:rFonts w:cs="Times New Roman"/>
          <w:b/>
          <w:color w:val="auto"/>
          <w:sz w:val="28"/>
          <w:szCs w:val="28"/>
          <w:highlight w:val="none"/>
        </w:rPr>
      </w:pPr>
      <w:bookmarkStart w:id="204" w:name="_Toc15418"/>
      <w:bookmarkStart w:id="205" w:name="_Toc4259"/>
      <w:bookmarkStart w:id="206" w:name="_Toc175920360"/>
      <w:bookmarkStart w:id="207" w:name="_Toc4887"/>
      <w:bookmarkStart w:id="208" w:name="_Toc28198"/>
      <w:bookmarkStart w:id="209" w:name="_Toc100483683"/>
      <w:bookmarkStart w:id="210" w:name="_Toc100483378"/>
      <w:bookmarkStart w:id="211" w:name="_Toc10145"/>
      <w:bookmarkStart w:id="212" w:name="_Toc13322"/>
      <w:bookmarkStart w:id="213" w:name="_Toc79840274"/>
      <w:r>
        <w:rPr>
          <w:rFonts w:cs="Times New Roman"/>
          <w:b/>
          <w:color w:val="auto"/>
          <w:sz w:val="28"/>
          <w:szCs w:val="28"/>
          <w:highlight w:val="none"/>
        </w:rPr>
        <w:t>2.4 炉顶系统</w:t>
      </w:r>
      <w:bookmarkEnd w:id="204"/>
      <w:bookmarkEnd w:id="205"/>
      <w:bookmarkEnd w:id="206"/>
      <w:bookmarkEnd w:id="207"/>
      <w:bookmarkEnd w:id="208"/>
      <w:bookmarkEnd w:id="209"/>
      <w:bookmarkEnd w:id="210"/>
      <w:bookmarkEnd w:id="211"/>
      <w:bookmarkEnd w:id="212"/>
      <w:bookmarkEnd w:id="213"/>
    </w:p>
    <w:p w14:paraId="50BC2957">
      <w:pPr>
        <w:shd w:val="clear"/>
        <w:ind w:firstLine="0" w:firstLineChars="0"/>
        <w:outlineLvl w:val="2"/>
        <w:rPr>
          <w:rFonts w:cs="Times New Roman"/>
          <w:color w:val="auto"/>
          <w:szCs w:val="28"/>
          <w:highlight w:val="none"/>
        </w:rPr>
      </w:pPr>
      <w:bookmarkStart w:id="214" w:name="_Toc28073"/>
      <w:r>
        <w:rPr>
          <w:rFonts w:hint="eastAsia" w:cs="Times New Roman"/>
          <w:color w:val="auto"/>
          <w:szCs w:val="28"/>
          <w:highlight w:val="none"/>
        </w:rPr>
        <w:t>2.4.1 炉顶工艺参数</w:t>
      </w:r>
      <w:bookmarkEnd w:id="214"/>
    </w:p>
    <w:p w14:paraId="7AA03380">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炉喉直径</w:t>
      </w:r>
      <w:r>
        <w:rPr>
          <w:rFonts w:hint="eastAsia" w:ascii="Times New Roman" w:hAnsi="Times New Roman" w:cs="Times New Roman"/>
          <w:bCs/>
          <w:color w:val="auto"/>
          <w:kern w:val="0"/>
          <w:szCs w:val="20"/>
          <w:highlight w:val="none"/>
        </w:rPr>
        <w:t>：</w:t>
      </w:r>
      <w:r>
        <w:rPr>
          <w:rFonts w:ascii="Times New Roman" w:hAnsi="Times New Roman" w:cs="Times New Roman"/>
          <w:bCs/>
          <w:color w:val="auto"/>
          <w:kern w:val="0"/>
          <w:szCs w:val="20"/>
          <w:highlight w:val="none"/>
        </w:rPr>
        <w:tab/>
      </w:r>
      <w:r>
        <w:rPr>
          <w:rFonts w:ascii="Times New Roman" w:hAnsi="Times New Roman" w:cs="Times New Roman"/>
          <w:bCs/>
          <w:color w:val="auto"/>
          <w:kern w:val="0"/>
          <w:szCs w:val="20"/>
          <w:highlight w:val="none"/>
        </w:rPr>
        <w:tab/>
      </w:r>
      <w:r>
        <w:rPr>
          <w:rFonts w:ascii="Times New Roman" w:hAnsi="Times New Roman" w:cs="Times New Roman"/>
          <w:bCs/>
          <w:color w:val="auto"/>
          <w:kern w:val="0"/>
          <w:szCs w:val="20"/>
          <w:highlight w:val="none"/>
        </w:rPr>
        <w:tab/>
      </w:r>
      <w:r>
        <w:rPr>
          <w:rFonts w:ascii="Times New Roman" w:hAnsi="Times New Roman" w:cs="Times New Roman"/>
          <w:bCs/>
          <w:color w:val="auto"/>
          <w:kern w:val="0"/>
          <w:szCs w:val="20"/>
          <w:highlight w:val="none"/>
        </w:rPr>
        <w:t>Φ6000mm</w:t>
      </w:r>
    </w:p>
    <w:p w14:paraId="5E59717A">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炉顶压力</w:t>
      </w:r>
      <w:r>
        <w:rPr>
          <w:rFonts w:hint="eastAsia" w:ascii="Times New Roman" w:hAnsi="Times New Roman" w:cs="Times New Roman"/>
          <w:bCs/>
          <w:color w:val="auto"/>
          <w:kern w:val="0"/>
          <w:szCs w:val="20"/>
          <w:highlight w:val="none"/>
        </w:rPr>
        <w:t>：</w:t>
      </w:r>
      <w:r>
        <w:rPr>
          <w:rFonts w:ascii="Times New Roman" w:hAnsi="Times New Roman" w:cs="Times New Roman"/>
          <w:bCs/>
          <w:color w:val="auto"/>
          <w:kern w:val="0"/>
          <w:szCs w:val="20"/>
          <w:highlight w:val="none"/>
        </w:rPr>
        <w:tab/>
      </w:r>
      <w:r>
        <w:rPr>
          <w:rFonts w:ascii="Times New Roman" w:hAnsi="Times New Roman" w:cs="Times New Roman"/>
          <w:bCs/>
          <w:color w:val="auto"/>
          <w:kern w:val="0"/>
          <w:szCs w:val="20"/>
          <w:highlight w:val="none"/>
        </w:rPr>
        <w:tab/>
      </w:r>
      <w:r>
        <w:rPr>
          <w:rFonts w:ascii="Times New Roman" w:hAnsi="Times New Roman" w:cs="Times New Roman"/>
          <w:bCs/>
          <w:color w:val="auto"/>
          <w:kern w:val="0"/>
          <w:szCs w:val="20"/>
          <w:highlight w:val="none"/>
        </w:rPr>
        <w:tab/>
      </w:r>
      <w:r>
        <w:rPr>
          <w:rFonts w:hint="eastAsia" w:ascii="Times New Roman" w:hAnsi="Times New Roman" w:cs="Times New Roman"/>
          <w:bCs/>
          <w:color w:val="auto"/>
          <w:kern w:val="0"/>
          <w:szCs w:val="20"/>
          <w:highlight w:val="none"/>
        </w:rPr>
        <w:t>最大工作压力</w:t>
      </w:r>
      <w:r>
        <w:rPr>
          <w:rFonts w:ascii="Times New Roman" w:hAnsi="Times New Roman" w:cs="Times New Roman"/>
          <w:bCs/>
          <w:color w:val="auto"/>
          <w:kern w:val="0"/>
          <w:szCs w:val="20"/>
          <w:highlight w:val="none"/>
        </w:rPr>
        <w:t>0.175MPa</w:t>
      </w:r>
      <w:r>
        <w:rPr>
          <w:rFonts w:hint="eastAsia" w:ascii="Times New Roman" w:hAnsi="Times New Roman" w:cs="Times New Roman"/>
          <w:bCs/>
          <w:color w:val="auto"/>
          <w:kern w:val="0"/>
          <w:szCs w:val="20"/>
          <w:highlight w:val="none"/>
        </w:rPr>
        <w:t>，设计压力0.18MPa</w:t>
      </w:r>
    </w:p>
    <w:p w14:paraId="035F465D">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基本装料制度：</w:t>
      </w:r>
      <w:r>
        <w:rPr>
          <w:rFonts w:ascii="Times New Roman" w:hAnsi="Times New Roman" w:cs="Times New Roman"/>
          <w:bCs/>
          <w:color w:val="auto"/>
          <w:kern w:val="0"/>
          <w:szCs w:val="20"/>
          <w:highlight w:val="none"/>
        </w:rPr>
        <w:tab/>
      </w:r>
      <w:r>
        <w:rPr>
          <w:rFonts w:ascii="Times New Roman" w:hAnsi="Times New Roman" w:cs="Times New Roman"/>
          <w:bCs/>
          <w:color w:val="auto"/>
          <w:kern w:val="0"/>
          <w:szCs w:val="20"/>
          <w:highlight w:val="none"/>
        </w:rPr>
        <w:t>C↓O↓</w:t>
      </w:r>
    </w:p>
    <w:p w14:paraId="1C4FF22E">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炉顶煤气温度：</w:t>
      </w:r>
      <w:r>
        <w:rPr>
          <w:rFonts w:ascii="Times New Roman" w:hAnsi="Times New Roman" w:cs="Times New Roman"/>
          <w:bCs/>
          <w:color w:val="auto"/>
          <w:kern w:val="0"/>
          <w:szCs w:val="20"/>
          <w:highlight w:val="none"/>
        </w:rPr>
        <w:tab/>
      </w:r>
      <w:r>
        <w:rPr>
          <w:rFonts w:ascii="Times New Roman" w:hAnsi="Times New Roman" w:cs="Times New Roman"/>
          <w:bCs/>
          <w:color w:val="auto"/>
          <w:kern w:val="0"/>
          <w:szCs w:val="20"/>
          <w:highlight w:val="none"/>
        </w:rPr>
        <w:t>150～250℃；最高550℃（一年约20次，每次约半小时）</w:t>
      </w:r>
    </w:p>
    <w:p w14:paraId="4C5BE5A1">
      <w:pPr>
        <w:shd w:val="clear"/>
        <w:ind w:firstLine="0" w:firstLineChars="0"/>
        <w:outlineLvl w:val="2"/>
        <w:rPr>
          <w:rFonts w:cs="Times New Roman"/>
          <w:color w:val="auto"/>
          <w:szCs w:val="28"/>
          <w:highlight w:val="none"/>
        </w:rPr>
      </w:pPr>
      <w:bookmarkStart w:id="215" w:name="_Toc15875"/>
      <w:r>
        <w:rPr>
          <w:rFonts w:hint="eastAsia" w:cs="Times New Roman"/>
          <w:color w:val="auto"/>
          <w:szCs w:val="28"/>
          <w:highlight w:val="none"/>
        </w:rPr>
        <w:t>2.4.2 炉顶装料设备改造</w:t>
      </w:r>
      <w:bookmarkEnd w:id="215"/>
    </w:p>
    <w:p w14:paraId="38873C38">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1）称量料罐有效容积20m</w:t>
      </w:r>
      <w:r>
        <w:rPr>
          <w:rFonts w:ascii="Times New Roman" w:hAnsi="Times New Roman" w:cs="Times New Roman"/>
          <w:bCs/>
          <w:color w:val="auto"/>
          <w:kern w:val="0"/>
          <w:szCs w:val="20"/>
          <w:highlight w:val="none"/>
          <w:vertAlign w:val="superscript"/>
        </w:rPr>
        <w:t>3</w:t>
      </w:r>
      <w:r>
        <w:rPr>
          <w:rFonts w:ascii="Times New Roman" w:hAnsi="Times New Roman" w:cs="Times New Roman"/>
          <w:bCs/>
          <w:color w:val="auto"/>
          <w:kern w:val="0"/>
          <w:szCs w:val="20"/>
          <w:highlight w:val="none"/>
        </w:rPr>
        <w:t>，受料斗有效容积20m</w:t>
      </w:r>
      <w:r>
        <w:rPr>
          <w:rFonts w:ascii="Times New Roman" w:hAnsi="Times New Roman" w:cs="Times New Roman"/>
          <w:bCs/>
          <w:color w:val="auto"/>
          <w:kern w:val="0"/>
          <w:szCs w:val="20"/>
          <w:highlight w:val="none"/>
          <w:vertAlign w:val="superscript"/>
        </w:rPr>
        <w:t>3</w:t>
      </w:r>
      <w:r>
        <w:rPr>
          <w:rFonts w:ascii="Times New Roman" w:hAnsi="Times New Roman" w:cs="Times New Roman"/>
          <w:bCs/>
          <w:color w:val="auto"/>
          <w:kern w:val="0"/>
          <w:szCs w:val="20"/>
          <w:highlight w:val="none"/>
        </w:rPr>
        <w:t>，焦炭矿石最大料批重时均为3车，料车的有效容积约为6.5m</w:t>
      </w:r>
      <w:r>
        <w:rPr>
          <w:rFonts w:ascii="Times New Roman" w:hAnsi="Times New Roman" w:cs="Times New Roman"/>
          <w:bCs/>
          <w:color w:val="auto"/>
          <w:kern w:val="0"/>
          <w:szCs w:val="20"/>
          <w:highlight w:val="none"/>
          <w:vertAlign w:val="superscript"/>
        </w:rPr>
        <w:t>3</w:t>
      </w:r>
      <w:r>
        <w:rPr>
          <w:rFonts w:ascii="Times New Roman" w:hAnsi="Times New Roman" w:cs="Times New Roman"/>
          <w:bCs/>
          <w:color w:val="auto"/>
          <w:kern w:val="0"/>
          <w:szCs w:val="20"/>
          <w:highlight w:val="none"/>
        </w:rPr>
        <w:t>，受料斗与称量料罐均满足日产铁量</w:t>
      </w:r>
      <w:r>
        <w:rPr>
          <w:rFonts w:hint="eastAsia" w:ascii="Times New Roman" w:hAnsi="Times New Roman" w:cs="Times New Roman"/>
          <w:bCs/>
          <w:color w:val="auto"/>
          <w:kern w:val="0"/>
          <w:szCs w:val="20"/>
          <w:highlight w:val="none"/>
        </w:rPr>
        <w:t>3</w:t>
      </w:r>
      <w:r>
        <w:rPr>
          <w:rFonts w:hint="eastAsia" w:ascii="Times New Roman" w:hAnsi="Times New Roman" w:cs="Times New Roman"/>
          <w:bCs/>
          <w:color w:val="auto"/>
          <w:kern w:val="0"/>
          <w:szCs w:val="20"/>
          <w:highlight w:val="none"/>
          <w:lang w:val="en-US" w:eastAsia="zh-CN"/>
        </w:rPr>
        <w:t>240</w:t>
      </w:r>
      <w:r>
        <w:rPr>
          <w:rFonts w:ascii="Times New Roman" w:hAnsi="Times New Roman" w:cs="Times New Roman"/>
          <w:bCs/>
          <w:color w:val="auto"/>
          <w:kern w:val="0"/>
          <w:szCs w:val="20"/>
          <w:highlight w:val="none"/>
        </w:rPr>
        <w:t>t的生产要求，受料斗及料罐</w:t>
      </w:r>
      <w:r>
        <w:rPr>
          <w:rFonts w:hint="eastAsia" w:ascii="Times New Roman" w:hAnsi="Times New Roman" w:cs="Times New Roman"/>
          <w:bCs/>
          <w:color w:val="auto"/>
          <w:kern w:val="0"/>
          <w:szCs w:val="20"/>
          <w:highlight w:val="none"/>
        </w:rPr>
        <w:t>壳体、衬板</w:t>
      </w:r>
      <w:r>
        <w:rPr>
          <w:rFonts w:ascii="Times New Roman" w:hAnsi="Times New Roman" w:cs="Times New Roman"/>
          <w:bCs/>
          <w:color w:val="auto"/>
          <w:kern w:val="0"/>
          <w:szCs w:val="20"/>
          <w:highlight w:val="none"/>
        </w:rPr>
        <w:t>均利旧。</w:t>
      </w:r>
    </w:p>
    <w:p w14:paraId="76757478">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2）炉顶采用的串罐无料钟炉顶设备</w:t>
      </w:r>
      <w:r>
        <w:rPr>
          <w:rFonts w:hint="eastAsia" w:ascii="Times New Roman" w:hAnsi="Times New Roman" w:cs="Times New Roman"/>
          <w:bCs/>
          <w:color w:val="auto"/>
          <w:kern w:val="0"/>
          <w:szCs w:val="20"/>
          <w:highlight w:val="none"/>
        </w:rPr>
        <w:t>利旧，</w:t>
      </w:r>
      <w:r>
        <w:rPr>
          <w:rFonts w:ascii="Times New Roman" w:hAnsi="Times New Roman" w:cs="Times New Roman"/>
          <w:bCs/>
          <w:color w:val="auto"/>
          <w:kern w:val="0"/>
          <w:szCs w:val="20"/>
          <w:highlight w:val="none"/>
        </w:rPr>
        <w:t>齿轮箱利旧。</w:t>
      </w:r>
      <w:r>
        <w:rPr>
          <w:rFonts w:hint="eastAsia" w:ascii="Times New Roman" w:hAnsi="Times New Roman" w:cs="Times New Roman"/>
          <w:bCs/>
          <w:color w:val="auto"/>
          <w:kern w:val="0"/>
          <w:szCs w:val="20"/>
          <w:highlight w:val="none"/>
        </w:rPr>
        <w:t>下密封阀箱无氮气冷却和温度检测，下密胶圈使用寿命短，</w:t>
      </w:r>
      <w:r>
        <w:rPr>
          <w:rFonts w:ascii="Times New Roman" w:hAnsi="Times New Roman" w:cs="Times New Roman"/>
          <w:bCs/>
          <w:color w:val="auto"/>
          <w:kern w:val="0"/>
          <w:szCs w:val="20"/>
          <w:highlight w:val="none"/>
        </w:rPr>
        <w:t>本次改造考虑将</w:t>
      </w:r>
      <w:r>
        <w:rPr>
          <w:rFonts w:hint="eastAsia" w:ascii="Times New Roman" w:hAnsi="Times New Roman" w:cs="Times New Roman"/>
          <w:bCs/>
          <w:color w:val="auto"/>
          <w:kern w:val="0"/>
          <w:szCs w:val="20"/>
          <w:highlight w:val="none"/>
        </w:rPr>
        <w:t>下密阀箱增加氮气冷却及温度检测。</w:t>
      </w:r>
    </w:p>
    <w:p w14:paraId="59759AF0">
      <w:pPr>
        <w:shd w:val="clear"/>
        <w:rPr>
          <w:rFonts w:ascii="Times New Roman" w:hAnsi="Times New Roman" w:cs="Times New Roman"/>
          <w:bCs/>
          <w:color w:val="auto"/>
          <w:kern w:val="0"/>
          <w:szCs w:val="20"/>
          <w:highlight w:val="none"/>
        </w:rPr>
      </w:pPr>
      <w:r>
        <w:rPr>
          <w:rFonts w:hint="eastAsia" w:ascii="Times New Roman" w:hAnsi="Times New Roman" w:cs="Times New Roman"/>
          <w:bCs/>
          <w:color w:val="auto"/>
          <w:kern w:val="0"/>
          <w:szCs w:val="20"/>
          <w:highlight w:val="none"/>
        </w:rPr>
        <w:t>3</w:t>
      </w:r>
      <w:r>
        <w:rPr>
          <w:rFonts w:ascii="Times New Roman" w:hAnsi="Times New Roman" w:cs="Times New Roman"/>
          <w:bCs/>
          <w:color w:val="auto"/>
          <w:kern w:val="0"/>
          <w:szCs w:val="20"/>
          <w:highlight w:val="none"/>
        </w:rPr>
        <w:t>）</w:t>
      </w:r>
      <w:bookmarkStart w:id="216" w:name="_Hlk175924074"/>
      <w:r>
        <w:rPr>
          <w:rFonts w:hint="eastAsia" w:ascii="Times New Roman" w:hAnsi="Times New Roman" w:cs="Times New Roman"/>
          <w:bCs/>
          <w:color w:val="auto"/>
          <w:kern w:val="0"/>
          <w:szCs w:val="20"/>
          <w:highlight w:val="none"/>
        </w:rPr>
        <w:t>为满足超低排放要求，</w:t>
      </w:r>
      <w:bookmarkEnd w:id="216"/>
      <w:r>
        <w:rPr>
          <w:rFonts w:ascii="Times New Roman" w:hAnsi="Times New Roman" w:cs="Times New Roman"/>
          <w:bCs/>
          <w:color w:val="auto"/>
          <w:kern w:val="0"/>
          <w:szCs w:val="20"/>
          <w:highlight w:val="none"/>
        </w:rPr>
        <w:t>新增炉顶料罐均压煤气回收系统。原系统未设置均压煤气回收系统，高炉料罐均压煤气直接排入大气中，现场噪音超标，污染环境，不能满足超低排放标准要求。</w:t>
      </w:r>
    </w:p>
    <w:p w14:paraId="62477183">
      <w:pPr>
        <w:shd w:val="clear"/>
        <w:rPr>
          <w:color w:val="auto"/>
          <w:sz w:val="28"/>
          <w:szCs w:val="28"/>
          <w:highlight w:val="none"/>
        </w:rPr>
      </w:pPr>
      <w:r>
        <w:rPr>
          <w:color w:val="auto"/>
          <w:highlight w:val="none"/>
        </w:rPr>
        <w:t>炉顶设备主要改造内容如下：</w:t>
      </w:r>
    </w:p>
    <w:tbl>
      <w:tblPr>
        <w:tblStyle w:val="60"/>
        <w:tblW w:w="0" w:type="auto"/>
        <w:tblInd w:w="0" w:type="dxa"/>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108" w:type="dxa"/>
          <w:bottom w:w="0" w:type="dxa"/>
          <w:right w:w="108" w:type="dxa"/>
        </w:tblCellMar>
      </w:tblPr>
      <w:tblGrid>
        <w:gridCol w:w="906"/>
        <w:gridCol w:w="2487"/>
        <w:gridCol w:w="2893"/>
        <w:gridCol w:w="2234"/>
      </w:tblGrid>
      <w:tr w14:paraId="0E9FAA7D">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cantSplit/>
          <w:tblHeader/>
        </w:trPr>
        <w:tc>
          <w:tcPr>
            <w:tcW w:w="906" w:type="dxa"/>
            <w:tcBorders>
              <w:top w:val="single" w:color="000000" w:sz="12" w:space="0"/>
              <w:left w:val="single" w:color="000000" w:sz="12" w:space="0"/>
              <w:bottom w:val="single" w:color="000000" w:sz="4" w:space="0"/>
              <w:right w:val="single" w:color="000000" w:sz="4" w:space="0"/>
            </w:tcBorders>
            <w:vAlign w:val="center"/>
          </w:tcPr>
          <w:p w14:paraId="03DC3FA7">
            <w:pPr>
              <w:widowControl/>
              <w:shd w:val="clear"/>
              <w:ind w:firstLine="0" w:firstLineChars="0"/>
              <w:jc w:val="both"/>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序号</w:t>
            </w:r>
          </w:p>
        </w:tc>
        <w:tc>
          <w:tcPr>
            <w:tcW w:w="2487" w:type="dxa"/>
            <w:tcBorders>
              <w:top w:val="single" w:color="000000" w:sz="12" w:space="0"/>
              <w:left w:val="single" w:color="000000" w:sz="4" w:space="0"/>
              <w:bottom w:val="single" w:color="000000" w:sz="4" w:space="0"/>
              <w:right w:val="single" w:color="000000" w:sz="4" w:space="0"/>
            </w:tcBorders>
            <w:vAlign w:val="center"/>
          </w:tcPr>
          <w:p w14:paraId="771ABC82">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名称</w:t>
            </w:r>
          </w:p>
        </w:tc>
        <w:tc>
          <w:tcPr>
            <w:tcW w:w="2893" w:type="dxa"/>
            <w:tcBorders>
              <w:top w:val="single" w:color="000000" w:sz="12" w:space="0"/>
              <w:left w:val="single" w:color="000000" w:sz="4" w:space="0"/>
              <w:bottom w:val="single" w:color="000000" w:sz="4" w:space="0"/>
              <w:right w:val="single" w:color="000000" w:sz="4" w:space="0"/>
            </w:tcBorders>
            <w:vAlign w:val="center"/>
          </w:tcPr>
          <w:p w14:paraId="7347AF19">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修改内容</w:t>
            </w:r>
          </w:p>
        </w:tc>
        <w:tc>
          <w:tcPr>
            <w:tcW w:w="2234" w:type="dxa"/>
            <w:tcBorders>
              <w:top w:val="single" w:color="000000" w:sz="12" w:space="0"/>
              <w:left w:val="single" w:color="000000" w:sz="4" w:space="0"/>
              <w:bottom w:val="single" w:color="000000" w:sz="4" w:space="0"/>
              <w:right w:val="single" w:color="000000" w:sz="12" w:space="0"/>
            </w:tcBorders>
            <w:vAlign w:val="center"/>
          </w:tcPr>
          <w:p w14:paraId="22134D00">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备注</w:t>
            </w:r>
          </w:p>
        </w:tc>
      </w:tr>
      <w:tr w14:paraId="6F7A3122">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c>
          <w:tcPr>
            <w:tcW w:w="906" w:type="dxa"/>
            <w:tcBorders>
              <w:top w:val="single" w:color="000000" w:sz="4" w:space="0"/>
              <w:left w:val="single" w:color="000000" w:sz="12" w:space="0"/>
              <w:bottom w:val="single" w:color="000000" w:sz="4" w:space="0"/>
              <w:right w:val="single" w:color="000000" w:sz="4" w:space="0"/>
            </w:tcBorders>
            <w:vAlign w:val="center"/>
          </w:tcPr>
          <w:p w14:paraId="548B52A8">
            <w:pPr>
              <w:widowControl/>
              <w:shd w:val="clear"/>
              <w:ind w:firstLine="420"/>
              <w:jc w:val="both"/>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2487" w:type="dxa"/>
            <w:tcBorders>
              <w:top w:val="single" w:color="000000" w:sz="4" w:space="0"/>
              <w:left w:val="single" w:color="000000" w:sz="4" w:space="0"/>
              <w:bottom w:val="single" w:color="000000" w:sz="4" w:space="0"/>
              <w:right w:val="single" w:color="000000" w:sz="4" w:space="0"/>
            </w:tcBorders>
            <w:vAlign w:val="center"/>
          </w:tcPr>
          <w:p w14:paraId="77508D3D">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炉顶受料斗除尘罩及除尘管道</w:t>
            </w:r>
          </w:p>
        </w:tc>
        <w:tc>
          <w:tcPr>
            <w:tcW w:w="2893" w:type="dxa"/>
            <w:tcBorders>
              <w:top w:val="single" w:color="000000" w:sz="4" w:space="0"/>
              <w:left w:val="single" w:color="000000" w:sz="4" w:space="0"/>
              <w:bottom w:val="single" w:color="000000" w:sz="4" w:space="0"/>
              <w:right w:val="single" w:color="000000" w:sz="4" w:space="0"/>
            </w:tcBorders>
            <w:vAlign w:val="center"/>
          </w:tcPr>
          <w:p w14:paraId="3A5959CD">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除尘罩密封修复，除尘风量加大，管道优化</w:t>
            </w:r>
          </w:p>
        </w:tc>
        <w:tc>
          <w:tcPr>
            <w:tcW w:w="2234" w:type="dxa"/>
            <w:tcBorders>
              <w:top w:val="single" w:color="000000" w:sz="4" w:space="0"/>
              <w:left w:val="single" w:color="000000" w:sz="4" w:space="0"/>
              <w:bottom w:val="single" w:color="000000" w:sz="4" w:space="0"/>
              <w:right w:val="single" w:color="000000" w:sz="12" w:space="0"/>
            </w:tcBorders>
            <w:vAlign w:val="center"/>
          </w:tcPr>
          <w:p w14:paraId="4D11DAAC">
            <w:pPr>
              <w:widowControl/>
              <w:shd w:val="clear"/>
              <w:ind w:firstLine="420"/>
              <w:jc w:val="center"/>
              <w:textAlignment w:val="bottom"/>
              <w:rPr>
                <w:rFonts w:ascii="Times New Roman" w:hAnsi="Times New Roman" w:cs="Times New Roman"/>
                <w:color w:val="auto"/>
                <w:sz w:val="21"/>
                <w:szCs w:val="21"/>
                <w:highlight w:val="none"/>
              </w:rPr>
            </w:pPr>
          </w:p>
        </w:tc>
      </w:tr>
      <w:tr w14:paraId="24B8E137">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c>
          <w:tcPr>
            <w:tcW w:w="906" w:type="dxa"/>
            <w:tcBorders>
              <w:top w:val="single" w:color="000000" w:sz="4" w:space="0"/>
              <w:left w:val="single" w:color="000000" w:sz="12" w:space="0"/>
              <w:bottom w:val="single" w:color="000000" w:sz="4" w:space="0"/>
              <w:right w:val="single" w:color="000000" w:sz="4" w:space="0"/>
            </w:tcBorders>
            <w:vAlign w:val="center"/>
          </w:tcPr>
          <w:p w14:paraId="0F7ABD9B">
            <w:pPr>
              <w:widowControl/>
              <w:shd w:val="clear"/>
              <w:ind w:firstLine="420"/>
              <w:jc w:val="both"/>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2487" w:type="dxa"/>
            <w:tcBorders>
              <w:top w:val="single" w:color="000000" w:sz="4" w:space="0"/>
              <w:left w:val="single" w:color="000000" w:sz="4" w:space="0"/>
              <w:bottom w:val="single" w:color="000000" w:sz="4" w:space="0"/>
              <w:right w:val="single" w:color="000000" w:sz="4" w:space="0"/>
            </w:tcBorders>
            <w:vAlign w:val="center"/>
          </w:tcPr>
          <w:p w14:paraId="7E816F1E">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受料罐</w:t>
            </w:r>
          </w:p>
        </w:tc>
        <w:tc>
          <w:tcPr>
            <w:tcW w:w="2893" w:type="dxa"/>
            <w:tcBorders>
              <w:top w:val="single" w:color="000000" w:sz="4" w:space="0"/>
              <w:left w:val="single" w:color="000000" w:sz="4" w:space="0"/>
              <w:bottom w:val="single" w:color="000000" w:sz="4" w:space="0"/>
              <w:right w:val="single" w:color="000000" w:sz="4" w:space="0"/>
            </w:tcBorders>
            <w:vAlign w:val="center"/>
          </w:tcPr>
          <w:p w14:paraId="3D460773">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利旧</w:t>
            </w:r>
          </w:p>
        </w:tc>
        <w:tc>
          <w:tcPr>
            <w:tcW w:w="2234" w:type="dxa"/>
            <w:tcBorders>
              <w:top w:val="single" w:color="000000" w:sz="4" w:space="0"/>
              <w:left w:val="single" w:color="000000" w:sz="4" w:space="0"/>
              <w:bottom w:val="single" w:color="000000" w:sz="4" w:space="0"/>
              <w:right w:val="single" w:color="000000" w:sz="12" w:space="0"/>
            </w:tcBorders>
            <w:vAlign w:val="center"/>
          </w:tcPr>
          <w:p w14:paraId="791EF000">
            <w:pPr>
              <w:widowControl/>
              <w:shd w:val="clear"/>
              <w:ind w:firstLine="420"/>
              <w:jc w:val="center"/>
              <w:textAlignment w:val="bottom"/>
              <w:rPr>
                <w:rFonts w:ascii="Times New Roman" w:hAnsi="Times New Roman" w:cs="Times New Roman"/>
                <w:color w:val="auto"/>
                <w:sz w:val="21"/>
                <w:szCs w:val="21"/>
                <w:highlight w:val="none"/>
              </w:rPr>
            </w:pPr>
          </w:p>
        </w:tc>
      </w:tr>
      <w:tr w14:paraId="14D20453">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c>
          <w:tcPr>
            <w:tcW w:w="906" w:type="dxa"/>
            <w:tcBorders>
              <w:top w:val="single" w:color="000000" w:sz="4" w:space="0"/>
              <w:left w:val="single" w:color="000000" w:sz="12" w:space="0"/>
              <w:bottom w:val="single" w:color="000000" w:sz="4" w:space="0"/>
              <w:right w:val="single" w:color="000000" w:sz="4" w:space="0"/>
            </w:tcBorders>
            <w:vAlign w:val="center"/>
          </w:tcPr>
          <w:p w14:paraId="5665B7E3">
            <w:pPr>
              <w:widowControl/>
              <w:shd w:val="clear"/>
              <w:ind w:firstLine="420"/>
              <w:jc w:val="both"/>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w:t>
            </w:r>
          </w:p>
        </w:tc>
        <w:tc>
          <w:tcPr>
            <w:tcW w:w="2487" w:type="dxa"/>
            <w:tcBorders>
              <w:top w:val="single" w:color="000000" w:sz="4" w:space="0"/>
              <w:left w:val="single" w:color="000000" w:sz="4" w:space="0"/>
              <w:bottom w:val="single" w:color="000000" w:sz="4" w:space="0"/>
              <w:right w:val="single" w:color="000000" w:sz="4" w:space="0"/>
            </w:tcBorders>
            <w:vAlign w:val="center"/>
          </w:tcPr>
          <w:p w14:paraId="0BBEE7BB">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上料闸</w:t>
            </w:r>
          </w:p>
        </w:tc>
        <w:tc>
          <w:tcPr>
            <w:tcW w:w="2893" w:type="dxa"/>
            <w:tcBorders>
              <w:top w:val="single" w:color="000000" w:sz="4" w:space="0"/>
              <w:left w:val="single" w:color="000000" w:sz="4" w:space="0"/>
              <w:bottom w:val="single" w:color="000000" w:sz="4" w:space="0"/>
              <w:right w:val="single" w:color="000000" w:sz="4" w:space="0"/>
            </w:tcBorders>
            <w:vAlign w:val="center"/>
          </w:tcPr>
          <w:p w14:paraId="79CD0FAA">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利旧</w:t>
            </w:r>
          </w:p>
        </w:tc>
        <w:tc>
          <w:tcPr>
            <w:tcW w:w="2234" w:type="dxa"/>
            <w:tcBorders>
              <w:top w:val="single" w:color="000000" w:sz="4" w:space="0"/>
              <w:left w:val="single" w:color="000000" w:sz="4" w:space="0"/>
              <w:bottom w:val="single" w:color="000000" w:sz="4" w:space="0"/>
              <w:right w:val="single" w:color="000000" w:sz="12" w:space="0"/>
            </w:tcBorders>
            <w:vAlign w:val="center"/>
          </w:tcPr>
          <w:p w14:paraId="7AAD6701">
            <w:pPr>
              <w:widowControl/>
              <w:shd w:val="clear"/>
              <w:ind w:firstLine="420"/>
              <w:jc w:val="center"/>
              <w:textAlignment w:val="bottom"/>
              <w:rPr>
                <w:rFonts w:ascii="Times New Roman" w:hAnsi="Times New Roman" w:cs="Times New Roman"/>
                <w:color w:val="auto"/>
                <w:sz w:val="21"/>
                <w:szCs w:val="21"/>
                <w:highlight w:val="none"/>
              </w:rPr>
            </w:pPr>
          </w:p>
        </w:tc>
      </w:tr>
      <w:tr w14:paraId="421EAA53">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c>
          <w:tcPr>
            <w:tcW w:w="906" w:type="dxa"/>
            <w:tcBorders>
              <w:top w:val="single" w:color="000000" w:sz="4" w:space="0"/>
              <w:left w:val="single" w:color="000000" w:sz="12" w:space="0"/>
              <w:bottom w:val="single" w:color="000000" w:sz="4" w:space="0"/>
              <w:right w:val="single" w:color="000000" w:sz="4" w:space="0"/>
            </w:tcBorders>
            <w:vAlign w:val="center"/>
          </w:tcPr>
          <w:p w14:paraId="3F2E80B3">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w:t>
            </w:r>
          </w:p>
        </w:tc>
        <w:tc>
          <w:tcPr>
            <w:tcW w:w="2487" w:type="dxa"/>
            <w:tcBorders>
              <w:top w:val="single" w:color="000000" w:sz="4" w:space="0"/>
              <w:left w:val="single" w:color="000000" w:sz="4" w:space="0"/>
              <w:bottom w:val="single" w:color="000000" w:sz="4" w:space="0"/>
              <w:right w:val="single" w:color="000000" w:sz="4" w:space="0"/>
            </w:tcBorders>
            <w:vAlign w:val="center"/>
          </w:tcPr>
          <w:p w14:paraId="293BD37B">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上密封阀</w:t>
            </w:r>
          </w:p>
        </w:tc>
        <w:tc>
          <w:tcPr>
            <w:tcW w:w="2893" w:type="dxa"/>
            <w:tcBorders>
              <w:top w:val="single" w:color="000000" w:sz="4" w:space="0"/>
              <w:left w:val="single" w:color="000000" w:sz="4" w:space="0"/>
              <w:bottom w:val="single" w:color="000000" w:sz="4" w:space="0"/>
              <w:right w:val="single" w:color="000000" w:sz="4" w:space="0"/>
            </w:tcBorders>
            <w:vAlign w:val="center"/>
          </w:tcPr>
          <w:p w14:paraId="062BD706">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利旧</w:t>
            </w:r>
          </w:p>
        </w:tc>
        <w:tc>
          <w:tcPr>
            <w:tcW w:w="2234" w:type="dxa"/>
            <w:tcBorders>
              <w:top w:val="single" w:color="000000" w:sz="4" w:space="0"/>
              <w:left w:val="single" w:color="000000" w:sz="4" w:space="0"/>
              <w:bottom w:val="single" w:color="000000" w:sz="4" w:space="0"/>
              <w:right w:val="single" w:color="000000" w:sz="12" w:space="0"/>
            </w:tcBorders>
            <w:vAlign w:val="center"/>
          </w:tcPr>
          <w:p w14:paraId="0C047AC3">
            <w:pPr>
              <w:widowControl/>
              <w:shd w:val="clear"/>
              <w:ind w:firstLine="420"/>
              <w:jc w:val="center"/>
              <w:textAlignment w:val="bottom"/>
              <w:rPr>
                <w:rFonts w:ascii="Times New Roman" w:hAnsi="Times New Roman" w:cs="Times New Roman"/>
                <w:color w:val="auto"/>
                <w:sz w:val="21"/>
                <w:szCs w:val="21"/>
                <w:highlight w:val="none"/>
              </w:rPr>
            </w:pPr>
          </w:p>
        </w:tc>
      </w:tr>
      <w:tr w14:paraId="04DC66CC">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c>
          <w:tcPr>
            <w:tcW w:w="906" w:type="dxa"/>
            <w:tcBorders>
              <w:top w:val="single" w:color="000000" w:sz="4" w:space="0"/>
              <w:left w:val="single" w:color="000000" w:sz="12" w:space="0"/>
              <w:bottom w:val="single" w:color="000000" w:sz="4" w:space="0"/>
              <w:right w:val="single" w:color="000000" w:sz="4" w:space="0"/>
            </w:tcBorders>
            <w:vAlign w:val="center"/>
          </w:tcPr>
          <w:p w14:paraId="25C41A39">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w:t>
            </w:r>
          </w:p>
        </w:tc>
        <w:tc>
          <w:tcPr>
            <w:tcW w:w="2487" w:type="dxa"/>
            <w:tcBorders>
              <w:top w:val="single" w:color="000000" w:sz="4" w:space="0"/>
              <w:left w:val="single" w:color="000000" w:sz="4" w:space="0"/>
              <w:bottom w:val="single" w:color="000000" w:sz="4" w:space="0"/>
              <w:right w:val="single" w:color="000000" w:sz="4" w:space="0"/>
            </w:tcBorders>
            <w:vAlign w:val="center"/>
          </w:tcPr>
          <w:p w14:paraId="668D7F78">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称量料罐</w:t>
            </w:r>
          </w:p>
        </w:tc>
        <w:tc>
          <w:tcPr>
            <w:tcW w:w="2893" w:type="dxa"/>
            <w:tcBorders>
              <w:top w:val="single" w:color="000000" w:sz="4" w:space="0"/>
              <w:left w:val="single" w:color="000000" w:sz="4" w:space="0"/>
              <w:bottom w:val="single" w:color="000000" w:sz="4" w:space="0"/>
              <w:right w:val="single" w:color="000000" w:sz="4" w:space="0"/>
            </w:tcBorders>
            <w:vAlign w:val="center"/>
          </w:tcPr>
          <w:p w14:paraId="10ED127F">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利旧</w:t>
            </w:r>
          </w:p>
        </w:tc>
        <w:tc>
          <w:tcPr>
            <w:tcW w:w="2234" w:type="dxa"/>
            <w:tcBorders>
              <w:top w:val="single" w:color="000000" w:sz="4" w:space="0"/>
              <w:left w:val="single" w:color="000000" w:sz="4" w:space="0"/>
              <w:bottom w:val="single" w:color="000000" w:sz="4" w:space="0"/>
              <w:right w:val="single" w:color="000000" w:sz="12" w:space="0"/>
            </w:tcBorders>
            <w:vAlign w:val="center"/>
          </w:tcPr>
          <w:p w14:paraId="2F1C272D">
            <w:pPr>
              <w:widowControl/>
              <w:shd w:val="clear"/>
              <w:ind w:firstLine="420"/>
              <w:jc w:val="center"/>
              <w:textAlignment w:val="bottom"/>
              <w:rPr>
                <w:rFonts w:ascii="Times New Roman" w:hAnsi="Times New Roman" w:cs="Times New Roman"/>
                <w:color w:val="auto"/>
                <w:sz w:val="21"/>
                <w:szCs w:val="21"/>
                <w:highlight w:val="none"/>
              </w:rPr>
            </w:pPr>
          </w:p>
        </w:tc>
      </w:tr>
      <w:tr w14:paraId="4C012A32">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c>
          <w:tcPr>
            <w:tcW w:w="906" w:type="dxa"/>
            <w:tcBorders>
              <w:top w:val="single" w:color="000000" w:sz="4" w:space="0"/>
              <w:left w:val="single" w:color="000000" w:sz="12" w:space="0"/>
              <w:bottom w:val="single" w:color="000000" w:sz="4" w:space="0"/>
              <w:right w:val="single" w:color="000000" w:sz="4" w:space="0"/>
            </w:tcBorders>
            <w:vAlign w:val="center"/>
          </w:tcPr>
          <w:p w14:paraId="3E0854D4">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6</w:t>
            </w:r>
          </w:p>
        </w:tc>
        <w:tc>
          <w:tcPr>
            <w:tcW w:w="2487" w:type="dxa"/>
            <w:tcBorders>
              <w:top w:val="single" w:color="000000" w:sz="4" w:space="0"/>
              <w:left w:val="single" w:color="000000" w:sz="4" w:space="0"/>
              <w:bottom w:val="single" w:color="000000" w:sz="4" w:space="0"/>
              <w:right w:val="single" w:color="000000" w:sz="4" w:space="0"/>
            </w:tcBorders>
            <w:vAlign w:val="center"/>
          </w:tcPr>
          <w:p w14:paraId="6BFEDBAF">
            <w:pPr>
              <w:widowControl/>
              <w:shd w:val="clear"/>
              <w:ind w:firstLine="420"/>
              <w:jc w:val="center"/>
              <w:textAlignment w:val="bottom"/>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节流阀</w:t>
            </w:r>
            <w:r>
              <w:rPr>
                <w:rFonts w:ascii="Times New Roman" w:hAnsi="Times New Roman" w:cs="Times New Roman"/>
                <w:color w:val="auto"/>
                <w:sz w:val="21"/>
                <w:szCs w:val="21"/>
                <w:highlight w:val="none"/>
              </w:rPr>
              <w:t>及下密封阀</w:t>
            </w:r>
          </w:p>
        </w:tc>
        <w:tc>
          <w:tcPr>
            <w:tcW w:w="2893" w:type="dxa"/>
            <w:tcBorders>
              <w:top w:val="single" w:color="000000" w:sz="4" w:space="0"/>
              <w:left w:val="single" w:color="000000" w:sz="4" w:space="0"/>
              <w:bottom w:val="single" w:color="000000" w:sz="4" w:space="0"/>
              <w:right w:val="single" w:color="000000" w:sz="4" w:space="0"/>
            </w:tcBorders>
            <w:vAlign w:val="center"/>
          </w:tcPr>
          <w:p w14:paraId="56F9516D">
            <w:pPr>
              <w:widowControl/>
              <w:shd w:val="clear"/>
              <w:ind w:firstLine="420"/>
              <w:jc w:val="center"/>
              <w:textAlignment w:val="bottom"/>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利旧</w:t>
            </w:r>
          </w:p>
        </w:tc>
        <w:tc>
          <w:tcPr>
            <w:tcW w:w="2234" w:type="dxa"/>
            <w:tcBorders>
              <w:top w:val="single" w:color="000000" w:sz="4" w:space="0"/>
              <w:left w:val="single" w:color="000000" w:sz="4" w:space="0"/>
              <w:bottom w:val="single" w:color="000000" w:sz="4" w:space="0"/>
              <w:right w:val="single" w:color="000000" w:sz="12" w:space="0"/>
            </w:tcBorders>
            <w:vAlign w:val="center"/>
          </w:tcPr>
          <w:p w14:paraId="73C54F43">
            <w:pPr>
              <w:widowControl/>
              <w:shd w:val="clear"/>
              <w:ind w:firstLine="420"/>
              <w:jc w:val="center"/>
              <w:textAlignment w:val="bottom"/>
              <w:rPr>
                <w:rFonts w:ascii="Times New Roman" w:hAnsi="Times New Roman" w:cs="Times New Roman"/>
                <w:color w:val="auto"/>
                <w:sz w:val="21"/>
                <w:szCs w:val="21"/>
                <w:highlight w:val="none"/>
              </w:rPr>
            </w:pPr>
          </w:p>
        </w:tc>
      </w:tr>
      <w:tr w14:paraId="6B033111">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c>
          <w:tcPr>
            <w:tcW w:w="906" w:type="dxa"/>
            <w:tcBorders>
              <w:top w:val="single" w:color="000000" w:sz="4" w:space="0"/>
              <w:left w:val="single" w:color="000000" w:sz="12" w:space="0"/>
              <w:bottom w:val="single" w:color="000000" w:sz="4" w:space="0"/>
              <w:right w:val="single" w:color="000000" w:sz="4" w:space="0"/>
            </w:tcBorders>
            <w:vAlign w:val="center"/>
          </w:tcPr>
          <w:p w14:paraId="44B4684F">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7</w:t>
            </w:r>
          </w:p>
        </w:tc>
        <w:tc>
          <w:tcPr>
            <w:tcW w:w="2487" w:type="dxa"/>
            <w:tcBorders>
              <w:top w:val="single" w:color="000000" w:sz="4" w:space="0"/>
              <w:left w:val="single" w:color="000000" w:sz="4" w:space="0"/>
              <w:bottom w:val="single" w:color="000000" w:sz="4" w:space="0"/>
              <w:right w:val="single" w:color="000000" w:sz="4" w:space="0"/>
            </w:tcBorders>
            <w:vAlign w:val="center"/>
          </w:tcPr>
          <w:p w14:paraId="7895EA4E">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齿轮箱</w:t>
            </w:r>
          </w:p>
        </w:tc>
        <w:tc>
          <w:tcPr>
            <w:tcW w:w="2893" w:type="dxa"/>
            <w:tcBorders>
              <w:top w:val="single" w:color="000000" w:sz="4" w:space="0"/>
              <w:left w:val="single" w:color="000000" w:sz="4" w:space="0"/>
              <w:bottom w:val="single" w:color="000000" w:sz="4" w:space="0"/>
              <w:right w:val="single" w:color="000000" w:sz="4" w:space="0"/>
            </w:tcBorders>
            <w:vAlign w:val="center"/>
          </w:tcPr>
          <w:p w14:paraId="2830F9C7">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利旧</w:t>
            </w:r>
          </w:p>
        </w:tc>
        <w:tc>
          <w:tcPr>
            <w:tcW w:w="2234" w:type="dxa"/>
            <w:tcBorders>
              <w:top w:val="single" w:color="000000" w:sz="4" w:space="0"/>
              <w:left w:val="single" w:color="000000" w:sz="4" w:space="0"/>
              <w:bottom w:val="single" w:color="000000" w:sz="4" w:space="0"/>
              <w:right w:val="single" w:color="000000" w:sz="12" w:space="0"/>
            </w:tcBorders>
            <w:vAlign w:val="center"/>
          </w:tcPr>
          <w:p w14:paraId="0EC5C320">
            <w:pPr>
              <w:widowControl/>
              <w:shd w:val="clear"/>
              <w:ind w:firstLine="420"/>
              <w:jc w:val="center"/>
              <w:textAlignment w:val="bottom"/>
              <w:rPr>
                <w:rFonts w:ascii="Times New Roman" w:hAnsi="Times New Roman" w:cs="Times New Roman"/>
                <w:color w:val="auto"/>
                <w:sz w:val="21"/>
                <w:szCs w:val="21"/>
                <w:highlight w:val="none"/>
              </w:rPr>
            </w:pPr>
          </w:p>
        </w:tc>
      </w:tr>
      <w:tr w14:paraId="63365649">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c>
          <w:tcPr>
            <w:tcW w:w="906" w:type="dxa"/>
            <w:tcBorders>
              <w:top w:val="single" w:color="000000" w:sz="4" w:space="0"/>
              <w:left w:val="single" w:color="000000" w:sz="12" w:space="0"/>
              <w:bottom w:val="single" w:color="000000" w:sz="4" w:space="0"/>
              <w:right w:val="single" w:color="000000" w:sz="4" w:space="0"/>
            </w:tcBorders>
            <w:vAlign w:val="center"/>
          </w:tcPr>
          <w:p w14:paraId="286B8C44">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w:t>
            </w:r>
          </w:p>
        </w:tc>
        <w:tc>
          <w:tcPr>
            <w:tcW w:w="2487" w:type="dxa"/>
            <w:tcBorders>
              <w:top w:val="single" w:color="000000" w:sz="4" w:space="0"/>
              <w:left w:val="single" w:color="000000" w:sz="4" w:space="0"/>
              <w:bottom w:val="single" w:color="000000" w:sz="4" w:space="0"/>
              <w:right w:val="single" w:color="000000" w:sz="4" w:space="0"/>
            </w:tcBorders>
            <w:vAlign w:val="center"/>
          </w:tcPr>
          <w:p w14:paraId="0914E3D4">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布料溜槽</w:t>
            </w:r>
          </w:p>
        </w:tc>
        <w:tc>
          <w:tcPr>
            <w:tcW w:w="2893" w:type="dxa"/>
            <w:tcBorders>
              <w:top w:val="single" w:color="000000" w:sz="4" w:space="0"/>
              <w:left w:val="single" w:color="000000" w:sz="4" w:space="0"/>
              <w:bottom w:val="single" w:color="000000" w:sz="4" w:space="0"/>
              <w:right w:val="single" w:color="000000" w:sz="4" w:space="0"/>
            </w:tcBorders>
            <w:vAlign w:val="center"/>
          </w:tcPr>
          <w:p w14:paraId="43EC20BB">
            <w:pPr>
              <w:widowControl/>
              <w:shd w:val="clear"/>
              <w:ind w:firstLine="420"/>
              <w:jc w:val="center"/>
              <w:textAlignment w:val="bottom"/>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利旧</w:t>
            </w:r>
          </w:p>
        </w:tc>
        <w:tc>
          <w:tcPr>
            <w:tcW w:w="2234" w:type="dxa"/>
            <w:tcBorders>
              <w:top w:val="single" w:color="000000" w:sz="4" w:space="0"/>
              <w:left w:val="single" w:color="000000" w:sz="4" w:space="0"/>
              <w:bottom w:val="single" w:color="000000" w:sz="4" w:space="0"/>
              <w:right w:val="single" w:color="000000" w:sz="12" w:space="0"/>
            </w:tcBorders>
            <w:vAlign w:val="center"/>
          </w:tcPr>
          <w:p w14:paraId="192CF2A1">
            <w:pPr>
              <w:widowControl/>
              <w:shd w:val="clear"/>
              <w:ind w:firstLine="420"/>
              <w:jc w:val="center"/>
              <w:textAlignment w:val="bottom"/>
              <w:rPr>
                <w:rFonts w:ascii="Times New Roman" w:hAnsi="Times New Roman" w:cs="Times New Roman"/>
                <w:color w:val="auto"/>
                <w:sz w:val="21"/>
                <w:szCs w:val="21"/>
                <w:highlight w:val="none"/>
              </w:rPr>
            </w:pPr>
          </w:p>
        </w:tc>
      </w:tr>
      <w:tr w14:paraId="7EB3E25E">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c>
          <w:tcPr>
            <w:tcW w:w="906" w:type="dxa"/>
            <w:tcBorders>
              <w:top w:val="single" w:color="000000" w:sz="4" w:space="0"/>
              <w:left w:val="single" w:color="000000" w:sz="12" w:space="0"/>
              <w:bottom w:val="single" w:color="000000" w:sz="4" w:space="0"/>
              <w:right w:val="single" w:color="000000" w:sz="4" w:space="0"/>
            </w:tcBorders>
            <w:vAlign w:val="center"/>
          </w:tcPr>
          <w:p w14:paraId="1467C26E">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9</w:t>
            </w:r>
          </w:p>
        </w:tc>
        <w:tc>
          <w:tcPr>
            <w:tcW w:w="2487" w:type="dxa"/>
            <w:tcBorders>
              <w:top w:val="single" w:color="000000" w:sz="4" w:space="0"/>
              <w:left w:val="single" w:color="000000" w:sz="4" w:space="0"/>
              <w:bottom w:val="single" w:color="000000" w:sz="4" w:space="0"/>
              <w:right w:val="single" w:color="000000" w:sz="4" w:space="0"/>
            </w:tcBorders>
            <w:vAlign w:val="center"/>
          </w:tcPr>
          <w:p w14:paraId="542EF7B5">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齿轮箱上部波纹管</w:t>
            </w:r>
          </w:p>
        </w:tc>
        <w:tc>
          <w:tcPr>
            <w:tcW w:w="2893" w:type="dxa"/>
            <w:tcBorders>
              <w:top w:val="single" w:color="000000" w:sz="4" w:space="0"/>
              <w:left w:val="single" w:color="000000" w:sz="4" w:space="0"/>
              <w:bottom w:val="single" w:color="000000" w:sz="4" w:space="0"/>
              <w:right w:val="single" w:color="000000" w:sz="4" w:space="0"/>
            </w:tcBorders>
            <w:vAlign w:val="center"/>
          </w:tcPr>
          <w:p w14:paraId="6616C2BC">
            <w:pPr>
              <w:widowControl/>
              <w:shd w:val="clear"/>
              <w:ind w:firstLine="420"/>
              <w:jc w:val="center"/>
              <w:textAlignment w:val="bottom"/>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利旧</w:t>
            </w:r>
          </w:p>
        </w:tc>
        <w:tc>
          <w:tcPr>
            <w:tcW w:w="2234" w:type="dxa"/>
            <w:tcBorders>
              <w:top w:val="single" w:color="000000" w:sz="4" w:space="0"/>
              <w:left w:val="single" w:color="000000" w:sz="4" w:space="0"/>
              <w:bottom w:val="single" w:color="000000" w:sz="4" w:space="0"/>
              <w:right w:val="single" w:color="000000" w:sz="12" w:space="0"/>
            </w:tcBorders>
            <w:vAlign w:val="center"/>
          </w:tcPr>
          <w:p w14:paraId="5737C7F7">
            <w:pPr>
              <w:widowControl/>
              <w:shd w:val="clear"/>
              <w:ind w:firstLine="420"/>
              <w:jc w:val="center"/>
              <w:textAlignment w:val="bottom"/>
              <w:rPr>
                <w:rFonts w:ascii="Times New Roman" w:hAnsi="Times New Roman" w:cs="Times New Roman"/>
                <w:color w:val="auto"/>
                <w:sz w:val="21"/>
                <w:szCs w:val="21"/>
                <w:highlight w:val="none"/>
              </w:rPr>
            </w:pPr>
          </w:p>
        </w:tc>
      </w:tr>
      <w:tr w14:paraId="4CE4B65C">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c>
          <w:tcPr>
            <w:tcW w:w="906" w:type="dxa"/>
            <w:tcBorders>
              <w:top w:val="single" w:color="000000" w:sz="4" w:space="0"/>
              <w:left w:val="single" w:color="000000" w:sz="12" w:space="0"/>
              <w:bottom w:val="single" w:color="000000" w:sz="4" w:space="0"/>
              <w:right w:val="single" w:color="000000" w:sz="4" w:space="0"/>
            </w:tcBorders>
            <w:vAlign w:val="center"/>
          </w:tcPr>
          <w:p w14:paraId="6F6AADCB">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w:t>
            </w:r>
          </w:p>
        </w:tc>
        <w:tc>
          <w:tcPr>
            <w:tcW w:w="2487" w:type="dxa"/>
            <w:tcBorders>
              <w:top w:val="single" w:color="000000" w:sz="4" w:space="0"/>
              <w:left w:val="single" w:color="000000" w:sz="4" w:space="0"/>
              <w:bottom w:val="single" w:color="000000" w:sz="4" w:space="0"/>
              <w:right w:val="single" w:color="000000" w:sz="4" w:space="0"/>
            </w:tcBorders>
            <w:vAlign w:val="center"/>
          </w:tcPr>
          <w:p w14:paraId="149FA1EC">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炉顶钢圈</w:t>
            </w:r>
          </w:p>
        </w:tc>
        <w:tc>
          <w:tcPr>
            <w:tcW w:w="2893" w:type="dxa"/>
            <w:tcBorders>
              <w:top w:val="single" w:color="000000" w:sz="4" w:space="0"/>
              <w:left w:val="single" w:color="000000" w:sz="4" w:space="0"/>
              <w:bottom w:val="single" w:color="000000" w:sz="4" w:space="0"/>
              <w:right w:val="single" w:color="000000" w:sz="4" w:space="0"/>
            </w:tcBorders>
            <w:vAlign w:val="center"/>
          </w:tcPr>
          <w:p w14:paraId="6A36850A">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利旧</w:t>
            </w:r>
          </w:p>
        </w:tc>
        <w:tc>
          <w:tcPr>
            <w:tcW w:w="2234" w:type="dxa"/>
            <w:tcBorders>
              <w:top w:val="single" w:color="000000" w:sz="4" w:space="0"/>
              <w:left w:val="single" w:color="000000" w:sz="4" w:space="0"/>
              <w:bottom w:val="single" w:color="000000" w:sz="4" w:space="0"/>
              <w:right w:val="single" w:color="000000" w:sz="12" w:space="0"/>
            </w:tcBorders>
            <w:vAlign w:val="center"/>
          </w:tcPr>
          <w:p w14:paraId="179A56E0">
            <w:pPr>
              <w:widowControl/>
              <w:shd w:val="clear"/>
              <w:ind w:firstLine="420"/>
              <w:jc w:val="center"/>
              <w:textAlignment w:val="bottom"/>
              <w:rPr>
                <w:rFonts w:ascii="Times New Roman" w:hAnsi="Times New Roman" w:cs="Times New Roman"/>
                <w:color w:val="auto"/>
                <w:sz w:val="21"/>
                <w:szCs w:val="21"/>
                <w:highlight w:val="none"/>
              </w:rPr>
            </w:pPr>
          </w:p>
        </w:tc>
      </w:tr>
      <w:tr w14:paraId="7BC4CB37">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c>
          <w:tcPr>
            <w:tcW w:w="906" w:type="dxa"/>
            <w:tcBorders>
              <w:top w:val="single" w:color="000000" w:sz="4" w:space="0"/>
              <w:left w:val="single" w:color="000000" w:sz="12" w:space="0"/>
              <w:bottom w:val="single" w:color="000000" w:sz="4" w:space="0"/>
              <w:right w:val="single" w:color="000000" w:sz="4" w:space="0"/>
            </w:tcBorders>
            <w:vAlign w:val="center"/>
          </w:tcPr>
          <w:p w14:paraId="50375C0D">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w:t>
            </w:r>
          </w:p>
        </w:tc>
        <w:tc>
          <w:tcPr>
            <w:tcW w:w="2487" w:type="dxa"/>
            <w:tcBorders>
              <w:top w:val="single" w:color="000000" w:sz="4" w:space="0"/>
              <w:left w:val="single" w:color="000000" w:sz="4" w:space="0"/>
              <w:bottom w:val="single" w:color="000000" w:sz="4" w:space="0"/>
              <w:right w:val="single" w:color="000000" w:sz="4" w:space="0"/>
            </w:tcBorders>
            <w:vAlign w:val="center"/>
          </w:tcPr>
          <w:p w14:paraId="76A5DB36">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水冷氮封系统</w:t>
            </w:r>
          </w:p>
        </w:tc>
        <w:tc>
          <w:tcPr>
            <w:tcW w:w="2893" w:type="dxa"/>
            <w:tcBorders>
              <w:top w:val="single" w:color="000000" w:sz="4" w:space="0"/>
              <w:left w:val="single" w:color="000000" w:sz="4" w:space="0"/>
              <w:bottom w:val="single" w:color="000000" w:sz="4" w:space="0"/>
              <w:right w:val="single" w:color="000000" w:sz="4" w:space="0"/>
            </w:tcBorders>
            <w:vAlign w:val="center"/>
          </w:tcPr>
          <w:p w14:paraId="19434233">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利旧</w:t>
            </w:r>
          </w:p>
        </w:tc>
        <w:tc>
          <w:tcPr>
            <w:tcW w:w="2234" w:type="dxa"/>
            <w:tcBorders>
              <w:top w:val="single" w:color="000000" w:sz="4" w:space="0"/>
              <w:left w:val="single" w:color="000000" w:sz="4" w:space="0"/>
              <w:bottom w:val="single" w:color="000000" w:sz="4" w:space="0"/>
              <w:right w:val="single" w:color="000000" w:sz="12" w:space="0"/>
            </w:tcBorders>
            <w:vAlign w:val="center"/>
          </w:tcPr>
          <w:p w14:paraId="30AFBDC3">
            <w:pPr>
              <w:widowControl/>
              <w:shd w:val="clear"/>
              <w:ind w:firstLine="420"/>
              <w:jc w:val="center"/>
              <w:textAlignment w:val="bottom"/>
              <w:rPr>
                <w:rFonts w:ascii="Times New Roman" w:hAnsi="Times New Roman" w:cs="Times New Roman"/>
                <w:color w:val="auto"/>
                <w:sz w:val="21"/>
                <w:szCs w:val="21"/>
                <w:highlight w:val="none"/>
              </w:rPr>
            </w:pPr>
          </w:p>
        </w:tc>
      </w:tr>
      <w:tr w14:paraId="56B06EE7">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c>
          <w:tcPr>
            <w:tcW w:w="906" w:type="dxa"/>
            <w:tcBorders>
              <w:top w:val="single" w:color="000000" w:sz="4" w:space="0"/>
              <w:left w:val="single" w:color="000000" w:sz="12" w:space="0"/>
              <w:bottom w:val="single" w:color="000000" w:sz="4" w:space="0"/>
              <w:right w:val="single" w:color="000000" w:sz="4" w:space="0"/>
            </w:tcBorders>
            <w:vAlign w:val="center"/>
          </w:tcPr>
          <w:p w14:paraId="778D1DE9">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12</w:t>
            </w:r>
          </w:p>
        </w:tc>
        <w:tc>
          <w:tcPr>
            <w:tcW w:w="2487" w:type="dxa"/>
            <w:tcBorders>
              <w:top w:val="single" w:color="000000" w:sz="4" w:space="0"/>
              <w:left w:val="single" w:color="000000" w:sz="4" w:space="0"/>
              <w:bottom w:val="single" w:color="000000" w:sz="4" w:space="0"/>
              <w:right w:val="single" w:color="000000" w:sz="4" w:space="0"/>
            </w:tcBorders>
            <w:vAlign w:val="center"/>
          </w:tcPr>
          <w:p w14:paraId="699D0559">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布料溜槽检修门</w:t>
            </w:r>
          </w:p>
        </w:tc>
        <w:tc>
          <w:tcPr>
            <w:tcW w:w="2893" w:type="dxa"/>
            <w:tcBorders>
              <w:top w:val="single" w:color="000000" w:sz="4" w:space="0"/>
              <w:left w:val="single" w:color="000000" w:sz="4" w:space="0"/>
              <w:bottom w:val="single" w:color="000000" w:sz="4" w:space="0"/>
              <w:right w:val="single" w:color="000000" w:sz="4" w:space="0"/>
            </w:tcBorders>
            <w:vAlign w:val="center"/>
          </w:tcPr>
          <w:p w14:paraId="106EAD2F">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利旧</w:t>
            </w:r>
          </w:p>
        </w:tc>
        <w:tc>
          <w:tcPr>
            <w:tcW w:w="2234" w:type="dxa"/>
            <w:tcBorders>
              <w:top w:val="single" w:color="000000" w:sz="4" w:space="0"/>
              <w:left w:val="single" w:color="000000" w:sz="4" w:space="0"/>
              <w:bottom w:val="single" w:color="000000" w:sz="4" w:space="0"/>
              <w:right w:val="single" w:color="000000" w:sz="12" w:space="0"/>
            </w:tcBorders>
            <w:vAlign w:val="center"/>
          </w:tcPr>
          <w:p w14:paraId="369F903A">
            <w:pPr>
              <w:widowControl/>
              <w:shd w:val="clear"/>
              <w:ind w:firstLine="420"/>
              <w:jc w:val="center"/>
              <w:textAlignment w:val="bottom"/>
              <w:rPr>
                <w:rFonts w:ascii="Times New Roman" w:hAnsi="Times New Roman" w:cs="Times New Roman"/>
                <w:color w:val="auto"/>
                <w:sz w:val="21"/>
                <w:szCs w:val="21"/>
                <w:highlight w:val="none"/>
              </w:rPr>
            </w:pPr>
          </w:p>
        </w:tc>
      </w:tr>
      <w:tr w14:paraId="27116CB7">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c>
          <w:tcPr>
            <w:tcW w:w="906" w:type="dxa"/>
            <w:tcBorders>
              <w:top w:val="single" w:color="000000" w:sz="4" w:space="0"/>
              <w:left w:val="single" w:color="000000" w:sz="12" w:space="0"/>
              <w:bottom w:val="single" w:color="000000" w:sz="4" w:space="0"/>
              <w:right w:val="single" w:color="000000" w:sz="4" w:space="0"/>
            </w:tcBorders>
            <w:vAlign w:val="center"/>
          </w:tcPr>
          <w:p w14:paraId="66DBFC14">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13</w:t>
            </w:r>
          </w:p>
        </w:tc>
        <w:tc>
          <w:tcPr>
            <w:tcW w:w="2487" w:type="dxa"/>
            <w:tcBorders>
              <w:top w:val="single" w:color="000000" w:sz="4" w:space="0"/>
              <w:left w:val="single" w:color="000000" w:sz="4" w:space="0"/>
              <w:bottom w:val="single" w:color="000000" w:sz="4" w:space="0"/>
              <w:right w:val="single" w:color="000000" w:sz="4" w:space="0"/>
            </w:tcBorders>
            <w:vAlign w:val="center"/>
          </w:tcPr>
          <w:p w14:paraId="4A9B4D58">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链式探尺+卷扬等</w:t>
            </w:r>
          </w:p>
        </w:tc>
        <w:tc>
          <w:tcPr>
            <w:tcW w:w="2893" w:type="dxa"/>
            <w:tcBorders>
              <w:top w:val="single" w:color="000000" w:sz="4" w:space="0"/>
              <w:left w:val="single" w:color="000000" w:sz="4" w:space="0"/>
              <w:bottom w:val="single" w:color="000000" w:sz="4" w:space="0"/>
              <w:right w:val="single" w:color="000000" w:sz="4" w:space="0"/>
            </w:tcBorders>
            <w:vAlign w:val="center"/>
          </w:tcPr>
          <w:p w14:paraId="7EBCAB0E">
            <w:pPr>
              <w:widowControl/>
              <w:shd w:val="clear"/>
              <w:ind w:firstLine="420"/>
              <w:jc w:val="center"/>
              <w:textAlignment w:val="bottom"/>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利旧</w:t>
            </w:r>
          </w:p>
        </w:tc>
        <w:tc>
          <w:tcPr>
            <w:tcW w:w="2234" w:type="dxa"/>
            <w:tcBorders>
              <w:top w:val="single" w:color="000000" w:sz="4" w:space="0"/>
              <w:left w:val="single" w:color="000000" w:sz="4" w:space="0"/>
              <w:bottom w:val="single" w:color="000000" w:sz="4" w:space="0"/>
              <w:right w:val="single" w:color="000000" w:sz="12" w:space="0"/>
            </w:tcBorders>
            <w:vAlign w:val="center"/>
          </w:tcPr>
          <w:p w14:paraId="29EED34A">
            <w:pPr>
              <w:widowControl/>
              <w:shd w:val="clear"/>
              <w:ind w:firstLine="420"/>
              <w:jc w:val="center"/>
              <w:textAlignment w:val="bottom"/>
              <w:rPr>
                <w:rFonts w:ascii="Times New Roman" w:hAnsi="Times New Roman" w:cs="Times New Roman"/>
                <w:color w:val="auto"/>
                <w:sz w:val="21"/>
                <w:szCs w:val="21"/>
                <w:highlight w:val="none"/>
              </w:rPr>
            </w:pPr>
          </w:p>
        </w:tc>
      </w:tr>
      <w:tr w14:paraId="03DCFA35">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c>
          <w:tcPr>
            <w:tcW w:w="906" w:type="dxa"/>
            <w:tcBorders>
              <w:top w:val="single" w:color="000000" w:sz="4" w:space="0"/>
              <w:left w:val="single" w:color="000000" w:sz="12" w:space="0"/>
              <w:bottom w:val="single" w:color="000000" w:sz="4" w:space="0"/>
              <w:right w:val="single" w:color="000000" w:sz="4" w:space="0"/>
            </w:tcBorders>
            <w:vAlign w:val="center"/>
          </w:tcPr>
          <w:p w14:paraId="383A3DE1">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14</w:t>
            </w:r>
          </w:p>
        </w:tc>
        <w:tc>
          <w:tcPr>
            <w:tcW w:w="2487" w:type="dxa"/>
            <w:tcBorders>
              <w:top w:val="single" w:color="000000" w:sz="4" w:space="0"/>
              <w:left w:val="single" w:color="000000" w:sz="4" w:space="0"/>
              <w:bottom w:val="single" w:color="000000" w:sz="4" w:space="0"/>
              <w:right w:val="single" w:color="000000" w:sz="4" w:space="0"/>
            </w:tcBorders>
            <w:vAlign w:val="center"/>
          </w:tcPr>
          <w:p w14:paraId="067835D5">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排灰管及工业管道等</w:t>
            </w:r>
          </w:p>
        </w:tc>
        <w:tc>
          <w:tcPr>
            <w:tcW w:w="2893" w:type="dxa"/>
            <w:tcBorders>
              <w:top w:val="single" w:color="000000" w:sz="4" w:space="0"/>
              <w:left w:val="single" w:color="000000" w:sz="4" w:space="0"/>
              <w:bottom w:val="single" w:color="000000" w:sz="4" w:space="0"/>
              <w:right w:val="single" w:color="000000" w:sz="4" w:space="0"/>
            </w:tcBorders>
            <w:vAlign w:val="center"/>
          </w:tcPr>
          <w:p w14:paraId="3D2B76CA">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利旧</w:t>
            </w:r>
          </w:p>
        </w:tc>
        <w:tc>
          <w:tcPr>
            <w:tcW w:w="2234" w:type="dxa"/>
            <w:tcBorders>
              <w:top w:val="single" w:color="000000" w:sz="4" w:space="0"/>
              <w:left w:val="single" w:color="000000" w:sz="4" w:space="0"/>
              <w:bottom w:val="single" w:color="000000" w:sz="4" w:space="0"/>
              <w:right w:val="single" w:color="000000" w:sz="12" w:space="0"/>
            </w:tcBorders>
            <w:vAlign w:val="center"/>
          </w:tcPr>
          <w:p w14:paraId="2B48DE6B">
            <w:pPr>
              <w:widowControl/>
              <w:shd w:val="clear"/>
              <w:ind w:firstLine="420"/>
              <w:jc w:val="center"/>
              <w:textAlignment w:val="bottom"/>
              <w:rPr>
                <w:rFonts w:ascii="Times New Roman" w:hAnsi="Times New Roman" w:cs="Times New Roman"/>
                <w:color w:val="auto"/>
                <w:sz w:val="21"/>
                <w:szCs w:val="21"/>
                <w:highlight w:val="none"/>
              </w:rPr>
            </w:pPr>
          </w:p>
        </w:tc>
      </w:tr>
      <w:tr w14:paraId="068E1360">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c>
          <w:tcPr>
            <w:tcW w:w="906" w:type="dxa"/>
            <w:tcBorders>
              <w:top w:val="single" w:color="000000" w:sz="4" w:space="0"/>
              <w:left w:val="single" w:color="000000" w:sz="12" w:space="0"/>
              <w:bottom w:val="single" w:color="000000" w:sz="12" w:space="0"/>
              <w:right w:val="single" w:color="000000" w:sz="4" w:space="0"/>
            </w:tcBorders>
            <w:vAlign w:val="center"/>
          </w:tcPr>
          <w:p w14:paraId="1A3EB5CA">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15</w:t>
            </w:r>
          </w:p>
        </w:tc>
        <w:tc>
          <w:tcPr>
            <w:tcW w:w="2487" w:type="dxa"/>
            <w:tcBorders>
              <w:top w:val="single" w:color="000000" w:sz="4" w:space="0"/>
              <w:left w:val="single" w:color="000000" w:sz="4" w:space="0"/>
              <w:bottom w:val="single" w:color="000000" w:sz="12" w:space="0"/>
              <w:right w:val="single" w:color="000000" w:sz="4" w:space="0"/>
            </w:tcBorders>
            <w:vAlign w:val="center"/>
          </w:tcPr>
          <w:p w14:paraId="7DA09D16">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检修吊车葫芦等</w:t>
            </w:r>
          </w:p>
        </w:tc>
        <w:tc>
          <w:tcPr>
            <w:tcW w:w="2893" w:type="dxa"/>
            <w:tcBorders>
              <w:top w:val="single" w:color="000000" w:sz="4" w:space="0"/>
              <w:left w:val="single" w:color="000000" w:sz="4" w:space="0"/>
              <w:bottom w:val="single" w:color="000000" w:sz="12" w:space="0"/>
              <w:right w:val="single" w:color="000000" w:sz="4" w:space="0"/>
            </w:tcBorders>
            <w:vAlign w:val="center"/>
          </w:tcPr>
          <w:p w14:paraId="5BDDDAB6">
            <w:pPr>
              <w:widowControl/>
              <w:shd w:val="clear"/>
              <w:ind w:firstLine="42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利旧</w:t>
            </w:r>
          </w:p>
        </w:tc>
        <w:tc>
          <w:tcPr>
            <w:tcW w:w="2234" w:type="dxa"/>
            <w:tcBorders>
              <w:top w:val="single" w:color="000000" w:sz="4" w:space="0"/>
              <w:left w:val="single" w:color="000000" w:sz="4" w:space="0"/>
              <w:bottom w:val="single" w:color="000000" w:sz="12" w:space="0"/>
              <w:right w:val="single" w:color="000000" w:sz="12" w:space="0"/>
            </w:tcBorders>
            <w:vAlign w:val="center"/>
          </w:tcPr>
          <w:p w14:paraId="578A1169">
            <w:pPr>
              <w:widowControl/>
              <w:shd w:val="clear"/>
              <w:ind w:firstLine="420"/>
              <w:jc w:val="center"/>
              <w:textAlignment w:val="bottom"/>
              <w:rPr>
                <w:rFonts w:ascii="Times New Roman" w:hAnsi="Times New Roman" w:cs="Times New Roman"/>
                <w:color w:val="auto"/>
                <w:sz w:val="21"/>
                <w:szCs w:val="21"/>
                <w:highlight w:val="none"/>
              </w:rPr>
            </w:pPr>
          </w:p>
        </w:tc>
      </w:tr>
    </w:tbl>
    <w:p w14:paraId="5B559DB1">
      <w:pPr>
        <w:shd w:val="clear"/>
        <w:rPr>
          <w:rFonts w:ascii="Times New Roman" w:hAnsi="Times New Roman"/>
          <w:color w:val="auto"/>
          <w:highlight w:val="none"/>
        </w:rPr>
      </w:pPr>
      <w:r>
        <w:rPr>
          <w:rFonts w:ascii="Times New Roman" w:hAnsi="Times New Roman"/>
          <w:color w:val="auto"/>
          <w:highlight w:val="none"/>
        </w:rPr>
        <w:t>说明：2号高炉炉顶设备原设计</w:t>
      </w:r>
      <w:r>
        <w:rPr>
          <w:rFonts w:hint="eastAsia" w:ascii="Times New Roman" w:hAnsi="Times New Roman"/>
          <w:color w:val="auto"/>
          <w:highlight w:val="none"/>
        </w:rPr>
        <w:t>压力</w:t>
      </w:r>
      <w:r>
        <w:rPr>
          <w:rFonts w:ascii="Times New Roman" w:hAnsi="Times New Roman"/>
          <w:color w:val="auto"/>
          <w:highlight w:val="none"/>
        </w:rPr>
        <w:t>为0.15MPa，本次优化升级改造后，炉顶</w:t>
      </w:r>
      <w:r>
        <w:rPr>
          <w:rFonts w:hint="eastAsia" w:ascii="Times New Roman" w:hAnsi="Times New Roman"/>
          <w:color w:val="auto"/>
          <w:highlight w:val="none"/>
        </w:rPr>
        <w:t>工作</w:t>
      </w:r>
      <w:r>
        <w:rPr>
          <w:rFonts w:ascii="Times New Roman" w:hAnsi="Times New Roman"/>
          <w:color w:val="auto"/>
          <w:highlight w:val="none"/>
        </w:rPr>
        <w:t>压力为0.175MPa，顶压提高。本次改造</w:t>
      </w:r>
      <w:r>
        <w:rPr>
          <w:rFonts w:hint="eastAsia" w:ascii="Times New Roman" w:hAnsi="Times New Roman"/>
          <w:color w:val="auto"/>
          <w:highlight w:val="none"/>
        </w:rPr>
        <w:t>，下</w:t>
      </w:r>
      <w:r>
        <w:rPr>
          <w:rFonts w:ascii="Times New Roman" w:hAnsi="Times New Roman"/>
          <w:color w:val="auto"/>
          <w:highlight w:val="none"/>
        </w:rPr>
        <w:t>料罐</w:t>
      </w:r>
      <w:r>
        <w:rPr>
          <w:rFonts w:hint="eastAsia" w:ascii="Times New Roman" w:hAnsi="Times New Roman"/>
          <w:color w:val="auto"/>
          <w:highlight w:val="none"/>
        </w:rPr>
        <w:t>及齿轮箱需专业厂家对其进行检测</w:t>
      </w:r>
      <w:r>
        <w:rPr>
          <w:rFonts w:ascii="Times New Roman" w:hAnsi="Times New Roman"/>
          <w:color w:val="auto"/>
          <w:highlight w:val="none"/>
        </w:rPr>
        <w:t>，</w:t>
      </w:r>
      <w:r>
        <w:rPr>
          <w:rFonts w:hint="eastAsia" w:ascii="Times New Roman" w:hAnsi="Times New Roman"/>
          <w:color w:val="auto"/>
          <w:highlight w:val="none"/>
        </w:rPr>
        <w:t>检测壳体壁厚、焊缝强度等，确定其相关性能是否满足提顶压后的要求，</w:t>
      </w:r>
      <w:r>
        <w:rPr>
          <w:rFonts w:ascii="Times New Roman" w:hAnsi="Times New Roman"/>
          <w:color w:val="auto"/>
          <w:highlight w:val="none"/>
        </w:rPr>
        <w:t>建议</w:t>
      </w:r>
      <w:r>
        <w:rPr>
          <w:rFonts w:hint="eastAsia" w:ascii="Times New Roman" w:hAnsi="Times New Roman"/>
          <w:color w:val="auto"/>
          <w:highlight w:val="none"/>
        </w:rPr>
        <w:t>对料罐、齿轮箱进行气密性及压力</w:t>
      </w:r>
      <w:r>
        <w:rPr>
          <w:rFonts w:ascii="Times New Roman" w:hAnsi="Times New Roman"/>
          <w:color w:val="auto"/>
          <w:highlight w:val="none"/>
        </w:rPr>
        <w:t>试验</w:t>
      </w:r>
      <w:r>
        <w:rPr>
          <w:rFonts w:hint="eastAsia" w:ascii="Times New Roman" w:hAnsi="Times New Roman"/>
          <w:color w:val="auto"/>
          <w:highlight w:val="none"/>
        </w:rPr>
        <w:t>，试验压力缓慢、逐步提高，观察检测下料罐及齿轮箱有无异样</w:t>
      </w:r>
      <w:r>
        <w:rPr>
          <w:rFonts w:ascii="Times New Roman" w:hAnsi="Times New Roman"/>
          <w:color w:val="auto"/>
          <w:highlight w:val="none"/>
        </w:rPr>
        <w:t>。</w:t>
      </w:r>
    </w:p>
    <w:p w14:paraId="09959F5E">
      <w:pPr>
        <w:shd w:val="clear"/>
        <w:jc w:val="both"/>
        <w:rPr>
          <w:rFonts w:ascii="Times New Roman" w:hAnsi="Times New Roman"/>
          <w:color w:val="auto"/>
          <w:highlight w:val="none"/>
        </w:rPr>
      </w:pPr>
      <w:r>
        <w:rPr>
          <w:rFonts w:hint="eastAsia" w:ascii="Times New Roman" w:hAnsi="Times New Roman"/>
          <w:color w:val="auto"/>
          <w:highlight w:val="none"/>
        </w:rPr>
        <w:t>料罐南北超压放散恢复：南超压放散安全阀已被拆除、管道被封堵，南、北超压放散管道堵塞，由业主进行恢复。</w:t>
      </w:r>
    </w:p>
    <w:p w14:paraId="08E28587">
      <w:pPr>
        <w:shd w:val="clear"/>
        <w:ind w:firstLine="0" w:firstLineChars="0"/>
        <w:outlineLvl w:val="2"/>
        <w:rPr>
          <w:rFonts w:cs="Times New Roman"/>
          <w:color w:val="auto"/>
          <w:szCs w:val="28"/>
          <w:highlight w:val="none"/>
        </w:rPr>
      </w:pPr>
      <w:bookmarkStart w:id="217" w:name="_Toc31057"/>
      <w:r>
        <w:rPr>
          <w:rFonts w:hint="eastAsia" w:cs="Times New Roman"/>
          <w:color w:val="auto"/>
          <w:szCs w:val="28"/>
          <w:highlight w:val="none"/>
        </w:rPr>
        <w:t>2.4.3 均压放散设施</w:t>
      </w:r>
      <w:bookmarkEnd w:id="217"/>
    </w:p>
    <w:p w14:paraId="27B13CF9">
      <w:pPr>
        <w:shd w:val="clear"/>
        <w:rPr>
          <w:rFonts w:ascii="Times New Roman" w:hAnsi="Times New Roman"/>
          <w:color w:val="auto"/>
          <w:highlight w:val="none"/>
        </w:rPr>
      </w:pPr>
      <w:r>
        <w:rPr>
          <w:rFonts w:ascii="Times New Roman" w:hAnsi="Times New Roman"/>
          <w:color w:val="auto"/>
          <w:highlight w:val="none"/>
        </w:rPr>
        <w:t>随着目前低碳经济的全球化趋势和日益严峻的环保形势，国家对企业提出了低碳、清洁、高效、资源节约、环境友好等</w:t>
      </w:r>
      <w:r>
        <w:rPr>
          <w:rFonts w:hint="eastAsia" w:ascii="Times New Roman" w:hAnsi="Times New Roman"/>
          <w:color w:val="auto"/>
          <w:highlight w:val="none"/>
        </w:rPr>
        <w:t>生产</w:t>
      </w:r>
      <w:r>
        <w:rPr>
          <w:rFonts w:ascii="Times New Roman" w:hAnsi="Times New Roman"/>
          <w:color w:val="auto"/>
          <w:highlight w:val="none"/>
        </w:rPr>
        <w:t>要求</w:t>
      </w:r>
      <w:r>
        <w:rPr>
          <w:rFonts w:hint="eastAsia" w:ascii="Times New Roman" w:hAnsi="Times New Roman"/>
          <w:color w:val="auto"/>
          <w:highlight w:val="none"/>
        </w:rPr>
        <w:t>，目前炉顶缺少均压放散煤气回收设施，不满足《关于推进实施钢铁行业超低排放的意见》（环大气〔2019〕35 号）的相关要求。</w:t>
      </w:r>
    </w:p>
    <w:p w14:paraId="08288D6D">
      <w:pPr>
        <w:shd w:val="clear"/>
        <w:rPr>
          <w:rFonts w:ascii="Times New Roman" w:hAnsi="Times New Roman"/>
          <w:color w:val="auto"/>
          <w:highlight w:val="none"/>
        </w:rPr>
      </w:pPr>
      <w:r>
        <w:rPr>
          <w:rFonts w:ascii="Times New Roman" w:hAnsi="Times New Roman"/>
          <w:color w:val="auto"/>
          <w:highlight w:val="none"/>
        </w:rPr>
        <w:t>高炉冶炼过程中，炉顶料罐的均压含尘煤气直接排放大气，高炉煤气为含有大量CO和少量H2、CH4等有毒、可燃物的混合气体，一方面对大气环境造成污染，另一方面浪费了这部分能源</w:t>
      </w:r>
      <w:r>
        <w:rPr>
          <w:rFonts w:hint="eastAsia" w:ascii="Times New Roman" w:hAnsi="Times New Roman"/>
          <w:color w:val="auto"/>
          <w:highlight w:val="none"/>
        </w:rPr>
        <w:t>，再次</w:t>
      </w:r>
      <w:r>
        <w:rPr>
          <w:rFonts w:ascii="Times New Roman" w:hAnsi="Times New Roman"/>
          <w:color w:val="auto"/>
          <w:highlight w:val="none"/>
        </w:rPr>
        <w:t>，均压煤气一般</w:t>
      </w:r>
      <w:r>
        <w:rPr>
          <w:rFonts w:hint="eastAsia" w:ascii="Times New Roman" w:hAnsi="Times New Roman"/>
          <w:color w:val="auto"/>
          <w:highlight w:val="none"/>
        </w:rPr>
        <w:t>含有</w:t>
      </w:r>
      <w:r>
        <w:rPr>
          <w:rFonts w:ascii="Times New Roman" w:hAnsi="Times New Roman"/>
          <w:color w:val="auto"/>
          <w:highlight w:val="none"/>
        </w:rPr>
        <w:t>一定的水分，通过消音器对空放散时，由于压力突然降低，煤气中的水分容易析出结露，随均压煤气排放的粉尘遇水变湿后</w:t>
      </w:r>
      <w:r>
        <w:rPr>
          <w:rFonts w:hint="eastAsia" w:ascii="Times New Roman" w:hAnsi="Times New Roman"/>
          <w:color w:val="auto"/>
          <w:highlight w:val="none"/>
        </w:rPr>
        <w:t>呈糊状物，</w:t>
      </w:r>
      <w:r>
        <w:rPr>
          <w:rFonts w:ascii="Times New Roman" w:hAnsi="Times New Roman"/>
          <w:color w:val="auto"/>
          <w:highlight w:val="none"/>
        </w:rPr>
        <w:t>堵塞放散消音器，使其</w:t>
      </w:r>
      <w:r>
        <w:rPr>
          <w:rFonts w:hint="eastAsia" w:ascii="Times New Roman" w:hAnsi="Times New Roman"/>
          <w:color w:val="auto"/>
          <w:highlight w:val="none"/>
        </w:rPr>
        <w:t>无法</w:t>
      </w:r>
      <w:r>
        <w:rPr>
          <w:rFonts w:ascii="Times New Roman" w:hAnsi="Times New Roman"/>
          <w:color w:val="auto"/>
          <w:highlight w:val="none"/>
        </w:rPr>
        <w:t>正常工作，</w:t>
      </w:r>
      <w:r>
        <w:rPr>
          <w:rFonts w:hint="eastAsia" w:ascii="Times New Roman" w:hAnsi="Times New Roman"/>
          <w:color w:val="auto"/>
          <w:highlight w:val="none"/>
        </w:rPr>
        <w:t>增加了设备维护量</w:t>
      </w:r>
      <w:r>
        <w:rPr>
          <w:rFonts w:ascii="Times New Roman" w:hAnsi="Times New Roman"/>
          <w:color w:val="auto"/>
          <w:highlight w:val="none"/>
        </w:rPr>
        <w:t>。</w:t>
      </w:r>
    </w:p>
    <w:p w14:paraId="5899AD76">
      <w:pPr>
        <w:shd w:val="clear"/>
        <w:rPr>
          <w:rFonts w:ascii="Times New Roman" w:hAnsi="Times New Roman"/>
          <w:color w:val="auto"/>
          <w:highlight w:val="none"/>
        </w:rPr>
      </w:pPr>
      <w:r>
        <w:rPr>
          <w:rFonts w:ascii="Times New Roman" w:hAnsi="Times New Roman"/>
          <w:color w:val="auto"/>
          <w:highlight w:val="none"/>
        </w:rPr>
        <w:t>均压放散系统采用净煤气一次均压，氮气二次均压。本次改造采用均压煤气全回收设计，在原设计基础上进行改造。</w:t>
      </w:r>
    </w:p>
    <w:p w14:paraId="412EC52D">
      <w:pPr>
        <w:shd w:val="clear"/>
        <w:rPr>
          <w:rFonts w:ascii="Times New Roman" w:hAnsi="Times New Roman"/>
          <w:color w:val="auto"/>
          <w:highlight w:val="none"/>
        </w:rPr>
      </w:pPr>
      <w:r>
        <w:rPr>
          <w:rFonts w:ascii="Times New Roman" w:hAnsi="Times New Roman"/>
          <w:color w:val="auto"/>
          <w:highlight w:val="none"/>
        </w:rPr>
        <w:t>原设计有两套均压放散系统，改造后，</w:t>
      </w:r>
      <w:r>
        <w:rPr>
          <w:rFonts w:hint="eastAsia" w:ascii="Times New Roman" w:hAnsi="Times New Roman"/>
          <w:color w:val="auto"/>
          <w:highlight w:val="none"/>
        </w:rPr>
        <w:t>炉顶原2路放散管路保留，增加1路</w:t>
      </w:r>
      <w:r>
        <w:rPr>
          <w:rFonts w:ascii="Times New Roman" w:hAnsi="Times New Roman"/>
          <w:color w:val="auto"/>
          <w:highlight w:val="none"/>
        </w:rPr>
        <w:t>均压煤气回收管路</w:t>
      </w:r>
      <w:r>
        <w:rPr>
          <w:rFonts w:hint="eastAsia" w:ascii="Times New Roman" w:hAnsi="Times New Roman"/>
          <w:color w:val="auto"/>
          <w:highlight w:val="none"/>
        </w:rPr>
        <w:t>，</w:t>
      </w:r>
      <w:r>
        <w:rPr>
          <w:rFonts w:ascii="Times New Roman" w:hAnsi="Times New Roman"/>
          <w:color w:val="auto"/>
          <w:highlight w:val="none"/>
        </w:rPr>
        <w:t>二次均压系统利旧，均压煤气回收回收的煤气经干法布袋除尘后进入净煤气管网。</w:t>
      </w:r>
    </w:p>
    <w:p w14:paraId="3B788FB6">
      <w:pPr>
        <w:shd w:val="clear"/>
        <w:rPr>
          <w:rFonts w:ascii="Times New Roman" w:hAnsi="Times New Roman"/>
          <w:color w:val="auto"/>
          <w:highlight w:val="none"/>
        </w:rPr>
      </w:pPr>
      <w:r>
        <w:rPr>
          <w:rFonts w:ascii="Times New Roman" w:hAnsi="Times New Roman"/>
          <w:color w:val="auto"/>
          <w:highlight w:val="none"/>
        </w:rPr>
        <w:t>设备改造利旧情况见表2.4-1。</w:t>
      </w:r>
    </w:p>
    <w:p w14:paraId="05C17BD4">
      <w:pPr>
        <w:shd w:val="clear"/>
        <w:jc w:val="center"/>
        <w:rPr>
          <w:rFonts w:ascii="Times New Roman" w:hAnsi="Times New Roman"/>
          <w:color w:val="auto"/>
          <w:highlight w:val="none"/>
        </w:rPr>
      </w:pPr>
      <w:r>
        <w:rPr>
          <w:rFonts w:ascii="Times New Roman" w:hAnsi="Times New Roman"/>
          <w:color w:val="auto"/>
          <w:highlight w:val="none"/>
        </w:rPr>
        <w:t>表2.4-1  炉顶均压放散系统设备</w:t>
      </w:r>
      <w:r>
        <w:rPr>
          <w:rFonts w:hint="eastAsia" w:ascii="Times New Roman" w:hAnsi="Times New Roman"/>
          <w:color w:val="auto"/>
          <w:highlight w:val="none"/>
        </w:rPr>
        <w:t>更换</w:t>
      </w:r>
      <w:r>
        <w:rPr>
          <w:rFonts w:ascii="Times New Roman" w:hAnsi="Times New Roman"/>
          <w:color w:val="auto"/>
          <w:highlight w:val="none"/>
        </w:rPr>
        <w:t>利旧情况</w:t>
      </w:r>
    </w:p>
    <w:tbl>
      <w:tblPr>
        <w:tblStyle w:val="6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44"/>
        <w:gridCol w:w="3651"/>
        <w:gridCol w:w="1203"/>
        <w:gridCol w:w="1968"/>
        <w:gridCol w:w="847"/>
      </w:tblGrid>
      <w:tr w14:paraId="799E7A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844" w:type="dxa"/>
            <w:tcBorders>
              <w:top w:val="single" w:color="auto" w:sz="12" w:space="0"/>
              <w:left w:val="single" w:color="auto" w:sz="12" w:space="0"/>
              <w:bottom w:val="single" w:color="auto" w:sz="4" w:space="0"/>
              <w:right w:val="single" w:color="auto" w:sz="4" w:space="0"/>
            </w:tcBorders>
            <w:vAlign w:val="center"/>
          </w:tcPr>
          <w:p w14:paraId="2E4751D4">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序号</w:t>
            </w:r>
          </w:p>
        </w:tc>
        <w:tc>
          <w:tcPr>
            <w:tcW w:w="3651" w:type="dxa"/>
            <w:tcBorders>
              <w:top w:val="single" w:color="auto" w:sz="12" w:space="0"/>
              <w:left w:val="single" w:color="auto" w:sz="4" w:space="0"/>
              <w:bottom w:val="single" w:color="auto" w:sz="4" w:space="0"/>
              <w:right w:val="single" w:color="auto" w:sz="4" w:space="0"/>
            </w:tcBorders>
            <w:vAlign w:val="center"/>
          </w:tcPr>
          <w:p w14:paraId="0359EB33">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设备名称</w:t>
            </w:r>
          </w:p>
        </w:tc>
        <w:tc>
          <w:tcPr>
            <w:tcW w:w="1203" w:type="dxa"/>
            <w:tcBorders>
              <w:top w:val="single" w:color="auto" w:sz="12" w:space="0"/>
              <w:left w:val="single" w:color="auto" w:sz="4" w:space="0"/>
              <w:bottom w:val="single" w:color="auto" w:sz="4" w:space="0"/>
              <w:right w:val="single" w:color="auto" w:sz="4" w:space="0"/>
            </w:tcBorders>
            <w:vAlign w:val="center"/>
          </w:tcPr>
          <w:p w14:paraId="53C38D84">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数量/台</w:t>
            </w:r>
          </w:p>
        </w:tc>
        <w:tc>
          <w:tcPr>
            <w:tcW w:w="1968" w:type="dxa"/>
            <w:tcBorders>
              <w:top w:val="single" w:color="auto" w:sz="12" w:space="0"/>
              <w:left w:val="single" w:color="auto" w:sz="4" w:space="0"/>
              <w:bottom w:val="single" w:color="auto" w:sz="4" w:space="0"/>
              <w:right w:val="single" w:color="auto" w:sz="4" w:space="0"/>
            </w:tcBorders>
            <w:vAlign w:val="center"/>
          </w:tcPr>
          <w:p w14:paraId="7E873AE5">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更换利旧情况</w:t>
            </w:r>
          </w:p>
        </w:tc>
        <w:tc>
          <w:tcPr>
            <w:tcW w:w="847" w:type="dxa"/>
            <w:tcBorders>
              <w:top w:val="single" w:color="auto" w:sz="12" w:space="0"/>
              <w:left w:val="single" w:color="auto" w:sz="4" w:space="0"/>
              <w:bottom w:val="single" w:color="auto" w:sz="4" w:space="0"/>
              <w:right w:val="single" w:color="auto" w:sz="12" w:space="0"/>
            </w:tcBorders>
            <w:vAlign w:val="center"/>
          </w:tcPr>
          <w:p w14:paraId="15C03C4C">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备注</w:t>
            </w:r>
          </w:p>
        </w:tc>
      </w:tr>
      <w:tr w14:paraId="541FA5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844" w:type="dxa"/>
            <w:tcBorders>
              <w:top w:val="single" w:color="auto" w:sz="4" w:space="0"/>
              <w:left w:val="single" w:color="auto" w:sz="12" w:space="0"/>
              <w:bottom w:val="single" w:color="auto" w:sz="4" w:space="0"/>
              <w:right w:val="single" w:color="auto" w:sz="4" w:space="0"/>
            </w:tcBorders>
            <w:vAlign w:val="center"/>
          </w:tcPr>
          <w:p w14:paraId="0ABB28FA">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3651" w:type="dxa"/>
            <w:tcBorders>
              <w:top w:val="single" w:color="auto" w:sz="4" w:space="0"/>
              <w:left w:val="single" w:color="auto" w:sz="4" w:space="0"/>
              <w:bottom w:val="single" w:color="auto" w:sz="4" w:space="0"/>
              <w:right w:val="single" w:color="auto" w:sz="4" w:space="0"/>
            </w:tcBorders>
            <w:vAlign w:val="center"/>
          </w:tcPr>
          <w:p w14:paraId="229DF9BD">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二次均压系统氮气罐</w:t>
            </w:r>
          </w:p>
        </w:tc>
        <w:tc>
          <w:tcPr>
            <w:tcW w:w="1203" w:type="dxa"/>
            <w:tcBorders>
              <w:top w:val="single" w:color="auto" w:sz="4" w:space="0"/>
              <w:left w:val="single" w:color="auto" w:sz="4" w:space="0"/>
              <w:bottom w:val="single" w:color="auto" w:sz="4" w:space="0"/>
              <w:right w:val="single" w:color="auto" w:sz="4" w:space="0"/>
            </w:tcBorders>
            <w:vAlign w:val="center"/>
          </w:tcPr>
          <w:p w14:paraId="35C126B4">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1968" w:type="dxa"/>
            <w:tcBorders>
              <w:top w:val="single" w:color="auto" w:sz="4" w:space="0"/>
              <w:left w:val="single" w:color="auto" w:sz="4" w:space="0"/>
              <w:bottom w:val="single" w:color="auto" w:sz="4" w:space="0"/>
              <w:right w:val="single" w:color="auto" w:sz="4" w:space="0"/>
            </w:tcBorders>
            <w:vAlign w:val="center"/>
          </w:tcPr>
          <w:p w14:paraId="7E5651F3">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利旧</w:t>
            </w:r>
          </w:p>
        </w:tc>
        <w:tc>
          <w:tcPr>
            <w:tcW w:w="847" w:type="dxa"/>
            <w:tcBorders>
              <w:top w:val="single" w:color="auto" w:sz="4" w:space="0"/>
              <w:left w:val="single" w:color="auto" w:sz="4" w:space="0"/>
              <w:bottom w:val="single" w:color="auto" w:sz="4" w:space="0"/>
              <w:right w:val="single" w:color="auto" w:sz="12" w:space="0"/>
            </w:tcBorders>
            <w:vAlign w:val="center"/>
          </w:tcPr>
          <w:p w14:paraId="67CD8887">
            <w:pPr>
              <w:shd w:val="clear"/>
              <w:spacing w:line="240" w:lineRule="auto"/>
              <w:ind w:firstLine="0" w:firstLineChars="0"/>
              <w:jc w:val="center"/>
              <w:rPr>
                <w:rFonts w:ascii="Times New Roman" w:hAnsi="Times New Roman" w:cs="Times New Roman"/>
                <w:color w:val="auto"/>
                <w:sz w:val="21"/>
                <w:szCs w:val="21"/>
                <w:highlight w:val="none"/>
              </w:rPr>
            </w:pPr>
          </w:p>
        </w:tc>
      </w:tr>
      <w:tr w14:paraId="5C6C2B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844" w:type="dxa"/>
            <w:tcBorders>
              <w:top w:val="single" w:color="auto" w:sz="4" w:space="0"/>
              <w:left w:val="single" w:color="auto" w:sz="12" w:space="0"/>
              <w:bottom w:val="single" w:color="auto" w:sz="4" w:space="0"/>
              <w:right w:val="single" w:color="auto" w:sz="4" w:space="0"/>
            </w:tcBorders>
            <w:vAlign w:val="center"/>
          </w:tcPr>
          <w:p w14:paraId="5D3F9ED6">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3651" w:type="dxa"/>
            <w:tcBorders>
              <w:top w:val="single" w:color="auto" w:sz="4" w:space="0"/>
              <w:left w:val="single" w:color="auto" w:sz="4" w:space="0"/>
              <w:bottom w:val="single" w:color="auto" w:sz="4" w:space="0"/>
              <w:right w:val="single" w:color="auto" w:sz="4" w:space="0"/>
            </w:tcBorders>
            <w:vAlign w:val="center"/>
          </w:tcPr>
          <w:p w14:paraId="2E8186CD">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二次均压系统球阀截止阀等</w:t>
            </w:r>
          </w:p>
        </w:tc>
        <w:tc>
          <w:tcPr>
            <w:tcW w:w="1203" w:type="dxa"/>
            <w:tcBorders>
              <w:top w:val="single" w:color="auto" w:sz="4" w:space="0"/>
              <w:left w:val="single" w:color="auto" w:sz="4" w:space="0"/>
              <w:bottom w:val="single" w:color="auto" w:sz="4" w:space="0"/>
              <w:right w:val="single" w:color="auto" w:sz="4" w:space="0"/>
            </w:tcBorders>
            <w:vAlign w:val="center"/>
          </w:tcPr>
          <w:p w14:paraId="4BDC77A7">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若干</w:t>
            </w:r>
          </w:p>
        </w:tc>
        <w:tc>
          <w:tcPr>
            <w:tcW w:w="1968" w:type="dxa"/>
            <w:tcBorders>
              <w:top w:val="single" w:color="auto" w:sz="4" w:space="0"/>
              <w:left w:val="single" w:color="auto" w:sz="4" w:space="0"/>
              <w:bottom w:val="single" w:color="auto" w:sz="4" w:space="0"/>
              <w:right w:val="single" w:color="auto" w:sz="4" w:space="0"/>
            </w:tcBorders>
            <w:vAlign w:val="center"/>
          </w:tcPr>
          <w:p w14:paraId="2EEA3F74">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利旧</w:t>
            </w:r>
          </w:p>
        </w:tc>
        <w:tc>
          <w:tcPr>
            <w:tcW w:w="847" w:type="dxa"/>
            <w:tcBorders>
              <w:top w:val="single" w:color="auto" w:sz="4" w:space="0"/>
              <w:left w:val="single" w:color="auto" w:sz="4" w:space="0"/>
              <w:bottom w:val="single" w:color="auto" w:sz="4" w:space="0"/>
              <w:right w:val="single" w:color="auto" w:sz="12" w:space="0"/>
            </w:tcBorders>
            <w:vAlign w:val="center"/>
          </w:tcPr>
          <w:p w14:paraId="16695874">
            <w:pPr>
              <w:shd w:val="clear"/>
              <w:spacing w:line="240" w:lineRule="auto"/>
              <w:ind w:firstLine="0" w:firstLineChars="0"/>
              <w:jc w:val="center"/>
              <w:rPr>
                <w:rFonts w:ascii="Times New Roman" w:hAnsi="Times New Roman" w:cs="Times New Roman"/>
                <w:color w:val="auto"/>
                <w:sz w:val="21"/>
                <w:szCs w:val="21"/>
                <w:highlight w:val="none"/>
              </w:rPr>
            </w:pPr>
          </w:p>
        </w:tc>
      </w:tr>
      <w:tr w14:paraId="2CD400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844" w:type="dxa"/>
            <w:tcBorders>
              <w:top w:val="single" w:color="auto" w:sz="4" w:space="0"/>
              <w:left w:val="single" w:color="auto" w:sz="12" w:space="0"/>
              <w:bottom w:val="single" w:color="auto" w:sz="4" w:space="0"/>
              <w:right w:val="single" w:color="auto" w:sz="4" w:space="0"/>
            </w:tcBorders>
            <w:vAlign w:val="center"/>
          </w:tcPr>
          <w:p w14:paraId="3BD608C3">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w:t>
            </w:r>
          </w:p>
        </w:tc>
        <w:tc>
          <w:tcPr>
            <w:tcW w:w="3651" w:type="dxa"/>
            <w:tcBorders>
              <w:top w:val="single" w:color="auto" w:sz="4" w:space="0"/>
              <w:left w:val="single" w:color="auto" w:sz="4" w:space="0"/>
              <w:bottom w:val="single" w:color="auto" w:sz="4" w:space="0"/>
              <w:right w:val="single" w:color="auto" w:sz="4" w:space="0"/>
            </w:tcBorders>
            <w:vAlign w:val="center"/>
          </w:tcPr>
          <w:p w14:paraId="1F82B003">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DN80二次均压阀</w:t>
            </w:r>
          </w:p>
        </w:tc>
        <w:tc>
          <w:tcPr>
            <w:tcW w:w="1203" w:type="dxa"/>
            <w:tcBorders>
              <w:top w:val="single" w:color="auto" w:sz="4" w:space="0"/>
              <w:left w:val="single" w:color="auto" w:sz="4" w:space="0"/>
              <w:bottom w:val="single" w:color="auto" w:sz="4" w:space="0"/>
              <w:right w:val="single" w:color="auto" w:sz="4" w:space="0"/>
            </w:tcBorders>
            <w:vAlign w:val="center"/>
          </w:tcPr>
          <w:p w14:paraId="1BDDACAE">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1968" w:type="dxa"/>
            <w:tcBorders>
              <w:top w:val="single" w:color="auto" w:sz="4" w:space="0"/>
              <w:left w:val="single" w:color="auto" w:sz="4" w:space="0"/>
              <w:bottom w:val="single" w:color="auto" w:sz="4" w:space="0"/>
              <w:right w:val="single" w:color="auto" w:sz="4" w:space="0"/>
            </w:tcBorders>
            <w:vAlign w:val="center"/>
          </w:tcPr>
          <w:p w14:paraId="3215003C">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利旧</w:t>
            </w:r>
          </w:p>
        </w:tc>
        <w:tc>
          <w:tcPr>
            <w:tcW w:w="847" w:type="dxa"/>
            <w:tcBorders>
              <w:top w:val="single" w:color="auto" w:sz="4" w:space="0"/>
              <w:left w:val="single" w:color="auto" w:sz="4" w:space="0"/>
              <w:bottom w:val="single" w:color="auto" w:sz="4" w:space="0"/>
              <w:right w:val="single" w:color="auto" w:sz="12" w:space="0"/>
            </w:tcBorders>
            <w:vAlign w:val="center"/>
          </w:tcPr>
          <w:p w14:paraId="1DF03288">
            <w:pPr>
              <w:shd w:val="clear"/>
              <w:spacing w:line="240" w:lineRule="auto"/>
              <w:ind w:firstLine="0" w:firstLineChars="0"/>
              <w:jc w:val="center"/>
              <w:rPr>
                <w:rFonts w:ascii="Times New Roman" w:hAnsi="Times New Roman" w:cs="Times New Roman"/>
                <w:color w:val="auto"/>
                <w:sz w:val="21"/>
                <w:szCs w:val="21"/>
                <w:highlight w:val="none"/>
              </w:rPr>
            </w:pPr>
          </w:p>
        </w:tc>
      </w:tr>
      <w:tr w14:paraId="592D44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844" w:type="dxa"/>
            <w:tcBorders>
              <w:top w:val="single" w:color="auto" w:sz="4" w:space="0"/>
              <w:left w:val="single" w:color="auto" w:sz="12" w:space="0"/>
              <w:bottom w:val="single" w:color="auto" w:sz="4" w:space="0"/>
              <w:right w:val="single" w:color="auto" w:sz="4" w:space="0"/>
            </w:tcBorders>
            <w:vAlign w:val="center"/>
          </w:tcPr>
          <w:p w14:paraId="70BC6669">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w:t>
            </w:r>
          </w:p>
        </w:tc>
        <w:tc>
          <w:tcPr>
            <w:tcW w:w="3651" w:type="dxa"/>
            <w:tcBorders>
              <w:top w:val="single" w:color="auto" w:sz="4" w:space="0"/>
              <w:left w:val="single" w:color="auto" w:sz="4" w:space="0"/>
              <w:bottom w:val="single" w:color="auto" w:sz="4" w:space="0"/>
              <w:right w:val="single" w:color="auto" w:sz="4" w:space="0"/>
            </w:tcBorders>
            <w:vAlign w:val="center"/>
          </w:tcPr>
          <w:p w14:paraId="62F9539C">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DN200一次均压阀</w:t>
            </w:r>
          </w:p>
        </w:tc>
        <w:tc>
          <w:tcPr>
            <w:tcW w:w="1203" w:type="dxa"/>
            <w:tcBorders>
              <w:top w:val="single" w:color="auto" w:sz="4" w:space="0"/>
              <w:left w:val="single" w:color="auto" w:sz="4" w:space="0"/>
              <w:bottom w:val="single" w:color="auto" w:sz="4" w:space="0"/>
              <w:right w:val="single" w:color="auto" w:sz="4" w:space="0"/>
            </w:tcBorders>
            <w:vAlign w:val="center"/>
          </w:tcPr>
          <w:p w14:paraId="5052D135">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1968" w:type="dxa"/>
            <w:tcBorders>
              <w:top w:val="single" w:color="auto" w:sz="4" w:space="0"/>
              <w:left w:val="single" w:color="auto" w:sz="4" w:space="0"/>
              <w:bottom w:val="single" w:color="auto" w:sz="4" w:space="0"/>
              <w:right w:val="single" w:color="auto" w:sz="4" w:space="0"/>
            </w:tcBorders>
            <w:vAlign w:val="center"/>
          </w:tcPr>
          <w:p w14:paraId="7EBFBBF7">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更换</w:t>
            </w:r>
          </w:p>
        </w:tc>
        <w:tc>
          <w:tcPr>
            <w:tcW w:w="847" w:type="dxa"/>
            <w:tcBorders>
              <w:top w:val="single" w:color="auto" w:sz="4" w:space="0"/>
              <w:left w:val="single" w:color="auto" w:sz="4" w:space="0"/>
              <w:bottom w:val="single" w:color="auto" w:sz="4" w:space="0"/>
              <w:right w:val="single" w:color="auto" w:sz="12" w:space="0"/>
            </w:tcBorders>
            <w:vAlign w:val="center"/>
          </w:tcPr>
          <w:p w14:paraId="0638767E">
            <w:pPr>
              <w:shd w:val="clear"/>
              <w:spacing w:line="240" w:lineRule="auto"/>
              <w:ind w:firstLine="0" w:firstLineChars="0"/>
              <w:jc w:val="center"/>
              <w:rPr>
                <w:rFonts w:ascii="Times New Roman" w:hAnsi="Times New Roman" w:cs="Times New Roman"/>
                <w:color w:val="auto"/>
                <w:sz w:val="21"/>
                <w:szCs w:val="21"/>
                <w:highlight w:val="none"/>
              </w:rPr>
            </w:pPr>
          </w:p>
        </w:tc>
      </w:tr>
      <w:tr w14:paraId="751288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844" w:type="dxa"/>
            <w:tcBorders>
              <w:top w:val="single" w:color="auto" w:sz="4" w:space="0"/>
              <w:left w:val="single" w:color="auto" w:sz="12" w:space="0"/>
              <w:bottom w:val="single" w:color="auto" w:sz="4" w:space="0"/>
              <w:right w:val="single" w:color="auto" w:sz="4" w:space="0"/>
            </w:tcBorders>
            <w:vAlign w:val="center"/>
          </w:tcPr>
          <w:p w14:paraId="7FA4EB38">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w:t>
            </w:r>
          </w:p>
        </w:tc>
        <w:tc>
          <w:tcPr>
            <w:tcW w:w="3651" w:type="dxa"/>
            <w:tcBorders>
              <w:top w:val="single" w:color="auto" w:sz="4" w:space="0"/>
              <w:left w:val="single" w:color="auto" w:sz="4" w:space="0"/>
              <w:bottom w:val="single" w:color="auto" w:sz="4" w:space="0"/>
              <w:right w:val="single" w:color="auto" w:sz="4" w:space="0"/>
            </w:tcBorders>
            <w:vAlign w:val="center"/>
          </w:tcPr>
          <w:p w14:paraId="0E20D7FB">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DN300放散阀</w:t>
            </w:r>
          </w:p>
        </w:tc>
        <w:tc>
          <w:tcPr>
            <w:tcW w:w="1203" w:type="dxa"/>
            <w:tcBorders>
              <w:top w:val="single" w:color="auto" w:sz="4" w:space="0"/>
              <w:left w:val="single" w:color="auto" w:sz="4" w:space="0"/>
              <w:bottom w:val="single" w:color="auto" w:sz="4" w:space="0"/>
              <w:right w:val="single" w:color="auto" w:sz="4" w:space="0"/>
            </w:tcBorders>
            <w:vAlign w:val="center"/>
          </w:tcPr>
          <w:p w14:paraId="229CD65A">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1968" w:type="dxa"/>
            <w:tcBorders>
              <w:top w:val="single" w:color="auto" w:sz="4" w:space="0"/>
              <w:left w:val="single" w:color="auto" w:sz="4" w:space="0"/>
              <w:bottom w:val="single" w:color="auto" w:sz="4" w:space="0"/>
              <w:right w:val="single" w:color="auto" w:sz="4" w:space="0"/>
            </w:tcBorders>
            <w:vAlign w:val="center"/>
          </w:tcPr>
          <w:p w14:paraId="2769E7AC">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更换</w:t>
            </w:r>
          </w:p>
        </w:tc>
        <w:tc>
          <w:tcPr>
            <w:tcW w:w="847" w:type="dxa"/>
            <w:tcBorders>
              <w:top w:val="single" w:color="auto" w:sz="4" w:space="0"/>
              <w:left w:val="single" w:color="auto" w:sz="4" w:space="0"/>
              <w:bottom w:val="single" w:color="auto" w:sz="4" w:space="0"/>
              <w:right w:val="single" w:color="auto" w:sz="12" w:space="0"/>
            </w:tcBorders>
            <w:vAlign w:val="center"/>
          </w:tcPr>
          <w:p w14:paraId="4AACB85A">
            <w:pPr>
              <w:shd w:val="clear"/>
              <w:spacing w:line="240" w:lineRule="auto"/>
              <w:ind w:firstLine="0" w:firstLineChars="0"/>
              <w:jc w:val="center"/>
              <w:rPr>
                <w:rFonts w:ascii="Times New Roman" w:hAnsi="Times New Roman" w:cs="Times New Roman"/>
                <w:color w:val="auto"/>
                <w:sz w:val="21"/>
                <w:szCs w:val="21"/>
                <w:highlight w:val="none"/>
              </w:rPr>
            </w:pPr>
          </w:p>
        </w:tc>
      </w:tr>
      <w:tr w14:paraId="5A6718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844" w:type="dxa"/>
            <w:tcBorders>
              <w:top w:val="single" w:color="auto" w:sz="4" w:space="0"/>
              <w:left w:val="single" w:color="auto" w:sz="12" w:space="0"/>
              <w:bottom w:val="single" w:color="auto" w:sz="4" w:space="0"/>
              <w:right w:val="single" w:color="auto" w:sz="4" w:space="0"/>
            </w:tcBorders>
            <w:vAlign w:val="center"/>
          </w:tcPr>
          <w:p w14:paraId="4ACAF732">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6</w:t>
            </w:r>
          </w:p>
        </w:tc>
        <w:tc>
          <w:tcPr>
            <w:tcW w:w="3651" w:type="dxa"/>
            <w:tcBorders>
              <w:top w:val="single" w:color="auto" w:sz="4" w:space="0"/>
              <w:left w:val="single" w:color="auto" w:sz="4" w:space="0"/>
              <w:bottom w:val="single" w:color="auto" w:sz="4" w:space="0"/>
              <w:right w:val="single" w:color="auto" w:sz="4" w:space="0"/>
            </w:tcBorders>
            <w:vAlign w:val="center"/>
          </w:tcPr>
          <w:p w14:paraId="3F06990E">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DN200小旋风下部卸灰阀</w:t>
            </w:r>
          </w:p>
        </w:tc>
        <w:tc>
          <w:tcPr>
            <w:tcW w:w="1203" w:type="dxa"/>
            <w:tcBorders>
              <w:top w:val="single" w:color="auto" w:sz="4" w:space="0"/>
              <w:left w:val="single" w:color="auto" w:sz="4" w:space="0"/>
              <w:bottom w:val="single" w:color="auto" w:sz="4" w:space="0"/>
              <w:right w:val="single" w:color="auto" w:sz="4" w:space="0"/>
            </w:tcBorders>
            <w:vAlign w:val="center"/>
          </w:tcPr>
          <w:p w14:paraId="1E1D40B2">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1968" w:type="dxa"/>
            <w:tcBorders>
              <w:top w:val="single" w:color="auto" w:sz="4" w:space="0"/>
              <w:left w:val="single" w:color="auto" w:sz="4" w:space="0"/>
              <w:bottom w:val="single" w:color="auto" w:sz="4" w:space="0"/>
              <w:right w:val="single" w:color="auto" w:sz="4" w:space="0"/>
            </w:tcBorders>
            <w:vAlign w:val="center"/>
          </w:tcPr>
          <w:p w14:paraId="7E997E33">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更换</w:t>
            </w:r>
          </w:p>
        </w:tc>
        <w:tc>
          <w:tcPr>
            <w:tcW w:w="847" w:type="dxa"/>
            <w:tcBorders>
              <w:top w:val="single" w:color="auto" w:sz="4" w:space="0"/>
              <w:left w:val="single" w:color="auto" w:sz="4" w:space="0"/>
              <w:bottom w:val="single" w:color="auto" w:sz="4" w:space="0"/>
              <w:right w:val="single" w:color="auto" w:sz="12" w:space="0"/>
            </w:tcBorders>
            <w:vAlign w:val="center"/>
          </w:tcPr>
          <w:p w14:paraId="0699F793">
            <w:pPr>
              <w:shd w:val="clear"/>
              <w:spacing w:line="240" w:lineRule="auto"/>
              <w:ind w:firstLine="0" w:firstLineChars="0"/>
              <w:jc w:val="center"/>
              <w:rPr>
                <w:rFonts w:ascii="Times New Roman" w:hAnsi="Times New Roman" w:cs="Times New Roman"/>
                <w:color w:val="auto"/>
                <w:sz w:val="21"/>
                <w:szCs w:val="21"/>
                <w:highlight w:val="none"/>
              </w:rPr>
            </w:pPr>
          </w:p>
        </w:tc>
      </w:tr>
      <w:tr w14:paraId="11FACA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844" w:type="dxa"/>
            <w:tcBorders>
              <w:top w:val="single" w:color="auto" w:sz="4" w:space="0"/>
              <w:left w:val="single" w:color="auto" w:sz="12" w:space="0"/>
              <w:bottom w:val="single" w:color="auto" w:sz="4" w:space="0"/>
              <w:right w:val="single" w:color="auto" w:sz="4" w:space="0"/>
            </w:tcBorders>
            <w:vAlign w:val="center"/>
          </w:tcPr>
          <w:p w14:paraId="79B522AD">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7</w:t>
            </w:r>
          </w:p>
        </w:tc>
        <w:tc>
          <w:tcPr>
            <w:tcW w:w="3651" w:type="dxa"/>
            <w:tcBorders>
              <w:top w:val="single" w:color="auto" w:sz="4" w:space="0"/>
              <w:left w:val="single" w:color="auto" w:sz="4" w:space="0"/>
              <w:bottom w:val="single" w:color="auto" w:sz="4" w:space="0"/>
              <w:right w:val="single" w:color="auto" w:sz="4" w:space="0"/>
            </w:tcBorders>
            <w:vAlign w:val="center"/>
          </w:tcPr>
          <w:p w14:paraId="4BEB094A">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安全阀</w:t>
            </w:r>
          </w:p>
        </w:tc>
        <w:tc>
          <w:tcPr>
            <w:tcW w:w="1203" w:type="dxa"/>
            <w:tcBorders>
              <w:top w:val="single" w:color="auto" w:sz="4" w:space="0"/>
              <w:left w:val="single" w:color="auto" w:sz="4" w:space="0"/>
              <w:bottom w:val="single" w:color="auto" w:sz="4" w:space="0"/>
              <w:right w:val="single" w:color="auto" w:sz="4" w:space="0"/>
            </w:tcBorders>
            <w:vAlign w:val="center"/>
          </w:tcPr>
          <w:p w14:paraId="7EA470A3">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1968" w:type="dxa"/>
            <w:tcBorders>
              <w:top w:val="single" w:color="auto" w:sz="4" w:space="0"/>
              <w:left w:val="single" w:color="auto" w:sz="4" w:space="0"/>
              <w:bottom w:val="single" w:color="auto" w:sz="4" w:space="0"/>
              <w:right w:val="single" w:color="auto" w:sz="4" w:space="0"/>
            </w:tcBorders>
            <w:vAlign w:val="center"/>
          </w:tcPr>
          <w:p w14:paraId="4233B842">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更换</w:t>
            </w:r>
          </w:p>
        </w:tc>
        <w:tc>
          <w:tcPr>
            <w:tcW w:w="847" w:type="dxa"/>
            <w:tcBorders>
              <w:top w:val="single" w:color="auto" w:sz="4" w:space="0"/>
              <w:left w:val="single" w:color="auto" w:sz="4" w:space="0"/>
              <w:bottom w:val="single" w:color="auto" w:sz="4" w:space="0"/>
              <w:right w:val="single" w:color="auto" w:sz="12" w:space="0"/>
            </w:tcBorders>
            <w:vAlign w:val="center"/>
          </w:tcPr>
          <w:p w14:paraId="33C8D3E4">
            <w:pPr>
              <w:shd w:val="clear"/>
              <w:spacing w:line="240" w:lineRule="auto"/>
              <w:ind w:firstLine="0" w:firstLineChars="0"/>
              <w:jc w:val="center"/>
              <w:rPr>
                <w:rFonts w:ascii="Times New Roman" w:hAnsi="Times New Roman" w:cs="Times New Roman"/>
                <w:color w:val="auto"/>
                <w:sz w:val="21"/>
                <w:szCs w:val="21"/>
                <w:highlight w:val="none"/>
              </w:rPr>
            </w:pPr>
          </w:p>
        </w:tc>
      </w:tr>
      <w:tr w14:paraId="5AA1F4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844" w:type="dxa"/>
            <w:tcBorders>
              <w:top w:val="single" w:color="auto" w:sz="4" w:space="0"/>
              <w:left w:val="single" w:color="auto" w:sz="12" w:space="0"/>
              <w:bottom w:val="single" w:color="auto" w:sz="4" w:space="0"/>
              <w:right w:val="single" w:color="auto" w:sz="4" w:space="0"/>
            </w:tcBorders>
            <w:vAlign w:val="center"/>
          </w:tcPr>
          <w:p w14:paraId="260F8D6D">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w:t>
            </w:r>
          </w:p>
        </w:tc>
        <w:tc>
          <w:tcPr>
            <w:tcW w:w="3651" w:type="dxa"/>
            <w:tcBorders>
              <w:top w:val="single" w:color="auto" w:sz="4" w:space="0"/>
              <w:left w:val="single" w:color="auto" w:sz="4" w:space="0"/>
              <w:bottom w:val="single" w:color="auto" w:sz="4" w:space="0"/>
              <w:right w:val="single" w:color="auto" w:sz="4" w:space="0"/>
            </w:tcBorders>
            <w:vAlign w:val="center"/>
          </w:tcPr>
          <w:p w14:paraId="78DA5531">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DN200手动蝶阀</w:t>
            </w:r>
          </w:p>
        </w:tc>
        <w:tc>
          <w:tcPr>
            <w:tcW w:w="1203" w:type="dxa"/>
            <w:tcBorders>
              <w:top w:val="single" w:color="auto" w:sz="4" w:space="0"/>
              <w:left w:val="single" w:color="auto" w:sz="4" w:space="0"/>
              <w:bottom w:val="single" w:color="auto" w:sz="4" w:space="0"/>
              <w:right w:val="single" w:color="auto" w:sz="4" w:space="0"/>
            </w:tcBorders>
            <w:vAlign w:val="center"/>
          </w:tcPr>
          <w:p w14:paraId="0260E894">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1968" w:type="dxa"/>
            <w:tcBorders>
              <w:top w:val="single" w:color="auto" w:sz="4" w:space="0"/>
              <w:left w:val="single" w:color="auto" w:sz="4" w:space="0"/>
              <w:bottom w:val="single" w:color="auto" w:sz="4" w:space="0"/>
              <w:right w:val="single" w:color="auto" w:sz="4" w:space="0"/>
            </w:tcBorders>
            <w:vAlign w:val="center"/>
          </w:tcPr>
          <w:p w14:paraId="072F5EB4">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更换</w:t>
            </w:r>
          </w:p>
        </w:tc>
        <w:tc>
          <w:tcPr>
            <w:tcW w:w="847" w:type="dxa"/>
            <w:tcBorders>
              <w:top w:val="single" w:color="auto" w:sz="4" w:space="0"/>
              <w:left w:val="single" w:color="auto" w:sz="4" w:space="0"/>
              <w:bottom w:val="single" w:color="auto" w:sz="4" w:space="0"/>
              <w:right w:val="single" w:color="auto" w:sz="12" w:space="0"/>
            </w:tcBorders>
            <w:vAlign w:val="center"/>
          </w:tcPr>
          <w:p w14:paraId="771C3FC9">
            <w:pPr>
              <w:shd w:val="clear"/>
              <w:spacing w:line="240" w:lineRule="auto"/>
              <w:ind w:firstLine="0" w:firstLineChars="0"/>
              <w:jc w:val="center"/>
              <w:rPr>
                <w:rFonts w:ascii="Times New Roman" w:hAnsi="Times New Roman" w:cs="Times New Roman"/>
                <w:color w:val="auto"/>
                <w:sz w:val="21"/>
                <w:szCs w:val="21"/>
                <w:highlight w:val="none"/>
              </w:rPr>
            </w:pPr>
          </w:p>
        </w:tc>
      </w:tr>
      <w:tr w14:paraId="29E714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844" w:type="dxa"/>
            <w:tcBorders>
              <w:top w:val="single" w:color="auto" w:sz="4" w:space="0"/>
              <w:left w:val="single" w:color="auto" w:sz="12" w:space="0"/>
              <w:bottom w:val="single" w:color="auto" w:sz="4" w:space="0"/>
              <w:right w:val="single" w:color="auto" w:sz="4" w:space="0"/>
            </w:tcBorders>
            <w:vAlign w:val="center"/>
          </w:tcPr>
          <w:p w14:paraId="69638894">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9</w:t>
            </w:r>
          </w:p>
        </w:tc>
        <w:tc>
          <w:tcPr>
            <w:tcW w:w="3651" w:type="dxa"/>
            <w:tcBorders>
              <w:top w:val="single" w:color="auto" w:sz="4" w:space="0"/>
              <w:left w:val="single" w:color="auto" w:sz="4" w:space="0"/>
              <w:bottom w:val="single" w:color="auto" w:sz="4" w:space="0"/>
              <w:right w:val="single" w:color="auto" w:sz="4" w:space="0"/>
            </w:tcBorders>
            <w:vAlign w:val="center"/>
          </w:tcPr>
          <w:p w14:paraId="4C806793">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DN200手动盲板阀</w:t>
            </w:r>
          </w:p>
        </w:tc>
        <w:tc>
          <w:tcPr>
            <w:tcW w:w="1203" w:type="dxa"/>
            <w:tcBorders>
              <w:top w:val="single" w:color="auto" w:sz="4" w:space="0"/>
              <w:left w:val="single" w:color="auto" w:sz="4" w:space="0"/>
              <w:bottom w:val="single" w:color="auto" w:sz="4" w:space="0"/>
              <w:right w:val="single" w:color="auto" w:sz="4" w:space="0"/>
            </w:tcBorders>
            <w:vAlign w:val="center"/>
          </w:tcPr>
          <w:p w14:paraId="21134B12">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1968" w:type="dxa"/>
            <w:tcBorders>
              <w:top w:val="single" w:color="auto" w:sz="4" w:space="0"/>
              <w:left w:val="single" w:color="auto" w:sz="4" w:space="0"/>
              <w:bottom w:val="single" w:color="auto" w:sz="4" w:space="0"/>
              <w:right w:val="single" w:color="auto" w:sz="4" w:space="0"/>
            </w:tcBorders>
            <w:vAlign w:val="center"/>
          </w:tcPr>
          <w:p w14:paraId="01383D02">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更换</w:t>
            </w:r>
          </w:p>
        </w:tc>
        <w:tc>
          <w:tcPr>
            <w:tcW w:w="847" w:type="dxa"/>
            <w:tcBorders>
              <w:top w:val="single" w:color="auto" w:sz="4" w:space="0"/>
              <w:left w:val="single" w:color="auto" w:sz="4" w:space="0"/>
              <w:bottom w:val="single" w:color="auto" w:sz="4" w:space="0"/>
              <w:right w:val="single" w:color="auto" w:sz="12" w:space="0"/>
            </w:tcBorders>
            <w:vAlign w:val="center"/>
          </w:tcPr>
          <w:p w14:paraId="6C7813BF">
            <w:pPr>
              <w:shd w:val="clear"/>
              <w:spacing w:line="240" w:lineRule="auto"/>
              <w:ind w:firstLine="0" w:firstLineChars="0"/>
              <w:jc w:val="center"/>
              <w:rPr>
                <w:rFonts w:ascii="Times New Roman" w:hAnsi="Times New Roman" w:cs="Times New Roman"/>
                <w:color w:val="auto"/>
                <w:sz w:val="21"/>
                <w:szCs w:val="21"/>
                <w:highlight w:val="none"/>
              </w:rPr>
            </w:pPr>
          </w:p>
        </w:tc>
      </w:tr>
      <w:tr w14:paraId="0CDEF8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844" w:type="dxa"/>
            <w:tcBorders>
              <w:top w:val="single" w:color="auto" w:sz="4" w:space="0"/>
              <w:left w:val="single" w:color="auto" w:sz="12" w:space="0"/>
              <w:bottom w:val="single" w:color="auto" w:sz="4" w:space="0"/>
              <w:right w:val="single" w:color="auto" w:sz="4" w:space="0"/>
            </w:tcBorders>
            <w:vAlign w:val="center"/>
          </w:tcPr>
          <w:p w14:paraId="18ABFE10">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w:t>
            </w:r>
          </w:p>
        </w:tc>
        <w:tc>
          <w:tcPr>
            <w:tcW w:w="3651" w:type="dxa"/>
            <w:tcBorders>
              <w:top w:val="single" w:color="auto" w:sz="4" w:space="0"/>
              <w:left w:val="single" w:color="auto" w:sz="4" w:space="0"/>
              <w:bottom w:val="single" w:color="auto" w:sz="4" w:space="0"/>
              <w:right w:val="single" w:color="auto" w:sz="4" w:space="0"/>
            </w:tcBorders>
            <w:vAlign w:val="center"/>
          </w:tcPr>
          <w:p w14:paraId="5C57986B">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DN300手动盲板阀</w:t>
            </w:r>
          </w:p>
        </w:tc>
        <w:tc>
          <w:tcPr>
            <w:tcW w:w="1203" w:type="dxa"/>
            <w:tcBorders>
              <w:top w:val="single" w:color="auto" w:sz="4" w:space="0"/>
              <w:left w:val="single" w:color="auto" w:sz="4" w:space="0"/>
              <w:bottom w:val="single" w:color="auto" w:sz="4" w:space="0"/>
              <w:right w:val="single" w:color="auto" w:sz="4" w:space="0"/>
            </w:tcBorders>
            <w:vAlign w:val="center"/>
          </w:tcPr>
          <w:p w14:paraId="74692689">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1968" w:type="dxa"/>
            <w:tcBorders>
              <w:top w:val="single" w:color="auto" w:sz="4" w:space="0"/>
              <w:left w:val="single" w:color="auto" w:sz="4" w:space="0"/>
              <w:bottom w:val="single" w:color="auto" w:sz="4" w:space="0"/>
              <w:right w:val="single" w:color="auto" w:sz="4" w:space="0"/>
            </w:tcBorders>
            <w:vAlign w:val="center"/>
          </w:tcPr>
          <w:p w14:paraId="21EE3EFF">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更换</w:t>
            </w:r>
          </w:p>
        </w:tc>
        <w:tc>
          <w:tcPr>
            <w:tcW w:w="847" w:type="dxa"/>
            <w:tcBorders>
              <w:top w:val="single" w:color="auto" w:sz="4" w:space="0"/>
              <w:left w:val="single" w:color="auto" w:sz="4" w:space="0"/>
              <w:bottom w:val="single" w:color="auto" w:sz="4" w:space="0"/>
              <w:right w:val="single" w:color="auto" w:sz="12" w:space="0"/>
            </w:tcBorders>
            <w:vAlign w:val="center"/>
          </w:tcPr>
          <w:p w14:paraId="68398D06">
            <w:pPr>
              <w:shd w:val="clear"/>
              <w:spacing w:line="240" w:lineRule="auto"/>
              <w:ind w:firstLine="0" w:firstLineChars="0"/>
              <w:jc w:val="center"/>
              <w:rPr>
                <w:rFonts w:ascii="Times New Roman" w:hAnsi="Times New Roman" w:cs="Times New Roman"/>
                <w:color w:val="auto"/>
                <w:sz w:val="21"/>
                <w:szCs w:val="21"/>
                <w:highlight w:val="none"/>
              </w:rPr>
            </w:pPr>
          </w:p>
        </w:tc>
      </w:tr>
      <w:tr w14:paraId="1F6D2B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844" w:type="dxa"/>
            <w:tcBorders>
              <w:top w:val="single" w:color="auto" w:sz="4" w:space="0"/>
              <w:left w:val="single" w:color="auto" w:sz="12" w:space="0"/>
              <w:bottom w:val="single" w:color="auto" w:sz="4" w:space="0"/>
              <w:right w:val="single" w:color="auto" w:sz="4" w:space="0"/>
            </w:tcBorders>
            <w:vAlign w:val="center"/>
          </w:tcPr>
          <w:p w14:paraId="7F2BB276">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w:t>
            </w:r>
          </w:p>
        </w:tc>
        <w:tc>
          <w:tcPr>
            <w:tcW w:w="3651" w:type="dxa"/>
            <w:tcBorders>
              <w:top w:val="single" w:color="auto" w:sz="4" w:space="0"/>
              <w:left w:val="single" w:color="auto" w:sz="4" w:space="0"/>
              <w:bottom w:val="single" w:color="auto" w:sz="4" w:space="0"/>
              <w:right w:val="single" w:color="auto" w:sz="4" w:space="0"/>
            </w:tcBorders>
            <w:vAlign w:val="center"/>
          </w:tcPr>
          <w:p w14:paraId="77238370">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小旋风除尘器</w:t>
            </w:r>
          </w:p>
        </w:tc>
        <w:tc>
          <w:tcPr>
            <w:tcW w:w="1203" w:type="dxa"/>
            <w:tcBorders>
              <w:top w:val="single" w:color="auto" w:sz="4" w:space="0"/>
              <w:left w:val="single" w:color="auto" w:sz="4" w:space="0"/>
              <w:bottom w:val="single" w:color="auto" w:sz="4" w:space="0"/>
              <w:right w:val="single" w:color="auto" w:sz="4" w:space="0"/>
            </w:tcBorders>
            <w:vAlign w:val="center"/>
          </w:tcPr>
          <w:p w14:paraId="2E96620D">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1968" w:type="dxa"/>
            <w:tcBorders>
              <w:top w:val="single" w:color="auto" w:sz="4" w:space="0"/>
              <w:left w:val="single" w:color="auto" w:sz="4" w:space="0"/>
              <w:bottom w:val="single" w:color="auto" w:sz="4" w:space="0"/>
              <w:right w:val="single" w:color="auto" w:sz="4" w:space="0"/>
            </w:tcBorders>
            <w:vAlign w:val="center"/>
          </w:tcPr>
          <w:p w14:paraId="43E833FC">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更换</w:t>
            </w:r>
          </w:p>
        </w:tc>
        <w:tc>
          <w:tcPr>
            <w:tcW w:w="847" w:type="dxa"/>
            <w:tcBorders>
              <w:top w:val="single" w:color="auto" w:sz="4" w:space="0"/>
              <w:left w:val="single" w:color="auto" w:sz="4" w:space="0"/>
              <w:bottom w:val="single" w:color="auto" w:sz="4" w:space="0"/>
              <w:right w:val="single" w:color="auto" w:sz="12" w:space="0"/>
            </w:tcBorders>
            <w:vAlign w:val="center"/>
          </w:tcPr>
          <w:p w14:paraId="7C433E45">
            <w:pPr>
              <w:shd w:val="clear"/>
              <w:spacing w:line="240" w:lineRule="auto"/>
              <w:ind w:firstLine="0" w:firstLineChars="0"/>
              <w:jc w:val="center"/>
              <w:rPr>
                <w:rFonts w:ascii="Times New Roman" w:hAnsi="Times New Roman" w:cs="Times New Roman"/>
                <w:color w:val="auto"/>
                <w:sz w:val="21"/>
                <w:szCs w:val="21"/>
                <w:highlight w:val="none"/>
              </w:rPr>
            </w:pPr>
          </w:p>
        </w:tc>
      </w:tr>
      <w:tr w14:paraId="0412CF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844" w:type="dxa"/>
            <w:tcBorders>
              <w:top w:val="single" w:color="auto" w:sz="4" w:space="0"/>
              <w:left w:val="single" w:color="auto" w:sz="12" w:space="0"/>
              <w:bottom w:val="single" w:color="auto" w:sz="4" w:space="0"/>
              <w:right w:val="single" w:color="auto" w:sz="4" w:space="0"/>
            </w:tcBorders>
            <w:vAlign w:val="center"/>
          </w:tcPr>
          <w:p w14:paraId="1BA970F4">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12</w:t>
            </w:r>
          </w:p>
        </w:tc>
        <w:tc>
          <w:tcPr>
            <w:tcW w:w="3651" w:type="dxa"/>
            <w:tcBorders>
              <w:top w:val="single" w:color="auto" w:sz="4" w:space="0"/>
              <w:left w:val="single" w:color="auto" w:sz="4" w:space="0"/>
              <w:bottom w:val="single" w:color="auto" w:sz="4" w:space="0"/>
              <w:right w:val="single" w:color="auto" w:sz="4" w:space="0"/>
            </w:tcBorders>
            <w:vAlign w:val="center"/>
          </w:tcPr>
          <w:p w14:paraId="40837DEB">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消音器</w:t>
            </w:r>
          </w:p>
        </w:tc>
        <w:tc>
          <w:tcPr>
            <w:tcW w:w="1203" w:type="dxa"/>
            <w:tcBorders>
              <w:top w:val="single" w:color="auto" w:sz="4" w:space="0"/>
              <w:left w:val="single" w:color="auto" w:sz="4" w:space="0"/>
              <w:bottom w:val="single" w:color="auto" w:sz="4" w:space="0"/>
              <w:right w:val="single" w:color="auto" w:sz="4" w:space="0"/>
            </w:tcBorders>
            <w:vAlign w:val="center"/>
          </w:tcPr>
          <w:p w14:paraId="110C1F43">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1968" w:type="dxa"/>
            <w:tcBorders>
              <w:top w:val="single" w:color="auto" w:sz="4" w:space="0"/>
              <w:left w:val="single" w:color="auto" w:sz="4" w:space="0"/>
              <w:bottom w:val="single" w:color="auto" w:sz="4" w:space="0"/>
              <w:right w:val="single" w:color="auto" w:sz="4" w:space="0"/>
            </w:tcBorders>
            <w:vAlign w:val="center"/>
          </w:tcPr>
          <w:p w14:paraId="10A742BC">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更换</w:t>
            </w:r>
          </w:p>
        </w:tc>
        <w:tc>
          <w:tcPr>
            <w:tcW w:w="847" w:type="dxa"/>
            <w:tcBorders>
              <w:top w:val="single" w:color="auto" w:sz="4" w:space="0"/>
              <w:left w:val="single" w:color="auto" w:sz="4" w:space="0"/>
              <w:bottom w:val="single" w:color="auto" w:sz="4" w:space="0"/>
              <w:right w:val="single" w:color="auto" w:sz="12" w:space="0"/>
            </w:tcBorders>
            <w:vAlign w:val="center"/>
          </w:tcPr>
          <w:p w14:paraId="6B665258">
            <w:pPr>
              <w:shd w:val="clear"/>
              <w:spacing w:line="240" w:lineRule="auto"/>
              <w:ind w:firstLine="0" w:firstLineChars="0"/>
              <w:jc w:val="center"/>
              <w:rPr>
                <w:rFonts w:ascii="Times New Roman" w:hAnsi="Times New Roman" w:cs="Times New Roman"/>
                <w:color w:val="auto"/>
                <w:sz w:val="21"/>
                <w:szCs w:val="21"/>
                <w:highlight w:val="none"/>
              </w:rPr>
            </w:pPr>
          </w:p>
        </w:tc>
      </w:tr>
      <w:tr w14:paraId="17BD4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844" w:type="dxa"/>
            <w:tcBorders>
              <w:top w:val="single" w:color="auto" w:sz="4" w:space="0"/>
              <w:left w:val="single" w:color="auto" w:sz="12" w:space="0"/>
              <w:bottom w:val="single" w:color="auto" w:sz="4" w:space="0"/>
              <w:right w:val="single" w:color="auto" w:sz="4" w:space="0"/>
            </w:tcBorders>
            <w:vAlign w:val="center"/>
          </w:tcPr>
          <w:p w14:paraId="2AAAAC99">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13</w:t>
            </w:r>
          </w:p>
        </w:tc>
        <w:tc>
          <w:tcPr>
            <w:tcW w:w="3651" w:type="dxa"/>
            <w:tcBorders>
              <w:top w:val="single" w:color="auto" w:sz="4" w:space="0"/>
              <w:left w:val="single" w:color="auto" w:sz="4" w:space="0"/>
              <w:bottom w:val="single" w:color="auto" w:sz="4" w:space="0"/>
              <w:right w:val="single" w:color="auto" w:sz="4" w:space="0"/>
            </w:tcBorders>
            <w:vAlign w:val="center"/>
          </w:tcPr>
          <w:p w14:paraId="67B41C31">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轴向波纹补偿器</w:t>
            </w:r>
          </w:p>
        </w:tc>
        <w:tc>
          <w:tcPr>
            <w:tcW w:w="1203" w:type="dxa"/>
            <w:tcBorders>
              <w:top w:val="single" w:color="auto" w:sz="4" w:space="0"/>
              <w:left w:val="single" w:color="auto" w:sz="4" w:space="0"/>
              <w:bottom w:val="single" w:color="auto" w:sz="4" w:space="0"/>
              <w:right w:val="single" w:color="auto" w:sz="4" w:space="0"/>
            </w:tcBorders>
            <w:vAlign w:val="center"/>
          </w:tcPr>
          <w:p w14:paraId="76B4CAE1">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若干</w:t>
            </w:r>
          </w:p>
        </w:tc>
        <w:tc>
          <w:tcPr>
            <w:tcW w:w="1968" w:type="dxa"/>
            <w:tcBorders>
              <w:top w:val="single" w:color="auto" w:sz="4" w:space="0"/>
              <w:left w:val="single" w:color="auto" w:sz="4" w:space="0"/>
              <w:bottom w:val="single" w:color="auto" w:sz="4" w:space="0"/>
              <w:right w:val="single" w:color="auto" w:sz="4" w:space="0"/>
            </w:tcBorders>
            <w:vAlign w:val="center"/>
          </w:tcPr>
          <w:p w14:paraId="5787120A">
            <w:pPr>
              <w:shd w:val="clea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更换</w:t>
            </w:r>
          </w:p>
        </w:tc>
        <w:tc>
          <w:tcPr>
            <w:tcW w:w="847" w:type="dxa"/>
            <w:tcBorders>
              <w:top w:val="single" w:color="auto" w:sz="4" w:space="0"/>
              <w:left w:val="single" w:color="auto" w:sz="4" w:space="0"/>
              <w:bottom w:val="single" w:color="auto" w:sz="4" w:space="0"/>
              <w:right w:val="single" w:color="auto" w:sz="12" w:space="0"/>
            </w:tcBorders>
            <w:vAlign w:val="center"/>
          </w:tcPr>
          <w:p w14:paraId="6819B580">
            <w:pPr>
              <w:shd w:val="clear"/>
              <w:spacing w:line="240" w:lineRule="auto"/>
              <w:ind w:firstLine="0" w:firstLineChars="0"/>
              <w:jc w:val="center"/>
              <w:rPr>
                <w:rFonts w:ascii="Times New Roman" w:hAnsi="Times New Roman" w:cs="Times New Roman"/>
                <w:color w:val="auto"/>
                <w:sz w:val="21"/>
                <w:szCs w:val="21"/>
                <w:highlight w:val="none"/>
              </w:rPr>
            </w:pPr>
          </w:p>
        </w:tc>
      </w:tr>
    </w:tbl>
    <w:p w14:paraId="4E66CC14">
      <w:pPr>
        <w:shd w:val="clear"/>
        <w:jc w:val="both"/>
        <w:rPr>
          <w:rFonts w:ascii="Times New Roman" w:hAnsi="Times New Roman"/>
          <w:color w:val="auto"/>
          <w:highlight w:val="none"/>
        </w:rPr>
      </w:pPr>
      <w:r>
        <w:rPr>
          <w:rFonts w:ascii="Times New Roman" w:hAnsi="Times New Roman"/>
          <w:color w:val="auto"/>
          <w:highlight w:val="none"/>
        </w:rPr>
        <w:t>说明：本次2号高炉优化升级改造后，炉顶</w:t>
      </w:r>
      <w:r>
        <w:rPr>
          <w:rFonts w:hint="eastAsia" w:ascii="Times New Roman" w:hAnsi="Times New Roman"/>
          <w:color w:val="auto"/>
          <w:highlight w:val="none"/>
        </w:rPr>
        <w:t>工作</w:t>
      </w:r>
      <w:r>
        <w:rPr>
          <w:rFonts w:ascii="Times New Roman" w:hAnsi="Times New Roman"/>
          <w:color w:val="auto"/>
          <w:highlight w:val="none"/>
        </w:rPr>
        <w:t>压力</w:t>
      </w:r>
      <w:r>
        <w:rPr>
          <w:rFonts w:hint="eastAsia" w:ascii="Times New Roman" w:hAnsi="Times New Roman"/>
          <w:color w:val="auto"/>
          <w:highlight w:val="none"/>
        </w:rPr>
        <w:t>提高至</w:t>
      </w:r>
      <w:r>
        <w:rPr>
          <w:rFonts w:ascii="Times New Roman" w:hAnsi="Times New Roman"/>
          <w:color w:val="auto"/>
          <w:highlight w:val="none"/>
        </w:rPr>
        <w:t>0.175MPa。本次改造更换的设备设计压力按0.2MPa考虑，满足顶压提高</w:t>
      </w:r>
      <w:r>
        <w:rPr>
          <w:rFonts w:hint="eastAsia" w:ascii="Times New Roman" w:hAnsi="Times New Roman"/>
          <w:color w:val="auto"/>
          <w:highlight w:val="none"/>
        </w:rPr>
        <w:t>后</w:t>
      </w:r>
      <w:r>
        <w:rPr>
          <w:rFonts w:ascii="Times New Roman" w:hAnsi="Times New Roman"/>
          <w:color w:val="auto"/>
          <w:highlight w:val="none"/>
        </w:rPr>
        <w:t>的要求。</w:t>
      </w:r>
      <w:r>
        <w:rPr>
          <w:rFonts w:hint="eastAsia" w:ascii="Times New Roman" w:hAnsi="Times New Roman"/>
          <w:color w:val="auto"/>
          <w:highlight w:val="none"/>
        </w:rPr>
        <w:t>利旧阀门的由业主下线进行维护，新换阀门由本项目拆除安装。</w:t>
      </w:r>
    </w:p>
    <w:p w14:paraId="4E00DB5B">
      <w:pPr>
        <w:shd w:val="clear"/>
        <w:ind w:firstLine="0" w:firstLineChars="0"/>
        <w:outlineLvl w:val="2"/>
        <w:rPr>
          <w:rFonts w:cs="Times New Roman"/>
          <w:color w:val="auto"/>
          <w:szCs w:val="28"/>
          <w:highlight w:val="none"/>
        </w:rPr>
      </w:pPr>
      <w:bookmarkStart w:id="218" w:name="_Toc18241"/>
      <w:r>
        <w:rPr>
          <w:rFonts w:hint="eastAsia" w:cs="Times New Roman"/>
          <w:color w:val="auto"/>
          <w:szCs w:val="28"/>
          <w:highlight w:val="none"/>
        </w:rPr>
        <w:t>2.4.4 均压煤气回收</w:t>
      </w:r>
      <w:bookmarkEnd w:id="218"/>
    </w:p>
    <w:p w14:paraId="15C77864">
      <w:pPr>
        <w:shd w:val="clear"/>
        <w:ind w:firstLine="0" w:firstLineChars="0"/>
        <w:outlineLvl w:val="3"/>
        <w:rPr>
          <w:color w:val="auto"/>
          <w:highlight w:val="none"/>
        </w:rPr>
      </w:pPr>
      <w:bookmarkStart w:id="219" w:name="_Toc3858"/>
      <w:bookmarkStart w:id="220" w:name="_Toc458154091"/>
      <w:bookmarkStart w:id="221" w:name="_Toc6872"/>
      <w:r>
        <w:rPr>
          <w:rFonts w:hint="eastAsia"/>
          <w:color w:val="auto"/>
          <w:highlight w:val="none"/>
        </w:rPr>
        <w:t>2.4.4.1工艺流程</w:t>
      </w:r>
      <w:bookmarkEnd w:id="219"/>
    </w:p>
    <w:p w14:paraId="140C0C1C">
      <w:pPr>
        <w:shd w:val="clear"/>
        <w:rPr>
          <w:color w:val="auto"/>
          <w:highlight w:val="none"/>
        </w:rPr>
      </w:pPr>
      <w:r>
        <w:rPr>
          <w:rFonts w:hint="eastAsia"/>
          <w:color w:val="auto"/>
          <w:highlight w:val="none"/>
        </w:rPr>
        <w:t>全回收工艺采用自然回收+引射器的工艺，目前有前引射和后引射两种引射工艺，对比如下：</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4051"/>
        <w:gridCol w:w="2842"/>
      </w:tblGrid>
      <w:tr w14:paraId="14D08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6" w:type="dxa"/>
            <w:vAlign w:val="center"/>
          </w:tcPr>
          <w:p w14:paraId="3A1081E4">
            <w:pPr>
              <w:shd w:val="clear"/>
              <w:jc w:val="center"/>
              <w:rPr>
                <w:rFonts w:ascii="Times New Roman" w:hAnsi="Times New Roman"/>
                <w:color w:val="auto"/>
                <w:highlight w:val="none"/>
              </w:rPr>
            </w:pPr>
          </w:p>
        </w:tc>
        <w:tc>
          <w:tcPr>
            <w:tcW w:w="4051" w:type="dxa"/>
            <w:vAlign w:val="center"/>
          </w:tcPr>
          <w:p w14:paraId="1C8756EC">
            <w:pPr>
              <w:shd w:val="clear"/>
              <w:ind w:firstLine="0" w:firstLineChars="0"/>
              <w:jc w:val="center"/>
              <w:rPr>
                <w:rFonts w:ascii="Times New Roman" w:hAnsi="Times New Roman"/>
                <w:color w:val="auto"/>
                <w:highlight w:val="none"/>
              </w:rPr>
            </w:pPr>
            <w:r>
              <w:rPr>
                <w:rFonts w:hint="eastAsia" w:ascii="Times New Roman" w:hAnsi="Times New Roman"/>
                <w:color w:val="auto"/>
                <w:highlight w:val="none"/>
              </w:rPr>
              <w:t>回收时间及效果</w:t>
            </w:r>
          </w:p>
        </w:tc>
        <w:tc>
          <w:tcPr>
            <w:tcW w:w="2842" w:type="dxa"/>
            <w:vAlign w:val="center"/>
          </w:tcPr>
          <w:p w14:paraId="579E6B8B">
            <w:pPr>
              <w:shd w:val="clear"/>
              <w:ind w:firstLine="0" w:firstLineChars="0"/>
              <w:jc w:val="center"/>
              <w:rPr>
                <w:rFonts w:ascii="Times New Roman" w:hAnsi="Times New Roman"/>
                <w:color w:val="auto"/>
                <w:highlight w:val="none"/>
              </w:rPr>
            </w:pPr>
            <w:r>
              <w:rPr>
                <w:rFonts w:hint="eastAsia" w:ascii="Times New Roman" w:hAnsi="Times New Roman"/>
                <w:color w:val="auto"/>
                <w:highlight w:val="none"/>
              </w:rPr>
              <w:t>建设难度</w:t>
            </w:r>
          </w:p>
        </w:tc>
      </w:tr>
      <w:tr w14:paraId="4FAB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6" w:type="dxa"/>
            <w:vAlign w:val="center"/>
          </w:tcPr>
          <w:p w14:paraId="3C798701">
            <w:pPr>
              <w:shd w:val="clear"/>
              <w:ind w:firstLine="0" w:firstLineChars="0"/>
              <w:jc w:val="center"/>
              <w:rPr>
                <w:rFonts w:ascii="Times New Roman" w:hAnsi="Times New Roman"/>
                <w:color w:val="auto"/>
                <w:highlight w:val="none"/>
              </w:rPr>
            </w:pPr>
            <w:r>
              <w:rPr>
                <w:rFonts w:hint="eastAsia" w:ascii="Times New Roman" w:hAnsi="Times New Roman"/>
                <w:color w:val="auto"/>
                <w:highlight w:val="none"/>
              </w:rPr>
              <w:t>前引射</w:t>
            </w:r>
          </w:p>
        </w:tc>
        <w:tc>
          <w:tcPr>
            <w:tcW w:w="4051" w:type="dxa"/>
          </w:tcPr>
          <w:p w14:paraId="629F7EB6">
            <w:pPr>
              <w:shd w:val="clear"/>
              <w:jc w:val="both"/>
              <w:rPr>
                <w:rFonts w:ascii="Times New Roman" w:hAnsi="Times New Roman"/>
                <w:color w:val="auto"/>
                <w:highlight w:val="none"/>
              </w:rPr>
            </w:pPr>
            <w:r>
              <w:rPr>
                <w:rFonts w:hint="eastAsia" w:ascii="Times New Roman" w:hAnsi="Times New Roman"/>
                <w:color w:val="auto"/>
                <w:highlight w:val="none"/>
              </w:rPr>
              <w:t>引射器靠近料罐，为了提高回收时间，当引射阀早开后，两股高压煤气混合造成紊流，对回收效果不利。当压力降低到后期时，再开引射，回收时间势必延长。</w:t>
            </w:r>
          </w:p>
        </w:tc>
        <w:tc>
          <w:tcPr>
            <w:tcW w:w="2842" w:type="dxa"/>
          </w:tcPr>
          <w:p w14:paraId="2ECD1597">
            <w:pPr>
              <w:shd w:val="clear"/>
              <w:jc w:val="both"/>
              <w:rPr>
                <w:rFonts w:ascii="Times New Roman" w:hAnsi="Times New Roman"/>
                <w:color w:val="auto"/>
                <w:highlight w:val="none"/>
              </w:rPr>
            </w:pPr>
            <w:r>
              <w:rPr>
                <w:rFonts w:hint="eastAsia" w:ascii="Times New Roman" w:hAnsi="Times New Roman"/>
                <w:color w:val="auto"/>
                <w:highlight w:val="none"/>
              </w:rPr>
              <w:t>在炉顶布置引射器及引射阀组，较为占用炉顶空间，炉顶空间有限不易布置，炉顶平台高度较高，需要用大型吊车，建设难度大较大</w:t>
            </w:r>
          </w:p>
        </w:tc>
      </w:tr>
      <w:tr w14:paraId="0880A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6" w:type="dxa"/>
            <w:vAlign w:val="center"/>
          </w:tcPr>
          <w:p w14:paraId="5964729E">
            <w:pPr>
              <w:shd w:val="clear"/>
              <w:ind w:firstLine="0" w:firstLineChars="0"/>
              <w:jc w:val="center"/>
              <w:rPr>
                <w:rFonts w:ascii="Times New Roman" w:hAnsi="Times New Roman"/>
                <w:color w:val="auto"/>
                <w:highlight w:val="none"/>
              </w:rPr>
            </w:pPr>
            <w:r>
              <w:rPr>
                <w:rFonts w:hint="eastAsia" w:ascii="Times New Roman" w:hAnsi="Times New Roman"/>
                <w:color w:val="auto"/>
                <w:highlight w:val="none"/>
              </w:rPr>
              <w:t>后引射</w:t>
            </w:r>
          </w:p>
        </w:tc>
        <w:tc>
          <w:tcPr>
            <w:tcW w:w="4051" w:type="dxa"/>
          </w:tcPr>
          <w:p w14:paraId="57A1A594">
            <w:pPr>
              <w:shd w:val="clear"/>
              <w:jc w:val="both"/>
              <w:rPr>
                <w:rFonts w:ascii="Times New Roman" w:hAnsi="Times New Roman"/>
                <w:color w:val="auto"/>
                <w:highlight w:val="none"/>
              </w:rPr>
            </w:pPr>
            <w:r>
              <w:rPr>
                <w:rFonts w:hint="eastAsia" w:ascii="Times New Roman" w:hAnsi="Times New Roman"/>
                <w:color w:val="auto"/>
                <w:highlight w:val="none"/>
              </w:rPr>
              <w:t>引射器靠近管网，引射阀可以早开启，将管道内压力降低，料罐压力迅速释放，回收时间较短；并且引射器出口需要更多空间升压及降噪，靠近管网更为有利。</w:t>
            </w:r>
          </w:p>
        </w:tc>
        <w:tc>
          <w:tcPr>
            <w:tcW w:w="2842" w:type="dxa"/>
          </w:tcPr>
          <w:p w14:paraId="0A3CE2BA">
            <w:pPr>
              <w:shd w:val="clear"/>
              <w:jc w:val="both"/>
              <w:rPr>
                <w:rFonts w:ascii="Times New Roman" w:hAnsi="Times New Roman"/>
                <w:color w:val="auto"/>
                <w:highlight w:val="none"/>
              </w:rPr>
            </w:pPr>
            <w:r>
              <w:rPr>
                <w:rFonts w:hint="eastAsia" w:ascii="Times New Roman" w:hAnsi="Times New Roman"/>
                <w:color w:val="auto"/>
                <w:highlight w:val="none"/>
              </w:rPr>
              <w:t>在并网处布置引射器及引射阀组，空间较为充足，容易布置，安装，并网处平台高度较低，安装难度较小</w:t>
            </w:r>
          </w:p>
        </w:tc>
      </w:tr>
    </w:tbl>
    <w:p w14:paraId="2BB55613">
      <w:pPr>
        <w:shd w:val="clear"/>
        <w:rPr>
          <w:color w:val="auto"/>
          <w:highlight w:val="none"/>
        </w:rPr>
      </w:pPr>
      <w:r>
        <w:rPr>
          <w:rFonts w:hint="eastAsia"/>
          <w:color w:val="auto"/>
          <w:highlight w:val="none"/>
        </w:rPr>
        <w:t>为了保证回收时间更短，推荐采用后引射法。具体工艺流程如下：</w:t>
      </w:r>
    </w:p>
    <w:p w14:paraId="2BCA46DA">
      <w:pPr>
        <w:shd w:val="clear"/>
        <w:adjustRightInd w:val="0"/>
        <w:spacing w:line="312" w:lineRule="auto"/>
        <w:jc w:val="both"/>
        <w:rPr>
          <w:rFonts w:cs="Times New Roman"/>
          <w:color w:val="auto"/>
          <w:highlight w:val="none"/>
        </w:rPr>
      </w:pPr>
      <w:r>
        <w:rPr>
          <w:rFonts w:hint="eastAsia" w:cs="Times New Roman"/>
          <w:color w:val="auto"/>
          <w:highlight w:val="none"/>
        </w:rPr>
        <w:t>煤气回收程序：料罐→煤气回收阀→煤气回收管路→布袋除尘器→煤气回收管路→引射器（延时）→净煤气管网</w:t>
      </w:r>
    </w:p>
    <w:p w14:paraId="4174DA31">
      <w:pPr>
        <w:shd w:val="clear"/>
        <w:adjustRightInd w:val="0"/>
        <w:spacing w:line="312" w:lineRule="auto"/>
        <w:jc w:val="both"/>
        <w:rPr>
          <w:rFonts w:cs="Times New Roman"/>
          <w:color w:val="auto"/>
          <w:highlight w:val="none"/>
        </w:rPr>
      </w:pPr>
      <w:r>
        <w:rPr>
          <w:rFonts w:hint="eastAsia" w:cs="Times New Roman"/>
          <w:color w:val="auto"/>
          <w:highlight w:val="none"/>
        </w:rPr>
        <w:t>以上步骤完成一次完整的均压煤气回收过程，具体流程详见附图。</w:t>
      </w:r>
    </w:p>
    <w:p w14:paraId="08E33104">
      <w:pPr>
        <w:shd w:val="clear"/>
        <w:ind w:firstLine="0" w:firstLineChars="0"/>
        <w:outlineLvl w:val="3"/>
        <w:rPr>
          <w:color w:val="auto"/>
          <w:highlight w:val="none"/>
        </w:rPr>
      </w:pPr>
      <w:bookmarkStart w:id="222" w:name="_Toc20270"/>
      <w:r>
        <w:rPr>
          <w:rFonts w:hint="eastAsia"/>
          <w:color w:val="auto"/>
          <w:highlight w:val="none"/>
        </w:rPr>
        <w:t>2.4.4.2工艺参数</w:t>
      </w:r>
      <w:bookmarkEnd w:id="220"/>
      <w:bookmarkEnd w:id="221"/>
      <w:bookmarkEnd w:id="222"/>
    </w:p>
    <w:p w14:paraId="5301EC1E">
      <w:pPr>
        <w:shd w:val="clear"/>
        <w:rPr>
          <w:color w:val="auto"/>
          <w:highlight w:val="none"/>
        </w:rPr>
      </w:pPr>
      <w:bookmarkStart w:id="223" w:name="_Toc14597"/>
      <w:bookmarkStart w:id="224" w:name="_Toc4865"/>
      <w:bookmarkStart w:id="225" w:name="_Toc27693"/>
      <w:r>
        <w:rPr>
          <w:color w:val="auto"/>
          <w:highlight w:val="none"/>
        </w:rPr>
        <w:t>（1）高炉炉顶工艺参数</w:t>
      </w:r>
      <w:bookmarkEnd w:id="223"/>
      <w:bookmarkEnd w:id="224"/>
      <w:bookmarkEnd w:id="225"/>
    </w:p>
    <w:p w14:paraId="22749C42">
      <w:pPr>
        <w:shd w:val="clear"/>
        <w:rPr>
          <w:rFonts w:ascii="Times New Roman" w:hAnsi="Times New Roman"/>
          <w:color w:val="auto"/>
          <w:highlight w:val="none"/>
        </w:rPr>
      </w:pPr>
      <w:r>
        <w:rPr>
          <w:rFonts w:ascii="Times New Roman" w:hAnsi="Times New Roman"/>
          <w:color w:val="auto"/>
          <w:highlight w:val="none"/>
        </w:rPr>
        <w:t>料罐</w:t>
      </w:r>
      <w:r>
        <w:rPr>
          <w:rFonts w:hint="eastAsia" w:ascii="Times New Roman" w:hAnsi="Times New Roman"/>
          <w:color w:val="auto"/>
          <w:highlight w:val="none"/>
        </w:rPr>
        <w:t>最大工作</w:t>
      </w:r>
      <w:r>
        <w:rPr>
          <w:rFonts w:ascii="Times New Roman" w:hAnsi="Times New Roman"/>
          <w:color w:val="auto"/>
          <w:highlight w:val="none"/>
        </w:rPr>
        <w:t>压力：175kPa</w:t>
      </w:r>
    </w:p>
    <w:p w14:paraId="6C964CFF">
      <w:pPr>
        <w:shd w:val="clear"/>
        <w:rPr>
          <w:rFonts w:ascii="Times New Roman" w:hAnsi="Times New Roman"/>
          <w:color w:val="auto"/>
          <w:highlight w:val="none"/>
        </w:rPr>
      </w:pPr>
      <w:r>
        <w:rPr>
          <w:rFonts w:ascii="Times New Roman" w:hAnsi="Times New Roman"/>
          <w:color w:val="auto"/>
          <w:highlight w:val="none"/>
        </w:rPr>
        <w:t>料罐容积：20m3</w:t>
      </w:r>
    </w:p>
    <w:p w14:paraId="114BE118">
      <w:pPr>
        <w:shd w:val="clear"/>
        <w:rPr>
          <w:rFonts w:ascii="Times New Roman" w:hAnsi="Times New Roman"/>
          <w:color w:val="auto"/>
          <w:highlight w:val="none"/>
        </w:rPr>
      </w:pPr>
      <w:r>
        <w:rPr>
          <w:rFonts w:ascii="Times New Roman" w:hAnsi="Times New Roman"/>
          <w:color w:val="auto"/>
          <w:highlight w:val="none"/>
        </w:rPr>
        <w:t>料罐煤气含尘量：3～5g/Nm3(理论计算值)</w:t>
      </w:r>
    </w:p>
    <w:p w14:paraId="397B2E79">
      <w:pPr>
        <w:shd w:val="clear"/>
        <w:rPr>
          <w:rFonts w:ascii="Times New Roman" w:hAnsi="Times New Roman"/>
          <w:color w:val="auto"/>
          <w:highlight w:val="none"/>
        </w:rPr>
      </w:pPr>
      <w:r>
        <w:rPr>
          <w:rFonts w:ascii="Times New Roman" w:hAnsi="Times New Roman"/>
          <w:color w:val="auto"/>
          <w:highlight w:val="none"/>
        </w:rPr>
        <w:t>一均煤气温度：150～200℃</w:t>
      </w:r>
    </w:p>
    <w:p w14:paraId="3584C46E">
      <w:pPr>
        <w:shd w:val="clear"/>
        <w:rPr>
          <w:rFonts w:ascii="Times New Roman" w:hAnsi="Times New Roman"/>
          <w:color w:val="auto"/>
          <w:highlight w:val="none"/>
        </w:rPr>
      </w:pPr>
      <w:r>
        <w:rPr>
          <w:rFonts w:ascii="Times New Roman" w:hAnsi="Times New Roman"/>
          <w:color w:val="auto"/>
          <w:highlight w:val="none"/>
        </w:rPr>
        <w:t>均压煤气管管径：DN300mm</w:t>
      </w:r>
    </w:p>
    <w:p w14:paraId="4FE46B2C">
      <w:pPr>
        <w:shd w:val="clear"/>
        <w:rPr>
          <w:rFonts w:ascii="Times New Roman" w:hAnsi="Times New Roman"/>
          <w:color w:val="auto"/>
          <w:highlight w:val="none"/>
        </w:rPr>
      </w:pPr>
      <w:r>
        <w:rPr>
          <w:rFonts w:ascii="Times New Roman" w:hAnsi="Times New Roman"/>
          <w:color w:val="auto"/>
          <w:highlight w:val="none"/>
        </w:rPr>
        <w:t>净煤气管网压力：10～14kPa；</w:t>
      </w:r>
    </w:p>
    <w:p w14:paraId="678B040E">
      <w:pPr>
        <w:shd w:val="clear"/>
        <w:rPr>
          <w:color w:val="auto"/>
          <w:highlight w:val="none"/>
        </w:rPr>
      </w:pPr>
      <w:bookmarkStart w:id="226" w:name="_Toc26592"/>
      <w:bookmarkStart w:id="227" w:name="_Toc19312"/>
      <w:bookmarkStart w:id="228" w:name="_Toc13715"/>
      <w:r>
        <w:rPr>
          <w:color w:val="auto"/>
          <w:highlight w:val="none"/>
        </w:rPr>
        <w:t>（2）煤气回收工艺参数</w:t>
      </w:r>
      <w:bookmarkEnd w:id="226"/>
      <w:bookmarkEnd w:id="227"/>
      <w:bookmarkEnd w:id="228"/>
    </w:p>
    <w:p w14:paraId="300C9472">
      <w:pPr>
        <w:shd w:val="clear"/>
        <w:rPr>
          <w:rFonts w:ascii="Times New Roman" w:hAnsi="Times New Roman"/>
          <w:color w:val="auto"/>
          <w:highlight w:val="none"/>
        </w:rPr>
      </w:pPr>
      <w:r>
        <w:rPr>
          <w:rFonts w:ascii="Times New Roman" w:hAnsi="Times New Roman"/>
          <w:color w:val="auto"/>
          <w:highlight w:val="none"/>
        </w:rPr>
        <w:t>1）回收终点压力：2～3kPa（微正压，根据实际运行情况可调）。</w:t>
      </w:r>
    </w:p>
    <w:p w14:paraId="2E3CA0FB">
      <w:pPr>
        <w:shd w:val="clear"/>
        <w:rPr>
          <w:rFonts w:ascii="Times New Roman" w:hAnsi="Times New Roman"/>
          <w:color w:val="auto"/>
          <w:highlight w:val="none"/>
        </w:rPr>
      </w:pPr>
      <w:r>
        <w:rPr>
          <w:rFonts w:ascii="Times New Roman" w:hAnsi="Times New Roman"/>
          <w:color w:val="auto"/>
          <w:highlight w:val="none"/>
        </w:rPr>
        <w:t>2) 回收时煤气温度：40～100℃。</w:t>
      </w:r>
    </w:p>
    <w:p w14:paraId="258AA3B7">
      <w:pPr>
        <w:shd w:val="clear"/>
        <w:rPr>
          <w:rFonts w:ascii="Times New Roman" w:hAnsi="Times New Roman"/>
          <w:color w:val="auto"/>
          <w:highlight w:val="none"/>
        </w:rPr>
      </w:pPr>
      <w:r>
        <w:rPr>
          <w:rFonts w:ascii="Times New Roman" w:hAnsi="Times New Roman"/>
          <w:color w:val="auto"/>
          <w:highlight w:val="none"/>
        </w:rPr>
        <w:t>3）一罐均压煤气回收量：标况约40Nm3。</w:t>
      </w:r>
    </w:p>
    <w:p w14:paraId="06813EAC">
      <w:pPr>
        <w:shd w:val="clear"/>
        <w:rPr>
          <w:rFonts w:ascii="Times New Roman" w:hAnsi="Times New Roman"/>
          <w:color w:val="auto"/>
          <w:highlight w:val="none"/>
        </w:rPr>
      </w:pPr>
      <w:r>
        <w:rPr>
          <w:rFonts w:ascii="Times New Roman" w:hAnsi="Times New Roman"/>
          <w:color w:val="auto"/>
          <w:highlight w:val="none"/>
        </w:rPr>
        <w:t>4）工作制度：每小时料批数为6～8，每小时回收次数为12～16次，每天回收次数为288～384次。</w:t>
      </w:r>
    </w:p>
    <w:p w14:paraId="531C74C3">
      <w:pPr>
        <w:shd w:val="clear"/>
        <w:rPr>
          <w:rFonts w:hint="eastAsia" w:ascii="Times New Roman" w:hAnsi="Times New Roman"/>
          <w:color w:val="auto"/>
          <w:highlight w:val="none"/>
          <w:lang w:val="en-US" w:eastAsia="zh-CN"/>
        </w:rPr>
      </w:pPr>
      <w:r>
        <w:rPr>
          <w:rFonts w:ascii="Times New Roman" w:hAnsi="Times New Roman"/>
          <w:color w:val="auto"/>
          <w:highlight w:val="none"/>
        </w:rPr>
        <w:t>5）回收时间</w:t>
      </w:r>
      <w:r>
        <w:rPr>
          <w:rFonts w:hint="eastAsia" w:ascii="Times New Roman" w:hAnsi="Times New Roman"/>
          <w:color w:val="auto"/>
          <w:highlight w:val="none"/>
          <w:lang w:val="en-US" w:eastAsia="zh-CN"/>
        </w:rPr>
        <w:t>（加阀门动作时间，阀门时间约6s）：≈14s（可调）；</w:t>
      </w:r>
    </w:p>
    <w:p w14:paraId="7EA0062D">
      <w:pPr>
        <w:shd w:val="clear"/>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6）煤气灰量：理论计算值 156kg/d。</w:t>
      </w:r>
    </w:p>
    <w:p w14:paraId="77958536">
      <w:pPr>
        <w:shd w:val="clear"/>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7）液动煤气回收阀：DN300，引射阀：DN300；</w:t>
      </w:r>
    </w:p>
    <w:p w14:paraId="3D3E6F77">
      <w:pPr>
        <w:shd w:val="clear"/>
        <w:rPr>
          <w:rFonts w:hint="default" w:ascii="Times New Roman" w:hAnsi="Times New Roman" w:eastAsia="宋体"/>
          <w:color w:val="auto"/>
          <w:highlight w:val="none"/>
          <w:lang w:val="en-US" w:eastAsia="zh-CN"/>
        </w:rPr>
      </w:pPr>
      <w:r>
        <w:rPr>
          <w:rFonts w:ascii="Times New Roman" w:hAnsi="Times New Roman"/>
          <w:color w:val="auto"/>
          <w:highlight w:val="none"/>
        </w:rPr>
        <w:t>8）回收煤气总管管径：DN600，D630×12。材质：Q</w:t>
      </w:r>
      <w:r>
        <w:rPr>
          <w:rFonts w:hint="eastAsia" w:ascii="Times New Roman" w:hAnsi="Times New Roman"/>
          <w:color w:val="auto"/>
          <w:highlight w:val="none"/>
          <w:lang w:val="en-US" w:eastAsia="zh-CN"/>
        </w:rPr>
        <w:t>355</w:t>
      </w:r>
      <w:r>
        <w:rPr>
          <w:rFonts w:ascii="Times New Roman" w:hAnsi="Times New Roman"/>
          <w:color w:val="auto"/>
          <w:highlight w:val="none"/>
        </w:rPr>
        <w:t>B</w:t>
      </w:r>
      <w:r>
        <w:rPr>
          <w:rFonts w:hint="eastAsia" w:ascii="Times New Roman" w:hAnsi="Times New Roman"/>
          <w:color w:val="auto"/>
          <w:highlight w:val="none"/>
          <w:lang w:eastAsia="zh-CN"/>
        </w:rPr>
        <w:t>，管道采用</w:t>
      </w:r>
      <w:r>
        <w:rPr>
          <w:rFonts w:hint="eastAsia" w:ascii="Times New Roman" w:hAnsi="Times New Roman"/>
          <w:color w:val="auto"/>
          <w:highlight w:val="none"/>
          <w:lang w:val="en-US" w:eastAsia="zh-CN"/>
        </w:rPr>
        <w:t>100mm厚岩棉保温，0.6mm镀锌铁皮包扎。</w:t>
      </w:r>
    </w:p>
    <w:p w14:paraId="37DBE72F">
      <w:pPr>
        <w:shd w:val="clear"/>
        <w:rPr>
          <w:rFonts w:ascii="Times New Roman" w:hAnsi="Times New Roman"/>
          <w:color w:val="auto"/>
          <w:highlight w:val="none"/>
        </w:rPr>
      </w:pPr>
      <w:r>
        <w:rPr>
          <w:rFonts w:ascii="Times New Roman" w:hAnsi="Times New Roman"/>
          <w:color w:val="auto"/>
          <w:highlight w:val="none"/>
        </w:rPr>
        <w:t>9）除尘器后净煤气回收总管管径：DN600，D630×9。材质：Q</w:t>
      </w:r>
      <w:r>
        <w:rPr>
          <w:rFonts w:hint="eastAsia" w:ascii="Times New Roman" w:hAnsi="Times New Roman"/>
          <w:color w:val="auto"/>
          <w:highlight w:val="none"/>
          <w:lang w:val="en-US" w:eastAsia="zh-CN"/>
        </w:rPr>
        <w:t>235</w:t>
      </w:r>
      <w:r>
        <w:rPr>
          <w:rFonts w:ascii="Times New Roman" w:hAnsi="Times New Roman"/>
          <w:color w:val="auto"/>
          <w:highlight w:val="none"/>
        </w:rPr>
        <w:t>B</w:t>
      </w:r>
    </w:p>
    <w:p w14:paraId="3FBE91A7">
      <w:pPr>
        <w:shd w:val="clear"/>
        <w:rPr>
          <w:color w:val="auto"/>
          <w:highlight w:val="none"/>
        </w:rPr>
      </w:pPr>
      <w:bookmarkStart w:id="229" w:name="_Toc534"/>
      <w:bookmarkStart w:id="230" w:name="_Toc31404"/>
      <w:bookmarkStart w:id="231" w:name="_Toc14511"/>
      <w:r>
        <w:rPr>
          <w:color w:val="auto"/>
          <w:highlight w:val="none"/>
        </w:rPr>
        <w:t>（3）煤气回收技术特色</w:t>
      </w:r>
      <w:bookmarkEnd w:id="229"/>
      <w:bookmarkEnd w:id="230"/>
      <w:bookmarkEnd w:id="231"/>
    </w:p>
    <w:p w14:paraId="09AE5CA8">
      <w:pPr>
        <w:shd w:val="clear"/>
        <w:rPr>
          <w:rFonts w:ascii="Times New Roman" w:hAnsi="Times New Roman"/>
          <w:color w:val="auto"/>
          <w:highlight w:val="none"/>
        </w:rPr>
      </w:pPr>
      <w:r>
        <w:rPr>
          <w:rFonts w:ascii="Times New Roman" w:hAnsi="Times New Roman"/>
          <w:color w:val="auto"/>
          <w:highlight w:val="none"/>
        </w:rPr>
        <w:t>1）均压煤气全回收工艺，实现炉顶含尘均压放散煤气“零排放”，回收终点料罐压力≤2kPa；</w:t>
      </w:r>
    </w:p>
    <w:p w14:paraId="5E09AD0E">
      <w:pPr>
        <w:shd w:val="clear"/>
        <w:rPr>
          <w:rFonts w:ascii="Times New Roman" w:hAnsi="Times New Roman"/>
          <w:color w:val="auto"/>
          <w:highlight w:val="none"/>
        </w:rPr>
      </w:pPr>
      <w:r>
        <w:rPr>
          <w:rFonts w:ascii="Times New Roman" w:hAnsi="Times New Roman"/>
          <w:color w:val="auto"/>
          <w:highlight w:val="none"/>
        </w:rPr>
        <w:t>2）回收时间短，不影响炉顶装料作业率；</w:t>
      </w:r>
    </w:p>
    <w:p w14:paraId="35BCD816">
      <w:pPr>
        <w:shd w:val="clear"/>
        <w:ind w:firstLine="0" w:firstLineChars="0"/>
        <w:outlineLvl w:val="3"/>
        <w:rPr>
          <w:color w:val="auto"/>
          <w:highlight w:val="none"/>
        </w:rPr>
      </w:pPr>
      <w:bookmarkStart w:id="232" w:name="_Toc733"/>
      <w:r>
        <w:rPr>
          <w:rFonts w:hint="eastAsia"/>
          <w:color w:val="auto"/>
          <w:highlight w:val="none"/>
        </w:rPr>
        <w:t>2.4.4.3控制方式</w:t>
      </w:r>
      <w:bookmarkEnd w:id="232"/>
    </w:p>
    <w:p w14:paraId="15114B18">
      <w:pPr>
        <w:shd w:val="clear"/>
        <w:rPr>
          <w:rFonts w:ascii="Times New Roman" w:hAnsi="Times New Roman"/>
          <w:color w:val="auto"/>
          <w:highlight w:val="none"/>
        </w:rPr>
      </w:pPr>
      <w:r>
        <w:rPr>
          <w:rFonts w:ascii="Times New Roman" w:hAnsi="Times New Roman"/>
          <w:color w:val="auto"/>
          <w:highlight w:val="none"/>
        </w:rPr>
        <w:t>控制方式分为时间设定及压力设定控制。主要以压力设定控制为主。</w:t>
      </w:r>
    </w:p>
    <w:p w14:paraId="41D19D02">
      <w:pPr>
        <w:shd w:val="clear"/>
        <w:rPr>
          <w:rFonts w:ascii="Times New Roman" w:hAnsi="Times New Roman"/>
          <w:color w:val="auto"/>
          <w:highlight w:val="none"/>
        </w:rPr>
      </w:pPr>
      <w:r>
        <w:rPr>
          <w:rFonts w:ascii="Times New Roman" w:hAnsi="Times New Roman"/>
          <w:color w:val="auto"/>
          <w:highlight w:val="none"/>
        </w:rPr>
        <w:t>时间设定控制方式：时间模式有2个设定时间，第1个时间为煤气回收阀开的时间，从阀门开动作开始计时，设定时间到，阀门关闭，然后开启上密；第2个时间为阀门动作总时间，即从阀门开动作开始计时，计时时间到，自动关闭煤气回收阀，开启上密。该程序可以视料速来自由进行设定。</w:t>
      </w:r>
    </w:p>
    <w:p w14:paraId="30FB704F">
      <w:pPr>
        <w:shd w:val="clear"/>
        <w:rPr>
          <w:rFonts w:ascii="Times New Roman" w:hAnsi="Times New Roman"/>
          <w:color w:val="auto"/>
          <w:highlight w:val="none"/>
        </w:rPr>
      </w:pPr>
      <w:r>
        <w:rPr>
          <w:rFonts w:ascii="Times New Roman" w:hAnsi="Times New Roman"/>
          <w:color w:val="auto"/>
          <w:highlight w:val="none"/>
        </w:rPr>
        <w:t>压力设定控制方式：如果料罐内压力小于设定压力，煤气回收阀会自动关闭到位，然后打开上密。如果煤气回收阀没有关到位信号，当料罐内压力小于设定压力时，原均压放散启动，消音器管路的放散阀自动打开。</w:t>
      </w:r>
    </w:p>
    <w:p w14:paraId="6C376575">
      <w:pPr>
        <w:shd w:val="clear"/>
        <w:rPr>
          <w:rFonts w:ascii="Times New Roman" w:hAnsi="Times New Roman"/>
          <w:color w:val="auto"/>
          <w:highlight w:val="none"/>
        </w:rPr>
      </w:pPr>
      <w:r>
        <w:rPr>
          <w:rFonts w:ascii="Times New Roman" w:hAnsi="Times New Roman"/>
          <w:color w:val="auto"/>
          <w:highlight w:val="none"/>
        </w:rPr>
        <w:t>当特殊情况下，可不进行回收，最大程度上不影响高炉作业率。</w:t>
      </w:r>
    </w:p>
    <w:p w14:paraId="43FAB06E">
      <w:pPr>
        <w:shd w:val="clear"/>
        <w:ind w:firstLine="0" w:firstLineChars="0"/>
        <w:outlineLvl w:val="3"/>
        <w:rPr>
          <w:color w:val="auto"/>
          <w:highlight w:val="none"/>
        </w:rPr>
      </w:pPr>
      <w:bookmarkStart w:id="233" w:name="_Toc7096"/>
      <w:r>
        <w:rPr>
          <w:rFonts w:hint="eastAsia"/>
          <w:color w:val="auto"/>
          <w:highlight w:val="none"/>
        </w:rPr>
        <w:t>2.4.4.4管道路由</w:t>
      </w:r>
      <w:bookmarkEnd w:id="233"/>
    </w:p>
    <w:p w14:paraId="688FF5EA">
      <w:pPr>
        <w:shd w:val="clear"/>
        <w:rPr>
          <w:rFonts w:ascii="Times New Roman" w:hAnsi="Times New Roman"/>
          <w:color w:val="auto"/>
          <w:highlight w:val="none"/>
        </w:rPr>
      </w:pPr>
      <w:r>
        <w:rPr>
          <w:rFonts w:hint="eastAsia" w:ascii="Times New Roman" w:hAnsi="Times New Roman"/>
          <w:color w:val="auto"/>
          <w:highlight w:val="none"/>
        </w:rPr>
        <w:t>均压放散煤气管道回收接自现有均压放散管道，新增均压煤气回收阀，引出的煤气管道自炉顶框架、下降管，至重力除尘器，然后沿煤气管道支架敷设至除尘器进口。</w:t>
      </w:r>
    </w:p>
    <w:p w14:paraId="06EA631B">
      <w:pPr>
        <w:shd w:val="clear"/>
        <w:rPr>
          <w:rFonts w:ascii="Times New Roman" w:hAnsi="Times New Roman"/>
          <w:color w:val="auto"/>
          <w:highlight w:val="none"/>
        </w:rPr>
      </w:pPr>
      <w:r>
        <w:rPr>
          <w:rFonts w:hint="eastAsia" w:ascii="Times New Roman" w:hAnsi="Times New Roman"/>
          <w:color w:val="auto"/>
          <w:highlight w:val="none"/>
        </w:rPr>
        <w:t>除尘器出口管道沿煤气管道支架就近并网，接入调压阀组后低压煤气管道。</w:t>
      </w:r>
    </w:p>
    <w:p w14:paraId="2F7DF41B">
      <w:pPr>
        <w:shd w:val="clear"/>
        <w:ind w:firstLine="0" w:firstLineChars="0"/>
        <w:outlineLvl w:val="3"/>
        <w:rPr>
          <w:color w:val="auto"/>
          <w:highlight w:val="none"/>
        </w:rPr>
      </w:pPr>
      <w:bookmarkStart w:id="234" w:name="_Toc458154092"/>
      <w:bookmarkStart w:id="235" w:name="_Toc4863"/>
      <w:bookmarkStart w:id="236" w:name="_Toc17827"/>
      <w:r>
        <w:rPr>
          <w:rFonts w:hint="eastAsia"/>
          <w:color w:val="auto"/>
          <w:highlight w:val="none"/>
        </w:rPr>
        <w:t>2.4.4.5主要设备选型</w:t>
      </w:r>
      <w:bookmarkEnd w:id="234"/>
      <w:bookmarkEnd w:id="235"/>
      <w:bookmarkEnd w:id="236"/>
    </w:p>
    <w:p w14:paraId="37BFF7FC">
      <w:pPr>
        <w:shd w:val="clear"/>
        <w:rPr>
          <w:color w:val="auto"/>
          <w:highlight w:val="none"/>
        </w:rPr>
      </w:pPr>
      <w:bookmarkStart w:id="237" w:name="_Toc14084"/>
      <w:bookmarkStart w:id="238" w:name="_Toc2750"/>
      <w:bookmarkStart w:id="239" w:name="_Toc24045"/>
      <w:r>
        <w:rPr>
          <w:rFonts w:hint="eastAsia"/>
          <w:color w:val="auto"/>
          <w:highlight w:val="none"/>
        </w:rPr>
        <w:t>（1）引射器</w:t>
      </w:r>
      <w:bookmarkEnd w:id="237"/>
      <w:bookmarkEnd w:id="238"/>
      <w:bookmarkEnd w:id="239"/>
    </w:p>
    <w:p w14:paraId="12573667">
      <w:pPr>
        <w:shd w:val="clear"/>
        <w:rPr>
          <w:rFonts w:ascii="Times New Roman" w:hAnsi="Times New Roman"/>
          <w:color w:val="auto"/>
          <w:highlight w:val="none"/>
        </w:rPr>
      </w:pPr>
      <w:r>
        <w:rPr>
          <w:rFonts w:hint="eastAsia" w:ascii="Times New Roman" w:hAnsi="Times New Roman"/>
          <w:color w:val="auto"/>
          <w:highlight w:val="none"/>
        </w:rPr>
        <w:t>高炉设1套引射器，采用后引射法，布置在除尘器框架内。其工作原理为高压气源带动低压气源，其中引射器高压引射气源取自高压净煤气。</w:t>
      </w:r>
    </w:p>
    <w:p w14:paraId="14582EF0">
      <w:pPr>
        <w:shd w:val="clear"/>
        <w:rPr>
          <w:rFonts w:ascii="Times New Roman" w:hAnsi="Times New Roman"/>
          <w:color w:val="auto"/>
          <w:highlight w:val="none"/>
        </w:rPr>
      </w:pPr>
      <w:r>
        <w:rPr>
          <w:rFonts w:hint="eastAsia" w:ascii="Times New Roman" w:hAnsi="Times New Roman"/>
          <w:color w:val="auto"/>
          <w:highlight w:val="none"/>
        </w:rPr>
        <w:t>引射器外包消音棉，并外设消音棚，设备1m外噪音分贝≤85dB。</w:t>
      </w:r>
    </w:p>
    <w:p w14:paraId="660C87FD">
      <w:pPr>
        <w:shd w:val="clear"/>
        <w:rPr>
          <w:rFonts w:ascii="Times New Roman" w:hAnsi="Times New Roman"/>
          <w:color w:val="auto"/>
          <w:highlight w:val="none"/>
        </w:rPr>
      </w:pPr>
      <w:r>
        <w:rPr>
          <w:rFonts w:hint="eastAsia" w:ascii="Times New Roman" w:hAnsi="Times New Roman"/>
          <w:color w:val="auto"/>
          <w:highlight w:val="none"/>
        </w:rPr>
        <w:t>设备主要特点如下：</w:t>
      </w:r>
    </w:p>
    <w:p w14:paraId="54F28FFB">
      <w:pPr>
        <w:shd w:val="clear"/>
        <w:rPr>
          <w:rFonts w:ascii="Times New Roman" w:hAnsi="Times New Roman"/>
          <w:color w:val="auto"/>
          <w:highlight w:val="none"/>
        </w:rPr>
      </w:pPr>
      <w:r>
        <w:rPr>
          <w:rFonts w:hint="eastAsia" w:ascii="Times New Roman" w:hAnsi="Times New Roman"/>
          <w:color w:val="auto"/>
          <w:highlight w:val="none"/>
        </w:rPr>
        <w:t>1）引射效率高，引射比：1:1.2。</w:t>
      </w:r>
    </w:p>
    <w:p w14:paraId="3E938376">
      <w:pPr>
        <w:shd w:val="clear"/>
        <w:rPr>
          <w:rFonts w:ascii="Times New Roman" w:hAnsi="Times New Roman"/>
          <w:color w:val="auto"/>
          <w:highlight w:val="none"/>
        </w:rPr>
      </w:pPr>
      <w:r>
        <w:rPr>
          <w:rFonts w:hint="eastAsia" w:ascii="Times New Roman" w:hAnsi="Times New Roman"/>
          <w:color w:val="auto"/>
          <w:highlight w:val="none"/>
        </w:rPr>
        <w:t>2）核心区域材质采用304不锈钢（不含保护壳体）。</w:t>
      </w:r>
    </w:p>
    <w:p w14:paraId="3CD0CB1D">
      <w:pPr>
        <w:shd w:val="clear"/>
        <w:rPr>
          <w:rFonts w:ascii="Times New Roman" w:hAnsi="Times New Roman"/>
          <w:color w:val="auto"/>
          <w:highlight w:val="none"/>
        </w:rPr>
      </w:pPr>
      <w:r>
        <w:rPr>
          <w:rFonts w:hint="eastAsia" w:ascii="Times New Roman" w:hAnsi="Times New Roman"/>
          <w:color w:val="auto"/>
          <w:highlight w:val="none"/>
        </w:rPr>
        <w:t>3)设计压力：0.25MPa，同时承受-20KPa负压。</w:t>
      </w:r>
    </w:p>
    <w:p w14:paraId="111648D8">
      <w:pPr>
        <w:shd w:val="clear"/>
        <w:rPr>
          <w:rFonts w:ascii="Times New Roman" w:hAnsi="Times New Roman"/>
          <w:color w:val="auto"/>
          <w:highlight w:val="none"/>
        </w:rPr>
      </w:pPr>
      <w:r>
        <w:rPr>
          <w:rFonts w:hint="eastAsia" w:ascii="Times New Roman" w:hAnsi="Times New Roman"/>
          <w:color w:val="auto"/>
          <w:highlight w:val="none"/>
        </w:rPr>
        <w:t>引射器工艺参数：</w:t>
      </w:r>
    </w:p>
    <w:p w14:paraId="6CE45A85">
      <w:pPr>
        <w:shd w:val="clear"/>
        <w:rPr>
          <w:rFonts w:ascii="Times New Roman" w:hAnsi="Times New Roman"/>
          <w:color w:val="auto"/>
          <w:highlight w:val="none"/>
        </w:rPr>
      </w:pPr>
      <w:r>
        <w:rPr>
          <w:rFonts w:hint="eastAsia" w:ascii="Times New Roman" w:hAnsi="Times New Roman"/>
          <w:color w:val="auto"/>
          <w:highlight w:val="none"/>
        </w:rPr>
        <w:t>工作介质：高炉净煤气；间隙回收，每小时12-16次，高压煤气进口管径 DN300，回收管入口管径DN600；核心区域材质 304不锈钢（不含保护壳体）入口考虑耐磨措施，进出口配对法兰、紧固件及密封件。</w:t>
      </w:r>
    </w:p>
    <w:p w14:paraId="4704E46D">
      <w:pPr>
        <w:shd w:val="clear"/>
        <w:rPr>
          <w:color w:val="auto"/>
          <w:highlight w:val="none"/>
        </w:rPr>
      </w:pPr>
      <w:bookmarkStart w:id="240" w:name="_Toc22154"/>
      <w:bookmarkStart w:id="241" w:name="_Toc2249"/>
      <w:bookmarkStart w:id="242" w:name="_Toc31308"/>
      <w:r>
        <w:rPr>
          <w:rFonts w:hint="eastAsia"/>
          <w:color w:val="auto"/>
          <w:highlight w:val="none"/>
        </w:rPr>
        <w:t>（2）阀门组</w:t>
      </w:r>
      <w:bookmarkEnd w:id="240"/>
      <w:bookmarkEnd w:id="241"/>
      <w:bookmarkEnd w:id="242"/>
    </w:p>
    <w:p w14:paraId="1430F286">
      <w:pPr>
        <w:shd w:val="clear"/>
        <w:rPr>
          <w:rFonts w:ascii="Times New Roman" w:hAnsi="Times New Roman"/>
          <w:color w:val="auto"/>
          <w:highlight w:val="none"/>
        </w:rPr>
      </w:pPr>
      <w:r>
        <w:rPr>
          <w:rFonts w:hint="eastAsia" w:ascii="Times New Roman" w:hAnsi="Times New Roman"/>
          <w:color w:val="auto"/>
          <w:highlight w:val="none"/>
        </w:rPr>
        <w:t>均压煤气回收系统阀门组主要由煤气回收阀、引射阀、电动三偏心蝶阀、电动扇形盲板阀组成。</w:t>
      </w:r>
    </w:p>
    <w:p w14:paraId="2332A8A5">
      <w:pPr>
        <w:shd w:val="clear"/>
        <w:rPr>
          <w:rFonts w:ascii="Times New Roman" w:hAnsi="Times New Roman"/>
          <w:color w:val="auto"/>
          <w:highlight w:val="none"/>
        </w:rPr>
      </w:pPr>
      <w:r>
        <w:rPr>
          <w:rFonts w:hint="eastAsia" w:ascii="Times New Roman" w:hAnsi="Times New Roman"/>
          <w:color w:val="auto"/>
          <w:highlight w:val="none"/>
        </w:rPr>
        <w:t>煤气回收阀与现有均压放散阀型式保持一致，便于备件统一。</w:t>
      </w:r>
    </w:p>
    <w:p w14:paraId="531CB25E">
      <w:pPr>
        <w:shd w:val="clear"/>
        <w:rPr>
          <w:rFonts w:ascii="Times New Roman" w:hAnsi="Times New Roman"/>
          <w:color w:val="auto"/>
          <w:highlight w:val="none"/>
        </w:rPr>
      </w:pPr>
      <w:r>
        <w:rPr>
          <w:rFonts w:hint="eastAsia" w:ascii="Times New Roman" w:hAnsi="Times New Roman"/>
          <w:color w:val="auto"/>
          <w:highlight w:val="none"/>
        </w:rPr>
        <w:t>引射阀组由气动引射阀、电动三偏心蝶阀、手动扇形盲板阀组成。</w:t>
      </w:r>
    </w:p>
    <w:p w14:paraId="1585A048">
      <w:pPr>
        <w:shd w:val="clear"/>
        <w:rPr>
          <w:rFonts w:ascii="Times New Roman" w:hAnsi="Times New Roman"/>
          <w:color w:val="auto"/>
          <w:highlight w:val="none"/>
        </w:rPr>
      </w:pPr>
      <w:r>
        <w:rPr>
          <w:rFonts w:hint="eastAsia" w:ascii="Times New Roman" w:hAnsi="Times New Roman"/>
          <w:color w:val="auto"/>
          <w:highlight w:val="none"/>
        </w:rPr>
        <w:t>1）引射阀：数量1台，技术参数如下：</w:t>
      </w:r>
    </w:p>
    <w:tbl>
      <w:tblPr>
        <w:tblStyle w:val="6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5"/>
        <w:gridCol w:w="2144"/>
        <w:gridCol w:w="5561"/>
      </w:tblGrid>
      <w:tr w14:paraId="356904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trPr>
        <w:tc>
          <w:tcPr>
            <w:tcW w:w="815" w:type="dxa"/>
            <w:vAlign w:val="center"/>
          </w:tcPr>
          <w:p w14:paraId="3E1119A5">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序号</w:t>
            </w:r>
          </w:p>
        </w:tc>
        <w:tc>
          <w:tcPr>
            <w:tcW w:w="2144" w:type="dxa"/>
            <w:vAlign w:val="center"/>
          </w:tcPr>
          <w:p w14:paraId="5D6DA132">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项  目</w:t>
            </w:r>
          </w:p>
        </w:tc>
        <w:tc>
          <w:tcPr>
            <w:tcW w:w="5561" w:type="dxa"/>
            <w:vAlign w:val="center"/>
          </w:tcPr>
          <w:p w14:paraId="3C936857">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技术参数</w:t>
            </w:r>
          </w:p>
        </w:tc>
      </w:tr>
      <w:tr w14:paraId="59D692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15" w:type="dxa"/>
            <w:vAlign w:val="center"/>
          </w:tcPr>
          <w:p w14:paraId="289A0136">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2144" w:type="dxa"/>
            <w:vAlign w:val="center"/>
          </w:tcPr>
          <w:p w14:paraId="63E04758">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型    式：</w:t>
            </w:r>
          </w:p>
        </w:tc>
        <w:tc>
          <w:tcPr>
            <w:tcW w:w="5561" w:type="dxa"/>
            <w:vAlign w:val="center"/>
          </w:tcPr>
          <w:p w14:paraId="09170A4E">
            <w:pPr>
              <w:shd w:val="clear"/>
              <w:spacing w:line="312"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气动蝶阀</w:t>
            </w:r>
          </w:p>
        </w:tc>
      </w:tr>
      <w:tr w14:paraId="07676C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7" w:hRule="atLeast"/>
        </w:trPr>
        <w:tc>
          <w:tcPr>
            <w:tcW w:w="815" w:type="dxa"/>
            <w:vAlign w:val="center"/>
          </w:tcPr>
          <w:p w14:paraId="6554417B">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2144" w:type="dxa"/>
            <w:vAlign w:val="center"/>
          </w:tcPr>
          <w:p w14:paraId="13E9D50E">
            <w:pPr>
              <w:shd w:val="clear"/>
              <w:spacing w:line="312" w:lineRule="auto"/>
              <w:ind w:firstLine="210" w:firstLineChars="10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公称直径</w:t>
            </w:r>
          </w:p>
        </w:tc>
        <w:tc>
          <w:tcPr>
            <w:tcW w:w="5561" w:type="dxa"/>
            <w:vAlign w:val="center"/>
          </w:tcPr>
          <w:p w14:paraId="28539BFB">
            <w:pPr>
              <w:shd w:val="clear"/>
              <w:spacing w:line="312"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DN</w:t>
            </w:r>
            <w:r>
              <w:rPr>
                <w:rFonts w:hint="eastAsia" w:ascii="Times New Roman" w:hAnsi="Times New Roman" w:cs="Times New Roman"/>
                <w:color w:val="auto"/>
                <w:sz w:val="21"/>
                <w:szCs w:val="21"/>
                <w:highlight w:val="none"/>
              </w:rPr>
              <w:t>30</w:t>
            </w:r>
            <w:r>
              <w:rPr>
                <w:rFonts w:ascii="Times New Roman" w:hAnsi="Times New Roman" w:cs="Times New Roman"/>
                <w:color w:val="auto"/>
                <w:sz w:val="21"/>
                <w:szCs w:val="21"/>
                <w:highlight w:val="none"/>
              </w:rPr>
              <w:t>0</w:t>
            </w:r>
          </w:p>
        </w:tc>
      </w:tr>
      <w:tr w14:paraId="046F98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15" w:type="dxa"/>
            <w:vAlign w:val="center"/>
          </w:tcPr>
          <w:p w14:paraId="1BC82BDB">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w:t>
            </w:r>
          </w:p>
        </w:tc>
        <w:tc>
          <w:tcPr>
            <w:tcW w:w="2144" w:type="dxa"/>
            <w:vAlign w:val="center"/>
          </w:tcPr>
          <w:p w14:paraId="77C4DCA0">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正常煤气温度</w:t>
            </w:r>
          </w:p>
        </w:tc>
        <w:tc>
          <w:tcPr>
            <w:tcW w:w="5561" w:type="dxa"/>
            <w:vAlign w:val="center"/>
          </w:tcPr>
          <w:p w14:paraId="588771D9">
            <w:pPr>
              <w:shd w:val="clear"/>
              <w:spacing w:line="312"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＜250℃</w:t>
            </w:r>
          </w:p>
        </w:tc>
      </w:tr>
      <w:tr w14:paraId="78801C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15" w:type="dxa"/>
            <w:vAlign w:val="center"/>
          </w:tcPr>
          <w:p w14:paraId="3A6AF94D">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w:t>
            </w:r>
          </w:p>
        </w:tc>
        <w:tc>
          <w:tcPr>
            <w:tcW w:w="2144" w:type="dxa"/>
            <w:vAlign w:val="center"/>
          </w:tcPr>
          <w:p w14:paraId="0A02F0C1">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最高工作压力：</w:t>
            </w:r>
          </w:p>
        </w:tc>
        <w:tc>
          <w:tcPr>
            <w:tcW w:w="5561" w:type="dxa"/>
            <w:vAlign w:val="center"/>
          </w:tcPr>
          <w:p w14:paraId="40FC5B98">
            <w:pPr>
              <w:shd w:val="clear"/>
              <w:spacing w:line="312"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0.2</w:t>
            </w:r>
            <w:r>
              <w:rPr>
                <w:rFonts w:hint="eastAsia" w:ascii="Times New Roman" w:hAnsi="Times New Roman" w:cs="Times New Roman"/>
                <w:color w:val="auto"/>
                <w:sz w:val="21"/>
                <w:szCs w:val="21"/>
                <w:highlight w:val="none"/>
              </w:rPr>
              <w:t>0</w:t>
            </w:r>
            <w:r>
              <w:rPr>
                <w:rFonts w:ascii="Times New Roman" w:hAnsi="Times New Roman" w:cs="Times New Roman"/>
                <w:color w:val="auto"/>
                <w:sz w:val="21"/>
                <w:szCs w:val="21"/>
                <w:highlight w:val="none"/>
              </w:rPr>
              <w:t>MPa</w:t>
            </w:r>
          </w:p>
        </w:tc>
      </w:tr>
    </w:tbl>
    <w:p w14:paraId="24B605CC">
      <w:pPr>
        <w:numPr>
          <w:ilvl w:val="0"/>
          <w:numId w:val="14"/>
        </w:numPr>
        <w:shd w:val="clear"/>
        <w:adjustRightInd w:val="0"/>
        <w:spacing w:line="312" w:lineRule="auto"/>
        <w:jc w:val="both"/>
        <w:rPr>
          <w:rFonts w:cs="Times New Roman"/>
          <w:color w:val="auto"/>
          <w:highlight w:val="none"/>
        </w:rPr>
      </w:pPr>
      <w:r>
        <w:rPr>
          <w:rFonts w:hint="eastAsia" w:cs="Times New Roman"/>
          <w:color w:val="auto"/>
          <w:highlight w:val="none"/>
        </w:rPr>
        <w:t>电</w:t>
      </w:r>
      <w:r>
        <w:rPr>
          <w:rFonts w:cs="Times New Roman"/>
          <w:color w:val="auto"/>
          <w:highlight w:val="none"/>
        </w:rPr>
        <w:t>动三偏心蝶阀</w:t>
      </w:r>
      <w:r>
        <w:rPr>
          <w:rFonts w:hint="eastAsia" w:cs="Times New Roman"/>
          <w:color w:val="auto"/>
          <w:highlight w:val="none"/>
        </w:rPr>
        <w:t>::技术参数如下：</w:t>
      </w:r>
    </w:p>
    <w:tbl>
      <w:tblPr>
        <w:tblStyle w:val="6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5"/>
        <w:gridCol w:w="2831"/>
        <w:gridCol w:w="2744"/>
        <w:gridCol w:w="2129"/>
      </w:tblGrid>
      <w:tr w14:paraId="226321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815" w:type="dxa"/>
            <w:vMerge w:val="restart"/>
            <w:vAlign w:val="center"/>
          </w:tcPr>
          <w:p w14:paraId="6C7C6C2E">
            <w:pPr>
              <w:shd w:val="clear"/>
              <w:spacing w:line="312" w:lineRule="auto"/>
              <w:ind w:firstLine="0" w:firstLineChars="0"/>
              <w:jc w:val="center"/>
              <w:rPr>
                <w:rFonts w:cs="Times New Roman"/>
                <w:color w:val="auto"/>
                <w:sz w:val="21"/>
                <w:szCs w:val="21"/>
                <w:highlight w:val="none"/>
              </w:rPr>
            </w:pPr>
            <w:r>
              <w:rPr>
                <w:rFonts w:cs="Times New Roman"/>
                <w:color w:val="auto"/>
                <w:sz w:val="21"/>
                <w:szCs w:val="21"/>
                <w:highlight w:val="none"/>
              </w:rPr>
              <w:t>序号</w:t>
            </w:r>
          </w:p>
        </w:tc>
        <w:tc>
          <w:tcPr>
            <w:tcW w:w="2831" w:type="dxa"/>
            <w:vMerge w:val="restart"/>
            <w:vAlign w:val="center"/>
          </w:tcPr>
          <w:p w14:paraId="5626BB6D">
            <w:pPr>
              <w:shd w:val="clear"/>
              <w:spacing w:line="312" w:lineRule="auto"/>
              <w:ind w:firstLine="0" w:firstLineChars="0"/>
              <w:jc w:val="center"/>
              <w:rPr>
                <w:rFonts w:cs="Times New Roman"/>
                <w:color w:val="auto"/>
                <w:sz w:val="21"/>
                <w:szCs w:val="21"/>
                <w:highlight w:val="none"/>
              </w:rPr>
            </w:pPr>
            <w:r>
              <w:rPr>
                <w:rFonts w:cs="Times New Roman"/>
                <w:color w:val="auto"/>
                <w:sz w:val="21"/>
                <w:szCs w:val="21"/>
                <w:highlight w:val="none"/>
              </w:rPr>
              <w:t>项  目</w:t>
            </w:r>
          </w:p>
        </w:tc>
        <w:tc>
          <w:tcPr>
            <w:tcW w:w="4873" w:type="dxa"/>
            <w:gridSpan w:val="2"/>
            <w:vAlign w:val="center"/>
          </w:tcPr>
          <w:p w14:paraId="54A96847">
            <w:pPr>
              <w:shd w:val="clear"/>
              <w:spacing w:line="312" w:lineRule="auto"/>
              <w:ind w:firstLine="0" w:firstLineChars="0"/>
              <w:jc w:val="center"/>
              <w:rPr>
                <w:rFonts w:cs="Times New Roman"/>
                <w:color w:val="auto"/>
                <w:sz w:val="21"/>
                <w:szCs w:val="21"/>
                <w:highlight w:val="none"/>
              </w:rPr>
            </w:pPr>
            <w:r>
              <w:rPr>
                <w:rFonts w:cs="Times New Roman"/>
                <w:color w:val="auto"/>
                <w:sz w:val="21"/>
                <w:szCs w:val="21"/>
                <w:highlight w:val="none"/>
              </w:rPr>
              <w:t>技术参数</w:t>
            </w:r>
          </w:p>
        </w:tc>
      </w:tr>
      <w:tr w14:paraId="240AAE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6" w:hRule="atLeast"/>
        </w:trPr>
        <w:tc>
          <w:tcPr>
            <w:tcW w:w="815" w:type="dxa"/>
            <w:vMerge w:val="continue"/>
            <w:vAlign w:val="center"/>
          </w:tcPr>
          <w:p w14:paraId="287DCDD4">
            <w:pPr>
              <w:shd w:val="clear"/>
              <w:spacing w:line="312" w:lineRule="auto"/>
              <w:ind w:firstLine="0" w:firstLineChars="0"/>
              <w:jc w:val="center"/>
              <w:rPr>
                <w:rFonts w:cs="Times New Roman"/>
                <w:color w:val="auto"/>
                <w:sz w:val="21"/>
                <w:szCs w:val="21"/>
                <w:highlight w:val="none"/>
              </w:rPr>
            </w:pPr>
          </w:p>
        </w:tc>
        <w:tc>
          <w:tcPr>
            <w:tcW w:w="2831" w:type="dxa"/>
            <w:vMerge w:val="continue"/>
            <w:vAlign w:val="center"/>
          </w:tcPr>
          <w:p w14:paraId="1FA9C830">
            <w:pPr>
              <w:shd w:val="clear"/>
              <w:spacing w:line="312" w:lineRule="auto"/>
              <w:ind w:firstLine="0" w:firstLineChars="0"/>
              <w:jc w:val="center"/>
              <w:rPr>
                <w:rFonts w:cs="Times New Roman"/>
                <w:color w:val="auto"/>
                <w:sz w:val="21"/>
                <w:szCs w:val="21"/>
                <w:highlight w:val="none"/>
              </w:rPr>
            </w:pPr>
          </w:p>
        </w:tc>
        <w:tc>
          <w:tcPr>
            <w:tcW w:w="2744" w:type="dxa"/>
            <w:vAlign w:val="center"/>
          </w:tcPr>
          <w:p w14:paraId="0F7DC402">
            <w:pPr>
              <w:shd w:val="clear"/>
              <w:spacing w:line="312"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煤气引射管路</w:t>
            </w:r>
          </w:p>
        </w:tc>
        <w:tc>
          <w:tcPr>
            <w:tcW w:w="2129" w:type="dxa"/>
            <w:vAlign w:val="center"/>
          </w:tcPr>
          <w:p w14:paraId="3A876D24">
            <w:pPr>
              <w:shd w:val="clear"/>
              <w:spacing w:line="312"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筒体切断</w:t>
            </w:r>
          </w:p>
        </w:tc>
      </w:tr>
      <w:tr w14:paraId="0F2F0C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trPr>
        <w:tc>
          <w:tcPr>
            <w:tcW w:w="815" w:type="dxa"/>
            <w:vAlign w:val="center"/>
          </w:tcPr>
          <w:p w14:paraId="4848728D">
            <w:pPr>
              <w:shd w:val="clear"/>
              <w:spacing w:line="312" w:lineRule="auto"/>
              <w:ind w:firstLine="0" w:firstLineChars="0"/>
              <w:jc w:val="center"/>
              <w:rPr>
                <w:rFonts w:cs="Times New Roman"/>
                <w:color w:val="auto"/>
                <w:sz w:val="21"/>
                <w:szCs w:val="21"/>
                <w:highlight w:val="none"/>
              </w:rPr>
            </w:pPr>
            <w:r>
              <w:rPr>
                <w:rFonts w:cs="Times New Roman"/>
                <w:color w:val="auto"/>
                <w:sz w:val="21"/>
                <w:szCs w:val="21"/>
                <w:highlight w:val="none"/>
              </w:rPr>
              <w:t>1</w:t>
            </w:r>
          </w:p>
        </w:tc>
        <w:tc>
          <w:tcPr>
            <w:tcW w:w="2831" w:type="dxa"/>
            <w:vAlign w:val="center"/>
          </w:tcPr>
          <w:p w14:paraId="3E6BF598">
            <w:pPr>
              <w:shd w:val="clear"/>
              <w:spacing w:line="312"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公称直径</w:t>
            </w:r>
          </w:p>
        </w:tc>
        <w:tc>
          <w:tcPr>
            <w:tcW w:w="2744" w:type="dxa"/>
            <w:vAlign w:val="center"/>
          </w:tcPr>
          <w:p w14:paraId="23C3B5B8">
            <w:pPr>
              <w:shd w:val="clear"/>
              <w:spacing w:line="312"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DN300</w:t>
            </w:r>
          </w:p>
        </w:tc>
        <w:tc>
          <w:tcPr>
            <w:tcW w:w="2129" w:type="dxa"/>
            <w:vAlign w:val="center"/>
          </w:tcPr>
          <w:p w14:paraId="37D1F6E5">
            <w:pPr>
              <w:shd w:val="clear"/>
              <w:spacing w:line="312"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DN600</w:t>
            </w:r>
          </w:p>
        </w:tc>
      </w:tr>
      <w:tr w14:paraId="41AFBB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815" w:type="dxa"/>
            <w:vAlign w:val="center"/>
          </w:tcPr>
          <w:p w14:paraId="6DDA83BC">
            <w:pPr>
              <w:shd w:val="clear"/>
              <w:spacing w:line="312" w:lineRule="auto"/>
              <w:ind w:firstLine="0" w:firstLineChars="0"/>
              <w:jc w:val="center"/>
              <w:rPr>
                <w:rFonts w:cs="Times New Roman"/>
                <w:color w:val="auto"/>
                <w:sz w:val="21"/>
                <w:szCs w:val="21"/>
                <w:highlight w:val="none"/>
              </w:rPr>
            </w:pPr>
            <w:r>
              <w:rPr>
                <w:rFonts w:cs="Times New Roman"/>
                <w:color w:val="auto"/>
                <w:sz w:val="21"/>
                <w:szCs w:val="21"/>
                <w:highlight w:val="none"/>
              </w:rPr>
              <w:t>2</w:t>
            </w:r>
          </w:p>
        </w:tc>
        <w:tc>
          <w:tcPr>
            <w:tcW w:w="2831" w:type="dxa"/>
            <w:vAlign w:val="center"/>
          </w:tcPr>
          <w:p w14:paraId="74076BCD">
            <w:pPr>
              <w:shd w:val="clear"/>
              <w:spacing w:line="312" w:lineRule="auto"/>
              <w:ind w:firstLine="0" w:firstLineChars="0"/>
              <w:jc w:val="center"/>
              <w:rPr>
                <w:rFonts w:cs="Times New Roman"/>
                <w:color w:val="auto"/>
                <w:sz w:val="21"/>
                <w:szCs w:val="21"/>
                <w:highlight w:val="none"/>
              </w:rPr>
            </w:pPr>
            <w:r>
              <w:rPr>
                <w:rFonts w:cs="Times New Roman"/>
                <w:color w:val="auto"/>
                <w:sz w:val="21"/>
                <w:szCs w:val="21"/>
                <w:highlight w:val="none"/>
              </w:rPr>
              <w:t>正常煤气温度</w:t>
            </w:r>
          </w:p>
        </w:tc>
        <w:tc>
          <w:tcPr>
            <w:tcW w:w="4873" w:type="dxa"/>
            <w:gridSpan w:val="2"/>
            <w:vAlign w:val="center"/>
          </w:tcPr>
          <w:p w14:paraId="1B4DBE6C">
            <w:pPr>
              <w:shd w:val="clear"/>
              <w:spacing w:line="312" w:lineRule="auto"/>
              <w:ind w:firstLine="0" w:firstLineChars="0"/>
              <w:jc w:val="both"/>
              <w:rPr>
                <w:rFonts w:cs="Times New Roman"/>
                <w:color w:val="auto"/>
                <w:sz w:val="21"/>
                <w:szCs w:val="21"/>
                <w:highlight w:val="none"/>
              </w:rPr>
            </w:pPr>
            <w:r>
              <w:rPr>
                <w:rFonts w:cs="Times New Roman"/>
                <w:color w:val="auto"/>
                <w:sz w:val="21"/>
                <w:szCs w:val="21"/>
                <w:highlight w:val="none"/>
              </w:rPr>
              <w:t>＜2</w:t>
            </w:r>
            <w:r>
              <w:rPr>
                <w:rFonts w:hint="eastAsia" w:cs="Times New Roman"/>
                <w:color w:val="auto"/>
                <w:sz w:val="21"/>
                <w:szCs w:val="21"/>
                <w:highlight w:val="none"/>
              </w:rPr>
              <w:t>5</w:t>
            </w:r>
            <w:r>
              <w:rPr>
                <w:rFonts w:cs="Times New Roman"/>
                <w:color w:val="auto"/>
                <w:sz w:val="21"/>
                <w:szCs w:val="21"/>
                <w:highlight w:val="none"/>
              </w:rPr>
              <w:t>0℃</w:t>
            </w:r>
          </w:p>
        </w:tc>
      </w:tr>
      <w:tr w14:paraId="0EF1BF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15" w:type="dxa"/>
            <w:vAlign w:val="center"/>
          </w:tcPr>
          <w:p w14:paraId="10608F2B">
            <w:pPr>
              <w:shd w:val="clear"/>
              <w:spacing w:line="312"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3</w:t>
            </w:r>
          </w:p>
        </w:tc>
        <w:tc>
          <w:tcPr>
            <w:tcW w:w="2831" w:type="dxa"/>
            <w:vAlign w:val="center"/>
          </w:tcPr>
          <w:p w14:paraId="38D7D215">
            <w:pPr>
              <w:shd w:val="clear"/>
              <w:spacing w:line="312"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设计压力：</w:t>
            </w:r>
          </w:p>
        </w:tc>
        <w:tc>
          <w:tcPr>
            <w:tcW w:w="4873" w:type="dxa"/>
            <w:gridSpan w:val="2"/>
            <w:vAlign w:val="center"/>
          </w:tcPr>
          <w:p w14:paraId="0279D64D">
            <w:pPr>
              <w:shd w:val="clear"/>
              <w:spacing w:line="312" w:lineRule="auto"/>
              <w:ind w:firstLine="0" w:firstLineChars="0"/>
              <w:jc w:val="both"/>
              <w:rPr>
                <w:rFonts w:cs="Times New Roman"/>
                <w:color w:val="auto"/>
                <w:sz w:val="21"/>
                <w:szCs w:val="21"/>
                <w:highlight w:val="none"/>
              </w:rPr>
            </w:pPr>
            <w:r>
              <w:rPr>
                <w:rFonts w:ascii="Times New Roman" w:hAnsi="Times New Roman" w:cs="Times New Roman"/>
                <w:color w:val="auto"/>
                <w:sz w:val="21"/>
                <w:szCs w:val="21"/>
                <w:highlight w:val="none"/>
              </w:rPr>
              <w:t>0.2</w:t>
            </w:r>
            <w:r>
              <w:rPr>
                <w:rFonts w:hint="eastAsia" w:ascii="Times New Roman" w:hAnsi="Times New Roman" w:cs="Times New Roman"/>
                <w:color w:val="auto"/>
                <w:sz w:val="21"/>
                <w:szCs w:val="21"/>
                <w:highlight w:val="none"/>
              </w:rPr>
              <w:t>0</w:t>
            </w:r>
            <w:r>
              <w:rPr>
                <w:rFonts w:ascii="Times New Roman" w:hAnsi="Times New Roman" w:cs="Times New Roman"/>
                <w:color w:val="auto"/>
                <w:sz w:val="21"/>
                <w:szCs w:val="21"/>
                <w:highlight w:val="none"/>
              </w:rPr>
              <w:t>MPa</w:t>
            </w:r>
          </w:p>
        </w:tc>
      </w:tr>
      <w:tr w14:paraId="7FE37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15" w:type="dxa"/>
            <w:vAlign w:val="center"/>
          </w:tcPr>
          <w:p w14:paraId="03336301">
            <w:pPr>
              <w:shd w:val="clear"/>
              <w:spacing w:line="312"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4</w:t>
            </w:r>
          </w:p>
        </w:tc>
        <w:tc>
          <w:tcPr>
            <w:tcW w:w="2831" w:type="dxa"/>
            <w:vAlign w:val="center"/>
          </w:tcPr>
          <w:p w14:paraId="27653B8C">
            <w:pPr>
              <w:shd w:val="clear"/>
              <w:spacing w:line="312"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技术特点：</w:t>
            </w:r>
          </w:p>
        </w:tc>
        <w:tc>
          <w:tcPr>
            <w:tcW w:w="4873" w:type="dxa"/>
            <w:gridSpan w:val="2"/>
            <w:vAlign w:val="center"/>
          </w:tcPr>
          <w:p w14:paraId="528D35F3">
            <w:pPr>
              <w:numPr>
                <w:ilvl w:val="0"/>
                <w:numId w:val="15"/>
              </w:numPr>
              <w:shd w:val="clear"/>
              <w:spacing w:line="312" w:lineRule="auto"/>
              <w:ind w:firstLine="0" w:firstLineChars="0"/>
              <w:jc w:val="both"/>
              <w:rPr>
                <w:rFonts w:hAnsi="Times New Roman" w:cs="Times New Roman"/>
                <w:color w:val="auto"/>
                <w:sz w:val="21"/>
                <w:szCs w:val="21"/>
                <w:highlight w:val="none"/>
              </w:rPr>
            </w:pPr>
            <w:r>
              <w:rPr>
                <w:rFonts w:hint="eastAsia" w:hAnsi="Times New Roman" w:cs="Times New Roman"/>
                <w:color w:val="auto"/>
                <w:sz w:val="21"/>
                <w:szCs w:val="21"/>
                <w:highlight w:val="none"/>
              </w:rPr>
              <w:t>密封圈为软硬层叠式金属片</w:t>
            </w:r>
          </w:p>
          <w:p w14:paraId="17D50FF7">
            <w:pPr>
              <w:numPr>
                <w:ilvl w:val="0"/>
                <w:numId w:val="15"/>
              </w:numPr>
              <w:shd w:val="clear"/>
              <w:spacing w:line="312" w:lineRule="auto"/>
              <w:ind w:firstLine="0" w:firstLineChars="0"/>
              <w:jc w:val="both"/>
              <w:rPr>
                <w:rFonts w:hAnsi="Times New Roman" w:cs="Times New Roman"/>
                <w:color w:val="auto"/>
                <w:sz w:val="21"/>
                <w:szCs w:val="21"/>
                <w:highlight w:val="none"/>
              </w:rPr>
            </w:pPr>
            <w:r>
              <w:rPr>
                <w:rFonts w:hint="eastAsia" w:hAnsi="Times New Roman" w:cs="Times New Roman"/>
                <w:color w:val="auto"/>
                <w:sz w:val="21"/>
                <w:szCs w:val="21"/>
                <w:highlight w:val="none"/>
              </w:rPr>
              <w:t>三偏心结构</w:t>
            </w:r>
          </w:p>
          <w:p w14:paraId="330F6975">
            <w:pPr>
              <w:numPr>
                <w:ilvl w:val="0"/>
                <w:numId w:val="15"/>
              </w:numPr>
              <w:shd w:val="clear"/>
              <w:spacing w:line="312" w:lineRule="auto"/>
              <w:ind w:firstLine="0" w:firstLineChars="0"/>
              <w:jc w:val="both"/>
              <w:rPr>
                <w:rFonts w:hAnsi="Times New Roman" w:cs="Times New Roman"/>
                <w:color w:val="auto"/>
                <w:sz w:val="21"/>
                <w:szCs w:val="21"/>
                <w:highlight w:val="none"/>
              </w:rPr>
            </w:pPr>
            <w:r>
              <w:rPr>
                <w:rFonts w:hint="eastAsia" w:hAnsi="Times New Roman" w:cs="Times New Roman"/>
                <w:color w:val="auto"/>
                <w:sz w:val="21"/>
                <w:szCs w:val="21"/>
                <w:highlight w:val="none"/>
              </w:rPr>
              <w:t>斜板式结构</w:t>
            </w:r>
          </w:p>
          <w:p w14:paraId="39DDD2E6">
            <w:pPr>
              <w:shd w:val="clear"/>
              <w:spacing w:line="312" w:lineRule="auto"/>
              <w:ind w:firstLine="0" w:firstLineChars="0"/>
              <w:jc w:val="both"/>
              <w:rPr>
                <w:rFonts w:hAnsi="Times New Roman" w:cs="Times New Roman"/>
                <w:color w:val="auto"/>
                <w:sz w:val="21"/>
                <w:szCs w:val="21"/>
                <w:highlight w:val="none"/>
              </w:rPr>
            </w:pPr>
            <w:r>
              <w:rPr>
                <w:rFonts w:hint="eastAsia" w:hAnsi="Times New Roman" w:cs="Times New Roman"/>
                <w:color w:val="auto"/>
                <w:sz w:val="21"/>
                <w:szCs w:val="21"/>
                <w:highlight w:val="none"/>
              </w:rPr>
              <w:t>4）防爆电机</w:t>
            </w:r>
          </w:p>
        </w:tc>
      </w:tr>
    </w:tbl>
    <w:p w14:paraId="00071F4B">
      <w:pPr>
        <w:shd w:val="clear"/>
        <w:adjustRightInd w:val="0"/>
        <w:spacing w:line="312" w:lineRule="auto"/>
        <w:jc w:val="both"/>
        <w:rPr>
          <w:rFonts w:cs="Times New Roman"/>
          <w:color w:val="auto"/>
          <w:highlight w:val="none"/>
        </w:rPr>
      </w:pPr>
      <w:r>
        <w:rPr>
          <w:rFonts w:hint="eastAsia" w:cs="Times New Roman"/>
          <w:color w:val="auto"/>
          <w:highlight w:val="none"/>
        </w:rPr>
        <w:t>3）电动扇形盲板阀：技术参数如下：</w:t>
      </w:r>
    </w:p>
    <w:tbl>
      <w:tblPr>
        <w:tblStyle w:val="60"/>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087"/>
        <w:gridCol w:w="2022"/>
        <w:gridCol w:w="1763"/>
        <w:gridCol w:w="1743"/>
        <w:gridCol w:w="1900"/>
      </w:tblGrid>
      <w:tr w14:paraId="583F3A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blHeader/>
        </w:trPr>
        <w:tc>
          <w:tcPr>
            <w:tcW w:w="1087" w:type="dxa"/>
            <w:tcBorders>
              <w:bottom w:val="single" w:color="auto" w:sz="4" w:space="0"/>
              <w:right w:val="single" w:color="auto" w:sz="4" w:space="0"/>
            </w:tcBorders>
            <w:vAlign w:val="center"/>
          </w:tcPr>
          <w:p w14:paraId="13C75C4B">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序号</w:t>
            </w:r>
          </w:p>
        </w:tc>
        <w:tc>
          <w:tcPr>
            <w:tcW w:w="2022" w:type="dxa"/>
            <w:tcBorders>
              <w:left w:val="single" w:color="auto" w:sz="4" w:space="0"/>
              <w:bottom w:val="single" w:color="auto" w:sz="4" w:space="0"/>
              <w:right w:val="single" w:color="auto" w:sz="4" w:space="0"/>
            </w:tcBorders>
            <w:vAlign w:val="center"/>
          </w:tcPr>
          <w:p w14:paraId="63AD8CAC">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项  目</w:t>
            </w:r>
          </w:p>
        </w:tc>
        <w:tc>
          <w:tcPr>
            <w:tcW w:w="5406" w:type="dxa"/>
            <w:gridSpan w:val="3"/>
            <w:tcBorders>
              <w:left w:val="single" w:color="auto" w:sz="4" w:space="0"/>
              <w:bottom w:val="single" w:color="auto" w:sz="4" w:space="0"/>
            </w:tcBorders>
            <w:vAlign w:val="center"/>
          </w:tcPr>
          <w:p w14:paraId="2F566281">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技术参数</w:t>
            </w:r>
          </w:p>
        </w:tc>
      </w:tr>
      <w:tr w14:paraId="4C1C6C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blHeader/>
        </w:trPr>
        <w:tc>
          <w:tcPr>
            <w:tcW w:w="1087" w:type="dxa"/>
            <w:tcBorders>
              <w:top w:val="single" w:color="auto" w:sz="4" w:space="0"/>
              <w:bottom w:val="single" w:color="auto" w:sz="4" w:space="0"/>
              <w:right w:val="single" w:color="auto" w:sz="4" w:space="0"/>
            </w:tcBorders>
            <w:vAlign w:val="center"/>
          </w:tcPr>
          <w:p w14:paraId="5128D22E">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2022" w:type="dxa"/>
            <w:tcBorders>
              <w:top w:val="single" w:color="auto" w:sz="4" w:space="0"/>
              <w:left w:val="single" w:color="auto" w:sz="4" w:space="0"/>
              <w:bottom w:val="single" w:color="auto" w:sz="4" w:space="0"/>
              <w:right w:val="single" w:color="auto" w:sz="4" w:space="0"/>
            </w:tcBorders>
            <w:vAlign w:val="center"/>
          </w:tcPr>
          <w:p w14:paraId="69976493">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型    式：</w:t>
            </w:r>
          </w:p>
        </w:tc>
        <w:tc>
          <w:tcPr>
            <w:tcW w:w="1763" w:type="dxa"/>
            <w:tcBorders>
              <w:top w:val="single" w:color="auto" w:sz="4" w:space="0"/>
              <w:left w:val="single" w:color="auto" w:sz="4" w:space="0"/>
              <w:bottom w:val="single" w:color="auto" w:sz="4" w:space="0"/>
              <w:right w:val="single" w:color="auto" w:sz="4" w:space="0"/>
            </w:tcBorders>
            <w:vAlign w:val="center"/>
          </w:tcPr>
          <w:p w14:paraId="65EA972F">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电动扇形盲板阀</w:t>
            </w:r>
          </w:p>
        </w:tc>
        <w:tc>
          <w:tcPr>
            <w:tcW w:w="1743" w:type="dxa"/>
            <w:tcBorders>
              <w:top w:val="single" w:color="auto" w:sz="4" w:space="0"/>
              <w:left w:val="single" w:color="auto" w:sz="4" w:space="0"/>
              <w:bottom w:val="single" w:color="auto" w:sz="4" w:space="0"/>
              <w:right w:val="single" w:color="auto" w:sz="4" w:space="0"/>
            </w:tcBorders>
            <w:vAlign w:val="center"/>
          </w:tcPr>
          <w:p w14:paraId="6CA0ED48">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电动扇形盲板阀</w:t>
            </w:r>
          </w:p>
        </w:tc>
        <w:tc>
          <w:tcPr>
            <w:tcW w:w="1900" w:type="dxa"/>
            <w:tcBorders>
              <w:top w:val="single" w:color="auto" w:sz="4" w:space="0"/>
              <w:left w:val="single" w:color="auto" w:sz="4" w:space="0"/>
              <w:bottom w:val="single" w:color="auto" w:sz="4" w:space="0"/>
            </w:tcBorders>
            <w:vAlign w:val="center"/>
          </w:tcPr>
          <w:p w14:paraId="4609ACE1">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电动扇形盲板阀</w:t>
            </w:r>
          </w:p>
        </w:tc>
      </w:tr>
      <w:tr w14:paraId="575A01F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99" w:hRule="atLeast"/>
        </w:trPr>
        <w:tc>
          <w:tcPr>
            <w:tcW w:w="1087" w:type="dxa"/>
            <w:tcBorders>
              <w:top w:val="single" w:color="auto" w:sz="4" w:space="0"/>
              <w:bottom w:val="single" w:color="auto" w:sz="4" w:space="0"/>
              <w:right w:val="single" w:color="auto" w:sz="4" w:space="0"/>
            </w:tcBorders>
            <w:vAlign w:val="center"/>
          </w:tcPr>
          <w:p w14:paraId="2B84F0C6">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2022" w:type="dxa"/>
            <w:tcBorders>
              <w:top w:val="single" w:color="auto" w:sz="4" w:space="0"/>
              <w:left w:val="single" w:color="auto" w:sz="4" w:space="0"/>
              <w:bottom w:val="single" w:color="auto" w:sz="4" w:space="0"/>
              <w:right w:val="single" w:color="auto" w:sz="4" w:space="0"/>
            </w:tcBorders>
            <w:vAlign w:val="center"/>
          </w:tcPr>
          <w:p w14:paraId="73F47191">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公称直径</w:t>
            </w:r>
          </w:p>
        </w:tc>
        <w:tc>
          <w:tcPr>
            <w:tcW w:w="1763" w:type="dxa"/>
            <w:tcBorders>
              <w:top w:val="single" w:color="auto" w:sz="4" w:space="0"/>
              <w:left w:val="single" w:color="auto" w:sz="4" w:space="0"/>
              <w:bottom w:val="single" w:color="auto" w:sz="4" w:space="0"/>
              <w:right w:val="single" w:color="auto" w:sz="4" w:space="0"/>
            </w:tcBorders>
            <w:vAlign w:val="center"/>
          </w:tcPr>
          <w:p w14:paraId="6F3CA610">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回收阀后DN300</w:t>
            </w:r>
          </w:p>
        </w:tc>
        <w:tc>
          <w:tcPr>
            <w:tcW w:w="1743" w:type="dxa"/>
            <w:tcBorders>
              <w:top w:val="single" w:color="auto" w:sz="4" w:space="0"/>
              <w:left w:val="single" w:color="auto" w:sz="4" w:space="0"/>
              <w:bottom w:val="single" w:color="auto" w:sz="4" w:space="0"/>
              <w:right w:val="single" w:color="000000" w:sz="4" w:space="0"/>
            </w:tcBorders>
            <w:vAlign w:val="center"/>
          </w:tcPr>
          <w:p w14:paraId="73E0DCB4">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引射阀切断DN</w:t>
            </w:r>
            <w:r>
              <w:rPr>
                <w:rFonts w:hint="eastAsia" w:ascii="Times New Roman" w:hAnsi="Times New Roman" w:cs="Times New Roman"/>
                <w:color w:val="auto"/>
                <w:sz w:val="21"/>
                <w:szCs w:val="21"/>
                <w:highlight w:val="none"/>
              </w:rPr>
              <w:t>30</w:t>
            </w:r>
            <w:r>
              <w:rPr>
                <w:rFonts w:ascii="Times New Roman" w:hAnsi="Times New Roman" w:cs="Times New Roman"/>
                <w:color w:val="auto"/>
                <w:sz w:val="21"/>
                <w:szCs w:val="21"/>
                <w:highlight w:val="none"/>
              </w:rPr>
              <w:t>0</w:t>
            </w:r>
          </w:p>
        </w:tc>
        <w:tc>
          <w:tcPr>
            <w:tcW w:w="1900" w:type="dxa"/>
            <w:tcBorders>
              <w:top w:val="single" w:color="auto" w:sz="4" w:space="0"/>
              <w:left w:val="single" w:color="000000" w:sz="4" w:space="0"/>
              <w:bottom w:val="single" w:color="auto" w:sz="4" w:space="0"/>
            </w:tcBorders>
            <w:vAlign w:val="center"/>
          </w:tcPr>
          <w:p w14:paraId="3DE51EFF">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筒体切断DN600</w:t>
            </w:r>
          </w:p>
        </w:tc>
      </w:tr>
      <w:tr w14:paraId="51D12B2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Pr>
        <w:tc>
          <w:tcPr>
            <w:tcW w:w="1087" w:type="dxa"/>
            <w:tcBorders>
              <w:top w:val="single" w:color="auto" w:sz="4" w:space="0"/>
              <w:bottom w:val="single" w:color="auto" w:sz="4" w:space="0"/>
              <w:right w:val="single" w:color="auto" w:sz="4" w:space="0"/>
            </w:tcBorders>
            <w:vAlign w:val="center"/>
          </w:tcPr>
          <w:p w14:paraId="26E27EB3">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w:t>
            </w:r>
          </w:p>
        </w:tc>
        <w:tc>
          <w:tcPr>
            <w:tcW w:w="2022" w:type="dxa"/>
            <w:tcBorders>
              <w:top w:val="single" w:color="auto" w:sz="4" w:space="0"/>
              <w:left w:val="single" w:color="auto" w:sz="4" w:space="0"/>
              <w:bottom w:val="single" w:color="auto" w:sz="4" w:space="0"/>
              <w:right w:val="single" w:color="auto" w:sz="4" w:space="0"/>
            </w:tcBorders>
            <w:vAlign w:val="center"/>
          </w:tcPr>
          <w:p w14:paraId="46D33829">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正常煤气温度</w:t>
            </w:r>
          </w:p>
        </w:tc>
        <w:tc>
          <w:tcPr>
            <w:tcW w:w="5406" w:type="dxa"/>
            <w:gridSpan w:val="3"/>
            <w:tcBorders>
              <w:top w:val="single" w:color="auto" w:sz="4" w:space="0"/>
              <w:left w:val="single" w:color="auto" w:sz="4" w:space="0"/>
              <w:bottom w:val="single" w:color="auto" w:sz="4" w:space="0"/>
            </w:tcBorders>
            <w:vAlign w:val="center"/>
          </w:tcPr>
          <w:p w14:paraId="1FB59B3E">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＜250℃</w:t>
            </w:r>
          </w:p>
        </w:tc>
      </w:tr>
      <w:tr w14:paraId="713A56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Pr>
        <w:tc>
          <w:tcPr>
            <w:tcW w:w="1087" w:type="dxa"/>
            <w:tcBorders>
              <w:top w:val="single" w:color="auto" w:sz="4" w:space="0"/>
              <w:bottom w:val="single" w:color="auto" w:sz="4" w:space="0"/>
              <w:right w:val="single" w:color="auto" w:sz="4" w:space="0"/>
            </w:tcBorders>
            <w:vAlign w:val="center"/>
          </w:tcPr>
          <w:p w14:paraId="15A9F8AC">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w:t>
            </w:r>
          </w:p>
        </w:tc>
        <w:tc>
          <w:tcPr>
            <w:tcW w:w="2022" w:type="dxa"/>
            <w:tcBorders>
              <w:top w:val="single" w:color="auto" w:sz="4" w:space="0"/>
              <w:left w:val="single" w:color="auto" w:sz="4" w:space="0"/>
              <w:bottom w:val="single" w:color="auto" w:sz="4" w:space="0"/>
              <w:right w:val="single" w:color="auto" w:sz="4" w:space="0"/>
            </w:tcBorders>
            <w:vAlign w:val="center"/>
          </w:tcPr>
          <w:p w14:paraId="7CD80229">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最高工作压力：</w:t>
            </w:r>
          </w:p>
        </w:tc>
        <w:tc>
          <w:tcPr>
            <w:tcW w:w="5406" w:type="dxa"/>
            <w:gridSpan w:val="3"/>
            <w:tcBorders>
              <w:top w:val="single" w:color="auto" w:sz="4" w:space="0"/>
              <w:left w:val="single" w:color="auto" w:sz="4" w:space="0"/>
              <w:bottom w:val="single" w:color="auto" w:sz="4" w:space="0"/>
            </w:tcBorders>
            <w:vAlign w:val="center"/>
          </w:tcPr>
          <w:p w14:paraId="18FDA1B4">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0.2</w:t>
            </w:r>
            <w:r>
              <w:rPr>
                <w:rFonts w:hint="eastAsia" w:ascii="Times New Roman" w:hAnsi="Times New Roman" w:cs="Times New Roman"/>
                <w:color w:val="auto"/>
                <w:sz w:val="21"/>
                <w:szCs w:val="21"/>
                <w:highlight w:val="none"/>
              </w:rPr>
              <w:t>0</w:t>
            </w:r>
            <w:r>
              <w:rPr>
                <w:rFonts w:ascii="Times New Roman" w:hAnsi="Times New Roman" w:cs="Times New Roman"/>
                <w:color w:val="auto"/>
                <w:sz w:val="21"/>
                <w:szCs w:val="21"/>
                <w:highlight w:val="none"/>
              </w:rPr>
              <w:t>MPa</w:t>
            </w:r>
          </w:p>
        </w:tc>
      </w:tr>
      <w:tr w14:paraId="3D5195F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Pr>
        <w:tc>
          <w:tcPr>
            <w:tcW w:w="1087" w:type="dxa"/>
            <w:tcBorders>
              <w:top w:val="single" w:color="auto" w:sz="4" w:space="0"/>
              <w:right w:val="single" w:color="auto" w:sz="4" w:space="0"/>
            </w:tcBorders>
            <w:vAlign w:val="center"/>
          </w:tcPr>
          <w:p w14:paraId="793779BA">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w:t>
            </w:r>
          </w:p>
        </w:tc>
        <w:tc>
          <w:tcPr>
            <w:tcW w:w="2022" w:type="dxa"/>
            <w:tcBorders>
              <w:top w:val="single" w:color="auto" w:sz="4" w:space="0"/>
              <w:left w:val="single" w:color="auto" w:sz="4" w:space="0"/>
              <w:right w:val="single" w:color="auto" w:sz="4" w:space="0"/>
            </w:tcBorders>
            <w:vAlign w:val="center"/>
          </w:tcPr>
          <w:p w14:paraId="7BDE2488">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技术特点：</w:t>
            </w:r>
          </w:p>
        </w:tc>
        <w:tc>
          <w:tcPr>
            <w:tcW w:w="5406" w:type="dxa"/>
            <w:gridSpan w:val="3"/>
            <w:tcBorders>
              <w:top w:val="single" w:color="auto" w:sz="4" w:space="0"/>
              <w:left w:val="single" w:color="auto" w:sz="4" w:space="0"/>
            </w:tcBorders>
            <w:vAlign w:val="center"/>
          </w:tcPr>
          <w:p w14:paraId="11978136">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密封圈为软硬层叠式金属片；</w:t>
            </w:r>
          </w:p>
        </w:tc>
      </w:tr>
    </w:tbl>
    <w:p w14:paraId="57ADE08D">
      <w:pPr>
        <w:shd w:val="clear"/>
        <w:rPr>
          <w:color w:val="auto"/>
          <w:highlight w:val="none"/>
        </w:rPr>
      </w:pPr>
      <w:bookmarkStart w:id="243" w:name="_Toc20052"/>
      <w:bookmarkStart w:id="244" w:name="_Toc13845"/>
      <w:bookmarkStart w:id="245" w:name="_Toc16108"/>
      <w:r>
        <w:rPr>
          <w:rFonts w:hint="eastAsia"/>
          <w:color w:val="auto"/>
          <w:highlight w:val="none"/>
        </w:rPr>
        <w:t>（3）补偿器</w:t>
      </w:r>
      <w:bookmarkEnd w:id="243"/>
      <w:bookmarkEnd w:id="244"/>
      <w:bookmarkEnd w:id="245"/>
    </w:p>
    <w:p w14:paraId="7E611F6C">
      <w:pPr>
        <w:shd w:val="clear"/>
        <w:adjustRightInd w:val="0"/>
        <w:spacing w:line="312" w:lineRule="auto"/>
        <w:jc w:val="both"/>
        <w:rPr>
          <w:rFonts w:cs="Times New Roman"/>
          <w:color w:val="auto"/>
          <w:highlight w:val="none"/>
        </w:rPr>
      </w:pPr>
      <w:r>
        <w:rPr>
          <w:rFonts w:hint="eastAsia" w:cs="Times New Roman"/>
          <w:color w:val="auto"/>
          <w:highlight w:val="none"/>
        </w:rPr>
        <w:t>补偿器波纹管均采用254</w:t>
      </w:r>
      <w:r>
        <w:rPr>
          <w:rFonts w:hint="eastAsia" w:cs="Times New Roman"/>
          <w:color w:val="auto"/>
          <w:highlight w:val="none"/>
          <w:lang w:val="en-US" w:eastAsia="zh-CN"/>
        </w:rPr>
        <w:t>SMo</w:t>
      </w:r>
      <w:r>
        <w:rPr>
          <w:rFonts w:hint="eastAsia" w:cs="Times New Roman"/>
          <w:color w:val="auto"/>
          <w:highlight w:val="none"/>
        </w:rPr>
        <w:t>+316材质，补偿器内衬</w:t>
      </w:r>
      <w:r>
        <w:rPr>
          <w:rFonts w:hint="eastAsia" w:cs="Times New Roman"/>
          <w:color w:val="auto"/>
          <w:highlight w:val="none"/>
          <w:lang w:val="en-US" w:eastAsia="zh-CN"/>
        </w:rPr>
        <w:t>Q355B,厚度10</w:t>
      </w:r>
      <w:r>
        <w:rPr>
          <w:rFonts w:hint="eastAsia" w:cs="Times New Roman"/>
          <w:color w:val="auto"/>
          <w:highlight w:val="none"/>
        </w:rPr>
        <w:t>mm。</w:t>
      </w:r>
    </w:p>
    <w:p w14:paraId="4A792485">
      <w:pPr>
        <w:shd w:val="clear"/>
        <w:rPr>
          <w:color w:val="auto"/>
          <w:highlight w:val="none"/>
        </w:rPr>
      </w:pPr>
      <w:bookmarkStart w:id="246" w:name="_Toc11619"/>
      <w:bookmarkStart w:id="247" w:name="_Toc24614"/>
      <w:bookmarkStart w:id="248" w:name="_Toc24058"/>
      <w:r>
        <w:rPr>
          <w:rFonts w:hint="eastAsia"/>
          <w:color w:val="auto"/>
          <w:highlight w:val="none"/>
        </w:rPr>
        <w:t>（4）其它</w:t>
      </w:r>
      <w:bookmarkEnd w:id="246"/>
      <w:bookmarkEnd w:id="247"/>
      <w:bookmarkEnd w:id="248"/>
    </w:p>
    <w:p w14:paraId="1A7FD077">
      <w:pPr>
        <w:shd w:val="clear"/>
        <w:adjustRightInd w:val="0"/>
        <w:spacing w:line="312" w:lineRule="auto"/>
        <w:jc w:val="both"/>
        <w:rPr>
          <w:rFonts w:cs="Times New Roman"/>
          <w:color w:val="auto"/>
          <w:highlight w:val="none"/>
        </w:rPr>
      </w:pPr>
      <w:r>
        <w:rPr>
          <w:rFonts w:hint="eastAsia" w:cs="Times New Roman"/>
          <w:color w:val="auto"/>
          <w:highlight w:val="none"/>
        </w:rPr>
        <w:t>1)除尘器框架内阀门的检修考虑采用汽车吊检修。</w:t>
      </w:r>
    </w:p>
    <w:p w14:paraId="455FF68F">
      <w:pPr>
        <w:shd w:val="clear"/>
        <w:adjustRightInd w:val="0"/>
        <w:spacing w:line="312" w:lineRule="auto"/>
        <w:jc w:val="both"/>
        <w:rPr>
          <w:rFonts w:cs="Times New Roman"/>
          <w:color w:val="auto"/>
          <w:highlight w:val="none"/>
        </w:rPr>
      </w:pPr>
      <w:r>
        <w:rPr>
          <w:rFonts w:hint="eastAsia" w:cs="Times New Roman"/>
          <w:color w:val="auto"/>
          <w:highlight w:val="none"/>
        </w:rPr>
        <w:t>2）均压回收管道最顶部均设煤气放散管，设置一道电动煤气阀放散阀和一道手动阀门，放散管路引至最高点排放。</w:t>
      </w:r>
    </w:p>
    <w:p w14:paraId="6F537C73">
      <w:pPr>
        <w:shd w:val="clear"/>
        <w:adjustRightInd w:val="0"/>
        <w:spacing w:line="312" w:lineRule="auto"/>
        <w:jc w:val="both"/>
        <w:rPr>
          <w:rFonts w:cs="Times New Roman"/>
          <w:color w:val="auto"/>
          <w:highlight w:val="none"/>
        </w:rPr>
      </w:pPr>
      <w:r>
        <w:rPr>
          <w:rFonts w:hint="eastAsia" w:cs="Times New Roman"/>
          <w:color w:val="auto"/>
          <w:highlight w:val="none"/>
        </w:rPr>
        <w:t>3）进煤气管网阀门需设置为一个电动蝶阀和一个电动盲板阀。</w:t>
      </w:r>
    </w:p>
    <w:p w14:paraId="3E1BE5C6">
      <w:pPr>
        <w:shd w:val="clear"/>
        <w:adjustRightInd w:val="0"/>
        <w:spacing w:line="312" w:lineRule="auto"/>
        <w:jc w:val="both"/>
        <w:rPr>
          <w:rFonts w:cs="Times New Roman"/>
          <w:color w:val="auto"/>
          <w:highlight w:val="none"/>
        </w:rPr>
      </w:pPr>
      <w:r>
        <w:rPr>
          <w:rFonts w:hint="eastAsia" w:cs="Times New Roman"/>
          <w:color w:val="auto"/>
          <w:highlight w:val="none"/>
        </w:rPr>
        <w:t>4）各管段的放散阀、吹扫阀需设置完善，保证各管段的吹扫。各氮气接口、各吹扫口的阀门均为2道手动阀。放散管道的高度需满足规范要求。取样管设置2道手动阀。</w:t>
      </w:r>
    </w:p>
    <w:p w14:paraId="1552DFBD">
      <w:pPr>
        <w:shd w:val="clear"/>
        <w:ind w:firstLine="0" w:firstLineChars="0"/>
        <w:outlineLvl w:val="2"/>
        <w:rPr>
          <w:rFonts w:cs="Times New Roman"/>
          <w:color w:val="auto"/>
          <w:szCs w:val="28"/>
          <w:highlight w:val="none"/>
        </w:rPr>
      </w:pPr>
      <w:bookmarkStart w:id="249" w:name="_Toc100483381"/>
      <w:bookmarkStart w:id="250" w:name="_Toc79840277"/>
      <w:bookmarkStart w:id="251" w:name="_Toc31195"/>
      <w:r>
        <w:rPr>
          <w:rFonts w:hint="eastAsia" w:cs="Times New Roman"/>
          <w:color w:val="auto"/>
          <w:szCs w:val="28"/>
          <w:highlight w:val="none"/>
        </w:rPr>
        <w:t>2.4.5 炉顶液压、润滑系统</w:t>
      </w:r>
      <w:bookmarkEnd w:id="249"/>
      <w:bookmarkEnd w:id="250"/>
      <w:bookmarkEnd w:id="251"/>
    </w:p>
    <w:p w14:paraId="0E30F72F">
      <w:pPr>
        <w:shd w:val="clear"/>
        <w:rPr>
          <w:rFonts w:ascii="Times New Roman" w:hAnsi="Times New Roman"/>
          <w:color w:val="auto"/>
          <w:highlight w:val="none"/>
        </w:rPr>
      </w:pPr>
      <w:r>
        <w:rPr>
          <w:rFonts w:hint="eastAsia" w:ascii="Times New Roman" w:hAnsi="Times New Roman"/>
          <w:color w:val="auto"/>
          <w:highlight w:val="none"/>
        </w:rPr>
        <w:t>现有的两个均压放散阀原样更换，增加一个均压煤气回收阀，均压煤气回收装置引射阀为气动阀门，放置在煤气干法除尘处，新增的智能润滑系统放置在现有的稀有润滑站位置，炉顶液压站增加阀台，对原有炉顶液压站旁工具柜改造。</w:t>
      </w:r>
    </w:p>
    <w:p w14:paraId="3670853F">
      <w:pPr>
        <w:shd w:val="clear"/>
        <w:rPr>
          <w:rFonts w:ascii="Times New Roman" w:hAnsi="Times New Roman"/>
          <w:color w:val="auto"/>
          <w:highlight w:val="none"/>
        </w:rPr>
      </w:pPr>
      <w:r>
        <w:rPr>
          <w:rFonts w:hint="eastAsia" w:ascii="Times New Roman" w:hAnsi="Times New Roman"/>
          <w:color w:val="auto"/>
          <w:highlight w:val="none"/>
        </w:rPr>
        <w:t>炉顶液压站内增设干油润滑站一套，采用智能润滑系统，定时定量自动向炉顶各设备供油。炉顶布料器每个点单独进行调节，其余炉顶各设备以一台</w:t>
      </w:r>
      <w:r>
        <w:rPr>
          <w:rFonts w:hint="eastAsia" w:ascii="Times New Roman" w:hAnsi="Times New Roman"/>
          <w:color w:val="auto"/>
          <w:highlight w:val="none"/>
          <w:lang w:val="en-US" w:eastAsia="zh-CN"/>
        </w:rPr>
        <w:t>设备</w:t>
      </w:r>
      <w:r>
        <w:rPr>
          <w:rFonts w:hint="eastAsia" w:ascii="Times New Roman" w:hAnsi="Times New Roman"/>
          <w:color w:val="auto"/>
          <w:highlight w:val="none"/>
        </w:rPr>
        <w:t>为控制单元，每个控制单元设置一个给油器及流量计，通过递进式分配器给各个润滑点分配器润滑油，</w:t>
      </w:r>
      <w:r>
        <w:rPr>
          <w:rFonts w:hint="eastAsia" w:ascii="Times New Roman" w:hAnsi="Times New Roman"/>
          <w:color w:val="auto"/>
          <w:sz w:val="21"/>
          <w:szCs w:val="21"/>
          <w:highlight w:val="none"/>
        </w:rPr>
        <w:t>对控制单位内的润滑点的润滑量一起调节，每个给油器的润滑情况均可在控制室集中显示。每个点的润滑情况均可在控制室集中显示。炉顶润滑系统分为45分钟润滑回路和8小时润滑回路。智能润滑系统组成包括润滑泵、加油泵、过滤器、截止阀、给油器、电控柜、上位机、电气元件、管道及管件。每套干油润滑采用智能终端控制，配备两台泵（配置称重油位计），一台工作，一台备用；当其中一个泵站出现问题时，另一个泵站能自动向润滑点供脂润滑。各电动干油润滑系统设置自带桶式电动加油泵,其出口用软管与电动干油泵</w:t>
      </w:r>
      <w:r>
        <w:rPr>
          <w:rFonts w:hint="eastAsia" w:ascii="Times New Roman" w:hAnsi="Times New Roman"/>
          <w:color w:val="auto"/>
          <w:highlight w:val="none"/>
        </w:rPr>
        <w:t>的贮油器连通,以便实现自动加油。</w:t>
      </w:r>
    </w:p>
    <w:p w14:paraId="3E033D08">
      <w:pPr>
        <w:shd w:val="clear"/>
        <w:rPr>
          <w:rFonts w:ascii="Times New Roman" w:hAnsi="Times New Roman"/>
          <w:color w:val="auto"/>
          <w:highlight w:val="none"/>
        </w:rPr>
      </w:pPr>
      <w:r>
        <w:rPr>
          <w:rFonts w:hint="eastAsia" w:ascii="Times New Roman" w:hAnsi="Times New Roman"/>
          <w:color w:val="auto"/>
          <w:highlight w:val="none"/>
        </w:rPr>
        <w:t>润滑系统使用国产高压系列润滑元件，润滑脂采用2#极压锂基脂。润滑管路采用优质碳钢管（GB/T 8163-2018）。管路设置蒸汽伴热和保温。</w:t>
      </w:r>
    </w:p>
    <w:p w14:paraId="4C27FDC4">
      <w:pPr>
        <w:shd w:val="clear"/>
        <w:ind w:firstLine="0" w:firstLineChars="0"/>
        <w:outlineLvl w:val="1"/>
        <w:rPr>
          <w:rFonts w:cs="Times New Roman"/>
          <w:b/>
          <w:color w:val="auto"/>
          <w:sz w:val="28"/>
          <w:szCs w:val="28"/>
          <w:highlight w:val="none"/>
        </w:rPr>
      </w:pPr>
      <w:bookmarkStart w:id="252" w:name="_Toc22777"/>
      <w:bookmarkStart w:id="253" w:name="_Toc10765"/>
      <w:bookmarkStart w:id="254" w:name="_Toc22029"/>
      <w:bookmarkStart w:id="255" w:name="_Toc100483385"/>
      <w:bookmarkStart w:id="256" w:name="_Toc79840281"/>
      <w:bookmarkStart w:id="257" w:name="_Toc8575"/>
      <w:bookmarkStart w:id="258" w:name="_Toc32319"/>
      <w:bookmarkStart w:id="259" w:name="_Toc100483684"/>
      <w:bookmarkStart w:id="260" w:name="_Toc8217"/>
      <w:bookmarkStart w:id="261" w:name="_Toc175920361"/>
      <w:r>
        <w:rPr>
          <w:rFonts w:cs="Times New Roman"/>
          <w:b/>
          <w:color w:val="auto"/>
          <w:sz w:val="28"/>
          <w:szCs w:val="28"/>
          <w:highlight w:val="none"/>
        </w:rPr>
        <w:t>2.5 粗煤气系统</w:t>
      </w:r>
      <w:bookmarkEnd w:id="252"/>
      <w:bookmarkEnd w:id="253"/>
      <w:bookmarkEnd w:id="254"/>
      <w:bookmarkEnd w:id="255"/>
      <w:bookmarkEnd w:id="256"/>
      <w:bookmarkEnd w:id="257"/>
      <w:bookmarkEnd w:id="258"/>
      <w:bookmarkEnd w:id="259"/>
      <w:bookmarkEnd w:id="260"/>
      <w:bookmarkEnd w:id="261"/>
    </w:p>
    <w:p w14:paraId="62289C74">
      <w:pPr>
        <w:shd w:val="clear"/>
        <w:ind w:firstLine="0" w:firstLineChars="0"/>
        <w:outlineLvl w:val="2"/>
        <w:rPr>
          <w:rFonts w:cs="Times New Roman"/>
          <w:color w:val="auto"/>
          <w:szCs w:val="28"/>
          <w:highlight w:val="none"/>
        </w:rPr>
      </w:pPr>
      <w:bookmarkStart w:id="262" w:name="_Toc21308"/>
      <w:bookmarkStart w:id="263" w:name="_Toc100483386"/>
      <w:bookmarkStart w:id="264" w:name="_Toc79840282"/>
      <w:r>
        <w:rPr>
          <w:rFonts w:hint="eastAsia" w:cs="Times New Roman"/>
          <w:color w:val="auto"/>
          <w:szCs w:val="28"/>
          <w:highlight w:val="none"/>
        </w:rPr>
        <w:t>2.5.1 现状分析</w:t>
      </w:r>
      <w:bookmarkEnd w:id="262"/>
      <w:bookmarkEnd w:id="263"/>
      <w:bookmarkEnd w:id="264"/>
    </w:p>
    <w:p w14:paraId="7EA5A1B3">
      <w:pPr>
        <w:shd w:val="clear"/>
        <w:rPr>
          <w:rFonts w:ascii="Times New Roman" w:hAnsi="Times New Roman"/>
          <w:color w:val="auto"/>
          <w:highlight w:val="none"/>
        </w:rPr>
      </w:pPr>
      <w:r>
        <w:rPr>
          <w:rFonts w:hint="eastAsia" w:ascii="Times New Roman" w:hAnsi="Times New Roman"/>
          <w:color w:val="auto"/>
          <w:highlight w:val="none"/>
        </w:rPr>
        <w:t>酒钢2号高炉粗煤气管道及重力除尘器投产于1989年，距今已有30多年，2013年高炉优化升级大修改造仅对管道和除尘器的内衬进行了喷涂更换。目前粗煤气下降管裤衩管位置有开裂；重力除尘器内部导流筒磨损严重；半净煤气管道积灰严重；布袋破损后常出现蝶阀无法关闭，箱体无法泄压的情况，影响高炉正常生产。</w:t>
      </w:r>
    </w:p>
    <w:p w14:paraId="64AD3388">
      <w:pPr>
        <w:shd w:val="clear"/>
        <w:rPr>
          <w:rFonts w:ascii="Times New Roman" w:hAnsi="Times New Roman"/>
          <w:color w:val="auto"/>
          <w:highlight w:val="none"/>
        </w:rPr>
      </w:pPr>
      <w:r>
        <w:rPr>
          <w:rFonts w:hint="eastAsia" w:ascii="Times New Roman" w:hAnsi="Times New Roman"/>
          <w:color w:val="auto"/>
          <w:highlight w:val="none"/>
        </w:rPr>
        <w:t>目前重力除尘灰采用汽车运输，加湿搅拌机卸灰装车时扬尘严重，不满足超低排放要求。</w:t>
      </w:r>
    </w:p>
    <w:p w14:paraId="29349CAB">
      <w:pPr>
        <w:shd w:val="clear"/>
        <w:autoSpaceDE w:val="0"/>
        <w:autoSpaceDN w:val="0"/>
        <w:adjustRightInd w:val="0"/>
        <w:snapToGrid w:val="0"/>
        <w:ind w:firstLine="0" w:firstLineChars="0"/>
        <w:jc w:val="center"/>
        <w:rPr>
          <w:rFonts w:ascii="Arial" w:hAnsi="Arial" w:cs="Times New Roman"/>
          <w:color w:val="auto"/>
          <w:kern w:val="0"/>
          <w:sz w:val="28"/>
          <w:szCs w:val="28"/>
          <w:highlight w:val="none"/>
        </w:rPr>
      </w:pPr>
      <w:r>
        <w:rPr>
          <w:rFonts w:hint="eastAsia" w:ascii="Arial" w:hAnsi="Arial" w:cs="Times New Roman"/>
          <w:color w:val="auto"/>
          <w:kern w:val="0"/>
          <w:sz w:val="28"/>
          <w:szCs w:val="20"/>
          <w:highlight w:val="none"/>
        </w:rPr>
        <w:drawing>
          <wp:inline distT="0" distB="0" distL="114300" distR="114300">
            <wp:extent cx="4372610" cy="3100705"/>
            <wp:effectExtent l="0" t="0" r="8890" b="10795"/>
            <wp:docPr id="16" name="图片 63"/>
            <wp:cNvGraphicFramePr/>
            <a:graphic xmlns:a="http://schemas.openxmlformats.org/drawingml/2006/main">
              <a:graphicData uri="http://schemas.openxmlformats.org/drawingml/2006/picture">
                <pic:pic xmlns:pic="http://schemas.openxmlformats.org/drawingml/2006/picture">
                  <pic:nvPicPr>
                    <pic:cNvPr id="16" name="图片 63"/>
                    <pic:cNvPicPr/>
                  </pic:nvPicPr>
                  <pic:blipFill>
                    <a:blip r:embed="rId11" cstate="print"/>
                    <a:stretch>
                      <a:fillRect/>
                    </a:stretch>
                  </pic:blipFill>
                  <pic:spPr>
                    <a:xfrm>
                      <a:off x="0" y="0"/>
                      <a:ext cx="4372610" cy="3100705"/>
                    </a:xfrm>
                    <a:prstGeom prst="rect">
                      <a:avLst/>
                    </a:prstGeom>
                    <a:noFill/>
                    <a:ln>
                      <a:noFill/>
                    </a:ln>
                  </pic:spPr>
                </pic:pic>
              </a:graphicData>
            </a:graphic>
          </wp:inline>
        </w:drawing>
      </w:r>
    </w:p>
    <w:p w14:paraId="198C3715">
      <w:pPr>
        <w:shd w:val="clear"/>
        <w:jc w:val="center"/>
        <w:rPr>
          <w:rFonts w:ascii="Times New Roman" w:hAnsi="Times New Roman" w:cs="Times New Roman"/>
          <w:color w:val="auto"/>
          <w:highlight w:val="none"/>
        </w:rPr>
      </w:pPr>
      <w:r>
        <w:rPr>
          <w:rFonts w:hint="eastAsia" w:ascii="Times New Roman" w:hAnsi="Times New Roman" w:cs="Times New Roman"/>
          <w:color w:val="auto"/>
          <w:highlight w:val="none"/>
        </w:rPr>
        <w:t>图2.</w:t>
      </w:r>
      <w:r>
        <w:rPr>
          <w:rFonts w:ascii="Times New Roman" w:hAnsi="Times New Roman" w:cs="Times New Roman"/>
          <w:color w:val="auto"/>
          <w:highlight w:val="none"/>
        </w:rPr>
        <w:t>5</w:t>
      </w:r>
      <w:r>
        <w:rPr>
          <w:rFonts w:hint="eastAsia" w:ascii="Times New Roman" w:hAnsi="Times New Roman" w:cs="Times New Roman"/>
          <w:color w:val="auto"/>
          <w:highlight w:val="none"/>
        </w:rPr>
        <w:t>-</w:t>
      </w:r>
      <w:r>
        <w:rPr>
          <w:rFonts w:ascii="Times New Roman" w:hAnsi="Times New Roman" w:cs="Times New Roman"/>
          <w:color w:val="auto"/>
          <w:highlight w:val="none"/>
        </w:rPr>
        <w:t xml:space="preserve">1  </w:t>
      </w:r>
      <w:r>
        <w:rPr>
          <w:rFonts w:hint="eastAsia" w:ascii="Times New Roman" w:hAnsi="Times New Roman" w:cs="Times New Roman"/>
          <w:color w:val="auto"/>
          <w:highlight w:val="none"/>
        </w:rPr>
        <w:t>重力</w:t>
      </w:r>
      <w:r>
        <w:rPr>
          <w:rFonts w:ascii="Times New Roman" w:hAnsi="Times New Roman" w:cs="Times New Roman"/>
          <w:color w:val="auto"/>
          <w:highlight w:val="none"/>
        </w:rPr>
        <w:t>除尘灰卸灰</w:t>
      </w:r>
      <w:r>
        <w:rPr>
          <w:rFonts w:hint="eastAsia" w:ascii="Times New Roman" w:hAnsi="Times New Roman" w:cs="Times New Roman"/>
          <w:color w:val="auto"/>
          <w:highlight w:val="none"/>
        </w:rPr>
        <w:t>装车</w:t>
      </w:r>
      <w:r>
        <w:rPr>
          <w:rFonts w:ascii="Times New Roman" w:hAnsi="Times New Roman" w:cs="Times New Roman"/>
          <w:color w:val="auto"/>
          <w:highlight w:val="none"/>
        </w:rPr>
        <w:t>现场</w:t>
      </w:r>
      <w:r>
        <w:rPr>
          <w:rFonts w:hint="eastAsia" w:ascii="Times New Roman" w:hAnsi="Times New Roman" w:cs="Times New Roman"/>
          <w:color w:val="auto"/>
          <w:highlight w:val="none"/>
        </w:rPr>
        <w:t>情况</w:t>
      </w:r>
    </w:p>
    <w:p w14:paraId="382B8D23">
      <w:pPr>
        <w:shd w:val="clear"/>
        <w:ind w:firstLine="0" w:firstLineChars="0"/>
        <w:outlineLvl w:val="2"/>
        <w:rPr>
          <w:rFonts w:cs="Times New Roman"/>
          <w:color w:val="auto"/>
          <w:szCs w:val="28"/>
          <w:highlight w:val="none"/>
        </w:rPr>
      </w:pPr>
      <w:bookmarkStart w:id="265" w:name="_Toc15561"/>
      <w:r>
        <w:rPr>
          <w:rFonts w:hint="eastAsia" w:cs="Times New Roman"/>
          <w:color w:val="auto"/>
          <w:szCs w:val="28"/>
          <w:highlight w:val="none"/>
        </w:rPr>
        <w:t>2.5.2 工艺参数</w:t>
      </w:r>
      <w:bookmarkEnd w:id="265"/>
    </w:p>
    <w:p w14:paraId="2EB16CE7">
      <w:pPr>
        <w:shd w:val="clear"/>
        <w:jc w:val="center"/>
        <w:rPr>
          <w:rFonts w:ascii="Times New Roman" w:hAnsi="Times New Roman"/>
          <w:color w:val="auto"/>
          <w:highlight w:val="none"/>
        </w:rPr>
      </w:pPr>
      <w:r>
        <w:rPr>
          <w:rFonts w:hint="eastAsia" w:ascii="Times New Roman" w:hAnsi="Times New Roman"/>
          <w:color w:val="auto"/>
          <w:highlight w:val="none"/>
        </w:rPr>
        <w:t>表2.5-1  粗煤气系统工艺参数</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000000" w:sz="6" w:space="0"/>
        </w:tblBorders>
        <w:tblLayout w:type="fixed"/>
        <w:tblCellMar>
          <w:top w:w="0" w:type="dxa"/>
          <w:left w:w="28" w:type="dxa"/>
          <w:bottom w:w="0" w:type="dxa"/>
          <w:right w:w="28" w:type="dxa"/>
        </w:tblCellMar>
      </w:tblPr>
      <w:tblGrid>
        <w:gridCol w:w="1545"/>
        <w:gridCol w:w="6817"/>
      </w:tblGrid>
      <w:tr w14:paraId="42038700">
        <w:tblPrEx>
          <w:tblBorders>
            <w:top w:val="single" w:color="auto" w:sz="4" w:space="0"/>
            <w:left w:val="single" w:color="auto" w:sz="4" w:space="0"/>
            <w:bottom w:val="single" w:color="auto" w:sz="4" w:space="0"/>
            <w:right w:val="single" w:color="auto" w:sz="4" w:space="0"/>
            <w:insideH w:val="single" w:color="auto" w:sz="4" w:space="0"/>
            <w:insideV w:val="single" w:color="000000" w:sz="6" w:space="0"/>
          </w:tblBorders>
          <w:tblCellMar>
            <w:top w:w="0" w:type="dxa"/>
            <w:left w:w="28" w:type="dxa"/>
            <w:bottom w:w="0" w:type="dxa"/>
            <w:right w:w="28" w:type="dxa"/>
          </w:tblCellMar>
        </w:tblPrEx>
        <w:trPr>
          <w:jc w:val="center"/>
        </w:trPr>
        <w:tc>
          <w:tcPr>
            <w:tcW w:w="1545" w:type="dxa"/>
            <w:tcBorders>
              <w:top w:val="single" w:color="auto" w:sz="12" w:space="0"/>
              <w:left w:val="single" w:color="auto" w:sz="12" w:space="0"/>
              <w:right w:val="single" w:color="auto" w:sz="4" w:space="0"/>
            </w:tcBorders>
            <w:vAlign w:val="center"/>
          </w:tcPr>
          <w:p w14:paraId="365AE0B3">
            <w:pPr>
              <w:shd w:val="clear"/>
              <w:snapToGrid w:val="0"/>
              <w:spacing w:before="100" w:beforeAutospacing="1" w:after="100" w:afterAutospacing="1"/>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炉顶温度</w:t>
            </w:r>
          </w:p>
        </w:tc>
        <w:tc>
          <w:tcPr>
            <w:tcW w:w="6817" w:type="dxa"/>
            <w:tcBorders>
              <w:top w:val="single" w:color="auto" w:sz="12" w:space="0"/>
              <w:left w:val="single" w:color="auto" w:sz="4" w:space="0"/>
              <w:right w:val="single" w:color="auto" w:sz="12" w:space="0"/>
            </w:tcBorders>
            <w:vAlign w:val="center"/>
          </w:tcPr>
          <w:p w14:paraId="00EC4E2F">
            <w:pPr>
              <w:shd w:val="clear"/>
              <w:snapToGrid w:val="0"/>
              <w:spacing w:before="100" w:beforeAutospacing="1" w:after="100" w:afterAutospacing="1"/>
              <w:ind w:firstLine="0" w:firstLineChars="0"/>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正常150℃～250℃（由4根导出管上的测温点检测），当炉顶温度大于260℃，高炉本体电气室发出警报，温度≥280℃时打水冷却，降至280℃停止打水。炉顶最高允许温度550℃（每次持续不超过30分钟）。炉顶采用雾化打水，单喷头水量可调。</w:t>
            </w:r>
          </w:p>
        </w:tc>
      </w:tr>
      <w:tr w14:paraId="34FBF5AE">
        <w:tblPrEx>
          <w:tblBorders>
            <w:top w:val="single" w:color="auto" w:sz="4" w:space="0"/>
            <w:left w:val="single" w:color="auto" w:sz="4" w:space="0"/>
            <w:bottom w:val="single" w:color="auto" w:sz="4" w:space="0"/>
            <w:right w:val="single" w:color="auto" w:sz="4" w:space="0"/>
            <w:insideH w:val="single" w:color="auto" w:sz="4" w:space="0"/>
            <w:insideV w:val="single" w:color="000000" w:sz="6" w:space="0"/>
          </w:tblBorders>
          <w:tblCellMar>
            <w:top w:w="0" w:type="dxa"/>
            <w:left w:w="28" w:type="dxa"/>
            <w:bottom w:w="0" w:type="dxa"/>
            <w:right w:w="28" w:type="dxa"/>
          </w:tblCellMar>
        </w:tblPrEx>
        <w:trPr>
          <w:jc w:val="center"/>
        </w:trPr>
        <w:tc>
          <w:tcPr>
            <w:tcW w:w="1545" w:type="dxa"/>
            <w:tcBorders>
              <w:left w:val="single" w:color="auto" w:sz="12" w:space="0"/>
              <w:right w:val="single" w:color="auto" w:sz="4" w:space="0"/>
            </w:tcBorders>
            <w:vAlign w:val="center"/>
          </w:tcPr>
          <w:p w14:paraId="59272003">
            <w:pPr>
              <w:shd w:val="clear"/>
              <w:snapToGrid w:val="0"/>
              <w:spacing w:before="100" w:beforeAutospacing="1" w:after="100" w:afterAutospacing="1"/>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炉顶压力</w:t>
            </w:r>
          </w:p>
        </w:tc>
        <w:tc>
          <w:tcPr>
            <w:tcW w:w="6817" w:type="dxa"/>
            <w:tcBorders>
              <w:left w:val="single" w:color="auto" w:sz="4" w:space="0"/>
              <w:right w:val="single" w:color="auto" w:sz="12" w:space="0"/>
            </w:tcBorders>
            <w:vAlign w:val="center"/>
          </w:tcPr>
          <w:p w14:paraId="67B81441">
            <w:pPr>
              <w:shd w:val="clear"/>
              <w:snapToGrid w:val="0"/>
              <w:spacing w:before="100" w:beforeAutospacing="1" w:after="100" w:afterAutospacing="1"/>
              <w:ind w:firstLine="0" w:firstLineChars="0"/>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最大</w:t>
            </w:r>
            <w:r>
              <w:rPr>
                <w:rFonts w:ascii="Times New Roman" w:hAnsi="Times New Roman" w:cs="Times New Roman"/>
                <w:color w:val="auto"/>
                <w:sz w:val="21"/>
                <w:szCs w:val="21"/>
                <w:highlight w:val="none"/>
              </w:rPr>
              <w:t>工作压力：0.175MPa</w:t>
            </w:r>
            <w:r>
              <w:rPr>
                <w:rFonts w:hint="eastAsia" w:ascii="Times New Roman" w:hAnsi="Times New Roman" w:cs="Times New Roman"/>
                <w:color w:val="auto"/>
                <w:sz w:val="21"/>
                <w:szCs w:val="21"/>
                <w:highlight w:val="none"/>
              </w:rPr>
              <w:t>，设计压力0.18MPa</w:t>
            </w:r>
          </w:p>
        </w:tc>
      </w:tr>
      <w:tr w14:paraId="0AE8B725">
        <w:tblPrEx>
          <w:tblBorders>
            <w:top w:val="single" w:color="auto" w:sz="4" w:space="0"/>
            <w:left w:val="single" w:color="auto" w:sz="4" w:space="0"/>
            <w:bottom w:val="single" w:color="auto" w:sz="4" w:space="0"/>
            <w:right w:val="single" w:color="auto" w:sz="4" w:space="0"/>
            <w:insideH w:val="single" w:color="auto" w:sz="4" w:space="0"/>
            <w:insideV w:val="single" w:color="000000" w:sz="6" w:space="0"/>
          </w:tblBorders>
          <w:tblCellMar>
            <w:top w:w="0" w:type="dxa"/>
            <w:left w:w="28" w:type="dxa"/>
            <w:bottom w:w="0" w:type="dxa"/>
            <w:right w:w="28" w:type="dxa"/>
          </w:tblCellMar>
        </w:tblPrEx>
        <w:trPr>
          <w:trHeight w:val="431" w:hRule="atLeast"/>
          <w:jc w:val="center"/>
        </w:trPr>
        <w:tc>
          <w:tcPr>
            <w:tcW w:w="1545" w:type="dxa"/>
            <w:vMerge w:val="restart"/>
            <w:tcBorders>
              <w:left w:val="single" w:color="auto" w:sz="12" w:space="0"/>
              <w:right w:val="single" w:color="auto" w:sz="4" w:space="0"/>
            </w:tcBorders>
            <w:vAlign w:val="center"/>
          </w:tcPr>
          <w:p w14:paraId="4D3C2FC4">
            <w:pPr>
              <w:shd w:val="clear"/>
              <w:snapToGrid w:val="0"/>
              <w:spacing w:before="100" w:beforeAutospacing="1" w:after="100" w:afterAutospacing="1"/>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煤气发生量</w:t>
            </w:r>
          </w:p>
        </w:tc>
        <w:tc>
          <w:tcPr>
            <w:tcW w:w="6817" w:type="dxa"/>
            <w:tcBorders>
              <w:left w:val="single" w:color="auto" w:sz="4" w:space="0"/>
              <w:right w:val="single" w:color="auto" w:sz="12" w:space="0"/>
            </w:tcBorders>
            <w:vAlign w:val="center"/>
          </w:tcPr>
          <w:p w14:paraId="5CCDA040">
            <w:pPr>
              <w:shd w:val="clear"/>
              <w:snapToGrid w:val="0"/>
              <w:spacing w:before="100" w:beforeAutospacing="1" w:after="100" w:afterAutospacing="1"/>
              <w:ind w:firstLine="0" w:firstLineChars="0"/>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最大：220000Nm</w:t>
            </w:r>
            <w:r>
              <w:rPr>
                <w:rFonts w:ascii="Times New Roman" w:hAnsi="Times New Roman" w:cs="Times New Roman"/>
                <w:color w:val="auto"/>
                <w:sz w:val="21"/>
                <w:szCs w:val="21"/>
                <w:highlight w:val="none"/>
                <w:vertAlign w:val="superscript"/>
              </w:rPr>
              <w:t>3</w:t>
            </w:r>
            <w:r>
              <w:rPr>
                <w:rFonts w:ascii="Times New Roman" w:hAnsi="Times New Roman" w:cs="Times New Roman"/>
                <w:color w:val="auto"/>
                <w:sz w:val="21"/>
                <w:szCs w:val="21"/>
                <w:highlight w:val="none"/>
              </w:rPr>
              <w:t>/h</w:t>
            </w:r>
          </w:p>
        </w:tc>
      </w:tr>
      <w:tr w14:paraId="6ADD40A0">
        <w:tblPrEx>
          <w:tblBorders>
            <w:top w:val="single" w:color="auto" w:sz="4" w:space="0"/>
            <w:left w:val="single" w:color="auto" w:sz="4" w:space="0"/>
            <w:bottom w:val="single" w:color="auto" w:sz="4" w:space="0"/>
            <w:right w:val="single" w:color="auto" w:sz="4" w:space="0"/>
            <w:insideH w:val="single" w:color="auto" w:sz="4" w:space="0"/>
            <w:insideV w:val="single" w:color="000000" w:sz="6" w:space="0"/>
          </w:tblBorders>
          <w:tblCellMar>
            <w:top w:w="0" w:type="dxa"/>
            <w:left w:w="28" w:type="dxa"/>
            <w:bottom w:w="0" w:type="dxa"/>
            <w:right w:w="28" w:type="dxa"/>
          </w:tblCellMar>
        </w:tblPrEx>
        <w:trPr>
          <w:trHeight w:val="572" w:hRule="atLeast"/>
          <w:jc w:val="center"/>
        </w:trPr>
        <w:tc>
          <w:tcPr>
            <w:tcW w:w="1545" w:type="dxa"/>
            <w:vMerge w:val="continue"/>
            <w:tcBorders>
              <w:left w:val="single" w:color="auto" w:sz="12" w:space="0"/>
              <w:bottom w:val="single" w:color="auto" w:sz="12" w:space="0"/>
              <w:right w:val="single" w:color="auto" w:sz="4" w:space="0"/>
            </w:tcBorders>
            <w:vAlign w:val="center"/>
          </w:tcPr>
          <w:p w14:paraId="6993127F">
            <w:pPr>
              <w:shd w:val="clear"/>
              <w:snapToGrid w:val="0"/>
              <w:spacing w:before="100" w:beforeAutospacing="1" w:after="100" w:afterAutospacing="1"/>
              <w:ind w:firstLine="420"/>
              <w:jc w:val="center"/>
              <w:rPr>
                <w:rFonts w:ascii="Times New Roman" w:hAnsi="Times New Roman" w:cs="Times New Roman"/>
                <w:color w:val="auto"/>
                <w:sz w:val="21"/>
                <w:szCs w:val="21"/>
                <w:highlight w:val="none"/>
              </w:rPr>
            </w:pPr>
          </w:p>
        </w:tc>
        <w:tc>
          <w:tcPr>
            <w:tcW w:w="6817" w:type="dxa"/>
            <w:tcBorders>
              <w:left w:val="single" w:color="auto" w:sz="4" w:space="0"/>
              <w:bottom w:val="single" w:color="auto" w:sz="12" w:space="0"/>
              <w:right w:val="single" w:color="auto" w:sz="12" w:space="0"/>
            </w:tcBorders>
            <w:vAlign w:val="center"/>
          </w:tcPr>
          <w:p w14:paraId="1D93865A">
            <w:pPr>
              <w:shd w:val="clear"/>
              <w:snapToGrid w:val="0"/>
              <w:spacing w:before="100" w:beforeAutospacing="1" w:after="100" w:afterAutospacing="1"/>
              <w:ind w:firstLine="0" w:firstLineChars="0"/>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平均：200000Nm</w:t>
            </w:r>
            <w:r>
              <w:rPr>
                <w:rFonts w:ascii="Times New Roman" w:hAnsi="Times New Roman" w:cs="Times New Roman"/>
                <w:color w:val="auto"/>
                <w:sz w:val="21"/>
                <w:szCs w:val="21"/>
                <w:highlight w:val="none"/>
                <w:vertAlign w:val="superscript"/>
              </w:rPr>
              <w:t>3</w:t>
            </w:r>
            <w:r>
              <w:rPr>
                <w:rFonts w:ascii="Times New Roman" w:hAnsi="Times New Roman" w:cs="Times New Roman"/>
                <w:color w:val="auto"/>
                <w:sz w:val="21"/>
                <w:szCs w:val="21"/>
                <w:highlight w:val="none"/>
              </w:rPr>
              <w:t>/h</w:t>
            </w:r>
          </w:p>
        </w:tc>
      </w:tr>
    </w:tbl>
    <w:p w14:paraId="5A7740A8">
      <w:pPr>
        <w:shd w:val="clear"/>
        <w:ind w:firstLine="0" w:firstLineChars="0"/>
        <w:outlineLvl w:val="2"/>
        <w:rPr>
          <w:rFonts w:cs="Times New Roman"/>
          <w:color w:val="auto"/>
          <w:szCs w:val="28"/>
          <w:highlight w:val="none"/>
        </w:rPr>
      </w:pPr>
      <w:bookmarkStart w:id="266" w:name="_Toc22929"/>
      <w:bookmarkStart w:id="267" w:name="_Toc100483387"/>
      <w:bookmarkStart w:id="268" w:name="_Toc79840283"/>
      <w:r>
        <w:rPr>
          <w:rFonts w:hint="eastAsia" w:cs="Times New Roman"/>
          <w:color w:val="auto"/>
          <w:szCs w:val="28"/>
          <w:highlight w:val="none"/>
        </w:rPr>
        <w:t>2.5.3 系统组成及工艺</w:t>
      </w:r>
      <w:bookmarkEnd w:id="266"/>
      <w:bookmarkEnd w:id="267"/>
      <w:bookmarkEnd w:id="268"/>
    </w:p>
    <w:p w14:paraId="18CCC31D">
      <w:pPr>
        <w:shd w:val="clear"/>
        <w:rPr>
          <w:rFonts w:ascii="Times New Roman" w:hAnsi="Times New Roman"/>
          <w:color w:val="auto"/>
          <w:highlight w:val="none"/>
        </w:rPr>
      </w:pPr>
      <w:r>
        <w:rPr>
          <w:rFonts w:hint="eastAsia" w:ascii="Times New Roman" w:hAnsi="Times New Roman"/>
          <w:color w:val="auto"/>
          <w:highlight w:val="none"/>
        </w:rPr>
        <w:t>粗煤气系统主要由粗煤气管道和重力除尘器组成。</w:t>
      </w:r>
    </w:p>
    <w:p w14:paraId="1EE9895E">
      <w:pPr>
        <w:shd w:val="clear"/>
        <w:rPr>
          <w:rFonts w:hint="eastAsia" w:ascii="Times New Roman" w:hAnsi="Times New Roman"/>
          <w:color w:val="auto"/>
          <w:highlight w:val="none"/>
        </w:rPr>
      </w:pPr>
      <w:r>
        <w:rPr>
          <w:rFonts w:hint="eastAsia" w:ascii="Times New Roman" w:hAnsi="Times New Roman"/>
          <w:color w:val="auto"/>
          <w:highlight w:val="none"/>
        </w:rPr>
        <w:t>粗煤气管道布置形式采用“双辫子”结构。高炉煤气除尘采用重力除尘器。四根煤气导出管及上升管管径均为φ1572mm，合并后的两根上升管φ2022mm，再合并为一根φ2650mm的下降总管与φ8000mm的重力除尘器相接。本次高炉改造导出管、上升管、下降管及重力除尘器利旧。</w:t>
      </w:r>
    </w:p>
    <w:p w14:paraId="0302F252">
      <w:pPr>
        <w:shd w:val="clear"/>
        <w:rPr>
          <w:rFonts w:ascii="Times New Roman" w:hAnsi="Times New Roman"/>
          <w:color w:val="auto"/>
          <w:highlight w:val="none"/>
        </w:rPr>
      </w:pPr>
      <w:r>
        <w:rPr>
          <w:rFonts w:hint="eastAsia" w:ascii="Times New Roman" w:hAnsi="Times New Roman"/>
          <w:color w:val="auto"/>
          <w:highlight w:val="none"/>
        </w:rPr>
        <w:t>为控制炉顶压力和休风时排放煤气，煤气上升管顶部现有2台炉顶放散阀，煤气压力≥0.18MPa时（此值可设定），报警并自动打开其中一台煤气放散阀泄压，确保煤气管道系统安全。当炉顶压力降至设计压力时，自动关闭；高炉休风时手动打开炉顶放散阀。</w:t>
      </w:r>
    </w:p>
    <w:p w14:paraId="7E473A4F">
      <w:pPr>
        <w:shd w:val="clear"/>
        <w:rPr>
          <w:rFonts w:hint="eastAsia" w:ascii="Times New Roman" w:hAnsi="Times New Roman"/>
          <w:color w:val="auto"/>
          <w:highlight w:val="none"/>
        </w:rPr>
      </w:pPr>
      <w:r>
        <w:rPr>
          <w:rFonts w:hint="eastAsia" w:ascii="Times New Roman" w:hAnsi="Times New Roman"/>
          <w:color w:val="auto"/>
          <w:highlight w:val="none"/>
        </w:rPr>
        <w:t>粗煤气上升管、下降管、重力除尘器内衬磨损处进行内衬修复。下降管三岔口处内衬磨损处采用</w:t>
      </w:r>
      <w:r>
        <w:rPr>
          <w:rFonts w:hint="eastAsia" w:ascii="Times New Roman" w:hAnsi="Times New Roman"/>
          <w:color w:val="auto"/>
          <w:highlight w:val="none"/>
          <w:lang w:val="en-US" w:eastAsia="zh-CN"/>
        </w:rPr>
        <w:t>高铝</w:t>
      </w:r>
      <w:r>
        <w:rPr>
          <w:rFonts w:hint="eastAsia" w:ascii="Times New Roman" w:hAnsi="Times New Roman"/>
          <w:color w:val="auto"/>
          <w:highlight w:val="none"/>
        </w:rPr>
        <w:t>浇注料进行内衬修复（需保证浇注料施工质量，保证使用效果），修复后内衬厚度80mm。其余部位采用喷涂料修复，修复后内衬厚度80mm。</w:t>
      </w:r>
    </w:p>
    <w:p w14:paraId="2F814F78">
      <w:pPr>
        <w:shd w:val="clear"/>
        <w:rPr>
          <w:rFonts w:hint="eastAsia" w:ascii="Times New Roman" w:hAnsi="Times New Roman"/>
          <w:color w:val="auto"/>
          <w:highlight w:val="none"/>
        </w:rPr>
      </w:pPr>
      <w:r>
        <w:rPr>
          <w:rFonts w:hint="eastAsia" w:ascii="Times New Roman" w:hAnsi="Times New Roman"/>
          <w:color w:val="auto"/>
          <w:highlight w:val="none"/>
        </w:rPr>
        <w:t>重力除尘器内部导流筒磨损严重，需进行局部修复，修复面积按1/3进行修复。</w:t>
      </w:r>
    </w:p>
    <w:p w14:paraId="2FCE1CDE">
      <w:pPr>
        <w:shd w:val="clear"/>
        <w:rPr>
          <w:rFonts w:ascii="Times New Roman" w:hAnsi="Times New Roman"/>
          <w:color w:val="auto"/>
          <w:highlight w:val="none"/>
        </w:rPr>
      </w:pPr>
      <w:r>
        <w:rPr>
          <w:rFonts w:hint="eastAsia" w:ascii="Times New Roman" w:hAnsi="Times New Roman"/>
          <w:color w:val="auto"/>
          <w:highlight w:val="none"/>
        </w:rPr>
        <w:t>陶瓷耐磨浇注料理化指标详见表2.5-2，喷涂料指标</w:t>
      </w:r>
      <w:r>
        <w:rPr>
          <w:rFonts w:hint="eastAsia" w:ascii="Times New Roman" w:hAnsi="Times New Roman" w:cs="Times New Roman"/>
          <w:snapToGrid w:val="0"/>
          <w:color w:val="auto"/>
          <w:highlight w:val="none"/>
        </w:rPr>
        <w:t>与原喷涂料指标一致，</w:t>
      </w:r>
      <w:r>
        <w:rPr>
          <w:rFonts w:hint="eastAsia" w:ascii="Times New Roman" w:hAnsi="Times New Roman"/>
          <w:color w:val="auto"/>
          <w:highlight w:val="none"/>
        </w:rPr>
        <w:t>详见表2.5-3：</w:t>
      </w:r>
    </w:p>
    <w:p w14:paraId="7ABAC349">
      <w:pPr>
        <w:shd w:val="clear"/>
        <w:ind w:firstLine="0" w:firstLineChars="0"/>
        <w:jc w:val="center"/>
        <w:rPr>
          <w:rFonts w:ascii="Times New Roman" w:hAnsi="Times New Roman"/>
          <w:color w:val="auto"/>
          <w:highlight w:val="none"/>
        </w:rPr>
      </w:pPr>
      <w:r>
        <w:rPr>
          <w:rFonts w:hint="eastAsia" w:ascii="Times New Roman" w:hAnsi="Times New Roman"/>
          <w:color w:val="auto"/>
          <w:highlight w:val="none"/>
        </w:rPr>
        <w:t xml:space="preserve">表2.5-2  </w:t>
      </w:r>
      <w:r>
        <w:rPr>
          <w:rFonts w:hint="eastAsia" w:ascii="Times New Roman" w:hAnsi="Times New Roman"/>
          <w:color w:val="auto"/>
          <w:highlight w:val="none"/>
          <w:lang w:val="en-US" w:eastAsia="zh-CN"/>
        </w:rPr>
        <w:t>高铝</w:t>
      </w:r>
      <w:r>
        <w:rPr>
          <w:rFonts w:hint="eastAsia" w:ascii="Times New Roman" w:hAnsi="Times New Roman"/>
          <w:color w:val="auto"/>
          <w:highlight w:val="none"/>
        </w:rPr>
        <w:t>浇注料理化指标</w:t>
      </w:r>
    </w:p>
    <w:tbl>
      <w:tblPr>
        <w:tblStyle w:val="6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1"/>
        <w:gridCol w:w="2062"/>
        <w:gridCol w:w="1628"/>
        <w:gridCol w:w="3465"/>
      </w:tblGrid>
      <w:tr w14:paraId="4A708A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210" w:hRule="atLeast"/>
          <w:jc w:val="center"/>
        </w:trPr>
        <w:tc>
          <w:tcPr>
            <w:tcW w:w="2983" w:type="dxa"/>
            <w:gridSpan w:val="2"/>
            <w:tcBorders>
              <w:tl2br w:val="nil"/>
              <w:tr2bl w:val="nil"/>
            </w:tcBorders>
            <w:vAlign w:val="center"/>
          </w:tcPr>
          <w:p w14:paraId="5F2682BF">
            <w:pPr>
              <w:shd w:val="clear"/>
              <w:spacing w:line="360" w:lineRule="exact"/>
              <w:ind w:firstLine="0" w:firstLineChars="0"/>
              <w:jc w:val="both"/>
              <w:rPr>
                <w:rFonts w:ascii="Arial" w:hAnsi="Arial"/>
                <w:color w:val="auto"/>
                <w:sz w:val="21"/>
                <w:szCs w:val="21"/>
                <w:highlight w:val="none"/>
              </w:rPr>
            </w:pPr>
            <w:r>
              <w:rPr>
                <w:rFonts w:hint="eastAsia"/>
                <w:color w:val="auto"/>
                <w:sz w:val="21"/>
                <w:szCs w:val="21"/>
                <w:highlight w:val="none"/>
              </w:rPr>
              <w:t>项</w:t>
            </w:r>
            <w:r>
              <w:rPr>
                <w:rFonts w:hint="eastAsia" w:ascii="Arial" w:hAnsi="Arial"/>
                <w:color w:val="auto"/>
                <w:sz w:val="21"/>
                <w:szCs w:val="21"/>
                <w:highlight w:val="none"/>
              </w:rPr>
              <w:t xml:space="preserve"> </w:t>
            </w:r>
            <w:r>
              <w:rPr>
                <w:rFonts w:ascii="Arial" w:hAnsi="Arial"/>
                <w:color w:val="auto"/>
                <w:sz w:val="21"/>
                <w:szCs w:val="21"/>
                <w:highlight w:val="none"/>
              </w:rPr>
              <w:t xml:space="preserve">   </w:t>
            </w:r>
            <w:r>
              <w:rPr>
                <w:rFonts w:hint="eastAsia"/>
                <w:color w:val="auto"/>
                <w:sz w:val="21"/>
                <w:szCs w:val="21"/>
                <w:highlight w:val="none"/>
              </w:rPr>
              <w:t>目</w:t>
            </w:r>
          </w:p>
        </w:tc>
        <w:tc>
          <w:tcPr>
            <w:tcW w:w="1628" w:type="dxa"/>
            <w:tcBorders>
              <w:tl2br w:val="nil"/>
              <w:tr2bl w:val="nil"/>
            </w:tcBorders>
            <w:vAlign w:val="center"/>
          </w:tcPr>
          <w:p w14:paraId="60DF5F63">
            <w:pPr>
              <w:shd w:val="clear"/>
              <w:spacing w:line="360" w:lineRule="exact"/>
              <w:ind w:firstLine="0" w:firstLineChars="0"/>
              <w:jc w:val="both"/>
              <w:rPr>
                <w:rFonts w:ascii="Arial" w:hAnsi="Arial"/>
                <w:color w:val="auto"/>
                <w:sz w:val="21"/>
                <w:szCs w:val="21"/>
                <w:highlight w:val="none"/>
              </w:rPr>
            </w:pPr>
            <w:r>
              <w:rPr>
                <w:rFonts w:hint="eastAsia"/>
                <w:color w:val="auto"/>
                <w:sz w:val="21"/>
                <w:szCs w:val="21"/>
                <w:highlight w:val="none"/>
              </w:rPr>
              <w:t>单</w:t>
            </w:r>
            <w:r>
              <w:rPr>
                <w:rFonts w:hint="eastAsia" w:ascii="Arial" w:hAnsi="Arial"/>
                <w:color w:val="auto"/>
                <w:sz w:val="21"/>
                <w:szCs w:val="21"/>
                <w:highlight w:val="none"/>
              </w:rPr>
              <w:t xml:space="preserve"> </w:t>
            </w:r>
            <w:r>
              <w:rPr>
                <w:rFonts w:ascii="Arial" w:hAnsi="Arial"/>
                <w:color w:val="auto"/>
                <w:sz w:val="21"/>
                <w:szCs w:val="21"/>
                <w:highlight w:val="none"/>
              </w:rPr>
              <w:t xml:space="preserve"> </w:t>
            </w:r>
            <w:r>
              <w:rPr>
                <w:rFonts w:hint="eastAsia"/>
                <w:color w:val="auto"/>
                <w:sz w:val="21"/>
                <w:szCs w:val="21"/>
                <w:highlight w:val="none"/>
              </w:rPr>
              <w:t>位</w:t>
            </w:r>
          </w:p>
        </w:tc>
        <w:tc>
          <w:tcPr>
            <w:tcW w:w="3465" w:type="dxa"/>
            <w:tcBorders>
              <w:tl2br w:val="nil"/>
              <w:tr2bl w:val="nil"/>
            </w:tcBorders>
          </w:tcPr>
          <w:p w14:paraId="7A9F9DA9">
            <w:pPr>
              <w:shd w:val="clear"/>
              <w:spacing w:line="360" w:lineRule="exact"/>
              <w:ind w:firstLine="0" w:firstLineChars="0"/>
              <w:jc w:val="both"/>
              <w:rPr>
                <w:rFonts w:ascii="Arial" w:hAnsi="Arial"/>
                <w:color w:val="auto"/>
                <w:sz w:val="21"/>
                <w:szCs w:val="21"/>
                <w:highlight w:val="none"/>
              </w:rPr>
            </w:pPr>
            <w:r>
              <w:rPr>
                <w:rFonts w:ascii="Arial" w:hAnsi="Arial"/>
                <w:color w:val="auto"/>
                <w:sz w:val="21"/>
                <w:szCs w:val="21"/>
                <w:highlight w:val="none"/>
              </w:rPr>
              <w:t>高铝浇注料</w:t>
            </w:r>
          </w:p>
          <w:p w14:paraId="68B83BAA">
            <w:pPr>
              <w:shd w:val="clear"/>
              <w:spacing w:line="360" w:lineRule="exact"/>
              <w:ind w:firstLine="0" w:firstLineChars="0"/>
              <w:jc w:val="both"/>
              <w:rPr>
                <w:rFonts w:ascii="Arial" w:hAnsi="Arial"/>
                <w:color w:val="auto"/>
                <w:sz w:val="21"/>
                <w:szCs w:val="21"/>
                <w:highlight w:val="none"/>
              </w:rPr>
            </w:pPr>
            <w:r>
              <w:rPr>
                <w:rFonts w:ascii="Arial" w:hAnsi="Arial"/>
                <w:color w:val="auto"/>
                <w:sz w:val="21"/>
                <w:szCs w:val="21"/>
                <w:highlight w:val="none"/>
              </w:rPr>
              <w:t>TCJ-1</w:t>
            </w:r>
          </w:p>
        </w:tc>
      </w:tr>
      <w:tr w14:paraId="2A09A6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83" w:type="dxa"/>
            <w:gridSpan w:val="2"/>
            <w:tcBorders>
              <w:tl2br w:val="nil"/>
              <w:tr2bl w:val="nil"/>
            </w:tcBorders>
          </w:tcPr>
          <w:p w14:paraId="46009F2A">
            <w:pPr>
              <w:shd w:val="clear"/>
              <w:spacing w:line="360" w:lineRule="exact"/>
              <w:ind w:firstLine="0" w:firstLineChars="0"/>
              <w:jc w:val="both"/>
              <w:rPr>
                <w:rFonts w:ascii="Arial" w:hAnsi="Arial"/>
                <w:color w:val="auto"/>
                <w:sz w:val="21"/>
                <w:szCs w:val="21"/>
                <w:highlight w:val="none"/>
              </w:rPr>
            </w:pPr>
            <w:r>
              <w:rPr>
                <w:rFonts w:hint="eastAsia"/>
                <w:color w:val="auto"/>
                <w:sz w:val="21"/>
                <w:szCs w:val="21"/>
                <w:highlight w:val="none"/>
              </w:rPr>
              <w:t>耐火度</w:t>
            </w:r>
          </w:p>
        </w:tc>
        <w:tc>
          <w:tcPr>
            <w:tcW w:w="1628" w:type="dxa"/>
            <w:tcBorders>
              <w:tl2br w:val="nil"/>
              <w:tr2bl w:val="nil"/>
            </w:tcBorders>
          </w:tcPr>
          <w:p w14:paraId="35EE8963">
            <w:pPr>
              <w:shd w:val="clear"/>
              <w:spacing w:line="360" w:lineRule="exact"/>
              <w:ind w:firstLine="0" w:firstLineChars="0"/>
              <w:jc w:val="both"/>
              <w:rPr>
                <w:rFonts w:ascii="Arial" w:hAnsi="Arial"/>
                <w:color w:val="auto"/>
                <w:sz w:val="21"/>
                <w:szCs w:val="21"/>
                <w:highlight w:val="none"/>
              </w:rPr>
            </w:pPr>
            <w:r>
              <w:rPr>
                <w:rFonts w:hint="eastAsia"/>
                <w:color w:val="auto"/>
                <w:sz w:val="21"/>
                <w:szCs w:val="21"/>
                <w:highlight w:val="none"/>
              </w:rPr>
              <w:t>≥℃</w:t>
            </w:r>
          </w:p>
        </w:tc>
        <w:tc>
          <w:tcPr>
            <w:tcW w:w="3465" w:type="dxa"/>
            <w:tcBorders>
              <w:tl2br w:val="nil"/>
              <w:tr2bl w:val="nil"/>
            </w:tcBorders>
          </w:tcPr>
          <w:p w14:paraId="0E1E458D">
            <w:pPr>
              <w:shd w:val="clear"/>
              <w:spacing w:line="360" w:lineRule="exact"/>
              <w:ind w:firstLine="0" w:firstLineChars="0"/>
              <w:jc w:val="both"/>
              <w:rPr>
                <w:rFonts w:ascii="Arial" w:hAnsi="Arial"/>
                <w:color w:val="auto"/>
                <w:sz w:val="21"/>
                <w:szCs w:val="21"/>
                <w:highlight w:val="none"/>
              </w:rPr>
            </w:pPr>
            <w:r>
              <w:rPr>
                <w:rFonts w:hint="eastAsia" w:ascii="Arial" w:hAnsi="Arial"/>
                <w:color w:val="auto"/>
                <w:sz w:val="21"/>
                <w:szCs w:val="21"/>
                <w:highlight w:val="none"/>
              </w:rPr>
              <w:t>1</w:t>
            </w:r>
            <w:r>
              <w:rPr>
                <w:rFonts w:ascii="Arial" w:hAnsi="Arial"/>
                <w:color w:val="auto"/>
                <w:sz w:val="21"/>
                <w:szCs w:val="21"/>
                <w:highlight w:val="none"/>
              </w:rPr>
              <w:t>790</w:t>
            </w:r>
          </w:p>
        </w:tc>
      </w:tr>
      <w:tr w14:paraId="324726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83" w:type="dxa"/>
            <w:gridSpan w:val="2"/>
            <w:tcBorders>
              <w:tl2br w:val="nil"/>
              <w:tr2bl w:val="nil"/>
            </w:tcBorders>
          </w:tcPr>
          <w:p w14:paraId="4100195A">
            <w:pPr>
              <w:shd w:val="clear"/>
              <w:spacing w:line="360" w:lineRule="exact"/>
              <w:ind w:firstLine="0" w:firstLineChars="0"/>
              <w:jc w:val="both"/>
              <w:rPr>
                <w:color w:val="auto"/>
                <w:sz w:val="21"/>
                <w:szCs w:val="21"/>
                <w:highlight w:val="none"/>
              </w:rPr>
            </w:pPr>
            <w:r>
              <w:rPr>
                <w:rFonts w:hint="eastAsia"/>
                <w:color w:val="auto"/>
                <w:sz w:val="21"/>
                <w:szCs w:val="21"/>
                <w:highlight w:val="none"/>
              </w:rPr>
              <w:t>体积密度g/cm3</w:t>
            </w:r>
          </w:p>
        </w:tc>
        <w:tc>
          <w:tcPr>
            <w:tcW w:w="1628" w:type="dxa"/>
            <w:tcBorders>
              <w:tl2br w:val="nil"/>
              <w:tr2bl w:val="nil"/>
            </w:tcBorders>
          </w:tcPr>
          <w:p w14:paraId="55FF247D">
            <w:pPr>
              <w:shd w:val="clear"/>
              <w:spacing w:line="360" w:lineRule="exact"/>
              <w:ind w:firstLine="0" w:firstLineChars="0"/>
              <w:jc w:val="both"/>
              <w:rPr>
                <w:color w:val="auto"/>
                <w:sz w:val="21"/>
                <w:szCs w:val="21"/>
                <w:highlight w:val="none"/>
              </w:rPr>
            </w:pPr>
          </w:p>
        </w:tc>
        <w:tc>
          <w:tcPr>
            <w:tcW w:w="3465" w:type="dxa"/>
            <w:tcBorders>
              <w:tl2br w:val="nil"/>
              <w:tr2bl w:val="nil"/>
            </w:tcBorders>
          </w:tcPr>
          <w:p w14:paraId="46AB749D">
            <w:pPr>
              <w:shd w:val="clear"/>
              <w:spacing w:line="360" w:lineRule="exact"/>
              <w:ind w:firstLine="0" w:firstLineChars="0"/>
              <w:jc w:val="both"/>
              <w:rPr>
                <w:rFonts w:ascii="Arial" w:hAnsi="Arial"/>
                <w:color w:val="auto"/>
                <w:sz w:val="21"/>
                <w:szCs w:val="21"/>
                <w:highlight w:val="none"/>
              </w:rPr>
            </w:pPr>
            <w:r>
              <w:rPr>
                <w:rFonts w:hint="eastAsia"/>
                <w:color w:val="auto"/>
                <w:sz w:val="21"/>
                <w:szCs w:val="21"/>
                <w:highlight w:val="none"/>
              </w:rPr>
              <w:t>≥2</w:t>
            </w:r>
            <w:r>
              <w:rPr>
                <w:color w:val="auto"/>
                <w:sz w:val="21"/>
                <w:szCs w:val="21"/>
                <w:highlight w:val="none"/>
              </w:rPr>
              <w:t>.75</w:t>
            </w:r>
          </w:p>
        </w:tc>
      </w:tr>
      <w:tr w14:paraId="131B4F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83" w:type="dxa"/>
            <w:gridSpan w:val="2"/>
            <w:tcBorders>
              <w:tl2br w:val="nil"/>
              <w:tr2bl w:val="nil"/>
            </w:tcBorders>
          </w:tcPr>
          <w:p w14:paraId="2A60A4A2">
            <w:pPr>
              <w:shd w:val="clear"/>
              <w:spacing w:line="360" w:lineRule="exact"/>
              <w:ind w:firstLine="0" w:firstLineChars="0"/>
              <w:jc w:val="both"/>
              <w:rPr>
                <w:rFonts w:ascii="Arial" w:hAnsi="Arial"/>
                <w:color w:val="auto"/>
                <w:sz w:val="21"/>
                <w:szCs w:val="21"/>
                <w:highlight w:val="none"/>
              </w:rPr>
            </w:pPr>
            <w:r>
              <w:rPr>
                <w:rFonts w:hint="eastAsia" w:ascii="Arial" w:hAnsi="Arial"/>
                <w:color w:val="auto"/>
                <w:sz w:val="21"/>
                <w:szCs w:val="21"/>
                <w:highlight w:val="none"/>
              </w:rPr>
              <w:t>Al2O3</w:t>
            </w:r>
          </w:p>
        </w:tc>
        <w:tc>
          <w:tcPr>
            <w:tcW w:w="1628" w:type="dxa"/>
            <w:tcBorders>
              <w:tl2br w:val="nil"/>
              <w:tr2bl w:val="nil"/>
            </w:tcBorders>
          </w:tcPr>
          <w:p w14:paraId="71301961">
            <w:pPr>
              <w:shd w:val="clear"/>
              <w:spacing w:line="360" w:lineRule="exact"/>
              <w:ind w:firstLine="0" w:firstLineChars="0"/>
              <w:jc w:val="both"/>
              <w:rPr>
                <w:rFonts w:ascii="Arial" w:hAnsi="Arial"/>
                <w:color w:val="auto"/>
                <w:sz w:val="21"/>
                <w:szCs w:val="21"/>
                <w:highlight w:val="none"/>
              </w:rPr>
            </w:pPr>
            <w:r>
              <w:rPr>
                <w:rFonts w:hint="eastAsia"/>
                <w:color w:val="auto"/>
                <w:sz w:val="21"/>
                <w:szCs w:val="21"/>
                <w:highlight w:val="none"/>
              </w:rPr>
              <w:t>≥</w:t>
            </w:r>
            <w:r>
              <w:rPr>
                <w:rFonts w:hint="eastAsia" w:ascii="Arial" w:hAnsi="Arial"/>
                <w:color w:val="auto"/>
                <w:sz w:val="21"/>
                <w:szCs w:val="21"/>
                <w:highlight w:val="none"/>
              </w:rPr>
              <w:t>%</w:t>
            </w:r>
          </w:p>
        </w:tc>
        <w:tc>
          <w:tcPr>
            <w:tcW w:w="3465" w:type="dxa"/>
            <w:tcBorders>
              <w:tl2br w:val="nil"/>
              <w:tr2bl w:val="nil"/>
            </w:tcBorders>
          </w:tcPr>
          <w:p w14:paraId="3A607997">
            <w:pPr>
              <w:shd w:val="clear"/>
              <w:spacing w:line="360" w:lineRule="exact"/>
              <w:ind w:firstLine="0" w:firstLineChars="0"/>
              <w:jc w:val="both"/>
              <w:rPr>
                <w:rFonts w:ascii="Arial" w:hAnsi="Arial"/>
                <w:color w:val="auto"/>
                <w:sz w:val="21"/>
                <w:szCs w:val="21"/>
                <w:highlight w:val="none"/>
              </w:rPr>
            </w:pPr>
            <w:r>
              <w:rPr>
                <w:rFonts w:ascii="Arial" w:hAnsi="Arial"/>
                <w:color w:val="auto"/>
                <w:sz w:val="21"/>
                <w:szCs w:val="21"/>
                <w:highlight w:val="none"/>
              </w:rPr>
              <w:t>70</w:t>
            </w:r>
          </w:p>
        </w:tc>
      </w:tr>
      <w:tr w14:paraId="6D3B83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1" w:type="dxa"/>
            <w:vMerge w:val="restart"/>
            <w:tcBorders>
              <w:tl2br w:val="nil"/>
              <w:tr2bl w:val="nil"/>
            </w:tcBorders>
            <w:vAlign w:val="center"/>
          </w:tcPr>
          <w:p w14:paraId="4A8785E8">
            <w:pPr>
              <w:shd w:val="clear"/>
              <w:spacing w:line="360" w:lineRule="exact"/>
              <w:ind w:firstLine="0" w:firstLineChars="0"/>
              <w:jc w:val="both"/>
              <w:rPr>
                <w:rFonts w:ascii="Arial" w:hAnsi="Arial"/>
                <w:color w:val="auto"/>
                <w:sz w:val="21"/>
                <w:szCs w:val="21"/>
                <w:highlight w:val="none"/>
              </w:rPr>
            </w:pPr>
            <w:r>
              <w:rPr>
                <w:rFonts w:hint="eastAsia"/>
                <w:color w:val="auto"/>
                <w:sz w:val="21"/>
                <w:szCs w:val="21"/>
                <w:highlight w:val="none"/>
              </w:rPr>
              <w:t>粘结抗折强度</w:t>
            </w:r>
          </w:p>
        </w:tc>
        <w:tc>
          <w:tcPr>
            <w:tcW w:w="2062" w:type="dxa"/>
            <w:tcBorders>
              <w:tl2br w:val="nil"/>
              <w:tr2bl w:val="nil"/>
            </w:tcBorders>
          </w:tcPr>
          <w:p w14:paraId="22498BE1">
            <w:pPr>
              <w:shd w:val="clear"/>
              <w:spacing w:line="360" w:lineRule="exact"/>
              <w:ind w:firstLine="0" w:firstLineChars="0"/>
              <w:jc w:val="both"/>
              <w:rPr>
                <w:rFonts w:ascii="Arial" w:hAnsi="Arial"/>
                <w:color w:val="auto"/>
                <w:sz w:val="21"/>
                <w:szCs w:val="21"/>
                <w:highlight w:val="none"/>
              </w:rPr>
            </w:pPr>
            <w:r>
              <w:rPr>
                <w:rFonts w:hint="eastAsia" w:ascii="Arial" w:hAnsi="Arial"/>
                <w:color w:val="auto"/>
                <w:sz w:val="21"/>
                <w:szCs w:val="21"/>
                <w:highlight w:val="none"/>
              </w:rPr>
              <w:t>110</w:t>
            </w:r>
            <w:r>
              <w:rPr>
                <w:rFonts w:hint="eastAsia"/>
                <w:color w:val="auto"/>
                <w:sz w:val="21"/>
                <w:szCs w:val="21"/>
                <w:highlight w:val="none"/>
              </w:rPr>
              <w:t>℃干燥后</w:t>
            </w:r>
          </w:p>
        </w:tc>
        <w:tc>
          <w:tcPr>
            <w:tcW w:w="1628" w:type="dxa"/>
            <w:tcBorders>
              <w:tl2br w:val="nil"/>
              <w:tr2bl w:val="nil"/>
            </w:tcBorders>
          </w:tcPr>
          <w:p w14:paraId="4220FC13">
            <w:pPr>
              <w:shd w:val="clear"/>
              <w:spacing w:line="360" w:lineRule="exact"/>
              <w:ind w:firstLine="0" w:firstLineChars="0"/>
              <w:jc w:val="both"/>
              <w:rPr>
                <w:rFonts w:ascii="Arial" w:hAnsi="Arial"/>
                <w:color w:val="auto"/>
                <w:sz w:val="21"/>
                <w:szCs w:val="21"/>
                <w:highlight w:val="none"/>
              </w:rPr>
            </w:pPr>
            <w:r>
              <w:rPr>
                <w:rFonts w:hint="eastAsia"/>
                <w:color w:val="auto"/>
                <w:sz w:val="21"/>
                <w:szCs w:val="21"/>
                <w:highlight w:val="none"/>
              </w:rPr>
              <w:t>≥</w:t>
            </w:r>
            <w:r>
              <w:rPr>
                <w:rFonts w:hint="eastAsia" w:ascii="Arial" w:hAnsi="Arial"/>
                <w:color w:val="auto"/>
                <w:sz w:val="21"/>
                <w:szCs w:val="21"/>
                <w:highlight w:val="none"/>
              </w:rPr>
              <w:t>MPa</w:t>
            </w:r>
          </w:p>
        </w:tc>
        <w:tc>
          <w:tcPr>
            <w:tcW w:w="3465" w:type="dxa"/>
            <w:tcBorders>
              <w:tl2br w:val="nil"/>
              <w:tr2bl w:val="nil"/>
            </w:tcBorders>
          </w:tcPr>
          <w:p w14:paraId="20F75D90">
            <w:pPr>
              <w:shd w:val="clear"/>
              <w:spacing w:line="360" w:lineRule="exact"/>
              <w:ind w:firstLine="0" w:firstLineChars="0"/>
              <w:jc w:val="both"/>
              <w:rPr>
                <w:rFonts w:ascii="Arial" w:hAnsi="Arial"/>
                <w:color w:val="auto"/>
                <w:sz w:val="21"/>
                <w:szCs w:val="21"/>
                <w:highlight w:val="none"/>
              </w:rPr>
            </w:pPr>
            <w:r>
              <w:rPr>
                <w:rFonts w:hint="eastAsia" w:ascii="Arial" w:hAnsi="Arial"/>
                <w:color w:val="auto"/>
                <w:sz w:val="21"/>
                <w:szCs w:val="21"/>
                <w:highlight w:val="none"/>
              </w:rPr>
              <w:t>（</w:t>
            </w:r>
            <w:r>
              <w:rPr>
                <w:rFonts w:ascii="Arial" w:hAnsi="Arial"/>
                <w:color w:val="auto"/>
                <w:sz w:val="21"/>
                <w:szCs w:val="21"/>
                <w:highlight w:val="none"/>
              </w:rPr>
              <w:t>110</w:t>
            </w:r>
            <w:r>
              <w:rPr>
                <w:rFonts w:hint="eastAsia" w:ascii="Arial" w:hAnsi="Arial"/>
                <w:color w:val="auto"/>
                <w:sz w:val="21"/>
                <w:szCs w:val="21"/>
                <w:highlight w:val="none"/>
              </w:rPr>
              <w:t>℃×</w:t>
            </w:r>
            <w:r>
              <w:rPr>
                <w:rFonts w:ascii="Arial" w:hAnsi="Arial"/>
                <w:color w:val="auto"/>
                <w:sz w:val="21"/>
                <w:szCs w:val="21"/>
                <w:highlight w:val="none"/>
              </w:rPr>
              <w:t>24</w:t>
            </w:r>
            <w:r>
              <w:rPr>
                <w:rFonts w:hint="eastAsia" w:ascii="Arial" w:hAnsi="Arial"/>
                <w:color w:val="auto"/>
                <w:sz w:val="21"/>
                <w:szCs w:val="21"/>
                <w:highlight w:val="none"/>
              </w:rPr>
              <w:t>h）≥</w:t>
            </w:r>
            <w:r>
              <w:rPr>
                <w:rFonts w:ascii="Arial" w:hAnsi="Arial"/>
                <w:color w:val="auto"/>
                <w:sz w:val="21"/>
                <w:szCs w:val="21"/>
                <w:highlight w:val="none"/>
              </w:rPr>
              <w:t>12</w:t>
            </w:r>
          </w:p>
        </w:tc>
      </w:tr>
      <w:tr w14:paraId="31DB70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1" w:type="dxa"/>
            <w:vMerge w:val="continue"/>
            <w:tcBorders>
              <w:tl2br w:val="nil"/>
              <w:tr2bl w:val="nil"/>
            </w:tcBorders>
            <w:vAlign w:val="center"/>
          </w:tcPr>
          <w:p w14:paraId="0D41878F">
            <w:pPr>
              <w:widowControl/>
              <w:shd w:val="clear"/>
              <w:spacing w:line="240" w:lineRule="auto"/>
              <w:ind w:firstLine="0" w:firstLineChars="0"/>
              <w:rPr>
                <w:rFonts w:ascii="Arial" w:hAnsi="Arial"/>
                <w:color w:val="auto"/>
                <w:sz w:val="21"/>
                <w:szCs w:val="21"/>
                <w:highlight w:val="none"/>
              </w:rPr>
            </w:pPr>
          </w:p>
        </w:tc>
        <w:tc>
          <w:tcPr>
            <w:tcW w:w="2062" w:type="dxa"/>
            <w:tcBorders>
              <w:tl2br w:val="nil"/>
              <w:tr2bl w:val="nil"/>
            </w:tcBorders>
          </w:tcPr>
          <w:p w14:paraId="7C49D4A3">
            <w:pPr>
              <w:shd w:val="clear"/>
              <w:spacing w:line="360" w:lineRule="exact"/>
              <w:ind w:firstLine="0" w:firstLineChars="0"/>
              <w:jc w:val="both"/>
              <w:rPr>
                <w:rFonts w:ascii="Arial" w:hAnsi="Arial"/>
                <w:color w:val="auto"/>
                <w:sz w:val="21"/>
                <w:szCs w:val="21"/>
                <w:highlight w:val="none"/>
              </w:rPr>
            </w:pPr>
            <w:r>
              <w:rPr>
                <w:rFonts w:hint="eastAsia" w:ascii="Arial" w:hAnsi="Arial"/>
                <w:color w:val="auto"/>
                <w:sz w:val="21"/>
                <w:szCs w:val="21"/>
                <w:highlight w:val="none"/>
              </w:rPr>
              <w:t>1200</w:t>
            </w:r>
            <w:r>
              <w:rPr>
                <w:rFonts w:hint="eastAsia"/>
                <w:color w:val="auto"/>
                <w:sz w:val="21"/>
                <w:szCs w:val="21"/>
                <w:highlight w:val="none"/>
              </w:rPr>
              <w:t>℃×</w:t>
            </w:r>
            <w:r>
              <w:rPr>
                <w:rFonts w:hint="eastAsia" w:ascii="Arial" w:hAnsi="Arial"/>
                <w:color w:val="auto"/>
                <w:sz w:val="21"/>
                <w:szCs w:val="21"/>
                <w:highlight w:val="none"/>
              </w:rPr>
              <w:t>3h</w:t>
            </w:r>
            <w:r>
              <w:rPr>
                <w:rFonts w:hint="eastAsia"/>
                <w:color w:val="auto"/>
                <w:sz w:val="21"/>
                <w:szCs w:val="21"/>
                <w:highlight w:val="none"/>
              </w:rPr>
              <w:t>烧后</w:t>
            </w:r>
          </w:p>
        </w:tc>
        <w:tc>
          <w:tcPr>
            <w:tcW w:w="1628" w:type="dxa"/>
            <w:tcBorders>
              <w:tl2br w:val="nil"/>
              <w:tr2bl w:val="nil"/>
            </w:tcBorders>
          </w:tcPr>
          <w:p w14:paraId="0CC3602D">
            <w:pPr>
              <w:shd w:val="clear"/>
              <w:spacing w:line="360" w:lineRule="exact"/>
              <w:ind w:firstLine="0" w:firstLineChars="0"/>
              <w:jc w:val="both"/>
              <w:rPr>
                <w:rFonts w:ascii="Arial" w:hAnsi="Arial"/>
                <w:color w:val="auto"/>
                <w:sz w:val="21"/>
                <w:szCs w:val="21"/>
                <w:highlight w:val="none"/>
              </w:rPr>
            </w:pPr>
            <w:r>
              <w:rPr>
                <w:rFonts w:hint="eastAsia"/>
                <w:color w:val="auto"/>
                <w:sz w:val="21"/>
                <w:szCs w:val="21"/>
                <w:highlight w:val="none"/>
              </w:rPr>
              <w:t>≥</w:t>
            </w:r>
            <w:r>
              <w:rPr>
                <w:rFonts w:hint="eastAsia" w:ascii="Arial" w:hAnsi="Arial"/>
                <w:color w:val="auto"/>
                <w:sz w:val="21"/>
                <w:szCs w:val="21"/>
                <w:highlight w:val="none"/>
              </w:rPr>
              <w:t>MPa</w:t>
            </w:r>
          </w:p>
        </w:tc>
        <w:tc>
          <w:tcPr>
            <w:tcW w:w="3465" w:type="dxa"/>
            <w:tcBorders>
              <w:tl2br w:val="nil"/>
              <w:tr2bl w:val="nil"/>
            </w:tcBorders>
          </w:tcPr>
          <w:p w14:paraId="40C8F190">
            <w:pPr>
              <w:shd w:val="clear"/>
              <w:spacing w:line="360" w:lineRule="exact"/>
              <w:ind w:firstLine="0" w:firstLineChars="0"/>
              <w:jc w:val="both"/>
              <w:rPr>
                <w:rFonts w:ascii="Arial" w:hAnsi="Arial"/>
                <w:color w:val="auto"/>
                <w:sz w:val="21"/>
                <w:szCs w:val="21"/>
                <w:highlight w:val="none"/>
              </w:rPr>
            </w:pPr>
            <w:r>
              <w:rPr>
                <w:rFonts w:hint="eastAsia" w:ascii="Arial" w:hAnsi="Arial"/>
                <w:color w:val="auto"/>
                <w:sz w:val="21"/>
                <w:szCs w:val="21"/>
                <w:highlight w:val="none"/>
              </w:rPr>
              <w:t>（1400℃×3h）≥</w:t>
            </w:r>
            <w:r>
              <w:rPr>
                <w:rFonts w:ascii="Arial" w:hAnsi="Arial"/>
                <w:color w:val="auto"/>
                <w:sz w:val="21"/>
                <w:szCs w:val="21"/>
                <w:highlight w:val="none"/>
              </w:rPr>
              <w:t>14</w:t>
            </w:r>
          </w:p>
        </w:tc>
      </w:tr>
      <w:tr w14:paraId="48F30A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83" w:type="dxa"/>
            <w:gridSpan w:val="2"/>
            <w:tcBorders>
              <w:tl2br w:val="nil"/>
              <w:tr2bl w:val="nil"/>
            </w:tcBorders>
          </w:tcPr>
          <w:p w14:paraId="3C4F7361">
            <w:pPr>
              <w:shd w:val="clear"/>
              <w:spacing w:line="360" w:lineRule="exact"/>
              <w:ind w:firstLine="0" w:firstLineChars="0"/>
              <w:jc w:val="both"/>
              <w:rPr>
                <w:rFonts w:ascii="Arial" w:hAnsi="Arial"/>
                <w:color w:val="auto"/>
                <w:sz w:val="21"/>
                <w:szCs w:val="21"/>
                <w:highlight w:val="none"/>
              </w:rPr>
            </w:pPr>
            <w:r>
              <w:rPr>
                <w:rFonts w:hint="eastAsia" w:ascii="Arial" w:hAnsi="Arial"/>
                <w:color w:val="auto"/>
                <w:sz w:val="21"/>
                <w:szCs w:val="21"/>
                <w:highlight w:val="none"/>
              </w:rPr>
              <w:t>0.2MPa</w:t>
            </w:r>
            <w:r>
              <w:rPr>
                <w:rFonts w:hint="eastAsia"/>
                <w:color w:val="auto"/>
                <w:sz w:val="21"/>
                <w:szCs w:val="21"/>
                <w:highlight w:val="none"/>
              </w:rPr>
              <w:t>荷重软化温度</w:t>
            </w:r>
          </w:p>
        </w:tc>
        <w:tc>
          <w:tcPr>
            <w:tcW w:w="1628" w:type="dxa"/>
            <w:tcBorders>
              <w:tl2br w:val="nil"/>
              <w:tr2bl w:val="nil"/>
            </w:tcBorders>
          </w:tcPr>
          <w:p w14:paraId="05B0ED52">
            <w:pPr>
              <w:shd w:val="clear"/>
              <w:spacing w:line="360" w:lineRule="exact"/>
              <w:ind w:firstLine="0" w:firstLineChars="0"/>
              <w:jc w:val="both"/>
              <w:rPr>
                <w:rFonts w:ascii="Arial" w:hAnsi="Arial"/>
                <w:color w:val="auto"/>
                <w:sz w:val="21"/>
                <w:szCs w:val="21"/>
                <w:highlight w:val="none"/>
              </w:rPr>
            </w:pPr>
            <w:r>
              <w:rPr>
                <w:rFonts w:hint="eastAsia"/>
                <w:color w:val="auto"/>
                <w:sz w:val="21"/>
                <w:szCs w:val="21"/>
                <w:highlight w:val="none"/>
              </w:rPr>
              <w:t>≥℃</w:t>
            </w:r>
          </w:p>
        </w:tc>
        <w:tc>
          <w:tcPr>
            <w:tcW w:w="3465" w:type="dxa"/>
            <w:tcBorders>
              <w:tl2br w:val="nil"/>
              <w:tr2bl w:val="nil"/>
            </w:tcBorders>
          </w:tcPr>
          <w:p w14:paraId="77B60D20">
            <w:pPr>
              <w:shd w:val="clear"/>
              <w:spacing w:line="360" w:lineRule="exact"/>
              <w:ind w:firstLine="0" w:firstLineChars="0"/>
              <w:jc w:val="both"/>
              <w:rPr>
                <w:rFonts w:ascii="Arial" w:hAnsi="Arial"/>
                <w:color w:val="auto"/>
                <w:sz w:val="21"/>
                <w:szCs w:val="21"/>
                <w:highlight w:val="none"/>
              </w:rPr>
            </w:pPr>
          </w:p>
        </w:tc>
      </w:tr>
      <w:tr w14:paraId="6B10CD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83" w:type="dxa"/>
            <w:gridSpan w:val="2"/>
            <w:tcBorders>
              <w:tl2br w:val="nil"/>
              <w:tr2bl w:val="nil"/>
            </w:tcBorders>
            <w:vAlign w:val="center"/>
          </w:tcPr>
          <w:p w14:paraId="31D40DE1">
            <w:pPr>
              <w:shd w:val="clear"/>
              <w:spacing w:line="360" w:lineRule="exact"/>
              <w:ind w:firstLine="0" w:firstLineChars="0"/>
              <w:jc w:val="both"/>
              <w:rPr>
                <w:rFonts w:ascii="Arial" w:hAnsi="Arial"/>
                <w:color w:val="auto"/>
                <w:sz w:val="21"/>
                <w:szCs w:val="21"/>
                <w:highlight w:val="none"/>
              </w:rPr>
            </w:pPr>
            <w:r>
              <w:rPr>
                <w:rFonts w:hint="eastAsia" w:ascii="Arial" w:hAnsi="Arial"/>
                <w:color w:val="auto"/>
                <w:sz w:val="21"/>
                <w:szCs w:val="21"/>
                <w:highlight w:val="none"/>
              </w:rPr>
              <w:t>导热系数</w:t>
            </w:r>
          </w:p>
        </w:tc>
        <w:tc>
          <w:tcPr>
            <w:tcW w:w="1628" w:type="dxa"/>
            <w:tcBorders>
              <w:tl2br w:val="nil"/>
              <w:tr2bl w:val="nil"/>
            </w:tcBorders>
          </w:tcPr>
          <w:p w14:paraId="5CCA6556">
            <w:pPr>
              <w:shd w:val="clear"/>
              <w:spacing w:line="360" w:lineRule="exact"/>
              <w:ind w:firstLine="0" w:firstLineChars="0"/>
              <w:jc w:val="both"/>
              <w:rPr>
                <w:color w:val="auto"/>
                <w:sz w:val="21"/>
                <w:szCs w:val="21"/>
                <w:highlight w:val="none"/>
              </w:rPr>
            </w:pPr>
            <w:r>
              <w:rPr>
                <w:color w:val="auto"/>
                <w:sz w:val="21"/>
                <w:szCs w:val="21"/>
                <w:highlight w:val="none"/>
              </w:rPr>
              <w:t>W/m.K</w:t>
            </w:r>
          </w:p>
        </w:tc>
        <w:tc>
          <w:tcPr>
            <w:tcW w:w="3465" w:type="dxa"/>
            <w:tcBorders>
              <w:tl2br w:val="nil"/>
              <w:tr2bl w:val="nil"/>
            </w:tcBorders>
          </w:tcPr>
          <w:p w14:paraId="5B37DCD3">
            <w:pPr>
              <w:shd w:val="clear"/>
              <w:spacing w:line="360" w:lineRule="exact"/>
              <w:ind w:firstLine="0" w:firstLineChars="0"/>
              <w:jc w:val="both"/>
              <w:rPr>
                <w:rFonts w:ascii="Arial" w:hAnsi="Arial"/>
                <w:color w:val="auto"/>
                <w:sz w:val="21"/>
                <w:szCs w:val="21"/>
                <w:highlight w:val="none"/>
              </w:rPr>
            </w:pPr>
            <w:r>
              <w:rPr>
                <w:rFonts w:ascii="Arial" w:hAnsi="Arial"/>
                <w:color w:val="auto"/>
                <w:sz w:val="21"/>
                <w:szCs w:val="21"/>
                <w:highlight w:val="none"/>
              </w:rPr>
              <w:t>1000</w:t>
            </w:r>
            <w:r>
              <w:rPr>
                <w:rFonts w:hint="eastAsia" w:ascii="微软雅黑" w:hAnsi="微软雅黑" w:eastAsia="微软雅黑" w:cs="微软雅黑"/>
                <w:color w:val="auto"/>
                <w:sz w:val="21"/>
                <w:szCs w:val="21"/>
                <w:highlight w:val="none"/>
              </w:rPr>
              <w:t>℃</w:t>
            </w:r>
            <w:r>
              <w:rPr>
                <w:rFonts w:ascii="Arial" w:hAnsi="Arial"/>
                <w:color w:val="auto"/>
                <w:sz w:val="21"/>
                <w:szCs w:val="21"/>
                <w:highlight w:val="none"/>
              </w:rPr>
              <w:t>，</w:t>
            </w:r>
            <w:r>
              <w:rPr>
                <w:rFonts w:hint="eastAsia" w:ascii="Arial" w:hAnsi="Arial"/>
                <w:color w:val="auto"/>
                <w:sz w:val="21"/>
                <w:szCs w:val="21"/>
                <w:highlight w:val="none"/>
              </w:rPr>
              <w:t>≤</w:t>
            </w:r>
            <w:r>
              <w:rPr>
                <w:rFonts w:ascii="Arial" w:hAnsi="Arial"/>
                <w:color w:val="auto"/>
                <w:sz w:val="21"/>
                <w:szCs w:val="21"/>
                <w:highlight w:val="none"/>
              </w:rPr>
              <w:t>1.2</w:t>
            </w:r>
          </w:p>
        </w:tc>
      </w:tr>
      <w:tr w14:paraId="75EB3E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83" w:type="dxa"/>
            <w:gridSpan w:val="2"/>
            <w:tcBorders>
              <w:tl2br w:val="nil"/>
              <w:tr2bl w:val="nil"/>
            </w:tcBorders>
          </w:tcPr>
          <w:p w14:paraId="64FF68D6">
            <w:pPr>
              <w:shd w:val="clear"/>
              <w:spacing w:line="360" w:lineRule="exact"/>
              <w:ind w:firstLine="0" w:firstLineChars="0"/>
              <w:jc w:val="both"/>
              <w:rPr>
                <w:rFonts w:ascii="Arial" w:hAnsi="Arial"/>
                <w:color w:val="auto"/>
                <w:sz w:val="21"/>
                <w:szCs w:val="21"/>
                <w:highlight w:val="none"/>
              </w:rPr>
            </w:pPr>
            <w:r>
              <w:rPr>
                <w:rFonts w:hint="eastAsia"/>
                <w:color w:val="auto"/>
                <w:sz w:val="21"/>
                <w:szCs w:val="21"/>
                <w:highlight w:val="none"/>
              </w:rPr>
              <w:t>粘结时间</w:t>
            </w:r>
          </w:p>
        </w:tc>
        <w:tc>
          <w:tcPr>
            <w:tcW w:w="1628" w:type="dxa"/>
            <w:tcBorders>
              <w:tl2br w:val="nil"/>
              <w:tr2bl w:val="nil"/>
            </w:tcBorders>
          </w:tcPr>
          <w:p w14:paraId="0358F029">
            <w:pPr>
              <w:shd w:val="clear"/>
              <w:spacing w:line="360" w:lineRule="exact"/>
              <w:ind w:firstLine="0" w:firstLineChars="0"/>
              <w:jc w:val="both"/>
              <w:rPr>
                <w:rFonts w:ascii="Arial" w:hAnsi="Arial"/>
                <w:color w:val="auto"/>
                <w:sz w:val="21"/>
                <w:szCs w:val="21"/>
                <w:highlight w:val="none"/>
              </w:rPr>
            </w:pPr>
            <w:r>
              <w:rPr>
                <w:rFonts w:hint="eastAsia" w:ascii="Arial" w:hAnsi="Arial"/>
                <w:color w:val="auto"/>
                <w:sz w:val="21"/>
                <w:szCs w:val="21"/>
                <w:highlight w:val="none"/>
              </w:rPr>
              <w:t>min</w:t>
            </w:r>
          </w:p>
        </w:tc>
        <w:tc>
          <w:tcPr>
            <w:tcW w:w="3465" w:type="dxa"/>
            <w:tcBorders>
              <w:tl2br w:val="nil"/>
              <w:tr2bl w:val="nil"/>
            </w:tcBorders>
          </w:tcPr>
          <w:p w14:paraId="5C717747">
            <w:pPr>
              <w:shd w:val="clear"/>
              <w:spacing w:line="360" w:lineRule="exact"/>
              <w:ind w:firstLine="0" w:firstLineChars="0"/>
              <w:jc w:val="both"/>
              <w:rPr>
                <w:rFonts w:ascii="Arial" w:hAnsi="Arial"/>
                <w:color w:val="auto"/>
                <w:sz w:val="21"/>
                <w:szCs w:val="21"/>
                <w:highlight w:val="none"/>
              </w:rPr>
            </w:pPr>
          </w:p>
        </w:tc>
      </w:tr>
      <w:tr w14:paraId="440933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1" w:type="dxa"/>
            <w:vMerge w:val="restart"/>
            <w:tcBorders>
              <w:tl2br w:val="nil"/>
              <w:tr2bl w:val="nil"/>
            </w:tcBorders>
          </w:tcPr>
          <w:p w14:paraId="583E4CCB">
            <w:pPr>
              <w:shd w:val="clear"/>
              <w:spacing w:line="360" w:lineRule="exact"/>
              <w:ind w:firstLine="0" w:firstLineChars="0"/>
              <w:jc w:val="both"/>
              <w:rPr>
                <w:rFonts w:ascii="Arial" w:hAnsi="Arial"/>
                <w:color w:val="auto"/>
                <w:sz w:val="21"/>
                <w:szCs w:val="21"/>
                <w:highlight w:val="none"/>
              </w:rPr>
            </w:pPr>
            <w:r>
              <w:rPr>
                <w:rFonts w:hint="eastAsia"/>
                <w:color w:val="auto"/>
                <w:sz w:val="21"/>
                <w:szCs w:val="21"/>
                <w:highlight w:val="none"/>
              </w:rPr>
              <w:t>线变化率</w:t>
            </w:r>
          </w:p>
        </w:tc>
        <w:tc>
          <w:tcPr>
            <w:tcW w:w="2062" w:type="dxa"/>
            <w:tcBorders>
              <w:tl2br w:val="nil"/>
              <w:tr2bl w:val="nil"/>
            </w:tcBorders>
          </w:tcPr>
          <w:p w14:paraId="43336691">
            <w:pPr>
              <w:shd w:val="clear"/>
              <w:spacing w:line="360" w:lineRule="exact"/>
              <w:ind w:firstLine="0" w:firstLineChars="0"/>
              <w:jc w:val="both"/>
              <w:rPr>
                <w:rFonts w:ascii="Arial" w:hAnsi="Arial"/>
                <w:color w:val="auto"/>
                <w:sz w:val="21"/>
                <w:szCs w:val="21"/>
                <w:highlight w:val="none"/>
              </w:rPr>
            </w:pPr>
            <w:r>
              <w:rPr>
                <w:rFonts w:hint="eastAsia" w:ascii="Arial" w:hAnsi="Arial"/>
                <w:color w:val="auto"/>
                <w:sz w:val="21"/>
                <w:szCs w:val="21"/>
                <w:highlight w:val="none"/>
              </w:rPr>
              <w:t>1</w:t>
            </w:r>
            <w:r>
              <w:rPr>
                <w:rFonts w:hint="eastAsia" w:ascii="Arial" w:hAnsi="Arial"/>
                <w:color w:val="auto"/>
                <w:sz w:val="21"/>
                <w:szCs w:val="21"/>
                <w:highlight w:val="none"/>
                <w:lang w:val="en-US" w:eastAsia="zh-CN"/>
              </w:rPr>
              <w:t>4</w:t>
            </w:r>
            <w:r>
              <w:rPr>
                <w:rFonts w:hint="eastAsia" w:ascii="Arial" w:hAnsi="Arial"/>
                <w:color w:val="auto"/>
                <w:sz w:val="21"/>
                <w:szCs w:val="21"/>
                <w:highlight w:val="none"/>
              </w:rPr>
              <w:t>00</w:t>
            </w:r>
            <w:r>
              <w:rPr>
                <w:rFonts w:hint="eastAsia"/>
                <w:color w:val="auto"/>
                <w:sz w:val="21"/>
                <w:szCs w:val="21"/>
                <w:highlight w:val="none"/>
              </w:rPr>
              <w:t>℃×</w:t>
            </w:r>
            <w:r>
              <w:rPr>
                <w:rFonts w:hint="eastAsia" w:ascii="Arial" w:hAnsi="Arial"/>
                <w:color w:val="auto"/>
                <w:sz w:val="21"/>
                <w:szCs w:val="21"/>
                <w:highlight w:val="none"/>
              </w:rPr>
              <w:t>3h</w:t>
            </w:r>
            <w:r>
              <w:rPr>
                <w:rFonts w:hint="eastAsia"/>
                <w:color w:val="auto"/>
                <w:sz w:val="21"/>
                <w:szCs w:val="21"/>
                <w:highlight w:val="none"/>
              </w:rPr>
              <w:t>烧后</w:t>
            </w:r>
          </w:p>
        </w:tc>
        <w:tc>
          <w:tcPr>
            <w:tcW w:w="1628" w:type="dxa"/>
            <w:tcBorders>
              <w:tl2br w:val="nil"/>
              <w:tr2bl w:val="nil"/>
            </w:tcBorders>
          </w:tcPr>
          <w:p w14:paraId="1D763B0C">
            <w:pPr>
              <w:shd w:val="clear"/>
              <w:spacing w:line="360" w:lineRule="exact"/>
              <w:ind w:firstLine="0" w:firstLineChars="0"/>
              <w:jc w:val="both"/>
              <w:rPr>
                <w:rFonts w:ascii="Arial" w:hAnsi="Arial"/>
                <w:color w:val="auto"/>
                <w:sz w:val="21"/>
                <w:szCs w:val="21"/>
                <w:highlight w:val="none"/>
              </w:rPr>
            </w:pPr>
            <w:r>
              <w:rPr>
                <w:rFonts w:hint="eastAsia" w:ascii="Arial" w:hAnsi="Arial"/>
                <w:color w:val="auto"/>
                <w:sz w:val="21"/>
                <w:szCs w:val="21"/>
                <w:highlight w:val="none"/>
              </w:rPr>
              <w:t>%</w:t>
            </w:r>
          </w:p>
        </w:tc>
        <w:tc>
          <w:tcPr>
            <w:tcW w:w="3465" w:type="dxa"/>
            <w:tcBorders>
              <w:tl2br w:val="nil"/>
              <w:tr2bl w:val="nil"/>
            </w:tcBorders>
          </w:tcPr>
          <w:p w14:paraId="56DE292F">
            <w:pPr>
              <w:shd w:val="clear"/>
              <w:spacing w:line="360" w:lineRule="exact"/>
              <w:ind w:firstLine="0" w:firstLineChars="0"/>
              <w:jc w:val="both"/>
              <w:rPr>
                <w:color w:val="auto"/>
                <w:sz w:val="21"/>
                <w:szCs w:val="21"/>
                <w:highlight w:val="none"/>
              </w:rPr>
            </w:pPr>
            <w:r>
              <w:rPr>
                <w:rFonts w:ascii="宋体" w:hAnsi="宋体" w:eastAsia="宋体" w:cs="宋体"/>
                <w:color w:val="auto"/>
                <w:sz w:val="24"/>
                <w:szCs w:val="24"/>
                <w:highlight w:val="none"/>
              </w:rPr>
              <w:t>±0.25</w:t>
            </w:r>
          </w:p>
        </w:tc>
      </w:tr>
      <w:tr w14:paraId="506535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1" w:type="dxa"/>
            <w:vMerge w:val="continue"/>
            <w:tcBorders>
              <w:tl2br w:val="nil"/>
              <w:tr2bl w:val="nil"/>
            </w:tcBorders>
            <w:vAlign w:val="center"/>
          </w:tcPr>
          <w:p w14:paraId="71CAD1D1">
            <w:pPr>
              <w:widowControl/>
              <w:shd w:val="clear"/>
              <w:spacing w:line="240" w:lineRule="auto"/>
              <w:ind w:firstLine="0" w:firstLineChars="0"/>
              <w:rPr>
                <w:rFonts w:ascii="Arial" w:hAnsi="Arial"/>
                <w:color w:val="auto"/>
                <w:sz w:val="21"/>
                <w:szCs w:val="21"/>
                <w:highlight w:val="none"/>
              </w:rPr>
            </w:pPr>
          </w:p>
        </w:tc>
        <w:tc>
          <w:tcPr>
            <w:tcW w:w="2062" w:type="dxa"/>
            <w:tcBorders>
              <w:tl2br w:val="nil"/>
              <w:tr2bl w:val="nil"/>
            </w:tcBorders>
          </w:tcPr>
          <w:p w14:paraId="4952318C">
            <w:pPr>
              <w:shd w:val="clear"/>
              <w:spacing w:line="360" w:lineRule="exact"/>
              <w:ind w:firstLine="0" w:firstLineChars="0"/>
              <w:jc w:val="both"/>
              <w:rPr>
                <w:rFonts w:ascii="Arial" w:hAnsi="Arial"/>
                <w:color w:val="auto"/>
                <w:sz w:val="21"/>
                <w:szCs w:val="21"/>
                <w:highlight w:val="none"/>
              </w:rPr>
            </w:pPr>
            <w:r>
              <w:rPr>
                <w:rFonts w:hint="eastAsia" w:ascii="Arial" w:hAnsi="Arial"/>
                <w:color w:val="auto"/>
                <w:sz w:val="21"/>
                <w:szCs w:val="21"/>
                <w:highlight w:val="none"/>
              </w:rPr>
              <w:t>1</w:t>
            </w:r>
            <w:r>
              <w:rPr>
                <w:rFonts w:hint="eastAsia" w:ascii="Arial" w:hAnsi="Arial"/>
                <w:color w:val="auto"/>
                <w:sz w:val="21"/>
                <w:szCs w:val="21"/>
                <w:highlight w:val="none"/>
                <w:lang w:val="en-US" w:eastAsia="zh-CN"/>
              </w:rPr>
              <w:t>4</w:t>
            </w:r>
            <w:r>
              <w:rPr>
                <w:rFonts w:hint="eastAsia" w:ascii="Arial" w:hAnsi="Arial"/>
                <w:color w:val="auto"/>
                <w:sz w:val="21"/>
                <w:szCs w:val="21"/>
                <w:highlight w:val="none"/>
              </w:rPr>
              <w:t>00</w:t>
            </w:r>
            <w:r>
              <w:rPr>
                <w:rFonts w:hint="eastAsia"/>
                <w:color w:val="auto"/>
                <w:sz w:val="21"/>
                <w:szCs w:val="21"/>
                <w:highlight w:val="none"/>
              </w:rPr>
              <w:t>℃×</w:t>
            </w:r>
            <w:r>
              <w:rPr>
                <w:rFonts w:hint="eastAsia" w:ascii="Arial" w:hAnsi="Arial"/>
                <w:color w:val="auto"/>
                <w:sz w:val="21"/>
                <w:szCs w:val="21"/>
                <w:highlight w:val="none"/>
              </w:rPr>
              <w:t>3h</w:t>
            </w:r>
            <w:r>
              <w:rPr>
                <w:rFonts w:hint="eastAsia"/>
                <w:color w:val="auto"/>
                <w:sz w:val="21"/>
                <w:szCs w:val="21"/>
                <w:highlight w:val="none"/>
              </w:rPr>
              <w:t>烧后</w:t>
            </w:r>
          </w:p>
        </w:tc>
        <w:tc>
          <w:tcPr>
            <w:tcW w:w="1628" w:type="dxa"/>
            <w:tcBorders>
              <w:tl2br w:val="nil"/>
              <w:tr2bl w:val="nil"/>
            </w:tcBorders>
          </w:tcPr>
          <w:p w14:paraId="209F0BF9">
            <w:pPr>
              <w:shd w:val="clear"/>
              <w:spacing w:line="360" w:lineRule="exact"/>
              <w:ind w:firstLine="0" w:firstLineChars="0"/>
              <w:jc w:val="both"/>
              <w:rPr>
                <w:rFonts w:ascii="Arial" w:hAnsi="Arial"/>
                <w:color w:val="auto"/>
                <w:sz w:val="21"/>
                <w:szCs w:val="21"/>
                <w:highlight w:val="none"/>
              </w:rPr>
            </w:pPr>
            <w:r>
              <w:rPr>
                <w:rFonts w:hint="eastAsia" w:ascii="Arial" w:hAnsi="Arial"/>
                <w:color w:val="auto"/>
                <w:sz w:val="21"/>
                <w:szCs w:val="21"/>
                <w:highlight w:val="none"/>
              </w:rPr>
              <w:t>%</w:t>
            </w:r>
          </w:p>
        </w:tc>
        <w:tc>
          <w:tcPr>
            <w:tcW w:w="3465" w:type="dxa"/>
            <w:tcBorders>
              <w:tl2br w:val="nil"/>
              <w:tr2bl w:val="nil"/>
            </w:tcBorders>
          </w:tcPr>
          <w:p w14:paraId="4711215B">
            <w:pPr>
              <w:shd w:val="clear"/>
              <w:spacing w:line="360" w:lineRule="exact"/>
              <w:ind w:firstLine="0" w:firstLineChars="0"/>
              <w:jc w:val="both"/>
              <w:rPr>
                <w:rFonts w:ascii="Arial" w:hAnsi="Arial"/>
                <w:color w:val="auto"/>
                <w:sz w:val="21"/>
                <w:szCs w:val="21"/>
                <w:highlight w:val="none"/>
              </w:rPr>
            </w:pPr>
            <w:r>
              <w:rPr>
                <w:rFonts w:ascii="宋体" w:hAnsi="宋体" w:eastAsia="宋体" w:cs="宋体"/>
                <w:color w:val="auto"/>
                <w:sz w:val="24"/>
                <w:szCs w:val="24"/>
                <w:highlight w:val="none"/>
              </w:rPr>
              <w:t>±0.1</w:t>
            </w:r>
          </w:p>
        </w:tc>
      </w:tr>
      <w:tr w14:paraId="113579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1" w:type="dxa"/>
            <w:vMerge w:val="restart"/>
            <w:tcBorders>
              <w:tl2br w:val="nil"/>
              <w:tr2bl w:val="nil"/>
            </w:tcBorders>
            <w:vAlign w:val="center"/>
          </w:tcPr>
          <w:p w14:paraId="6B1156DD">
            <w:pPr>
              <w:shd w:val="clear"/>
              <w:spacing w:line="360" w:lineRule="exact"/>
              <w:ind w:firstLine="0" w:firstLineChars="0"/>
              <w:jc w:val="both"/>
              <w:rPr>
                <w:rFonts w:ascii="Arial" w:hAnsi="Arial"/>
                <w:color w:val="auto"/>
                <w:sz w:val="21"/>
                <w:szCs w:val="21"/>
                <w:highlight w:val="none"/>
              </w:rPr>
            </w:pPr>
            <w:r>
              <w:rPr>
                <w:rFonts w:hint="eastAsia"/>
                <w:color w:val="auto"/>
                <w:sz w:val="21"/>
                <w:szCs w:val="21"/>
                <w:highlight w:val="none"/>
              </w:rPr>
              <w:t>粒度</w:t>
            </w:r>
          </w:p>
        </w:tc>
        <w:tc>
          <w:tcPr>
            <w:tcW w:w="2062" w:type="dxa"/>
            <w:tcBorders>
              <w:tl2br w:val="nil"/>
              <w:tr2bl w:val="nil"/>
            </w:tcBorders>
          </w:tcPr>
          <w:p w14:paraId="750A20F8">
            <w:pPr>
              <w:shd w:val="clear"/>
              <w:spacing w:line="360" w:lineRule="exact"/>
              <w:ind w:firstLine="0" w:firstLineChars="0"/>
              <w:jc w:val="both"/>
              <w:rPr>
                <w:rFonts w:ascii="Arial" w:hAnsi="Arial"/>
                <w:color w:val="auto"/>
                <w:sz w:val="21"/>
                <w:szCs w:val="21"/>
                <w:highlight w:val="none"/>
              </w:rPr>
            </w:pPr>
            <w:r>
              <w:rPr>
                <w:rFonts w:hint="eastAsia" w:ascii="Arial" w:hAnsi="Arial"/>
                <w:color w:val="auto"/>
                <w:sz w:val="21"/>
                <w:szCs w:val="21"/>
                <w:highlight w:val="none"/>
              </w:rPr>
              <w:t>-1.0mm</w:t>
            </w:r>
          </w:p>
        </w:tc>
        <w:tc>
          <w:tcPr>
            <w:tcW w:w="1628" w:type="dxa"/>
            <w:tcBorders>
              <w:tl2br w:val="nil"/>
              <w:tr2bl w:val="nil"/>
            </w:tcBorders>
          </w:tcPr>
          <w:p w14:paraId="08B59FEF">
            <w:pPr>
              <w:shd w:val="clear"/>
              <w:spacing w:line="360" w:lineRule="exact"/>
              <w:ind w:firstLine="0" w:firstLineChars="0"/>
              <w:jc w:val="both"/>
              <w:rPr>
                <w:rFonts w:ascii="Arial" w:hAnsi="Arial"/>
                <w:color w:val="auto"/>
                <w:sz w:val="21"/>
                <w:szCs w:val="21"/>
                <w:highlight w:val="none"/>
              </w:rPr>
            </w:pPr>
            <w:r>
              <w:rPr>
                <w:rFonts w:hint="eastAsia" w:ascii="Arial" w:hAnsi="Arial"/>
                <w:color w:val="auto"/>
                <w:sz w:val="21"/>
                <w:szCs w:val="21"/>
                <w:highlight w:val="none"/>
              </w:rPr>
              <w:t>%</w:t>
            </w:r>
          </w:p>
        </w:tc>
        <w:tc>
          <w:tcPr>
            <w:tcW w:w="3465" w:type="dxa"/>
            <w:tcBorders>
              <w:tl2br w:val="nil"/>
              <w:tr2bl w:val="nil"/>
            </w:tcBorders>
          </w:tcPr>
          <w:p w14:paraId="460679DA">
            <w:pPr>
              <w:shd w:val="clear"/>
              <w:spacing w:line="360" w:lineRule="exact"/>
              <w:ind w:firstLine="0" w:firstLineChars="0"/>
              <w:jc w:val="both"/>
              <w:rPr>
                <w:rFonts w:ascii="Arial" w:hAnsi="Arial"/>
                <w:color w:val="auto"/>
                <w:sz w:val="21"/>
                <w:szCs w:val="21"/>
                <w:highlight w:val="none"/>
              </w:rPr>
            </w:pPr>
          </w:p>
        </w:tc>
      </w:tr>
      <w:tr w14:paraId="43D944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1" w:type="dxa"/>
            <w:vMerge w:val="continue"/>
            <w:tcBorders>
              <w:tl2br w:val="nil"/>
              <w:tr2bl w:val="nil"/>
            </w:tcBorders>
            <w:vAlign w:val="center"/>
          </w:tcPr>
          <w:p w14:paraId="19088E25">
            <w:pPr>
              <w:widowControl/>
              <w:shd w:val="clear"/>
              <w:spacing w:line="240" w:lineRule="auto"/>
              <w:ind w:firstLine="0" w:firstLineChars="0"/>
              <w:rPr>
                <w:rFonts w:ascii="Arial" w:hAnsi="Arial"/>
                <w:color w:val="auto"/>
                <w:sz w:val="21"/>
                <w:szCs w:val="21"/>
                <w:highlight w:val="none"/>
              </w:rPr>
            </w:pPr>
          </w:p>
        </w:tc>
        <w:tc>
          <w:tcPr>
            <w:tcW w:w="2062" w:type="dxa"/>
            <w:tcBorders>
              <w:tl2br w:val="nil"/>
              <w:tr2bl w:val="nil"/>
            </w:tcBorders>
          </w:tcPr>
          <w:p w14:paraId="42B21BF8">
            <w:pPr>
              <w:shd w:val="clear"/>
              <w:spacing w:line="360" w:lineRule="exact"/>
              <w:ind w:firstLine="0" w:firstLineChars="0"/>
              <w:jc w:val="both"/>
              <w:rPr>
                <w:rFonts w:ascii="Arial" w:hAnsi="Arial"/>
                <w:color w:val="auto"/>
                <w:sz w:val="21"/>
                <w:szCs w:val="21"/>
                <w:highlight w:val="none"/>
              </w:rPr>
            </w:pPr>
            <w:r>
              <w:rPr>
                <w:rFonts w:hint="eastAsia" w:ascii="Arial" w:hAnsi="Arial"/>
                <w:color w:val="auto"/>
                <w:sz w:val="21"/>
                <w:szCs w:val="21"/>
                <w:highlight w:val="none"/>
              </w:rPr>
              <w:t>+0.5mm</w:t>
            </w:r>
          </w:p>
        </w:tc>
        <w:tc>
          <w:tcPr>
            <w:tcW w:w="1628" w:type="dxa"/>
            <w:tcBorders>
              <w:tl2br w:val="nil"/>
              <w:tr2bl w:val="nil"/>
            </w:tcBorders>
          </w:tcPr>
          <w:p w14:paraId="5D386F3F">
            <w:pPr>
              <w:shd w:val="clear"/>
              <w:spacing w:line="360" w:lineRule="exact"/>
              <w:ind w:firstLine="0" w:firstLineChars="0"/>
              <w:jc w:val="both"/>
              <w:rPr>
                <w:rFonts w:ascii="Arial" w:hAnsi="Arial"/>
                <w:color w:val="auto"/>
                <w:sz w:val="21"/>
                <w:szCs w:val="21"/>
                <w:highlight w:val="none"/>
              </w:rPr>
            </w:pPr>
            <w:r>
              <w:rPr>
                <w:rFonts w:hint="eastAsia"/>
                <w:color w:val="auto"/>
                <w:sz w:val="21"/>
                <w:szCs w:val="21"/>
                <w:highlight w:val="none"/>
              </w:rPr>
              <w:t>≤</w:t>
            </w:r>
            <w:r>
              <w:rPr>
                <w:rFonts w:hint="eastAsia" w:ascii="Arial" w:hAnsi="Arial"/>
                <w:color w:val="auto"/>
                <w:sz w:val="21"/>
                <w:szCs w:val="21"/>
                <w:highlight w:val="none"/>
              </w:rPr>
              <w:t>%</w:t>
            </w:r>
          </w:p>
        </w:tc>
        <w:tc>
          <w:tcPr>
            <w:tcW w:w="3465" w:type="dxa"/>
            <w:tcBorders>
              <w:tl2br w:val="nil"/>
              <w:tr2bl w:val="nil"/>
            </w:tcBorders>
          </w:tcPr>
          <w:p w14:paraId="0BEAC1E2">
            <w:pPr>
              <w:shd w:val="clear"/>
              <w:spacing w:line="360" w:lineRule="exact"/>
              <w:ind w:firstLine="0" w:firstLineChars="0"/>
              <w:jc w:val="both"/>
              <w:rPr>
                <w:rFonts w:ascii="Arial" w:hAnsi="Arial"/>
                <w:color w:val="auto"/>
                <w:sz w:val="21"/>
                <w:szCs w:val="21"/>
                <w:highlight w:val="none"/>
              </w:rPr>
            </w:pPr>
          </w:p>
        </w:tc>
      </w:tr>
      <w:tr w14:paraId="701C95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1" w:type="dxa"/>
            <w:vMerge w:val="continue"/>
            <w:tcBorders>
              <w:tl2br w:val="nil"/>
              <w:tr2bl w:val="nil"/>
            </w:tcBorders>
            <w:vAlign w:val="center"/>
          </w:tcPr>
          <w:p w14:paraId="15349673">
            <w:pPr>
              <w:widowControl/>
              <w:shd w:val="clear"/>
              <w:spacing w:line="240" w:lineRule="auto"/>
              <w:ind w:firstLine="0" w:firstLineChars="0"/>
              <w:rPr>
                <w:rFonts w:ascii="Arial" w:hAnsi="Arial"/>
                <w:color w:val="auto"/>
                <w:sz w:val="21"/>
                <w:szCs w:val="21"/>
                <w:highlight w:val="none"/>
              </w:rPr>
            </w:pPr>
          </w:p>
        </w:tc>
        <w:tc>
          <w:tcPr>
            <w:tcW w:w="2062" w:type="dxa"/>
            <w:tcBorders>
              <w:tl2br w:val="nil"/>
              <w:tr2bl w:val="nil"/>
            </w:tcBorders>
          </w:tcPr>
          <w:p w14:paraId="159009CB">
            <w:pPr>
              <w:shd w:val="clear"/>
              <w:spacing w:line="360" w:lineRule="exact"/>
              <w:ind w:firstLine="0" w:firstLineChars="0"/>
              <w:jc w:val="both"/>
              <w:rPr>
                <w:rFonts w:ascii="Arial" w:hAnsi="Arial"/>
                <w:color w:val="auto"/>
                <w:sz w:val="21"/>
                <w:szCs w:val="21"/>
                <w:highlight w:val="none"/>
              </w:rPr>
            </w:pPr>
            <w:r>
              <w:rPr>
                <w:rFonts w:hint="eastAsia" w:ascii="Arial" w:hAnsi="Arial"/>
                <w:color w:val="auto"/>
                <w:sz w:val="21"/>
                <w:szCs w:val="21"/>
                <w:highlight w:val="none"/>
              </w:rPr>
              <w:t>-0.074mm</w:t>
            </w:r>
          </w:p>
        </w:tc>
        <w:tc>
          <w:tcPr>
            <w:tcW w:w="1628" w:type="dxa"/>
            <w:tcBorders>
              <w:tl2br w:val="nil"/>
              <w:tr2bl w:val="nil"/>
            </w:tcBorders>
          </w:tcPr>
          <w:p w14:paraId="2DFCBFCA">
            <w:pPr>
              <w:shd w:val="clear"/>
              <w:spacing w:line="360" w:lineRule="exact"/>
              <w:ind w:firstLine="0" w:firstLineChars="0"/>
              <w:jc w:val="both"/>
              <w:rPr>
                <w:rFonts w:ascii="Arial" w:hAnsi="Arial"/>
                <w:color w:val="auto"/>
                <w:sz w:val="21"/>
                <w:szCs w:val="21"/>
                <w:highlight w:val="none"/>
              </w:rPr>
            </w:pPr>
            <w:r>
              <w:rPr>
                <w:rFonts w:hint="eastAsia"/>
                <w:color w:val="auto"/>
                <w:sz w:val="21"/>
                <w:szCs w:val="21"/>
                <w:highlight w:val="none"/>
              </w:rPr>
              <w:t>≥</w:t>
            </w:r>
            <w:r>
              <w:rPr>
                <w:rFonts w:hint="eastAsia" w:ascii="Arial" w:hAnsi="Arial"/>
                <w:color w:val="auto"/>
                <w:sz w:val="21"/>
                <w:szCs w:val="21"/>
                <w:highlight w:val="none"/>
              </w:rPr>
              <w:t>%</w:t>
            </w:r>
          </w:p>
        </w:tc>
        <w:tc>
          <w:tcPr>
            <w:tcW w:w="3465" w:type="dxa"/>
            <w:tcBorders>
              <w:tl2br w:val="nil"/>
              <w:tr2bl w:val="nil"/>
            </w:tcBorders>
          </w:tcPr>
          <w:p w14:paraId="12C16E09">
            <w:pPr>
              <w:shd w:val="clear"/>
              <w:spacing w:line="360" w:lineRule="exact"/>
              <w:ind w:firstLine="0" w:firstLineChars="0"/>
              <w:jc w:val="both"/>
              <w:rPr>
                <w:rFonts w:ascii="Arial" w:hAnsi="Arial"/>
                <w:color w:val="auto"/>
                <w:sz w:val="21"/>
                <w:szCs w:val="21"/>
                <w:highlight w:val="none"/>
              </w:rPr>
            </w:pPr>
          </w:p>
        </w:tc>
      </w:tr>
      <w:tr w14:paraId="6F4869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6" w:hRule="atLeast"/>
          <w:jc w:val="center"/>
        </w:trPr>
        <w:tc>
          <w:tcPr>
            <w:tcW w:w="2983" w:type="dxa"/>
            <w:gridSpan w:val="2"/>
            <w:vMerge w:val="restart"/>
            <w:tcBorders>
              <w:tl2br w:val="nil"/>
              <w:tr2bl w:val="nil"/>
            </w:tcBorders>
            <w:vAlign w:val="center"/>
          </w:tcPr>
          <w:p w14:paraId="1CD34C2F">
            <w:pPr>
              <w:shd w:val="clear"/>
              <w:spacing w:line="360" w:lineRule="exact"/>
              <w:ind w:firstLine="0" w:firstLineChars="0"/>
              <w:jc w:val="both"/>
              <w:rPr>
                <w:rFonts w:ascii="Arial" w:hAnsi="Arial"/>
                <w:color w:val="auto"/>
                <w:sz w:val="21"/>
                <w:szCs w:val="21"/>
                <w:highlight w:val="none"/>
              </w:rPr>
            </w:pPr>
            <w:r>
              <w:rPr>
                <w:rFonts w:hint="eastAsia" w:ascii="Arial" w:hAnsi="Arial"/>
                <w:color w:val="auto"/>
                <w:sz w:val="21"/>
                <w:szCs w:val="21"/>
                <w:highlight w:val="none"/>
              </w:rPr>
              <w:t>耐压强度</w:t>
            </w:r>
          </w:p>
          <w:p w14:paraId="2BAA158B">
            <w:pPr>
              <w:shd w:val="clear"/>
              <w:spacing w:line="360" w:lineRule="exact"/>
              <w:ind w:firstLine="0" w:firstLineChars="0"/>
              <w:jc w:val="both"/>
              <w:rPr>
                <w:rFonts w:ascii="Arial" w:hAnsi="Arial"/>
                <w:color w:val="auto"/>
                <w:sz w:val="21"/>
                <w:szCs w:val="21"/>
                <w:highlight w:val="none"/>
              </w:rPr>
            </w:pPr>
          </w:p>
        </w:tc>
        <w:tc>
          <w:tcPr>
            <w:tcW w:w="1628" w:type="dxa"/>
            <w:vMerge w:val="restart"/>
            <w:tcBorders>
              <w:tl2br w:val="nil"/>
              <w:tr2bl w:val="nil"/>
            </w:tcBorders>
            <w:vAlign w:val="center"/>
          </w:tcPr>
          <w:p w14:paraId="1CB1DAD4">
            <w:pPr>
              <w:shd w:val="clear"/>
              <w:spacing w:line="360" w:lineRule="exact"/>
              <w:ind w:firstLine="0" w:firstLineChars="0"/>
              <w:jc w:val="both"/>
              <w:rPr>
                <w:color w:val="auto"/>
                <w:sz w:val="21"/>
                <w:szCs w:val="21"/>
                <w:highlight w:val="none"/>
              </w:rPr>
            </w:pPr>
            <w:r>
              <w:rPr>
                <w:rFonts w:hint="eastAsia"/>
                <w:color w:val="auto"/>
                <w:sz w:val="21"/>
                <w:szCs w:val="21"/>
                <w:highlight w:val="none"/>
              </w:rPr>
              <w:t>≥</w:t>
            </w:r>
            <w:r>
              <w:rPr>
                <w:rFonts w:hint="eastAsia" w:ascii="Arial" w:hAnsi="Arial"/>
                <w:color w:val="auto"/>
                <w:sz w:val="21"/>
                <w:szCs w:val="21"/>
                <w:highlight w:val="none"/>
              </w:rPr>
              <w:t>MPa</w:t>
            </w:r>
          </w:p>
        </w:tc>
        <w:tc>
          <w:tcPr>
            <w:tcW w:w="3465" w:type="dxa"/>
            <w:tcBorders>
              <w:tl2br w:val="nil"/>
              <w:tr2bl w:val="nil"/>
            </w:tcBorders>
          </w:tcPr>
          <w:p w14:paraId="29B2ED81">
            <w:pPr>
              <w:shd w:val="clear"/>
              <w:spacing w:line="360" w:lineRule="exact"/>
              <w:ind w:firstLine="0" w:firstLineChars="0"/>
              <w:jc w:val="both"/>
              <w:rPr>
                <w:rFonts w:ascii="Arial" w:hAnsi="Arial"/>
                <w:color w:val="auto"/>
                <w:sz w:val="21"/>
                <w:szCs w:val="21"/>
                <w:highlight w:val="none"/>
              </w:rPr>
            </w:pPr>
            <w:r>
              <w:rPr>
                <w:rFonts w:ascii="Arial" w:hAnsi="Arial"/>
                <w:color w:val="auto"/>
                <w:sz w:val="21"/>
                <w:szCs w:val="21"/>
                <w:highlight w:val="none"/>
              </w:rPr>
              <w:t>（110</w:t>
            </w:r>
            <w:r>
              <w:rPr>
                <w:rFonts w:hint="eastAsia" w:ascii="微软雅黑" w:hAnsi="微软雅黑" w:eastAsia="微软雅黑" w:cs="微软雅黑"/>
                <w:color w:val="auto"/>
                <w:sz w:val="21"/>
                <w:szCs w:val="21"/>
                <w:highlight w:val="none"/>
              </w:rPr>
              <w:t>℃</w:t>
            </w:r>
            <w:r>
              <w:rPr>
                <w:rFonts w:ascii="Arial" w:hAnsi="Arial"/>
                <w:color w:val="auto"/>
                <w:sz w:val="21"/>
                <w:szCs w:val="21"/>
                <w:highlight w:val="none"/>
              </w:rPr>
              <w:t>×24h）</w:t>
            </w:r>
            <w:r>
              <w:rPr>
                <w:rFonts w:hint="eastAsia"/>
                <w:color w:val="auto"/>
                <w:sz w:val="21"/>
                <w:szCs w:val="21"/>
                <w:highlight w:val="none"/>
              </w:rPr>
              <w:t>≥</w:t>
            </w:r>
            <w:r>
              <w:rPr>
                <w:color w:val="auto"/>
                <w:sz w:val="21"/>
                <w:szCs w:val="21"/>
                <w:highlight w:val="none"/>
              </w:rPr>
              <w:t>50</w:t>
            </w:r>
          </w:p>
        </w:tc>
      </w:tr>
      <w:tr w14:paraId="410C6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83" w:type="dxa"/>
            <w:gridSpan w:val="2"/>
            <w:vMerge w:val="continue"/>
            <w:tcBorders>
              <w:tl2br w:val="nil"/>
              <w:tr2bl w:val="nil"/>
            </w:tcBorders>
            <w:vAlign w:val="center"/>
          </w:tcPr>
          <w:p w14:paraId="60903439">
            <w:pPr>
              <w:shd w:val="clear"/>
              <w:spacing w:line="360" w:lineRule="exact"/>
              <w:ind w:firstLine="0" w:firstLineChars="0"/>
              <w:jc w:val="both"/>
              <w:rPr>
                <w:rFonts w:ascii="Arial" w:hAnsi="Arial"/>
                <w:color w:val="auto"/>
                <w:sz w:val="21"/>
                <w:szCs w:val="21"/>
                <w:highlight w:val="none"/>
              </w:rPr>
            </w:pPr>
          </w:p>
        </w:tc>
        <w:tc>
          <w:tcPr>
            <w:tcW w:w="1628" w:type="dxa"/>
            <w:vMerge w:val="continue"/>
            <w:tcBorders>
              <w:tl2br w:val="nil"/>
              <w:tr2bl w:val="nil"/>
            </w:tcBorders>
          </w:tcPr>
          <w:p w14:paraId="1824525F">
            <w:pPr>
              <w:shd w:val="clear"/>
              <w:spacing w:line="360" w:lineRule="exact"/>
              <w:ind w:firstLine="0" w:firstLineChars="0"/>
              <w:jc w:val="both"/>
              <w:rPr>
                <w:color w:val="auto"/>
                <w:sz w:val="21"/>
                <w:szCs w:val="21"/>
                <w:highlight w:val="none"/>
              </w:rPr>
            </w:pPr>
          </w:p>
        </w:tc>
        <w:tc>
          <w:tcPr>
            <w:tcW w:w="3465" w:type="dxa"/>
            <w:tcBorders>
              <w:tl2br w:val="nil"/>
              <w:tr2bl w:val="nil"/>
            </w:tcBorders>
          </w:tcPr>
          <w:p w14:paraId="20B462B3">
            <w:pPr>
              <w:shd w:val="clear"/>
              <w:spacing w:line="360" w:lineRule="exact"/>
              <w:ind w:firstLine="0" w:firstLineChars="0"/>
              <w:jc w:val="both"/>
              <w:rPr>
                <w:rFonts w:ascii="Arial" w:hAnsi="Arial"/>
                <w:color w:val="auto"/>
                <w:sz w:val="21"/>
                <w:szCs w:val="21"/>
                <w:highlight w:val="none"/>
              </w:rPr>
            </w:pPr>
            <w:r>
              <w:rPr>
                <w:rFonts w:ascii="Arial" w:hAnsi="Arial"/>
                <w:color w:val="auto"/>
                <w:sz w:val="21"/>
                <w:szCs w:val="21"/>
                <w:highlight w:val="none"/>
              </w:rPr>
              <w:t>（1400</w:t>
            </w:r>
            <w:r>
              <w:rPr>
                <w:rFonts w:hint="eastAsia" w:ascii="微软雅黑" w:hAnsi="微软雅黑" w:eastAsia="微软雅黑" w:cs="微软雅黑"/>
                <w:color w:val="auto"/>
                <w:sz w:val="21"/>
                <w:szCs w:val="21"/>
                <w:highlight w:val="none"/>
              </w:rPr>
              <w:t>℃</w:t>
            </w:r>
            <w:r>
              <w:rPr>
                <w:rFonts w:ascii="Arial" w:hAnsi="Arial"/>
                <w:color w:val="auto"/>
                <w:sz w:val="21"/>
                <w:szCs w:val="21"/>
                <w:highlight w:val="none"/>
              </w:rPr>
              <w:t>×3h）</w:t>
            </w:r>
            <w:r>
              <w:rPr>
                <w:rFonts w:hint="eastAsia"/>
                <w:color w:val="auto"/>
                <w:sz w:val="21"/>
                <w:szCs w:val="21"/>
                <w:highlight w:val="none"/>
              </w:rPr>
              <w:t>≥</w:t>
            </w:r>
            <w:r>
              <w:rPr>
                <w:color w:val="auto"/>
                <w:sz w:val="21"/>
                <w:szCs w:val="21"/>
                <w:highlight w:val="none"/>
              </w:rPr>
              <w:t>150</w:t>
            </w:r>
          </w:p>
        </w:tc>
      </w:tr>
    </w:tbl>
    <w:p w14:paraId="180A644D">
      <w:pPr>
        <w:shd w:val="clear"/>
        <w:ind w:firstLine="0" w:firstLineChars="0"/>
        <w:jc w:val="center"/>
        <w:rPr>
          <w:rFonts w:ascii="Times New Roman" w:hAnsi="Times New Roman"/>
          <w:color w:val="auto"/>
          <w:highlight w:val="none"/>
        </w:rPr>
      </w:pPr>
      <w:r>
        <w:rPr>
          <w:rFonts w:hint="eastAsia" w:ascii="Times New Roman" w:hAnsi="Times New Roman"/>
          <w:color w:val="auto"/>
          <w:highlight w:val="none"/>
        </w:rPr>
        <w:t>表2.5-3  喷涂料理化指标</w:t>
      </w:r>
    </w:p>
    <w:tbl>
      <w:tblPr>
        <w:tblStyle w:val="6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334"/>
        <w:gridCol w:w="2225"/>
        <w:gridCol w:w="1950"/>
        <w:gridCol w:w="1938"/>
      </w:tblGrid>
      <w:tr w14:paraId="44647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0" w:hRule="atLeast"/>
          <w:jc w:val="center"/>
        </w:trPr>
        <w:tc>
          <w:tcPr>
            <w:tcW w:w="2698" w:type="pct"/>
            <w:gridSpan w:val="2"/>
            <w:tcBorders>
              <w:top w:val="single" w:color="auto" w:sz="12" w:space="0"/>
              <w:left w:val="single" w:color="auto" w:sz="12" w:space="0"/>
            </w:tcBorders>
            <w:shd w:val="clear" w:color="auto" w:fill="auto"/>
            <w:tcMar>
              <w:top w:w="19" w:type="dxa"/>
              <w:left w:w="72" w:type="dxa"/>
              <w:bottom w:w="19" w:type="dxa"/>
              <w:right w:w="72" w:type="dxa"/>
            </w:tcMar>
            <w:vAlign w:val="center"/>
          </w:tcPr>
          <w:p w14:paraId="19B38EA9">
            <w:pPr>
              <w:pStyle w:val="55"/>
              <w:shd w:val="clear"/>
              <w:spacing w:before="0" w:beforeAutospacing="0" w:after="0" w:afterAutospacing="0" w:line="15" w:lineRule="atLeast"/>
              <w:ind w:firstLine="0" w:firstLineChars="0"/>
              <w:jc w:val="center"/>
              <w:rPr>
                <w:color w:val="auto"/>
                <w:highlight w:val="none"/>
              </w:rPr>
            </w:pPr>
            <w:r>
              <w:rPr>
                <w:rFonts w:hint="eastAsia"/>
                <w:color w:val="auto"/>
                <w:sz w:val="21"/>
                <w:szCs w:val="21"/>
                <w:highlight w:val="none"/>
              </w:rPr>
              <w:t>项    目</w:t>
            </w:r>
          </w:p>
        </w:tc>
        <w:tc>
          <w:tcPr>
            <w:tcW w:w="1154" w:type="pct"/>
            <w:tcBorders>
              <w:top w:val="single" w:color="auto" w:sz="12" w:space="0"/>
            </w:tcBorders>
            <w:shd w:val="clear" w:color="auto" w:fill="auto"/>
            <w:tcMar>
              <w:top w:w="19" w:type="dxa"/>
              <w:left w:w="72" w:type="dxa"/>
              <w:bottom w:w="19" w:type="dxa"/>
              <w:right w:w="72" w:type="dxa"/>
            </w:tcMar>
            <w:vAlign w:val="center"/>
          </w:tcPr>
          <w:p w14:paraId="5164C477">
            <w:pPr>
              <w:pStyle w:val="55"/>
              <w:shd w:val="clear"/>
              <w:spacing w:before="0" w:beforeAutospacing="0" w:after="0" w:afterAutospacing="0" w:line="15" w:lineRule="atLeast"/>
              <w:ind w:firstLine="0" w:firstLineChars="0"/>
              <w:jc w:val="center"/>
              <w:rPr>
                <w:color w:val="auto"/>
                <w:highlight w:val="none"/>
              </w:rPr>
            </w:pPr>
            <w:r>
              <w:rPr>
                <w:rFonts w:hint="eastAsia"/>
                <w:color w:val="auto"/>
                <w:sz w:val="21"/>
                <w:szCs w:val="21"/>
                <w:highlight w:val="none"/>
              </w:rPr>
              <w:t>单 位</w:t>
            </w:r>
          </w:p>
        </w:tc>
        <w:tc>
          <w:tcPr>
            <w:tcW w:w="1147" w:type="pct"/>
            <w:tcBorders>
              <w:top w:val="single" w:color="auto" w:sz="12" w:space="0"/>
              <w:right w:val="single" w:color="auto" w:sz="12" w:space="0"/>
            </w:tcBorders>
            <w:shd w:val="clear" w:color="auto" w:fill="auto"/>
            <w:tcMar>
              <w:top w:w="19" w:type="dxa"/>
              <w:left w:w="72" w:type="dxa"/>
              <w:bottom w:w="19" w:type="dxa"/>
              <w:right w:w="72" w:type="dxa"/>
            </w:tcMar>
            <w:vAlign w:val="center"/>
          </w:tcPr>
          <w:p w14:paraId="0C5BB0F5">
            <w:pPr>
              <w:pStyle w:val="55"/>
              <w:shd w:val="clear"/>
              <w:spacing w:before="0" w:beforeAutospacing="0" w:after="0" w:afterAutospacing="0" w:line="15" w:lineRule="atLeast"/>
              <w:ind w:firstLine="0" w:firstLineChars="0"/>
              <w:jc w:val="center"/>
              <w:rPr>
                <w:color w:val="auto"/>
                <w:highlight w:val="none"/>
              </w:rPr>
            </w:pPr>
            <w:r>
              <w:rPr>
                <w:rFonts w:hint="eastAsia"/>
                <w:color w:val="auto"/>
                <w:sz w:val="21"/>
                <w:szCs w:val="21"/>
                <w:highlight w:val="none"/>
              </w:rPr>
              <w:t>指标</w:t>
            </w:r>
          </w:p>
        </w:tc>
      </w:tr>
      <w:tr w14:paraId="1038C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0" w:hRule="atLeast"/>
          <w:jc w:val="center"/>
        </w:trPr>
        <w:tc>
          <w:tcPr>
            <w:tcW w:w="2698" w:type="pct"/>
            <w:gridSpan w:val="2"/>
            <w:tcBorders>
              <w:left w:val="single" w:color="auto" w:sz="12" w:space="0"/>
            </w:tcBorders>
            <w:shd w:val="clear" w:color="auto" w:fill="auto"/>
            <w:tcMar>
              <w:top w:w="19" w:type="dxa"/>
              <w:left w:w="72" w:type="dxa"/>
              <w:bottom w:w="19" w:type="dxa"/>
              <w:right w:w="72" w:type="dxa"/>
            </w:tcMar>
            <w:vAlign w:val="center"/>
          </w:tcPr>
          <w:p w14:paraId="38711D73">
            <w:pPr>
              <w:pStyle w:val="55"/>
              <w:shd w:val="clear"/>
              <w:spacing w:before="0" w:beforeAutospacing="0" w:after="0" w:afterAutospacing="0" w:line="15" w:lineRule="atLeast"/>
              <w:ind w:firstLine="0" w:firstLineChars="0"/>
              <w:jc w:val="center"/>
              <w:rPr>
                <w:color w:val="auto"/>
                <w:highlight w:val="none"/>
              </w:rPr>
            </w:pPr>
            <w:r>
              <w:rPr>
                <w:rFonts w:hint="eastAsia"/>
                <w:color w:val="auto"/>
                <w:sz w:val="21"/>
                <w:szCs w:val="21"/>
                <w:highlight w:val="none"/>
              </w:rPr>
              <w:t>体积密度（110℃×24h）</w:t>
            </w:r>
          </w:p>
        </w:tc>
        <w:tc>
          <w:tcPr>
            <w:tcW w:w="1154" w:type="pct"/>
            <w:shd w:val="clear" w:color="auto" w:fill="auto"/>
            <w:tcMar>
              <w:top w:w="19" w:type="dxa"/>
              <w:left w:w="72" w:type="dxa"/>
              <w:bottom w:w="19" w:type="dxa"/>
              <w:right w:w="72" w:type="dxa"/>
            </w:tcMar>
            <w:vAlign w:val="center"/>
          </w:tcPr>
          <w:p w14:paraId="0A9F42C2">
            <w:pPr>
              <w:pStyle w:val="55"/>
              <w:shd w:val="clear"/>
              <w:spacing w:before="0" w:beforeAutospacing="0" w:after="0" w:afterAutospacing="0" w:line="15" w:lineRule="atLeast"/>
              <w:ind w:firstLine="0" w:firstLineChars="0"/>
              <w:jc w:val="center"/>
              <w:rPr>
                <w:color w:val="auto"/>
                <w:highlight w:val="none"/>
              </w:rPr>
            </w:pPr>
            <w:r>
              <w:rPr>
                <w:rFonts w:hint="eastAsia"/>
                <w:color w:val="auto"/>
                <w:sz w:val="21"/>
                <w:szCs w:val="21"/>
                <w:highlight w:val="none"/>
              </w:rPr>
              <w:t>g/cm</w:t>
            </w:r>
            <w:r>
              <w:rPr>
                <w:rFonts w:hint="eastAsia"/>
                <w:color w:val="auto"/>
                <w:sz w:val="21"/>
                <w:szCs w:val="21"/>
                <w:highlight w:val="none"/>
                <w:vertAlign w:val="superscript"/>
              </w:rPr>
              <w:t>3</w:t>
            </w:r>
          </w:p>
        </w:tc>
        <w:tc>
          <w:tcPr>
            <w:tcW w:w="1147" w:type="pct"/>
            <w:tcBorders>
              <w:right w:val="single" w:color="auto" w:sz="12" w:space="0"/>
            </w:tcBorders>
            <w:shd w:val="clear" w:color="auto" w:fill="auto"/>
            <w:tcMar>
              <w:top w:w="19" w:type="dxa"/>
              <w:left w:w="72" w:type="dxa"/>
              <w:bottom w:w="19" w:type="dxa"/>
              <w:right w:w="72" w:type="dxa"/>
            </w:tcMar>
            <w:vAlign w:val="center"/>
          </w:tcPr>
          <w:p w14:paraId="7A6692D8">
            <w:pPr>
              <w:pStyle w:val="55"/>
              <w:shd w:val="clear"/>
              <w:spacing w:before="0" w:beforeAutospacing="0" w:after="0" w:afterAutospacing="0" w:line="15" w:lineRule="atLeast"/>
              <w:ind w:firstLine="0" w:firstLineChars="0"/>
              <w:jc w:val="center"/>
              <w:rPr>
                <w:color w:val="auto"/>
                <w:highlight w:val="none"/>
              </w:rPr>
            </w:pPr>
            <w:r>
              <w:rPr>
                <w:rFonts w:hint="eastAsia"/>
                <w:color w:val="auto"/>
                <w:sz w:val="21"/>
                <w:szCs w:val="21"/>
                <w:highlight w:val="none"/>
              </w:rPr>
              <w:t>≥1.9</w:t>
            </w:r>
          </w:p>
        </w:tc>
      </w:tr>
      <w:tr w14:paraId="71FE6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0" w:hRule="atLeast"/>
          <w:jc w:val="center"/>
        </w:trPr>
        <w:tc>
          <w:tcPr>
            <w:tcW w:w="1381" w:type="pct"/>
            <w:vMerge w:val="restart"/>
            <w:tcBorders>
              <w:left w:val="single" w:color="auto" w:sz="12" w:space="0"/>
            </w:tcBorders>
            <w:shd w:val="clear" w:color="auto" w:fill="auto"/>
            <w:tcMar>
              <w:top w:w="19" w:type="dxa"/>
              <w:left w:w="72" w:type="dxa"/>
              <w:bottom w:w="19" w:type="dxa"/>
              <w:right w:w="72" w:type="dxa"/>
            </w:tcMar>
            <w:vAlign w:val="center"/>
          </w:tcPr>
          <w:p w14:paraId="329FA548">
            <w:pPr>
              <w:pStyle w:val="55"/>
              <w:shd w:val="clear"/>
              <w:spacing w:before="0" w:beforeAutospacing="0" w:after="0" w:afterAutospacing="0" w:line="15" w:lineRule="atLeast"/>
              <w:ind w:firstLine="0" w:firstLineChars="0"/>
              <w:jc w:val="center"/>
              <w:rPr>
                <w:color w:val="auto"/>
                <w:highlight w:val="none"/>
              </w:rPr>
            </w:pPr>
            <w:r>
              <w:rPr>
                <w:rFonts w:hint="eastAsia"/>
                <w:color w:val="auto"/>
                <w:sz w:val="21"/>
                <w:szCs w:val="21"/>
                <w:highlight w:val="none"/>
              </w:rPr>
              <w:t>化学成分</w:t>
            </w:r>
          </w:p>
        </w:tc>
        <w:tc>
          <w:tcPr>
            <w:tcW w:w="1317" w:type="pct"/>
            <w:shd w:val="clear" w:color="auto" w:fill="auto"/>
            <w:tcMar>
              <w:top w:w="19" w:type="dxa"/>
              <w:left w:w="72" w:type="dxa"/>
              <w:bottom w:w="19" w:type="dxa"/>
              <w:right w:w="72" w:type="dxa"/>
            </w:tcMar>
            <w:vAlign w:val="center"/>
          </w:tcPr>
          <w:p w14:paraId="4162023D">
            <w:pPr>
              <w:pStyle w:val="55"/>
              <w:shd w:val="clear"/>
              <w:spacing w:before="0" w:beforeAutospacing="0" w:after="0" w:afterAutospacing="0" w:line="15" w:lineRule="atLeast"/>
              <w:ind w:firstLine="0" w:firstLineChars="0"/>
              <w:jc w:val="center"/>
              <w:rPr>
                <w:color w:val="auto"/>
                <w:highlight w:val="none"/>
              </w:rPr>
            </w:pPr>
            <w:r>
              <w:rPr>
                <w:rFonts w:hint="eastAsia"/>
                <w:color w:val="auto"/>
                <w:sz w:val="21"/>
                <w:szCs w:val="21"/>
                <w:highlight w:val="none"/>
              </w:rPr>
              <w:t>Al</w:t>
            </w:r>
            <w:r>
              <w:rPr>
                <w:rFonts w:hint="eastAsia"/>
                <w:color w:val="auto"/>
                <w:sz w:val="21"/>
                <w:szCs w:val="21"/>
                <w:highlight w:val="none"/>
                <w:vertAlign w:val="subscript"/>
              </w:rPr>
              <w:t>2</w:t>
            </w:r>
            <w:r>
              <w:rPr>
                <w:rFonts w:hint="eastAsia"/>
                <w:color w:val="auto"/>
                <w:sz w:val="21"/>
                <w:szCs w:val="21"/>
                <w:highlight w:val="none"/>
              </w:rPr>
              <w:t>O</w:t>
            </w:r>
            <w:r>
              <w:rPr>
                <w:rFonts w:hint="eastAsia"/>
                <w:color w:val="auto"/>
                <w:sz w:val="21"/>
                <w:szCs w:val="21"/>
                <w:highlight w:val="none"/>
                <w:vertAlign w:val="subscript"/>
              </w:rPr>
              <w:t>3</w:t>
            </w:r>
          </w:p>
        </w:tc>
        <w:tc>
          <w:tcPr>
            <w:tcW w:w="1154" w:type="pct"/>
            <w:shd w:val="clear" w:color="auto" w:fill="auto"/>
            <w:tcMar>
              <w:top w:w="19" w:type="dxa"/>
              <w:left w:w="72" w:type="dxa"/>
              <w:bottom w:w="19" w:type="dxa"/>
              <w:right w:w="72" w:type="dxa"/>
            </w:tcMar>
            <w:vAlign w:val="center"/>
          </w:tcPr>
          <w:p w14:paraId="1470E4AB">
            <w:pPr>
              <w:pStyle w:val="55"/>
              <w:shd w:val="clear"/>
              <w:spacing w:before="0" w:beforeAutospacing="0" w:after="0" w:afterAutospacing="0" w:line="15" w:lineRule="atLeast"/>
              <w:ind w:firstLine="0" w:firstLineChars="0"/>
              <w:jc w:val="center"/>
              <w:rPr>
                <w:color w:val="auto"/>
                <w:highlight w:val="none"/>
              </w:rPr>
            </w:pPr>
            <w:r>
              <w:rPr>
                <w:rFonts w:hint="eastAsia"/>
                <w:color w:val="auto"/>
                <w:sz w:val="21"/>
                <w:szCs w:val="21"/>
                <w:highlight w:val="none"/>
              </w:rPr>
              <w:t>%</w:t>
            </w:r>
          </w:p>
        </w:tc>
        <w:tc>
          <w:tcPr>
            <w:tcW w:w="1147" w:type="pct"/>
            <w:tcBorders>
              <w:right w:val="single" w:color="auto" w:sz="12" w:space="0"/>
            </w:tcBorders>
            <w:shd w:val="clear" w:color="auto" w:fill="auto"/>
            <w:tcMar>
              <w:top w:w="19" w:type="dxa"/>
              <w:left w:w="72" w:type="dxa"/>
              <w:bottom w:w="19" w:type="dxa"/>
              <w:right w:w="72" w:type="dxa"/>
            </w:tcMar>
            <w:vAlign w:val="center"/>
          </w:tcPr>
          <w:p w14:paraId="16D40007">
            <w:pPr>
              <w:pStyle w:val="55"/>
              <w:shd w:val="clear"/>
              <w:spacing w:before="0" w:beforeAutospacing="0" w:after="0" w:afterAutospacing="0" w:line="15" w:lineRule="atLeast"/>
              <w:ind w:firstLine="0" w:firstLineChars="0"/>
              <w:jc w:val="center"/>
              <w:rPr>
                <w:color w:val="auto"/>
                <w:highlight w:val="none"/>
              </w:rPr>
            </w:pPr>
            <w:r>
              <w:rPr>
                <w:rFonts w:hint="eastAsia"/>
                <w:color w:val="auto"/>
                <w:sz w:val="21"/>
                <w:szCs w:val="21"/>
                <w:highlight w:val="none"/>
              </w:rPr>
              <w:t>＞40</w:t>
            </w:r>
          </w:p>
        </w:tc>
      </w:tr>
      <w:tr w14:paraId="1EDCB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0" w:hRule="atLeast"/>
          <w:jc w:val="center"/>
        </w:trPr>
        <w:tc>
          <w:tcPr>
            <w:tcW w:w="1381" w:type="pct"/>
            <w:vMerge w:val="continue"/>
            <w:tcBorders>
              <w:left w:val="single" w:color="auto" w:sz="12" w:space="0"/>
            </w:tcBorders>
            <w:shd w:val="clear" w:color="auto" w:fill="auto"/>
            <w:tcMar>
              <w:top w:w="19" w:type="dxa"/>
              <w:left w:w="72" w:type="dxa"/>
              <w:bottom w:w="19" w:type="dxa"/>
              <w:right w:w="72" w:type="dxa"/>
            </w:tcMar>
            <w:vAlign w:val="center"/>
          </w:tcPr>
          <w:p w14:paraId="0DD86756">
            <w:pPr>
              <w:widowControl/>
              <w:shd w:val="clear"/>
              <w:ind w:firstLine="0" w:firstLineChars="0"/>
              <w:jc w:val="center"/>
              <w:rPr>
                <w:color w:val="auto"/>
                <w:highlight w:val="none"/>
              </w:rPr>
            </w:pPr>
          </w:p>
        </w:tc>
        <w:tc>
          <w:tcPr>
            <w:tcW w:w="1317" w:type="pct"/>
            <w:shd w:val="clear" w:color="auto" w:fill="auto"/>
            <w:tcMar>
              <w:top w:w="19" w:type="dxa"/>
              <w:left w:w="72" w:type="dxa"/>
              <w:bottom w:w="19" w:type="dxa"/>
              <w:right w:w="72" w:type="dxa"/>
            </w:tcMar>
            <w:vAlign w:val="center"/>
          </w:tcPr>
          <w:p w14:paraId="70891934">
            <w:pPr>
              <w:pStyle w:val="55"/>
              <w:shd w:val="clear"/>
              <w:spacing w:before="0" w:beforeAutospacing="0" w:after="0" w:afterAutospacing="0" w:line="15" w:lineRule="atLeast"/>
              <w:ind w:firstLine="0" w:firstLineChars="0"/>
              <w:jc w:val="center"/>
              <w:rPr>
                <w:color w:val="auto"/>
                <w:highlight w:val="none"/>
              </w:rPr>
            </w:pPr>
            <w:r>
              <w:rPr>
                <w:rFonts w:hint="eastAsia"/>
                <w:color w:val="auto"/>
                <w:sz w:val="21"/>
                <w:szCs w:val="21"/>
                <w:highlight w:val="none"/>
              </w:rPr>
              <w:t>SiO</w:t>
            </w:r>
            <w:r>
              <w:rPr>
                <w:rFonts w:hint="eastAsia"/>
                <w:color w:val="auto"/>
                <w:sz w:val="21"/>
                <w:szCs w:val="21"/>
                <w:highlight w:val="none"/>
                <w:vertAlign w:val="subscript"/>
              </w:rPr>
              <w:t>2</w:t>
            </w:r>
          </w:p>
        </w:tc>
        <w:tc>
          <w:tcPr>
            <w:tcW w:w="1154" w:type="pct"/>
            <w:shd w:val="clear" w:color="auto" w:fill="auto"/>
            <w:tcMar>
              <w:top w:w="19" w:type="dxa"/>
              <w:left w:w="72" w:type="dxa"/>
              <w:bottom w:w="19" w:type="dxa"/>
              <w:right w:w="72" w:type="dxa"/>
            </w:tcMar>
            <w:vAlign w:val="center"/>
          </w:tcPr>
          <w:p w14:paraId="44453FF2">
            <w:pPr>
              <w:pStyle w:val="55"/>
              <w:shd w:val="clear"/>
              <w:spacing w:before="0" w:beforeAutospacing="0" w:after="0" w:afterAutospacing="0" w:line="15" w:lineRule="atLeast"/>
              <w:ind w:firstLine="0" w:firstLineChars="0"/>
              <w:jc w:val="center"/>
              <w:rPr>
                <w:color w:val="auto"/>
                <w:highlight w:val="none"/>
              </w:rPr>
            </w:pPr>
            <w:r>
              <w:rPr>
                <w:rFonts w:hint="eastAsia"/>
                <w:color w:val="auto"/>
                <w:sz w:val="21"/>
                <w:szCs w:val="21"/>
                <w:highlight w:val="none"/>
              </w:rPr>
              <w:t>%</w:t>
            </w:r>
          </w:p>
        </w:tc>
        <w:tc>
          <w:tcPr>
            <w:tcW w:w="1147" w:type="pct"/>
            <w:tcBorders>
              <w:right w:val="single" w:color="auto" w:sz="12" w:space="0"/>
            </w:tcBorders>
            <w:shd w:val="clear" w:color="auto" w:fill="auto"/>
            <w:tcMar>
              <w:top w:w="19" w:type="dxa"/>
              <w:left w:w="72" w:type="dxa"/>
              <w:bottom w:w="19" w:type="dxa"/>
              <w:right w:w="72" w:type="dxa"/>
            </w:tcMar>
            <w:vAlign w:val="center"/>
          </w:tcPr>
          <w:p w14:paraId="1F52CFCB">
            <w:pPr>
              <w:pStyle w:val="55"/>
              <w:shd w:val="clear"/>
              <w:spacing w:before="0" w:beforeAutospacing="0" w:after="0" w:afterAutospacing="0" w:line="15" w:lineRule="atLeast"/>
              <w:ind w:firstLine="0" w:firstLineChars="0"/>
              <w:jc w:val="center"/>
              <w:rPr>
                <w:color w:val="auto"/>
                <w:highlight w:val="none"/>
              </w:rPr>
            </w:pPr>
            <w:r>
              <w:rPr>
                <w:rFonts w:hint="eastAsia"/>
                <w:color w:val="auto"/>
                <w:sz w:val="21"/>
                <w:szCs w:val="21"/>
                <w:highlight w:val="none"/>
              </w:rPr>
              <w:t>＜42</w:t>
            </w:r>
          </w:p>
        </w:tc>
      </w:tr>
      <w:tr w14:paraId="0F8E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0" w:hRule="atLeast"/>
          <w:jc w:val="center"/>
        </w:trPr>
        <w:tc>
          <w:tcPr>
            <w:tcW w:w="1381" w:type="pct"/>
            <w:vMerge w:val="continue"/>
            <w:tcBorders>
              <w:left w:val="single" w:color="auto" w:sz="12" w:space="0"/>
            </w:tcBorders>
            <w:shd w:val="clear" w:color="auto" w:fill="auto"/>
            <w:tcMar>
              <w:top w:w="19" w:type="dxa"/>
              <w:left w:w="72" w:type="dxa"/>
              <w:bottom w:w="19" w:type="dxa"/>
              <w:right w:w="72" w:type="dxa"/>
            </w:tcMar>
            <w:vAlign w:val="center"/>
          </w:tcPr>
          <w:p w14:paraId="2B02133E">
            <w:pPr>
              <w:widowControl/>
              <w:shd w:val="clear"/>
              <w:ind w:firstLine="0" w:firstLineChars="0"/>
              <w:jc w:val="center"/>
              <w:rPr>
                <w:color w:val="auto"/>
                <w:highlight w:val="none"/>
              </w:rPr>
            </w:pPr>
          </w:p>
        </w:tc>
        <w:tc>
          <w:tcPr>
            <w:tcW w:w="1317" w:type="pct"/>
            <w:shd w:val="clear" w:color="auto" w:fill="auto"/>
            <w:tcMar>
              <w:top w:w="19" w:type="dxa"/>
              <w:left w:w="72" w:type="dxa"/>
              <w:bottom w:w="19" w:type="dxa"/>
              <w:right w:w="72" w:type="dxa"/>
            </w:tcMar>
            <w:vAlign w:val="center"/>
          </w:tcPr>
          <w:p w14:paraId="69AF7138">
            <w:pPr>
              <w:pStyle w:val="55"/>
              <w:shd w:val="clear"/>
              <w:spacing w:before="0" w:beforeAutospacing="0" w:after="0" w:afterAutospacing="0" w:line="15" w:lineRule="atLeast"/>
              <w:ind w:firstLine="0" w:firstLineChars="0"/>
              <w:jc w:val="center"/>
              <w:rPr>
                <w:rFonts w:asciiTheme="minorHAnsi" w:hAnsiTheme="minorHAnsi" w:eastAsiaTheme="minorEastAsia" w:cstheme="minorBidi"/>
                <w:color w:val="auto"/>
                <w:kern w:val="2"/>
                <w:szCs w:val="22"/>
                <w:highlight w:val="none"/>
              </w:rPr>
            </w:pPr>
            <w:r>
              <w:rPr>
                <w:rFonts w:hint="eastAsia"/>
                <w:color w:val="auto"/>
                <w:sz w:val="21"/>
                <w:szCs w:val="21"/>
                <w:highlight w:val="none"/>
              </w:rPr>
              <w:t>Fe</w:t>
            </w:r>
            <w:r>
              <w:rPr>
                <w:rFonts w:hint="eastAsia"/>
                <w:color w:val="auto"/>
                <w:sz w:val="21"/>
                <w:szCs w:val="21"/>
                <w:highlight w:val="none"/>
                <w:vertAlign w:val="subscript"/>
              </w:rPr>
              <w:t>2</w:t>
            </w:r>
            <w:r>
              <w:rPr>
                <w:rFonts w:hint="eastAsia"/>
                <w:color w:val="auto"/>
                <w:sz w:val="21"/>
                <w:szCs w:val="21"/>
                <w:highlight w:val="none"/>
              </w:rPr>
              <w:t>O</w:t>
            </w:r>
            <w:r>
              <w:rPr>
                <w:rFonts w:hint="eastAsia"/>
                <w:color w:val="auto"/>
                <w:sz w:val="21"/>
                <w:szCs w:val="21"/>
                <w:highlight w:val="none"/>
                <w:vertAlign w:val="subscript"/>
              </w:rPr>
              <w:t>3</w:t>
            </w:r>
          </w:p>
        </w:tc>
        <w:tc>
          <w:tcPr>
            <w:tcW w:w="1154" w:type="pct"/>
            <w:shd w:val="clear" w:color="auto" w:fill="auto"/>
            <w:tcMar>
              <w:top w:w="19" w:type="dxa"/>
              <w:left w:w="72" w:type="dxa"/>
              <w:bottom w:w="19" w:type="dxa"/>
              <w:right w:w="72" w:type="dxa"/>
            </w:tcMar>
            <w:vAlign w:val="center"/>
          </w:tcPr>
          <w:p w14:paraId="67877617">
            <w:pPr>
              <w:pStyle w:val="55"/>
              <w:shd w:val="clear"/>
              <w:spacing w:before="0" w:beforeAutospacing="0" w:after="0" w:afterAutospacing="0" w:line="15" w:lineRule="atLeast"/>
              <w:ind w:firstLine="0" w:firstLineChars="0"/>
              <w:jc w:val="center"/>
              <w:rPr>
                <w:rFonts w:asciiTheme="minorHAnsi" w:hAnsiTheme="minorHAnsi" w:eastAsiaTheme="minorEastAsia" w:cstheme="minorBidi"/>
                <w:color w:val="auto"/>
                <w:kern w:val="2"/>
                <w:szCs w:val="22"/>
                <w:highlight w:val="none"/>
              </w:rPr>
            </w:pPr>
            <w:r>
              <w:rPr>
                <w:rFonts w:hint="eastAsia"/>
                <w:color w:val="auto"/>
                <w:sz w:val="21"/>
                <w:szCs w:val="21"/>
                <w:highlight w:val="none"/>
              </w:rPr>
              <w:t>%</w:t>
            </w:r>
          </w:p>
        </w:tc>
        <w:tc>
          <w:tcPr>
            <w:tcW w:w="1147" w:type="pct"/>
            <w:tcBorders>
              <w:right w:val="single" w:color="auto" w:sz="12" w:space="0"/>
            </w:tcBorders>
            <w:shd w:val="clear" w:color="auto" w:fill="auto"/>
            <w:tcMar>
              <w:top w:w="19" w:type="dxa"/>
              <w:left w:w="72" w:type="dxa"/>
              <w:bottom w:w="19" w:type="dxa"/>
              <w:right w:w="72" w:type="dxa"/>
            </w:tcMar>
            <w:vAlign w:val="center"/>
          </w:tcPr>
          <w:p w14:paraId="081FA01B">
            <w:pPr>
              <w:pStyle w:val="55"/>
              <w:shd w:val="clear"/>
              <w:spacing w:before="0" w:beforeAutospacing="0" w:after="0" w:afterAutospacing="0" w:line="15" w:lineRule="atLeast"/>
              <w:ind w:firstLine="0" w:firstLineChars="0"/>
              <w:jc w:val="center"/>
              <w:rPr>
                <w:rFonts w:asciiTheme="minorHAnsi" w:hAnsiTheme="minorHAnsi" w:cstheme="minorBidi"/>
                <w:color w:val="auto"/>
                <w:kern w:val="2"/>
                <w:szCs w:val="22"/>
                <w:highlight w:val="none"/>
              </w:rPr>
            </w:pPr>
            <w:r>
              <w:rPr>
                <w:rFonts w:hint="eastAsia"/>
                <w:color w:val="auto"/>
                <w:sz w:val="21"/>
                <w:szCs w:val="21"/>
                <w:highlight w:val="none"/>
              </w:rPr>
              <w:t>＜1.5</w:t>
            </w:r>
          </w:p>
        </w:tc>
      </w:tr>
      <w:tr w14:paraId="3739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0" w:hRule="atLeast"/>
          <w:jc w:val="center"/>
        </w:trPr>
        <w:tc>
          <w:tcPr>
            <w:tcW w:w="1381" w:type="pct"/>
            <w:vMerge w:val="restart"/>
            <w:tcBorders>
              <w:left w:val="single" w:color="auto" w:sz="12" w:space="0"/>
            </w:tcBorders>
            <w:shd w:val="clear" w:color="auto" w:fill="auto"/>
            <w:tcMar>
              <w:top w:w="19" w:type="dxa"/>
              <w:left w:w="72" w:type="dxa"/>
              <w:bottom w:w="19" w:type="dxa"/>
              <w:right w:w="72" w:type="dxa"/>
            </w:tcMar>
            <w:vAlign w:val="center"/>
          </w:tcPr>
          <w:p w14:paraId="58818FF2">
            <w:pPr>
              <w:pStyle w:val="55"/>
              <w:shd w:val="clear"/>
              <w:spacing w:before="0" w:beforeAutospacing="0" w:after="0" w:afterAutospacing="0" w:line="15" w:lineRule="atLeast"/>
              <w:ind w:firstLine="0" w:firstLineChars="0"/>
              <w:jc w:val="center"/>
              <w:rPr>
                <w:color w:val="auto"/>
                <w:highlight w:val="none"/>
              </w:rPr>
            </w:pPr>
            <w:r>
              <w:rPr>
                <w:rFonts w:hint="eastAsia"/>
                <w:color w:val="auto"/>
                <w:sz w:val="21"/>
                <w:szCs w:val="21"/>
                <w:highlight w:val="none"/>
              </w:rPr>
              <w:t>抗折强度</w:t>
            </w:r>
          </w:p>
        </w:tc>
        <w:tc>
          <w:tcPr>
            <w:tcW w:w="1317" w:type="pct"/>
            <w:shd w:val="clear" w:color="auto" w:fill="auto"/>
            <w:tcMar>
              <w:top w:w="19" w:type="dxa"/>
              <w:left w:w="72" w:type="dxa"/>
              <w:bottom w:w="19" w:type="dxa"/>
              <w:right w:w="72" w:type="dxa"/>
            </w:tcMar>
            <w:vAlign w:val="center"/>
          </w:tcPr>
          <w:p w14:paraId="2481510A">
            <w:pPr>
              <w:pStyle w:val="55"/>
              <w:shd w:val="clear"/>
              <w:spacing w:before="0" w:beforeAutospacing="0" w:after="0" w:afterAutospacing="0" w:line="15" w:lineRule="atLeast"/>
              <w:ind w:firstLine="0" w:firstLineChars="0"/>
              <w:jc w:val="center"/>
              <w:rPr>
                <w:color w:val="auto"/>
                <w:highlight w:val="none"/>
              </w:rPr>
            </w:pPr>
            <w:r>
              <w:rPr>
                <w:rFonts w:hint="eastAsia"/>
                <w:color w:val="auto"/>
                <w:sz w:val="21"/>
                <w:szCs w:val="21"/>
                <w:highlight w:val="none"/>
              </w:rPr>
              <w:t>110℃</w:t>
            </w:r>
          </w:p>
        </w:tc>
        <w:tc>
          <w:tcPr>
            <w:tcW w:w="1154" w:type="pct"/>
            <w:shd w:val="clear" w:color="auto" w:fill="auto"/>
            <w:tcMar>
              <w:top w:w="19" w:type="dxa"/>
              <w:left w:w="72" w:type="dxa"/>
              <w:bottom w:w="19" w:type="dxa"/>
              <w:right w:w="72" w:type="dxa"/>
            </w:tcMar>
            <w:vAlign w:val="center"/>
          </w:tcPr>
          <w:p w14:paraId="17A0DBB3">
            <w:pPr>
              <w:pStyle w:val="55"/>
              <w:shd w:val="clear"/>
              <w:spacing w:before="0" w:beforeAutospacing="0" w:after="0" w:afterAutospacing="0" w:line="15" w:lineRule="atLeast"/>
              <w:ind w:firstLine="0" w:firstLineChars="0"/>
              <w:jc w:val="center"/>
              <w:rPr>
                <w:color w:val="auto"/>
                <w:highlight w:val="none"/>
              </w:rPr>
            </w:pPr>
            <w:r>
              <w:rPr>
                <w:rFonts w:hint="eastAsia"/>
                <w:color w:val="auto"/>
                <w:sz w:val="21"/>
                <w:szCs w:val="21"/>
                <w:highlight w:val="none"/>
              </w:rPr>
              <w:t>MPa</w:t>
            </w:r>
          </w:p>
        </w:tc>
        <w:tc>
          <w:tcPr>
            <w:tcW w:w="1147" w:type="pct"/>
            <w:tcBorders>
              <w:right w:val="single" w:color="auto" w:sz="12" w:space="0"/>
            </w:tcBorders>
            <w:shd w:val="clear" w:color="auto" w:fill="auto"/>
            <w:tcMar>
              <w:top w:w="19" w:type="dxa"/>
              <w:left w:w="72" w:type="dxa"/>
              <w:bottom w:w="19" w:type="dxa"/>
              <w:right w:w="72" w:type="dxa"/>
            </w:tcMar>
            <w:vAlign w:val="center"/>
          </w:tcPr>
          <w:p w14:paraId="6378A369">
            <w:pPr>
              <w:pStyle w:val="55"/>
              <w:shd w:val="clear"/>
              <w:spacing w:before="0" w:beforeAutospacing="0" w:after="0" w:afterAutospacing="0" w:line="15" w:lineRule="atLeast"/>
              <w:ind w:firstLine="0" w:firstLineChars="0"/>
              <w:jc w:val="center"/>
              <w:rPr>
                <w:color w:val="auto"/>
                <w:highlight w:val="none"/>
              </w:rPr>
            </w:pPr>
            <w:r>
              <w:rPr>
                <w:rFonts w:hint="eastAsia"/>
                <w:color w:val="auto"/>
                <w:sz w:val="21"/>
                <w:szCs w:val="21"/>
                <w:highlight w:val="none"/>
              </w:rPr>
              <w:t>＞4</w:t>
            </w:r>
          </w:p>
        </w:tc>
      </w:tr>
      <w:tr w14:paraId="2EC77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0" w:hRule="atLeast"/>
          <w:jc w:val="center"/>
        </w:trPr>
        <w:tc>
          <w:tcPr>
            <w:tcW w:w="1381" w:type="pct"/>
            <w:vMerge w:val="continue"/>
            <w:tcBorders>
              <w:left w:val="single" w:color="auto" w:sz="12" w:space="0"/>
            </w:tcBorders>
            <w:shd w:val="clear" w:color="auto" w:fill="auto"/>
            <w:tcMar>
              <w:top w:w="19" w:type="dxa"/>
              <w:left w:w="72" w:type="dxa"/>
              <w:bottom w:w="19" w:type="dxa"/>
              <w:right w:w="72" w:type="dxa"/>
            </w:tcMar>
            <w:vAlign w:val="center"/>
          </w:tcPr>
          <w:p w14:paraId="3A8984D8">
            <w:pPr>
              <w:pStyle w:val="55"/>
              <w:shd w:val="clear"/>
              <w:spacing w:before="0" w:beforeAutospacing="0" w:after="0" w:afterAutospacing="0" w:line="15" w:lineRule="atLeast"/>
              <w:ind w:firstLine="0" w:firstLineChars="0"/>
              <w:jc w:val="center"/>
              <w:rPr>
                <w:color w:val="auto"/>
                <w:sz w:val="21"/>
                <w:szCs w:val="21"/>
                <w:highlight w:val="none"/>
              </w:rPr>
            </w:pPr>
          </w:p>
        </w:tc>
        <w:tc>
          <w:tcPr>
            <w:tcW w:w="1317" w:type="pct"/>
            <w:shd w:val="clear" w:color="auto" w:fill="auto"/>
            <w:tcMar>
              <w:top w:w="19" w:type="dxa"/>
              <w:left w:w="72" w:type="dxa"/>
              <w:bottom w:w="19" w:type="dxa"/>
              <w:right w:w="72" w:type="dxa"/>
            </w:tcMar>
            <w:vAlign w:val="center"/>
          </w:tcPr>
          <w:p w14:paraId="575F776E">
            <w:pPr>
              <w:pStyle w:val="55"/>
              <w:shd w:val="clear"/>
              <w:spacing w:before="0" w:beforeAutospacing="0" w:after="0" w:afterAutospacing="0" w:line="15" w:lineRule="atLeast"/>
              <w:ind w:firstLine="0" w:firstLineChars="0"/>
              <w:jc w:val="center"/>
              <w:rPr>
                <w:rFonts w:asciiTheme="minorHAnsi" w:hAnsiTheme="minorHAnsi" w:eastAsiaTheme="minorEastAsia" w:cstheme="minorBidi"/>
                <w:color w:val="auto"/>
                <w:kern w:val="2"/>
                <w:szCs w:val="22"/>
                <w:highlight w:val="none"/>
              </w:rPr>
            </w:pPr>
            <w:r>
              <w:rPr>
                <w:rFonts w:hint="eastAsia"/>
                <w:color w:val="auto"/>
                <w:sz w:val="21"/>
                <w:szCs w:val="21"/>
                <w:highlight w:val="none"/>
              </w:rPr>
              <w:t>1000℃</w:t>
            </w:r>
          </w:p>
        </w:tc>
        <w:tc>
          <w:tcPr>
            <w:tcW w:w="1154" w:type="pct"/>
            <w:shd w:val="clear" w:color="auto" w:fill="auto"/>
            <w:tcMar>
              <w:top w:w="19" w:type="dxa"/>
              <w:left w:w="72" w:type="dxa"/>
              <w:bottom w:w="19" w:type="dxa"/>
              <w:right w:w="72" w:type="dxa"/>
            </w:tcMar>
            <w:vAlign w:val="center"/>
          </w:tcPr>
          <w:p w14:paraId="14031D88">
            <w:pPr>
              <w:pStyle w:val="55"/>
              <w:shd w:val="clear"/>
              <w:spacing w:before="0" w:beforeAutospacing="0" w:after="0" w:afterAutospacing="0" w:line="15" w:lineRule="atLeast"/>
              <w:ind w:firstLine="0" w:firstLineChars="0"/>
              <w:jc w:val="center"/>
              <w:rPr>
                <w:rFonts w:asciiTheme="minorHAnsi" w:hAnsiTheme="minorHAnsi" w:eastAsiaTheme="minorEastAsia" w:cstheme="minorBidi"/>
                <w:color w:val="auto"/>
                <w:kern w:val="2"/>
                <w:szCs w:val="22"/>
                <w:highlight w:val="none"/>
              </w:rPr>
            </w:pPr>
            <w:r>
              <w:rPr>
                <w:rFonts w:hint="eastAsia"/>
                <w:color w:val="auto"/>
                <w:sz w:val="21"/>
                <w:szCs w:val="21"/>
                <w:highlight w:val="none"/>
              </w:rPr>
              <w:t>MPa</w:t>
            </w:r>
          </w:p>
        </w:tc>
        <w:tc>
          <w:tcPr>
            <w:tcW w:w="1147" w:type="pct"/>
            <w:tcBorders>
              <w:right w:val="single" w:color="auto" w:sz="12" w:space="0"/>
            </w:tcBorders>
            <w:shd w:val="clear" w:color="auto" w:fill="auto"/>
            <w:tcMar>
              <w:top w:w="19" w:type="dxa"/>
              <w:left w:w="72" w:type="dxa"/>
              <w:bottom w:w="19" w:type="dxa"/>
              <w:right w:w="72" w:type="dxa"/>
            </w:tcMar>
            <w:vAlign w:val="center"/>
          </w:tcPr>
          <w:p w14:paraId="75AB86F6">
            <w:pPr>
              <w:pStyle w:val="55"/>
              <w:shd w:val="clear"/>
              <w:spacing w:before="0" w:beforeAutospacing="0" w:after="0" w:afterAutospacing="0" w:line="15" w:lineRule="atLeast"/>
              <w:ind w:firstLine="0" w:firstLineChars="0"/>
              <w:jc w:val="center"/>
              <w:rPr>
                <w:rFonts w:asciiTheme="minorHAnsi" w:hAnsiTheme="minorHAnsi" w:eastAsiaTheme="minorEastAsia" w:cstheme="minorBidi"/>
                <w:color w:val="auto"/>
                <w:kern w:val="2"/>
                <w:szCs w:val="22"/>
                <w:highlight w:val="none"/>
              </w:rPr>
            </w:pPr>
            <w:r>
              <w:rPr>
                <w:rFonts w:hint="eastAsia"/>
                <w:color w:val="auto"/>
                <w:sz w:val="21"/>
                <w:szCs w:val="21"/>
                <w:highlight w:val="none"/>
              </w:rPr>
              <w:t>＞2.5</w:t>
            </w:r>
          </w:p>
        </w:tc>
      </w:tr>
      <w:tr w14:paraId="0BD25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0" w:hRule="atLeast"/>
          <w:jc w:val="center"/>
        </w:trPr>
        <w:tc>
          <w:tcPr>
            <w:tcW w:w="1381" w:type="pct"/>
            <w:vMerge w:val="continue"/>
            <w:tcBorders>
              <w:left w:val="single" w:color="auto" w:sz="12" w:space="0"/>
            </w:tcBorders>
            <w:shd w:val="clear" w:color="auto" w:fill="auto"/>
            <w:tcMar>
              <w:top w:w="19" w:type="dxa"/>
              <w:left w:w="72" w:type="dxa"/>
              <w:bottom w:w="19" w:type="dxa"/>
              <w:right w:w="72" w:type="dxa"/>
            </w:tcMar>
            <w:vAlign w:val="center"/>
          </w:tcPr>
          <w:p w14:paraId="7E4FA627">
            <w:pPr>
              <w:widowControl/>
              <w:shd w:val="clear"/>
              <w:ind w:firstLine="0" w:firstLineChars="0"/>
              <w:jc w:val="center"/>
              <w:rPr>
                <w:color w:val="auto"/>
                <w:highlight w:val="none"/>
              </w:rPr>
            </w:pPr>
          </w:p>
        </w:tc>
        <w:tc>
          <w:tcPr>
            <w:tcW w:w="1317" w:type="pct"/>
            <w:shd w:val="clear" w:color="auto" w:fill="auto"/>
            <w:tcMar>
              <w:top w:w="19" w:type="dxa"/>
              <w:left w:w="72" w:type="dxa"/>
              <w:bottom w:w="19" w:type="dxa"/>
              <w:right w:w="72" w:type="dxa"/>
            </w:tcMar>
            <w:vAlign w:val="center"/>
          </w:tcPr>
          <w:p w14:paraId="4B57321C">
            <w:pPr>
              <w:pStyle w:val="55"/>
              <w:shd w:val="clear"/>
              <w:spacing w:before="0" w:beforeAutospacing="0" w:after="0" w:afterAutospacing="0" w:line="15" w:lineRule="atLeast"/>
              <w:ind w:firstLine="0" w:firstLineChars="0"/>
              <w:jc w:val="center"/>
              <w:rPr>
                <w:color w:val="auto"/>
                <w:highlight w:val="none"/>
              </w:rPr>
            </w:pPr>
            <w:r>
              <w:rPr>
                <w:rFonts w:hint="eastAsia"/>
                <w:color w:val="auto"/>
                <w:sz w:val="21"/>
                <w:szCs w:val="21"/>
                <w:highlight w:val="none"/>
              </w:rPr>
              <w:t>1300℃</w:t>
            </w:r>
          </w:p>
        </w:tc>
        <w:tc>
          <w:tcPr>
            <w:tcW w:w="1154" w:type="pct"/>
            <w:shd w:val="clear" w:color="auto" w:fill="auto"/>
            <w:tcMar>
              <w:top w:w="19" w:type="dxa"/>
              <w:left w:w="72" w:type="dxa"/>
              <w:bottom w:w="19" w:type="dxa"/>
              <w:right w:w="72" w:type="dxa"/>
            </w:tcMar>
            <w:vAlign w:val="center"/>
          </w:tcPr>
          <w:p w14:paraId="755F9A15">
            <w:pPr>
              <w:pStyle w:val="55"/>
              <w:shd w:val="clear"/>
              <w:spacing w:before="0" w:beforeAutospacing="0" w:after="0" w:afterAutospacing="0" w:line="15" w:lineRule="atLeast"/>
              <w:ind w:firstLine="0" w:firstLineChars="0"/>
              <w:jc w:val="center"/>
              <w:rPr>
                <w:color w:val="auto"/>
                <w:highlight w:val="none"/>
              </w:rPr>
            </w:pPr>
            <w:r>
              <w:rPr>
                <w:rFonts w:hint="eastAsia"/>
                <w:color w:val="auto"/>
                <w:sz w:val="21"/>
                <w:szCs w:val="21"/>
                <w:highlight w:val="none"/>
              </w:rPr>
              <w:t>MPa</w:t>
            </w:r>
          </w:p>
        </w:tc>
        <w:tc>
          <w:tcPr>
            <w:tcW w:w="1147" w:type="pct"/>
            <w:tcBorders>
              <w:right w:val="single" w:color="auto" w:sz="12" w:space="0"/>
            </w:tcBorders>
            <w:shd w:val="clear" w:color="auto" w:fill="auto"/>
            <w:tcMar>
              <w:top w:w="19" w:type="dxa"/>
              <w:left w:w="72" w:type="dxa"/>
              <w:bottom w:w="19" w:type="dxa"/>
              <w:right w:w="72" w:type="dxa"/>
            </w:tcMar>
            <w:vAlign w:val="center"/>
          </w:tcPr>
          <w:p w14:paraId="20E16F5B">
            <w:pPr>
              <w:pStyle w:val="55"/>
              <w:shd w:val="clear"/>
              <w:spacing w:before="0" w:beforeAutospacing="0" w:after="0" w:afterAutospacing="0" w:line="15" w:lineRule="atLeast"/>
              <w:ind w:firstLine="0" w:firstLineChars="0"/>
              <w:jc w:val="center"/>
              <w:rPr>
                <w:color w:val="auto"/>
                <w:highlight w:val="none"/>
              </w:rPr>
            </w:pPr>
            <w:r>
              <w:rPr>
                <w:rFonts w:hint="eastAsia"/>
                <w:color w:val="auto"/>
                <w:sz w:val="21"/>
                <w:szCs w:val="21"/>
                <w:highlight w:val="none"/>
              </w:rPr>
              <w:t>＞5</w:t>
            </w:r>
          </w:p>
        </w:tc>
      </w:tr>
      <w:tr w14:paraId="33BA5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0" w:hRule="atLeast"/>
          <w:jc w:val="center"/>
        </w:trPr>
        <w:tc>
          <w:tcPr>
            <w:tcW w:w="1381" w:type="pct"/>
            <w:tcBorders>
              <w:left w:val="single" w:color="auto" w:sz="12" w:space="0"/>
            </w:tcBorders>
            <w:shd w:val="clear" w:color="auto" w:fill="auto"/>
            <w:tcMar>
              <w:top w:w="19" w:type="dxa"/>
              <w:left w:w="72" w:type="dxa"/>
              <w:bottom w:w="19" w:type="dxa"/>
              <w:right w:w="72" w:type="dxa"/>
            </w:tcMar>
            <w:vAlign w:val="center"/>
          </w:tcPr>
          <w:p w14:paraId="2FD954AF">
            <w:pPr>
              <w:widowControl/>
              <w:shd w:val="clear"/>
              <w:ind w:firstLine="0" w:firstLineChars="0"/>
              <w:jc w:val="center"/>
              <w:rPr>
                <w:color w:val="auto"/>
                <w:highlight w:val="none"/>
              </w:rPr>
            </w:pPr>
            <w:r>
              <w:rPr>
                <w:rFonts w:hint="eastAsia" w:cs="宋体"/>
                <w:color w:val="auto"/>
                <w:sz w:val="21"/>
                <w:szCs w:val="21"/>
                <w:highlight w:val="none"/>
              </w:rPr>
              <w:t>导热系数</w:t>
            </w:r>
          </w:p>
        </w:tc>
        <w:tc>
          <w:tcPr>
            <w:tcW w:w="1317" w:type="pct"/>
            <w:shd w:val="clear" w:color="auto" w:fill="auto"/>
            <w:tcMar>
              <w:top w:w="19" w:type="dxa"/>
              <w:left w:w="72" w:type="dxa"/>
              <w:bottom w:w="19" w:type="dxa"/>
              <w:right w:w="72" w:type="dxa"/>
            </w:tcMar>
            <w:vAlign w:val="center"/>
          </w:tcPr>
          <w:p w14:paraId="78E3546A">
            <w:pPr>
              <w:pStyle w:val="55"/>
              <w:shd w:val="clear"/>
              <w:spacing w:before="0" w:beforeAutospacing="0" w:after="0" w:afterAutospacing="0" w:line="15" w:lineRule="atLeast"/>
              <w:ind w:firstLine="0" w:firstLineChars="0"/>
              <w:jc w:val="center"/>
              <w:rPr>
                <w:color w:val="auto"/>
                <w:sz w:val="21"/>
                <w:szCs w:val="21"/>
                <w:highlight w:val="none"/>
              </w:rPr>
            </w:pPr>
            <w:r>
              <w:rPr>
                <w:rFonts w:hint="eastAsia"/>
                <w:color w:val="auto"/>
                <w:kern w:val="2"/>
                <w:sz w:val="21"/>
                <w:szCs w:val="21"/>
                <w:highlight w:val="none"/>
              </w:rPr>
              <w:t>350℃</w:t>
            </w:r>
          </w:p>
        </w:tc>
        <w:tc>
          <w:tcPr>
            <w:tcW w:w="1154" w:type="pct"/>
            <w:shd w:val="clear" w:color="auto" w:fill="auto"/>
            <w:tcMar>
              <w:top w:w="19" w:type="dxa"/>
              <w:left w:w="72" w:type="dxa"/>
              <w:bottom w:w="19" w:type="dxa"/>
              <w:right w:w="72" w:type="dxa"/>
            </w:tcMar>
            <w:vAlign w:val="center"/>
          </w:tcPr>
          <w:p w14:paraId="0DE8F841">
            <w:pPr>
              <w:pStyle w:val="55"/>
              <w:shd w:val="clear"/>
              <w:spacing w:before="0" w:beforeAutospacing="0" w:after="0" w:afterAutospacing="0" w:line="15" w:lineRule="atLeast"/>
              <w:ind w:firstLine="0" w:firstLineChars="0"/>
              <w:jc w:val="center"/>
              <w:rPr>
                <w:color w:val="auto"/>
                <w:sz w:val="21"/>
                <w:szCs w:val="21"/>
                <w:highlight w:val="none"/>
              </w:rPr>
            </w:pPr>
            <w:r>
              <w:rPr>
                <w:rFonts w:hint="eastAsia"/>
                <w:color w:val="auto"/>
                <w:sz w:val="21"/>
                <w:szCs w:val="21"/>
                <w:highlight w:val="none"/>
              </w:rPr>
              <w:t>W/(mK)</w:t>
            </w:r>
          </w:p>
        </w:tc>
        <w:tc>
          <w:tcPr>
            <w:tcW w:w="1147" w:type="pct"/>
            <w:tcBorders>
              <w:right w:val="single" w:color="auto" w:sz="12" w:space="0"/>
            </w:tcBorders>
            <w:shd w:val="clear" w:color="auto" w:fill="auto"/>
            <w:tcMar>
              <w:top w:w="19" w:type="dxa"/>
              <w:left w:w="72" w:type="dxa"/>
              <w:bottom w:w="19" w:type="dxa"/>
              <w:right w:w="72" w:type="dxa"/>
            </w:tcMar>
            <w:vAlign w:val="center"/>
          </w:tcPr>
          <w:p w14:paraId="1EA996C7">
            <w:pPr>
              <w:pStyle w:val="55"/>
              <w:shd w:val="clear"/>
              <w:spacing w:before="0" w:beforeAutospacing="0" w:after="0" w:afterAutospacing="0" w:line="15" w:lineRule="atLeast"/>
              <w:ind w:firstLine="0" w:firstLineChars="0"/>
              <w:jc w:val="center"/>
              <w:rPr>
                <w:color w:val="auto"/>
                <w:sz w:val="21"/>
                <w:szCs w:val="21"/>
                <w:highlight w:val="none"/>
              </w:rPr>
            </w:pPr>
            <w:r>
              <w:rPr>
                <w:rFonts w:hint="eastAsia"/>
                <w:color w:val="auto"/>
                <w:sz w:val="21"/>
                <w:szCs w:val="21"/>
                <w:highlight w:val="none"/>
              </w:rPr>
              <w:t>≤0.7</w:t>
            </w:r>
          </w:p>
        </w:tc>
      </w:tr>
      <w:tr w14:paraId="2A1C6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0" w:hRule="atLeast"/>
          <w:jc w:val="center"/>
        </w:trPr>
        <w:tc>
          <w:tcPr>
            <w:tcW w:w="1381" w:type="pct"/>
            <w:vMerge w:val="restart"/>
            <w:tcBorders>
              <w:left w:val="single" w:color="auto" w:sz="12" w:space="0"/>
            </w:tcBorders>
            <w:shd w:val="clear" w:color="auto" w:fill="auto"/>
            <w:tcMar>
              <w:top w:w="19" w:type="dxa"/>
              <w:left w:w="72" w:type="dxa"/>
              <w:bottom w:w="19" w:type="dxa"/>
              <w:right w:w="72" w:type="dxa"/>
            </w:tcMar>
            <w:vAlign w:val="center"/>
          </w:tcPr>
          <w:p w14:paraId="6E4971EC">
            <w:pPr>
              <w:pStyle w:val="55"/>
              <w:shd w:val="clear"/>
              <w:spacing w:before="0" w:beforeAutospacing="0" w:after="0" w:afterAutospacing="0" w:line="15" w:lineRule="atLeast"/>
              <w:ind w:firstLine="0" w:firstLineChars="0"/>
              <w:jc w:val="center"/>
              <w:rPr>
                <w:color w:val="auto"/>
                <w:highlight w:val="none"/>
              </w:rPr>
            </w:pPr>
            <w:r>
              <w:rPr>
                <w:rFonts w:hint="eastAsia"/>
                <w:color w:val="auto"/>
                <w:sz w:val="21"/>
                <w:szCs w:val="21"/>
                <w:highlight w:val="none"/>
              </w:rPr>
              <w:t>烧后残余线变化率</w:t>
            </w:r>
          </w:p>
        </w:tc>
        <w:tc>
          <w:tcPr>
            <w:tcW w:w="1317" w:type="pct"/>
            <w:shd w:val="clear" w:color="auto" w:fill="auto"/>
            <w:tcMar>
              <w:top w:w="19" w:type="dxa"/>
              <w:left w:w="72" w:type="dxa"/>
              <w:bottom w:w="19" w:type="dxa"/>
              <w:right w:w="72" w:type="dxa"/>
            </w:tcMar>
            <w:vAlign w:val="center"/>
          </w:tcPr>
          <w:p w14:paraId="68FC1865">
            <w:pPr>
              <w:pStyle w:val="55"/>
              <w:shd w:val="clear"/>
              <w:spacing w:before="0" w:beforeAutospacing="0" w:after="0" w:afterAutospacing="0" w:line="15" w:lineRule="atLeast"/>
              <w:ind w:firstLine="0" w:firstLineChars="0"/>
              <w:jc w:val="center"/>
              <w:rPr>
                <w:color w:val="auto"/>
                <w:highlight w:val="none"/>
              </w:rPr>
            </w:pPr>
            <w:r>
              <w:rPr>
                <w:rFonts w:hint="eastAsia"/>
                <w:color w:val="auto"/>
                <w:sz w:val="21"/>
                <w:szCs w:val="21"/>
                <w:highlight w:val="none"/>
              </w:rPr>
              <w:t>110℃</w:t>
            </w:r>
          </w:p>
        </w:tc>
        <w:tc>
          <w:tcPr>
            <w:tcW w:w="1154" w:type="pct"/>
            <w:shd w:val="clear" w:color="auto" w:fill="auto"/>
            <w:tcMar>
              <w:top w:w="19" w:type="dxa"/>
              <w:left w:w="72" w:type="dxa"/>
              <w:bottom w:w="19" w:type="dxa"/>
              <w:right w:w="72" w:type="dxa"/>
            </w:tcMar>
            <w:vAlign w:val="center"/>
          </w:tcPr>
          <w:p w14:paraId="0F668CB0">
            <w:pPr>
              <w:pStyle w:val="55"/>
              <w:shd w:val="clear"/>
              <w:spacing w:before="0" w:beforeAutospacing="0" w:after="0" w:afterAutospacing="0" w:line="15" w:lineRule="atLeast"/>
              <w:ind w:firstLine="0" w:firstLineChars="0"/>
              <w:jc w:val="center"/>
              <w:rPr>
                <w:color w:val="auto"/>
                <w:highlight w:val="none"/>
              </w:rPr>
            </w:pPr>
            <w:r>
              <w:rPr>
                <w:rFonts w:hint="eastAsia"/>
                <w:color w:val="auto"/>
                <w:sz w:val="21"/>
                <w:szCs w:val="21"/>
                <w:highlight w:val="none"/>
              </w:rPr>
              <w:t>%</w:t>
            </w:r>
          </w:p>
        </w:tc>
        <w:tc>
          <w:tcPr>
            <w:tcW w:w="1147" w:type="pct"/>
            <w:tcBorders>
              <w:right w:val="single" w:color="auto" w:sz="12" w:space="0"/>
            </w:tcBorders>
            <w:shd w:val="clear" w:color="auto" w:fill="auto"/>
            <w:tcMar>
              <w:top w:w="19" w:type="dxa"/>
              <w:left w:w="72" w:type="dxa"/>
              <w:bottom w:w="19" w:type="dxa"/>
              <w:right w:w="72" w:type="dxa"/>
            </w:tcMar>
            <w:vAlign w:val="center"/>
          </w:tcPr>
          <w:p w14:paraId="172400FE">
            <w:pPr>
              <w:pStyle w:val="55"/>
              <w:shd w:val="clear"/>
              <w:spacing w:before="0" w:beforeAutospacing="0" w:after="0" w:afterAutospacing="0" w:line="15" w:lineRule="atLeast"/>
              <w:ind w:firstLine="0" w:firstLineChars="0"/>
              <w:jc w:val="center"/>
              <w:rPr>
                <w:rFonts w:eastAsiaTheme="minorEastAsia"/>
                <w:color w:val="auto"/>
                <w:highlight w:val="none"/>
              </w:rPr>
            </w:pPr>
            <w:r>
              <w:rPr>
                <w:rFonts w:hint="eastAsia"/>
                <w:color w:val="auto"/>
                <w:sz w:val="21"/>
                <w:szCs w:val="21"/>
                <w:highlight w:val="none"/>
              </w:rPr>
              <w:t>0～-0.2</w:t>
            </w:r>
          </w:p>
        </w:tc>
      </w:tr>
      <w:tr w14:paraId="144B8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0" w:hRule="atLeast"/>
          <w:jc w:val="center"/>
        </w:trPr>
        <w:tc>
          <w:tcPr>
            <w:tcW w:w="1381" w:type="pct"/>
            <w:vMerge w:val="continue"/>
            <w:tcBorders>
              <w:left w:val="single" w:color="auto" w:sz="12" w:space="0"/>
            </w:tcBorders>
            <w:shd w:val="clear" w:color="auto" w:fill="auto"/>
            <w:tcMar>
              <w:top w:w="19" w:type="dxa"/>
              <w:left w:w="72" w:type="dxa"/>
              <w:bottom w:w="19" w:type="dxa"/>
              <w:right w:w="72" w:type="dxa"/>
            </w:tcMar>
            <w:vAlign w:val="center"/>
          </w:tcPr>
          <w:p w14:paraId="1AF22D02">
            <w:pPr>
              <w:pStyle w:val="55"/>
              <w:shd w:val="clear"/>
              <w:spacing w:before="0" w:beforeAutospacing="0" w:after="0" w:afterAutospacing="0" w:line="15" w:lineRule="atLeast"/>
              <w:ind w:firstLine="0" w:firstLineChars="0"/>
              <w:jc w:val="center"/>
              <w:rPr>
                <w:color w:val="auto"/>
                <w:sz w:val="21"/>
                <w:szCs w:val="21"/>
                <w:highlight w:val="none"/>
              </w:rPr>
            </w:pPr>
          </w:p>
        </w:tc>
        <w:tc>
          <w:tcPr>
            <w:tcW w:w="1317" w:type="pct"/>
            <w:shd w:val="clear" w:color="auto" w:fill="auto"/>
            <w:tcMar>
              <w:top w:w="19" w:type="dxa"/>
              <w:left w:w="72" w:type="dxa"/>
              <w:bottom w:w="19" w:type="dxa"/>
              <w:right w:w="72" w:type="dxa"/>
            </w:tcMar>
            <w:vAlign w:val="center"/>
          </w:tcPr>
          <w:p w14:paraId="75DFEBE7">
            <w:pPr>
              <w:pStyle w:val="55"/>
              <w:shd w:val="clear"/>
              <w:spacing w:before="0" w:beforeAutospacing="0" w:after="0" w:afterAutospacing="0" w:line="15" w:lineRule="atLeast"/>
              <w:ind w:firstLine="0" w:firstLineChars="0"/>
              <w:jc w:val="center"/>
              <w:rPr>
                <w:color w:val="auto"/>
                <w:sz w:val="21"/>
                <w:szCs w:val="21"/>
                <w:highlight w:val="none"/>
              </w:rPr>
            </w:pPr>
            <w:r>
              <w:rPr>
                <w:rFonts w:hint="eastAsia"/>
                <w:color w:val="auto"/>
                <w:sz w:val="21"/>
                <w:szCs w:val="21"/>
                <w:highlight w:val="none"/>
              </w:rPr>
              <w:t>1000℃</w:t>
            </w:r>
          </w:p>
        </w:tc>
        <w:tc>
          <w:tcPr>
            <w:tcW w:w="1154" w:type="pct"/>
            <w:shd w:val="clear" w:color="auto" w:fill="auto"/>
            <w:tcMar>
              <w:top w:w="19" w:type="dxa"/>
              <w:left w:w="72" w:type="dxa"/>
              <w:bottom w:w="19" w:type="dxa"/>
              <w:right w:w="72" w:type="dxa"/>
            </w:tcMar>
            <w:vAlign w:val="center"/>
          </w:tcPr>
          <w:p w14:paraId="7CF7EFE0">
            <w:pPr>
              <w:pStyle w:val="55"/>
              <w:shd w:val="clear"/>
              <w:spacing w:before="0" w:beforeAutospacing="0" w:after="0" w:afterAutospacing="0" w:line="15" w:lineRule="atLeast"/>
              <w:ind w:firstLine="0" w:firstLineChars="0"/>
              <w:jc w:val="center"/>
              <w:rPr>
                <w:color w:val="auto"/>
                <w:sz w:val="21"/>
                <w:szCs w:val="21"/>
                <w:highlight w:val="none"/>
              </w:rPr>
            </w:pPr>
            <w:r>
              <w:rPr>
                <w:rFonts w:hint="eastAsia"/>
                <w:color w:val="auto"/>
                <w:sz w:val="21"/>
                <w:szCs w:val="21"/>
                <w:highlight w:val="none"/>
              </w:rPr>
              <w:t>%</w:t>
            </w:r>
          </w:p>
        </w:tc>
        <w:tc>
          <w:tcPr>
            <w:tcW w:w="1147" w:type="pct"/>
            <w:tcBorders>
              <w:right w:val="single" w:color="auto" w:sz="12" w:space="0"/>
            </w:tcBorders>
            <w:shd w:val="clear" w:color="auto" w:fill="auto"/>
            <w:tcMar>
              <w:top w:w="19" w:type="dxa"/>
              <w:left w:w="72" w:type="dxa"/>
              <w:bottom w:w="19" w:type="dxa"/>
              <w:right w:w="72" w:type="dxa"/>
            </w:tcMar>
            <w:vAlign w:val="center"/>
          </w:tcPr>
          <w:p w14:paraId="4847A396">
            <w:pPr>
              <w:pStyle w:val="55"/>
              <w:shd w:val="clear"/>
              <w:spacing w:before="0" w:beforeAutospacing="0" w:after="0" w:afterAutospacing="0" w:line="15" w:lineRule="atLeast"/>
              <w:ind w:firstLine="0" w:firstLineChars="0"/>
              <w:jc w:val="center"/>
              <w:rPr>
                <w:color w:val="auto"/>
                <w:sz w:val="21"/>
                <w:szCs w:val="21"/>
                <w:highlight w:val="none"/>
              </w:rPr>
            </w:pPr>
            <w:r>
              <w:rPr>
                <w:rFonts w:hint="eastAsia"/>
                <w:color w:val="auto"/>
                <w:sz w:val="21"/>
                <w:szCs w:val="21"/>
                <w:highlight w:val="none"/>
              </w:rPr>
              <w:t>0～-1.0</w:t>
            </w:r>
          </w:p>
        </w:tc>
      </w:tr>
      <w:tr w14:paraId="4E224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0" w:hRule="atLeast"/>
          <w:jc w:val="center"/>
        </w:trPr>
        <w:tc>
          <w:tcPr>
            <w:tcW w:w="1381" w:type="pct"/>
            <w:vMerge w:val="continue"/>
            <w:tcBorders>
              <w:left w:val="single" w:color="auto" w:sz="12" w:space="0"/>
              <w:bottom w:val="single" w:color="auto" w:sz="12" w:space="0"/>
            </w:tcBorders>
            <w:shd w:val="clear" w:color="auto" w:fill="auto"/>
            <w:tcMar>
              <w:top w:w="19" w:type="dxa"/>
              <w:left w:w="72" w:type="dxa"/>
              <w:bottom w:w="19" w:type="dxa"/>
              <w:right w:w="72" w:type="dxa"/>
            </w:tcMar>
            <w:vAlign w:val="center"/>
          </w:tcPr>
          <w:p w14:paraId="7B649FA0">
            <w:pPr>
              <w:widowControl/>
              <w:shd w:val="clear"/>
              <w:ind w:firstLine="0" w:firstLineChars="0"/>
              <w:jc w:val="center"/>
              <w:rPr>
                <w:color w:val="auto"/>
                <w:highlight w:val="none"/>
              </w:rPr>
            </w:pPr>
          </w:p>
        </w:tc>
        <w:tc>
          <w:tcPr>
            <w:tcW w:w="1317" w:type="pct"/>
            <w:tcBorders>
              <w:bottom w:val="single" w:color="auto" w:sz="12" w:space="0"/>
            </w:tcBorders>
            <w:shd w:val="clear" w:color="auto" w:fill="auto"/>
            <w:tcMar>
              <w:top w:w="19" w:type="dxa"/>
              <w:left w:w="72" w:type="dxa"/>
              <w:bottom w:w="19" w:type="dxa"/>
              <w:right w:w="72" w:type="dxa"/>
            </w:tcMar>
            <w:vAlign w:val="center"/>
          </w:tcPr>
          <w:p w14:paraId="1DE0D991">
            <w:pPr>
              <w:pStyle w:val="55"/>
              <w:shd w:val="clear"/>
              <w:spacing w:before="0" w:beforeAutospacing="0" w:after="0" w:afterAutospacing="0" w:line="15" w:lineRule="atLeast"/>
              <w:ind w:firstLine="0" w:firstLineChars="0"/>
              <w:jc w:val="center"/>
              <w:rPr>
                <w:color w:val="auto"/>
                <w:highlight w:val="none"/>
              </w:rPr>
            </w:pPr>
            <w:r>
              <w:rPr>
                <w:rFonts w:hint="eastAsia"/>
                <w:color w:val="auto"/>
                <w:sz w:val="21"/>
                <w:szCs w:val="21"/>
                <w:highlight w:val="none"/>
              </w:rPr>
              <w:t>1300℃</w:t>
            </w:r>
          </w:p>
        </w:tc>
        <w:tc>
          <w:tcPr>
            <w:tcW w:w="1154" w:type="pct"/>
            <w:tcBorders>
              <w:bottom w:val="single" w:color="auto" w:sz="12" w:space="0"/>
            </w:tcBorders>
            <w:shd w:val="clear" w:color="auto" w:fill="auto"/>
            <w:tcMar>
              <w:top w:w="19" w:type="dxa"/>
              <w:left w:w="72" w:type="dxa"/>
              <w:bottom w:w="19" w:type="dxa"/>
              <w:right w:w="72" w:type="dxa"/>
            </w:tcMar>
            <w:vAlign w:val="center"/>
          </w:tcPr>
          <w:p w14:paraId="4EA5F86C">
            <w:pPr>
              <w:widowControl/>
              <w:shd w:val="clear"/>
              <w:spacing w:line="15" w:lineRule="atLeast"/>
              <w:ind w:firstLine="0" w:firstLineChars="0"/>
              <w:jc w:val="center"/>
              <w:rPr>
                <w:color w:val="auto"/>
                <w:highlight w:val="none"/>
              </w:rPr>
            </w:pPr>
            <w:r>
              <w:rPr>
                <w:rFonts w:hint="eastAsia" w:cs="宋体"/>
                <w:color w:val="auto"/>
                <w:sz w:val="21"/>
                <w:szCs w:val="21"/>
                <w:highlight w:val="none"/>
              </w:rPr>
              <w:t>%</w:t>
            </w:r>
          </w:p>
        </w:tc>
        <w:tc>
          <w:tcPr>
            <w:tcW w:w="1147" w:type="pct"/>
            <w:tcBorders>
              <w:bottom w:val="single" w:color="auto" w:sz="12" w:space="0"/>
              <w:right w:val="single" w:color="auto" w:sz="12" w:space="0"/>
            </w:tcBorders>
            <w:shd w:val="clear" w:color="auto" w:fill="auto"/>
            <w:tcMar>
              <w:top w:w="19" w:type="dxa"/>
              <w:left w:w="72" w:type="dxa"/>
              <w:bottom w:w="19" w:type="dxa"/>
              <w:right w:w="72" w:type="dxa"/>
            </w:tcMar>
            <w:vAlign w:val="center"/>
          </w:tcPr>
          <w:p w14:paraId="7F45370F">
            <w:pPr>
              <w:widowControl/>
              <w:shd w:val="clear"/>
              <w:spacing w:line="15" w:lineRule="atLeast"/>
              <w:ind w:firstLine="0" w:firstLineChars="0"/>
              <w:jc w:val="center"/>
              <w:rPr>
                <w:color w:val="auto"/>
                <w:highlight w:val="none"/>
              </w:rPr>
            </w:pPr>
            <w:r>
              <w:rPr>
                <w:rFonts w:hint="eastAsia" w:cs="宋体"/>
                <w:color w:val="auto"/>
                <w:sz w:val="21"/>
                <w:szCs w:val="21"/>
                <w:highlight w:val="none"/>
              </w:rPr>
              <w:t>0～-1.8</w:t>
            </w:r>
          </w:p>
        </w:tc>
      </w:tr>
    </w:tbl>
    <w:p w14:paraId="4BB25B34">
      <w:pPr>
        <w:shd w:val="clear"/>
        <w:ind w:firstLine="0" w:firstLineChars="0"/>
        <w:outlineLvl w:val="2"/>
        <w:rPr>
          <w:rFonts w:cs="Times New Roman"/>
          <w:color w:val="auto"/>
          <w:szCs w:val="28"/>
          <w:highlight w:val="none"/>
        </w:rPr>
      </w:pPr>
      <w:r>
        <w:rPr>
          <w:rFonts w:hint="eastAsia" w:cs="Times New Roman"/>
          <w:color w:val="auto"/>
          <w:szCs w:val="28"/>
          <w:highlight w:val="none"/>
        </w:rPr>
        <w:t>2.5.4 重力除尘卸灰系统</w:t>
      </w:r>
    </w:p>
    <w:p w14:paraId="1F55EE89">
      <w:pPr>
        <w:shd w:val="clear"/>
        <w:rPr>
          <w:rFonts w:ascii="Times New Roman" w:hAnsi="Times New Roman"/>
          <w:color w:val="auto"/>
          <w:highlight w:val="none"/>
        </w:rPr>
      </w:pPr>
      <w:r>
        <w:rPr>
          <w:rFonts w:hint="eastAsia" w:ascii="Times New Roman" w:hAnsi="Times New Roman"/>
          <w:color w:val="auto"/>
          <w:highlight w:val="none"/>
        </w:rPr>
        <w:t>为了达到超低排放要求，重力除尘灰增加吸引压送密闭罐车密闭运输，避免二次扬尘；事故状态时采用汽车运输，汽车运输原卸灰用的加湿机更换为双轴加湿搅拌机。另外，1号高炉的重力除尘灰也增加吸引压送密闭罐车密闭运输，并纳入本项目改造范围内。</w:t>
      </w:r>
    </w:p>
    <w:p w14:paraId="31B02DDF">
      <w:pPr>
        <w:shd w:val="clear"/>
        <w:rPr>
          <w:rFonts w:ascii="Times New Roman" w:hAnsi="Times New Roman" w:cs="Times New Roman"/>
          <w:color w:val="auto"/>
          <w:highlight w:val="none"/>
        </w:rPr>
      </w:pPr>
      <w:r>
        <w:rPr>
          <w:rFonts w:hint="eastAsia" w:ascii="Times New Roman" w:hAnsi="Times New Roman" w:cs="Times New Roman"/>
          <w:color w:val="auto"/>
          <w:highlight w:val="none"/>
        </w:rPr>
        <w:t>在1#、2#</w:t>
      </w:r>
      <w:r>
        <w:rPr>
          <w:rFonts w:ascii="Times New Roman" w:hAnsi="Times New Roman" w:cs="Times New Roman"/>
          <w:color w:val="auto"/>
          <w:highlight w:val="none"/>
        </w:rPr>
        <w:t>重力除尘</w:t>
      </w:r>
      <w:r>
        <w:rPr>
          <w:rFonts w:hint="eastAsia" w:ascii="Times New Roman" w:hAnsi="Times New Roman" w:cs="Times New Roman"/>
          <w:color w:val="auto"/>
          <w:highlight w:val="none"/>
        </w:rPr>
        <w:t>器分别</w:t>
      </w:r>
      <w:r>
        <w:rPr>
          <w:rFonts w:ascii="Times New Roman" w:hAnsi="Times New Roman" w:cs="Times New Roman"/>
          <w:color w:val="auto"/>
          <w:highlight w:val="none"/>
        </w:rPr>
        <w:t>设置</w:t>
      </w:r>
      <w:r>
        <w:rPr>
          <w:rFonts w:hint="eastAsia" w:ascii="Times New Roman" w:hAnsi="Times New Roman" w:cs="Times New Roman"/>
          <w:color w:val="auto"/>
          <w:highlight w:val="none"/>
        </w:rPr>
        <w:t>2</w:t>
      </w:r>
      <w:r>
        <w:rPr>
          <w:rFonts w:ascii="Times New Roman" w:hAnsi="Times New Roman" w:cs="Times New Roman"/>
          <w:color w:val="auto"/>
          <w:highlight w:val="none"/>
        </w:rPr>
        <w:t>个卸灰</w:t>
      </w:r>
      <w:r>
        <w:rPr>
          <w:rFonts w:hint="eastAsia" w:ascii="Times New Roman" w:hAnsi="Times New Roman" w:cs="Times New Roman"/>
          <w:color w:val="auto"/>
          <w:highlight w:val="none"/>
        </w:rPr>
        <w:t>发送仓泵，发送仓泵容积为1.2m³，仓泵设置料位计、压力变送器、排气阀、压力表等，单个仓泵输送能力为8t/h。重力除尘器至仓泵的卸灰管上分别设置</w:t>
      </w:r>
      <w:r>
        <w:rPr>
          <w:rFonts w:ascii="Times New Roman" w:hAnsi="Times New Roman" w:cs="Times New Roman"/>
          <w:color w:val="auto"/>
          <w:highlight w:val="none"/>
        </w:rPr>
        <w:t>两</w:t>
      </w:r>
      <w:r>
        <w:rPr>
          <w:rFonts w:hint="eastAsia" w:ascii="Times New Roman" w:hAnsi="Times New Roman" w:cs="Times New Roman"/>
          <w:color w:val="auto"/>
          <w:highlight w:val="none"/>
        </w:rPr>
        <w:t>个</w:t>
      </w:r>
      <w:r>
        <w:rPr>
          <w:rFonts w:ascii="Times New Roman" w:hAnsi="Times New Roman" w:cs="Times New Roman"/>
          <w:color w:val="auto"/>
          <w:highlight w:val="none"/>
        </w:rPr>
        <w:t>气动耐磨</w:t>
      </w:r>
      <w:r>
        <w:rPr>
          <w:rFonts w:hint="eastAsia" w:ascii="Times New Roman" w:hAnsi="Times New Roman" w:cs="Times New Roman"/>
          <w:color w:val="auto"/>
          <w:highlight w:val="none"/>
        </w:rPr>
        <w:t>卸灰</w:t>
      </w:r>
      <w:r>
        <w:rPr>
          <w:rFonts w:ascii="Times New Roman" w:hAnsi="Times New Roman" w:cs="Times New Roman"/>
          <w:color w:val="auto"/>
          <w:highlight w:val="none"/>
        </w:rPr>
        <w:t>球阀</w:t>
      </w:r>
      <w:r>
        <w:rPr>
          <w:rFonts w:hint="eastAsia" w:ascii="Times New Roman" w:hAnsi="Times New Roman" w:cs="Times New Roman"/>
          <w:color w:val="auto"/>
          <w:highlight w:val="none"/>
        </w:rPr>
        <w:t>，</w:t>
      </w:r>
      <w:r>
        <w:rPr>
          <w:rFonts w:ascii="Times New Roman" w:hAnsi="Times New Roman" w:cs="Times New Roman"/>
          <w:color w:val="auto"/>
          <w:highlight w:val="none"/>
        </w:rPr>
        <w:t>一</w:t>
      </w:r>
      <w:r>
        <w:rPr>
          <w:rFonts w:hint="eastAsia" w:ascii="Times New Roman" w:hAnsi="Times New Roman" w:cs="Times New Roman"/>
          <w:color w:val="auto"/>
          <w:highlight w:val="none"/>
        </w:rPr>
        <w:t>个</w:t>
      </w:r>
      <w:r>
        <w:rPr>
          <w:rFonts w:ascii="Times New Roman" w:hAnsi="Times New Roman" w:cs="Times New Roman"/>
          <w:color w:val="auto"/>
          <w:highlight w:val="none"/>
        </w:rPr>
        <w:t>处于常开状态，检修时关闭；另一</w:t>
      </w:r>
      <w:r>
        <w:rPr>
          <w:rFonts w:hint="eastAsia" w:ascii="Times New Roman" w:hAnsi="Times New Roman" w:cs="Times New Roman"/>
          <w:color w:val="auto"/>
          <w:highlight w:val="none"/>
        </w:rPr>
        <w:t>个</w:t>
      </w:r>
      <w:r>
        <w:rPr>
          <w:rFonts w:ascii="Times New Roman" w:hAnsi="Times New Roman" w:cs="Times New Roman"/>
          <w:color w:val="auto"/>
          <w:highlight w:val="none"/>
        </w:rPr>
        <w:t>控制向</w:t>
      </w:r>
      <w:r>
        <w:rPr>
          <w:rFonts w:hint="eastAsia" w:ascii="Times New Roman" w:hAnsi="Times New Roman" w:cs="Times New Roman"/>
          <w:color w:val="auto"/>
          <w:highlight w:val="none"/>
        </w:rPr>
        <w:t>发送仓泵</w:t>
      </w:r>
      <w:r>
        <w:rPr>
          <w:rFonts w:ascii="Times New Roman" w:hAnsi="Times New Roman" w:cs="Times New Roman"/>
          <w:color w:val="auto"/>
          <w:highlight w:val="none"/>
        </w:rPr>
        <w:t>进料。</w:t>
      </w:r>
    </w:p>
    <w:p w14:paraId="5E9464F0">
      <w:pPr>
        <w:shd w:val="clear"/>
        <w:rPr>
          <w:rFonts w:ascii="Times New Roman" w:hAnsi="Times New Roman" w:cs="Times New Roman"/>
          <w:color w:val="auto"/>
          <w:highlight w:val="none"/>
        </w:rPr>
      </w:pPr>
      <w:r>
        <w:rPr>
          <w:rFonts w:hint="eastAsia" w:ascii="Times New Roman" w:hAnsi="Times New Roman" w:cs="Times New Roman"/>
          <w:color w:val="auto"/>
          <w:highlight w:val="none"/>
        </w:rPr>
        <w:t>分别将1#和2#高炉除尘灰通过发送仓泵</w:t>
      </w:r>
      <w:r>
        <w:rPr>
          <w:rFonts w:ascii="Times New Roman" w:hAnsi="Times New Roman" w:cs="Times New Roman"/>
          <w:color w:val="auto"/>
          <w:highlight w:val="none"/>
        </w:rPr>
        <w:t>将</w:t>
      </w:r>
      <w:r>
        <w:rPr>
          <w:rFonts w:hint="eastAsia" w:ascii="Times New Roman" w:hAnsi="Times New Roman" w:cs="Times New Roman"/>
          <w:color w:val="auto"/>
          <w:highlight w:val="none"/>
        </w:rPr>
        <w:t>重力除尘</w:t>
      </w:r>
      <w:r>
        <w:rPr>
          <w:rFonts w:ascii="Times New Roman" w:hAnsi="Times New Roman" w:cs="Times New Roman"/>
          <w:color w:val="auto"/>
          <w:highlight w:val="none"/>
        </w:rPr>
        <w:t>灰输送至</w:t>
      </w:r>
      <w:r>
        <w:rPr>
          <w:rFonts w:hint="eastAsia" w:ascii="Times New Roman" w:hAnsi="Times New Roman" w:cs="Times New Roman"/>
          <w:color w:val="auto"/>
          <w:highlight w:val="none"/>
        </w:rPr>
        <w:t>灰仓</w:t>
      </w:r>
      <w:r>
        <w:rPr>
          <w:rFonts w:ascii="Times New Roman" w:hAnsi="Times New Roman" w:cs="Times New Roman"/>
          <w:color w:val="auto"/>
          <w:highlight w:val="none"/>
        </w:rPr>
        <w:t>。</w:t>
      </w:r>
      <w:r>
        <w:rPr>
          <w:rFonts w:hint="eastAsia" w:ascii="Times New Roman" w:hAnsi="Times New Roman" w:cs="Times New Roman"/>
          <w:color w:val="auto"/>
          <w:highlight w:val="none"/>
        </w:rPr>
        <w:t>1#和2#高炉共设置2座50m³灰仓，满足24h储灰量。灰仓上部设置除尘器、安全阀，灰仓下部设置吸引装置，吸引装置</w:t>
      </w:r>
      <w:r>
        <w:rPr>
          <w:rFonts w:ascii="Times New Roman" w:hAnsi="Times New Roman" w:cs="Times New Roman"/>
          <w:color w:val="auto"/>
          <w:highlight w:val="none"/>
        </w:rPr>
        <w:t>快速接头接引吸排罐车，罐车装满后运至作业区烧结料场。</w:t>
      </w:r>
      <w:r>
        <w:rPr>
          <w:rFonts w:hint="eastAsia" w:ascii="Times New Roman" w:hAnsi="Times New Roman" w:cs="Times New Roman"/>
          <w:color w:val="auto"/>
          <w:highlight w:val="none"/>
        </w:rPr>
        <w:t>灰仓设置流化降温装置。</w:t>
      </w:r>
    </w:p>
    <w:p w14:paraId="322C84E5">
      <w:pPr>
        <w:shd w:val="clear"/>
        <w:rPr>
          <w:rFonts w:hint="eastAsia" w:ascii="Times New Roman" w:hAnsi="Times New Roman" w:cs="Times New Roman"/>
          <w:color w:val="auto"/>
          <w:highlight w:val="none"/>
        </w:rPr>
      </w:pPr>
      <w:r>
        <w:rPr>
          <w:rFonts w:hint="eastAsia" w:ascii="Times New Roman" w:hAnsi="Times New Roman" w:cs="Times New Roman"/>
          <w:color w:val="auto"/>
          <w:highlight w:val="none"/>
        </w:rPr>
        <w:t>重力除尘灰，使用氮气输灰。在1#和2#高炉重力除尘区域分别设一个5m3氮气罐及管道、阀门，用于仓泵气力输灰。</w:t>
      </w:r>
    </w:p>
    <w:p w14:paraId="7106887E">
      <w:pPr>
        <w:shd w:val="clea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2号高炉重力除尘下卸灰区域四面采用压型钢板进行封闭，南北侧设置电动卷帘门。封闭房及下料口高度、位置等尺寸设计要与新3#高炉的设计尺寸一致，满足保产车辆</w:t>
      </w:r>
      <w:r>
        <w:rPr>
          <w:rFonts w:hint="eastAsia" w:ascii="Times New Roman" w:hAnsi="Times New Roman" w:cs="Times New Roman"/>
          <w:color w:val="auto"/>
          <w:highlight w:val="none"/>
          <w:lang w:val="en-US" w:eastAsia="zh-CN"/>
        </w:rPr>
        <w:t>在封闭区域内装车</w:t>
      </w:r>
      <w:r>
        <w:rPr>
          <w:rFonts w:hint="eastAsia" w:ascii="Times New Roman" w:hAnsi="Times New Roman" w:cs="Times New Roman"/>
          <w:color w:val="auto"/>
          <w:highlight w:val="none"/>
        </w:rPr>
        <w:t>要求。</w:t>
      </w:r>
      <w:r>
        <w:rPr>
          <w:rFonts w:hint="eastAsia" w:ascii="Times New Roman" w:hAnsi="Times New Roman" w:cs="Times New Roman"/>
          <w:color w:val="auto"/>
          <w:highlight w:val="none"/>
          <w:lang w:val="en-US" w:eastAsia="zh-CN"/>
        </w:rPr>
        <w:t>封闭房内增设CO报警器。</w:t>
      </w:r>
    </w:p>
    <w:p w14:paraId="266ADB22">
      <w:pPr>
        <w:shd w:val="clear"/>
        <w:ind w:firstLineChars="0"/>
        <w:rPr>
          <w:rFonts w:ascii="Times New Roman" w:hAnsi="Times New Roman"/>
          <w:color w:val="auto"/>
          <w:highlight w:val="none"/>
        </w:rPr>
      </w:pPr>
      <w:r>
        <w:rPr>
          <w:rFonts w:hint="eastAsia" w:ascii="Times New Roman" w:hAnsi="Times New Roman"/>
          <w:color w:val="auto"/>
          <w:highlight w:val="none"/>
        </w:rPr>
        <w:t>新3号高炉重力除尘器灰量每天100t左右，每天需运输6车，每次装车及卸货时间各30分钟，道路运输30分钟，每天车辆运行时间540分钟；煤气干法布袋除尘灰量每天100t左右，每天需运输6车，装车及卸货时间各30分钟，道路运输30分钟，每天车辆运行时间540分钟。因此，新3号高炉项目高炉煤气灰运输配备了3台吸引压送密闭罐车。而1号高炉重力除尘器灰量每天50t左右，每天需运输3车，装车及卸货时间各30分钟，道路运输30分钟；2号高炉重力除尘器灰量每天45t左右，每天需运输3车，装车及卸货时间各30分钟，道路运输30分钟；1号高炉和2号高炉重力除尘灰每天共计车辆运行时间540分钟，刚好与新3号高炉干法布袋除尘灰车辆运行时间相等。</w:t>
      </w:r>
    </w:p>
    <w:p w14:paraId="444B98FF">
      <w:pPr>
        <w:shd w:val="clear"/>
        <w:rPr>
          <w:rFonts w:ascii="Times New Roman" w:hAnsi="Times New Roman"/>
          <w:color w:val="auto"/>
          <w:highlight w:val="none"/>
        </w:rPr>
      </w:pPr>
      <w:r>
        <w:rPr>
          <w:rFonts w:hint="eastAsia" w:ascii="Times New Roman" w:hAnsi="Times New Roman"/>
          <w:color w:val="auto"/>
          <w:highlight w:val="none"/>
        </w:rPr>
        <w:t>目前，润源公司不具备接受煤气干法布袋除尘灰吸引压送密闭罐车运输的条件，拟将新3号高炉的煤气干法布袋除尘灰运输车辆用于1、2号高炉重力除尘灰运输，故本项目不新增吸引压送密闭罐车。</w:t>
      </w:r>
    </w:p>
    <w:p w14:paraId="0289F679">
      <w:pPr>
        <w:shd w:val="clear"/>
        <w:rPr>
          <w:rFonts w:ascii="Times New Roman" w:hAnsi="Times New Roman"/>
          <w:color w:val="auto"/>
          <w:highlight w:val="none"/>
        </w:rPr>
      </w:pPr>
      <w:r>
        <w:rPr>
          <w:rFonts w:hint="eastAsia" w:ascii="Times New Roman" w:hAnsi="Times New Roman"/>
          <w:color w:val="auto"/>
          <w:highlight w:val="none"/>
        </w:rPr>
        <w:t>重力除尘器下锥段卸灰处增加篦子及下灰倒流管更换。</w:t>
      </w:r>
    </w:p>
    <w:p w14:paraId="7101E085">
      <w:pPr>
        <w:shd w:val="clear"/>
        <w:ind w:firstLine="0" w:firstLineChars="0"/>
        <w:outlineLvl w:val="2"/>
        <w:rPr>
          <w:rFonts w:cs="Times New Roman"/>
          <w:color w:val="auto"/>
          <w:szCs w:val="28"/>
          <w:highlight w:val="none"/>
        </w:rPr>
      </w:pPr>
      <w:bookmarkStart w:id="269" w:name="_Toc79840284"/>
      <w:bookmarkStart w:id="270" w:name="_Toc100483388"/>
      <w:bookmarkStart w:id="271" w:name="_Toc15929"/>
      <w:r>
        <w:rPr>
          <w:rFonts w:hint="eastAsia" w:cs="Times New Roman"/>
          <w:color w:val="auto"/>
          <w:szCs w:val="28"/>
          <w:highlight w:val="none"/>
        </w:rPr>
        <w:t>2.5.5 主要设备</w:t>
      </w:r>
      <w:bookmarkEnd w:id="269"/>
      <w:bookmarkEnd w:id="270"/>
      <w:r>
        <w:rPr>
          <w:rFonts w:hint="eastAsia" w:cs="Times New Roman"/>
          <w:color w:val="auto"/>
          <w:szCs w:val="28"/>
          <w:highlight w:val="none"/>
        </w:rPr>
        <w:t>更换利旧情况</w:t>
      </w:r>
      <w:bookmarkEnd w:id="271"/>
    </w:p>
    <w:p w14:paraId="72D3CB6F">
      <w:pPr>
        <w:shd w:val="clear"/>
        <w:snapToGrid w:val="0"/>
        <w:spacing w:before="157" w:beforeLines="50"/>
        <w:ind w:left="120" w:leftChars="50"/>
        <w:jc w:val="center"/>
        <w:rPr>
          <w:color w:val="auto"/>
          <w:highlight w:val="none"/>
        </w:rPr>
      </w:pPr>
      <w:r>
        <w:rPr>
          <w:color w:val="auto"/>
          <w:highlight w:val="none"/>
        </w:rPr>
        <w:t>表2.5-</w:t>
      </w:r>
      <w:r>
        <w:rPr>
          <w:rFonts w:hint="eastAsia"/>
          <w:color w:val="auto"/>
          <w:highlight w:val="none"/>
        </w:rPr>
        <w:t>3</w:t>
      </w:r>
      <w:r>
        <w:rPr>
          <w:color w:val="auto"/>
          <w:highlight w:val="none"/>
        </w:rPr>
        <w:t xml:space="preserve">  粗煤气系统设备</w:t>
      </w:r>
      <w:r>
        <w:rPr>
          <w:rFonts w:hint="eastAsia"/>
          <w:color w:val="auto"/>
          <w:highlight w:val="none"/>
        </w:rPr>
        <w:t>更换</w:t>
      </w:r>
      <w:r>
        <w:rPr>
          <w:color w:val="auto"/>
          <w:highlight w:val="none"/>
        </w:rPr>
        <w:t>利旧情况</w:t>
      </w:r>
    </w:p>
    <w:tbl>
      <w:tblPr>
        <w:tblStyle w:val="6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02"/>
        <w:gridCol w:w="3012"/>
        <w:gridCol w:w="1369"/>
        <w:gridCol w:w="1702"/>
        <w:gridCol w:w="1334"/>
      </w:tblGrid>
      <w:tr w14:paraId="37364A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102" w:type="dxa"/>
            <w:tcBorders>
              <w:top w:val="single" w:color="auto" w:sz="12" w:space="0"/>
              <w:left w:val="single" w:color="auto" w:sz="12" w:space="0"/>
              <w:bottom w:val="single" w:color="auto" w:sz="4" w:space="0"/>
              <w:right w:val="single" w:color="auto" w:sz="4" w:space="0"/>
            </w:tcBorders>
            <w:vAlign w:val="center"/>
          </w:tcPr>
          <w:p w14:paraId="6A661366">
            <w:pPr>
              <w:shd w:val="clear"/>
              <w:snapToGrid w:val="0"/>
              <w:spacing w:line="300" w:lineRule="auto"/>
              <w:ind w:firstLine="420"/>
              <w:jc w:val="center"/>
              <w:rPr>
                <w:rFonts w:ascii="Times New Roman" w:hAnsi="Times New Roman" w:cs="Times New Roman"/>
                <w:color w:val="auto"/>
                <w:sz w:val="21"/>
                <w:szCs w:val="21"/>
                <w:highlight w:val="none"/>
              </w:rPr>
            </w:pPr>
            <w:bookmarkStart w:id="272" w:name="_Toc100483389"/>
            <w:bookmarkStart w:id="273" w:name="_Toc70062269"/>
            <w:bookmarkStart w:id="274" w:name="_Toc79840286"/>
            <w:bookmarkStart w:id="275" w:name="_Toc100483685"/>
            <w:r>
              <w:rPr>
                <w:rFonts w:ascii="Times New Roman" w:hAnsi="Times New Roman" w:cs="Times New Roman"/>
                <w:color w:val="auto"/>
                <w:sz w:val="21"/>
                <w:szCs w:val="21"/>
                <w:highlight w:val="none"/>
              </w:rPr>
              <w:t>序号</w:t>
            </w:r>
          </w:p>
        </w:tc>
        <w:tc>
          <w:tcPr>
            <w:tcW w:w="3012" w:type="dxa"/>
            <w:tcBorders>
              <w:top w:val="single" w:color="auto" w:sz="12" w:space="0"/>
              <w:left w:val="single" w:color="auto" w:sz="4" w:space="0"/>
              <w:bottom w:val="single" w:color="auto" w:sz="4" w:space="0"/>
              <w:right w:val="single" w:color="auto" w:sz="4" w:space="0"/>
            </w:tcBorders>
            <w:vAlign w:val="center"/>
          </w:tcPr>
          <w:p w14:paraId="79E9752D">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设备名称</w:t>
            </w:r>
          </w:p>
        </w:tc>
        <w:tc>
          <w:tcPr>
            <w:tcW w:w="1369" w:type="dxa"/>
            <w:tcBorders>
              <w:top w:val="single" w:color="auto" w:sz="12" w:space="0"/>
              <w:left w:val="single" w:color="auto" w:sz="4" w:space="0"/>
              <w:bottom w:val="single" w:color="auto" w:sz="4" w:space="0"/>
              <w:right w:val="single" w:color="auto" w:sz="4" w:space="0"/>
            </w:tcBorders>
            <w:vAlign w:val="center"/>
          </w:tcPr>
          <w:p w14:paraId="2EB92F00">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数量/台</w:t>
            </w:r>
          </w:p>
        </w:tc>
        <w:tc>
          <w:tcPr>
            <w:tcW w:w="1702" w:type="dxa"/>
            <w:tcBorders>
              <w:top w:val="single" w:color="auto" w:sz="12" w:space="0"/>
              <w:left w:val="single" w:color="auto" w:sz="4" w:space="0"/>
              <w:bottom w:val="single" w:color="auto" w:sz="4" w:space="0"/>
              <w:right w:val="single" w:color="auto" w:sz="4" w:space="0"/>
            </w:tcBorders>
            <w:vAlign w:val="center"/>
          </w:tcPr>
          <w:p w14:paraId="5A172458">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更换利旧情况</w:t>
            </w:r>
          </w:p>
        </w:tc>
        <w:tc>
          <w:tcPr>
            <w:tcW w:w="1334" w:type="dxa"/>
            <w:tcBorders>
              <w:top w:val="single" w:color="auto" w:sz="12" w:space="0"/>
              <w:left w:val="single" w:color="auto" w:sz="4" w:space="0"/>
              <w:bottom w:val="single" w:color="auto" w:sz="4" w:space="0"/>
              <w:right w:val="single" w:color="auto" w:sz="12" w:space="0"/>
            </w:tcBorders>
            <w:vAlign w:val="center"/>
          </w:tcPr>
          <w:p w14:paraId="26D58318">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备注</w:t>
            </w:r>
          </w:p>
        </w:tc>
      </w:tr>
      <w:tr w14:paraId="143988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02" w:type="dxa"/>
            <w:tcBorders>
              <w:top w:val="single" w:color="auto" w:sz="4" w:space="0"/>
              <w:left w:val="single" w:color="auto" w:sz="12" w:space="0"/>
              <w:bottom w:val="single" w:color="auto" w:sz="4" w:space="0"/>
              <w:right w:val="single" w:color="auto" w:sz="4" w:space="0"/>
            </w:tcBorders>
            <w:vAlign w:val="center"/>
          </w:tcPr>
          <w:p w14:paraId="16DFFFE0">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3012" w:type="dxa"/>
            <w:tcBorders>
              <w:top w:val="single" w:color="auto" w:sz="4" w:space="0"/>
              <w:left w:val="single" w:color="auto" w:sz="4" w:space="0"/>
              <w:bottom w:val="single" w:color="auto" w:sz="4" w:space="0"/>
              <w:right w:val="single" w:color="auto" w:sz="4" w:space="0"/>
            </w:tcBorders>
            <w:vAlign w:val="center"/>
          </w:tcPr>
          <w:p w14:paraId="53E2BFE7">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上升管波纹补偿器</w:t>
            </w:r>
          </w:p>
        </w:tc>
        <w:tc>
          <w:tcPr>
            <w:tcW w:w="1369" w:type="dxa"/>
            <w:tcBorders>
              <w:top w:val="single" w:color="auto" w:sz="4" w:space="0"/>
              <w:left w:val="single" w:color="auto" w:sz="4" w:space="0"/>
              <w:bottom w:val="single" w:color="auto" w:sz="4" w:space="0"/>
              <w:right w:val="single" w:color="auto" w:sz="4" w:space="0"/>
            </w:tcBorders>
            <w:vAlign w:val="center"/>
          </w:tcPr>
          <w:p w14:paraId="192C8030">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w:t>
            </w:r>
          </w:p>
        </w:tc>
        <w:tc>
          <w:tcPr>
            <w:tcW w:w="1702" w:type="dxa"/>
            <w:tcBorders>
              <w:top w:val="single" w:color="auto" w:sz="4" w:space="0"/>
              <w:left w:val="single" w:color="auto" w:sz="4" w:space="0"/>
              <w:bottom w:val="single" w:color="auto" w:sz="4" w:space="0"/>
              <w:right w:val="single" w:color="auto" w:sz="4" w:space="0"/>
            </w:tcBorders>
            <w:vAlign w:val="center"/>
          </w:tcPr>
          <w:p w14:paraId="750E3248">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更换</w:t>
            </w:r>
          </w:p>
        </w:tc>
        <w:tc>
          <w:tcPr>
            <w:tcW w:w="1334" w:type="dxa"/>
            <w:tcBorders>
              <w:top w:val="single" w:color="auto" w:sz="4" w:space="0"/>
              <w:left w:val="single" w:color="auto" w:sz="4" w:space="0"/>
              <w:bottom w:val="single" w:color="auto" w:sz="4" w:space="0"/>
              <w:right w:val="single" w:color="auto" w:sz="12" w:space="0"/>
            </w:tcBorders>
            <w:vAlign w:val="center"/>
          </w:tcPr>
          <w:p w14:paraId="0906DEAD">
            <w:pPr>
              <w:shd w:val="clear"/>
              <w:snapToGrid w:val="0"/>
              <w:spacing w:line="300" w:lineRule="auto"/>
              <w:ind w:firstLine="420"/>
              <w:jc w:val="center"/>
              <w:rPr>
                <w:rFonts w:ascii="Times New Roman" w:hAnsi="Times New Roman" w:cs="Times New Roman"/>
                <w:color w:val="auto"/>
                <w:sz w:val="21"/>
                <w:szCs w:val="21"/>
                <w:highlight w:val="none"/>
              </w:rPr>
            </w:pPr>
          </w:p>
        </w:tc>
      </w:tr>
      <w:tr w14:paraId="0B0B68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02" w:type="dxa"/>
            <w:tcBorders>
              <w:top w:val="single" w:color="auto" w:sz="4" w:space="0"/>
              <w:left w:val="single" w:color="auto" w:sz="12" w:space="0"/>
              <w:bottom w:val="single" w:color="auto" w:sz="4" w:space="0"/>
              <w:right w:val="single" w:color="auto" w:sz="4" w:space="0"/>
            </w:tcBorders>
            <w:vAlign w:val="center"/>
          </w:tcPr>
          <w:p w14:paraId="2DB5936D">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3012" w:type="dxa"/>
            <w:tcBorders>
              <w:top w:val="single" w:color="auto" w:sz="4" w:space="0"/>
              <w:left w:val="single" w:color="auto" w:sz="4" w:space="0"/>
              <w:bottom w:val="single" w:color="auto" w:sz="4" w:space="0"/>
              <w:right w:val="single" w:color="auto" w:sz="4" w:space="0"/>
            </w:tcBorders>
            <w:vAlign w:val="center"/>
          </w:tcPr>
          <w:p w14:paraId="1132D3D7">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DN1790遮断阀</w:t>
            </w:r>
          </w:p>
        </w:tc>
        <w:tc>
          <w:tcPr>
            <w:tcW w:w="1369" w:type="dxa"/>
            <w:tcBorders>
              <w:top w:val="single" w:color="auto" w:sz="4" w:space="0"/>
              <w:left w:val="single" w:color="auto" w:sz="4" w:space="0"/>
              <w:bottom w:val="single" w:color="auto" w:sz="4" w:space="0"/>
              <w:right w:val="single" w:color="auto" w:sz="4" w:space="0"/>
            </w:tcBorders>
            <w:vAlign w:val="center"/>
          </w:tcPr>
          <w:p w14:paraId="6EE5F4E9">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1702" w:type="dxa"/>
            <w:tcBorders>
              <w:top w:val="single" w:color="auto" w:sz="4" w:space="0"/>
              <w:left w:val="single" w:color="auto" w:sz="4" w:space="0"/>
              <w:bottom w:val="single" w:color="auto" w:sz="4" w:space="0"/>
              <w:right w:val="single" w:color="auto" w:sz="4" w:space="0"/>
            </w:tcBorders>
            <w:vAlign w:val="center"/>
          </w:tcPr>
          <w:p w14:paraId="208F834F">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利旧</w:t>
            </w:r>
          </w:p>
        </w:tc>
        <w:tc>
          <w:tcPr>
            <w:tcW w:w="1334" w:type="dxa"/>
            <w:tcBorders>
              <w:top w:val="single" w:color="auto" w:sz="4" w:space="0"/>
              <w:left w:val="single" w:color="auto" w:sz="4" w:space="0"/>
              <w:bottom w:val="single" w:color="auto" w:sz="4" w:space="0"/>
              <w:right w:val="single" w:color="auto" w:sz="12" w:space="0"/>
            </w:tcBorders>
            <w:shd w:val="clear" w:color="auto" w:fill="auto"/>
            <w:vAlign w:val="center"/>
          </w:tcPr>
          <w:p w14:paraId="03872622">
            <w:pPr>
              <w:shd w:val="clear"/>
              <w:snapToGrid w:val="0"/>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更换遮断阀电机，</w:t>
            </w:r>
            <w:r>
              <w:rPr>
                <w:rFonts w:hint="eastAsia" w:ascii="Times New Roman" w:hAnsi="Times New Roman" w:cs="Times New Roman"/>
                <w:color w:val="auto"/>
                <w:sz w:val="21"/>
                <w:szCs w:val="21"/>
                <w:highlight w:val="none"/>
              </w:rPr>
              <w:t>更换为</w:t>
            </w:r>
            <w:r>
              <w:rPr>
                <w:rFonts w:ascii="Times New Roman" w:hAnsi="Times New Roman" w:cs="Times New Roman"/>
                <w:color w:val="auto"/>
                <w:sz w:val="21"/>
                <w:szCs w:val="21"/>
                <w:highlight w:val="none"/>
              </w:rPr>
              <w:t>一级能效</w:t>
            </w:r>
            <w:r>
              <w:rPr>
                <w:rFonts w:hint="eastAsia" w:ascii="Times New Roman" w:hAnsi="Times New Roman" w:cs="Times New Roman"/>
                <w:color w:val="auto"/>
                <w:sz w:val="21"/>
                <w:szCs w:val="21"/>
                <w:highlight w:val="none"/>
              </w:rPr>
              <w:t>电机</w:t>
            </w:r>
            <w:r>
              <w:rPr>
                <w:rFonts w:ascii="Times New Roman" w:hAnsi="Times New Roman" w:cs="Times New Roman"/>
                <w:color w:val="auto"/>
                <w:sz w:val="21"/>
                <w:szCs w:val="21"/>
                <w:highlight w:val="none"/>
              </w:rPr>
              <w:t>，380V，18.5kW</w:t>
            </w:r>
          </w:p>
        </w:tc>
      </w:tr>
      <w:tr w14:paraId="6EA2E5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02" w:type="dxa"/>
            <w:tcBorders>
              <w:top w:val="single" w:color="auto" w:sz="4" w:space="0"/>
              <w:left w:val="single" w:color="auto" w:sz="12" w:space="0"/>
              <w:bottom w:val="single" w:color="auto" w:sz="4" w:space="0"/>
              <w:right w:val="single" w:color="auto" w:sz="4" w:space="0"/>
            </w:tcBorders>
            <w:vAlign w:val="center"/>
          </w:tcPr>
          <w:p w14:paraId="022BE0E5">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w:t>
            </w:r>
          </w:p>
        </w:tc>
        <w:tc>
          <w:tcPr>
            <w:tcW w:w="3012" w:type="dxa"/>
            <w:tcBorders>
              <w:top w:val="single" w:color="auto" w:sz="4" w:space="0"/>
              <w:left w:val="single" w:color="auto" w:sz="4" w:space="0"/>
              <w:bottom w:val="single" w:color="auto" w:sz="4" w:space="0"/>
              <w:right w:val="single" w:color="auto" w:sz="4" w:space="0"/>
            </w:tcBorders>
            <w:vAlign w:val="center"/>
          </w:tcPr>
          <w:p w14:paraId="01F7B112">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35kN电动卷扬机</w:t>
            </w:r>
          </w:p>
        </w:tc>
        <w:tc>
          <w:tcPr>
            <w:tcW w:w="1369" w:type="dxa"/>
            <w:tcBorders>
              <w:top w:val="single" w:color="auto" w:sz="4" w:space="0"/>
              <w:left w:val="single" w:color="auto" w:sz="4" w:space="0"/>
              <w:bottom w:val="single" w:color="auto" w:sz="4" w:space="0"/>
              <w:right w:val="single" w:color="auto" w:sz="4" w:space="0"/>
            </w:tcBorders>
            <w:vAlign w:val="center"/>
          </w:tcPr>
          <w:p w14:paraId="5E226D11">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1702" w:type="dxa"/>
            <w:tcBorders>
              <w:top w:val="single" w:color="auto" w:sz="4" w:space="0"/>
              <w:left w:val="single" w:color="auto" w:sz="4" w:space="0"/>
              <w:bottom w:val="single" w:color="auto" w:sz="4" w:space="0"/>
              <w:right w:val="single" w:color="auto" w:sz="4" w:space="0"/>
            </w:tcBorders>
            <w:vAlign w:val="center"/>
          </w:tcPr>
          <w:p w14:paraId="5E319A90">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利旧</w:t>
            </w:r>
          </w:p>
        </w:tc>
        <w:tc>
          <w:tcPr>
            <w:tcW w:w="1334" w:type="dxa"/>
            <w:tcBorders>
              <w:top w:val="single" w:color="auto" w:sz="4" w:space="0"/>
              <w:left w:val="single" w:color="auto" w:sz="4" w:space="0"/>
              <w:bottom w:val="single" w:color="auto" w:sz="4" w:space="0"/>
              <w:right w:val="single" w:color="auto" w:sz="12" w:space="0"/>
            </w:tcBorders>
            <w:vAlign w:val="center"/>
          </w:tcPr>
          <w:p w14:paraId="013E5BF1">
            <w:pPr>
              <w:shd w:val="clear"/>
              <w:snapToGrid w:val="0"/>
              <w:spacing w:line="300" w:lineRule="auto"/>
              <w:ind w:firstLine="420"/>
              <w:jc w:val="center"/>
              <w:rPr>
                <w:rFonts w:ascii="Times New Roman" w:hAnsi="Times New Roman" w:cs="Times New Roman"/>
                <w:color w:val="auto"/>
                <w:sz w:val="21"/>
                <w:szCs w:val="21"/>
                <w:highlight w:val="none"/>
              </w:rPr>
            </w:pPr>
          </w:p>
        </w:tc>
      </w:tr>
      <w:tr w14:paraId="1D6CBD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02" w:type="dxa"/>
            <w:tcBorders>
              <w:top w:val="single" w:color="auto" w:sz="4" w:space="0"/>
              <w:left w:val="single" w:color="auto" w:sz="12" w:space="0"/>
              <w:bottom w:val="single" w:color="auto" w:sz="4" w:space="0"/>
              <w:right w:val="single" w:color="auto" w:sz="4" w:space="0"/>
            </w:tcBorders>
            <w:vAlign w:val="center"/>
          </w:tcPr>
          <w:p w14:paraId="3FC294CF">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w:t>
            </w:r>
          </w:p>
        </w:tc>
        <w:tc>
          <w:tcPr>
            <w:tcW w:w="3012" w:type="dxa"/>
            <w:tcBorders>
              <w:top w:val="single" w:color="auto" w:sz="4" w:space="0"/>
              <w:left w:val="single" w:color="auto" w:sz="4" w:space="0"/>
              <w:bottom w:val="single" w:color="auto" w:sz="4" w:space="0"/>
              <w:right w:val="single" w:color="auto" w:sz="4" w:space="0"/>
            </w:tcBorders>
            <w:vAlign w:val="center"/>
          </w:tcPr>
          <w:p w14:paraId="417561D5">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炉顶放散阀</w:t>
            </w:r>
          </w:p>
        </w:tc>
        <w:tc>
          <w:tcPr>
            <w:tcW w:w="1369" w:type="dxa"/>
            <w:tcBorders>
              <w:top w:val="single" w:color="auto" w:sz="4" w:space="0"/>
              <w:left w:val="single" w:color="auto" w:sz="4" w:space="0"/>
              <w:bottom w:val="single" w:color="auto" w:sz="4" w:space="0"/>
              <w:right w:val="single" w:color="auto" w:sz="4" w:space="0"/>
            </w:tcBorders>
            <w:vAlign w:val="center"/>
          </w:tcPr>
          <w:p w14:paraId="0EAE5EAB">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1702" w:type="dxa"/>
            <w:tcBorders>
              <w:top w:val="single" w:color="auto" w:sz="4" w:space="0"/>
              <w:left w:val="single" w:color="auto" w:sz="4" w:space="0"/>
              <w:bottom w:val="single" w:color="auto" w:sz="4" w:space="0"/>
              <w:right w:val="single" w:color="auto" w:sz="4" w:space="0"/>
            </w:tcBorders>
            <w:vAlign w:val="center"/>
          </w:tcPr>
          <w:p w14:paraId="0EE6F000">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利旧</w:t>
            </w:r>
          </w:p>
        </w:tc>
        <w:tc>
          <w:tcPr>
            <w:tcW w:w="1334" w:type="dxa"/>
            <w:tcBorders>
              <w:top w:val="single" w:color="auto" w:sz="4" w:space="0"/>
              <w:left w:val="single" w:color="auto" w:sz="4" w:space="0"/>
              <w:bottom w:val="single" w:color="auto" w:sz="4" w:space="0"/>
              <w:right w:val="single" w:color="auto" w:sz="12" w:space="0"/>
            </w:tcBorders>
            <w:vAlign w:val="center"/>
          </w:tcPr>
          <w:p w14:paraId="2537D08B">
            <w:pPr>
              <w:shd w:val="clear"/>
              <w:snapToGrid w:val="0"/>
              <w:spacing w:line="300" w:lineRule="auto"/>
              <w:ind w:firstLine="420"/>
              <w:jc w:val="center"/>
              <w:rPr>
                <w:rFonts w:ascii="Times New Roman" w:hAnsi="Times New Roman" w:cs="Times New Roman"/>
                <w:color w:val="auto"/>
                <w:sz w:val="21"/>
                <w:szCs w:val="21"/>
                <w:highlight w:val="none"/>
              </w:rPr>
            </w:pPr>
          </w:p>
        </w:tc>
      </w:tr>
      <w:tr w14:paraId="49483A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02" w:type="dxa"/>
            <w:tcBorders>
              <w:top w:val="single" w:color="auto" w:sz="4" w:space="0"/>
              <w:left w:val="single" w:color="auto" w:sz="12" w:space="0"/>
              <w:bottom w:val="single" w:color="auto" w:sz="4" w:space="0"/>
              <w:right w:val="single" w:color="auto" w:sz="4" w:space="0"/>
            </w:tcBorders>
            <w:vAlign w:val="center"/>
          </w:tcPr>
          <w:p w14:paraId="7CD6B63B">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w:t>
            </w:r>
          </w:p>
        </w:tc>
        <w:tc>
          <w:tcPr>
            <w:tcW w:w="3012" w:type="dxa"/>
            <w:tcBorders>
              <w:top w:val="single" w:color="auto" w:sz="4" w:space="0"/>
              <w:left w:val="single" w:color="auto" w:sz="4" w:space="0"/>
              <w:bottom w:val="single" w:color="auto" w:sz="4" w:space="0"/>
              <w:right w:val="single" w:color="auto" w:sz="4" w:space="0"/>
            </w:tcBorders>
            <w:vAlign w:val="center"/>
          </w:tcPr>
          <w:p w14:paraId="6AAE65F7">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DN250放散阀及手摇卷扬</w:t>
            </w:r>
          </w:p>
        </w:tc>
        <w:tc>
          <w:tcPr>
            <w:tcW w:w="1369" w:type="dxa"/>
            <w:tcBorders>
              <w:top w:val="single" w:color="auto" w:sz="4" w:space="0"/>
              <w:left w:val="single" w:color="auto" w:sz="4" w:space="0"/>
              <w:bottom w:val="single" w:color="auto" w:sz="4" w:space="0"/>
              <w:right w:val="single" w:color="auto" w:sz="4" w:space="0"/>
            </w:tcBorders>
            <w:vAlign w:val="center"/>
          </w:tcPr>
          <w:p w14:paraId="22BCCF34">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1702" w:type="dxa"/>
            <w:tcBorders>
              <w:top w:val="single" w:color="auto" w:sz="4" w:space="0"/>
              <w:left w:val="single" w:color="auto" w:sz="4" w:space="0"/>
              <w:bottom w:val="single" w:color="auto" w:sz="4" w:space="0"/>
              <w:right w:val="single" w:color="auto" w:sz="4" w:space="0"/>
            </w:tcBorders>
            <w:vAlign w:val="center"/>
          </w:tcPr>
          <w:p w14:paraId="1D063CEA">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利旧</w:t>
            </w:r>
          </w:p>
        </w:tc>
        <w:tc>
          <w:tcPr>
            <w:tcW w:w="1334" w:type="dxa"/>
            <w:tcBorders>
              <w:top w:val="single" w:color="auto" w:sz="4" w:space="0"/>
              <w:left w:val="single" w:color="auto" w:sz="4" w:space="0"/>
              <w:bottom w:val="single" w:color="auto" w:sz="4" w:space="0"/>
              <w:right w:val="single" w:color="auto" w:sz="12" w:space="0"/>
            </w:tcBorders>
            <w:vAlign w:val="center"/>
          </w:tcPr>
          <w:p w14:paraId="5C26F44E">
            <w:pPr>
              <w:shd w:val="clear"/>
              <w:snapToGrid w:val="0"/>
              <w:spacing w:line="300" w:lineRule="auto"/>
              <w:ind w:firstLine="420"/>
              <w:jc w:val="center"/>
              <w:rPr>
                <w:rFonts w:ascii="Times New Roman" w:hAnsi="Times New Roman" w:cs="Times New Roman"/>
                <w:color w:val="auto"/>
                <w:sz w:val="21"/>
                <w:szCs w:val="21"/>
                <w:highlight w:val="none"/>
              </w:rPr>
            </w:pPr>
          </w:p>
        </w:tc>
      </w:tr>
      <w:tr w14:paraId="272174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02" w:type="dxa"/>
            <w:tcBorders>
              <w:top w:val="single" w:color="auto" w:sz="4" w:space="0"/>
              <w:left w:val="single" w:color="auto" w:sz="12" w:space="0"/>
              <w:bottom w:val="single" w:color="auto" w:sz="4" w:space="0"/>
              <w:right w:val="single" w:color="auto" w:sz="4" w:space="0"/>
            </w:tcBorders>
            <w:vAlign w:val="center"/>
          </w:tcPr>
          <w:p w14:paraId="67577800">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6</w:t>
            </w:r>
          </w:p>
        </w:tc>
        <w:tc>
          <w:tcPr>
            <w:tcW w:w="3012" w:type="dxa"/>
            <w:tcBorders>
              <w:top w:val="single" w:color="auto" w:sz="4" w:space="0"/>
              <w:left w:val="single" w:color="auto" w:sz="4" w:space="0"/>
              <w:bottom w:val="single" w:color="auto" w:sz="4" w:space="0"/>
              <w:right w:val="single" w:color="auto" w:sz="4" w:space="0"/>
            </w:tcBorders>
            <w:vAlign w:val="center"/>
          </w:tcPr>
          <w:p w14:paraId="4234CDCA">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重力除尘器出口管道放散</w:t>
            </w:r>
          </w:p>
          <w:p w14:paraId="44484E6A">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电动闸阀DN350</w:t>
            </w:r>
          </w:p>
        </w:tc>
        <w:tc>
          <w:tcPr>
            <w:tcW w:w="1369" w:type="dxa"/>
            <w:tcBorders>
              <w:top w:val="single" w:color="auto" w:sz="4" w:space="0"/>
              <w:left w:val="single" w:color="auto" w:sz="4" w:space="0"/>
              <w:bottom w:val="single" w:color="auto" w:sz="4" w:space="0"/>
              <w:right w:val="single" w:color="auto" w:sz="4" w:space="0"/>
            </w:tcBorders>
            <w:vAlign w:val="center"/>
          </w:tcPr>
          <w:p w14:paraId="5553E8A4">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1702" w:type="dxa"/>
            <w:tcBorders>
              <w:top w:val="single" w:color="auto" w:sz="4" w:space="0"/>
              <w:left w:val="single" w:color="auto" w:sz="4" w:space="0"/>
              <w:bottom w:val="single" w:color="auto" w:sz="4" w:space="0"/>
              <w:right w:val="single" w:color="auto" w:sz="4" w:space="0"/>
            </w:tcBorders>
            <w:vAlign w:val="center"/>
          </w:tcPr>
          <w:p w14:paraId="33F84857">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利旧</w:t>
            </w:r>
          </w:p>
        </w:tc>
        <w:tc>
          <w:tcPr>
            <w:tcW w:w="1334" w:type="dxa"/>
            <w:tcBorders>
              <w:top w:val="single" w:color="auto" w:sz="4" w:space="0"/>
              <w:left w:val="single" w:color="auto" w:sz="4" w:space="0"/>
              <w:bottom w:val="single" w:color="auto" w:sz="4" w:space="0"/>
              <w:right w:val="single" w:color="auto" w:sz="12" w:space="0"/>
            </w:tcBorders>
            <w:vAlign w:val="center"/>
          </w:tcPr>
          <w:p w14:paraId="0ABE0BF7">
            <w:pPr>
              <w:shd w:val="clear"/>
              <w:snapToGrid w:val="0"/>
              <w:spacing w:line="300" w:lineRule="auto"/>
              <w:ind w:firstLine="420"/>
              <w:jc w:val="center"/>
              <w:rPr>
                <w:rFonts w:ascii="Times New Roman" w:hAnsi="Times New Roman" w:cs="Times New Roman"/>
                <w:color w:val="auto"/>
                <w:sz w:val="21"/>
                <w:szCs w:val="21"/>
                <w:highlight w:val="none"/>
              </w:rPr>
            </w:pPr>
          </w:p>
        </w:tc>
      </w:tr>
      <w:tr w14:paraId="42F3E7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02" w:type="dxa"/>
            <w:tcBorders>
              <w:top w:val="single" w:color="auto" w:sz="4" w:space="0"/>
              <w:left w:val="single" w:color="auto" w:sz="12" w:space="0"/>
              <w:bottom w:val="single" w:color="auto" w:sz="4" w:space="0"/>
              <w:right w:val="single" w:color="auto" w:sz="4" w:space="0"/>
            </w:tcBorders>
            <w:vAlign w:val="center"/>
          </w:tcPr>
          <w:p w14:paraId="27D5C5F8">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7</w:t>
            </w:r>
          </w:p>
        </w:tc>
        <w:tc>
          <w:tcPr>
            <w:tcW w:w="3012" w:type="dxa"/>
            <w:tcBorders>
              <w:top w:val="single" w:color="auto" w:sz="4" w:space="0"/>
              <w:left w:val="single" w:color="auto" w:sz="4" w:space="0"/>
              <w:bottom w:val="single" w:color="auto" w:sz="4" w:space="0"/>
              <w:right w:val="single" w:color="auto" w:sz="4" w:space="0"/>
            </w:tcBorders>
            <w:vAlign w:val="center"/>
          </w:tcPr>
          <w:p w14:paraId="7388B193">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DN300电动卸灰球阀</w:t>
            </w:r>
          </w:p>
        </w:tc>
        <w:tc>
          <w:tcPr>
            <w:tcW w:w="1369" w:type="dxa"/>
            <w:tcBorders>
              <w:top w:val="single" w:color="auto" w:sz="4" w:space="0"/>
              <w:left w:val="single" w:color="auto" w:sz="4" w:space="0"/>
              <w:bottom w:val="single" w:color="auto" w:sz="4" w:space="0"/>
              <w:right w:val="single" w:color="auto" w:sz="4" w:space="0"/>
            </w:tcBorders>
            <w:vAlign w:val="center"/>
          </w:tcPr>
          <w:p w14:paraId="5B422E46">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1702" w:type="dxa"/>
            <w:tcBorders>
              <w:top w:val="single" w:color="auto" w:sz="4" w:space="0"/>
              <w:left w:val="single" w:color="auto" w:sz="4" w:space="0"/>
              <w:bottom w:val="single" w:color="auto" w:sz="4" w:space="0"/>
              <w:right w:val="single" w:color="auto" w:sz="4" w:space="0"/>
            </w:tcBorders>
            <w:vAlign w:val="center"/>
          </w:tcPr>
          <w:p w14:paraId="2CC5FEEA">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更换</w:t>
            </w:r>
          </w:p>
        </w:tc>
        <w:tc>
          <w:tcPr>
            <w:tcW w:w="1334" w:type="dxa"/>
            <w:tcBorders>
              <w:top w:val="single" w:color="auto" w:sz="4" w:space="0"/>
              <w:left w:val="single" w:color="auto" w:sz="4" w:space="0"/>
              <w:bottom w:val="single" w:color="auto" w:sz="4" w:space="0"/>
              <w:right w:val="single" w:color="auto" w:sz="12" w:space="0"/>
            </w:tcBorders>
            <w:vAlign w:val="center"/>
          </w:tcPr>
          <w:p w14:paraId="73265446">
            <w:pPr>
              <w:shd w:val="clear"/>
              <w:snapToGrid w:val="0"/>
              <w:spacing w:line="300" w:lineRule="auto"/>
              <w:ind w:firstLine="420"/>
              <w:jc w:val="center"/>
              <w:rPr>
                <w:rFonts w:ascii="Times New Roman" w:hAnsi="Times New Roman" w:cs="Times New Roman"/>
                <w:color w:val="auto"/>
                <w:sz w:val="21"/>
                <w:szCs w:val="21"/>
                <w:highlight w:val="none"/>
              </w:rPr>
            </w:pPr>
          </w:p>
        </w:tc>
      </w:tr>
      <w:tr w14:paraId="7625DE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02" w:type="dxa"/>
            <w:tcBorders>
              <w:top w:val="single" w:color="auto" w:sz="4" w:space="0"/>
              <w:left w:val="single" w:color="auto" w:sz="12" w:space="0"/>
              <w:bottom w:val="single" w:color="auto" w:sz="4" w:space="0"/>
              <w:right w:val="single" w:color="auto" w:sz="4" w:space="0"/>
            </w:tcBorders>
            <w:vAlign w:val="center"/>
          </w:tcPr>
          <w:p w14:paraId="00A2B25A">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w:t>
            </w:r>
          </w:p>
        </w:tc>
        <w:tc>
          <w:tcPr>
            <w:tcW w:w="3012" w:type="dxa"/>
            <w:tcBorders>
              <w:top w:val="single" w:color="auto" w:sz="4" w:space="0"/>
              <w:left w:val="single" w:color="auto" w:sz="4" w:space="0"/>
              <w:bottom w:val="single" w:color="auto" w:sz="4" w:space="0"/>
              <w:right w:val="single" w:color="auto" w:sz="4" w:space="0"/>
            </w:tcBorders>
            <w:vAlign w:val="center"/>
          </w:tcPr>
          <w:p w14:paraId="3ABF227B">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DN300气动卸灰阀</w:t>
            </w:r>
          </w:p>
        </w:tc>
        <w:tc>
          <w:tcPr>
            <w:tcW w:w="1369" w:type="dxa"/>
            <w:tcBorders>
              <w:top w:val="single" w:color="auto" w:sz="4" w:space="0"/>
              <w:left w:val="single" w:color="auto" w:sz="4" w:space="0"/>
              <w:bottom w:val="single" w:color="auto" w:sz="4" w:space="0"/>
              <w:right w:val="single" w:color="auto" w:sz="4" w:space="0"/>
            </w:tcBorders>
            <w:vAlign w:val="center"/>
          </w:tcPr>
          <w:p w14:paraId="40DD7F77">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1702" w:type="dxa"/>
            <w:tcBorders>
              <w:top w:val="single" w:color="auto" w:sz="4" w:space="0"/>
              <w:left w:val="single" w:color="auto" w:sz="4" w:space="0"/>
              <w:bottom w:val="single" w:color="auto" w:sz="4" w:space="0"/>
              <w:right w:val="single" w:color="auto" w:sz="4" w:space="0"/>
            </w:tcBorders>
            <w:vAlign w:val="center"/>
          </w:tcPr>
          <w:p w14:paraId="5B63B486">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更换</w:t>
            </w:r>
          </w:p>
        </w:tc>
        <w:tc>
          <w:tcPr>
            <w:tcW w:w="1334" w:type="dxa"/>
            <w:tcBorders>
              <w:top w:val="single" w:color="auto" w:sz="4" w:space="0"/>
              <w:left w:val="single" w:color="auto" w:sz="4" w:space="0"/>
              <w:bottom w:val="single" w:color="auto" w:sz="4" w:space="0"/>
              <w:right w:val="single" w:color="auto" w:sz="12" w:space="0"/>
            </w:tcBorders>
            <w:vAlign w:val="center"/>
          </w:tcPr>
          <w:p w14:paraId="324C5636">
            <w:pPr>
              <w:shd w:val="clear"/>
              <w:snapToGrid w:val="0"/>
              <w:spacing w:line="300" w:lineRule="auto"/>
              <w:ind w:firstLine="420"/>
              <w:jc w:val="center"/>
              <w:rPr>
                <w:rFonts w:ascii="Times New Roman" w:hAnsi="Times New Roman" w:cs="Times New Roman"/>
                <w:color w:val="auto"/>
                <w:sz w:val="21"/>
                <w:szCs w:val="21"/>
                <w:highlight w:val="none"/>
              </w:rPr>
            </w:pPr>
          </w:p>
        </w:tc>
      </w:tr>
      <w:tr w14:paraId="7A45DD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02" w:type="dxa"/>
            <w:tcBorders>
              <w:top w:val="single" w:color="auto" w:sz="4" w:space="0"/>
              <w:left w:val="single" w:color="auto" w:sz="12" w:space="0"/>
              <w:bottom w:val="single" w:color="auto" w:sz="12" w:space="0"/>
              <w:right w:val="single" w:color="auto" w:sz="4" w:space="0"/>
            </w:tcBorders>
            <w:vAlign w:val="center"/>
          </w:tcPr>
          <w:p w14:paraId="26FDA4FA">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9</w:t>
            </w:r>
          </w:p>
        </w:tc>
        <w:tc>
          <w:tcPr>
            <w:tcW w:w="3012" w:type="dxa"/>
            <w:tcBorders>
              <w:top w:val="single" w:color="auto" w:sz="4" w:space="0"/>
              <w:left w:val="single" w:color="auto" w:sz="4" w:space="0"/>
              <w:bottom w:val="single" w:color="auto" w:sz="12" w:space="0"/>
              <w:right w:val="single" w:color="auto" w:sz="4" w:space="0"/>
            </w:tcBorders>
            <w:vAlign w:val="center"/>
          </w:tcPr>
          <w:p w14:paraId="78CC6B03">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加湿搅拌机</w:t>
            </w:r>
          </w:p>
        </w:tc>
        <w:tc>
          <w:tcPr>
            <w:tcW w:w="1369" w:type="dxa"/>
            <w:tcBorders>
              <w:top w:val="single" w:color="auto" w:sz="4" w:space="0"/>
              <w:left w:val="single" w:color="auto" w:sz="4" w:space="0"/>
              <w:bottom w:val="single" w:color="auto" w:sz="12" w:space="0"/>
              <w:right w:val="single" w:color="auto" w:sz="4" w:space="0"/>
            </w:tcBorders>
            <w:vAlign w:val="center"/>
          </w:tcPr>
          <w:p w14:paraId="38EA1681">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1702" w:type="dxa"/>
            <w:tcBorders>
              <w:top w:val="single" w:color="auto" w:sz="4" w:space="0"/>
              <w:left w:val="single" w:color="auto" w:sz="4" w:space="0"/>
              <w:bottom w:val="single" w:color="auto" w:sz="12" w:space="0"/>
              <w:right w:val="single" w:color="auto" w:sz="4" w:space="0"/>
            </w:tcBorders>
            <w:vAlign w:val="center"/>
          </w:tcPr>
          <w:p w14:paraId="4B435F72">
            <w:pPr>
              <w:shd w:val="clear"/>
              <w:snapToGrid w:val="0"/>
              <w:spacing w:line="300" w:lineRule="auto"/>
              <w:ind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更换</w:t>
            </w:r>
          </w:p>
        </w:tc>
        <w:tc>
          <w:tcPr>
            <w:tcW w:w="1334" w:type="dxa"/>
            <w:tcBorders>
              <w:top w:val="single" w:color="auto" w:sz="4" w:space="0"/>
              <w:left w:val="single" w:color="auto" w:sz="4" w:space="0"/>
              <w:bottom w:val="single" w:color="auto" w:sz="12" w:space="0"/>
              <w:right w:val="single" w:color="auto" w:sz="12" w:space="0"/>
            </w:tcBorders>
            <w:vAlign w:val="center"/>
          </w:tcPr>
          <w:p w14:paraId="14DE4B88">
            <w:pPr>
              <w:shd w:val="clear"/>
              <w:snapToGrid w:val="0"/>
              <w:spacing w:line="300" w:lineRule="auto"/>
              <w:ind w:firstLine="420"/>
              <w:jc w:val="center"/>
              <w:rPr>
                <w:rFonts w:ascii="Times New Roman" w:hAnsi="Times New Roman" w:cs="Times New Roman"/>
                <w:color w:val="auto"/>
                <w:sz w:val="21"/>
                <w:szCs w:val="21"/>
                <w:highlight w:val="none"/>
              </w:rPr>
            </w:pPr>
          </w:p>
        </w:tc>
      </w:tr>
    </w:tbl>
    <w:p w14:paraId="3636DD5F">
      <w:pPr>
        <w:shd w:val="clear"/>
        <w:jc w:val="both"/>
        <w:rPr>
          <w:rFonts w:ascii="Times New Roman" w:hAnsi="Times New Roman"/>
          <w:color w:val="auto"/>
          <w:highlight w:val="none"/>
        </w:rPr>
      </w:pPr>
      <w:r>
        <w:rPr>
          <w:rFonts w:ascii="Times New Roman" w:hAnsi="Times New Roman"/>
          <w:color w:val="auto"/>
          <w:highlight w:val="none"/>
        </w:rPr>
        <w:t>说明：本次2号高炉优化升级改造后，炉顶</w:t>
      </w:r>
      <w:r>
        <w:rPr>
          <w:rFonts w:hint="eastAsia" w:ascii="Times New Roman" w:hAnsi="Times New Roman"/>
          <w:color w:val="auto"/>
          <w:highlight w:val="none"/>
        </w:rPr>
        <w:t>工作</w:t>
      </w:r>
      <w:r>
        <w:rPr>
          <w:rFonts w:ascii="Times New Roman" w:hAnsi="Times New Roman"/>
          <w:color w:val="auto"/>
          <w:highlight w:val="none"/>
        </w:rPr>
        <w:t>压力</w:t>
      </w:r>
      <w:r>
        <w:rPr>
          <w:rFonts w:hint="eastAsia" w:ascii="Times New Roman" w:hAnsi="Times New Roman"/>
          <w:color w:val="auto"/>
          <w:highlight w:val="none"/>
        </w:rPr>
        <w:t>提高至</w:t>
      </w:r>
      <w:r>
        <w:rPr>
          <w:rFonts w:ascii="Times New Roman" w:hAnsi="Times New Roman"/>
          <w:color w:val="auto"/>
          <w:highlight w:val="none"/>
        </w:rPr>
        <w:t>0.175MPa。炉顶</w:t>
      </w:r>
      <w:r>
        <w:rPr>
          <w:rFonts w:hint="eastAsia" w:ascii="Times New Roman" w:hAnsi="Times New Roman"/>
          <w:color w:val="auto"/>
          <w:highlight w:val="none"/>
        </w:rPr>
        <w:t>及重力除尘器上部</w:t>
      </w:r>
      <w:r>
        <w:rPr>
          <w:rFonts w:ascii="Times New Roman" w:hAnsi="Times New Roman"/>
          <w:color w:val="auto"/>
          <w:highlight w:val="none"/>
        </w:rPr>
        <w:t>放散阀利旧，</w:t>
      </w:r>
      <w:r>
        <w:rPr>
          <w:rFonts w:hint="eastAsia" w:ascii="Times New Roman" w:hAnsi="Times New Roman"/>
          <w:color w:val="auto"/>
          <w:highlight w:val="none"/>
        </w:rPr>
        <w:t>需</w:t>
      </w:r>
      <w:r>
        <w:rPr>
          <w:rFonts w:ascii="Times New Roman" w:hAnsi="Times New Roman"/>
          <w:color w:val="auto"/>
          <w:highlight w:val="none"/>
        </w:rPr>
        <w:t>根据设计顶压 0.18MPa 重新</w:t>
      </w:r>
      <w:r>
        <w:rPr>
          <w:rFonts w:hint="eastAsia" w:ascii="Times New Roman" w:hAnsi="Times New Roman"/>
          <w:color w:val="auto"/>
          <w:highlight w:val="none"/>
        </w:rPr>
        <w:t>校核</w:t>
      </w:r>
      <w:r>
        <w:rPr>
          <w:rFonts w:ascii="Times New Roman" w:hAnsi="Times New Roman"/>
          <w:color w:val="auto"/>
          <w:highlight w:val="none"/>
        </w:rPr>
        <w:t>配重</w:t>
      </w:r>
      <w:r>
        <w:rPr>
          <w:rFonts w:hint="eastAsia" w:ascii="Times New Roman" w:hAnsi="Times New Roman"/>
          <w:color w:val="auto"/>
          <w:highlight w:val="none"/>
        </w:rPr>
        <w:t>，并做气密性试验及压力试验；更换设备按提高顶压后的压力要求进行设计。炉顶工作压力提高后，上升管、下降管及重力除尘器壳体的工作压力提高，理论上管道壳体的强度满足工作压力提高后的要求可根据专业检测机构出具的检测报告对壳体及管道加固改造。</w:t>
      </w:r>
    </w:p>
    <w:p w14:paraId="4F8F8EC2">
      <w:pPr>
        <w:shd w:val="clear"/>
        <w:rPr>
          <w:color w:val="auto"/>
          <w:highlight w:val="none"/>
        </w:rPr>
      </w:pPr>
      <w:r>
        <w:rPr>
          <w:rFonts w:hint="eastAsia"/>
          <w:color w:val="auto"/>
          <w:highlight w:val="none"/>
        </w:rPr>
        <w:t>煤气灰双轴加湿搅拌机：</w:t>
      </w:r>
    </w:p>
    <w:p w14:paraId="0DBAA944">
      <w:pPr>
        <w:shd w:val="clear"/>
        <w:jc w:val="both"/>
        <w:rPr>
          <w:rFonts w:ascii="Times New Roman" w:hAnsi="Times New Roman"/>
          <w:color w:val="auto"/>
          <w:highlight w:val="none"/>
        </w:rPr>
      </w:pPr>
      <w:r>
        <w:rPr>
          <w:rFonts w:ascii="Times New Roman" w:hAnsi="Times New Roman"/>
          <w:color w:val="auto"/>
          <w:highlight w:val="none"/>
        </w:rPr>
        <w:t>1）功能：用于排放煤气灰, 通过加湿降低扬尘的粉尘浓度，改善环境。</w:t>
      </w:r>
    </w:p>
    <w:p w14:paraId="781D85A4">
      <w:pPr>
        <w:shd w:val="clear"/>
        <w:jc w:val="both"/>
        <w:rPr>
          <w:rFonts w:ascii="Times New Roman" w:hAnsi="Times New Roman"/>
          <w:color w:val="auto"/>
          <w:highlight w:val="none"/>
        </w:rPr>
      </w:pPr>
      <w:r>
        <w:rPr>
          <w:rFonts w:ascii="Times New Roman" w:hAnsi="Times New Roman"/>
          <w:color w:val="auto"/>
          <w:highlight w:val="none"/>
        </w:rPr>
        <w:t>2）型式：双轴叶轮型加湿卸灰机</w:t>
      </w:r>
    </w:p>
    <w:p w14:paraId="2914BBA7">
      <w:pPr>
        <w:shd w:val="clear"/>
        <w:jc w:val="both"/>
        <w:rPr>
          <w:rFonts w:ascii="Times New Roman" w:hAnsi="Times New Roman"/>
          <w:color w:val="auto"/>
          <w:highlight w:val="none"/>
        </w:rPr>
      </w:pPr>
      <w:r>
        <w:rPr>
          <w:rFonts w:ascii="Times New Roman" w:hAnsi="Times New Roman"/>
          <w:color w:val="auto"/>
          <w:highlight w:val="none"/>
        </w:rPr>
        <w:t>3）技术参数</w:t>
      </w:r>
    </w:p>
    <w:p w14:paraId="43752B87">
      <w:pPr>
        <w:shd w:val="clear"/>
        <w:jc w:val="both"/>
        <w:rPr>
          <w:rFonts w:ascii="Times New Roman" w:hAnsi="Times New Roman"/>
          <w:color w:val="auto"/>
          <w:highlight w:val="none"/>
        </w:rPr>
      </w:pPr>
      <w:r>
        <w:rPr>
          <w:rFonts w:ascii="Times New Roman" w:hAnsi="Times New Roman"/>
          <w:color w:val="auto"/>
          <w:highlight w:val="none"/>
        </w:rPr>
        <w:t>生产能力：      100t/h</w:t>
      </w:r>
    </w:p>
    <w:p w14:paraId="49EEA2D5">
      <w:pPr>
        <w:shd w:val="clear"/>
        <w:jc w:val="both"/>
        <w:rPr>
          <w:rFonts w:ascii="Times New Roman" w:hAnsi="Times New Roman"/>
          <w:color w:val="auto"/>
          <w:highlight w:val="none"/>
        </w:rPr>
      </w:pPr>
      <w:r>
        <w:rPr>
          <w:rFonts w:ascii="Times New Roman" w:hAnsi="Times New Roman"/>
          <w:color w:val="auto"/>
          <w:highlight w:val="none"/>
        </w:rPr>
        <w:t>数量：          1台</w:t>
      </w:r>
    </w:p>
    <w:bookmarkEnd w:id="272"/>
    <w:bookmarkEnd w:id="273"/>
    <w:bookmarkEnd w:id="274"/>
    <w:bookmarkEnd w:id="275"/>
    <w:p w14:paraId="61BF2711">
      <w:pPr>
        <w:ind w:firstLine="0" w:firstLineChars="0"/>
        <w:outlineLvl w:val="1"/>
        <w:rPr>
          <w:rFonts w:cs="Times New Roman"/>
          <w:b/>
          <w:sz w:val="28"/>
          <w:szCs w:val="28"/>
          <w:highlight w:val="none"/>
        </w:rPr>
      </w:pPr>
      <w:bookmarkStart w:id="276" w:name="_Toc26228"/>
      <w:bookmarkStart w:id="277" w:name="_Toc20391"/>
      <w:bookmarkStart w:id="278" w:name="_Toc17993"/>
      <w:bookmarkStart w:id="279" w:name="_Toc5578"/>
      <w:bookmarkStart w:id="280" w:name="_Toc175920363"/>
      <w:bookmarkStart w:id="281" w:name="_Toc33633129"/>
      <w:bookmarkStart w:id="282" w:name="_Toc100483686"/>
      <w:bookmarkStart w:id="283" w:name="_Toc100483397"/>
      <w:bookmarkStart w:id="284" w:name="_Toc79840294"/>
      <w:bookmarkStart w:id="285" w:name="_Toc36133618"/>
      <w:r>
        <w:rPr>
          <w:rFonts w:cs="Times New Roman"/>
          <w:b/>
          <w:sz w:val="28"/>
          <w:szCs w:val="28"/>
          <w:highlight w:val="none"/>
        </w:rPr>
        <w:t>2.6 炉体系统</w:t>
      </w:r>
    </w:p>
    <w:p w14:paraId="74C59738">
      <w:pPr>
        <w:jc w:val="both"/>
        <w:rPr>
          <w:rFonts w:ascii="Times New Roman" w:hAnsi="Times New Roman"/>
          <w:highlight w:val="none"/>
        </w:rPr>
      </w:pPr>
      <w:r>
        <w:rPr>
          <w:rFonts w:hint="eastAsia" w:ascii="Times New Roman" w:hAnsi="Times New Roman"/>
          <w:highlight w:val="none"/>
        </w:rPr>
        <w:t>高炉</w:t>
      </w:r>
      <w:r>
        <w:rPr>
          <w:rFonts w:ascii="Times New Roman" w:hAnsi="Times New Roman"/>
          <w:highlight w:val="none"/>
        </w:rPr>
        <w:t>炉体系统的主要设计思想是把国内外先进、可靠的成熟技术与实际条件相结合，</w:t>
      </w:r>
      <w:r>
        <w:rPr>
          <w:rFonts w:hint="eastAsia" w:ascii="Times New Roman" w:hAnsi="Times New Roman"/>
          <w:highlight w:val="none"/>
        </w:rPr>
        <w:t>高炉在实现超低排放的同时，兼具</w:t>
      </w:r>
      <w:r>
        <w:rPr>
          <w:rFonts w:ascii="Times New Roman" w:hAnsi="Times New Roman"/>
          <w:highlight w:val="none"/>
        </w:rPr>
        <w:t>稳产、高效、低耗。</w:t>
      </w:r>
    </w:p>
    <w:p w14:paraId="66914152">
      <w:pPr>
        <w:jc w:val="both"/>
        <w:rPr>
          <w:rFonts w:ascii="Times New Roman" w:hAnsi="Times New Roman"/>
          <w:highlight w:val="none"/>
        </w:rPr>
      </w:pPr>
      <w:r>
        <w:rPr>
          <w:rFonts w:hint="eastAsia" w:ascii="Times New Roman" w:hAnsi="Times New Roman"/>
          <w:highlight w:val="none"/>
        </w:rPr>
        <w:t>高炉</w:t>
      </w:r>
      <w:r>
        <w:rPr>
          <w:rFonts w:ascii="Times New Roman" w:hAnsi="Times New Roman"/>
          <w:highlight w:val="none"/>
        </w:rPr>
        <w:t>炉体系统主要由炉体框架与炉壳、冷却设备、冷却</w:t>
      </w:r>
      <w:r>
        <w:rPr>
          <w:rFonts w:hint="eastAsia" w:ascii="Times New Roman" w:hAnsi="Times New Roman"/>
          <w:highlight w:val="none"/>
        </w:rPr>
        <w:t>水</w:t>
      </w:r>
      <w:r>
        <w:rPr>
          <w:rFonts w:ascii="Times New Roman" w:hAnsi="Times New Roman"/>
          <w:highlight w:val="none"/>
        </w:rPr>
        <w:t>系统、高炉内衬及相关附属设施等构成。</w:t>
      </w:r>
      <w:r>
        <w:rPr>
          <w:rFonts w:hint="eastAsia" w:ascii="Times New Roman" w:hAnsi="Times New Roman"/>
          <w:highlight w:val="none"/>
        </w:rPr>
        <w:t>本次高炉优化升级改造，按常规性矿石冶炼进行改造，同时考虑能够适应钒钛矿冶炼。</w:t>
      </w:r>
    </w:p>
    <w:p w14:paraId="44E1DA16">
      <w:pPr>
        <w:ind w:firstLine="0" w:firstLineChars="0"/>
        <w:outlineLvl w:val="2"/>
        <w:rPr>
          <w:rFonts w:cs="Times New Roman"/>
          <w:szCs w:val="28"/>
          <w:highlight w:val="none"/>
        </w:rPr>
      </w:pPr>
      <w:bookmarkStart w:id="286" w:name="_Toc79840287"/>
      <w:bookmarkStart w:id="287" w:name="_Toc100483390"/>
      <w:bookmarkStart w:id="288" w:name="_Toc24505"/>
      <w:r>
        <w:rPr>
          <w:rFonts w:hint="eastAsia" w:cs="Times New Roman"/>
          <w:szCs w:val="28"/>
          <w:highlight w:val="none"/>
        </w:rPr>
        <w:t>2.6.1 炉体框架</w:t>
      </w:r>
      <w:bookmarkEnd w:id="286"/>
      <w:bookmarkEnd w:id="287"/>
      <w:r>
        <w:rPr>
          <w:rFonts w:hint="eastAsia" w:cs="Times New Roman"/>
          <w:szCs w:val="28"/>
          <w:highlight w:val="none"/>
        </w:rPr>
        <w:t>及高炉基础</w:t>
      </w:r>
      <w:bookmarkEnd w:id="288"/>
    </w:p>
    <w:p w14:paraId="0BA0E53F">
      <w:pPr>
        <w:jc w:val="both"/>
        <w:rPr>
          <w:rFonts w:ascii="Times New Roman" w:hAnsi="Times New Roman"/>
          <w:highlight w:val="none"/>
        </w:rPr>
      </w:pPr>
      <w:r>
        <w:rPr>
          <w:rFonts w:hint="eastAsia" w:ascii="Times New Roman" w:hAnsi="Times New Roman"/>
          <w:highlight w:val="none"/>
        </w:rPr>
        <w:t>2号高炉始建于上世纪80年代末，于1989年底投产出铁，高炉炉容750m3；于2000年第一次大修扩容至1000m3，并于2013年年初进行了第二次优化升级大修改造，其中高炉基础及炉身框架利旧，高炉炉壳更换，高炉本体重新设计建设，于2013年8月12日开炉投产，截至2023年12月已运行10年4个月，已到炉役中后期。本次优化升级改造，炉体框架及高炉基础利旧，根据检测鉴定情况，按需加固改造。并更换炉基处现有检修平台，方便炉底水冷管及冷却壁供水支管的检修操作。炉缸灌浆孔处新增环形检修平台，平台宽度约1m，方便后期炉壳灌浆操作。炉基回水槽重新设计用混泥土浇筑，炉基东侧砌筑挡渣墙（高度约0.4m</w:t>
      </w:r>
      <w:r>
        <w:rPr>
          <w:rFonts w:hint="eastAsia" w:ascii="Times New Roman" w:hAnsi="Times New Roman"/>
          <w:highlight w:val="none"/>
          <w:lang w:eastAsia="zh-CN"/>
        </w:rPr>
        <w:t>，</w:t>
      </w:r>
      <w:r>
        <w:rPr>
          <w:rFonts w:hint="eastAsia" w:ascii="Times New Roman" w:hAnsi="Times New Roman"/>
          <w:highlight w:val="none"/>
          <w:lang w:val="en-US" w:eastAsia="zh-CN"/>
        </w:rPr>
        <w:t>长度约30m</w:t>
      </w:r>
      <w:r>
        <w:rPr>
          <w:rFonts w:hint="eastAsia" w:ascii="Times New Roman" w:hAnsi="Times New Roman"/>
          <w:highlight w:val="none"/>
        </w:rPr>
        <w:t>）。</w:t>
      </w:r>
    </w:p>
    <w:p w14:paraId="7643601F">
      <w:pPr>
        <w:ind w:firstLine="0" w:firstLineChars="0"/>
        <w:outlineLvl w:val="2"/>
        <w:rPr>
          <w:rFonts w:cs="Times New Roman"/>
          <w:szCs w:val="28"/>
          <w:highlight w:val="none"/>
        </w:rPr>
      </w:pPr>
      <w:bookmarkStart w:id="289" w:name="_Toc79840288"/>
      <w:bookmarkStart w:id="290" w:name="_Toc17956"/>
      <w:bookmarkStart w:id="291" w:name="_Toc100483391"/>
      <w:r>
        <w:rPr>
          <w:rFonts w:hint="eastAsia" w:cs="Times New Roman"/>
          <w:szCs w:val="28"/>
          <w:highlight w:val="none"/>
        </w:rPr>
        <w:t>2.6.2 高炉内型</w:t>
      </w:r>
      <w:bookmarkEnd w:id="289"/>
      <w:bookmarkEnd w:id="290"/>
      <w:bookmarkEnd w:id="291"/>
    </w:p>
    <w:p w14:paraId="5894C764">
      <w:pPr>
        <w:jc w:val="both"/>
        <w:rPr>
          <w:rFonts w:ascii="Times New Roman" w:hAnsi="Times New Roman"/>
          <w:highlight w:val="none"/>
        </w:rPr>
      </w:pPr>
      <w:r>
        <w:rPr>
          <w:rFonts w:hint="eastAsia" w:ascii="Times New Roman" w:hAnsi="Times New Roman"/>
          <w:highlight w:val="none"/>
        </w:rPr>
        <w:t>目前2号高炉炉身框架柱间距为13m×13m；热风围管直径为14.8米，热风围管管径为Φ2080×14mm。</w:t>
      </w:r>
      <w:r>
        <w:rPr>
          <w:rFonts w:hint="eastAsia" w:ascii="Times New Roman" w:hAnsi="Times New Roman"/>
          <w:highlight w:val="none"/>
        </w:rPr>
        <w:t>目前高炉有效容积1000m³，</w:t>
      </w:r>
      <w:r>
        <w:rPr>
          <w:rFonts w:hint="eastAsia" w:ascii="Times New Roman" w:hAnsi="Times New Roman"/>
          <w:highlight w:val="none"/>
        </w:rPr>
        <w:t>改造后高炉</w:t>
      </w:r>
      <w:r>
        <w:rPr>
          <w:rFonts w:hint="eastAsia" w:ascii="Times New Roman" w:hAnsi="Times New Roman"/>
          <w:highlight w:val="none"/>
        </w:rPr>
        <w:t>有效</w:t>
      </w:r>
      <w:r>
        <w:rPr>
          <w:rFonts w:hint="eastAsia" w:ascii="Times New Roman" w:hAnsi="Times New Roman"/>
          <w:highlight w:val="none"/>
        </w:rPr>
        <w:t>容积1210m³。</w:t>
      </w:r>
    </w:p>
    <w:p w14:paraId="1FC7928A">
      <w:pPr>
        <w:ind w:firstLine="0" w:firstLineChars="0"/>
        <w:outlineLvl w:val="2"/>
        <w:rPr>
          <w:rFonts w:cs="Times New Roman"/>
          <w:highlight w:val="none"/>
        </w:rPr>
      </w:pPr>
      <w:bookmarkStart w:id="292" w:name="_Toc25588"/>
      <w:r>
        <w:rPr>
          <w:rFonts w:hint="eastAsia" w:cs="Times New Roman"/>
          <w:highlight w:val="none"/>
        </w:rPr>
        <w:t>2.6.2.1 炉型尺寸</w:t>
      </w:r>
      <w:bookmarkEnd w:id="292"/>
    </w:p>
    <w:p w14:paraId="0A3CD42C">
      <w:pPr>
        <w:jc w:val="center"/>
        <w:rPr>
          <w:highlight w:val="none"/>
        </w:rPr>
      </w:pPr>
      <w:r>
        <w:rPr>
          <w:rFonts w:hint="eastAsia"/>
          <w:highlight w:val="none"/>
        </w:rPr>
        <w:t xml:space="preserve">表2.6-1 </w:t>
      </w:r>
      <w:r>
        <w:rPr>
          <w:highlight w:val="none"/>
        </w:rPr>
        <w:t>2号高炉</w:t>
      </w:r>
      <w:r>
        <w:rPr>
          <w:rFonts w:hint="eastAsia"/>
          <w:highlight w:val="none"/>
        </w:rPr>
        <w:t>炉型改造</w:t>
      </w:r>
      <w:r>
        <w:rPr>
          <w:rFonts w:hint="eastAsia"/>
          <w:highlight w:val="none"/>
          <w:shd w:val="clear" w:color="auto" w:fill="FFFF00"/>
        </w:rPr>
        <w:t>后</w:t>
      </w:r>
      <w:r>
        <w:rPr>
          <w:rFonts w:hint="eastAsia"/>
          <w:highlight w:val="none"/>
        </w:rPr>
        <w:t>尺寸</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1"/>
        <w:gridCol w:w="1253"/>
        <w:gridCol w:w="1528"/>
        <w:gridCol w:w="2352"/>
      </w:tblGrid>
      <w:tr w14:paraId="677E3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361" w:type="dxa"/>
            <w:tcBorders>
              <w:top w:val="single" w:color="auto" w:sz="12" w:space="0"/>
              <w:left w:val="single" w:color="auto" w:sz="12" w:space="0"/>
            </w:tcBorders>
            <w:vAlign w:val="center"/>
          </w:tcPr>
          <w:p w14:paraId="3C9C2F94">
            <w:pPr>
              <w:snapToGrid w:val="0"/>
              <w:spacing w:line="300" w:lineRule="auto"/>
              <w:ind w:firstLine="0" w:firstLineChars="0"/>
              <w:jc w:val="center"/>
              <w:rPr>
                <w:highlight w:val="none"/>
              </w:rPr>
            </w:pPr>
            <w:r>
              <w:rPr>
                <w:rFonts w:hint="eastAsia"/>
                <w:highlight w:val="none"/>
              </w:rPr>
              <w:t>项   目</w:t>
            </w:r>
          </w:p>
        </w:tc>
        <w:tc>
          <w:tcPr>
            <w:tcW w:w="1253" w:type="dxa"/>
            <w:tcBorders>
              <w:top w:val="single" w:color="auto" w:sz="12" w:space="0"/>
            </w:tcBorders>
            <w:vAlign w:val="center"/>
          </w:tcPr>
          <w:p w14:paraId="73FDAAC5">
            <w:pPr>
              <w:snapToGrid w:val="0"/>
              <w:spacing w:line="300" w:lineRule="auto"/>
              <w:ind w:firstLine="0" w:firstLineChars="0"/>
              <w:jc w:val="center"/>
              <w:rPr>
                <w:highlight w:val="none"/>
              </w:rPr>
            </w:pPr>
            <w:r>
              <w:rPr>
                <w:rFonts w:hint="eastAsia"/>
                <w:highlight w:val="none"/>
              </w:rPr>
              <w:t>符 号</w:t>
            </w:r>
          </w:p>
        </w:tc>
        <w:tc>
          <w:tcPr>
            <w:tcW w:w="1528" w:type="dxa"/>
            <w:tcBorders>
              <w:top w:val="single" w:color="auto" w:sz="12" w:space="0"/>
            </w:tcBorders>
            <w:vAlign w:val="center"/>
          </w:tcPr>
          <w:p w14:paraId="356F6A6E">
            <w:pPr>
              <w:snapToGrid w:val="0"/>
              <w:spacing w:line="300" w:lineRule="auto"/>
              <w:ind w:firstLine="0" w:firstLineChars="0"/>
              <w:jc w:val="center"/>
              <w:rPr>
                <w:highlight w:val="none"/>
              </w:rPr>
            </w:pPr>
            <w:r>
              <w:rPr>
                <w:rFonts w:hint="eastAsia"/>
                <w:highlight w:val="none"/>
              </w:rPr>
              <w:t>单  位</w:t>
            </w:r>
          </w:p>
        </w:tc>
        <w:tc>
          <w:tcPr>
            <w:tcW w:w="2352" w:type="dxa"/>
            <w:tcBorders>
              <w:top w:val="single" w:color="auto" w:sz="12" w:space="0"/>
              <w:right w:val="single" w:color="auto" w:sz="12" w:space="0"/>
            </w:tcBorders>
            <w:vAlign w:val="center"/>
          </w:tcPr>
          <w:p w14:paraId="13D5924A">
            <w:pPr>
              <w:snapToGrid w:val="0"/>
              <w:spacing w:line="300" w:lineRule="auto"/>
              <w:ind w:firstLine="0" w:firstLineChars="0"/>
              <w:jc w:val="center"/>
              <w:rPr>
                <w:highlight w:val="none"/>
              </w:rPr>
            </w:pPr>
            <w:r>
              <w:rPr>
                <w:rFonts w:hint="eastAsia"/>
                <w:highlight w:val="none"/>
                <w:shd w:val="clear" w:color="auto" w:fill="FFFF00"/>
              </w:rPr>
              <w:t>改造后炉型参数</w:t>
            </w:r>
          </w:p>
        </w:tc>
      </w:tr>
      <w:tr w14:paraId="7A61B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1" w:type="dxa"/>
            <w:tcBorders>
              <w:left w:val="single" w:color="auto" w:sz="12" w:space="0"/>
            </w:tcBorders>
            <w:vAlign w:val="center"/>
          </w:tcPr>
          <w:p w14:paraId="517024A9">
            <w:pPr>
              <w:snapToGrid w:val="0"/>
              <w:spacing w:line="300" w:lineRule="auto"/>
              <w:ind w:firstLine="0" w:firstLineChars="0"/>
              <w:jc w:val="center"/>
              <w:rPr>
                <w:highlight w:val="none"/>
              </w:rPr>
            </w:pPr>
            <w:r>
              <w:rPr>
                <w:rFonts w:hint="eastAsia"/>
                <w:highlight w:val="none"/>
              </w:rPr>
              <w:t>有效容积</w:t>
            </w:r>
          </w:p>
        </w:tc>
        <w:tc>
          <w:tcPr>
            <w:tcW w:w="1253" w:type="dxa"/>
            <w:vAlign w:val="center"/>
          </w:tcPr>
          <w:p w14:paraId="4B73029D">
            <w:pPr>
              <w:snapToGrid w:val="0"/>
              <w:spacing w:line="300" w:lineRule="auto"/>
              <w:ind w:firstLine="0" w:firstLineChars="0"/>
              <w:jc w:val="center"/>
              <w:rPr>
                <w:highlight w:val="none"/>
              </w:rPr>
            </w:pPr>
            <w:r>
              <w:rPr>
                <w:rFonts w:hint="eastAsia"/>
                <w:highlight w:val="none"/>
              </w:rPr>
              <w:t>Vu</w:t>
            </w:r>
          </w:p>
        </w:tc>
        <w:tc>
          <w:tcPr>
            <w:tcW w:w="1528" w:type="dxa"/>
            <w:vAlign w:val="center"/>
          </w:tcPr>
          <w:p w14:paraId="3968B407">
            <w:pPr>
              <w:snapToGrid w:val="0"/>
              <w:spacing w:line="300" w:lineRule="auto"/>
              <w:ind w:firstLine="0" w:firstLineChars="0"/>
              <w:jc w:val="center"/>
              <w:rPr>
                <w:highlight w:val="none"/>
              </w:rPr>
            </w:pPr>
            <w:r>
              <w:rPr>
                <w:rFonts w:hint="eastAsia"/>
                <w:highlight w:val="none"/>
              </w:rPr>
              <w:t>m</w:t>
            </w:r>
            <w:r>
              <w:rPr>
                <w:rFonts w:hint="eastAsia"/>
                <w:highlight w:val="none"/>
                <w:vertAlign w:val="superscript"/>
              </w:rPr>
              <w:t>3</w:t>
            </w:r>
          </w:p>
        </w:tc>
        <w:tc>
          <w:tcPr>
            <w:tcW w:w="2352" w:type="dxa"/>
            <w:tcBorders>
              <w:right w:val="single" w:color="auto" w:sz="12" w:space="0"/>
            </w:tcBorders>
            <w:vAlign w:val="center"/>
          </w:tcPr>
          <w:p w14:paraId="595E7969">
            <w:pPr>
              <w:snapToGrid w:val="0"/>
              <w:spacing w:line="300" w:lineRule="auto"/>
              <w:ind w:firstLine="0" w:firstLineChars="0"/>
              <w:jc w:val="center"/>
              <w:rPr>
                <w:highlight w:val="none"/>
              </w:rPr>
            </w:pPr>
            <w:r>
              <w:rPr>
                <w:rFonts w:hint="eastAsia"/>
                <w:highlight w:val="none"/>
              </w:rPr>
              <w:t>1210</w:t>
            </w:r>
          </w:p>
        </w:tc>
      </w:tr>
      <w:tr w14:paraId="6D41B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1" w:type="dxa"/>
            <w:tcBorders>
              <w:left w:val="single" w:color="auto" w:sz="12" w:space="0"/>
            </w:tcBorders>
            <w:vAlign w:val="center"/>
          </w:tcPr>
          <w:p w14:paraId="3554E7A6">
            <w:pPr>
              <w:snapToGrid w:val="0"/>
              <w:spacing w:line="300" w:lineRule="auto"/>
              <w:ind w:firstLine="0" w:firstLineChars="0"/>
              <w:jc w:val="center"/>
              <w:rPr>
                <w:highlight w:val="none"/>
              </w:rPr>
            </w:pPr>
            <w:r>
              <w:rPr>
                <w:rFonts w:hint="eastAsia"/>
                <w:highlight w:val="none"/>
              </w:rPr>
              <w:t>有效高度</w:t>
            </w:r>
          </w:p>
        </w:tc>
        <w:tc>
          <w:tcPr>
            <w:tcW w:w="1253" w:type="dxa"/>
            <w:vAlign w:val="center"/>
          </w:tcPr>
          <w:p w14:paraId="0E1FE18F">
            <w:pPr>
              <w:snapToGrid w:val="0"/>
              <w:spacing w:line="300" w:lineRule="auto"/>
              <w:ind w:firstLine="0" w:firstLineChars="0"/>
              <w:jc w:val="center"/>
              <w:rPr>
                <w:highlight w:val="none"/>
              </w:rPr>
            </w:pPr>
            <w:r>
              <w:rPr>
                <w:rFonts w:hint="eastAsia"/>
                <w:highlight w:val="none"/>
              </w:rPr>
              <w:t>Hu</w:t>
            </w:r>
          </w:p>
        </w:tc>
        <w:tc>
          <w:tcPr>
            <w:tcW w:w="1528" w:type="dxa"/>
            <w:vAlign w:val="center"/>
          </w:tcPr>
          <w:p w14:paraId="64F45BA2">
            <w:pPr>
              <w:snapToGrid w:val="0"/>
              <w:spacing w:line="300" w:lineRule="auto"/>
              <w:ind w:firstLine="0" w:firstLineChars="0"/>
              <w:jc w:val="center"/>
              <w:rPr>
                <w:highlight w:val="none"/>
              </w:rPr>
            </w:pPr>
            <w:r>
              <w:rPr>
                <w:rFonts w:hint="eastAsia"/>
                <w:highlight w:val="none"/>
              </w:rPr>
              <w:t>mm</w:t>
            </w:r>
          </w:p>
        </w:tc>
        <w:tc>
          <w:tcPr>
            <w:tcW w:w="2352" w:type="dxa"/>
            <w:tcBorders>
              <w:right w:val="single" w:color="auto" w:sz="12" w:space="0"/>
            </w:tcBorders>
            <w:vAlign w:val="center"/>
          </w:tcPr>
          <w:p w14:paraId="7221183C">
            <w:pPr>
              <w:snapToGrid w:val="0"/>
              <w:spacing w:line="300" w:lineRule="auto"/>
              <w:ind w:firstLine="0" w:firstLineChars="0"/>
              <w:jc w:val="center"/>
              <w:rPr>
                <w:highlight w:val="none"/>
              </w:rPr>
            </w:pPr>
            <w:r>
              <w:rPr>
                <w:rFonts w:hint="eastAsia"/>
                <w:highlight w:val="none"/>
              </w:rPr>
              <w:t>23100</w:t>
            </w:r>
          </w:p>
        </w:tc>
      </w:tr>
      <w:tr w14:paraId="2EBD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1" w:type="dxa"/>
            <w:tcBorders>
              <w:left w:val="single" w:color="auto" w:sz="12" w:space="0"/>
            </w:tcBorders>
            <w:vAlign w:val="center"/>
          </w:tcPr>
          <w:p w14:paraId="441A44E6">
            <w:pPr>
              <w:snapToGrid w:val="0"/>
              <w:spacing w:line="300" w:lineRule="auto"/>
              <w:ind w:firstLine="0" w:firstLineChars="0"/>
              <w:jc w:val="center"/>
              <w:rPr>
                <w:highlight w:val="none"/>
              </w:rPr>
            </w:pPr>
            <w:r>
              <w:rPr>
                <w:rFonts w:hint="eastAsia"/>
                <w:highlight w:val="none"/>
              </w:rPr>
              <w:t>炉缸直径</w:t>
            </w:r>
          </w:p>
        </w:tc>
        <w:tc>
          <w:tcPr>
            <w:tcW w:w="1253" w:type="dxa"/>
            <w:vAlign w:val="center"/>
          </w:tcPr>
          <w:p w14:paraId="610421BA">
            <w:pPr>
              <w:snapToGrid w:val="0"/>
              <w:spacing w:line="300" w:lineRule="auto"/>
              <w:ind w:firstLine="0" w:firstLineChars="0"/>
              <w:jc w:val="center"/>
              <w:rPr>
                <w:highlight w:val="none"/>
              </w:rPr>
            </w:pPr>
            <w:r>
              <w:rPr>
                <w:rFonts w:hint="eastAsia"/>
                <w:highlight w:val="none"/>
              </w:rPr>
              <w:t>d</w:t>
            </w:r>
          </w:p>
        </w:tc>
        <w:tc>
          <w:tcPr>
            <w:tcW w:w="1528" w:type="dxa"/>
            <w:vAlign w:val="center"/>
          </w:tcPr>
          <w:p w14:paraId="40A298AA">
            <w:pPr>
              <w:snapToGrid w:val="0"/>
              <w:spacing w:line="300" w:lineRule="auto"/>
              <w:ind w:firstLine="0" w:firstLineChars="0"/>
              <w:jc w:val="center"/>
              <w:rPr>
                <w:highlight w:val="none"/>
              </w:rPr>
            </w:pPr>
            <w:r>
              <w:rPr>
                <w:rFonts w:hint="eastAsia"/>
                <w:highlight w:val="none"/>
              </w:rPr>
              <w:t>mm</w:t>
            </w:r>
          </w:p>
        </w:tc>
        <w:tc>
          <w:tcPr>
            <w:tcW w:w="2352" w:type="dxa"/>
            <w:tcBorders>
              <w:right w:val="single" w:color="auto" w:sz="12" w:space="0"/>
            </w:tcBorders>
            <w:vAlign w:val="center"/>
          </w:tcPr>
          <w:p w14:paraId="53F12A12">
            <w:pPr>
              <w:snapToGrid w:val="0"/>
              <w:spacing w:line="300" w:lineRule="auto"/>
              <w:ind w:firstLine="0" w:firstLineChars="0"/>
              <w:jc w:val="center"/>
              <w:rPr>
                <w:highlight w:val="none"/>
              </w:rPr>
            </w:pPr>
            <w:r>
              <w:rPr>
                <w:rFonts w:hint="eastAsia"/>
                <w:highlight w:val="none"/>
              </w:rPr>
              <w:t>8270</w:t>
            </w:r>
          </w:p>
        </w:tc>
      </w:tr>
      <w:tr w14:paraId="33656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1" w:type="dxa"/>
            <w:tcBorders>
              <w:left w:val="single" w:color="auto" w:sz="12" w:space="0"/>
            </w:tcBorders>
            <w:vAlign w:val="center"/>
          </w:tcPr>
          <w:p w14:paraId="662E5477">
            <w:pPr>
              <w:snapToGrid w:val="0"/>
              <w:spacing w:line="300" w:lineRule="auto"/>
              <w:ind w:firstLine="0" w:firstLineChars="0"/>
              <w:jc w:val="center"/>
              <w:rPr>
                <w:highlight w:val="none"/>
              </w:rPr>
            </w:pPr>
            <w:r>
              <w:rPr>
                <w:rFonts w:hint="eastAsia"/>
                <w:highlight w:val="none"/>
              </w:rPr>
              <w:t>炉腰直径</w:t>
            </w:r>
          </w:p>
        </w:tc>
        <w:tc>
          <w:tcPr>
            <w:tcW w:w="1253" w:type="dxa"/>
            <w:vAlign w:val="center"/>
          </w:tcPr>
          <w:p w14:paraId="7D76BAD1">
            <w:pPr>
              <w:snapToGrid w:val="0"/>
              <w:spacing w:line="300" w:lineRule="auto"/>
              <w:ind w:firstLine="0" w:firstLineChars="0"/>
              <w:jc w:val="center"/>
              <w:rPr>
                <w:highlight w:val="none"/>
              </w:rPr>
            </w:pPr>
            <w:r>
              <w:rPr>
                <w:rFonts w:hint="eastAsia"/>
                <w:highlight w:val="none"/>
              </w:rPr>
              <w:t>D</w:t>
            </w:r>
          </w:p>
        </w:tc>
        <w:tc>
          <w:tcPr>
            <w:tcW w:w="1528" w:type="dxa"/>
            <w:vAlign w:val="center"/>
          </w:tcPr>
          <w:p w14:paraId="77029C3F">
            <w:pPr>
              <w:snapToGrid w:val="0"/>
              <w:spacing w:line="300" w:lineRule="auto"/>
              <w:ind w:firstLine="0" w:firstLineChars="0"/>
              <w:jc w:val="center"/>
              <w:rPr>
                <w:highlight w:val="none"/>
              </w:rPr>
            </w:pPr>
            <w:r>
              <w:rPr>
                <w:rFonts w:hint="eastAsia"/>
                <w:highlight w:val="none"/>
              </w:rPr>
              <w:t>mm</w:t>
            </w:r>
          </w:p>
        </w:tc>
        <w:tc>
          <w:tcPr>
            <w:tcW w:w="2352" w:type="dxa"/>
            <w:tcBorders>
              <w:right w:val="single" w:color="auto" w:sz="12" w:space="0"/>
            </w:tcBorders>
            <w:vAlign w:val="center"/>
          </w:tcPr>
          <w:p w14:paraId="7A436A20">
            <w:pPr>
              <w:snapToGrid w:val="0"/>
              <w:spacing w:line="300" w:lineRule="auto"/>
              <w:ind w:firstLine="0" w:firstLineChars="0"/>
              <w:jc w:val="center"/>
              <w:rPr>
                <w:highlight w:val="none"/>
              </w:rPr>
            </w:pPr>
            <w:r>
              <w:rPr>
                <w:rFonts w:hint="eastAsia"/>
                <w:highlight w:val="none"/>
              </w:rPr>
              <w:t>9800</w:t>
            </w:r>
          </w:p>
        </w:tc>
      </w:tr>
      <w:tr w14:paraId="05B16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1" w:type="dxa"/>
            <w:tcBorders>
              <w:left w:val="single" w:color="auto" w:sz="12" w:space="0"/>
            </w:tcBorders>
            <w:vAlign w:val="center"/>
          </w:tcPr>
          <w:p w14:paraId="498C5A01">
            <w:pPr>
              <w:snapToGrid w:val="0"/>
              <w:spacing w:line="300" w:lineRule="auto"/>
              <w:ind w:firstLine="0" w:firstLineChars="0"/>
              <w:jc w:val="center"/>
              <w:rPr>
                <w:highlight w:val="none"/>
              </w:rPr>
            </w:pPr>
            <w:r>
              <w:rPr>
                <w:rFonts w:hint="eastAsia"/>
                <w:highlight w:val="none"/>
              </w:rPr>
              <w:t>炉喉直径</w:t>
            </w:r>
          </w:p>
        </w:tc>
        <w:tc>
          <w:tcPr>
            <w:tcW w:w="1253" w:type="dxa"/>
            <w:vAlign w:val="center"/>
          </w:tcPr>
          <w:p w14:paraId="4D937E04">
            <w:pPr>
              <w:snapToGrid w:val="0"/>
              <w:spacing w:line="300" w:lineRule="auto"/>
              <w:ind w:firstLine="0" w:firstLineChars="0"/>
              <w:jc w:val="center"/>
              <w:rPr>
                <w:highlight w:val="none"/>
              </w:rPr>
            </w:pPr>
            <w:r>
              <w:rPr>
                <w:rFonts w:hint="eastAsia"/>
                <w:highlight w:val="none"/>
              </w:rPr>
              <w:t>d1</w:t>
            </w:r>
          </w:p>
        </w:tc>
        <w:tc>
          <w:tcPr>
            <w:tcW w:w="1528" w:type="dxa"/>
            <w:vAlign w:val="center"/>
          </w:tcPr>
          <w:p w14:paraId="1FF1D3DB">
            <w:pPr>
              <w:snapToGrid w:val="0"/>
              <w:spacing w:line="300" w:lineRule="auto"/>
              <w:ind w:firstLine="0" w:firstLineChars="0"/>
              <w:jc w:val="center"/>
              <w:rPr>
                <w:highlight w:val="none"/>
              </w:rPr>
            </w:pPr>
            <w:r>
              <w:rPr>
                <w:rFonts w:hint="eastAsia"/>
                <w:highlight w:val="none"/>
              </w:rPr>
              <w:t>mm</w:t>
            </w:r>
          </w:p>
        </w:tc>
        <w:tc>
          <w:tcPr>
            <w:tcW w:w="2352" w:type="dxa"/>
            <w:tcBorders>
              <w:right w:val="single" w:color="auto" w:sz="12" w:space="0"/>
            </w:tcBorders>
            <w:vAlign w:val="center"/>
          </w:tcPr>
          <w:p w14:paraId="21128877">
            <w:pPr>
              <w:snapToGrid w:val="0"/>
              <w:spacing w:line="300" w:lineRule="auto"/>
              <w:ind w:firstLine="0" w:firstLineChars="0"/>
              <w:jc w:val="center"/>
              <w:rPr>
                <w:highlight w:val="none"/>
              </w:rPr>
            </w:pPr>
            <w:r>
              <w:rPr>
                <w:rFonts w:hint="eastAsia"/>
                <w:highlight w:val="none"/>
              </w:rPr>
              <w:t>6000</w:t>
            </w:r>
          </w:p>
        </w:tc>
      </w:tr>
      <w:tr w14:paraId="3EE75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1" w:type="dxa"/>
            <w:tcBorders>
              <w:left w:val="single" w:color="auto" w:sz="12" w:space="0"/>
            </w:tcBorders>
            <w:vAlign w:val="center"/>
          </w:tcPr>
          <w:p w14:paraId="22EBDBCB">
            <w:pPr>
              <w:snapToGrid w:val="0"/>
              <w:spacing w:line="300" w:lineRule="auto"/>
              <w:ind w:firstLine="0" w:firstLineChars="0"/>
              <w:jc w:val="center"/>
              <w:rPr>
                <w:highlight w:val="none"/>
              </w:rPr>
            </w:pPr>
            <w:r>
              <w:rPr>
                <w:rFonts w:hint="eastAsia"/>
                <w:highlight w:val="none"/>
              </w:rPr>
              <w:t>炉缸高度</w:t>
            </w:r>
          </w:p>
        </w:tc>
        <w:tc>
          <w:tcPr>
            <w:tcW w:w="1253" w:type="dxa"/>
            <w:vAlign w:val="center"/>
          </w:tcPr>
          <w:p w14:paraId="645AF532">
            <w:pPr>
              <w:snapToGrid w:val="0"/>
              <w:spacing w:line="300" w:lineRule="auto"/>
              <w:ind w:firstLine="0" w:firstLineChars="0"/>
              <w:jc w:val="center"/>
              <w:rPr>
                <w:highlight w:val="none"/>
              </w:rPr>
            </w:pPr>
            <w:r>
              <w:rPr>
                <w:rFonts w:hint="eastAsia"/>
                <w:highlight w:val="none"/>
              </w:rPr>
              <w:t>h1</w:t>
            </w:r>
          </w:p>
        </w:tc>
        <w:tc>
          <w:tcPr>
            <w:tcW w:w="1528" w:type="dxa"/>
            <w:vAlign w:val="center"/>
          </w:tcPr>
          <w:p w14:paraId="1978F060">
            <w:pPr>
              <w:snapToGrid w:val="0"/>
              <w:spacing w:line="300" w:lineRule="auto"/>
              <w:ind w:firstLine="0" w:firstLineChars="0"/>
              <w:jc w:val="center"/>
              <w:rPr>
                <w:highlight w:val="none"/>
              </w:rPr>
            </w:pPr>
            <w:r>
              <w:rPr>
                <w:rFonts w:hint="eastAsia"/>
                <w:highlight w:val="none"/>
              </w:rPr>
              <w:t>mm</w:t>
            </w:r>
          </w:p>
        </w:tc>
        <w:tc>
          <w:tcPr>
            <w:tcW w:w="2352" w:type="dxa"/>
            <w:tcBorders>
              <w:right w:val="single" w:color="auto" w:sz="12" w:space="0"/>
            </w:tcBorders>
            <w:vAlign w:val="center"/>
          </w:tcPr>
          <w:p w14:paraId="24B191EC">
            <w:pPr>
              <w:snapToGrid w:val="0"/>
              <w:spacing w:line="300" w:lineRule="auto"/>
              <w:ind w:firstLine="0" w:firstLineChars="0"/>
              <w:jc w:val="center"/>
              <w:rPr>
                <w:highlight w:val="none"/>
              </w:rPr>
            </w:pPr>
            <w:r>
              <w:rPr>
                <w:rFonts w:hint="eastAsia"/>
                <w:highlight w:val="none"/>
              </w:rPr>
              <w:t>4300</w:t>
            </w:r>
          </w:p>
        </w:tc>
      </w:tr>
      <w:tr w14:paraId="359B5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1" w:type="dxa"/>
            <w:tcBorders>
              <w:left w:val="single" w:color="auto" w:sz="12" w:space="0"/>
            </w:tcBorders>
            <w:vAlign w:val="center"/>
          </w:tcPr>
          <w:p w14:paraId="2FF12F1C">
            <w:pPr>
              <w:snapToGrid w:val="0"/>
              <w:spacing w:line="300" w:lineRule="auto"/>
              <w:ind w:firstLine="0" w:firstLineChars="0"/>
              <w:jc w:val="center"/>
              <w:rPr>
                <w:highlight w:val="none"/>
              </w:rPr>
            </w:pPr>
            <w:r>
              <w:rPr>
                <w:rFonts w:hint="eastAsia"/>
                <w:highlight w:val="none"/>
              </w:rPr>
              <w:t>炉腹高度</w:t>
            </w:r>
          </w:p>
        </w:tc>
        <w:tc>
          <w:tcPr>
            <w:tcW w:w="1253" w:type="dxa"/>
            <w:vAlign w:val="center"/>
          </w:tcPr>
          <w:p w14:paraId="1C59A5C8">
            <w:pPr>
              <w:snapToGrid w:val="0"/>
              <w:spacing w:line="300" w:lineRule="auto"/>
              <w:ind w:firstLine="0" w:firstLineChars="0"/>
              <w:jc w:val="center"/>
              <w:rPr>
                <w:highlight w:val="none"/>
              </w:rPr>
            </w:pPr>
            <w:r>
              <w:rPr>
                <w:rFonts w:hint="eastAsia"/>
                <w:highlight w:val="none"/>
              </w:rPr>
              <w:t>h2</w:t>
            </w:r>
          </w:p>
        </w:tc>
        <w:tc>
          <w:tcPr>
            <w:tcW w:w="1528" w:type="dxa"/>
            <w:vAlign w:val="center"/>
          </w:tcPr>
          <w:p w14:paraId="4857E61D">
            <w:pPr>
              <w:snapToGrid w:val="0"/>
              <w:spacing w:line="300" w:lineRule="auto"/>
              <w:ind w:firstLine="0" w:firstLineChars="0"/>
              <w:jc w:val="center"/>
              <w:rPr>
                <w:highlight w:val="none"/>
              </w:rPr>
            </w:pPr>
            <w:r>
              <w:rPr>
                <w:rFonts w:hint="eastAsia"/>
                <w:highlight w:val="none"/>
              </w:rPr>
              <w:t>mm</w:t>
            </w:r>
          </w:p>
        </w:tc>
        <w:tc>
          <w:tcPr>
            <w:tcW w:w="2352" w:type="dxa"/>
            <w:tcBorders>
              <w:right w:val="single" w:color="auto" w:sz="12" w:space="0"/>
            </w:tcBorders>
            <w:vAlign w:val="center"/>
          </w:tcPr>
          <w:p w14:paraId="59CAD125">
            <w:pPr>
              <w:snapToGrid w:val="0"/>
              <w:spacing w:line="300" w:lineRule="auto"/>
              <w:ind w:firstLine="0" w:firstLineChars="0"/>
              <w:jc w:val="center"/>
              <w:rPr>
                <w:highlight w:val="none"/>
              </w:rPr>
            </w:pPr>
            <w:r>
              <w:rPr>
                <w:rFonts w:hint="eastAsia"/>
                <w:highlight w:val="none"/>
              </w:rPr>
              <w:t>3000</w:t>
            </w:r>
          </w:p>
        </w:tc>
      </w:tr>
      <w:tr w14:paraId="05877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1" w:type="dxa"/>
            <w:tcBorders>
              <w:left w:val="single" w:color="auto" w:sz="12" w:space="0"/>
            </w:tcBorders>
            <w:vAlign w:val="center"/>
          </w:tcPr>
          <w:p w14:paraId="0CA76F8C">
            <w:pPr>
              <w:snapToGrid w:val="0"/>
              <w:spacing w:line="300" w:lineRule="auto"/>
              <w:ind w:firstLine="0" w:firstLineChars="0"/>
              <w:jc w:val="center"/>
              <w:rPr>
                <w:highlight w:val="none"/>
              </w:rPr>
            </w:pPr>
            <w:r>
              <w:rPr>
                <w:rFonts w:hint="eastAsia"/>
                <w:highlight w:val="none"/>
              </w:rPr>
              <w:t>炉腰高度</w:t>
            </w:r>
          </w:p>
        </w:tc>
        <w:tc>
          <w:tcPr>
            <w:tcW w:w="1253" w:type="dxa"/>
            <w:vAlign w:val="center"/>
          </w:tcPr>
          <w:p w14:paraId="3A454B34">
            <w:pPr>
              <w:snapToGrid w:val="0"/>
              <w:spacing w:line="300" w:lineRule="auto"/>
              <w:ind w:firstLine="0" w:firstLineChars="0"/>
              <w:jc w:val="center"/>
              <w:rPr>
                <w:highlight w:val="none"/>
              </w:rPr>
            </w:pPr>
            <w:r>
              <w:rPr>
                <w:rFonts w:hint="eastAsia"/>
                <w:highlight w:val="none"/>
              </w:rPr>
              <w:t>h3</w:t>
            </w:r>
          </w:p>
        </w:tc>
        <w:tc>
          <w:tcPr>
            <w:tcW w:w="1528" w:type="dxa"/>
            <w:vAlign w:val="center"/>
          </w:tcPr>
          <w:p w14:paraId="32930860">
            <w:pPr>
              <w:snapToGrid w:val="0"/>
              <w:spacing w:line="300" w:lineRule="auto"/>
              <w:ind w:firstLine="0" w:firstLineChars="0"/>
              <w:jc w:val="center"/>
              <w:rPr>
                <w:highlight w:val="none"/>
              </w:rPr>
            </w:pPr>
            <w:r>
              <w:rPr>
                <w:rFonts w:hint="eastAsia"/>
                <w:highlight w:val="none"/>
              </w:rPr>
              <w:t>mm</w:t>
            </w:r>
          </w:p>
        </w:tc>
        <w:tc>
          <w:tcPr>
            <w:tcW w:w="2352" w:type="dxa"/>
            <w:tcBorders>
              <w:right w:val="single" w:color="auto" w:sz="12" w:space="0"/>
            </w:tcBorders>
            <w:vAlign w:val="center"/>
          </w:tcPr>
          <w:p w14:paraId="7E68DDCD">
            <w:pPr>
              <w:snapToGrid w:val="0"/>
              <w:spacing w:line="300" w:lineRule="auto"/>
              <w:ind w:firstLine="0" w:firstLineChars="0"/>
              <w:jc w:val="center"/>
              <w:rPr>
                <w:highlight w:val="none"/>
              </w:rPr>
            </w:pPr>
            <w:r>
              <w:rPr>
                <w:rFonts w:hint="eastAsia"/>
                <w:highlight w:val="none"/>
              </w:rPr>
              <w:t>1600</w:t>
            </w:r>
          </w:p>
        </w:tc>
      </w:tr>
      <w:tr w14:paraId="4B2A9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1" w:type="dxa"/>
            <w:tcBorders>
              <w:left w:val="single" w:color="auto" w:sz="12" w:space="0"/>
            </w:tcBorders>
            <w:vAlign w:val="center"/>
          </w:tcPr>
          <w:p w14:paraId="51B14F0F">
            <w:pPr>
              <w:snapToGrid w:val="0"/>
              <w:spacing w:line="300" w:lineRule="auto"/>
              <w:ind w:firstLine="0" w:firstLineChars="0"/>
              <w:jc w:val="center"/>
              <w:rPr>
                <w:highlight w:val="none"/>
              </w:rPr>
            </w:pPr>
            <w:r>
              <w:rPr>
                <w:rFonts w:hint="eastAsia"/>
                <w:highlight w:val="none"/>
              </w:rPr>
              <w:t>炉身高度</w:t>
            </w:r>
          </w:p>
        </w:tc>
        <w:tc>
          <w:tcPr>
            <w:tcW w:w="1253" w:type="dxa"/>
            <w:vAlign w:val="center"/>
          </w:tcPr>
          <w:p w14:paraId="575F0767">
            <w:pPr>
              <w:snapToGrid w:val="0"/>
              <w:spacing w:line="300" w:lineRule="auto"/>
              <w:ind w:firstLine="0" w:firstLineChars="0"/>
              <w:jc w:val="center"/>
              <w:rPr>
                <w:highlight w:val="none"/>
              </w:rPr>
            </w:pPr>
            <w:r>
              <w:rPr>
                <w:rFonts w:hint="eastAsia"/>
                <w:highlight w:val="none"/>
              </w:rPr>
              <w:t>h4</w:t>
            </w:r>
          </w:p>
        </w:tc>
        <w:tc>
          <w:tcPr>
            <w:tcW w:w="1528" w:type="dxa"/>
            <w:vAlign w:val="center"/>
          </w:tcPr>
          <w:p w14:paraId="1FC9C269">
            <w:pPr>
              <w:snapToGrid w:val="0"/>
              <w:spacing w:line="300" w:lineRule="auto"/>
              <w:ind w:firstLine="0" w:firstLineChars="0"/>
              <w:jc w:val="center"/>
              <w:rPr>
                <w:highlight w:val="none"/>
              </w:rPr>
            </w:pPr>
            <w:r>
              <w:rPr>
                <w:rFonts w:hint="eastAsia"/>
                <w:highlight w:val="none"/>
              </w:rPr>
              <w:t>mm</w:t>
            </w:r>
          </w:p>
        </w:tc>
        <w:tc>
          <w:tcPr>
            <w:tcW w:w="2352" w:type="dxa"/>
            <w:tcBorders>
              <w:right w:val="single" w:color="auto" w:sz="12" w:space="0"/>
            </w:tcBorders>
            <w:vAlign w:val="center"/>
          </w:tcPr>
          <w:p w14:paraId="53F4FBAA">
            <w:pPr>
              <w:snapToGrid w:val="0"/>
              <w:spacing w:line="300" w:lineRule="auto"/>
              <w:ind w:firstLine="0" w:firstLineChars="0"/>
              <w:jc w:val="center"/>
              <w:rPr>
                <w:highlight w:val="none"/>
              </w:rPr>
            </w:pPr>
            <w:r>
              <w:rPr>
                <w:rFonts w:hint="eastAsia"/>
                <w:highlight w:val="none"/>
              </w:rPr>
              <w:t>12200</w:t>
            </w:r>
          </w:p>
        </w:tc>
      </w:tr>
      <w:tr w14:paraId="4168A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1" w:type="dxa"/>
            <w:tcBorders>
              <w:left w:val="single" w:color="auto" w:sz="12" w:space="0"/>
            </w:tcBorders>
            <w:vAlign w:val="center"/>
          </w:tcPr>
          <w:p w14:paraId="7582089D">
            <w:pPr>
              <w:snapToGrid w:val="0"/>
              <w:spacing w:line="300" w:lineRule="auto"/>
              <w:ind w:firstLine="0" w:firstLineChars="0"/>
              <w:jc w:val="center"/>
              <w:rPr>
                <w:highlight w:val="none"/>
              </w:rPr>
            </w:pPr>
            <w:r>
              <w:rPr>
                <w:rFonts w:hint="eastAsia"/>
                <w:highlight w:val="none"/>
              </w:rPr>
              <w:t>炉喉高度</w:t>
            </w:r>
          </w:p>
        </w:tc>
        <w:tc>
          <w:tcPr>
            <w:tcW w:w="1253" w:type="dxa"/>
            <w:vAlign w:val="center"/>
          </w:tcPr>
          <w:p w14:paraId="11830CDE">
            <w:pPr>
              <w:snapToGrid w:val="0"/>
              <w:spacing w:line="300" w:lineRule="auto"/>
              <w:ind w:firstLine="0" w:firstLineChars="0"/>
              <w:jc w:val="center"/>
              <w:rPr>
                <w:highlight w:val="none"/>
              </w:rPr>
            </w:pPr>
            <w:r>
              <w:rPr>
                <w:rFonts w:hint="eastAsia"/>
                <w:highlight w:val="none"/>
              </w:rPr>
              <w:t>h5</w:t>
            </w:r>
          </w:p>
        </w:tc>
        <w:tc>
          <w:tcPr>
            <w:tcW w:w="1528" w:type="dxa"/>
            <w:vAlign w:val="center"/>
          </w:tcPr>
          <w:p w14:paraId="29D64D86">
            <w:pPr>
              <w:snapToGrid w:val="0"/>
              <w:spacing w:line="300" w:lineRule="auto"/>
              <w:ind w:firstLine="0" w:firstLineChars="0"/>
              <w:jc w:val="center"/>
              <w:rPr>
                <w:highlight w:val="none"/>
              </w:rPr>
            </w:pPr>
            <w:r>
              <w:rPr>
                <w:rFonts w:hint="eastAsia"/>
                <w:highlight w:val="none"/>
              </w:rPr>
              <w:t>mm</w:t>
            </w:r>
          </w:p>
        </w:tc>
        <w:tc>
          <w:tcPr>
            <w:tcW w:w="2352" w:type="dxa"/>
            <w:tcBorders>
              <w:right w:val="single" w:color="auto" w:sz="12" w:space="0"/>
            </w:tcBorders>
            <w:vAlign w:val="center"/>
          </w:tcPr>
          <w:p w14:paraId="2BFB5DEC">
            <w:pPr>
              <w:snapToGrid w:val="0"/>
              <w:spacing w:line="300" w:lineRule="auto"/>
              <w:ind w:firstLine="0" w:firstLineChars="0"/>
              <w:jc w:val="center"/>
              <w:rPr>
                <w:highlight w:val="none"/>
              </w:rPr>
            </w:pPr>
            <w:r>
              <w:rPr>
                <w:rFonts w:hint="eastAsia"/>
                <w:highlight w:val="none"/>
              </w:rPr>
              <w:t>2000</w:t>
            </w:r>
          </w:p>
        </w:tc>
      </w:tr>
      <w:tr w14:paraId="22406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1" w:type="dxa"/>
            <w:tcBorders>
              <w:left w:val="single" w:color="auto" w:sz="12" w:space="0"/>
            </w:tcBorders>
            <w:vAlign w:val="center"/>
          </w:tcPr>
          <w:p w14:paraId="42C36054">
            <w:pPr>
              <w:snapToGrid w:val="0"/>
              <w:spacing w:line="300" w:lineRule="auto"/>
              <w:ind w:firstLine="0" w:firstLineChars="0"/>
              <w:jc w:val="center"/>
              <w:rPr>
                <w:highlight w:val="none"/>
              </w:rPr>
            </w:pPr>
            <w:r>
              <w:rPr>
                <w:rFonts w:hint="eastAsia"/>
                <w:highlight w:val="none"/>
              </w:rPr>
              <w:t>死铁层深度</w:t>
            </w:r>
          </w:p>
        </w:tc>
        <w:tc>
          <w:tcPr>
            <w:tcW w:w="1253" w:type="dxa"/>
            <w:vAlign w:val="center"/>
          </w:tcPr>
          <w:p w14:paraId="2BDFECF4">
            <w:pPr>
              <w:snapToGrid w:val="0"/>
              <w:spacing w:line="300" w:lineRule="auto"/>
              <w:ind w:firstLine="0" w:firstLineChars="0"/>
              <w:jc w:val="center"/>
              <w:rPr>
                <w:highlight w:val="none"/>
              </w:rPr>
            </w:pPr>
            <w:r>
              <w:rPr>
                <w:rFonts w:hint="eastAsia"/>
                <w:highlight w:val="none"/>
              </w:rPr>
              <w:t>h0</w:t>
            </w:r>
          </w:p>
        </w:tc>
        <w:tc>
          <w:tcPr>
            <w:tcW w:w="1528" w:type="dxa"/>
            <w:vAlign w:val="center"/>
          </w:tcPr>
          <w:p w14:paraId="46D24776">
            <w:pPr>
              <w:snapToGrid w:val="0"/>
              <w:spacing w:line="300" w:lineRule="auto"/>
              <w:ind w:firstLine="0" w:firstLineChars="0"/>
              <w:jc w:val="center"/>
              <w:rPr>
                <w:highlight w:val="none"/>
              </w:rPr>
            </w:pPr>
            <w:r>
              <w:rPr>
                <w:rFonts w:hint="eastAsia"/>
                <w:highlight w:val="none"/>
              </w:rPr>
              <w:t>mm</w:t>
            </w:r>
          </w:p>
        </w:tc>
        <w:tc>
          <w:tcPr>
            <w:tcW w:w="2352" w:type="dxa"/>
            <w:tcBorders>
              <w:right w:val="single" w:color="auto" w:sz="12" w:space="0"/>
            </w:tcBorders>
            <w:vAlign w:val="center"/>
          </w:tcPr>
          <w:p w14:paraId="23F49050">
            <w:pPr>
              <w:snapToGrid w:val="0"/>
              <w:spacing w:line="300" w:lineRule="auto"/>
              <w:ind w:firstLine="0" w:firstLineChars="0"/>
              <w:jc w:val="center"/>
              <w:rPr>
                <w:highlight w:val="none"/>
              </w:rPr>
            </w:pPr>
            <w:r>
              <w:rPr>
                <w:rFonts w:hint="eastAsia"/>
                <w:highlight w:val="none"/>
              </w:rPr>
              <w:t>1600</w:t>
            </w:r>
          </w:p>
        </w:tc>
      </w:tr>
      <w:tr w14:paraId="71A53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1" w:type="dxa"/>
            <w:tcBorders>
              <w:left w:val="single" w:color="auto" w:sz="12" w:space="0"/>
            </w:tcBorders>
            <w:vAlign w:val="center"/>
          </w:tcPr>
          <w:p w14:paraId="3515E152">
            <w:pPr>
              <w:snapToGrid w:val="0"/>
              <w:spacing w:line="300" w:lineRule="auto"/>
              <w:ind w:firstLine="0" w:firstLineChars="0"/>
              <w:jc w:val="center"/>
              <w:rPr>
                <w:highlight w:val="none"/>
              </w:rPr>
            </w:pPr>
            <w:r>
              <w:rPr>
                <w:rFonts w:hint="eastAsia"/>
                <w:highlight w:val="none"/>
              </w:rPr>
              <w:t>炉腹角</w:t>
            </w:r>
          </w:p>
        </w:tc>
        <w:tc>
          <w:tcPr>
            <w:tcW w:w="1253" w:type="dxa"/>
            <w:vAlign w:val="center"/>
          </w:tcPr>
          <w:p w14:paraId="2F2B1867">
            <w:pPr>
              <w:snapToGrid w:val="0"/>
              <w:spacing w:line="300" w:lineRule="auto"/>
              <w:ind w:firstLine="0" w:firstLineChars="0"/>
              <w:jc w:val="center"/>
              <w:rPr>
                <w:highlight w:val="none"/>
              </w:rPr>
            </w:pPr>
            <w:r>
              <w:rPr>
                <w:rFonts w:hint="eastAsia"/>
                <w:highlight w:val="none"/>
              </w:rPr>
              <w:t>α</w:t>
            </w:r>
          </w:p>
        </w:tc>
        <w:tc>
          <w:tcPr>
            <w:tcW w:w="1528" w:type="dxa"/>
            <w:vAlign w:val="center"/>
          </w:tcPr>
          <w:p w14:paraId="007AA3A7">
            <w:pPr>
              <w:snapToGrid w:val="0"/>
              <w:spacing w:line="300" w:lineRule="auto"/>
              <w:jc w:val="center"/>
              <w:rPr>
                <w:highlight w:val="none"/>
              </w:rPr>
            </w:pPr>
          </w:p>
        </w:tc>
        <w:tc>
          <w:tcPr>
            <w:tcW w:w="2352" w:type="dxa"/>
            <w:tcBorders>
              <w:right w:val="single" w:color="auto" w:sz="12" w:space="0"/>
            </w:tcBorders>
            <w:vAlign w:val="center"/>
          </w:tcPr>
          <w:p w14:paraId="5BD71A68">
            <w:pPr>
              <w:snapToGrid w:val="0"/>
              <w:spacing w:line="300" w:lineRule="auto"/>
              <w:ind w:firstLine="0" w:firstLineChars="0"/>
              <w:jc w:val="center"/>
              <w:rPr>
                <w:highlight w:val="none"/>
              </w:rPr>
            </w:pPr>
            <w:r>
              <w:rPr>
                <w:rFonts w:hint="eastAsia"/>
                <w:highlight w:val="none"/>
              </w:rPr>
              <w:t>75°40′40″</w:t>
            </w:r>
          </w:p>
        </w:tc>
      </w:tr>
      <w:tr w14:paraId="08504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1" w:type="dxa"/>
            <w:tcBorders>
              <w:left w:val="single" w:color="auto" w:sz="12" w:space="0"/>
            </w:tcBorders>
            <w:vAlign w:val="center"/>
          </w:tcPr>
          <w:p w14:paraId="6D05600B">
            <w:pPr>
              <w:snapToGrid w:val="0"/>
              <w:spacing w:line="300" w:lineRule="auto"/>
              <w:ind w:firstLine="0" w:firstLineChars="0"/>
              <w:jc w:val="center"/>
              <w:rPr>
                <w:highlight w:val="none"/>
              </w:rPr>
            </w:pPr>
            <w:r>
              <w:rPr>
                <w:rFonts w:hint="eastAsia"/>
                <w:highlight w:val="none"/>
              </w:rPr>
              <w:t>炉身角</w:t>
            </w:r>
          </w:p>
        </w:tc>
        <w:tc>
          <w:tcPr>
            <w:tcW w:w="1253" w:type="dxa"/>
            <w:vAlign w:val="center"/>
          </w:tcPr>
          <w:p w14:paraId="48960B81">
            <w:pPr>
              <w:snapToGrid w:val="0"/>
              <w:spacing w:line="300" w:lineRule="auto"/>
              <w:ind w:firstLine="0" w:firstLineChars="0"/>
              <w:jc w:val="center"/>
              <w:rPr>
                <w:highlight w:val="none"/>
              </w:rPr>
            </w:pPr>
            <w:r>
              <w:rPr>
                <w:rFonts w:hint="eastAsia"/>
                <w:highlight w:val="none"/>
              </w:rPr>
              <w:t>β</w:t>
            </w:r>
          </w:p>
        </w:tc>
        <w:tc>
          <w:tcPr>
            <w:tcW w:w="1528" w:type="dxa"/>
            <w:vAlign w:val="center"/>
          </w:tcPr>
          <w:p w14:paraId="5597C5FA">
            <w:pPr>
              <w:snapToGrid w:val="0"/>
              <w:spacing w:line="300" w:lineRule="auto"/>
              <w:jc w:val="center"/>
              <w:rPr>
                <w:highlight w:val="none"/>
              </w:rPr>
            </w:pPr>
          </w:p>
        </w:tc>
        <w:tc>
          <w:tcPr>
            <w:tcW w:w="2352" w:type="dxa"/>
            <w:tcBorders>
              <w:right w:val="single" w:color="auto" w:sz="12" w:space="0"/>
            </w:tcBorders>
            <w:vAlign w:val="center"/>
          </w:tcPr>
          <w:p w14:paraId="77406515">
            <w:pPr>
              <w:snapToGrid w:val="0"/>
              <w:spacing w:line="300" w:lineRule="auto"/>
              <w:ind w:firstLine="0" w:firstLineChars="0"/>
              <w:jc w:val="center"/>
              <w:rPr>
                <w:highlight w:val="none"/>
              </w:rPr>
            </w:pPr>
            <w:r>
              <w:rPr>
                <w:rFonts w:hint="eastAsia"/>
                <w:highlight w:val="none"/>
              </w:rPr>
              <w:t>81°8′53″</w:t>
            </w:r>
          </w:p>
        </w:tc>
      </w:tr>
      <w:tr w14:paraId="32F0B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1" w:type="dxa"/>
            <w:tcBorders>
              <w:left w:val="single" w:color="auto" w:sz="12" w:space="0"/>
            </w:tcBorders>
            <w:vAlign w:val="center"/>
          </w:tcPr>
          <w:p w14:paraId="0168600C">
            <w:pPr>
              <w:snapToGrid w:val="0"/>
              <w:spacing w:line="300" w:lineRule="auto"/>
              <w:ind w:firstLine="0" w:firstLineChars="0"/>
              <w:jc w:val="center"/>
              <w:rPr>
                <w:highlight w:val="none"/>
              </w:rPr>
            </w:pPr>
            <w:r>
              <w:rPr>
                <w:rFonts w:hint="eastAsia"/>
                <w:highlight w:val="none"/>
              </w:rPr>
              <w:t>炉缸面积</w:t>
            </w:r>
          </w:p>
        </w:tc>
        <w:tc>
          <w:tcPr>
            <w:tcW w:w="1253" w:type="dxa"/>
            <w:vAlign w:val="center"/>
          </w:tcPr>
          <w:p w14:paraId="4CFEC888">
            <w:pPr>
              <w:snapToGrid w:val="0"/>
              <w:spacing w:line="300" w:lineRule="auto"/>
              <w:ind w:firstLine="0" w:firstLineChars="0"/>
              <w:jc w:val="center"/>
              <w:rPr>
                <w:highlight w:val="none"/>
              </w:rPr>
            </w:pPr>
            <w:r>
              <w:rPr>
                <w:rFonts w:hint="eastAsia"/>
                <w:highlight w:val="none"/>
              </w:rPr>
              <w:t>A</w:t>
            </w:r>
          </w:p>
        </w:tc>
        <w:tc>
          <w:tcPr>
            <w:tcW w:w="1528" w:type="dxa"/>
            <w:vAlign w:val="center"/>
          </w:tcPr>
          <w:p w14:paraId="7DC74DB9">
            <w:pPr>
              <w:snapToGrid w:val="0"/>
              <w:spacing w:line="300" w:lineRule="auto"/>
              <w:jc w:val="center"/>
              <w:rPr>
                <w:highlight w:val="none"/>
              </w:rPr>
            </w:pPr>
            <w:r>
              <w:rPr>
                <w:rFonts w:hint="eastAsia"/>
                <w:highlight w:val="none"/>
              </w:rPr>
              <w:t>m</w:t>
            </w:r>
            <w:r>
              <w:rPr>
                <w:rFonts w:hint="eastAsia"/>
                <w:highlight w:val="none"/>
                <w:vertAlign w:val="superscript"/>
              </w:rPr>
              <w:t>2</w:t>
            </w:r>
          </w:p>
        </w:tc>
        <w:tc>
          <w:tcPr>
            <w:tcW w:w="2352" w:type="dxa"/>
            <w:tcBorders>
              <w:right w:val="single" w:color="auto" w:sz="12" w:space="0"/>
            </w:tcBorders>
            <w:vAlign w:val="center"/>
          </w:tcPr>
          <w:p w14:paraId="65DF19A2">
            <w:pPr>
              <w:snapToGrid w:val="0"/>
              <w:spacing w:line="300" w:lineRule="auto"/>
              <w:ind w:firstLine="0" w:firstLineChars="0"/>
              <w:jc w:val="center"/>
              <w:rPr>
                <w:highlight w:val="none"/>
              </w:rPr>
            </w:pPr>
            <w:r>
              <w:rPr>
                <w:rFonts w:hint="eastAsia"/>
                <w:highlight w:val="none"/>
              </w:rPr>
              <w:t>53.5</w:t>
            </w:r>
          </w:p>
        </w:tc>
      </w:tr>
      <w:tr w14:paraId="4A370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1" w:type="dxa"/>
            <w:tcBorders>
              <w:left w:val="single" w:color="auto" w:sz="12" w:space="0"/>
            </w:tcBorders>
            <w:vAlign w:val="center"/>
          </w:tcPr>
          <w:p w14:paraId="32A938D9">
            <w:pPr>
              <w:snapToGrid w:val="0"/>
              <w:spacing w:line="300" w:lineRule="auto"/>
              <w:ind w:firstLine="0" w:firstLineChars="0"/>
              <w:jc w:val="center"/>
              <w:rPr>
                <w:highlight w:val="none"/>
              </w:rPr>
            </w:pPr>
            <w:r>
              <w:rPr>
                <w:rFonts w:hint="eastAsia"/>
                <w:highlight w:val="none"/>
              </w:rPr>
              <w:t>高径比</w:t>
            </w:r>
          </w:p>
        </w:tc>
        <w:tc>
          <w:tcPr>
            <w:tcW w:w="1253" w:type="dxa"/>
            <w:vAlign w:val="center"/>
          </w:tcPr>
          <w:p w14:paraId="26C97FA2">
            <w:pPr>
              <w:snapToGrid w:val="0"/>
              <w:spacing w:line="300" w:lineRule="auto"/>
              <w:ind w:firstLine="0" w:firstLineChars="0"/>
              <w:jc w:val="center"/>
              <w:rPr>
                <w:highlight w:val="none"/>
              </w:rPr>
            </w:pPr>
            <w:r>
              <w:rPr>
                <w:rFonts w:hint="eastAsia"/>
                <w:highlight w:val="none"/>
              </w:rPr>
              <w:t>Hu/D</w:t>
            </w:r>
          </w:p>
        </w:tc>
        <w:tc>
          <w:tcPr>
            <w:tcW w:w="1528" w:type="dxa"/>
            <w:vAlign w:val="center"/>
          </w:tcPr>
          <w:p w14:paraId="3EA74564">
            <w:pPr>
              <w:snapToGrid w:val="0"/>
              <w:spacing w:line="300" w:lineRule="auto"/>
              <w:jc w:val="center"/>
              <w:rPr>
                <w:highlight w:val="none"/>
              </w:rPr>
            </w:pPr>
          </w:p>
        </w:tc>
        <w:tc>
          <w:tcPr>
            <w:tcW w:w="2352" w:type="dxa"/>
            <w:tcBorders>
              <w:right w:val="single" w:color="auto" w:sz="12" w:space="0"/>
            </w:tcBorders>
            <w:vAlign w:val="center"/>
          </w:tcPr>
          <w:p w14:paraId="4CA7E154">
            <w:pPr>
              <w:snapToGrid w:val="0"/>
              <w:spacing w:line="300" w:lineRule="auto"/>
              <w:ind w:firstLine="0" w:firstLineChars="0"/>
              <w:jc w:val="center"/>
              <w:rPr>
                <w:highlight w:val="none"/>
              </w:rPr>
            </w:pPr>
            <w:r>
              <w:rPr>
                <w:rFonts w:hint="eastAsia"/>
                <w:highlight w:val="none"/>
              </w:rPr>
              <w:t>2.36</w:t>
            </w:r>
          </w:p>
        </w:tc>
      </w:tr>
      <w:tr w14:paraId="13606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1" w:type="dxa"/>
            <w:tcBorders>
              <w:left w:val="single" w:color="auto" w:sz="12" w:space="0"/>
            </w:tcBorders>
            <w:vAlign w:val="center"/>
          </w:tcPr>
          <w:p w14:paraId="7D549F18">
            <w:pPr>
              <w:snapToGrid w:val="0"/>
              <w:spacing w:line="300" w:lineRule="auto"/>
              <w:ind w:firstLine="0" w:firstLineChars="0"/>
              <w:jc w:val="center"/>
              <w:rPr>
                <w:highlight w:val="none"/>
              </w:rPr>
            </w:pPr>
            <w:r>
              <w:rPr>
                <w:rFonts w:hint="eastAsia"/>
                <w:highlight w:val="none"/>
              </w:rPr>
              <w:t>风口数</w:t>
            </w:r>
          </w:p>
        </w:tc>
        <w:tc>
          <w:tcPr>
            <w:tcW w:w="1253" w:type="dxa"/>
            <w:vAlign w:val="center"/>
          </w:tcPr>
          <w:p w14:paraId="06E3375C">
            <w:pPr>
              <w:snapToGrid w:val="0"/>
              <w:spacing w:line="300" w:lineRule="auto"/>
              <w:ind w:firstLine="0" w:firstLineChars="0"/>
              <w:jc w:val="center"/>
              <w:rPr>
                <w:highlight w:val="none"/>
              </w:rPr>
            </w:pPr>
          </w:p>
        </w:tc>
        <w:tc>
          <w:tcPr>
            <w:tcW w:w="1528" w:type="dxa"/>
            <w:vAlign w:val="center"/>
          </w:tcPr>
          <w:p w14:paraId="6157A340">
            <w:pPr>
              <w:snapToGrid w:val="0"/>
              <w:spacing w:line="300" w:lineRule="auto"/>
              <w:jc w:val="center"/>
              <w:rPr>
                <w:highlight w:val="none"/>
              </w:rPr>
            </w:pPr>
            <w:r>
              <w:rPr>
                <w:rFonts w:hint="eastAsia"/>
                <w:highlight w:val="none"/>
              </w:rPr>
              <w:t>个</w:t>
            </w:r>
          </w:p>
        </w:tc>
        <w:tc>
          <w:tcPr>
            <w:tcW w:w="2352" w:type="dxa"/>
            <w:tcBorders>
              <w:right w:val="single" w:color="auto" w:sz="12" w:space="0"/>
            </w:tcBorders>
            <w:vAlign w:val="center"/>
          </w:tcPr>
          <w:p w14:paraId="79716C99">
            <w:pPr>
              <w:snapToGrid w:val="0"/>
              <w:spacing w:line="300" w:lineRule="auto"/>
              <w:ind w:firstLine="0" w:firstLineChars="0"/>
              <w:jc w:val="center"/>
              <w:rPr>
                <w:highlight w:val="none"/>
              </w:rPr>
            </w:pPr>
            <w:r>
              <w:rPr>
                <w:rFonts w:hint="eastAsia"/>
                <w:highlight w:val="none"/>
              </w:rPr>
              <w:t>20</w:t>
            </w:r>
          </w:p>
        </w:tc>
      </w:tr>
      <w:tr w14:paraId="3DB3B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1" w:type="dxa"/>
            <w:tcBorders>
              <w:left w:val="single" w:color="auto" w:sz="12" w:space="0"/>
              <w:bottom w:val="single" w:color="auto" w:sz="12" w:space="0"/>
            </w:tcBorders>
            <w:vAlign w:val="center"/>
          </w:tcPr>
          <w:p w14:paraId="2C15A9A0">
            <w:pPr>
              <w:snapToGrid w:val="0"/>
              <w:spacing w:line="300" w:lineRule="auto"/>
              <w:ind w:firstLine="0" w:firstLineChars="0"/>
              <w:jc w:val="center"/>
              <w:rPr>
                <w:highlight w:val="none"/>
              </w:rPr>
            </w:pPr>
            <w:r>
              <w:rPr>
                <w:rFonts w:hint="eastAsia"/>
                <w:highlight w:val="none"/>
              </w:rPr>
              <w:t>铁口数</w:t>
            </w:r>
          </w:p>
        </w:tc>
        <w:tc>
          <w:tcPr>
            <w:tcW w:w="1253" w:type="dxa"/>
            <w:tcBorders>
              <w:bottom w:val="single" w:color="auto" w:sz="12" w:space="0"/>
            </w:tcBorders>
            <w:vAlign w:val="center"/>
          </w:tcPr>
          <w:p w14:paraId="2AAA2420">
            <w:pPr>
              <w:snapToGrid w:val="0"/>
              <w:spacing w:line="300" w:lineRule="auto"/>
              <w:ind w:firstLine="0" w:firstLineChars="0"/>
              <w:jc w:val="center"/>
              <w:rPr>
                <w:highlight w:val="none"/>
              </w:rPr>
            </w:pPr>
          </w:p>
        </w:tc>
        <w:tc>
          <w:tcPr>
            <w:tcW w:w="1528" w:type="dxa"/>
            <w:tcBorders>
              <w:bottom w:val="single" w:color="auto" w:sz="12" w:space="0"/>
            </w:tcBorders>
            <w:vAlign w:val="center"/>
          </w:tcPr>
          <w:p w14:paraId="2776E1E7">
            <w:pPr>
              <w:snapToGrid w:val="0"/>
              <w:spacing w:line="300" w:lineRule="auto"/>
              <w:jc w:val="center"/>
              <w:rPr>
                <w:highlight w:val="none"/>
              </w:rPr>
            </w:pPr>
            <w:r>
              <w:rPr>
                <w:rFonts w:hint="eastAsia"/>
                <w:highlight w:val="none"/>
              </w:rPr>
              <w:t>个</w:t>
            </w:r>
          </w:p>
        </w:tc>
        <w:tc>
          <w:tcPr>
            <w:tcW w:w="2352" w:type="dxa"/>
            <w:tcBorders>
              <w:bottom w:val="single" w:color="auto" w:sz="12" w:space="0"/>
              <w:right w:val="single" w:color="auto" w:sz="12" w:space="0"/>
            </w:tcBorders>
            <w:vAlign w:val="center"/>
          </w:tcPr>
          <w:p w14:paraId="767CEB88">
            <w:pPr>
              <w:snapToGrid w:val="0"/>
              <w:spacing w:line="300" w:lineRule="auto"/>
              <w:ind w:firstLine="0" w:firstLineChars="0"/>
              <w:jc w:val="center"/>
              <w:rPr>
                <w:highlight w:val="none"/>
              </w:rPr>
            </w:pPr>
            <w:r>
              <w:rPr>
                <w:rFonts w:hint="eastAsia"/>
                <w:highlight w:val="none"/>
              </w:rPr>
              <w:t>2</w:t>
            </w:r>
          </w:p>
        </w:tc>
      </w:tr>
    </w:tbl>
    <w:p w14:paraId="03E52169">
      <w:pPr>
        <w:ind w:firstLine="0" w:firstLineChars="0"/>
        <w:outlineLvl w:val="2"/>
        <w:rPr>
          <w:rFonts w:cs="Times New Roman"/>
          <w:highlight w:val="none"/>
        </w:rPr>
      </w:pPr>
      <w:bookmarkStart w:id="293" w:name="_Toc25727"/>
      <w:r>
        <w:rPr>
          <w:rFonts w:hint="eastAsia" w:cs="Times New Roman"/>
          <w:highlight w:val="none"/>
        </w:rPr>
        <w:t>2.6.2.2 高炉炉型优化说明</w:t>
      </w:r>
      <w:bookmarkEnd w:id="293"/>
    </w:p>
    <w:p w14:paraId="10A693F2">
      <w:pPr>
        <w:jc w:val="both"/>
        <w:rPr>
          <w:rFonts w:ascii="Times New Roman" w:hAnsi="Times New Roman"/>
          <w:highlight w:val="none"/>
        </w:rPr>
      </w:pPr>
      <w:r>
        <w:rPr>
          <w:rFonts w:hint="eastAsia" w:ascii="Times New Roman" w:hAnsi="Times New Roman"/>
          <w:highlight w:val="none"/>
        </w:rPr>
        <w:t>考虑本次高炉改造，高炉基础及炉体框架平台利旧，炉壳和冷却壁部分利旧，利旧的冷却壁热面通过</w:t>
      </w:r>
      <w:r>
        <w:rPr>
          <w:rFonts w:hint="eastAsia" w:ascii="Times New Roman" w:hAnsi="Times New Roman"/>
          <w:highlight w:val="none"/>
        </w:rPr>
        <w:t>喷涂料</w:t>
      </w:r>
      <w:r>
        <w:rPr>
          <w:rFonts w:hint="eastAsia" w:ascii="Times New Roman" w:hAnsi="Times New Roman"/>
          <w:highlight w:val="none"/>
          <w:lang w:val="en-US" w:eastAsia="zh-CN"/>
        </w:rPr>
        <w:t>YJ-BFS造衬修复</w:t>
      </w:r>
      <w:r>
        <w:rPr>
          <w:rFonts w:hint="eastAsia" w:ascii="Times New Roman" w:hAnsi="Times New Roman"/>
          <w:highlight w:val="none"/>
        </w:rPr>
        <w:t>，通过更换部分炉壳，增加炉腰直径和炉缸直径，高炉内型增加，风口数量进行适当优化。</w:t>
      </w:r>
    </w:p>
    <w:p w14:paraId="79BBB364">
      <w:pPr>
        <w:jc w:val="both"/>
        <w:rPr>
          <w:rFonts w:ascii="Times New Roman" w:hAnsi="Times New Roman"/>
          <w:highlight w:val="none"/>
        </w:rPr>
      </w:pPr>
      <w:r>
        <w:rPr>
          <w:rFonts w:hint="eastAsia" w:ascii="Times New Roman" w:hAnsi="Times New Roman"/>
          <w:highlight w:val="none"/>
        </w:rPr>
        <w:t>2号高炉2013年优化升级改造时，高炉炉壳是按炉顶工作压力最大为0.18MPa进行设计，</w:t>
      </w:r>
      <w:r>
        <w:rPr>
          <w:rFonts w:hint="eastAsia" w:ascii="Times New Roman" w:hAnsi="Times New Roman"/>
          <w:color w:val="FF0000"/>
          <w:highlight w:val="none"/>
        </w:rPr>
        <w:t>工作压力0.15MPa</w:t>
      </w:r>
      <w:r>
        <w:rPr>
          <w:rFonts w:hint="eastAsia" w:ascii="Times New Roman" w:hAnsi="Times New Roman"/>
          <w:color w:val="FF0000"/>
          <w:highlight w:val="none"/>
          <w:lang w:eastAsia="zh-CN"/>
        </w:rPr>
        <w:t>。</w:t>
      </w:r>
      <w:r>
        <w:rPr>
          <w:rFonts w:hint="eastAsia" w:ascii="Times New Roman" w:hAnsi="Times New Roman"/>
          <w:highlight w:val="none"/>
        </w:rPr>
        <w:t>本次高炉改造后，炉顶最大工作压力提高至0.175MPa，设计压力0.18MPa，炉壳强度能满足正常使用要求。</w:t>
      </w:r>
    </w:p>
    <w:p w14:paraId="38EB0912">
      <w:pPr>
        <w:rPr>
          <w:rFonts w:ascii="Times New Roman" w:hAnsi="Times New Roman"/>
          <w:highlight w:val="none"/>
        </w:rPr>
      </w:pPr>
      <w:r>
        <w:rPr>
          <w:rFonts w:hint="eastAsia" w:ascii="Times New Roman" w:hAnsi="Times New Roman"/>
          <w:highlight w:val="none"/>
        </w:rPr>
        <w:t>2号高炉改造后风口数量确定为20个，能更好的规整煤气流初始分布，改善料柱的透气性，为高炉稳定生产、节能降耗创造有利条件。</w:t>
      </w:r>
    </w:p>
    <w:p w14:paraId="13DE7BDC">
      <w:pPr>
        <w:ind w:firstLine="0" w:firstLineChars="0"/>
        <w:outlineLvl w:val="2"/>
        <w:rPr>
          <w:rFonts w:cs="Times New Roman"/>
          <w:szCs w:val="28"/>
          <w:highlight w:val="none"/>
        </w:rPr>
      </w:pPr>
      <w:bookmarkStart w:id="294" w:name="_Toc79840289"/>
      <w:bookmarkStart w:id="295" w:name="_Toc100483392"/>
      <w:bookmarkStart w:id="296" w:name="_Toc11612"/>
      <w:r>
        <w:rPr>
          <w:rFonts w:hint="eastAsia" w:cs="Times New Roman"/>
          <w:szCs w:val="28"/>
          <w:highlight w:val="none"/>
        </w:rPr>
        <w:t>2.6.3 冷却设备</w:t>
      </w:r>
      <w:bookmarkEnd w:id="294"/>
      <w:bookmarkEnd w:id="295"/>
      <w:bookmarkEnd w:id="296"/>
    </w:p>
    <w:p w14:paraId="246549AA">
      <w:pPr>
        <w:jc w:val="both"/>
        <w:rPr>
          <w:rFonts w:ascii="Times New Roman" w:hAnsi="Times New Roman"/>
          <w:highlight w:val="none"/>
        </w:rPr>
      </w:pPr>
      <w:r>
        <w:rPr>
          <w:rFonts w:hint="eastAsia" w:ascii="Times New Roman" w:hAnsi="Times New Roman"/>
          <w:highlight w:val="none"/>
        </w:rPr>
        <w:t>1）炉底冷却设备</w:t>
      </w:r>
    </w:p>
    <w:p w14:paraId="5D1DC8E1">
      <w:pPr>
        <w:jc w:val="both"/>
        <w:rPr>
          <w:rFonts w:ascii="Times New Roman" w:hAnsi="Times New Roman"/>
          <w:highlight w:val="none"/>
        </w:rPr>
      </w:pPr>
      <w:r>
        <w:rPr>
          <w:rFonts w:hint="eastAsia" w:ascii="Times New Roman" w:hAnsi="Times New Roman"/>
          <w:highlight w:val="none"/>
        </w:rPr>
        <w:t>炉底原采用Φ108×14mm的冷拔无缝钢管作为冷却设备，本次改造，炉底冷却水管及外部连接管道、膨胀节均利旧，炉底水冷管供回水支管阀更换。扒炉料开大门损坏的管道、阀门及膨胀节需恢复。炉底水冷管供回水总管上的阀门更新。</w:t>
      </w:r>
    </w:p>
    <w:p w14:paraId="303209D2">
      <w:pPr>
        <w:jc w:val="both"/>
        <w:rPr>
          <w:rFonts w:ascii="Times New Roman" w:hAnsi="Times New Roman"/>
          <w:highlight w:val="none"/>
        </w:rPr>
      </w:pPr>
      <w:r>
        <w:rPr>
          <w:rFonts w:hint="eastAsia" w:ascii="Times New Roman" w:hAnsi="Times New Roman"/>
          <w:highlight w:val="none"/>
        </w:rPr>
        <w:t>2）炉体冷却设备</w:t>
      </w:r>
    </w:p>
    <w:p w14:paraId="7DD2BFBF">
      <w:pPr>
        <w:rPr>
          <w:rFonts w:ascii="Times New Roman" w:hAnsi="Times New Roman"/>
          <w:highlight w:val="none"/>
        </w:rPr>
      </w:pPr>
      <w:r>
        <w:rPr>
          <w:rFonts w:hint="eastAsia" w:ascii="Times New Roman" w:hAnsi="Times New Roman"/>
          <w:highlight w:val="none"/>
        </w:rPr>
        <w:t>本次高炉改造，更换8-12段冷却壁，第12段冷却壁上的煤气取样机位置的炉壳更换，</w:t>
      </w:r>
      <w:r>
        <w:rPr>
          <w:rFonts w:cs="宋体"/>
          <w:color w:val="000000"/>
          <w:highlight w:val="none"/>
          <w:shd w:val="clear" w:color="auto" w:fill="FFFF00"/>
        </w:rPr>
        <w:t>煤气取样机孔用新炉壳封堵，取消煤气取样机，</w:t>
      </w:r>
      <w:r>
        <w:rPr>
          <w:rFonts w:hint="eastAsia" w:ascii="Times New Roman" w:hAnsi="Times New Roman"/>
          <w:highlight w:val="none"/>
        </w:rPr>
        <w:t>此处对应的冷却壁重新设计，</w:t>
      </w:r>
      <w:r>
        <w:rPr>
          <w:rFonts w:cs="宋体"/>
          <w:color w:val="000000"/>
          <w:highlight w:val="none"/>
          <w:shd w:val="clear" w:color="auto" w:fill="FFFF00"/>
        </w:rPr>
        <w:t>取消取样机孔</w:t>
      </w:r>
      <w:r>
        <w:rPr>
          <w:rFonts w:hint="eastAsia" w:ascii="Times New Roman" w:hAnsi="Times New Roman"/>
          <w:highlight w:val="none"/>
        </w:rPr>
        <w:t>。更换的冷却壁为了与利旧的炉壳配套，设计基本同原设计一致。考虑到铁口区域热负荷高且波动较大以及清理炉料的施工，对铁口铸铁冷却壁及扒料大门的铸铁冷却壁进行更换，并更换相应位置的炉壳，共计16块冷却壁。更换的铸铁冷却壁外部连接管及管道上的阀门、温度监测点及膨胀节、密封补偿套管均更换。利旧铸铁冷却壁外部连接管及密封补偿套管等利旧；铜冷却壁间联管所用的金属包覆橡胶软管更换，铜冷却壁的水管膨胀节及其它利旧。另外，根据优化后的风口数量，重新设计风口带冷却壁及风口带炉壳。</w:t>
      </w:r>
    </w:p>
    <w:p w14:paraId="4DF8790D">
      <w:pPr>
        <w:rPr>
          <w:highlight w:val="none"/>
        </w:rPr>
      </w:pPr>
      <w:r>
        <w:rPr>
          <w:rFonts w:hint="eastAsia" w:ascii="Times New Roman" w:hAnsi="Times New Roman"/>
          <w:highlight w:val="none"/>
        </w:rPr>
        <w:t>第1段冷却壁进水支管和阀门更换，</w:t>
      </w:r>
      <w:r>
        <w:rPr>
          <w:rFonts w:hint="eastAsia"/>
          <w:highlight w:val="none"/>
        </w:rPr>
        <w:t>支管上的就地压力表</w:t>
      </w:r>
      <w:r>
        <w:rPr>
          <w:rFonts w:hint="eastAsia"/>
          <w:highlight w:val="none"/>
          <w:lang w:val="en-US" w:eastAsia="zh-CN"/>
        </w:rPr>
        <w:t>利旧，</w:t>
      </w:r>
      <w:r>
        <w:rPr>
          <w:rFonts w:hint="eastAsia" w:ascii="Times New Roman" w:hAnsi="Times New Roman"/>
          <w:highlight w:val="none"/>
        </w:rPr>
        <w:t>6段、7段、9段进水管道的阀门更换，前、后短节加装旁通阀DN32。5段、8段、10段进水阀更换为三通阀，前、后短节加装旁通阀DN32。第5、6、7、8段进水金属软管更换，第3-4段联管和排气阀更换，第11、12、13段进水管道和阀门原样更换，炉缸更换冷却壁的联管和阀门更换。第8-10段双层水冷冷却壁蛇形管供回水支管的金属软管更新，阀门更换。</w:t>
      </w:r>
      <w:r>
        <w:rPr>
          <w:rFonts w:hint="eastAsia"/>
          <w:highlight w:val="none"/>
        </w:rPr>
        <w:t>炉缸1-3段排气阀更换。</w:t>
      </w:r>
      <w:r>
        <w:rPr>
          <w:color w:val="000000"/>
          <w:highlight w:val="none"/>
          <w:shd w:val="clear" w:color="auto" w:fill="FFFF00"/>
        </w:rPr>
        <w:t>阀门材质与原施工图材质一致，</w:t>
      </w:r>
      <w:r>
        <w:rPr>
          <w:rFonts w:hint="eastAsia"/>
          <w:highlight w:val="none"/>
          <w:shd w:val="clear" w:color="auto" w:fill="FFFF00"/>
        </w:rPr>
        <w:t>排气球阀均采用螺纹球阀。</w:t>
      </w:r>
    </w:p>
    <w:p w14:paraId="011243C1">
      <w:pPr>
        <w:jc w:val="both"/>
        <w:rPr>
          <w:rFonts w:ascii="Times New Roman" w:hAnsi="Times New Roman"/>
          <w:highlight w:val="none"/>
        </w:rPr>
      </w:pPr>
      <w:r>
        <w:rPr>
          <w:rFonts w:hint="eastAsia" w:ascii="Times New Roman" w:hAnsi="Times New Roman"/>
          <w:highlight w:val="none"/>
        </w:rPr>
        <w:t>冷却壁是否利旧没有统一的标准，根据调查，沙钢1#、2#高炉（2500m</w:t>
      </w:r>
      <w:r>
        <w:rPr>
          <w:rFonts w:hint="eastAsia" w:ascii="Times New Roman" w:hAnsi="Times New Roman"/>
          <w:highlight w:val="none"/>
          <w:vertAlign w:val="superscript"/>
        </w:rPr>
        <w:t>3</w:t>
      </w:r>
      <w:r>
        <w:rPr>
          <w:rFonts w:hint="eastAsia" w:ascii="Times New Roman" w:hAnsi="Times New Roman"/>
          <w:highlight w:val="none"/>
        </w:rPr>
        <w:t>），使用的铜冷却壁为国外拆除旧冷却壁，使用寿命已超过20年。1号高炉在2021年停炉检查时，铜冷却壁完好。因此，在沿用本代炉役的炉型和操作制度，铜冷却壁继续使用一代炉役完全有可能。在停炉时，对利旧的铜冷却壁进行全面检查，若打压合格，均利旧使用。高炉从炉底到炉喉钢砖下沿共分为13段冷却壁，主要特征见表2.6-2。</w:t>
      </w:r>
    </w:p>
    <w:p w14:paraId="386FAFD5">
      <w:pPr>
        <w:jc w:val="center"/>
        <w:rPr>
          <w:rFonts w:ascii="Times New Roman" w:hAnsi="Times New Roman"/>
          <w:highlight w:val="none"/>
        </w:rPr>
      </w:pPr>
      <w:r>
        <w:rPr>
          <w:rFonts w:hint="eastAsia" w:ascii="Times New Roman" w:hAnsi="Times New Roman"/>
          <w:highlight w:val="none"/>
        </w:rPr>
        <w:t>表2.6-2  冷却壁主要特征表</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59"/>
        <w:gridCol w:w="3203"/>
        <w:gridCol w:w="1853"/>
        <w:gridCol w:w="1021"/>
        <w:gridCol w:w="1383"/>
      </w:tblGrid>
      <w:tr w14:paraId="096F426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80" w:hRule="atLeast"/>
          <w:tblHeader/>
          <w:jc w:val="center"/>
        </w:trPr>
        <w:tc>
          <w:tcPr>
            <w:tcW w:w="1059" w:type="dxa"/>
            <w:tcBorders>
              <w:top w:val="single" w:color="auto" w:sz="12" w:space="0"/>
              <w:left w:val="single" w:color="auto" w:sz="12" w:space="0"/>
              <w:bottom w:val="single" w:color="auto" w:sz="4" w:space="0"/>
              <w:right w:val="single" w:color="auto" w:sz="4" w:space="0"/>
            </w:tcBorders>
            <w:vAlign w:val="center"/>
          </w:tcPr>
          <w:p w14:paraId="1954720F">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部位</w:t>
            </w:r>
          </w:p>
        </w:tc>
        <w:tc>
          <w:tcPr>
            <w:tcW w:w="3203" w:type="dxa"/>
            <w:tcBorders>
              <w:top w:val="single" w:color="auto" w:sz="12" w:space="0"/>
              <w:left w:val="single" w:color="auto" w:sz="4" w:space="0"/>
              <w:bottom w:val="single" w:color="auto" w:sz="4" w:space="0"/>
              <w:right w:val="single" w:color="auto" w:sz="4" w:space="0"/>
            </w:tcBorders>
            <w:vAlign w:val="center"/>
          </w:tcPr>
          <w:p w14:paraId="2F7FEF7F">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冷却壁结构</w:t>
            </w:r>
          </w:p>
        </w:tc>
        <w:tc>
          <w:tcPr>
            <w:tcW w:w="1853" w:type="dxa"/>
            <w:tcBorders>
              <w:top w:val="single" w:color="auto" w:sz="12" w:space="0"/>
              <w:left w:val="single" w:color="auto" w:sz="4" w:space="0"/>
              <w:bottom w:val="single" w:color="auto" w:sz="4" w:space="0"/>
              <w:right w:val="single" w:color="auto" w:sz="4" w:space="0"/>
            </w:tcBorders>
            <w:vAlign w:val="center"/>
          </w:tcPr>
          <w:p w14:paraId="08487642">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各段块数</w:t>
            </w:r>
          </w:p>
        </w:tc>
        <w:tc>
          <w:tcPr>
            <w:tcW w:w="1021" w:type="dxa"/>
            <w:tcBorders>
              <w:top w:val="single" w:color="auto" w:sz="12" w:space="0"/>
              <w:left w:val="single" w:color="auto" w:sz="4" w:space="0"/>
              <w:bottom w:val="single" w:color="auto" w:sz="4" w:space="0"/>
              <w:right w:val="single" w:color="auto" w:sz="4" w:space="0"/>
            </w:tcBorders>
            <w:vAlign w:val="center"/>
          </w:tcPr>
          <w:p w14:paraId="4BB0770A">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水管规格</w:t>
            </w:r>
          </w:p>
        </w:tc>
        <w:tc>
          <w:tcPr>
            <w:tcW w:w="1383" w:type="dxa"/>
            <w:tcBorders>
              <w:top w:val="single" w:color="auto" w:sz="12" w:space="0"/>
              <w:left w:val="single" w:color="auto" w:sz="4" w:space="0"/>
              <w:bottom w:val="single" w:color="auto" w:sz="4" w:space="0"/>
              <w:right w:val="single" w:color="auto" w:sz="12" w:space="0"/>
            </w:tcBorders>
            <w:vAlign w:val="center"/>
          </w:tcPr>
          <w:p w14:paraId="4094B312">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耐材厚度/mm</w:t>
            </w:r>
          </w:p>
        </w:tc>
      </w:tr>
      <w:tr w14:paraId="6EA8C56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80" w:hRule="atLeast"/>
          <w:jc w:val="center"/>
        </w:trPr>
        <w:tc>
          <w:tcPr>
            <w:tcW w:w="1059" w:type="dxa"/>
            <w:tcBorders>
              <w:top w:val="single" w:color="auto" w:sz="4" w:space="0"/>
              <w:left w:val="single" w:color="auto" w:sz="12" w:space="0"/>
              <w:bottom w:val="single" w:color="auto" w:sz="4" w:space="0"/>
              <w:right w:val="single" w:color="auto" w:sz="4" w:space="0"/>
            </w:tcBorders>
            <w:vAlign w:val="center"/>
          </w:tcPr>
          <w:p w14:paraId="1E8A3648">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第1段</w:t>
            </w:r>
          </w:p>
        </w:tc>
        <w:tc>
          <w:tcPr>
            <w:tcW w:w="3203" w:type="dxa"/>
            <w:tcBorders>
              <w:top w:val="single" w:color="auto" w:sz="4" w:space="0"/>
              <w:left w:val="single" w:color="auto" w:sz="4" w:space="0"/>
              <w:bottom w:val="single" w:color="auto" w:sz="4" w:space="0"/>
              <w:right w:val="single" w:color="auto" w:sz="4" w:space="0"/>
            </w:tcBorders>
            <w:vAlign w:val="center"/>
          </w:tcPr>
          <w:p w14:paraId="3394BCC5">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光面低铬铸铁冷却壁</w:t>
            </w:r>
          </w:p>
        </w:tc>
        <w:tc>
          <w:tcPr>
            <w:tcW w:w="1853" w:type="dxa"/>
            <w:tcBorders>
              <w:top w:val="single" w:color="auto" w:sz="4" w:space="0"/>
              <w:left w:val="single" w:color="auto" w:sz="4" w:space="0"/>
              <w:bottom w:val="single" w:color="auto" w:sz="4" w:space="0"/>
              <w:right w:val="single" w:color="auto" w:sz="4" w:space="0"/>
            </w:tcBorders>
            <w:vAlign w:val="center"/>
          </w:tcPr>
          <w:p w14:paraId="7A495241">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32（更换6块）</w:t>
            </w:r>
          </w:p>
        </w:tc>
        <w:tc>
          <w:tcPr>
            <w:tcW w:w="1021" w:type="dxa"/>
            <w:tcBorders>
              <w:top w:val="single" w:color="auto" w:sz="4" w:space="0"/>
              <w:left w:val="single" w:color="auto" w:sz="4" w:space="0"/>
              <w:bottom w:val="single" w:color="auto" w:sz="4" w:space="0"/>
              <w:right w:val="single" w:color="auto" w:sz="4" w:space="0"/>
            </w:tcBorders>
            <w:vAlign w:val="center"/>
          </w:tcPr>
          <w:p w14:paraId="460C67E0">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Φ76</w:t>
            </w:r>
            <w:r>
              <w:rPr>
                <w:rFonts w:hint="eastAsia" w:ascii="Times New Roman" w:hAnsi="Times New Roman" w:cs="Times New Roman"/>
                <w:sz w:val="21"/>
                <w:szCs w:val="21"/>
                <w:highlight w:val="none"/>
              </w:rPr>
              <w:t>x</w:t>
            </w:r>
            <w:r>
              <w:rPr>
                <w:rFonts w:ascii="Times New Roman" w:hAnsi="Times New Roman" w:cs="Times New Roman"/>
                <w:sz w:val="21"/>
                <w:szCs w:val="21"/>
                <w:highlight w:val="none"/>
              </w:rPr>
              <w:t>6</w:t>
            </w:r>
          </w:p>
        </w:tc>
        <w:tc>
          <w:tcPr>
            <w:tcW w:w="1383" w:type="dxa"/>
            <w:tcBorders>
              <w:top w:val="single" w:color="auto" w:sz="4" w:space="0"/>
              <w:left w:val="single" w:color="auto" w:sz="4" w:space="0"/>
              <w:bottom w:val="single" w:color="auto" w:sz="4" w:space="0"/>
              <w:right w:val="single" w:color="auto" w:sz="12" w:space="0"/>
            </w:tcBorders>
            <w:vAlign w:val="center"/>
          </w:tcPr>
          <w:p w14:paraId="166D357F">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w:t>
            </w:r>
          </w:p>
        </w:tc>
      </w:tr>
      <w:tr w14:paraId="451755E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80" w:hRule="atLeast"/>
          <w:jc w:val="center"/>
        </w:trPr>
        <w:tc>
          <w:tcPr>
            <w:tcW w:w="1059" w:type="dxa"/>
            <w:tcBorders>
              <w:top w:val="single" w:color="auto" w:sz="4" w:space="0"/>
              <w:left w:val="single" w:color="auto" w:sz="12" w:space="0"/>
              <w:bottom w:val="single" w:color="auto" w:sz="4" w:space="0"/>
              <w:right w:val="single" w:color="auto" w:sz="4" w:space="0"/>
            </w:tcBorders>
            <w:vAlign w:val="center"/>
          </w:tcPr>
          <w:p w14:paraId="4EB46EF6">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第2段</w:t>
            </w:r>
          </w:p>
        </w:tc>
        <w:tc>
          <w:tcPr>
            <w:tcW w:w="3203" w:type="dxa"/>
            <w:tcBorders>
              <w:top w:val="single" w:color="auto" w:sz="4" w:space="0"/>
              <w:left w:val="single" w:color="auto" w:sz="4" w:space="0"/>
              <w:bottom w:val="single" w:color="auto" w:sz="4" w:space="0"/>
              <w:right w:val="single" w:color="auto" w:sz="4" w:space="0"/>
            </w:tcBorders>
            <w:vAlign w:val="center"/>
          </w:tcPr>
          <w:p w14:paraId="6A246F71">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光面低铬铸铁冷却壁</w:t>
            </w:r>
          </w:p>
        </w:tc>
        <w:tc>
          <w:tcPr>
            <w:tcW w:w="1853" w:type="dxa"/>
            <w:tcBorders>
              <w:top w:val="single" w:color="auto" w:sz="4" w:space="0"/>
              <w:left w:val="single" w:color="auto" w:sz="4" w:space="0"/>
              <w:bottom w:val="single" w:color="auto" w:sz="4" w:space="0"/>
              <w:right w:val="single" w:color="auto" w:sz="4" w:space="0"/>
            </w:tcBorders>
            <w:vAlign w:val="center"/>
          </w:tcPr>
          <w:p w14:paraId="4FA4903F">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29（更换6块）</w:t>
            </w:r>
          </w:p>
        </w:tc>
        <w:tc>
          <w:tcPr>
            <w:tcW w:w="1021" w:type="dxa"/>
            <w:tcBorders>
              <w:top w:val="single" w:color="auto" w:sz="4" w:space="0"/>
              <w:left w:val="single" w:color="auto" w:sz="4" w:space="0"/>
              <w:bottom w:val="single" w:color="auto" w:sz="4" w:space="0"/>
              <w:right w:val="single" w:color="auto" w:sz="4" w:space="0"/>
            </w:tcBorders>
            <w:vAlign w:val="center"/>
          </w:tcPr>
          <w:p w14:paraId="422810C2">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Φ76</w:t>
            </w:r>
            <w:r>
              <w:rPr>
                <w:rFonts w:hint="eastAsia" w:ascii="Times New Roman" w:hAnsi="Times New Roman" w:cs="Times New Roman"/>
                <w:sz w:val="21"/>
                <w:szCs w:val="21"/>
                <w:highlight w:val="none"/>
              </w:rPr>
              <w:t>x</w:t>
            </w:r>
            <w:r>
              <w:rPr>
                <w:rFonts w:ascii="Times New Roman" w:hAnsi="Times New Roman" w:cs="Times New Roman"/>
                <w:sz w:val="21"/>
                <w:szCs w:val="21"/>
                <w:highlight w:val="none"/>
              </w:rPr>
              <w:t>6</w:t>
            </w:r>
          </w:p>
        </w:tc>
        <w:tc>
          <w:tcPr>
            <w:tcW w:w="1383" w:type="dxa"/>
            <w:tcBorders>
              <w:top w:val="single" w:color="auto" w:sz="4" w:space="0"/>
              <w:left w:val="single" w:color="auto" w:sz="4" w:space="0"/>
              <w:bottom w:val="single" w:color="auto" w:sz="4" w:space="0"/>
              <w:right w:val="single" w:color="auto" w:sz="12" w:space="0"/>
            </w:tcBorders>
            <w:vAlign w:val="center"/>
          </w:tcPr>
          <w:p w14:paraId="71DE9955">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w:t>
            </w:r>
          </w:p>
        </w:tc>
      </w:tr>
      <w:tr w14:paraId="621EA8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80" w:hRule="atLeast"/>
          <w:jc w:val="center"/>
        </w:trPr>
        <w:tc>
          <w:tcPr>
            <w:tcW w:w="1059" w:type="dxa"/>
            <w:tcBorders>
              <w:top w:val="single" w:color="auto" w:sz="4" w:space="0"/>
              <w:left w:val="single" w:color="auto" w:sz="12" w:space="0"/>
              <w:bottom w:val="single" w:color="auto" w:sz="4" w:space="0"/>
              <w:right w:val="single" w:color="auto" w:sz="4" w:space="0"/>
            </w:tcBorders>
            <w:vAlign w:val="center"/>
          </w:tcPr>
          <w:p w14:paraId="67C76633">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第3段</w:t>
            </w:r>
          </w:p>
        </w:tc>
        <w:tc>
          <w:tcPr>
            <w:tcW w:w="3203" w:type="dxa"/>
            <w:tcBorders>
              <w:top w:val="single" w:color="auto" w:sz="4" w:space="0"/>
              <w:left w:val="single" w:color="auto" w:sz="4" w:space="0"/>
              <w:bottom w:val="single" w:color="auto" w:sz="4" w:space="0"/>
              <w:right w:val="single" w:color="auto" w:sz="4" w:space="0"/>
            </w:tcBorders>
            <w:vAlign w:val="center"/>
          </w:tcPr>
          <w:p w14:paraId="34F2B961">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光面低铬铸铁冷却壁</w:t>
            </w:r>
          </w:p>
        </w:tc>
        <w:tc>
          <w:tcPr>
            <w:tcW w:w="1853" w:type="dxa"/>
            <w:tcBorders>
              <w:top w:val="single" w:color="auto" w:sz="4" w:space="0"/>
              <w:left w:val="single" w:color="auto" w:sz="4" w:space="0"/>
              <w:bottom w:val="single" w:color="auto" w:sz="4" w:space="0"/>
              <w:right w:val="single" w:color="auto" w:sz="4" w:space="0"/>
            </w:tcBorders>
            <w:vAlign w:val="center"/>
          </w:tcPr>
          <w:p w14:paraId="0880C250">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29（更换4块）</w:t>
            </w:r>
          </w:p>
        </w:tc>
        <w:tc>
          <w:tcPr>
            <w:tcW w:w="1021" w:type="dxa"/>
            <w:tcBorders>
              <w:top w:val="single" w:color="auto" w:sz="4" w:space="0"/>
              <w:left w:val="single" w:color="auto" w:sz="4" w:space="0"/>
              <w:bottom w:val="single" w:color="auto" w:sz="4" w:space="0"/>
              <w:right w:val="single" w:color="auto" w:sz="4" w:space="0"/>
            </w:tcBorders>
            <w:vAlign w:val="center"/>
          </w:tcPr>
          <w:p w14:paraId="2F6C95C1">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Φ76</w:t>
            </w:r>
            <w:r>
              <w:rPr>
                <w:rFonts w:hint="eastAsia" w:ascii="Times New Roman" w:hAnsi="Times New Roman" w:cs="Times New Roman"/>
                <w:sz w:val="21"/>
                <w:szCs w:val="21"/>
                <w:highlight w:val="none"/>
              </w:rPr>
              <w:t>x</w:t>
            </w:r>
            <w:r>
              <w:rPr>
                <w:rFonts w:ascii="Times New Roman" w:hAnsi="Times New Roman" w:cs="Times New Roman"/>
                <w:sz w:val="21"/>
                <w:szCs w:val="21"/>
                <w:highlight w:val="none"/>
              </w:rPr>
              <w:t>6</w:t>
            </w:r>
          </w:p>
        </w:tc>
        <w:tc>
          <w:tcPr>
            <w:tcW w:w="1383" w:type="dxa"/>
            <w:tcBorders>
              <w:top w:val="single" w:color="auto" w:sz="4" w:space="0"/>
              <w:left w:val="single" w:color="auto" w:sz="4" w:space="0"/>
              <w:bottom w:val="single" w:color="auto" w:sz="4" w:space="0"/>
              <w:right w:val="single" w:color="auto" w:sz="12" w:space="0"/>
            </w:tcBorders>
            <w:vAlign w:val="center"/>
          </w:tcPr>
          <w:p w14:paraId="07627754">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w:t>
            </w:r>
          </w:p>
        </w:tc>
      </w:tr>
      <w:tr w14:paraId="725975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80" w:hRule="atLeast"/>
          <w:jc w:val="center"/>
        </w:trPr>
        <w:tc>
          <w:tcPr>
            <w:tcW w:w="1059" w:type="dxa"/>
            <w:tcBorders>
              <w:top w:val="single" w:color="auto" w:sz="4" w:space="0"/>
              <w:left w:val="single" w:color="auto" w:sz="12" w:space="0"/>
              <w:bottom w:val="single" w:color="auto" w:sz="4" w:space="0"/>
              <w:right w:val="single" w:color="auto" w:sz="4" w:space="0"/>
            </w:tcBorders>
            <w:vAlign w:val="center"/>
          </w:tcPr>
          <w:p w14:paraId="72A52D99">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第4段</w:t>
            </w:r>
          </w:p>
        </w:tc>
        <w:tc>
          <w:tcPr>
            <w:tcW w:w="3203" w:type="dxa"/>
            <w:tcBorders>
              <w:top w:val="single" w:color="auto" w:sz="4" w:space="0"/>
              <w:left w:val="single" w:color="auto" w:sz="4" w:space="0"/>
              <w:bottom w:val="single" w:color="auto" w:sz="4" w:space="0"/>
              <w:right w:val="single" w:color="auto" w:sz="4" w:space="0"/>
            </w:tcBorders>
            <w:vAlign w:val="center"/>
          </w:tcPr>
          <w:p w14:paraId="005C92DC">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光面球墨铸铁冷却壁</w:t>
            </w:r>
          </w:p>
        </w:tc>
        <w:tc>
          <w:tcPr>
            <w:tcW w:w="1853" w:type="dxa"/>
            <w:tcBorders>
              <w:top w:val="single" w:color="auto" w:sz="4" w:space="0"/>
              <w:left w:val="single" w:color="auto" w:sz="4" w:space="0"/>
              <w:bottom w:val="single" w:color="auto" w:sz="4" w:space="0"/>
              <w:right w:val="single" w:color="auto" w:sz="4" w:space="0"/>
            </w:tcBorders>
            <w:vAlign w:val="center"/>
          </w:tcPr>
          <w:p w14:paraId="5A2DBE60">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20（重新设计）</w:t>
            </w:r>
          </w:p>
        </w:tc>
        <w:tc>
          <w:tcPr>
            <w:tcW w:w="1021" w:type="dxa"/>
            <w:tcBorders>
              <w:top w:val="single" w:color="auto" w:sz="4" w:space="0"/>
              <w:left w:val="single" w:color="auto" w:sz="4" w:space="0"/>
              <w:bottom w:val="single" w:color="auto" w:sz="4" w:space="0"/>
              <w:right w:val="single" w:color="auto" w:sz="4" w:space="0"/>
            </w:tcBorders>
            <w:vAlign w:val="center"/>
          </w:tcPr>
          <w:p w14:paraId="5CDA085F">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Φ76</w:t>
            </w:r>
            <w:r>
              <w:rPr>
                <w:rFonts w:hint="eastAsia" w:ascii="Times New Roman" w:hAnsi="Times New Roman" w:cs="Times New Roman"/>
                <w:sz w:val="21"/>
                <w:szCs w:val="21"/>
                <w:highlight w:val="none"/>
              </w:rPr>
              <w:t>x</w:t>
            </w:r>
            <w:r>
              <w:rPr>
                <w:rFonts w:ascii="Times New Roman" w:hAnsi="Times New Roman" w:cs="Times New Roman"/>
                <w:sz w:val="21"/>
                <w:szCs w:val="21"/>
                <w:highlight w:val="none"/>
              </w:rPr>
              <w:t>6</w:t>
            </w:r>
          </w:p>
        </w:tc>
        <w:tc>
          <w:tcPr>
            <w:tcW w:w="1383" w:type="dxa"/>
            <w:tcBorders>
              <w:top w:val="single" w:color="auto" w:sz="4" w:space="0"/>
              <w:left w:val="single" w:color="auto" w:sz="4" w:space="0"/>
              <w:bottom w:val="single" w:color="auto" w:sz="4" w:space="0"/>
              <w:right w:val="single" w:color="auto" w:sz="12" w:space="0"/>
            </w:tcBorders>
            <w:vAlign w:val="center"/>
          </w:tcPr>
          <w:p w14:paraId="06B59DB9">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w:t>
            </w:r>
          </w:p>
        </w:tc>
      </w:tr>
      <w:tr w14:paraId="3A17F8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80" w:hRule="atLeast"/>
          <w:jc w:val="center"/>
        </w:trPr>
        <w:tc>
          <w:tcPr>
            <w:tcW w:w="1059" w:type="dxa"/>
            <w:tcBorders>
              <w:top w:val="single" w:color="auto" w:sz="4" w:space="0"/>
              <w:left w:val="single" w:color="auto" w:sz="12" w:space="0"/>
              <w:bottom w:val="single" w:color="auto" w:sz="4" w:space="0"/>
              <w:right w:val="single" w:color="auto" w:sz="4" w:space="0"/>
            </w:tcBorders>
            <w:vAlign w:val="center"/>
          </w:tcPr>
          <w:p w14:paraId="2F825EEA">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第5段</w:t>
            </w:r>
          </w:p>
        </w:tc>
        <w:tc>
          <w:tcPr>
            <w:tcW w:w="3203" w:type="dxa"/>
            <w:tcBorders>
              <w:top w:val="single" w:color="auto" w:sz="4" w:space="0"/>
              <w:left w:val="single" w:color="auto" w:sz="4" w:space="0"/>
              <w:bottom w:val="single" w:color="auto" w:sz="4" w:space="0"/>
              <w:right w:val="single" w:color="auto" w:sz="4" w:space="0"/>
            </w:tcBorders>
            <w:vAlign w:val="center"/>
          </w:tcPr>
          <w:p w14:paraId="2B8F28C0">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轧制钻孔铜冷却壁</w:t>
            </w:r>
          </w:p>
        </w:tc>
        <w:tc>
          <w:tcPr>
            <w:tcW w:w="1853" w:type="dxa"/>
            <w:tcBorders>
              <w:top w:val="single" w:color="auto" w:sz="4" w:space="0"/>
              <w:left w:val="single" w:color="auto" w:sz="4" w:space="0"/>
              <w:bottom w:val="single" w:color="auto" w:sz="4" w:space="0"/>
              <w:right w:val="single" w:color="auto" w:sz="4" w:space="0"/>
            </w:tcBorders>
            <w:vAlign w:val="center"/>
          </w:tcPr>
          <w:p w14:paraId="62EDBFA0">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32（利旧）</w:t>
            </w:r>
          </w:p>
        </w:tc>
        <w:tc>
          <w:tcPr>
            <w:tcW w:w="1021" w:type="dxa"/>
            <w:tcBorders>
              <w:top w:val="single" w:color="auto" w:sz="4" w:space="0"/>
              <w:left w:val="single" w:color="auto" w:sz="4" w:space="0"/>
              <w:bottom w:val="single" w:color="auto" w:sz="4" w:space="0"/>
              <w:right w:val="single" w:color="auto" w:sz="4" w:space="0"/>
            </w:tcBorders>
            <w:vAlign w:val="center"/>
          </w:tcPr>
          <w:p w14:paraId="1F639D0C">
            <w:pPr>
              <w:spacing w:line="300" w:lineRule="auto"/>
              <w:ind w:firstLine="0" w:firstLineChars="0"/>
              <w:jc w:val="center"/>
              <w:rPr>
                <w:rFonts w:ascii="Times New Roman" w:hAnsi="Times New Roman" w:cs="Times New Roman"/>
                <w:sz w:val="21"/>
                <w:szCs w:val="21"/>
                <w:highlight w:val="none"/>
              </w:rPr>
            </w:pPr>
          </w:p>
        </w:tc>
        <w:tc>
          <w:tcPr>
            <w:tcW w:w="1383" w:type="dxa"/>
            <w:tcBorders>
              <w:top w:val="single" w:color="auto" w:sz="4" w:space="0"/>
              <w:left w:val="single" w:color="auto" w:sz="4" w:space="0"/>
              <w:bottom w:val="single" w:color="auto" w:sz="4" w:space="0"/>
              <w:right w:val="single" w:color="auto" w:sz="12" w:space="0"/>
            </w:tcBorders>
            <w:vAlign w:val="center"/>
          </w:tcPr>
          <w:p w14:paraId="00050992">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槽外150</w:t>
            </w:r>
          </w:p>
        </w:tc>
      </w:tr>
      <w:tr w14:paraId="1D3AD9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80" w:hRule="atLeast"/>
          <w:jc w:val="center"/>
        </w:trPr>
        <w:tc>
          <w:tcPr>
            <w:tcW w:w="1059" w:type="dxa"/>
            <w:tcBorders>
              <w:top w:val="single" w:color="auto" w:sz="4" w:space="0"/>
              <w:left w:val="single" w:color="auto" w:sz="12" w:space="0"/>
              <w:bottom w:val="single" w:color="auto" w:sz="4" w:space="0"/>
              <w:right w:val="single" w:color="auto" w:sz="4" w:space="0"/>
            </w:tcBorders>
            <w:vAlign w:val="center"/>
          </w:tcPr>
          <w:p w14:paraId="36FF659A">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第6段</w:t>
            </w:r>
          </w:p>
        </w:tc>
        <w:tc>
          <w:tcPr>
            <w:tcW w:w="3203" w:type="dxa"/>
            <w:tcBorders>
              <w:top w:val="single" w:color="auto" w:sz="4" w:space="0"/>
              <w:left w:val="single" w:color="auto" w:sz="4" w:space="0"/>
              <w:bottom w:val="single" w:color="auto" w:sz="4" w:space="0"/>
              <w:right w:val="single" w:color="auto" w:sz="4" w:space="0"/>
            </w:tcBorders>
            <w:vAlign w:val="center"/>
          </w:tcPr>
          <w:p w14:paraId="78A8B5C2">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轧制钻孔铜冷却壁</w:t>
            </w:r>
          </w:p>
        </w:tc>
        <w:tc>
          <w:tcPr>
            <w:tcW w:w="1853" w:type="dxa"/>
            <w:tcBorders>
              <w:top w:val="single" w:color="auto" w:sz="4" w:space="0"/>
              <w:left w:val="single" w:color="auto" w:sz="4" w:space="0"/>
              <w:bottom w:val="single" w:color="auto" w:sz="4" w:space="0"/>
              <w:right w:val="single" w:color="auto" w:sz="4" w:space="0"/>
            </w:tcBorders>
            <w:vAlign w:val="center"/>
          </w:tcPr>
          <w:p w14:paraId="599D34CA">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32（利旧）</w:t>
            </w:r>
          </w:p>
        </w:tc>
        <w:tc>
          <w:tcPr>
            <w:tcW w:w="1021" w:type="dxa"/>
            <w:tcBorders>
              <w:top w:val="single" w:color="auto" w:sz="4" w:space="0"/>
              <w:left w:val="single" w:color="auto" w:sz="4" w:space="0"/>
              <w:bottom w:val="single" w:color="auto" w:sz="4" w:space="0"/>
              <w:right w:val="single" w:color="auto" w:sz="4" w:space="0"/>
            </w:tcBorders>
            <w:vAlign w:val="center"/>
          </w:tcPr>
          <w:p w14:paraId="06714939">
            <w:pPr>
              <w:spacing w:line="300" w:lineRule="auto"/>
              <w:ind w:firstLine="0" w:firstLineChars="0"/>
              <w:jc w:val="center"/>
              <w:rPr>
                <w:rFonts w:ascii="Times New Roman" w:hAnsi="Times New Roman" w:cs="Times New Roman"/>
                <w:sz w:val="21"/>
                <w:szCs w:val="21"/>
                <w:highlight w:val="none"/>
              </w:rPr>
            </w:pPr>
          </w:p>
        </w:tc>
        <w:tc>
          <w:tcPr>
            <w:tcW w:w="1383" w:type="dxa"/>
            <w:tcBorders>
              <w:top w:val="single" w:color="auto" w:sz="4" w:space="0"/>
              <w:left w:val="single" w:color="auto" w:sz="4" w:space="0"/>
              <w:bottom w:val="single" w:color="auto" w:sz="4" w:space="0"/>
              <w:right w:val="single" w:color="auto" w:sz="12" w:space="0"/>
            </w:tcBorders>
            <w:vAlign w:val="center"/>
          </w:tcPr>
          <w:p w14:paraId="418C3262">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槽外150</w:t>
            </w:r>
          </w:p>
        </w:tc>
      </w:tr>
      <w:tr w14:paraId="71487B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80" w:hRule="atLeast"/>
          <w:jc w:val="center"/>
        </w:trPr>
        <w:tc>
          <w:tcPr>
            <w:tcW w:w="1059" w:type="dxa"/>
            <w:tcBorders>
              <w:top w:val="single" w:color="auto" w:sz="4" w:space="0"/>
              <w:left w:val="single" w:color="auto" w:sz="12" w:space="0"/>
              <w:bottom w:val="single" w:color="auto" w:sz="4" w:space="0"/>
              <w:right w:val="single" w:color="auto" w:sz="4" w:space="0"/>
            </w:tcBorders>
            <w:vAlign w:val="center"/>
          </w:tcPr>
          <w:p w14:paraId="5668C667">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第7段</w:t>
            </w:r>
          </w:p>
        </w:tc>
        <w:tc>
          <w:tcPr>
            <w:tcW w:w="3203" w:type="dxa"/>
            <w:tcBorders>
              <w:top w:val="single" w:color="auto" w:sz="4" w:space="0"/>
              <w:left w:val="single" w:color="auto" w:sz="4" w:space="0"/>
              <w:bottom w:val="single" w:color="auto" w:sz="4" w:space="0"/>
              <w:right w:val="single" w:color="auto" w:sz="4" w:space="0"/>
            </w:tcBorders>
            <w:vAlign w:val="center"/>
          </w:tcPr>
          <w:p w14:paraId="1D8CF861">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轧制钻孔铜冷却壁</w:t>
            </w:r>
          </w:p>
        </w:tc>
        <w:tc>
          <w:tcPr>
            <w:tcW w:w="1853" w:type="dxa"/>
            <w:tcBorders>
              <w:top w:val="single" w:color="auto" w:sz="4" w:space="0"/>
              <w:left w:val="single" w:color="auto" w:sz="4" w:space="0"/>
              <w:bottom w:val="single" w:color="auto" w:sz="4" w:space="0"/>
              <w:right w:val="single" w:color="auto" w:sz="4" w:space="0"/>
            </w:tcBorders>
            <w:vAlign w:val="center"/>
          </w:tcPr>
          <w:p w14:paraId="3FF135A8">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32（利旧）</w:t>
            </w:r>
          </w:p>
        </w:tc>
        <w:tc>
          <w:tcPr>
            <w:tcW w:w="1021" w:type="dxa"/>
            <w:tcBorders>
              <w:top w:val="single" w:color="auto" w:sz="4" w:space="0"/>
              <w:left w:val="single" w:color="auto" w:sz="4" w:space="0"/>
              <w:bottom w:val="single" w:color="auto" w:sz="4" w:space="0"/>
              <w:right w:val="single" w:color="auto" w:sz="4" w:space="0"/>
            </w:tcBorders>
            <w:vAlign w:val="center"/>
          </w:tcPr>
          <w:p w14:paraId="16D24C3D">
            <w:pPr>
              <w:spacing w:line="300" w:lineRule="auto"/>
              <w:ind w:firstLine="0" w:firstLineChars="0"/>
              <w:jc w:val="center"/>
              <w:rPr>
                <w:rFonts w:ascii="Times New Roman" w:hAnsi="Times New Roman" w:cs="Times New Roman"/>
                <w:sz w:val="21"/>
                <w:szCs w:val="21"/>
                <w:highlight w:val="none"/>
              </w:rPr>
            </w:pPr>
          </w:p>
        </w:tc>
        <w:tc>
          <w:tcPr>
            <w:tcW w:w="1383" w:type="dxa"/>
            <w:tcBorders>
              <w:top w:val="single" w:color="auto" w:sz="4" w:space="0"/>
              <w:left w:val="single" w:color="auto" w:sz="4" w:space="0"/>
              <w:bottom w:val="single" w:color="auto" w:sz="4" w:space="0"/>
              <w:right w:val="single" w:color="auto" w:sz="12" w:space="0"/>
            </w:tcBorders>
            <w:vAlign w:val="center"/>
          </w:tcPr>
          <w:p w14:paraId="5C260972">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槽外150</w:t>
            </w:r>
          </w:p>
        </w:tc>
      </w:tr>
      <w:tr w14:paraId="033A4B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80" w:hRule="atLeast"/>
          <w:jc w:val="center"/>
        </w:trPr>
        <w:tc>
          <w:tcPr>
            <w:tcW w:w="1059" w:type="dxa"/>
            <w:tcBorders>
              <w:top w:val="single" w:color="auto" w:sz="4" w:space="0"/>
              <w:left w:val="single" w:color="auto" w:sz="12" w:space="0"/>
              <w:bottom w:val="single" w:color="auto" w:sz="4" w:space="0"/>
              <w:right w:val="single" w:color="auto" w:sz="4" w:space="0"/>
            </w:tcBorders>
            <w:vAlign w:val="center"/>
          </w:tcPr>
          <w:p w14:paraId="2F36BD15">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第8段</w:t>
            </w:r>
          </w:p>
        </w:tc>
        <w:tc>
          <w:tcPr>
            <w:tcW w:w="3203" w:type="dxa"/>
            <w:tcBorders>
              <w:top w:val="single" w:color="auto" w:sz="4" w:space="0"/>
              <w:left w:val="single" w:color="auto" w:sz="4" w:space="0"/>
              <w:bottom w:val="single" w:color="auto" w:sz="4" w:space="0"/>
              <w:right w:val="single" w:color="auto" w:sz="4" w:space="0"/>
            </w:tcBorders>
            <w:vAlign w:val="center"/>
          </w:tcPr>
          <w:p w14:paraId="5288A8CB">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双层水冷镶砖球墨铸铁冷却壁</w:t>
            </w:r>
          </w:p>
        </w:tc>
        <w:tc>
          <w:tcPr>
            <w:tcW w:w="1853" w:type="dxa"/>
            <w:tcBorders>
              <w:top w:val="single" w:color="auto" w:sz="4" w:space="0"/>
              <w:left w:val="single" w:color="auto" w:sz="4" w:space="0"/>
              <w:bottom w:val="single" w:color="auto" w:sz="4" w:space="0"/>
              <w:right w:val="single" w:color="auto" w:sz="4" w:space="0"/>
            </w:tcBorders>
            <w:vAlign w:val="center"/>
          </w:tcPr>
          <w:p w14:paraId="6038B547">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32（全部更换）</w:t>
            </w:r>
          </w:p>
        </w:tc>
        <w:tc>
          <w:tcPr>
            <w:tcW w:w="1021" w:type="dxa"/>
            <w:tcBorders>
              <w:top w:val="single" w:color="auto" w:sz="4" w:space="0"/>
              <w:left w:val="single" w:color="auto" w:sz="4" w:space="0"/>
              <w:bottom w:val="single" w:color="auto" w:sz="4" w:space="0"/>
              <w:right w:val="single" w:color="auto" w:sz="4" w:space="0"/>
            </w:tcBorders>
            <w:vAlign w:val="center"/>
          </w:tcPr>
          <w:p w14:paraId="44F140A2">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Φ76</w:t>
            </w:r>
            <w:r>
              <w:rPr>
                <w:rFonts w:hint="eastAsia" w:ascii="Times New Roman" w:hAnsi="Times New Roman" w:cs="Times New Roman"/>
                <w:sz w:val="21"/>
                <w:szCs w:val="21"/>
                <w:highlight w:val="none"/>
              </w:rPr>
              <w:t>x</w:t>
            </w:r>
            <w:r>
              <w:rPr>
                <w:rFonts w:ascii="Times New Roman" w:hAnsi="Times New Roman" w:cs="Times New Roman"/>
                <w:sz w:val="21"/>
                <w:szCs w:val="21"/>
                <w:highlight w:val="none"/>
              </w:rPr>
              <w:t>6</w:t>
            </w:r>
          </w:p>
        </w:tc>
        <w:tc>
          <w:tcPr>
            <w:tcW w:w="1383" w:type="dxa"/>
            <w:tcBorders>
              <w:top w:val="single" w:color="auto" w:sz="4" w:space="0"/>
              <w:left w:val="single" w:color="auto" w:sz="4" w:space="0"/>
              <w:bottom w:val="single" w:color="auto" w:sz="4" w:space="0"/>
              <w:right w:val="single" w:color="auto" w:sz="12" w:space="0"/>
            </w:tcBorders>
            <w:vAlign w:val="center"/>
          </w:tcPr>
          <w:p w14:paraId="6C93F98C">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槽外150</w:t>
            </w:r>
          </w:p>
        </w:tc>
      </w:tr>
      <w:tr w14:paraId="5D9FC6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80" w:hRule="atLeast"/>
          <w:jc w:val="center"/>
        </w:trPr>
        <w:tc>
          <w:tcPr>
            <w:tcW w:w="1059" w:type="dxa"/>
            <w:tcBorders>
              <w:top w:val="single" w:color="auto" w:sz="4" w:space="0"/>
              <w:left w:val="single" w:color="auto" w:sz="12" w:space="0"/>
              <w:bottom w:val="single" w:color="auto" w:sz="4" w:space="0"/>
              <w:right w:val="single" w:color="auto" w:sz="4" w:space="0"/>
            </w:tcBorders>
            <w:vAlign w:val="center"/>
          </w:tcPr>
          <w:p w14:paraId="678B9D1A">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第9段</w:t>
            </w:r>
          </w:p>
        </w:tc>
        <w:tc>
          <w:tcPr>
            <w:tcW w:w="3203" w:type="dxa"/>
            <w:tcBorders>
              <w:top w:val="single" w:color="auto" w:sz="4" w:space="0"/>
              <w:left w:val="single" w:color="auto" w:sz="4" w:space="0"/>
              <w:bottom w:val="single" w:color="auto" w:sz="4" w:space="0"/>
              <w:right w:val="single" w:color="auto" w:sz="4" w:space="0"/>
            </w:tcBorders>
            <w:vAlign w:val="center"/>
          </w:tcPr>
          <w:p w14:paraId="6B43522F">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双层水冷镶砖球墨铸铁冷却壁</w:t>
            </w:r>
          </w:p>
        </w:tc>
        <w:tc>
          <w:tcPr>
            <w:tcW w:w="1853" w:type="dxa"/>
            <w:tcBorders>
              <w:top w:val="single" w:color="auto" w:sz="4" w:space="0"/>
              <w:left w:val="single" w:color="auto" w:sz="4" w:space="0"/>
              <w:bottom w:val="single" w:color="auto" w:sz="4" w:space="0"/>
              <w:right w:val="single" w:color="auto" w:sz="4" w:space="0"/>
            </w:tcBorders>
            <w:vAlign w:val="center"/>
          </w:tcPr>
          <w:p w14:paraId="757CDEEC">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32（全部更换）</w:t>
            </w:r>
          </w:p>
        </w:tc>
        <w:tc>
          <w:tcPr>
            <w:tcW w:w="1021" w:type="dxa"/>
            <w:tcBorders>
              <w:top w:val="single" w:color="auto" w:sz="4" w:space="0"/>
              <w:left w:val="single" w:color="auto" w:sz="4" w:space="0"/>
              <w:bottom w:val="single" w:color="auto" w:sz="4" w:space="0"/>
              <w:right w:val="single" w:color="auto" w:sz="4" w:space="0"/>
            </w:tcBorders>
            <w:vAlign w:val="center"/>
          </w:tcPr>
          <w:p w14:paraId="0D49E522">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Φ76</w:t>
            </w:r>
            <w:r>
              <w:rPr>
                <w:rFonts w:hint="eastAsia" w:ascii="Times New Roman" w:hAnsi="Times New Roman" w:cs="Times New Roman"/>
                <w:sz w:val="21"/>
                <w:szCs w:val="21"/>
                <w:highlight w:val="none"/>
              </w:rPr>
              <w:t>x</w:t>
            </w:r>
            <w:r>
              <w:rPr>
                <w:rFonts w:ascii="Times New Roman" w:hAnsi="Times New Roman" w:cs="Times New Roman"/>
                <w:sz w:val="21"/>
                <w:szCs w:val="21"/>
                <w:highlight w:val="none"/>
              </w:rPr>
              <w:t>6</w:t>
            </w:r>
          </w:p>
        </w:tc>
        <w:tc>
          <w:tcPr>
            <w:tcW w:w="1383" w:type="dxa"/>
            <w:tcBorders>
              <w:top w:val="single" w:color="auto" w:sz="4" w:space="0"/>
              <w:left w:val="single" w:color="auto" w:sz="4" w:space="0"/>
              <w:bottom w:val="single" w:color="auto" w:sz="4" w:space="0"/>
              <w:right w:val="single" w:color="auto" w:sz="12" w:space="0"/>
            </w:tcBorders>
            <w:vAlign w:val="center"/>
          </w:tcPr>
          <w:p w14:paraId="50DA940F">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槽外150</w:t>
            </w:r>
          </w:p>
        </w:tc>
      </w:tr>
      <w:tr w14:paraId="50860C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80" w:hRule="atLeast"/>
          <w:jc w:val="center"/>
        </w:trPr>
        <w:tc>
          <w:tcPr>
            <w:tcW w:w="1059" w:type="dxa"/>
            <w:tcBorders>
              <w:top w:val="single" w:color="auto" w:sz="4" w:space="0"/>
              <w:left w:val="single" w:color="auto" w:sz="12" w:space="0"/>
              <w:bottom w:val="single" w:color="auto" w:sz="4" w:space="0"/>
              <w:right w:val="single" w:color="auto" w:sz="4" w:space="0"/>
            </w:tcBorders>
            <w:vAlign w:val="center"/>
          </w:tcPr>
          <w:p w14:paraId="2B9C8318">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第10段</w:t>
            </w:r>
          </w:p>
        </w:tc>
        <w:tc>
          <w:tcPr>
            <w:tcW w:w="3203" w:type="dxa"/>
            <w:tcBorders>
              <w:top w:val="single" w:color="auto" w:sz="4" w:space="0"/>
              <w:left w:val="single" w:color="auto" w:sz="4" w:space="0"/>
              <w:bottom w:val="single" w:color="auto" w:sz="4" w:space="0"/>
              <w:right w:val="single" w:color="auto" w:sz="4" w:space="0"/>
            </w:tcBorders>
            <w:vAlign w:val="center"/>
          </w:tcPr>
          <w:p w14:paraId="1928CF7B">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双层水冷镶砖球墨铸铁冷却壁</w:t>
            </w:r>
          </w:p>
        </w:tc>
        <w:tc>
          <w:tcPr>
            <w:tcW w:w="1853" w:type="dxa"/>
            <w:tcBorders>
              <w:top w:val="single" w:color="auto" w:sz="4" w:space="0"/>
              <w:left w:val="single" w:color="auto" w:sz="4" w:space="0"/>
              <w:bottom w:val="single" w:color="auto" w:sz="4" w:space="0"/>
              <w:right w:val="single" w:color="auto" w:sz="4" w:space="0"/>
            </w:tcBorders>
            <w:vAlign w:val="center"/>
          </w:tcPr>
          <w:p w14:paraId="42CBE61E">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28（全部更换）</w:t>
            </w:r>
          </w:p>
        </w:tc>
        <w:tc>
          <w:tcPr>
            <w:tcW w:w="1021" w:type="dxa"/>
            <w:tcBorders>
              <w:top w:val="single" w:color="auto" w:sz="4" w:space="0"/>
              <w:left w:val="single" w:color="auto" w:sz="4" w:space="0"/>
              <w:bottom w:val="single" w:color="auto" w:sz="4" w:space="0"/>
              <w:right w:val="single" w:color="auto" w:sz="4" w:space="0"/>
            </w:tcBorders>
            <w:vAlign w:val="center"/>
          </w:tcPr>
          <w:p w14:paraId="7CA78CDA">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Φ76</w:t>
            </w:r>
            <w:r>
              <w:rPr>
                <w:rFonts w:hint="eastAsia" w:ascii="Times New Roman" w:hAnsi="Times New Roman" w:cs="Times New Roman"/>
                <w:sz w:val="21"/>
                <w:szCs w:val="21"/>
                <w:highlight w:val="none"/>
              </w:rPr>
              <w:t>x</w:t>
            </w:r>
            <w:r>
              <w:rPr>
                <w:rFonts w:ascii="Times New Roman" w:hAnsi="Times New Roman" w:cs="Times New Roman"/>
                <w:sz w:val="21"/>
                <w:szCs w:val="21"/>
                <w:highlight w:val="none"/>
              </w:rPr>
              <w:t>6</w:t>
            </w:r>
          </w:p>
        </w:tc>
        <w:tc>
          <w:tcPr>
            <w:tcW w:w="1383" w:type="dxa"/>
            <w:tcBorders>
              <w:top w:val="single" w:color="auto" w:sz="4" w:space="0"/>
              <w:left w:val="single" w:color="auto" w:sz="4" w:space="0"/>
              <w:bottom w:val="single" w:color="auto" w:sz="4" w:space="0"/>
              <w:right w:val="single" w:color="auto" w:sz="12" w:space="0"/>
            </w:tcBorders>
            <w:vAlign w:val="center"/>
          </w:tcPr>
          <w:p w14:paraId="65DA4519">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槽外150</w:t>
            </w:r>
          </w:p>
        </w:tc>
      </w:tr>
      <w:tr w14:paraId="68122A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80" w:hRule="atLeast"/>
          <w:jc w:val="center"/>
        </w:trPr>
        <w:tc>
          <w:tcPr>
            <w:tcW w:w="1059" w:type="dxa"/>
            <w:tcBorders>
              <w:top w:val="single" w:color="auto" w:sz="4" w:space="0"/>
              <w:left w:val="single" w:color="auto" w:sz="12" w:space="0"/>
              <w:bottom w:val="single" w:color="auto" w:sz="4" w:space="0"/>
              <w:right w:val="single" w:color="auto" w:sz="4" w:space="0"/>
            </w:tcBorders>
            <w:vAlign w:val="center"/>
          </w:tcPr>
          <w:p w14:paraId="38136840">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第11段</w:t>
            </w:r>
          </w:p>
        </w:tc>
        <w:tc>
          <w:tcPr>
            <w:tcW w:w="3203" w:type="dxa"/>
            <w:tcBorders>
              <w:top w:val="single" w:color="auto" w:sz="4" w:space="0"/>
              <w:left w:val="single" w:color="auto" w:sz="4" w:space="0"/>
              <w:bottom w:val="single" w:color="auto" w:sz="4" w:space="0"/>
              <w:right w:val="single" w:color="auto" w:sz="4" w:space="0"/>
            </w:tcBorders>
            <w:vAlign w:val="center"/>
          </w:tcPr>
          <w:p w14:paraId="3D5871F9">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单层水冷镶砖球墨铸铁冷却壁</w:t>
            </w:r>
          </w:p>
        </w:tc>
        <w:tc>
          <w:tcPr>
            <w:tcW w:w="1853" w:type="dxa"/>
            <w:tcBorders>
              <w:top w:val="single" w:color="auto" w:sz="4" w:space="0"/>
              <w:left w:val="single" w:color="auto" w:sz="4" w:space="0"/>
              <w:bottom w:val="single" w:color="auto" w:sz="4" w:space="0"/>
              <w:right w:val="single" w:color="auto" w:sz="4" w:space="0"/>
            </w:tcBorders>
            <w:vAlign w:val="center"/>
          </w:tcPr>
          <w:p w14:paraId="31FC62A5">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28（全部更换）</w:t>
            </w:r>
          </w:p>
        </w:tc>
        <w:tc>
          <w:tcPr>
            <w:tcW w:w="1021" w:type="dxa"/>
            <w:tcBorders>
              <w:top w:val="single" w:color="auto" w:sz="4" w:space="0"/>
              <w:left w:val="single" w:color="auto" w:sz="4" w:space="0"/>
              <w:bottom w:val="single" w:color="auto" w:sz="4" w:space="0"/>
              <w:right w:val="single" w:color="auto" w:sz="4" w:space="0"/>
            </w:tcBorders>
            <w:vAlign w:val="center"/>
          </w:tcPr>
          <w:p w14:paraId="3EEE8772">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Φ76</w:t>
            </w:r>
            <w:r>
              <w:rPr>
                <w:rFonts w:hint="eastAsia" w:ascii="Times New Roman" w:hAnsi="Times New Roman" w:cs="Times New Roman"/>
                <w:sz w:val="21"/>
                <w:szCs w:val="21"/>
                <w:highlight w:val="none"/>
              </w:rPr>
              <w:t>x</w:t>
            </w:r>
            <w:r>
              <w:rPr>
                <w:rFonts w:ascii="Times New Roman" w:hAnsi="Times New Roman" w:cs="Times New Roman"/>
                <w:sz w:val="21"/>
                <w:szCs w:val="21"/>
                <w:highlight w:val="none"/>
              </w:rPr>
              <w:t>6</w:t>
            </w:r>
          </w:p>
        </w:tc>
        <w:tc>
          <w:tcPr>
            <w:tcW w:w="1383" w:type="dxa"/>
            <w:tcBorders>
              <w:top w:val="single" w:color="auto" w:sz="4" w:space="0"/>
              <w:left w:val="single" w:color="auto" w:sz="4" w:space="0"/>
              <w:bottom w:val="single" w:color="auto" w:sz="4" w:space="0"/>
              <w:right w:val="single" w:color="auto" w:sz="12" w:space="0"/>
            </w:tcBorders>
            <w:vAlign w:val="center"/>
          </w:tcPr>
          <w:p w14:paraId="41C240AC">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槽外150</w:t>
            </w:r>
          </w:p>
        </w:tc>
      </w:tr>
      <w:tr w14:paraId="044309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80" w:hRule="atLeast"/>
          <w:jc w:val="center"/>
        </w:trPr>
        <w:tc>
          <w:tcPr>
            <w:tcW w:w="1059" w:type="dxa"/>
            <w:tcBorders>
              <w:top w:val="single" w:color="auto" w:sz="4" w:space="0"/>
              <w:left w:val="single" w:color="auto" w:sz="12" w:space="0"/>
              <w:bottom w:val="single" w:color="auto" w:sz="4" w:space="0"/>
              <w:right w:val="single" w:color="auto" w:sz="4" w:space="0"/>
            </w:tcBorders>
            <w:vAlign w:val="center"/>
          </w:tcPr>
          <w:p w14:paraId="559ED8BD">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第12段</w:t>
            </w:r>
          </w:p>
        </w:tc>
        <w:tc>
          <w:tcPr>
            <w:tcW w:w="3203" w:type="dxa"/>
            <w:tcBorders>
              <w:top w:val="single" w:color="auto" w:sz="4" w:space="0"/>
              <w:left w:val="single" w:color="auto" w:sz="4" w:space="0"/>
              <w:bottom w:val="single" w:color="auto" w:sz="4" w:space="0"/>
              <w:right w:val="single" w:color="auto" w:sz="4" w:space="0"/>
            </w:tcBorders>
            <w:vAlign w:val="center"/>
          </w:tcPr>
          <w:p w14:paraId="23B57B68">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单层水冷镶砖球墨铸铁冷却壁</w:t>
            </w:r>
          </w:p>
        </w:tc>
        <w:tc>
          <w:tcPr>
            <w:tcW w:w="1853" w:type="dxa"/>
            <w:tcBorders>
              <w:top w:val="single" w:color="auto" w:sz="4" w:space="0"/>
              <w:left w:val="single" w:color="auto" w:sz="4" w:space="0"/>
              <w:bottom w:val="single" w:color="auto" w:sz="4" w:space="0"/>
              <w:right w:val="single" w:color="auto" w:sz="4" w:space="0"/>
            </w:tcBorders>
            <w:vAlign w:val="center"/>
          </w:tcPr>
          <w:p w14:paraId="387FCFCB">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24（全部更换）</w:t>
            </w:r>
          </w:p>
        </w:tc>
        <w:tc>
          <w:tcPr>
            <w:tcW w:w="1021" w:type="dxa"/>
            <w:tcBorders>
              <w:top w:val="single" w:color="auto" w:sz="4" w:space="0"/>
              <w:left w:val="single" w:color="auto" w:sz="4" w:space="0"/>
              <w:bottom w:val="single" w:color="auto" w:sz="4" w:space="0"/>
              <w:right w:val="single" w:color="auto" w:sz="4" w:space="0"/>
            </w:tcBorders>
            <w:vAlign w:val="center"/>
          </w:tcPr>
          <w:p w14:paraId="709AAB7D">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Φ76</w:t>
            </w:r>
            <w:r>
              <w:rPr>
                <w:rFonts w:hint="eastAsia" w:ascii="Times New Roman" w:hAnsi="Times New Roman" w:cs="Times New Roman"/>
                <w:sz w:val="21"/>
                <w:szCs w:val="21"/>
                <w:highlight w:val="none"/>
              </w:rPr>
              <w:t>x</w:t>
            </w:r>
            <w:r>
              <w:rPr>
                <w:rFonts w:ascii="Times New Roman" w:hAnsi="Times New Roman" w:cs="Times New Roman"/>
                <w:sz w:val="21"/>
                <w:szCs w:val="21"/>
                <w:highlight w:val="none"/>
              </w:rPr>
              <w:t>6</w:t>
            </w:r>
          </w:p>
        </w:tc>
        <w:tc>
          <w:tcPr>
            <w:tcW w:w="1383" w:type="dxa"/>
            <w:tcBorders>
              <w:top w:val="single" w:color="auto" w:sz="4" w:space="0"/>
              <w:left w:val="single" w:color="auto" w:sz="4" w:space="0"/>
              <w:bottom w:val="single" w:color="auto" w:sz="4" w:space="0"/>
              <w:right w:val="single" w:color="auto" w:sz="12" w:space="0"/>
            </w:tcBorders>
            <w:vAlign w:val="center"/>
          </w:tcPr>
          <w:p w14:paraId="15E806D3">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槽外150</w:t>
            </w:r>
          </w:p>
        </w:tc>
      </w:tr>
      <w:tr w14:paraId="115AA2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80" w:hRule="atLeast"/>
          <w:jc w:val="center"/>
        </w:trPr>
        <w:tc>
          <w:tcPr>
            <w:tcW w:w="1059" w:type="dxa"/>
            <w:tcBorders>
              <w:top w:val="single" w:color="auto" w:sz="4" w:space="0"/>
              <w:left w:val="single" w:color="auto" w:sz="12" w:space="0"/>
              <w:bottom w:val="single" w:color="auto" w:sz="12" w:space="0"/>
              <w:right w:val="single" w:color="auto" w:sz="4" w:space="0"/>
            </w:tcBorders>
            <w:vAlign w:val="center"/>
          </w:tcPr>
          <w:p w14:paraId="7C4B498E">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第13段</w:t>
            </w:r>
          </w:p>
        </w:tc>
        <w:tc>
          <w:tcPr>
            <w:tcW w:w="3203" w:type="dxa"/>
            <w:tcBorders>
              <w:top w:val="single" w:color="auto" w:sz="4" w:space="0"/>
              <w:left w:val="single" w:color="auto" w:sz="4" w:space="0"/>
              <w:bottom w:val="single" w:color="auto" w:sz="12" w:space="0"/>
              <w:right w:val="single" w:color="auto" w:sz="4" w:space="0"/>
            </w:tcBorders>
            <w:vAlign w:val="center"/>
          </w:tcPr>
          <w:p w14:paraId="41872624">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倒扣镶砖球墨铸铁冷却壁</w:t>
            </w:r>
          </w:p>
        </w:tc>
        <w:tc>
          <w:tcPr>
            <w:tcW w:w="1853" w:type="dxa"/>
            <w:tcBorders>
              <w:top w:val="single" w:color="auto" w:sz="4" w:space="0"/>
              <w:left w:val="single" w:color="auto" w:sz="4" w:space="0"/>
              <w:bottom w:val="single" w:color="auto" w:sz="12" w:space="0"/>
              <w:right w:val="single" w:color="auto" w:sz="4" w:space="0"/>
            </w:tcBorders>
            <w:vAlign w:val="center"/>
          </w:tcPr>
          <w:p w14:paraId="6D8DB672">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24（利旧）</w:t>
            </w:r>
          </w:p>
        </w:tc>
        <w:tc>
          <w:tcPr>
            <w:tcW w:w="1021" w:type="dxa"/>
            <w:tcBorders>
              <w:top w:val="single" w:color="auto" w:sz="4" w:space="0"/>
              <w:left w:val="single" w:color="auto" w:sz="4" w:space="0"/>
              <w:bottom w:val="single" w:color="auto" w:sz="12" w:space="0"/>
              <w:right w:val="single" w:color="auto" w:sz="4" w:space="0"/>
            </w:tcBorders>
            <w:vAlign w:val="center"/>
          </w:tcPr>
          <w:p w14:paraId="6C2F387F">
            <w:pPr>
              <w:spacing w:line="30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Φ76</w:t>
            </w:r>
            <w:r>
              <w:rPr>
                <w:rFonts w:hint="eastAsia" w:ascii="Times New Roman" w:hAnsi="Times New Roman" w:cs="Times New Roman"/>
                <w:sz w:val="21"/>
                <w:szCs w:val="21"/>
                <w:highlight w:val="none"/>
              </w:rPr>
              <w:t>x</w:t>
            </w:r>
            <w:r>
              <w:rPr>
                <w:rFonts w:ascii="Times New Roman" w:hAnsi="Times New Roman" w:cs="Times New Roman"/>
                <w:sz w:val="21"/>
                <w:szCs w:val="21"/>
                <w:highlight w:val="none"/>
              </w:rPr>
              <w:t>6</w:t>
            </w:r>
          </w:p>
        </w:tc>
        <w:tc>
          <w:tcPr>
            <w:tcW w:w="1383" w:type="dxa"/>
            <w:tcBorders>
              <w:top w:val="single" w:color="auto" w:sz="4" w:space="0"/>
              <w:left w:val="single" w:color="auto" w:sz="4" w:space="0"/>
              <w:bottom w:val="single" w:color="auto" w:sz="12" w:space="0"/>
              <w:right w:val="single" w:color="auto" w:sz="12" w:space="0"/>
            </w:tcBorders>
            <w:vAlign w:val="center"/>
          </w:tcPr>
          <w:p w14:paraId="767B843D">
            <w:pPr>
              <w:spacing w:line="300" w:lineRule="auto"/>
              <w:ind w:firstLine="420"/>
              <w:jc w:val="center"/>
              <w:rPr>
                <w:rFonts w:ascii="Times New Roman" w:hAnsi="Times New Roman" w:cs="Times New Roman"/>
                <w:sz w:val="21"/>
                <w:szCs w:val="21"/>
                <w:highlight w:val="none"/>
              </w:rPr>
            </w:pPr>
            <w:r>
              <w:rPr>
                <w:rFonts w:ascii="Times New Roman" w:hAnsi="Times New Roman" w:cs="Times New Roman"/>
                <w:sz w:val="21"/>
                <w:szCs w:val="21"/>
                <w:highlight w:val="none"/>
              </w:rPr>
              <w:t>-</w:t>
            </w:r>
          </w:p>
        </w:tc>
      </w:tr>
    </w:tbl>
    <w:p w14:paraId="2DC9033B">
      <w:pPr>
        <w:jc w:val="both"/>
        <w:rPr>
          <w:rFonts w:ascii="Times New Roman" w:hAnsi="Times New Roman"/>
          <w:highlight w:val="none"/>
        </w:rPr>
      </w:pPr>
      <w:r>
        <w:rPr>
          <w:rFonts w:hint="eastAsia" w:ascii="Times New Roman" w:hAnsi="Times New Roman"/>
          <w:highlight w:val="none"/>
        </w:rPr>
        <w:t>3）冷却壁的安装固定</w:t>
      </w:r>
    </w:p>
    <w:p w14:paraId="0F74ED6E">
      <w:pPr>
        <w:jc w:val="both"/>
        <w:rPr>
          <w:rFonts w:ascii="Times New Roman" w:hAnsi="Times New Roman"/>
          <w:highlight w:val="none"/>
        </w:rPr>
      </w:pPr>
      <w:r>
        <w:rPr>
          <w:rFonts w:hint="eastAsia" w:ascii="Times New Roman" w:hAnsi="Times New Roman"/>
          <w:highlight w:val="none"/>
        </w:rPr>
        <w:t>本次更换的铸铁冷却壁的固定与原设计相同。风口、铁口及炉缸的冷却壁采用4点螺栓固定型式，冷却壁水管与炉壳间设置变形补偿套管；炉腹、炉腰和炉身下部铜冷却壁采用螺栓固定，中部增设定位固定点，提高抗变形能力，进出水管与炉壳间全部设计膨胀节，且联管间设计软管，避免出现水管剪断的情形；炉身其余铸铁冷却壁采用特殊的固定点和滑动点、浮动点相结合的固定方式，冷却壁水冷管与炉壳间加膨胀节，少量水管根据需要设置变形补偿套管，从而根本解决因炉壳与冷却壁间的温差不同导致水管剪断而出现破损的现象。现有的1号、2号高炉冷却壁运行状况良好，也证明此种冷却壁安装固定方式的合理性。</w:t>
      </w:r>
    </w:p>
    <w:p w14:paraId="44F28F2A">
      <w:pPr>
        <w:jc w:val="both"/>
        <w:rPr>
          <w:rFonts w:ascii="Times New Roman" w:hAnsi="Times New Roman"/>
          <w:highlight w:val="none"/>
        </w:rPr>
      </w:pPr>
      <w:r>
        <w:rPr>
          <w:rFonts w:hint="eastAsia" w:ascii="Times New Roman" w:hAnsi="Times New Roman"/>
          <w:highlight w:val="none"/>
        </w:rPr>
        <w:t>4）冷却壁的检漏和维护</w:t>
      </w:r>
    </w:p>
    <w:p w14:paraId="2C780EB9">
      <w:pPr>
        <w:jc w:val="both"/>
        <w:rPr>
          <w:rFonts w:ascii="Tahoma" w:hAnsi="Tahoma"/>
          <w:sz w:val="28"/>
          <w:szCs w:val="28"/>
          <w:highlight w:val="none"/>
        </w:rPr>
      </w:pPr>
      <w:r>
        <w:rPr>
          <w:rFonts w:hint="eastAsia" w:ascii="Times New Roman" w:hAnsi="Times New Roman"/>
          <w:highlight w:val="none"/>
        </w:rPr>
        <w:t>在高热负荷区冷却壁联管间安装了便于操作的切断阀、排气阀和压力表，相互配合，可以方便、快速的实现检漏和检修维护。</w:t>
      </w:r>
      <w:r>
        <w:rPr>
          <w:rFonts w:hint="eastAsia" w:ascii="Times New Roman" w:hAnsi="Times New Roman"/>
          <w:highlight w:val="none"/>
          <w:lang w:val="en-US" w:eastAsia="zh-CN"/>
        </w:rPr>
        <w:t>4</w:t>
      </w:r>
      <w:r>
        <w:rPr>
          <w:rFonts w:hint="eastAsia" w:ascii="Times New Roman" w:hAnsi="Times New Roman"/>
          <w:highlight w:val="none"/>
        </w:rPr>
        <w:t>-9</w:t>
      </w:r>
      <w:r>
        <w:rPr>
          <w:rFonts w:hint="eastAsia" w:ascii="Times New Roman" w:hAnsi="Times New Roman"/>
          <w:highlight w:val="none"/>
        </w:rPr>
        <w:t>段出水管上设双排气阀，排气阀（旁通）大小DN32，便于切工业水。</w:t>
      </w:r>
    </w:p>
    <w:p w14:paraId="0D41ECBF">
      <w:pPr>
        <w:ind w:firstLine="0" w:firstLineChars="0"/>
        <w:outlineLvl w:val="2"/>
        <w:rPr>
          <w:rFonts w:cs="Times New Roman"/>
          <w:szCs w:val="28"/>
          <w:highlight w:val="none"/>
        </w:rPr>
      </w:pPr>
      <w:bookmarkStart w:id="297" w:name="_Toc100483393"/>
      <w:bookmarkStart w:id="298" w:name="_Toc19054"/>
      <w:bookmarkStart w:id="299" w:name="_Toc79840290"/>
      <w:r>
        <w:rPr>
          <w:rFonts w:hint="eastAsia" w:cs="Times New Roman"/>
          <w:szCs w:val="28"/>
          <w:highlight w:val="none"/>
        </w:rPr>
        <w:t>2.6.4 冷却系统</w:t>
      </w:r>
      <w:bookmarkEnd w:id="297"/>
      <w:bookmarkEnd w:id="298"/>
      <w:bookmarkEnd w:id="299"/>
    </w:p>
    <w:p w14:paraId="16FC2813">
      <w:pPr>
        <w:jc w:val="both"/>
        <w:rPr>
          <w:rFonts w:ascii="Times New Roman" w:hAnsi="Times New Roman"/>
          <w:highlight w:val="none"/>
        </w:rPr>
      </w:pPr>
      <w:r>
        <w:rPr>
          <w:rFonts w:hint="eastAsia" w:ascii="Times New Roman" w:hAnsi="Times New Roman"/>
          <w:highlight w:val="none"/>
        </w:rPr>
        <w:t>炉体冷却系统由软水密闭循环冷却系统、工业水冷却系统组成。</w:t>
      </w:r>
    </w:p>
    <w:p w14:paraId="6850F7AA">
      <w:pPr>
        <w:jc w:val="both"/>
        <w:rPr>
          <w:rFonts w:ascii="Times New Roman" w:hAnsi="Times New Roman"/>
          <w:highlight w:val="none"/>
        </w:rPr>
      </w:pPr>
      <w:r>
        <w:rPr>
          <w:rFonts w:hint="eastAsia" w:ascii="Times New Roman" w:hAnsi="Times New Roman"/>
          <w:highlight w:val="none"/>
        </w:rPr>
        <w:t>（一）软水密闭循环冷却系统</w:t>
      </w:r>
    </w:p>
    <w:p w14:paraId="014D3FE6">
      <w:pPr>
        <w:jc w:val="both"/>
        <w:rPr>
          <w:rFonts w:ascii="Times New Roman" w:hAnsi="Times New Roman"/>
          <w:highlight w:val="none"/>
        </w:rPr>
      </w:pPr>
      <w:r>
        <w:rPr>
          <w:rFonts w:hint="eastAsia" w:ascii="Times New Roman" w:hAnsi="Times New Roman"/>
          <w:highlight w:val="none"/>
        </w:rPr>
        <w:t>本次高炉改造沿用2号高炉现在使用的联合软水密闭循环冷却系统，该系统已在全国各大钢铁企业得到广泛的运用，得到业主高度评价，明显优于国内其它冷却系统。</w:t>
      </w:r>
    </w:p>
    <w:p w14:paraId="153BB938">
      <w:pPr>
        <w:jc w:val="both"/>
        <w:rPr>
          <w:rFonts w:ascii="Tahoma" w:hAnsi="Tahoma"/>
          <w:sz w:val="28"/>
          <w:szCs w:val="28"/>
          <w:highlight w:val="none"/>
        </w:rPr>
      </w:pPr>
      <w:r>
        <w:rPr>
          <w:rFonts w:hint="eastAsia" w:ascii="Times New Roman" w:hAnsi="Times New Roman"/>
          <w:highlight w:val="none"/>
        </w:rPr>
        <w:t>该联合软水密闭循环冷却系统是将冷却壁、炉底、风口小套、中套、直吹管、热风阀、倒流休风阀通过串联和并联的方式组合在一个系统中，风口小套、中套、直吹管、热风阀、倒流休风阀的进水为冷却壁的出水，炉底冷却水管与冷却壁背部蛇形管串联。具体方案是：从软水泵站出来的软水在炉前一分为二，其中炉底冷却水量512m</w:t>
      </w:r>
      <w:r>
        <w:rPr>
          <w:rFonts w:hint="eastAsia" w:ascii="Times New Roman" w:hAnsi="Times New Roman"/>
          <w:highlight w:val="none"/>
          <w:vertAlign w:val="superscript"/>
        </w:rPr>
        <w:t>3</w:t>
      </w:r>
      <w:r>
        <w:rPr>
          <w:rFonts w:hint="eastAsia" w:ascii="Times New Roman" w:hAnsi="Times New Roman"/>
          <w:highlight w:val="none"/>
        </w:rPr>
        <w:t>/h，冷却壁直冷管冷却水量2368m</w:t>
      </w:r>
      <w:r>
        <w:rPr>
          <w:rFonts w:hint="eastAsia" w:ascii="Times New Roman" w:hAnsi="Times New Roman"/>
          <w:highlight w:val="none"/>
          <w:vertAlign w:val="superscript"/>
        </w:rPr>
        <w:t>3</w:t>
      </w:r>
      <w:r>
        <w:rPr>
          <w:rFonts w:hint="eastAsia" w:ascii="Times New Roman" w:hAnsi="Times New Roman"/>
          <w:highlight w:val="none"/>
        </w:rPr>
        <w:t>/h，两者回水进入冷却壁回水总管，从冷却壁回水总管出来的软水一分为三，一部分经高压增压泵增压，供风口小套使用；另一部分经中压增压泵增压，供风口中套、直吹管、热风阀及倒流休风阀、混风切断阀使用；两者回水与多余部分一起回到总回水管，经过脱气罐脱气和膨胀罐稳压、检漏，最后回到软水泵房，经过二次冷却，再循环使用。具体流程见图2.6-1</w:t>
      </w:r>
      <w:r>
        <w:rPr>
          <w:rFonts w:ascii="Tahoma" w:hAnsi="Tahoma"/>
          <w:sz w:val="28"/>
          <w:szCs w:val="28"/>
          <w:highlight w:val="none"/>
        </w:rPr>
        <w:t>。</w:t>
      </w:r>
    </w:p>
    <w:p w14:paraId="105CA48D">
      <w:pPr>
        <w:ind w:firstLineChars="0"/>
        <w:jc w:val="both"/>
        <w:rPr>
          <w:sz w:val="28"/>
          <w:szCs w:val="28"/>
          <w:highlight w:val="none"/>
        </w:rPr>
      </w:pPr>
      <w:r>
        <w:rPr>
          <w:highlight w:val="none"/>
        </w:rPr>
        <w:drawing>
          <wp:inline distT="0" distB="0" distL="114300" distR="114300">
            <wp:extent cx="5400040" cy="3239770"/>
            <wp:effectExtent l="0" t="0" r="10160" b="17780"/>
            <wp:docPr id="18" name="图片 64"/>
            <wp:cNvGraphicFramePr/>
            <a:graphic xmlns:a="http://schemas.openxmlformats.org/drawingml/2006/main">
              <a:graphicData uri="http://schemas.openxmlformats.org/drawingml/2006/picture">
                <pic:pic xmlns:pic="http://schemas.openxmlformats.org/drawingml/2006/picture">
                  <pic:nvPicPr>
                    <pic:cNvPr id="18" name="图片 64"/>
                    <pic:cNvPicPr/>
                  </pic:nvPicPr>
                  <pic:blipFill>
                    <a:blip r:embed="rId12" cstate="print"/>
                    <a:stretch>
                      <a:fillRect/>
                    </a:stretch>
                  </pic:blipFill>
                  <pic:spPr>
                    <a:xfrm>
                      <a:off x="0" y="0"/>
                      <a:ext cx="5400167" cy="3240278"/>
                    </a:xfrm>
                    <a:prstGeom prst="rect">
                      <a:avLst/>
                    </a:prstGeom>
                    <a:noFill/>
                    <a:ln>
                      <a:noFill/>
                    </a:ln>
                  </pic:spPr>
                </pic:pic>
              </a:graphicData>
            </a:graphic>
          </wp:inline>
        </w:drawing>
      </w:r>
    </w:p>
    <w:p w14:paraId="378399FA">
      <w:pPr>
        <w:jc w:val="center"/>
        <w:rPr>
          <w:highlight w:val="none"/>
        </w:rPr>
      </w:pPr>
      <w:r>
        <w:rPr>
          <w:highlight w:val="none"/>
        </w:rPr>
        <w:t>图2.6-1  高炉联合软水密闭循环冷却系统流程图</w:t>
      </w:r>
    </w:p>
    <w:p w14:paraId="039DFDB0">
      <w:pPr>
        <w:jc w:val="both"/>
        <w:rPr>
          <w:rFonts w:ascii="Times New Roman" w:hAnsi="Times New Roman" w:cs="Times New Roman"/>
          <w:highlight w:val="none"/>
        </w:rPr>
      </w:pPr>
      <w:r>
        <w:rPr>
          <w:rFonts w:hint="eastAsia" w:ascii="Times New Roman" w:hAnsi="Times New Roman" w:cs="Times New Roman"/>
          <w:highlight w:val="none"/>
        </w:rPr>
        <w:t>本次高炉改造软水系统总水量、冷却水流程维持不变，仅根据风口数量增加，对风口中小套及直吹管的总水量对应加大。</w:t>
      </w:r>
    </w:p>
    <w:p w14:paraId="6871370F">
      <w:pPr>
        <w:rPr>
          <w:highlight w:val="none"/>
        </w:rPr>
      </w:pPr>
      <w:r>
        <w:rPr>
          <w:highlight w:val="none"/>
        </w:rPr>
        <w:t>1）冷却壁系统</w:t>
      </w:r>
    </w:p>
    <w:p w14:paraId="4061DA7D">
      <w:pPr>
        <w:rPr>
          <w:highlight w:val="none"/>
        </w:rPr>
      </w:pPr>
      <w:r>
        <w:rPr>
          <w:rFonts w:hint="eastAsia"/>
          <w:highlight w:val="none"/>
        </w:rPr>
        <w:t>2号高炉冷却壁冷却水总量原设计为2</w:t>
      </w:r>
      <w:r>
        <w:rPr>
          <w:highlight w:val="none"/>
        </w:rPr>
        <w:t>880m</w:t>
      </w:r>
      <w:r>
        <w:rPr>
          <w:highlight w:val="none"/>
          <w:vertAlign w:val="superscript"/>
        </w:rPr>
        <w:t>3</w:t>
      </w:r>
      <w:r>
        <w:rPr>
          <w:highlight w:val="none"/>
        </w:rPr>
        <w:t>/h</w:t>
      </w:r>
      <w:r>
        <w:rPr>
          <w:rFonts w:hint="eastAsia"/>
          <w:highlight w:val="none"/>
        </w:rPr>
        <w:t>，其中炉底及冷却壁背部蛇形管冷却水量5</w:t>
      </w:r>
      <w:r>
        <w:rPr>
          <w:highlight w:val="none"/>
        </w:rPr>
        <w:t>12</w:t>
      </w:r>
      <w:r>
        <w:rPr>
          <w:rFonts w:hint="eastAsia"/>
          <w:highlight w:val="none"/>
        </w:rPr>
        <w:t>m</w:t>
      </w:r>
      <w:r>
        <w:rPr>
          <w:rFonts w:hint="eastAsia"/>
          <w:highlight w:val="none"/>
          <w:vertAlign w:val="superscript"/>
        </w:rPr>
        <w:t>3</w:t>
      </w:r>
      <w:r>
        <w:rPr>
          <w:rFonts w:hint="eastAsia"/>
          <w:highlight w:val="none"/>
        </w:rPr>
        <w:t>/h，冷却壁直冷管冷却水量2</w:t>
      </w:r>
      <w:r>
        <w:rPr>
          <w:highlight w:val="none"/>
        </w:rPr>
        <w:t>368</w:t>
      </w:r>
      <w:r>
        <w:rPr>
          <w:rFonts w:hint="eastAsia"/>
          <w:highlight w:val="none"/>
        </w:rPr>
        <w:t>m</w:t>
      </w:r>
      <w:r>
        <w:rPr>
          <w:rFonts w:hint="eastAsia"/>
          <w:highlight w:val="none"/>
          <w:vertAlign w:val="superscript"/>
        </w:rPr>
        <w:t>3</w:t>
      </w:r>
      <w:r>
        <w:rPr>
          <w:rFonts w:hint="eastAsia"/>
          <w:highlight w:val="none"/>
        </w:rPr>
        <w:t>/h；目前2号高炉冷却壁冷却水总量实际运行为3310</w:t>
      </w:r>
      <w:r>
        <w:rPr>
          <w:highlight w:val="none"/>
        </w:rPr>
        <w:t>m</w:t>
      </w:r>
      <w:r>
        <w:rPr>
          <w:highlight w:val="none"/>
          <w:vertAlign w:val="superscript"/>
        </w:rPr>
        <w:t>3</w:t>
      </w:r>
      <w:r>
        <w:rPr>
          <w:highlight w:val="none"/>
        </w:rPr>
        <w:t>/h</w:t>
      </w:r>
      <w:r>
        <w:rPr>
          <w:rFonts w:hint="eastAsia"/>
          <w:highlight w:val="none"/>
        </w:rPr>
        <w:t>。本次高炉改造，</w:t>
      </w:r>
      <w:r>
        <w:rPr>
          <w:highlight w:val="none"/>
        </w:rPr>
        <w:t>冷却壁</w:t>
      </w:r>
      <w:r>
        <w:rPr>
          <w:rFonts w:hint="eastAsia"/>
          <w:highlight w:val="none"/>
        </w:rPr>
        <w:t>供回水总管及供回水</w:t>
      </w:r>
      <w:r>
        <w:rPr>
          <w:highlight w:val="none"/>
        </w:rPr>
        <w:t>环管</w:t>
      </w:r>
      <w:r>
        <w:rPr>
          <w:rFonts w:hint="eastAsia"/>
          <w:highlight w:val="none"/>
        </w:rPr>
        <w:t>均利旧</w:t>
      </w:r>
      <w:r>
        <w:rPr>
          <w:highlight w:val="none"/>
        </w:rPr>
        <w:t>，冷却壁回水集管</w:t>
      </w:r>
      <w:r>
        <w:rPr>
          <w:rFonts w:hint="eastAsia"/>
          <w:highlight w:val="none"/>
        </w:rPr>
        <w:t>利旧</w:t>
      </w:r>
      <w:r>
        <w:rPr>
          <w:highlight w:val="none"/>
        </w:rPr>
        <w:t>。</w:t>
      </w:r>
      <w:r>
        <w:rPr>
          <w:rFonts w:hint="eastAsia"/>
          <w:highlight w:val="none"/>
        </w:rPr>
        <w:t>冷却壁直冷管供水支管阀门更换，冷却壁直冷管回水支管及阀门利旧，回水支管上的逆止型液流显示器清洗。冷却壁蛇形管供回水总管及回水集管利旧，供回水支管及阀门更换，金属软管更新；更换的冷却壁间联管、阀门及膨胀节更换。炉缸利旧铸铁冷却壁间的联管利旧，炉缸1-3段排气阀更换。</w:t>
      </w:r>
    </w:p>
    <w:p w14:paraId="28F77F70">
      <w:pPr>
        <w:rPr>
          <w:highlight w:val="none"/>
        </w:rPr>
      </w:pPr>
      <w:r>
        <w:rPr>
          <w:highlight w:val="none"/>
        </w:rPr>
        <w:t>2）炉底系统</w:t>
      </w:r>
    </w:p>
    <w:p w14:paraId="6E426AA2">
      <w:pPr>
        <w:rPr>
          <w:highlight w:val="none"/>
        </w:rPr>
      </w:pPr>
      <w:r>
        <w:rPr>
          <w:rFonts w:hint="eastAsia"/>
          <w:highlight w:val="none"/>
        </w:rPr>
        <w:t>本次高炉改造，</w:t>
      </w:r>
      <w:r>
        <w:rPr>
          <w:highlight w:val="none"/>
        </w:rPr>
        <w:t>炉底管径为Φ108×14的无缝钢管</w:t>
      </w:r>
      <w:r>
        <w:rPr>
          <w:rFonts w:hint="eastAsia"/>
          <w:highlight w:val="none"/>
        </w:rPr>
        <w:t>及外部连接管道、膨胀节均利旧，</w:t>
      </w:r>
      <w:r>
        <w:rPr>
          <w:rFonts w:hint="eastAsia" w:ascii="Times New Roman" w:hAnsi="Times New Roman"/>
          <w:highlight w:val="none"/>
        </w:rPr>
        <w:t>炉底水冷管供回水支管阀更换。扒炉料开大门损坏的管道、阀门及膨胀节需恢复。炉底水冷管供回水总管上的阀门更新，炉底供水总管流量计更换，</w:t>
      </w:r>
      <w:r>
        <w:rPr>
          <w:rFonts w:cs="宋体"/>
          <w:color w:val="000000"/>
          <w:highlight w:val="none"/>
        </w:rPr>
        <w:t>回水总管流量计</w:t>
      </w:r>
      <w:r>
        <w:rPr>
          <w:rFonts w:cs="宋体"/>
          <w:color w:val="000000"/>
          <w:highlight w:val="none"/>
          <w:shd w:val="clear" w:color="auto" w:fill="FFFF00"/>
        </w:rPr>
        <w:t>更换（炉底回水供冷却壁蛇形管冷却）</w:t>
      </w:r>
      <w:r>
        <w:rPr>
          <w:rFonts w:hint="eastAsia" w:cs="宋体"/>
          <w:color w:val="000000"/>
          <w:highlight w:val="none"/>
          <w:shd w:val="clear" w:color="auto" w:fill="FFFF00"/>
          <w:lang w:eastAsia="zh-CN"/>
        </w:rPr>
        <w:t>，</w:t>
      </w:r>
      <w:r>
        <w:rPr>
          <w:rFonts w:hint="eastAsia" w:ascii="Times New Roman" w:hAnsi="Times New Roman"/>
          <w:highlight w:val="none"/>
        </w:rPr>
        <w:t>供回水总管</w:t>
      </w:r>
      <w:r>
        <w:rPr>
          <w:rFonts w:hint="eastAsia" w:ascii="Times New Roman" w:hAnsi="Times New Roman"/>
          <w:highlight w:val="none"/>
          <w:lang w:val="en-US" w:eastAsia="zh-CN"/>
        </w:rPr>
        <w:t>利旧</w:t>
      </w:r>
      <w:r>
        <w:rPr>
          <w:rFonts w:cs="宋体"/>
          <w:color w:val="000000"/>
          <w:highlight w:val="none"/>
        </w:rPr>
        <w:t>。</w:t>
      </w:r>
    </w:p>
    <w:p w14:paraId="712D18C9">
      <w:pPr>
        <w:rPr>
          <w:highlight w:val="none"/>
        </w:rPr>
      </w:pPr>
      <w:r>
        <w:rPr>
          <w:highlight w:val="none"/>
        </w:rPr>
        <w:t>3）风口及热风阀系统</w:t>
      </w:r>
    </w:p>
    <w:p w14:paraId="3A6CE0A5">
      <w:pPr>
        <w:rPr>
          <w:highlight w:val="none"/>
        </w:rPr>
      </w:pPr>
      <w:r>
        <w:rPr>
          <w:highlight w:val="none"/>
        </w:rPr>
        <w:t>从冷却壁回水总管出来的软水一部分经高压泵组增压后，供给风口小套冷却，</w:t>
      </w:r>
      <w:bookmarkStart w:id="300" w:name="_Hlk161515765"/>
      <w:r>
        <w:rPr>
          <w:rFonts w:hint="eastAsia"/>
          <w:highlight w:val="none"/>
        </w:rPr>
        <w:t>设计</w:t>
      </w:r>
      <w:r>
        <w:rPr>
          <w:highlight w:val="none"/>
        </w:rPr>
        <w:t>总水量</w:t>
      </w:r>
      <w:r>
        <w:rPr>
          <w:rFonts w:hint="eastAsia"/>
          <w:highlight w:val="none"/>
        </w:rPr>
        <w:t>由改造前设计的6</w:t>
      </w:r>
      <w:r>
        <w:rPr>
          <w:highlight w:val="none"/>
        </w:rPr>
        <w:t>30 m</w:t>
      </w:r>
      <w:r>
        <w:rPr>
          <w:highlight w:val="none"/>
          <w:vertAlign w:val="superscript"/>
        </w:rPr>
        <w:t>3</w:t>
      </w:r>
      <w:r>
        <w:rPr>
          <w:highlight w:val="none"/>
        </w:rPr>
        <w:t xml:space="preserve">/h </w:t>
      </w:r>
      <w:r>
        <w:rPr>
          <w:rFonts w:hint="eastAsia"/>
          <w:highlight w:val="none"/>
        </w:rPr>
        <w:t>增加至改造后的</w:t>
      </w:r>
      <w:r>
        <w:rPr>
          <w:highlight w:val="none"/>
        </w:rPr>
        <w:t>7</w:t>
      </w:r>
      <w:r>
        <w:rPr>
          <w:rFonts w:hint="eastAsia"/>
          <w:highlight w:val="none"/>
          <w:lang w:val="en-US" w:eastAsia="zh-CN"/>
        </w:rPr>
        <w:t>2</w:t>
      </w:r>
      <w:r>
        <w:rPr>
          <w:highlight w:val="none"/>
        </w:rPr>
        <w:t>0m</w:t>
      </w:r>
      <w:r>
        <w:rPr>
          <w:highlight w:val="none"/>
          <w:vertAlign w:val="superscript"/>
        </w:rPr>
        <w:t>3</w:t>
      </w:r>
      <w:r>
        <w:rPr>
          <w:highlight w:val="none"/>
        </w:rPr>
        <w:t>/h</w:t>
      </w:r>
      <w:bookmarkEnd w:id="300"/>
      <w:r>
        <w:rPr>
          <w:rFonts w:hint="eastAsia"/>
          <w:highlight w:val="none"/>
        </w:rPr>
        <w:t>，满足改造后2</w:t>
      </w:r>
      <w:r>
        <w:rPr>
          <w:highlight w:val="none"/>
        </w:rPr>
        <w:t>0</w:t>
      </w:r>
      <w:r>
        <w:rPr>
          <w:rFonts w:hint="eastAsia"/>
          <w:highlight w:val="none"/>
        </w:rPr>
        <w:t>个风口冷却总水量；另外一</w:t>
      </w:r>
      <w:r>
        <w:rPr>
          <w:highlight w:val="none"/>
        </w:rPr>
        <w:t>部分经中压泵组增压后，供给风口中套、直吹管及热风炉（热风阀、倒流休风阀等）冷却。</w:t>
      </w:r>
      <w:r>
        <w:rPr>
          <w:rFonts w:cs="宋体"/>
          <w:highlight w:val="none"/>
        </w:rPr>
        <w:t>本次高炉改造，风口中、小套及直吹管的供回水支管及阀门均更换，风口中、小套及直吹管的供回水环管更换，供回水总管均利旧。</w:t>
      </w:r>
    </w:p>
    <w:p w14:paraId="56E86422">
      <w:pPr>
        <w:rPr>
          <w:highlight w:val="none"/>
        </w:rPr>
      </w:pPr>
      <w:r>
        <w:rPr>
          <w:rFonts w:hint="eastAsia"/>
          <w:highlight w:val="none"/>
        </w:rPr>
        <w:t>考虑每个风口小套冷却水量存在偏差，避免个别风口小套水量不能达到设计要求，对水泵进行更换，详见给排水专业的描述。增加循环水量后，风口小套回水总管上的孔板需核定更换。</w:t>
      </w:r>
    </w:p>
    <w:p w14:paraId="36C1FBC1">
      <w:pPr>
        <w:spacing w:after="120"/>
        <w:rPr>
          <w:rFonts w:ascii="Times New Roman" w:hAnsi="Times New Roman" w:cs="Times New Roman"/>
          <w:highlight w:val="none"/>
        </w:rPr>
      </w:pPr>
      <w:r>
        <w:rPr>
          <w:rFonts w:ascii="Times New Roman" w:hAnsi="Times New Roman" w:cs="Times New Roman"/>
          <w:highlight w:val="none"/>
        </w:rPr>
        <w:t>软水密闭循环冷却系统设脱气罐和膨胀罐，脱气罐和膨胀罐布置在炉顶主平台。在膨胀罐上，设有水位检测装置和充氮气稳压措施，实现系统自动稳压、自动排气、自动检漏和自动补水。在事故状态时，冷却壁可在短期内转为无压汽化冷却。</w:t>
      </w:r>
      <w:r>
        <w:rPr>
          <w:rFonts w:hint="eastAsia" w:ascii="Times New Roman" w:hAnsi="Times New Roman" w:cs="Times New Roman"/>
          <w:highlight w:val="none"/>
        </w:rPr>
        <w:t>本次高炉改造，脱气罐利旧，膨胀罐及</w:t>
      </w:r>
      <w:r>
        <w:rPr>
          <w:rFonts w:ascii="Times New Roman" w:hAnsi="Times New Roman" w:cs="Times New Roman"/>
          <w:highlight w:val="none"/>
        </w:rPr>
        <w:t>其阀门</w:t>
      </w: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含压力变送器</w:t>
      </w:r>
      <w:r>
        <w:rPr>
          <w:rFonts w:hint="eastAsia" w:ascii="Times New Roman" w:hAnsi="Times New Roman" w:cs="Times New Roman"/>
          <w:highlight w:val="none"/>
          <w:lang w:eastAsia="zh-CN"/>
        </w:rPr>
        <w:t>）</w:t>
      </w:r>
      <w:r>
        <w:rPr>
          <w:rFonts w:hint="eastAsia" w:ascii="Times New Roman" w:hAnsi="Times New Roman" w:cs="Times New Roman"/>
          <w:highlight w:val="none"/>
        </w:rPr>
        <w:t>更换，膨胀罐相应的平台进行扩宽设计</w:t>
      </w:r>
      <w:r>
        <w:rPr>
          <w:rFonts w:cs="宋体"/>
          <w:color w:val="000000"/>
          <w:highlight w:val="none"/>
          <w:shd w:val="clear" w:color="auto" w:fill="FFFF00"/>
        </w:rPr>
        <w:t>（根据现场</w:t>
      </w:r>
      <w:r>
        <w:rPr>
          <w:rFonts w:hint="eastAsia" w:cs="宋体"/>
          <w:color w:val="000000"/>
          <w:highlight w:val="none"/>
          <w:shd w:val="clear" w:color="auto" w:fill="FFFF00"/>
          <w:lang w:val="en-US" w:eastAsia="zh-CN"/>
        </w:rPr>
        <w:t>情况</w:t>
      </w:r>
      <w:r>
        <w:rPr>
          <w:rFonts w:cs="宋体"/>
          <w:color w:val="000000"/>
          <w:highlight w:val="none"/>
          <w:shd w:val="clear" w:color="auto" w:fill="FFFF00"/>
        </w:rPr>
        <w:t>拓宽</w:t>
      </w:r>
      <w:r>
        <w:rPr>
          <w:rFonts w:hint="eastAsia" w:cs="宋体"/>
          <w:color w:val="000000"/>
          <w:highlight w:val="none"/>
          <w:shd w:val="clear" w:color="auto" w:fill="FFFF00"/>
          <w:lang w:val="en-US" w:eastAsia="zh-CN"/>
        </w:rPr>
        <w:t>800mm</w:t>
      </w:r>
      <w:r>
        <w:rPr>
          <w:rFonts w:cs="宋体"/>
          <w:color w:val="000000"/>
          <w:highlight w:val="none"/>
          <w:shd w:val="clear" w:color="auto" w:fill="FFFF00"/>
        </w:rPr>
        <w:t>）</w:t>
      </w:r>
      <w:r>
        <w:rPr>
          <w:rFonts w:hint="eastAsia" w:ascii="Times New Roman" w:hAnsi="Times New Roman" w:cs="Times New Roman"/>
          <w:highlight w:val="none"/>
        </w:rPr>
        <w:t>，满足膨胀罐罐体检测及打磨需要。</w:t>
      </w:r>
    </w:p>
    <w:p w14:paraId="5C26C229">
      <w:pPr>
        <w:rPr>
          <w:highlight w:val="none"/>
        </w:rPr>
      </w:pPr>
      <w:r>
        <w:rPr>
          <w:highlight w:val="none"/>
        </w:rPr>
        <w:t>（二）工业水冷却系统</w:t>
      </w:r>
    </w:p>
    <w:p w14:paraId="4D9B5A53">
      <w:pPr>
        <w:jc w:val="both"/>
        <w:rPr>
          <w:rFonts w:ascii="Times New Roman" w:hAnsi="Times New Roman" w:cs="Times New Roman"/>
          <w:highlight w:val="none"/>
        </w:rPr>
      </w:pPr>
      <w:bookmarkStart w:id="301" w:name="_Toc79840291"/>
      <w:r>
        <w:rPr>
          <w:rFonts w:hint="eastAsia" w:ascii="Times New Roman" w:hAnsi="Times New Roman" w:cs="Times New Roman"/>
          <w:highlight w:val="none"/>
        </w:rPr>
        <w:t>本次改造工业水系统维持不变，</w:t>
      </w:r>
      <w:r>
        <w:rPr>
          <w:rFonts w:ascii="Times New Roman" w:hAnsi="Times New Roman" w:cs="Times New Roman"/>
          <w:highlight w:val="none"/>
        </w:rPr>
        <w:t>设置一路工业净化水循环系统和一路工业水直排系统。</w:t>
      </w:r>
    </w:p>
    <w:p w14:paraId="3AA7ECDA">
      <w:pPr>
        <w:rPr>
          <w:rFonts w:ascii="Times New Roman" w:hAnsi="Times New Roman" w:cs="Times New Roman"/>
          <w:highlight w:val="none"/>
        </w:rPr>
      </w:pPr>
      <w:r>
        <w:rPr>
          <w:rFonts w:hint="eastAsia" w:ascii="Times New Roman" w:hAnsi="Times New Roman" w:cs="Times New Roman"/>
          <w:highlight w:val="none"/>
        </w:rPr>
        <w:t>炉体</w:t>
      </w:r>
      <w:r>
        <w:rPr>
          <w:rFonts w:ascii="Times New Roman" w:hAnsi="Times New Roman" w:cs="Times New Roman"/>
          <w:highlight w:val="none"/>
        </w:rPr>
        <w:t>的工业净化水循环系统</w:t>
      </w:r>
      <w:r>
        <w:rPr>
          <w:rFonts w:hint="eastAsia" w:ascii="Times New Roman" w:hAnsi="Times New Roman" w:cs="Times New Roman"/>
          <w:highlight w:val="none"/>
        </w:rPr>
        <w:t>供</w:t>
      </w:r>
      <w:r>
        <w:rPr>
          <w:rFonts w:ascii="Times New Roman" w:hAnsi="Times New Roman" w:cs="Times New Roman"/>
          <w:highlight w:val="none"/>
        </w:rPr>
        <w:t>回水管道上的阀门等</w:t>
      </w:r>
      <w:r>
        <w:rPr>
          <w:rFonts w:hint="eastAsia" w:ascii="Times New Roman" w:hAnsi="Times New Roman" w:cs="Times New Roman"/>
          <w:highlight w:val="none"/>
        </w:rPr>
        <w:t>均</w:t>
      </w:r>
      <w:r>
        <w:rPr>
          <w:rFonts w:ascii="Times New Roman" w:hAnsi="Times New Roman" w:cs="Times New Roman"/>
          <w:highlight w:val="none"/>
        </w:rPr>
        <w:t>利旧。</w:t>
      </w:r>
      <w:r>
        <w:rPr>
          <w:rFonts w:hint="eastAsia" w:ascii="Times New Roman" w:hAnsi="Times New Roman" w:cs="Times New Roman"/>
          <w:highlight w:val="none"/>
        </w:rPr>
        <w:t>炉体部分的工业水直排水</w:t>
      </w:r>
      <w:r>
        <w:rPr>
          <w:rFonts w:ascii="Times New Roman" w:hAnsi="Times New Roman" w:cs="Times New Roman"/>
          <w:highlight w:val="none"/>
        </w:rPr>
        <w:t>系统</w:t>
      </w:r>
      <w:r>
        <w:rPr>
          <w:rFonts w:hint="eastAsia" w:ascii="Times New Roman" w:hAnsi="Times New Roman" w:cs="Times New Roman"/>
          <w:highlight w:val="none"/>
        </w:rPr>
        <w:t>供水管道利旧，风口事故水供水环管移位至围管平台位置，风口事故水供水支管更换，工业水供水支管和阀门更换；</w:t>
      </w:r>
      <w:r>
        <w:rPr>
          <w:rFonts w:hint="eastAsia" w:ascii="Times New Roman" w:hAnsi="Times New Roman" w:cs="Times New Roman"/>
          <w:color w:val="FF0000"/>
          <w:highlight w:val="none"/>
        </w:rPr>
        <w:t>工业水8个水包管道和阀门全部更换，</w:t>
      </w:r>
      <w:r>
        <w:rPr>
          <w:rFonts w:hint="eastAsia" w:ascii="Times New Roman" w:hAnsi="Times New Roman" w:cs="Times New Roman"/>
          <w:highlight w:val="none"/>
          <w:shd w:val="clear" w:fill="FFFF00"/>
          <w:lang w:val="en-US" w:eastAsia="zh-CN"/>
        </w:rPr>
        <w:t>出铁场框架内炉基南侧到西侧DN250工业回水管道重新设计，</w:t>
      </w:r>
      <w:r>
        <w:rPr>
          <w:rFonts w:hint="eastAsia" w:ascii="Times New Roman" w:hAnsi="Times New Roman" w:cs="Times New Roman"/>
          <w:highlight w:val="none"/>
          <w:shd w:val="clear" w:fill="FFFF00"/>
        </w:rPr>
        <w:t>冲洗工业水回水管道内沉积物，</w:t>
      </w:r>
      <w:r>
        <w:rPr>
          <w:rFonts w:hint="eastAsia" w:ascii="Times New Roman" w:hAnsi="Times New Roman" w:cs="Times New Roman"/>
          <w:highlight w:val="none"/>
          <w:shd w:val="clear" w:fill="FFFF00"/>
          <w:lang w:val="en-US" w:eastAsia="zh-CN"/>
        </w:rPr>
        <w:t>更换管道长度</w:t>
      </w:r>
      <w:r>
        <w:rPr>
          <w:rFonts w:hint="eastAsia" w:ascii="Times New Roman" w:hAnsi="Times New Roman" w:cs="Times New Roman"/>
          <w:highlight w:val="none"/>
          <w:shd w:val="clear" w:fill="FFFF00"/>
        </w:rPr>
        <w:t>15m，</w:t>
      </w:r>
      <w:r>
        <w:rPr>
          <w:rFonts w:hint="eastAsia" w:ascii="Times New Roman" w:hAnsi="Times New Roman" w:cs="Times New Roman"/>
          <w:highlight w:val="none"/>
        </w:rPr>
        <w:t>确保地下水管廊内的工业水回水管道回水通畅。风口事故供水环管总阀更换，风口平台工业水回水斗更换20件，并加装盖板。</w:t>
      </w:r>
    </w:p>
    <w:p w14:paraId="31D458BB">
      <w:pPr>
        <w:ind w:firstLine="0" w:firstLineChars="0"/>
        <w:outlineLvl w:val="2"/>
        <w:rPr>
          <w:rFonts w:cs="Times New Roman"/>
          <w:szCs w:val="28"/>
          <w:highlight w:val="none"/>
        </w:rPr>
      </w:pPr>
      <w:bookmarkStart w:id="302" w:name="_Toc100483394"/>
      <w:bookmarkStart w:id="303" w:name="_Toc4698"/>
      <w:r>
        <w:rPr>
          <w:rFonts w:hint="eastAsia" w:cs="Times New Roman"/>
          <w:szCs w:val="28"/>
          <w:highlight w:val="none"/>
        </w:rPr>
        <w:t>2.6.5 高炉内衬</w:t>
      </w:r>
      <w:bookmarkEnd w:id="301"/>
      <w:bookmarkEnd w:id="302"/>
      <w:bookmarkEnd w:id="303"/>
    </w:p>
    <w:p w14:paraId="16EA60D8">
      <w:pPr>
        <w:rPr>
          <w:highlight w:val="none"/>
        </w:rPr>
      </w:pPr>
      <w:r>
        <w:rPr>
          <w:highlight w:val="none"/>
        </w:rPr>
        <w:t>内衬设计时充分考虑高炉各部位不同的工作条件和侵蚀机理，有针对性的选用耐火材料，并在结构上加强耐火砖衬的稳定性。</w:t>
      </w:r>
    </w:p>
    <w:p w14:paraId="4885CA57">
      <w:pPr>
        <w:rPr>
          <w:highlight w:val="none"/>
        </w:rPr>
      </w:pPr>
      <w:r>
        <w:rPr>
          <w:highlight w:val="none"/>
        </w:rPr>
        <w:t>1）炉底炉缸耐材</w:t>
      </w:r>
    </w:p>
    <w:p w14:paraId="745712F4">
      <w:pPr>
        <w:rPr>
          <w:highlight w:val="none"/>
        </w:rPr>
      </w:pPr>
      <w:r>
        <w:rPr>
          <w:highlight w:val="none"/>
        </w:rPr>
        <w:t>2</w:t>
      </w:r>
      <w:r>
        <w:rPr>
          <w:rFonts w:hint="eastAsia"/>
          <w:highlight w:val="none"/>
        </w:rPr>
        <w:t>号高炉2013年</w:t>
      </w:r>
      <w:r>
        <w:rPr>
          <w:highlight w:val="none"/>
        </w:rPr>
        <w:t>8</w:t>
      </w:r>
      <w:r>
        <w:rPr>
          <w:rFonts w:hint="eastAsia"/>
          <w:highlight w:val="none"/>
        </w:rPr>
        <w:t>月1</w:t>
      </w:r>
      <w:r>
        <w:rPr>
          <w:highlight w:val="none"/>
        </w:rPr>
        <w:t>2</w:t>
      </w:r>
      <w:r>
        <w:rPr>
          <w:rFonts w:hint="eastAsia"/>
          <w:highlight w:val="none"/>
        </w:rPr>
        <w:t>日开炉至今，已运行10年，已到炉役后期。自2020年7月份南、北铁口下方0.8-1.2米部位环碳温度大幅度上升，环碳温度达到570℃、589℃，计算炭砖残厚为710mm；炉缸3#-4#、7#-9#、16#-17#风口的铁口中心线向下0.8-1.2米部位环碳温度分别达到572℃、591℃、537℃，计算炭砖残厚为730mm、690mm、790mm，原设计此部位炭砖为1</w:t>
      </w:r>
      <w:r>
        <w:rPr>
          <w:highlight w:val="none"/>
        </w:rPr>
        <w:t>3</w:t>
      </w:r>
      <w:r>
        <w:rPr>
          <w:rFonts w:hint="eastAsia"/>
          <w:highlight w:val="none"/>
        </w:rPr>
        <w:t>50-1</w:t>
      </w:r>
      <w:r>
        <w:rPr>
          <w:highlight w:val="none"/>
        </w:rPr>
        <w:t>50</w:t>
      </w:r>
      <w:r>
        <w:rPr>
          <w:rFonts w:hint="eastAsia"/>
          <w:highlight w:val="none"/>
        </w:rPr>
        <w:t>0mm，炭砖侵蚀达到50%以上。炉缸多处环碳温度上升幅度较大，炉缸铁口区域环碳温度长期高位运行，炉役后期炉缸侵蚀将呈加剧趋势。</w:t>
      </w:r>
    </w:p>
    <w:p w14:paraId="075CF48D">
      <w:pPr>
        <w:rPr>
          <w:highlight w:val="none"/>
        </w:rPr>
      </w:pPr>
      <w:r>
        <w:rPr>
          <w:rFonts w:hint="eastAsia"/>
          <w:highlight w:val="none"/>
        </w:rPr>
        <w:t>从炭砖侵蚀的数据来看，2号高炉炉缸耐材已经侵蚀严重，炉底、炉缸是高炉长寿的关键部位，而炉缸耐材因为铁水侵蚀和冲刷维持不了新一代炉役，因此本次高炉改造更换所有炉缸耐材以及炉底上面两层炭砖，炉底下面三层炭砖由于没有受到铁水侵蚀和冲刷（根据1号高炉炭砖拆除情况），考虑利旧使用。</w:t>
      </w:r>
    </w:p>
    <w:p w14:paraId="715CC64E">
      <w:pPr>
        <w:rPr>
          <w:rFonts w:hint="eastAsia"/>
          <w:highlight w:val="none"/>
        </w:rPr>
      </w:pPr>
      <w:r>
        <w:rPr>
          <w:rFonts w:hint="eastAsia"/>
          <w:highlight w:val="none"/>
        </w:rPr>
        <w:t>本次高炉改造，依旧</w:t>
      </w:r>
      <w:r>
        <w:rPr>
          <w:highlight w:val="none"/>
        </w:rPr>
        <w:t>采用大块炭砖+陶瓷杯的炉底炉缸结构。炉底自下而上设置5层炭砖，第</w:t>
      </w:r>
      <w:r>
        <w:rPr>
          <w:rFonts w:hint="eastAsia"/>
          <w:highlight w:val="none"/>
        </w:rPr>
        <w:t>1层为高导石墨砖，</w:t>
      </w:r>
      <w:r>
        <w:rPr>
          <w:highlight w:val="none"/>
        </w:rPr>
        <w:t>第2</w:t>
      </w:r>
      <w:r>
        <w:rPr>
          <w:rFonts w:hint="eastAsia"/>
          <w:highlight w:val="none"/>
        </w:rPr>
        <w:t>层为国产微孔炭</w:t>
      </w:r>
      <w:r>
        <w:rPr>
          <w:highlight w:val="none"/>
        </w:rPr>
        <w:t>砖</w:t>
      </w:r>
      <w:r>
        <w:rPr>
          <w:rFonts w:hint="eastAsia"/>
          <w:highlight w:val="none"/>
        </w:rPr>
        <w:t>，第3</w:t>
      </w:r>
      <w:r>
        <w:rPr>
          <w:highlight w:val="none"/>
        </w:rPr>
        <w:t>层</w:t>
      </w:r>
      <w:r>
        <w:rPr>
          <w:rFonts w:hint="eastAsia"/>
          <w:highlight w:val="none"/>
        </w:rPr>
        <w:t>为国产微孔炭</w:t>
      </w:r>
      <w:r>
        <w:rPr>
          <w:highlight w:val="none"/>
        </w:rPr>
        <w:t>砖，</w:t>
      </w:r>
      <w:r>
        <w:rPr>
          <w:rFonts w:hint="eastAsia"/>
          <w:highlight w:val="none"/>
        </w:rPr>
        <w:t>以上三层利旧使用，</w:t>
      </w:r>
      <w:r>
        <w:rPr>
          <w:highlight w:val="none"/>
        </w:rPr>
        <w:t>第</w:t>
      </w:r>
      <w:r>
        <w:rPr>
          <w:rFonts w:hint="eastAsia"/>
          <w:highlight w:val="none"/>
        </w:rPr>
        <w:t>4</w:t>
      </w:r>
      <w:r>
        <w:rPr>
          <w:highlight w:val="none"/>
        </w:rPr>
        <w:t>~5层采用</w:t>
      </w:r>
      <w:r>
        <w:rPr>
          <w:rFonts w:hint="eastAsia"/>
          <w:highlight w:val="none"/>
        </w:rPr>
        <w:t>国产超</w:t>
      </w:r>
      <w:r>
        <w:rPr>
          <w:highlight w:val="none"/>
        </w:rPr>
        <w:t>微孔炭砖，高度</w:t>
      </w:r>
      <w:r>
        <w:rPr>
          <w:rFonts w:hint="eastAsia"/>
          <w:highlight w:val="none"/>
        </w:rPr>
        <w:t>均为4</w:t>
      </w:r>
      <w:r>
        <w:rPr>
          <w:highlight w:val="none"/>
        </w:rPr>
        <w:t>00mm；炉底炭砖总厚度</w:t>
      </w:r>
      <w:r>
        <w:rPr>
          <w:rFonts w:hint="eastAsia"/>
          <w:highlight w:val="none"/>
        </w:rPr>
        <w:t>20</w:t>
      </w:r>
      <w:r>
        <w:rPr>
          <w:highlight w:val="none"/>
        </w:rPr>
        <w:t>00mm。炉缸</w:t>
      </w:r>
      <w:r>
        <w:rPr>
          <w:rFonts w:hint="eastAsia"/>
          <w:highlight w:val="none"/>
        </w:rPr>
        <w:t>第5层炭砖至铁口中心线之上约</w:t>
      </w:r>
      <w:r>
        <w:rPr>
          <w:highlight w:val="none"/>
        </w:rPr>
        <w:t>8</w:t>
      </w:r>
      <w:r>
        <w:rPr>
          <w:rFonts w:hint="eastAsia"/>
          <w:highlight w:val="none"/>
        </w:rPr>
        <w:t>00mm的区域环</w:t>
      </w:r>
      <w:r>
        <w:rPr>
          <w:highlight w:val="none"/>
        </w:rPr>
        <w:t>砌</w:t>
      </w:r>
      <w:r>
        <w:rPr>
          <w:rFonts w:hint="eastAsia"/>
          <w:highlight w:val="none"/>
        </w:rPr>
        <w:t>国产</w:t>
      </w:r>
      <w:r>
        <w:rPr>
          <w:highlight w:val="none"/>
        </w:rPr>
        <w:t>超微孔炭砖，炉缸</w:t>
      </w:r>
      <w:r>
        <w:rPr>
          <w:rFonts w:hint="eastAsia"/>
          <w:highlight w:val="none"/>
        </w:rPr>
        <w:t>其余区域与风口组合砖之间的部位采用</w:t>
      </w:r>
      <w:r>
        <w:rPr>
          <w:highlight w:val="none"/>
        </w:rPr>
        <w:t>微孔炭砖。</w:t>
      </w:r>
      <w:r>
        <w:rPr>
          <w:rFonts w:hint="eastAsia"/>
          <w:highlight w:val="none"/>
        </w:rPr>
        <w:t>本次更换后的微孔炭砖和超微孔炭砖虽然整体结构与上代保持一致，但其各项指标均有所提高，如显气孔率、平均孔径、透气度、氧化率、铁水溶蚀指数及导热系数等均有所提高。炭砖质量的提高，可在一定程度上保证高炉炉底炉缸的长寿。</w:t>
      </w:r>
    </w:p>
    <w:p w14:paraId="4A2EFBCA">
      <w:pPr>
        <w:shd w:val="clear" w:color="auto" w:fill="auto"/>
        <w:jc w:val="both"/>
        <w:rPr>
          <w:rFonts w:hint="eastAsia" w:ascii="Times New Roman" w:hAnsi="Times New Roman" w:cs="Times New Roman"/>
          <w:strike w:val="0"/>
          <w:dstrike w:val="0"/>
          <w:color w:val="auto"/>
          <w:highlight w:val="none"/>
        </w:rPr>
      </w:pPr>
      <w:r>
        <w:rPr>
          <w:rFonts w:ascii="Times New Roman" w:hAnsi="Times New Roman" w:cs="Times New Roman"/>
          <w:strike w:val="0"/>
          <w:dstrike w:val="0"/>
          <w:color w:val="auto"/>
          <w:highlight w:val="none"/>
        </w:rPr>
        <w:t>炉底炉缸炭砖内侧设置</w:t>
      </w:r>
      <w:r>
        <w:rPr>
          <w:rFonts w:hint="eastAsia" w:ascii="Times New Roman" w:hAnsi="Times New Roman" w:cs="Times New Roman"/>
          <w:strike w:val="0"/>
          <w:dstrike w:val="0"/>
          <w:color w:val="auto"/>
          <w:highlight w:val="none"/>
        </w:rPr>
        <w:t>陶瓷杯，</w:t>
      </w:r>
      <w:r>
        <w:rPr>
          <w:rFonts w:ascii="Times New Roman" w:hAnsi="Times New Roman" w:cs="Times New Roman"/>
          <w:strike w:val="0"/>
          <w:dstrike w:val="0"/>
          <w:color w:val="auto"/>
          <w:highlight w:val="none"/>
        </w:rPr>
        <w:t>其中炉底</w:t>
      </w:r>
      <w:r>
        <w:rPr>
          <w:rFonts w:hint="eastAsia" w:ascii="Times New Roman" w:hAnsi="Times New Roman" w:cs="Times New Roman"/>
          <w:strike w:val="0"/>
          <w:dstrike w:val="0"/>
          <w:color w:val="auto"/>
          <w:highlight w:val="none"/>
        </w:rPr>
        <w:t>炭砖上部</w:t>
      </w:r>
      <w:r>
        <w:rPr>
          <w:rFonts w:ascii="Times New Roman" w:hAnsi="Times New Roman" w:cs="Times New Roman"/>
          <w:strike w:val="0"/>
          <w:dstrike w:val="0"/>
          <w:color w:val="auto"/>
          <w:highlight w:val="none"/>
        </w:rPr>
        <w:t>第</w:t>
      </w:r>
      <w:r>
        <w:rPr>
          <w:rFonts w:hint="eastAsia" w:ascii="Times New Roman" w:hAnsi="Times New Roman" w:cs="Times New Roman"/>
          <w:strike w:val="0"/>
          <w:dstrike w:val="0"/>
          <w:color w:val="auto"/>
          <w:highlight w:val="none"/>
        </w:rPr>
        <w:t>六</w:t>
      </w:r>
      <w:r>
        <w:rPr>
          <w:rFonts w:ascii="Times New Roman" w:hAnsi="Times New Roman" w:cs="Times New Roman"/>
          <w:strike w:val="0"/>
          <w:dstrike w:val="0"/>
          <w:color w:val="auto"/>
          <w:highlight w:val="none"/>
        </w:rPr>
        <w:t>、</w:t>
      </w:r>
      <w:r>
        <w:rPr>
          <w:rFonts w:hint="eastAsia" w:ascii="Times New Roman" w:hAnsi="Times New Roman" w:cs="Times New Roman"/>
          <w:strike w:val="0"/>
          <w:dstrike w:val="0"/>
          <w:color w:val="auto"/>
          <w:highlight w:val="none"/>
        </w:rPr>
        <w:t>七</w:t>
      </w:r>
      <w:r>
        <w:rPr>
          <w:rFonts w:ascii="Times New Roman" w:hAnsi="Times New Roman" w:cs="Times New Roman"/>
          <w:strike w:val="0"/>
          <w:dstrike w:val="0"/>
          <w:color w:val="auto"/>
          <w:highlight w:val="none"/>
        </w:rPr>
        <w:t>层</w:t>
      </w:r>
      <w:r>
        <w:rPr>
          <w:rFonts w:hint="eastAsia" w:ascii="Times New Roman" w:hAnsi="Times New Roman" w:cs="Times New Roman"/>
          <w:strike w:val="0"/>
          <w:dstrike w:val="0"/>
          <w:color w:val="auto"/>
          <w:highlight w:val="none"/>
        </w:rPr>
        <w:t>设置</w:t>
      </w:r>
      <w:r>
        <w:rPr>
          <w:rFonts w:ascii="Times New Roman" w:hAnsi="Times New Roman" w:cs="Times New Roman"/>
          <w:strike w:val="0"/>
          <w:dstrike w:val="0"/>
          <w:color w:val="auto"/>
          <w:highlight w:val="none"/>
        </w:rPr>
        <w:t>总厚度800mm</w:t>
      </w:r>
      <w:r>
        <w:rPr>
          <w:rFonts w:hint="eastAsia" w:ascii="Times New Roman" w:hAnsi="Times New Roman" w:cs="Times New Roman"/>
          <w:strike w:val="0"/>
          <w:dstrike w:val="0"/>
          <w:color w:val="auto"/>
          <w:highlight w:val="none"/>
        </w:rPr>
        <w:t>的陶瓷杯垫，陶瓷杯垫材质采用</w:t>
      </w:r>
      <w:r>
        <w:rPr>
          <w:rFonts w:ascii="Times New Roman" w:hAnsi="Times New Roman" w:cs="Times New Roman"/>
          <w:strike w:val="0"/>
          <w:dstrike w:val="0"/>
          <w:color w:val="auto"/>
          <w:highlight w:val="none"/>
        </w:rPr>
        <w:t>刚玉莫来石</w:t>
      </w:r>
      <w:r>
        <w:rPr>
          <w:rFonts w:hint="eastAsia" w:ascii="Times New Roman" w:hAnsi="Times New Roman" w:cs="Times New Roman"/>
          <w:strike w:val="0"/>
          <w:dstrike w:val="0"/>
          <w:color w:val="auto"/>
          <w:highlight w:val="none"/>
          <w:lang w:val="en-US" w:eastAsia="zh-CN"/>
        </w:rPr>
        <w:t>或大块</w:t>
      </w:r>
      <w:r>
        <w:rPr>
          <w:rFonts w:hint="eastAsia" w:ascii="宋体" w:hAnsi="宋体" w:eastAsia="宋体" w:cs="Arial"/>
          <w:strike w:val="0"/>
          <w:dstrike w:val="0"/>
          <w:color w:val="auto"/>
          <w:highlight w:val="none"/>
        </w:rPr>
        <w:t>陶瓷垫砖</w:t>
      </w:r>
      <w:r>
        <w:rPr>
          <w:rFonts w:hint="eastAsia" w:ascii="Times New Roman" w:hAnsi="Times New Roman" w:cs="Times New Roman"/>
          <w:strike w:val="0"/>
          <w:dstrike w:val="0"/>
          <w:color w:val="auto"/>
          <w:highlight w:val="none"/>
        </w:rPr>
        <w:t>，炉缸侧壁陶瓷</w:t>
      </w:r>
      <w:r>
        <w:rPr>
          <w:rFonts w:ascii="Times New Roman" w:hAnsi="Times New Roman" w:cs="Times New Roman"/>
          <w:strike w:val="0"/>
          <w:dstrike w:val="0"/>
          <w:color w:val="auto"/>
          <w:highlight w:val="none"/>
        </w:rPr>
        <w:t>杯</w:t>
      </w:r>
      <w:r>
        <w:rPr>
          <w:rFonts w:hint="eastAsia" w:ascii="Times New Roman" w:hAnsi="Times New Roman" w:cs="Times New Roman"/>
          <w:strike w:val="0"/>
          <w:dstrike w:val="0"/>
          <w:color w:val="auto"/>
          <w:highlight w:val="none"/>
        </w:rPr>
        <w:t>壁采用微孔刚玉</w:t>
      </w:r>
      <w:r>
        <w:rPr>
          <w:rFonts w:hint="eastAsia" w:ascii="Times New Roman" w:hAnsi="Times New Roman" w:cs="Times New Roman"/>
          <w:strike w:val="0"/>
          <w:dstrike w:val="0"/>
          <w:color w:val="auto"/>
          <w:highlight w:val="none"/>
          <w:lang w:val="en-US" w:eastAsia="zh-CN"/>
        </w:rPr>
        <w:t>或大块刚玉砖</w:t>
      </w:r>
      <w:r>
        <w:rPr>
          <w:rFonts w:hint="eastAsia" w:ascii="Times New Roman" w:hAnsi="Times New Roman" w:cs="Times New Roman"/>
          <w:strike w:val="0"/>
          <w:dstrike w:val="0"/>
          <w:color w:val="auto"/>
          <w:highlight w:val="none"/>
        </w:rPr>
        <w:t>。陶瓷杯属于非导热结构，保温性能较好，能够减少炉缸铁水热量损失，对于降低焦比、节约能耗具有良好效果。</w:t>
      </w:r>
    </w:p>
    <w:p w14:paraId="1AF14777">
      <w:pPr>
        <w:jc w:val="both"/>
        <w:rPr>
          <w:highlight w:val="none"/>
        </w:rPr>
      </w:pPr>
      <w:r>
        <w:rPr>
          <w:rFonts w:cs="宋体"/>
          <w:color w:val="000000"/>
          <w:highlight w:val="none"/>
        </w:rPr>
        <w:t>铁口区域：炭砖区域采用超微孔大块组合炭砖砌筑，采用配套炭素胶泥砌筑；</w:t>
      </w:r>
      <w:r>
        <w:rPr>
          <w:rFonts w:cs="宋体"/>
          <w:color w:val="000000"/>
          <w:highlight w:val="none"/>
          <w:shd w:val="clear" w:color="auto" w:fill="FFFF00"/>
        </w:rPr>
        <w:t>陶瓷杯区域和</w:t>
      </w:r>
      <w:r>
        <w:rPr>
          <w:rFonts w:cs="宋体"/>
          <w:color w:val="000000"/>
          <w:highlight w:val="none"/>
        </w:rPr>
        <w:t>铁口框内及铁口通道内采用铝</w:t>
      </w:r>
      <w:r>
        <w:rPr>
          <w:rFonts w:ascii="Times New Roman" w:hAnsi="Times New Roman" w:eastAsia="Times New Roman" w:cs="Times New Roman"/>
          <w:color w:val="000000"/>
          <w:highlight w:val="none"/>
        </w:rPr>
        <w:t>-</w:t>
      </w:r>
      <w:r>
        <w:rPr>
          <w:rFonts w:cs="宋体"/>
          <w:color w:val="000000"/>
          <w:highlight w:val="none"/>
        </w:rPr>
        <w:t>碳化硅质硅凝胶结合自流浇注料，浇注料直接与大块组合炭砖的冷面结合，不留缝隙，炉内做整体泥包保护</w:t>
      </w:r>
      <w:r>
        <w:rPr>
          <w:rFonts w:hint="eastAsia" w:cs="宋体"/>
          <w:color w:val="000000"/>
          <w:highlight w:val="none"/>
          <w:lang w:val="en-US" w:eastAsia="zh-CN"/>
        </w:rPr>
        <w:t>座</w:t>
      </w:r>
      <w:r>
        <w:rPr>
          <w:rFonts w:cs="宋体"/>
          <w:color w:val="000000"/>
          <w:highlight w:val="none"/>
        </w:rPr>
        <w:t>，减少铁口喷溅，有利于铁口维护。</w:t>
      </w:r>
    </w:p>
    <w:p w14:paraId="69FF46EF">
      <w:pPr>
        <w:jc w:val="both"/>
        <w:rPr>
          <w:highlight w:val="none"/>
        </w:rPr>
      </w:pPr>
      <w:r>
        <w:rPr>
          <w:rFonts w:cs="宋体"/>
          <w:color w:val="000000"/>
          <w:highlight w:val="none"/>
        </w:rPr>
        <w:t>炉缸冷却壁与炭砖之间采用碳素捣打料。</w:t>
      </w:r>
    </w:p>
    <w:p w14:paraId="7F03E1F2">
      <w:pPr>
        <w:jc w:val="both"/>
        <w:rPr>
          <w:highlight w:val="none"/>
        </w:rPr>
      </w:pPr>
      <w:r>
        <w:rPr>
          <w:rFonts w:cs="宋体"/>
          <w:color w:val="000000"/>
          <w:highlight w:val="none"/>
        </w:rPr>
        <w:t>冷却壁与炉壳之间采用硅溶胶结合莫来石浇注料。</w:t>
      </w:r>
    </w:p>
    <w:p w14:paraId="1E130D07">
      <w:pPr>
        <w:jc w:val="both"/>
        <w:rPr>
          <w:highlight w:val="none"/>
        </w:rPr>
      </w:pPr>
      <w:r>
        <w:rPr>
          <w:rFonts w:cs="宋体"/>
          <w:color w:val="000000"/>
          <w:highlight w:val="none"/>
        </w:rPr>
        <w:t>炉喉钢砖与炉壳之间采用粘土自流浇注料。</w:t>
      </w:r>
    </w:p>
    <w:p w14:paraId="6E61B390">
      <w:pPr>
        <w:jc w:val="both"/>
        <w:rPr>
          <w:highlight w:val="none"/>
        </w:rPr>
      </w:pPr>
      <w:r>
        <w:rPr>
          <w:rFonts w:cs="宋体"/>
          <w:color w:val="000000"/>
          <w:highlight w:val="none"/>
        </w:rPr>
        <w:t>冷却壁之间的横缝和竖缝的金属部分采用铁屑填料，耐材部分采用碳化硅捣打料。</w:t>
      </w:r>
    </w:p>
    <w:p w14:paraId="72E52023">
      <w:pPr>
        <w:jc w:val="both"/>
        <w:rPr>
          <w:rFonts w:ascii="Times New Roman" w:hAnsi="Times New Roman" w:cs="Times New Roman"/>
          <w:highlight w:val="none"/>
        </w:rPr>
      </w:pPr>
      <w:r>
        <w:rPr>
          <w:rFonts w:ascii="Times New Roman" w:hAnsi="Times New Roman" w:cs="Times New Roman"/>
          <w:highlight w:val="none"/>
        </w:rPr>
        <w:t>2）风口区域耐材</w:t>
      </w:r>
    </w:p>
    <w:p w14:paraId="2267C6BC">
      <w:pPr>
        <w:jc w:val="both"/>
        <w:rPr>
          <w:rFonts w:ascii="Times New Roman" w:hAnsi="Times New Roman" w:cs="Times New Roman"/>
          <w:highlight w:val="none"/>
        </w:rPr>
      </w:pPr>
      <w:r>
        <w:rPr>
          <w:rFonts w:ascii="Times New Roman" w:hAnsi="Times New Roman" w:cs="Times New Roman"/>
          <w:highlight w:val="none"/>
        </w:rPr>
        <w:t>风口区域是一个承上启下的区域，此区域内衬结构和材质选择合理与否，对高炉寿命有相当大的影响。</w:t>
      </w:r>
      <w:r>
        <w:rPr>
          <w:rFonts w:hint="eastAsia" w:ascii="Times New Roman" w:hAnsi="Times New Roman" w:cs="Times New Roman"/>
          <w:highlight w:val="none"/>
        </w:rPr>
        <w:t>本次高炉改造，</w:t>
      </w:r>
      <w:r>
        <w:rPr>
          <w:rFonts w:ascii="Times New Roman" w:hAnsi="Times New Roman" w:cs="Times New Roman"/>
          <w:highlight w:val="none"/>
        </w:rPr>
        <w:t>在整个风口区全部采用大块组合砖砌筑，以加强结构的稳定性。</w:t>
      </w:r>
      <w:r>
        <w:rPr>
          <w:rFonts w:hint="eastAsia" w:ascii="Times New Roman" w:hAnsi="Times New Roman" w:cs="Times New Roman"/>
          <w:highlight w:val="none"/>
        </w:rPr>
        <w:t>风口组合砖材质选用微孔刚玉或大块刚玉砖，以提高其</w:t>
      </w:r>
      <w:r>
        <w:rPr>
          <w:rFonts w:ascii="Times New Roman" w:hAnsi="Times New Roman" w:cs="Times New Roman"/>
          <w:highlight w:val="none"/>
        </w:rPr>
        <w:t>抗渣铁侵蚀及冲刷能力</w:t>
      </w:r>
      <w:r>
        <w:rPr>
          <w:rFonts w:hint="eastAsia" w:ascii="Times New Roman" w:hAnsi="Times New Roman" w:cs="Times New Roman"/>
          <w:highlight w:val="none"/>
        </w:rPr>
        <w:t>。</w:t>
      </w:r>
    </w:p>
    <w:p w14:paraId="3ECA4433">
      <w:pPr>
        <w:jc w:val="both"/>
        <w:rPr>
          <w:rFonts w:ascii="Times New Roman" w:hAnsi="Times New Roman" w:cs="Times New Roman"/>
          <w:highlight w:val="none"/>
        </w:rPr>
      </w:pPr>
      <w:r>
        <w:rPr>
          <w:rFonts w:ascii="Times New Roman" w:hAnsi="Times New Roman" w:cs="Times New Roman"/>
          <w:highlight w:val="none"/>
        </w:rPr>
        <w:t>3）炉腹及其以上区域耐材</w:t>
      </w:r>
    </w:p>
    <w:p w14:paraId="3742371B">
      <w:pPr>
        <w:jc w:val="both"/>
        <w:rPr>
          <w:rFonts w:ascii="Times New Roman" w:hAnsi="Times New Roman" w:cs="Times New Roman"/>
          <w:snapToGrid w:val="0"/>
          <w:highlight w:val="none"/>
        </w:rPr>
      </w:pPr>
      <w:r>
        <w:rPr>
          <w:rFonts w:hint="eastAsia" w:ascii="Times New Roman" w:hAnsi="Times New Roman" w:cs="Times New Roman"/>
          <w:snapToGrid w:val="0"/>
          <w:highlight w:val="none"/>
        </w:rPr>
        <w:t>随冷却壁浇筑技术发展，在大型高炉成功应用，近年来国内多座高炉在大修及中修过程中采用该项技术，并取得较好的使用效果。冷却壁浇筑技术具有更好的抗剥落、耐冲刷及耐磨性等特点；预挂渣皮料中Si</w:t>
      </w:r>
      <w:r>
        <w:rPr>
          <w:rFonts w:hint="eastAsia" w:ascii="Times New Roman" w:hAnsi="Times New Roman" w:cs="Times New Roman"/>
          <w:snapToGrid w:val="0"/>
          <w:highlight w:val="none"/>
          <w:vertAlign w:val="subscript"/>
        </w:rPr>
        <w:t>3</w:t>
      </w:r>
      <w:r>
        <w:rPr>
          <w:rFonts w:hint="eastAsia" w:ascii="Times New Roman" w:hAnsi="Times New Roman" w:cs="Times New Roman"/>
          <w:snapToGrid w:val="0"/>
          <w:highlight w:val="none"/>
        </w:rPr>
        <w:t>N</w:t>
      </w:r>
      <w:r>
        <w:rPr>
          <w:rFonts w:hint="eastAsia" w:ascii="Times New Roman" w:hAnsi="Times New Roman" w:cs="Times New Roman"/>
          <w:snapToGrid w:val="0"/>
          <w:highlight w:val="none"/>
          <w:vertAlign w:val="subscript"/>
        </w:rPr>
        <w:t>4</w:t>
      </w:r>
      <w:r>
        <w:rPr>
          <w:rFonts w:hint="eastAsia" w:ascii="Times New Roman" w:hAnsi="Times New Roman" w:cs="Times New Roman"/>
          <w:snapToGrid w:val="0"/>
          <w:highlight w:val="none"/>
        </w:rPr>
        <w:t>含量较高，高炉还原气氛下形成塞隆相，与铁水几乎不发生溶蚀反应。导热系数相对较高、烧后线变化率稳定、热震稳定性好，通过一次浇注成型，既可以实现冷却壁燕尾槽、锚固件紧密结合，同时冷却壁本体与浇注料形成一个整体，更有利于形成稳定可靠的渣皮。避免了镶砖冷却壁结构因温度阶梯变化应力破坏导致的破损，有效延长冷却壁使用寿命。</w:t>
      </w:r>
    </w:p>
    <w:p w14:paraId="7C4986FF">
      <w:pPr>
        <w:jc w:val="both"/>
        <w:rPr>
          <w:rFonts w:ascii="Times New Roman" w:hAnsi="Times New Roman" w:cs="Times New Roman"/>
          <w:snapToGrid w:val="0"/>
          <w:highlight w:val="none"/>
        </w:rPr>
      </w:pPr>
      <w:r>
        <w:rPr>
          <w:rFonts w:hint="eastAsia" w:ascii="Times New Roman" w:hAnsi="Times New Roman" w:cs="Times New Roman"/>
          <w:snapToGrid w:val="0"/>
          <w:highlight w:val="none"/>
        </w:rPr>
        <w:t>本次高炉改造，炉身中部部位冷却壁热面浇注采用钢纤维碳化硅浇注料代替传统的Si</w:t>
      </w:r>
      <w:r>
        <w:rPr>
          <w:rFonts w:hint="eastAsia" w:ascii="Times New Roman" w:hAnsi="Times New Roman" w:cs="Times New Roman"/>
          <w:snapToGrid w:val="0"/>
          <w:highlight w:val="none"/>
          <w:vertAlign w:val="subscript"/>
        </w:rPr>
        <w:t>4</w:t>
      </w:r>
      <w:r>
        <w:rPr>
          <w:rFonts w:hint="eastAsia" w:ascii="Times New Roman" w:hAnsi="Times New Roman" w:cs="Times New Roman"/>
          <w:snapToGrid w:val="0"/>
          <w:highlight w:val="none"/>
        </w:rPr>
        <w:t>N</w:t>
      </w:r>
      <w:r>
        <w:rPr>
          <w:rFonts w:hint="eastAsia" w:ascii="Times New Roman" w:hAnsi="Times New Roman" w:cs="Times New Roman"/>
          <w:snapToGrid w:val="0"/>
          <w:highlight w:val="none"/>
          <w:vertAlign w:val="subscript"/>
        </w:rPr>
        <w:t>3</w:t>
      </w:r>
      <w:r>
        <w:rPr>
          <w:rFonts w:hint="eastAsia" w:ascii="Times New Roman" w:hAnsi="Times New Roman" w:cs="Times New Roman"/>
          <w:snapToGrid w:val="0"/>
          <w:highlight w:val="none"/>
        </w:rPr>
        <w:t>-SiC镶砖，以碳化硅为主添加钢纤维，导热性好，韧性大，强度高，耐渣铁侵蚀、抗碱性侵蚀。炉身上部：炉身上部冷却壁热面浇注采用钢纤维浇注料材料代替传统的浸磷酸黏土砖，该材料以Al</w:t>
      </w:r>
      <w:r>
        <w:rPr>
          <w:rFonts w:hint="eastAsia" w:ascii="Times New Roman" w:hAnsi="Times New Roman" w:cs="Times New Roman"/>
          <w:snapToGrid w:val="0"/>
          <w:highlight w:val="none"/>
          <w:vertAlign w:val="subscript"/>
        </w:rPr>
        <w:t>2</w:t>
      </w:r>
      <w:r>
        <w:rPr>
          <w:rFonts w:hint="eastAsia" w:ascii="Times New Roman" w:hAnsi="Times New Roman" w:cs="Times New Roman"/>
          <w:snapToGrid w:val="0"/>
          <w:highlight w:val="none"/>
        </w:rPr>
        <w:t>O</w:t>
      </w:r>
      <w:r>
        <w:rPr>
          <w:rFonts w:hint="eastAsia" w:ascii="Times New Roman" w:hAnsi="Times New Roman" w:cs="Times New Roman"/>
          <w:snapToGrid w:val="0"/>
          <w:highlight w:val="none"/>
          <w:vertAlign w:val="subscript"/>
        </w:rPr>
        <w:t>3</w:t>
      </w:r>
      <w:r>
        <w:rPr>
          <w:rFonts w:hint="eastAsia" w:ascii="Times New Roman" w:hAnsi="Times New Roman" w:cs="Times New Roman"/>
          <w:snapToGrid w:val="0"/>
          <w:highlight w:val="none"/>
        </w:rPr>
        <w:t>为主添加金属钢纤维，具有耐磨、强度高，韧性好，耐机械磨损、抗热震。浇注料厚度镶砖槽外150mm。第5-7段利旧铜冷却壁热面采用喷涂料</w:t>
      </w:r>
      <w:r>
        <w:rPr>
          <w:rFonts w:hint="eastAsia"/>
          <w:color w:val="000000"/>
          <w:kern w:val="0"/>
          <w:szCs w:val="21"/>
          <w:highlight w:val="none"/>
          <w:lang w:bidi="ar"/>
        </w:rPr>
        <w:t>YJ-BFS</w:t>
      </w:r>
      <w:r>
        <w:rPr>
          <w:rFonts w:hint="eastAsia" w:ascii="Times New Roman" w:hAnsi="Times New Roman" w:cs="Times New Roman"/>
          <w:snapToGrid w:val="0"/>
          <w:highlight w:val="none"/>
        </w:rPr>
        <w:t>造衬修复。第8-12段冷却壁在炉外浇注，浇注成型并验收合格后再安装冷却壁。8-10段使用钢纤维碳化硅浇注料，11-12段钢纤维高铝陶瓷浇注料。</w:t>
      </w:r>
    </w:p>
    <w:p w14:paraId="2EEB7704">
      <w:pPr>
        <w:widowControl/>
        <w:tabs>
          <w:tab w:val="left" w:pos="993"/>
          <w:tab w:val="left" w:pos="1462"/>
        </w:tabs>
        <w:autoSpaceDE w:val="0"/>
        <w:autoSpaceDN w:val="0"/>
        <w:snapToGrid w:val="0"/>
        <w:jc w:val="center"/>
        <w:rPr>
          <w:rFonts w:cs="宋体"/>
          <w:strike w:val="0"/>
          <w:dstrike w:val="0"/>
          <w:kern w:val="0"/>
          <w:highlight w:val="none"/>
        </w:rPr>
      </w:pPr>
      <w:r>
        <w:rPr>
          <w:rFonts w:hint="eastAsia" w:ascii="Times New Roman" w:hAnsi="Times New Roman"/>
          <w:strike w:val="0"/>
          <w:dstrike w:val="0"/>
          <w:highlight w:val="none"/>
          <w:shd w:val="clear" w:color="auto" w:fill="FFFF00"/>
        </w:rPr>
        <w:t>表2.6-</w:t>
      </w:r>
      <w:r>
        <w:rPr>
          <w:rFonts w:hint="eastAsia" w:ascii="Times New Roman" w:hAnsi="Times New Roman"/>
          <w:strike w:val="0"/>
          <w:dstrike w:val="0"/>
          <w:highlight w:val="none"/>
          <w:shd w:val="clear" w:color="auto" w:fill="FFFF00"/>
          <w:lang w:val="en-US" w:eastAsia="zh-CN"/>
        </w:rPr>
        <w:t>4</w:t>
      </w:r>
      <w:r>
        <w:rPr>
          <w:rFonts w:hint="eastAsia" w:ascii="Times New Roman" w:hAnsi="Times New Roman"/>
          <w:strike w:val="0"/>
          <w:dstrike w:val="0"/>
          <w:highlight w:val="none"/>
        </w:rPr>
        <w:t xml:space="preserve">  </w:t>
      </w:r>
      <w:r>
        <w:rPr>
          <w:rFonts w:hint="eastAsia" w:ascii="Times New Roman" w:hAnsi="Times New Roman"/>
          <w:strike w:val="0"/>
          <w:dstrike w:val="0"/>
          <w:highlight w:val="none"/>
        </w:rPr>
        <w:t>钢纤维碳化硅浇注料(预挂渣皮料)</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8"/>
        <w:gridCol w:w="1578"/>
        <w:gridCol w:w="2170"/>
        <w:gridCol w:w="1774"/>
      </w:tblGrid>
      <w:tr w14:paraId="6CEA9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576" w:type="dxa"/>
            <w:gridSpan w:val="2"/>
            <w:tcBorders>
              <w:top w:val="single" w:color="auto" w:sz="12" w:space="0"/>
              <w:left w:val="single" w:color="auto" w:sz="12" w:space="0"/>
            </w:tcBorders>
            <w:vAlign w:val="center"/>
          </w:tcPr>
          <w:p w14:paraId="50E07325">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项  目</w:t>
            </w:r>
          </w:p>
        </w:tc>
        <w:tc>
          <w:tcPr>
            <w:tcW w:w="2170" w:type="dxa"/>
            <w:tcBorders>
              <w:top w:val="single" w:color="auto" w:sz="12" w:space="0"/>
            </w:tcBorders>
            <w:vAlign w:val="center"/>
          </w:tcPr>
          <w:p w14:paraId="2E6145EA">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单位</w:t>
            </w:r>
          </w:p>
        </w:tc>
        <w:tc>
          <w:tcPr>
            <w:tcW w:w="1774" w:type="dxa"/>
            <w:tcBorders>
              <w:top w:val="single" w:color="auto" w:sz="12" w:space="0"/>
              <w:right w:val="single" w:color="auto" w:sz="12" w:space="0"/>
            </w:tcBorders>
            <w:vAlign w:val="center"/>
          </w:tcPr>
          <w:p w14:paraId="416EDB90">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指标</w:t>
            </w:r>
          </w:p>
        </w:tc>
      </w:tr>
      <w:tr w14:paraId="32CB3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98" w:type="dxa"/>
            <w:tcBorders>
              <w:left w:val="single" w:color="auto" w:sz="12" w:space="0"/>
            </w:tcBorders>
            <w:vAlign w:val="center"/>
          </w:tcPr>
          <w:p w14:paraId="7FFE7729">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化学成分</w:t>
            </w:r>
          </w:p>
        </w:tc>
        <w:tc>
          <w:tcPr>
            <w:tcW w:w="1578" w:type="dxa"/>
            <w:vAlign w:val="center"/>
          </w:tcPr>
          <w:p w14:paraId="0822C9A8">
            <w:pPr>
              <w:widowControl/>
              <w:adjustRightInd w:val="0"/>
              <w:snapToGrid w:val="0"/>
              <w:ind w:firstLine="210" w:firstLineChars="10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SiC</w:t>
            </w:r>
          </w:p>
        </w:tc>
        <w:tc>
          <w:tcPr>
            <w:tcW w:w="2170" w:type="dxa"/>
            <w:vAlign w:val="center"/>
          </w:tcPr>
          <w:p w14:paraId="45EC4F5A">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w:t>
            </w:r>
          </w:p>
        </w:tc>
        <w:tc>
          <w:tcPr>
            <w:tcW w:w="1774" w:type="dxa"/>
            <w:tcBorders>
              <w:right w:val="single" w:color="auto" w:sz="12" w:space="0"/>
            </w:tcBorders>
            <w:vAlign w:val="center"/>
          </w:tcPr>
          <w:p w14:paraId="3F939C46">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w:t>
            </w:r>
            <w:r>
              <w:rPr>
                <w:rFonts w:hint="eastAsia" w:cs="Times New Roman"/>
                <w:strike w:val="0"/>
                <w:dstrike w:val="0"/>
                <w:snapToGrid w:val="0"/>
                <w:kern w:val="0"/>
                <w:sz w:val="21"/>
                <w:szCs w:val="21"/>
                <w:highlight w:val="none"/>
              </w:rPr>
              <w:t>50</w:t>
            </w:r>
          </w:p>
        </w:tc>
      </w:tr>
      <w:tr w14:paraId="5F7DF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76" w:type="dxa"/>
            <w:gridSpan w:val="2"/>
            <w:tcBorders>
              <w:left w:val="single" w:color="auto" w:sz="12" w:space="0"/>
            </w:tcBorders>
            <w:vAlign w:val="center"/>
          </w:tcPr>
          <w:p w14:paraId="0B053FF5">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体积密度</w:t>
            </w:r>
            <w:r>
              <w:rPr>
                <w:rFonts w:hint="eastAsia" w:cs="Times New Roman"/>
                <w:strike w:val="0"/>
                <w:dstrike w:val="0"/>
                <w:snapToGrid w:val="0"/>
                <w:kern w:val="0"/>
                <w:sz w:val="21"/>
                <w:szCs w:val="21"/>
                <w:highlight w:val="none"/>
              </w:rPr>
              <w:t>（</w:t>
            </w:r>
            <w:r>
              <w:rPr>
                <w:rFonts w:cs="Times New Roman"/>
                <w:strike w:val="0"/>
                <w:dstrike w:val="0"/>
                <w:snapToGrid w:val="0"/>
                <w:kern w:val="0"/>
                <w:sz w:val="21"/>
                <w:szCs w:val="21"/>
                <w:highlight w:val="none"/>
              </w:rPr>
              <w:t>1</w:t>
            </w:r>
            <w:r>
              <w:rPr>
                <w:rFonts w:hint="eastAsia" w:cs="Times New Roman"/>
                <w:strike w:val="0"/>
                <w:dstrike w:val="0"/>
                <w:snapToGrid w:val="0"/>
                <w:kern w:val="0"/>
                <w:sz w:val="21"/>
                <w:szCs w:val="21"/>
                <w:highlight w:val="none"/>
              </w:rPr>
              <w:t>1</w:t>
            </w:r>
            <w:r>
              <w:rPr>
                <w:rFonts w:cs="Times New Roman"/>
                <w:strike w:val="0"/>
                <w:dstrike w:val="0"/>
                <w:snapToGrid w:val="0"/>
                <w:kern w:val="0"/>
                <w:sz w:val="21"/>
                <w:szCs w:val="21"/>
                <w:highlight w:val="none"/>
              </w:rPr>
              <w:t>0℃</w:t>
            </w:r>
            <w:r>
              <w:rPr>
                <w:rFonts w:hint="eastAsia" w:cs="Times New Roman"/>
                <w:strike w:val="0"/>
                <w:dstrike w:val="0"/>
                <w:snapToGrid w:val="0"/>
                <w:kern w:val="0"/>
                <w:sz w:val="21"/>
                <w:szCs w:val="21"/>
                <w:highlight w:val="none"/>
              </w:rPr>
              <w:t>×24h）</w:t>
            </w:r>
          </w:p>
        </w:tc>
        <w:tc>
          <w:tcPr>
            <w:tcW w:w="2170" w:type="dxa"/>
            <w:vAlign w:val="center"/>
          </w:tcPr>
          <w:p w14:paraId="15B1DBE4">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g/cm</w:t>
            </w:r>
            <w:r>
              <w:rPr>
                <w:rFonts w:cs="Times New Roman"/>
                <w:strike w:val="0"/>
                <w:dstrike w:val="0"/>
                <w:snapToGrid w:val="0"/>
                <w:kern w:val="0"/>
                <w:sz w:val="21"/>
                <w:szCs w:val="21"/>
                <w:highlight w:val="none"/>
                <w:vertAlign w:val="superscript"/>
              </w:rPr>
              <w:t>3</w:t>
            </w:r>
          </w:p>
        </w:tc>
        <w:tc>
          <w:tcPr>
            <w:tcW w:w="1774" w:type="dxa"/>
            <w:tcBorders>
              <w:right w:val="single" w:color="auto" w:sz="12" w:space="0"/>
            </w:tcBorders>
            <w:vAlign w:val="center"/>
          </w:tcPr>
          <w:p w14:paraId="4D68C556">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w:t>
            </w:r>
            <w:r>
              <w:rPr>
                <w:rFonts w:hint="eastAsia" w:cs="Times New Roman"/>
                <w:strike w:val="0"/>
                <w:dstrike w:val="0"/>
                <w:snapToGrid w:val="0"/>
                <w:kern w:val="0"/>
                <w:sz w:val="21"/>
                <w:szCs w:val="21"/>
                <w:highlight w:val="none"/>
              </w:rPr>
              <w:t>2.7</w:t>
            </w:r>
          </w:p>
        </w:tc>
      </w:tr>
      <w:tr w14:paraId="05118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76" w:type="dxa"/>
            <w:gridSpan w:val="2"/>
            <w:tcBorders>
              <w:left w:val="single" w:color="auto" w:sz="12" w:space="0"/>
            </w:tcBorders>
            <w:vAlign w:val="center"/>
          </w:tcPr>
          <w:p w14:paraId="41853E62">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抗折强度</w:t>
            </w:r>
            <w:r>
              <w:rPr>
                <w:rFonts w:hint="eastAsia" w:cs="Times New Roman"/>
                <w:strike w:val="0"/>
                <w:dstrike w:val="0"/>
                <w:snapToGrid w:val="0"/>
                <w:kern w:val="0"/>
                <w:sz w:val="21"/>
                <w:szCs w:val="21"/>
                <w:highlight w:val="none"/>
              </w:rPr>
              <w:t>（</w:t>
            </w:r>
            <w:r>
              <w:rPr>
                <w:rFonts w:cs="Times New Roman"/>
                <w:strike w:val="0"/>
                <w:dstrike w:val="0"/>
                <w:snapToGrid w:val="0"/>
                <w:kern w:val="0"/>
                <w:sz w:val="21"/>
                <w:szCs w:val="21"/>
                <w:highlight w:val="none"/>
              </w:rPr>
              <w:t>1</w:t>
            </w:r>
            <w:r>
              <w:rPr>
                <w:rFonts w:hint="eastAsia" w:cs="Times New Roman"/>
                <w:strike w:val="0"/>
                <w:dstrike w:val="0"/>
                <w:snapToGrid w:val="0"/>
                <w:kern w:val="0"/>
                <w:sz w:val="21"/>
                <w:szCs w:val="21"/>
                <w:highlight w:val="none"/>
              </w:rPr>
              <w:t>1</w:t>
            </w:r>
            <w:r>
              <w:rPr>
                <w:rFonts w:cs="Times New Roman"/>
                <w:strike w:val="0"/>
                <w:dstrike w:val="0"/>
                <w:snapToGrid w:val="0"/>
                <w:kern w:val="0"/>
                <w:sz w:val="21"/>
                <w:szCs w:val="21"/>
                <w:highlight w:val="none"/>
              </w:rPr>
              <w:t>0℃</w:t>
            </w:r>
            <w:r>
              <w:rPr>
                <w:rFonts w:hint="eastAsia" w:cs="Times New Roman"/>
                <w:strike w:val="0"/>
                <w:dstrike w:val="0"/>
                <w:snapToGrid w:val="0"/>
                <w:kern w:val="0"/>
                <w:sz w:val="21"/>
                <w:szCs w:val="21"/>
                <w:highlight w:val="none"/>
              </w:rPr>
              <w:t>×24h）</w:t>
            </w:r>
          </w:p>
        </w:tc>
        <w:tc>
          <w:tcPr>
            <w:tcW w:w="2170" w:type="dxa"/>
            <w:vAlign w:val="center"/>
          </w:tcPr>
          <w:p w14:paraId="72D8647D">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MPa</w:t>
            </w:r>
          </w:p>
        </w:tc>
        <w:tc>
          <w:tcPr>
            <w:tcW w:w="1774" w:type="dxa"/>
            <w:tcBorders>
              <w:right w:val="single" w:color="auto" w:sz="12" w:space="0"/>
            </w:tcBorders>
            <w:vAlign w:val="center"/>
          </w:tcPr>
          <w:p w14:paraId="07AB0174">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w:t>
            </w:r>
            <w:r>
              <w:rPr>
                <w:rFonts w:hint="eastAsia" w:cs="Times New Roman"/>
                <w:strike w:val="0"/>
                <w:dstrike w:val="0"/>
                <w:snapToGrid w:val="0"/>
                <w:kern w:val="0"/>
                <w:sz w:val="21"/>
                <w:szCs w:val="21"/>
                <w:highlight w:val="none"/>
              </w:rPr>
              <w:t>1</w:t>
            </w:r>
            <w:r>
              <w:rPr>
                <w:rFonts w:cs="Times New Roman"/>
                <w:strike w:val="0"/>
                <w:dstrike w:val="0"/>
                <w:snapToGrid w:val="0"/>
                <w:kern w:val="0"/>
                <w:sz w:val="21"/>
                <w:szCs w:val="21"/>
                <w:highlight w:val="none"/>
              </w:rPr>
              <w:t>3</w:t>
            </w:r>
          </w:p>
        </w:tc>
      </w:tr>
      <w:tr w14:paraId="0BDD0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76" w:type="dxa"/>
            <w:gridSpan w:val="2"/>
            <w:tcBorders>
              <w:left w:val="single" w:color="auto" w:sz="12" w:space="0"/>
            </w:tcBorders>
            <w:vAlign w:val="center"/>
          </w:tcPr>
          <w:p w14:paraId="4CA1F2FD">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高温抗折强度 (1</w:t>
            </w:r>
            <w:r>
              <w:rPr>
                <w:rFonts w:hint="eastAsia" w:cs="Times New Roman"/>
                <w:strike w:val="0"/>
                <w:dstrike w:val="0"/>
                <w:snapToGrid w:val="0"/>
                <w:kern w:val="0"/>
                <w:sz w:val="21"/>
                <w:szCs w:val="21"/>
                <w:highlight w:val="none"/>
              </w:rPr>
              <w:t>4</w:t>
            </w:r>
            <w:r>
              <w:rPr>
                <w:rFonts w:cs="Times New Roman"/>
                <w:strike w:val="0"/>
                <w:dstrike w:val="0"/>
                <w:snapToGrid w:val="0"/>
                <w:kern w:val="0"/>
                <w:sz w:val="21"/>
                <w:szCs w:val="21"/>
                <w:highlight w:val="none"/>
              </w:rPr>
              <w:t>00℃,</w:t>
            </w:r>
            <w:r>
              <w:rPr>
                <w:rFonts w:hint="eastAsia" w:cs="Times New Roman"/>
                <w:strike w:val="0"/>
                <w:dstrike w:val="0"/>
                <w:snapToGrid w:val="0"/>
                <w:kern w:val="0"/>
                <w:sz w:val="21"/>
                <w:szCs w:val="21"/>
                <w:highlight w:val="none"/>
              </w:rPr>
              <w:t>1h</w:t>
            </w:r>
            <w:r>
              <w:rPr>
                <w:rFonts w:cs="Times New Roman"/>
                <w:strike w:val="0"/>
                <w:dstrike w:val="0"/>
                <w:snapToGrid w:val="0"/>
                <w:kern w:val="0"/>
                <w:sz w:val="21"/>
                <w:szCs w:val="21"/>
                <w:highlight w:val="none"/>
              </w:rPr>
              <w:t>)</w:t>
            </w:r>
            <w:r>
              <w:rPr>
                <w:rFonts w:hint="eastAsia" w:cs="Times New Roman"/>
                <w:strike w:val="0"/>
                <w:dstrike w:val="0"/>
                <w:snapToGrid w:val="0"/>
                <w:kern w:val="0"/>
                <w:sz w:val="21"/>
                <w:szCs w:val="21"/>
                <w:highlight w:val="none"/>
              </w:rPr>
              <w:t>热态</w:t>
            </w:r>
          </w:p>
        </w:tc>
        <w:tc>
          <w:tcPr>
            <w:tcW w:w="2170" w:type="dxa"/>
            <w:vAlign w:val="center"/>
          </w:tcPr>
          <w:p w14:paraId="488D1BE5">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MPa</w:t>
            </w:r>
          </w:p>
        </w:tc>
        <w:tc>
          <w:tcPr>
            <w:tcW w:w="1774" w:type="dxa"/>
            <w:tcBorders>
              <w:right w:val="single" w:color="auto" w:sz="12" w:space="0"/>
            </w:tcBorders>
            <w:vAlign w:val="center"/>
          </w:tcPr>
          <w:p w14:paraId="3838C079">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≥4</w:t>
            </w:r>
          </w:p>
        </w:tc>
      </w:tr>
      <w:tr w14:paraId="0DA95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76" w:type="dxa"/>
            <w:gridSpan w:val="2"/>
            <w:tcBorders>
              <w:left w:val="single" w:color="auto" w:sz="12" w:space="0"/>
            </w:tcBorders>
            <w:vAlign w:val="center"/>
          </w:tcPr>
          <w:p w14:paraId="71758C49">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耐压强度</w:t>
            </w:r>
            <w:r>
              <w:rPr>
                <w:rFonts w:hint="eastAsia" w:cs="Times New Roman"/>
                <w:strike w:val="0"/>
                <w:dstrike w:val="0"/>
                <w:snapToGrid w:val="0"/>
                <w:kern w:val="0"/>
                <w:sz w:val="21"/>
                <w:szCs w:val="21"/>
                <w:highlight w:val="none"/>
              </w:rPr>
              <w:t>（</w:t>
            </w:r>
            <w:r>
              <w:rPr>
                <w:rFonts w:cs="Times New Roman"/>
                <w:strike w:val="0"/>
                <w:dstrike w:val="0"/>
                <w:snapToGrid w:val="0"/>
                <w:kern w:val="0"/>
                <w:sz w:val="21"/>
                <w:szCs w:val="21"/>
                <w:highlight w:val="none"/>
              </w:rPr>
              <w:t>1</w:t>
            </w:r>
            <w:r>
              <w:rPr>
                <w:rFonts w:hint="eastAsia" w:cs="Times New Roman"/>
                <w:strike w:val="0"/>
                <w:dstrike w:val="0"/>
                <w:snapToGrid w:val="0"/>
                <w:kern w:val="0"/>
                <w:sz w:val="21"/>
                <w:szCs w:val="21"/>
                <w:highlight w:val="none"/>
              </w:rPr>
              <w:t>1</w:t>
            </w:r>
            <w:r>
              <w:rPr>
                <w:rFonts w:cs="Times New Roman"/>
                <w:strike w:val="0"/>
                <w:dstrike w:val="0"/>
                <w:snapToGrid w:val="0"/>
                <w:kern w:val="0"/>
                <w:sz w:val="21"/>
                <w:szCs w:val="21"/>
                <w:highlight w:val="none"/>
              </w:rPr>
              <w:t>0℃</w:t>
            </w:r>
            <w:r>
              <w:rPr>
                <w:rFonts w:hint="eastAsia" w:cs="Times New Roman"/>
                <w:strike w:val="0"/>
                <w:dstrike w:val="0"/>
                <w:snapToGrid w:val="0"/>
                <w:kern w:val="0"/>
                <w:sz w:val="21"/>
                <w:szCs w:val="21"/>
                <w:highlight w:val="none"/>
              </w:rPr>
              <w:t>×24h）</w:t>
            </w:r>
          </w:p>
        </w:tc>
        <w:tc>
          <w:tcPr>
            <w:tcW w:w="2170" w:type="dxa"/>
            <w:vAlign w:val="center"/>
          </w:tcPr>
          <w:p w14:paraId="132E39FB">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MPa</w:t>
            </w:r>
          </w:p>
        </w:tc>
        <w:tc>
          <w:tcPr>
            <w:tcW w:w="1774" w:type="dxa"/>
            <w:tcBorders>
              <w:right w:val="single" w:color="auto" w:sz="12" w:space="0"/>
            </w:tcBorders>
            <w:vAlign w:val="center"/>
          </w:tcPr>
          <w:p w14:paraId="0100D2A2">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w:t>
            </w:r>
            <w:r>
              <w:rPr>
                <w:rFonts w:hint="eastAsia" w:cs="Times New Roman"/>
                <w:strike w:val="0"/>
                <w:dstrike w:val="0"/>
                <w:snapToGrid w:val="0"/>
                <w:kern w:val="0"/>
                <w:sz w:val="21"/>
                <w:szCs w:val="21"/>
                <w:highlight w:val="none"/>
              </w:rPr>
              <w:t>80</w:t>
            </w:r>
          </w:p>
        </w:tc>
      </w:tr>
      <w:tr w14:paraId="68609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76" w:type="dxa"/>
            <w:gridSpan w:val="2"/>
            <w:tcBorders>
              <w:left w:val="single" w:color="auto" w:sz="12" w:space="0"/>
            </w:tcBorders>
            <w:vAlign w:val="center"/>
          </w:tcPr>
          <w:p w14:paraId="571833AC">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耐压强度(1</w:t>
            </w:r>
            <w:r>
              <w:rPr>
                <w:rFonts w:hint="eastAsia" w:cs="Times New Roman"/>
                <w:strike w:val="0"/>
                <w:dstrike w:val="0"/>
                <w:snapToGrid w:val="0"/>
                <w:kern w:val="0"/>
                <w:sz w:val="21"/>
                <w:szCs w:val="21"/>
                <w:highlight w:val="none"/>
              </w:rPr>
              <w:t>4</w:t>
            </w:r>
            <w:r>
              <w:rPr>
                <w:rFonts w:cs="Times New Roman"/>
                <w:strike w:val="0"/>
                <w:dstrike w:val="0"/>
                <w:snapToGrid w:val="0"/>
                <w:kern w:val="0"/>
                <w:sz w:val="21"/>
                <w:szCs w:val="21"/>
                <w:highlight w:val="none"/>
              </w:rPr>
              <w:t>00℃</w:t>
            </w:r>
            <w:r>
              <w:rPr>
                <w:rFonts w:hint="eastAsia" w:cs="Times New Roman"/>
                <w:strike w:val="0"/>
                <w:dstrike w:val="0"/>
                <w:snapToGrid w:val="0"/>
                <w:kern w:val="0"/>
                <w:sz w:val="21"/>
                <w:szCs w:val="21"/>
                <w:highlight w:val="none"/>
              </w:rPr>
              <w:t>×3h</w:t>
            </w:r>
            <w:r>
              <w:rPr>
                <w:rFonts w:cs="Times New Roman"/>
                <w:strike w:val="0"/>
                <w:dstrike w:val="0"/>
                <w:snapToGrid w:val="0"/>
                <w:kern w:val="0"/>
                <w:sz w:val="21"/>
                <w:szCs w:val="21"/>
                <w:highlight w:val="none"/>
              </w:rPr>
              <w:t>)</w:t>
            </w:r>
          </w:p>
        </w:tc>
        <w:tc>
          <w:tcPr>
            <w:tcW w:w="2170" w:type="dxa"/>
            <w:vAlign w:val="center"/>
          </w:tcPr>
          <w:p w14:paraId="630E04CA">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MPa</w:t>
            </w:r>
          </w:p>
        </w:tc>
        <w:tc>
          <w:tcPr>
            <w:tcW w:w="1774" w:type="dxa"/>
            <w:tcBorders>
              <w:right w:val="single" w:color="auto" w:sz="12" w:space="0"/>
            </w:tcBorders>
            <w:vAlign w:val="center"/>
          </w:tcPr>
          <w:p w14:paraId="039BAF01">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w:t>
            </w:r>
            <w:r>
              <w:rPr>
                <w:rFonts w:hint="eastAsia" w:cs="Times New Roman"/>
                <w:strike w:val="0"/>
                <w:dstrike w:val="0"/>
                <w:snapToGrid w:val="0"/>
                <w:kern w:val="0"/>
                <w:sz w:val="21"/>
                <w:szCs w:val="21"/>
                <w:highlight w:val="none"/>
              </w:rPr>
              <w:t>90</w:t>
            </w:r>
          </w:p>
        </w:tc>
      </w:tr>
      <w:tr w14:paraId="138EC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76" w:type="dxa"/>
            <w:gridSpan w:val="2"/>
            <w:tcBorders>
              <w:left w:val="single" w:color="auto" w:sz="12" w:space="0"/>
            </w:tcBorders>
            <w:vAlign w:val="center"/>
          </w:tcPr>
          <w:p w14:paraId="36B152AE">
            <w:pPr>
              <w:widowControl/>
              <w:adjustRightInd w:val="0"/>
              <w:snapToGrid w:val="0"/>
              <w:ind w:firstLine="420"/>
              <w:jc w:val="center"/>
              <w:rPr>
                <w:rFonts w:cs="Times New Roman"/>
                <w:strike w:val="0"/>
                <w:dstrike w:val="0"/>
                <w:snapToGrid w:val="0"/>
                <w:kern w:val="0"/>
                <w:sz w:val="21"/>
                <w:szCs w:val="21"/>
                <w:highlight w:val="none"/>
              </w:rPr>
            </w:pPr>
            <w:r>
              <w:rPr>
                <w:rFonts w:hint="eastAsia" w:cs="Times New Roman"/>
                <w:bCs/>
                <w:strike w:val="0"/>
                <w:dstrike w:val="0"/>
                <w:kern w:val="0"/>
                <w:sz w:val="21"/>
                <w:szCs w:val="21"/>
                <w:highlight w:val="none"/>
              </w:rPr>
              <w:t>烧后线变化率</w:t>
            </w:r>
            <w:r>
              <w:rPr>
                <w:rFonts w:cs="Times New Roman"/>
                <w:strike w:val="0"/>
                <w:dstrike w:val="0"/>
                <w:snapToGrid w:val="0"/>
                <w:kern w:val="0"/>
                <w:sz w:val="21"/>
                <w:szCs w:val="21"/>
                <w:highlight w:val="none"/>
              </w:rPr>
              <w:t>(1</w:t>
            </w:r>
            <w:r>
              <w:rPr>
                <w:rFonts w:hint="eastAsia" w:cs="Times New Roman"/>
                <w:strike w:val="0"/>
                <w:dstrike w:val="0"/>
                <w:snapToGrid w:val="0"/>
                <w:kern w:val="0"/>
                <w:sz w:val="21"/>
                <w:szCs w:val="21"/>
                <w:highlight w:val="none"/>
              </w:rPr>
              <w:t>4</w:t>
            </w:r>
            <w:r>
              <w:rPr>
                <w:rFonts w:cs="Times New Roman"/>
                <w:strike w:val="0"/>
                <w:dstrike w:val="0"/>
                <w:snapToGrid w:val="0"/>
                <w:kern w:val="0"/>
                <w:sz w:val="21"/>
                <w:szCs w:val="21"/>
                <w:highlight w:val="none"/>
              </w:rPr>
              <w:t>00℃</w:t>
            </w:r>
            <w:r>
              <w:rPr>
                <w:rFonts w:hint="eastAsia" w:cs="Times New Roman"/>
                <w:strike w:val="0"/>
                <w:dstrike w:val="0"/>
                <w:snapToGrid w:val="0"/>
                <w:kern w:val="0"/>
                <w:sz w:val="21"/>
                <w:szCs w:val="21"/>
                <w:highlight w:val="none"/>
              </w:rPr>
              <w:t>×3h</w:t>
            </w:r>
            <w:r>
              <w:rPr>
                <w:rFonts w:cs="Times New Roman"/>
                <w:strike w:val="0"/>
                <w:dstrike w:val="0"/>
                <w:snapToGrid w:val="0"/>
                <w:kern w:val="0"/>
                <w:sz w:val="21"/>
                <w:szCs w:val="21"/>
                <w:highlight w:val="none"/>
              </w:rPr>
              <w:t>)</w:t>
            </w:r>
          </w:p>
        </w:tc>
        <w:tc>
          <w:tcPr>
            <w:tcW w:w="2170" w:type="dxa"/>
            <w:vAlign w:val="center"/>
          </w:tcPr>
          <w:p w14:paraId="5A2EB5F8">
            <w:pPr>
              <w:widowControl/>
              <w:adjustRightInd w:val="0"/>
              <w:snapToGrid w:val="0"/>
              <w:ind w:firstLine="420"/>
              <w:jc w:val="center"/>
              <w:rPr>
                <w:rFonts w:cs="Times New Roman"/>
                <w:strike w:val="0"/>
                <w:dstrike w:val="0"/>
                <w:snapToGrid w:val="0"/>
                <w:kern w:val="0"/>
                <w:sz w:val="21"/>
                <w:szCs w:val="21"/>
                <w:highlight w:val="none"/>
              </w:rPr>
            </w:pPr>
            <w:r>
              <w:rPr>
                <w:rFonts w:hint="eastAsia" w:cs="Times New Roman"/>
                <w:strike w:val="0"/>
                <w:dstrike w:val="0"/>
                <w:snapToGrid w:val="0"/>
                <w:kern w:val="0"/>
                <w:sz w:val="21"/>
                <w:szCs w:val="21"/>
                <w:highlight w:val="none"/>
              </w:rPr>
              <w:t>%</w:t>
            </w:r>
          </w:p>
        </w:tc>
        <w:tc>
          <w:tcPr>
            <w:tcW w:w="1774" w:type="dxa"/>
            <w:tcBorders>
              <w:right w:val="single" w:color="auto" w:sz="12" w:space="0"/>
            </w:tcBorders>
            <w:vAlign w:val="center"/>
          </w:tcPr>
          <w:p w14:paraId="00A48290">
            <w:pPr>
              <w:widowControl/>
              <w:adjustRightInd w:val="0"/>
              <w:snapToGrid w:val="0"/>
              <w:ind w:firstLine="420"/>
              <w:jc w:val="center"/>
              <w:rPr>
                <w:rFonts w:cs="Times New Roman"/>
                <w:strike w:val="0"/>
                <w:dstrike w:val="0"/>
                <w:snapToGrid w:val="0"/>
                <w:kern w:val="0"/>
                <w:sz w:val="21"/>
                <w:szCs w:val="21"/>
                <w:highlight w:val="none"/>
              </w:rPr>
            </w:pPr>
            <w:r>
              <w:rPr>
                <w:rFonts w:hint="eastAsia" w:cs="Times New Roman"/>
                <w:strike w:val="0"/>
                <w:dstrike w:val="0"/>
                <w:snapToGrid w:val="0"/>
                <w:kern w:val="0"/>
                <w:sz w:val="21"/>
                <w:szCs w:val="21"/>
                <w:highlight w:val="none"/>
              </w:rPr>
              <w:t>±0.5</w:t>
            </w:r>
          </w:p>
        </w:tc>
      </w:tr>
      <w:tr w14:paraId="5F337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76" w:type="dxa"/>
            <w:gridSpan w:val="2"/>
            <w:tcBorders>
              <w:left w:val="single" w:color="auto" w:sz="12" w:space="0"/>
            </w:tcBorders>
            <w:vAlign w:val="center"/>
          </w:tcPr>
          <w:p w14:paraId="66911A4E">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导热系数(</w:t>
            </w:r>
            <w:r>
              <w:rPr>
                <w:rFonts w:hint="eastAsia" w:cs="Times New Roman"/>
                <w:strike w:val="0"/>
                <w:dstrike w:val="0"/>
                <w:snapToGrid w:val="0"/>
                <w:kern w:val="0"/>
                <w:sz w:val="21"/>
                <w:szCs w:val="21"/>
                <w:highlight w:val="none"/>
              </w:rPr>
              <w:t>300</w:t>
            </w:r>
            <w:r>
              <w:rPr>
                <w:rFonts w:cs="Times New Roman"/>
                <w:strike w:val="0"/>
                <w:dstrike w:val="0"/>
                <w:snapToGrid w:val="0"/>
                <w:kern w:val="0"/>
                <w:sz w:val="21"/>
                <w:szCs w:val="21"/>
                <w:highlight w:val="none"/>
              </w:rPr>
              <w:t>℃ )</w:t>
            </w:r>
          </w:p>
        </w:tc>
        <w:tc>
          <w:tcPr>
            <w:tcW w:w="2170" w:type="dxa"/>
            <w:vAlign w:val="center"/>
          </w:tcPr>
          <w:p w14:paraId="0B4A145E">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W/(m·K)</w:t>
            </w:r>
          </w:p>
        </w:tc>
        <w:tc>
          <w:tcPr>
            <w:tcW w:w="1774" w:type="dxa"/>
            <w:tcBorders>
              <w:right w:val="single" w:color="auto" w:sz="12" w:space="0"/>
            </w:tcBorders>
            <w:vAlign w:val="center"/>
          </w:tcPr>
          <w:p w14:paraId="292AD10F">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w:t>
            </w:r>
            <w:r>
              <w:rPr>
                <w:rFonts w:hint="eastAsia" w:cs="Times New Roman"/>
                <w:strike w:val="0"/>
                <w:dstrike w:val="0"/>
                <w:snapToGrid w:val="0"/>
                <w:kern w:val="0"/>
                <w:sz w:val="21"/>
                <w:szCs w:val="21"/>
                <w:highlight w:val="none"/>
              </w:rPr>
              <w:t>8</w:t>
            </w:r>
          </w:p>
        </w:tc>
      </w:tr>
      <w:tr w14:paraId="4BF15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76" w:type="dxa"/>
            <w:gridSpan w:val="2"/>
            <w:tcBorders>
              <w:left w:val="single" w:color="auto" w:sz="12" w:space="0"/>
              <w:bottom w:val="single" w:color="auto" w:sz="12" w:space="0"/>
            </w:tcBorders>
            <w:vAlign w:val="center"/>
          </w:tcPr>
          <w:p w14:paraId="14C33FBE">
            <w:pPr>
              <w:widowControl/>
              <w:adjustRightInd w:val="0"/>
              <w:snapToGrid w:val="0"/>
              <w:ind w:firstLine="420"/>
              <w:jc w:val="center"/>
              <w:rPr>
                <w:rFonts w:cs="Times New Roman"/>
                <w:strike w:val="0"/>
                <w:dstrike w:val="0"/>
                <w:snapToGrid w:val="0"/>
                <w:kern w:val="0"/>
                <w:sz w:val="21"/>
                <w:szCs w:val="21"/>
                <w:highlight w:val="none"/>
              </w:rPr>
            </w:pPr>
            <w:r>
              <w:rPr>
                <w:rFonts w:hint="eastAsia" w:cs="Times New Roman"/>
                <w:strike w:val="0"/>
                <w:dstrike w:val="0"/>
                <w:snapToGrid w:val="0"/>
                <w:kern w:val="0"/>
                <w:sz w:val="21"/>
                <w:szCs w:val="21"/>
                <w:highlight w:val="none"/>
              </w:rPr>
              <w:t>使用部位</w:t>
            </w:r>
          </w:p>
        </w:tc>
        <w:tc>
          <w:tcPr>
            <w:tcW w:w="3944" w:type="dxa"/>
            <w:gridSpan w:val="2"/>
            <w:tcBorders>
              <w:bottom w:val="single" w:color="auto" w:sz="12" w:space="0"/>
              <w:right w:val="single" w:color="auto" w:sz="12" w:space="0"/>
            </w:tcBorders>
            <w:vAlign w:val="center"/>
          </w:tcPr>
          <w:p w14:paraId="76D2DC36">
            <w:pPr>
              <w:widowControl/>
              <w:adjustRightInd w:val="0"/>
              <w:snapToGrid w:val="0"/>
              <w:ind w:firstLine="420"/>
              <w:jc w:val="center"/>
              <w:rPr>
                <w:rFonts w:cs="Times New Roman"/>
                <w:strike w:val="0"/>
                <w:dstrike w:val="0"/>
                <w:snapToGrid w:val="0"/>
                <w:kern w:val="0"/>
                <w:sz w:val="21"/>
                <w:szCs w:val="21"/>
                <w:highlight w:val="none"/>
              </w:rPr>
            </w:pPr>
            <w:r>
              <w:rPr>
                <w:rFonts w:hint="eastAsia" w:cs="Times New Roman"/>
                <w:strike w:val="0"/>
                <w:dstrike w:val="0"/>
                <w:snapToGrid w:val="0"/>
                <w:kern w:val="0"/>
                <w:sz w:val="21"/>
                <w:szCs w:val="21"/>
                <w:highlight w:val="none"/>
                <w:lang w:val="en-US" w:eastAsia="zh-CN"/>
              </w:rPr>
              <w:t>8-10</w:t>
            </w:r>
            <w:r>
              <w:rPr>
                <w:rFonts w:hint="eastAsia" w:cs="Times New Roman"/>
                <w:strike w:val="0"/>
                <w:dstrike w:val="0"/>
                <w:snapToGrid w:val="0"/>
                <w:kern w:val="0"/>
                <w:sz w:val="21"/>
                <w:szCs w:val="21"/>
                <w:highlight w:val="none"/>
              </w:rPr>
              <w:t>段冷却壁</w:t>
            </w:r>
          </w:p>
        </w:tc>
      </w:tr>
    </w:tbl>
    <w:p w14:paraId="1AEC27B6">
      <w:pPr>
        <w:widowControl/>
        <w:tabs>
          <w:tab w:val="left" w:pos="993"/>
          <w:tab w:val="left" w:pos="1462"/>
        </w:tabs>
        <w:autoSpaceDE w:val="0"/>
        <w:autoSpaceDN w:val="0"/>
        <w:snapToGrid w:val="0"/>
        <w:jc w:val="center"/>
        <w:rPr>
          <w:rFonts w:ascii="Times New Roman" w:hAnsi="Times New Roman"/>
          <w:strike w:val="0"/>
          <w:dstrike w:val="0"/>
          <w:highlight w:val="none"/>
        </w:rPr>
      </w:pPr>
      <w:r>
        <w:rPr>
          <w:rFonts w:hint="eastAsia" w:ascii="Times New Roman" w:hAnsi="Times New Roman"/>
          <w:strike w:val="0"/>
          <w:dstrike w:val="0"/>
          <w:highlight w:val="none"/>
          <w:shd w:val="clear" w:color="auto" w:fill="FFFF00"/>
        </w:rPr>
        <w:t>表2.6-</w:t>
      </w:r>
      <w:r>
        <w:rPr>
          <w:rFonts w:hint="eastAsia" w:ascii="Times New Roman" w:hAnsi="Times New Roman"/>
          <w:strike w:val="0"/>
          <w:dstrike w:val="0"/>
          <w:highlight w:val="none"/>
          <w:shd w:val="clear" w:color="auto" w:fill="FFFF00"/>
          <w:lang w:val="en-US" w:eastAsia="zh-CN"/>
        </w:rPr>
        <w:t>5</w:t>
      </w:r>
      <w:r>
        <w:rPr>
          <w:rFonts w:hint="eastAsia" w:ascii="Times New Roman" w:hAnsi="Times New Roman"/>
          <w:strike w:val="0"/>
          <w:dstrike w:val="0"/>
          <w:highlight w:val="none"/>
          <w:shd w:val="clear" w:color="auto" w:fill="FFFF00"/>
        </w:rPr>
        <w:t xml:space="preserve"> </w:t>
      </w:r>
      <w:r>
        <w:rPr>
          <w:rFonts w:hint="eastAsia" w:ascii="Times New Roman" w:hAnsi="Times New Roman"/>
          <w:strike w:val="0"/>
          <w:dstrike w:val="0"/>
          <w:highlight w:val="none"/>
        </w:rPr>
        <w:t xml:space="preserve"> </w:t>
      </w:r>
      <w:r>
        <w:rPr>
          <w:rFonts w:hint="eastAsia" w:ascii="Times New Roman" w:hAnsi="Times New Roman"/>
          <w:strike w:val="0"/>
          <w:dstrike w:val="0"/>
          <w:highlight w:val="none"/>
        </w:rPr>
        <w:t>钢纤维浇注料(高铝陶瓷耐磨料)</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1"/>
        <w:gridCol w:w="1696"/>
        <w:gridCol w:w="1408"/>
        <w:gridCol w:w="1904"/>
      </w:tblGrid>
      <w:tr w14:paraId="52077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207" w:type="dxa"/>
            <w:gridSpan w:val="2"/>
            <w:tcBorders>
              <w:top w:val="single" w:color="auto" w:sz="12" w:space="0"/>
              <w:left w:val="single" w:color="auto" w:sz="12" w:space="0"/>
            </w:tcBorders>
            <w:vAlign w:val="center"/>
          </w:tcPr>
          <w:p w14:paraId="69CC17A9">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项  目</w:t>
            </w:r>
          </w:p>
        </w:tc>
        <w:tc>
          <w:tcPr>
            <w:tcW w:w="1408" w:type="dxa"/>
            <w:tcBorders>
              <w:top w:val="single" w:color="auto" w:sz="12" w:space="0"/>
            </w:tcBorders>
            <w:vAlign w:val="center"/>
          </w:tcPr>
          <w:p w14:paraId="21C4906F">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单位</w:t>
            </w:r>
          </w:p>
        </w:tc>
        <w:tc>
          <w:tcPr>
            <w:tcW w:w="1904" w:type="dxa"/>
            <w:tcBorders>
              <w:top w:val="single" w:color="auto" w:sz="12" w:space="0"/>
              <w:right w:val="single" w:color="auto" w:sz="12" w:space="0"/>
            </w:tcBorders>
            <w:vAlign w:val="center"/>
          </w:tcPr>
          <w:p w14:paraId="7111F464">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指标</w:t>
            </w:r>
          </w:p>
        </w:tc>
      </w:tr>
      <w:tr w14:paraId="6C8EF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11" w:type="dxa"/>
            <w:tcBorders>
              <w:left w:val="single" w:color="auto" w:sz="12" w:space="0"/>
            </w:tcBorders>
            <w:vAlign w:val="center"/>
          </w:tcPr>
          <w:p w14:paraId="4B021B23">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化学成分</w:t>
            </w:r>
          </w:p>
        </w:tc>
        <w:tc>
          <w:tcPr>
            <w:tcW w:w="1696" w:type="dxa"/>
            <w:vAlign w:val="center"/>
          </w:tcPr>
          <w:p w14:paraId="0D564842">
            <w:pPr>
              <w:widowControl/>
              <w:adjustRightInd w:val="0"/>
              <w:snapToGrid w:val="0"/>
              <w:ind w:firstLine="210" w:firstLineChars="100"/>
              <w:jc w:val="center"/>
              <w:rPr>
                <w:rFonts w:cs="Times New Roman"/>
                <w:strike w:val="0"/>
                <w:dstrike w:val="0"/>
                <w:snapToGrid w:val="0"/>
                <w:kern w:val="0"/>
                <w:sz w:val="21"/>
                <w:szCs w:val="21"/>
                <w:highlight w:val="none"/>
              </w:rPr>
            </w:pPr>
            <w:r>
              <w:rPr>
                <w:rFonts w:cs="Times New Roman"/>
                <w:strike w:val="0"/>
                <w:dstrike w:val="0"/>
                <w:kern w:val="0"/>
                <w:sz w:val="21"/>
                <w:szCs w:val="21"/>
                <w:highlight w:val="none"/>
              </w:rPr>
              <w:t>Al</w:t>
            </w:r>
            <w:r>
              <w:rPr>
                <w:rFonts w:cs="Times New Roman"/>
                <w:strike w:val="0"/>
                <w:dstrike w:val="0"/>
                <w:kern w:val="0"/>
                <w:sz w:val="21"/>
                <w:szCs w:val="21"/>
                <w:highlight w:val="none"/>
                <w:vertAlign w:val="subscript"/>
              </w:rPr>
              <w:t>2</w:t>
            </w:r>
            <w:r>
              <w:rPr>
                <w:rFonts w:cs="Times New Roman"/>
                <w:strike w:val="0"/>
                <w:dstrike w:val="0"/>
                <w:kern w:val="0"/>
                <w:sz w:val="21"/>
                <w:szCs w:val="21"/>
                <w:highlight w:val="none"/>
              </w:rPr>
              <w:t>O</w:t>
            </w:r>
            <w:r>
              <w:rPr>
                <w:rFonts w:cs="Times New Roman"/>
                <w:strike w:val="0"/>
                <w:dstrike w:val="0"/>
                <w:kern w:val="0"/>
                <w:sz w:val="21"/>
                <w:szCs w:val="21"/>
                <w:highlight w:val="none"/>
                <w:vertAlign w:val="subscript"/>
              </w:rPr>
              <w:t>3</w:t>
            </w:r>
          </w:p>
        </w:tc>
        <w:tc>
          <w:tcPr>
            <w:tcW w:w="1408" w:type="dxa"/>
            <w:vAlign w:val="center"/>
          </w:tcPr>
          <w:p w14:paraId="7DFF16B9">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w:t>
            </w:r>
          </w:p>
        </w:tc>
        <w:tc>
          <w:tcPr>
            <w:tcW w:w="1904" w:type="dxa"/>
            <w:tcBorders>
              <w:right w:val="single" w:color="auto" w:sz="12" w:space="0"/>
            </w:tcBorders>
            <w:vAlign w:val="center"/>
          </w:tcPr>
          <w:p w14:paraId="072039EB">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w:t>
            </w:r>
            <w:r>
              <w:rPr>
                <w:rFonts w:hint="eastAsia" w:cs="Times New Roman"/>
                <w:strike w:val="0"/>
                <w:dstrike w:val="0"/>
                <w:snapToGrid w:val="0"/>
                <w:kern w:val="0"/>
                <w:sz w:val="21"/>
                <w:szCs w:val="21"/>
                <w:highlight w:val="none"/>
              </w:rPr>
              <w:t>65</w:t>
            </w:r>
          </w:p>
        </w:tc>
      </w:tr>
      <w:tr w14:paraId="368DC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07" w:type="dxa"/>
            <w:gridSpan w:val="2"/>
            <w:tcBorders>
              <w:left w:val="single" w:color="auto" w:sz="12" w:space="0"/>
            </w:tcBorders>
            <w:vAlign w:val="center"/>
          </w:tcPr>
          <w:p w14:paraId="28F63158">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体积密度</w:t>
            </w:r>
            <w:r>
              <w:rPr>
                <w:rFonts w:hint="eastAsia" w:cs="Times New Roman"/>
                <w:strike w:val="0"/>
                <w:dstrike w:val="0"/>
                <w:snapToGrid w:val="0"/>
                <w:kern w:val="0"/>
                <w:sz w:val="21"/>
                <w:szCs w:val="21"/>
                <w:highlight w:val="none"/>
              </w:rPr>
              <w:t>（</w:t>
            </w:r>
            <w:r>
              <w:rPr>
                <w:rFonts w:cs="Times New Roman"/>
                <w:strike w:val="0"/>
                <w:dstrike w:val="0"/>
                <w:snapToGrid w:val="0"/>
                <w:kern w:val="0"/>
                <w:sz w:val="21"/>
                <w:szCs w:val="21"/>
                <w:highlight w:val="none"/>
              </w:rPr>
              <w:t>1</w:t>
            </w:r>
            <w:r>
              <w:rPr>
                <w:rFonts w:hint="eastAsia" w:cs="Times New Roman"/>
                <w:strike w:val="0"/>
                <w:dstrike w:val="0"/>
                <w:snapToGrid w:val="0"/>
                <w:kern w:val="0"/>
                <w:sz w:val="21"/>
                <w:szCs w:val="21"/>
                <w:highlight w:val="none"/>
              </w:rPr>
              <w:t>1</w:t>
            </w:r>
            <w:r>
              <w:rPr>
                <w:rFonts w:cs="Times New Roman"/>
                <w:strike w:val="0"/>
                <w:dstrike w:val="0"/>
                <w:snapToGrid w:val="0"/>
                <w:kern w:val="0"/>
                <w:sz w:val="21"/>
                <w:szCs w:val="21"/>
                <w:highlight w:val="none"/>
              </w:rPr>
              <w:t>0℃</w:t>
            </w:r>
            <w:r>
              <w:rPr>
                <w:rFonts w:hint="eastAsia" w:cs="Times New Roman"/>
                <w:strike w:val="0"/>
                <w:dstrike w:val="0"/>
                <w:snapToGrid w:val="0"/>
                <w:kern w:val="0"/>
                <w:sz w:val="21"/>
                <w:szCs w:val="21"/>
                <w:highlight w:val="none"/>
              </w:rPr>
              <w:t>×24h）</w:t>
            </w:r>
          </w:p>
        </w:tc>
        <w:tc>
          <w:tcPr>
            <w:tcW w:w="1408" w:type="dxa"/>
            <w:vAlign w:val="center"/>
          </w:tcPr>
          <w:p w14:paraId="2C0936A6">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g/cm</w:t>
            </w:r>
            <w:r>
              <w:rPr>
                <w:rFonts w:cs="Times New Roman"/>
                <w:strike w:val="0"/>
                <w:dstrike w:val="0"/>
                <w:snapToGrid w:val="0"/>
                <w:kern w:val="0"/>
                <w:sz w:val="21"/>
                <w:szCs w:val="21"/>
                <w:highlight w:val="none"/>
                <w:vertAlign w:val="superscript"/>
              </w:rPr>
              <w:t>3</w:t>
            </w:r>
          </w:p>
        </w:tc>
        <w:tc>
          <w:tcPr>
            <w:tcW w:w="1904" w:type="dxa"/>
            <w:tcBorders>
              <w:right w:val="single" w:color="auto" w:sz="12" w:space="0"/>
            </w:tcBorders>
            <w:vAlign w:val="center"/>
          </w:tcPr>
          <w:p w14:paraId="77DA087F">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w:t>
            </w:r>
            <w:r>
              <w:rPr>
                <w:rFonts w:hint="eastAsia" w:cs="Times New Roman"/>
                <w:strike w:val="0"/>
                <w:dstrike w:val="0"/>
                <w:snapToGrid w:val="0"/>
                <w:kern w:val="0"/>
                <w:sz w:val="21"/>
                <w:szCs w:val="21"/>
                <w:highlight w:val="none"/>
              </w:rPr>
              <w:t>2.8</w:t>
            </w:r>
          </w:p>
        </w:tc>
      </w:tr>
      <w:tr w14:paraId="36BD4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07" w:type="dxa"/>
            <w:gridSpan w:val="2"/>
            <w:tcBorders>
              <w:left w:val="single" w:color="auto" w:sz="12" w:space="0"/>
            </w:tcBorders>
            <w:vAlign w:val="center"/>
          </w:tcPr>
          <w:p w14:paraId="5BE1EA25">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常温抗折强度</w:t>
            </w:r>
            <w:r>
              <w:rPr>
                <w:rFonts w:hint="eastAsia" w:cs="Times New Roman"/>
                <w:strike w:val="0"/>
                <w:dstrike w:val="0"/>
                <w:snapToGrid w:val="0"/>
                <w:kern w:val="0"/>
                <w:sz w:val="21"/>
                <w:szCs w:val="21"/>
                <w:highlight w:val="none"/>
              </w:rPr>
              <w:t>（</w:t>
            </w:r>
            <w:r>
              <w:rPr>
                <w:rFonts w:cs="Times New Roman"/>
                <w:strike w:val="0"/>
                <w:dstrike w:val="0"/>
                <w:snapToGrid w:val="0"/>
                <w:kern w:val="0"/>
                <w:sz w:val="21"/>
                <w:szCs w:val="21"/>
                <w:highlight w:val="none"/>
              </w:rPr>
              <w:t>1</w:t>
            </w:r>
            <w:r>
              <w:rPr>
                <w:rFonts w:hint="eastAsia" w:cs="Times New Roman"/>
                <w:strike w:val="0"/>
                <w:dstrike w:val="0"/>
                <w:snapToGrid w:val="0"/>
                <w:kern w:val="0"/>
                <w:sz w:val="21"/>
                <w:szCs w:val="21"/>
                <w:highlight w:val="none"/>
              </w:rPr>
              <w:t>1</w:t>
            </w:r>
            <w:r>
              <w:rPr>
                <w:rFonts w:cs="Times New Roman"/>
                <w:strike w:val="0"/>
                <w:dstrike w:val="0"/>
                <w:snapToGrid w:val="0"/>
                <w:kern w:val="0"/>
                <w:sz w:val="21"/>
                <w:szCs w:val="21"/>
                <w:highlight w:val="none"/>
              </w:rPr>
              <w:t>0℃</w:t>
            </w:r>
            <w:r>
              <w:rPr>
                <w:rFonts w:hint="eastAsia" w:cs="Times New Roman"/>
                <w:strike w:val="0"/>
                <w:dstrike w:val="0"/>
                <w:snapToGrid w:val="0"/>
                <w:kern w:val="0"/>
                <w:sz w:val="21"/>
                <w:szCs w:val="21"/>
                <w:highlight w:val="none"/>
              </w:rPr>
              <w:t>×24h）</w:t>
            </w:r>
          </w:p>
        </w:tc>
        <w:tc>
          <w:tcPr>
            <w:tcW w:w="1408" w:type="dxa"/>
            <w:vAlign w:val="center"/>
          </w:tcPr>
          <w:p w14:paraId="7E67061C">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MPa</w:t>
            </w:r>
          </w:p>
        </w:tc>
        <w:tc>
          <w:tcPr>
            <w:tcW w:w="1904" w:type="dxa"/>
            <w:tcBorders>
              <w:right w:val="single" w:color="auto" w:sz="12" w:space="0"/>
            </w:tcBorders>
            <w:vAlign w:val="center"/>
          </w:tcPr>
          <w:p w14:paraId="345AFDE9">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w:t>
            </w:r>
            <w:r>
              <w:rPr>
                <w:rFonts w:hint="eastAsia" w:cs="Times New Roman"/>
                <w:strike w:val="0"/>
                <w:dstrike w:val="0"/>
                <w:snapToGrid w:val="0"/>
                <w:kern w:val="0"/>
                <w:sz w:val="21"/>
                <w:szCs w:val="21"/>
                <w:highlight w:val="none"/>
              </w:rPr>
              <w:t>1</w:t>
            </w:r>
            <w:r>
              <w:rPr>
                <w:rFonts w:cs="Times New Roman"/>
                <w:strike w:val="0"/>
                <w:dstrike w:val="0"/>
                <w:snapToGrid w:val="0"/>
                <w:kern w:val="0"/>
                <w:sz w:val="21"/>
                <w:szCs w:val="21"/>
                <w:highlight w:val="none"/>
              </w:rPr>
              <w:t>5</w:t>
            </w:r>
          </w:p>
        </w:tc>
      </w:tr>
      <w:tr w14:paraId="0847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07" w:type="dxa"/>
            <w:gridSpan w:val="2"/>
            <w:tcBorders>
              <w:left w:val="single" w:color="auto" w:sz="12" w:space="0"/>
            </w:tcBorders>
            <w:vAlign w:val="center"/>
          </w:tcPr>
          <w:p w14:paraId="13444B27">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高温抗折强度 (1</w:t>
            </w:r>
            <w:r>
              <w:rPr>
                <w:rFonts w:hint="eastAsia" w:cs="Times New Roman"/>
                <w:strike w:val="0"/>
                <w:dstrike w:val="0"/>
                <w:snapToGrid w:val="0"/>
                <w:kern w:val="0"/>
                <w:sz w:val="21"/>
                <w:szCs w:val="21"/>
                <w:highlight w:val="none"/>
              </w:rPr>
              <w:t>2</w:t>
            </w:r>
            <w:r>
              <w:rPr>
                <w:rFonts w:cs="Times New Roman"/>
                <w:strike w:val="0"/>
                <w:dstrike w:val="0"/>
                <w:snapToGrid w:val="0"/>
                <w:kern w:val="0"/>
                <w:sz w:val="21"/>
                <w:szCs w:val="21"/>
                <w:highlight w:val="none"/>
              </w:rPr>
              <w:t>00℃,1h)</w:t>
            </w:r>
            <w:r>
              <w:rPr>
                <w:rFonts w:hint="eastAsia" w:cs="Times New Roman"/>
                <w:strike w:val="0"/>
                <w:dstrike w:val="0"/>
                <w:snapToGrid w:val="0"/>
                <w:kern w:val="0"/>
                <w:sz w:val="21"/>
                <w:szCs w:val="21"/>
                <w:highlight w:val="none"/>
              </w:rPr>
              <w:t>热态</w:t>
            </w:r>
          </w:p>
        </w:tc>
        <w:tc>
          <w:tcPr>
            <w:tcW w:w="1408" w:type="dxa"/>
            <w:vAlign w:val="center"/>
          </w:tcPr>
          <w:p w14:paraId="3D08F4DD">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MPa</w:t>
            </w:r>
          </w:p>
        </w:tc>
        <w:tc>
          <w:tcPr>
            <w:tcW w:w="1904" w:type="dxa"/>
            <w:tcBorders>
              <w:right w:val="single" w:color="auto" w:sz="12" w:space="0"/>
            </w:tcBorders>
            <w:vAlign w:val="center"/>
          </w:tcPr>
          <w:p w14:paraId="1669E015">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≥5</w:t>
            </w:r>
          </w:p>
        </w:tc>
      </w:tr>
      <w:tr w14:paraId="28606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07" w:type="dxa"/>
            <w:gridSpan w:val="2"/>
            <w:tcBorders>
              <w:left w:val="single" w:color="auto" w:sz="12" w:space="0"/>
            </w:tcBorders>
            <w:vAlign w:val="center"/>
          </w:tcPr>
          <w:p w14:paraId="3B49363E">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常温耐压强度</w:t>
            </w:r>
            <w:r>
              <w:rPr>
                <w:rFonts w:hint="eastAsia" w:cs="Times New Roman"/>
                <w:strike w:val="0"/>
                <w:dstrike w:val="0"/>
                <w:snapToGrid w:val="0"/>
                <w:kern w:val="0"/>
                <w:sz w:val="21"/>
                <w:szCs w:val="21"/>
                <w:highlight w:val="none"/>
              </w:rPr>
              <w:t>（</w:t>
            </w:r>
            <w:r>
              <w:rPr>
                <w:rFonts w:cs="Times New Roman"/>
                <w:strike w:val="0"/>
                <w:dstrike w:val="0"/>
                <w:snapToGrid w:val="0"/>
                <w:kern w:val="0"/>
                <w:sz w:val="21"/>
                <w:szCs w:val="21"/>
                <w:highlight w:val="none"/>
              </w:rPr>
              <w:t>1</w:t>
            </w:r>
            <w:r>
              <w:rPr>
                <w:rFonts w:hint="eastAsia" w:cs="Times New Roman"/>
                <w:strike w:val="0"/>
                <w:dstrike w:val="0"/>
                <w:snapToGrid w:val="0"/>
                <w:kern w:val="0"/>
                <w:sz w:val="21"/>
                <w:szCs w:val="21"/>
                <w:highlight w:val="none"/>
              </w:rPr>
              <w:t>1</w:t>
            </w:r>
            <w:r>
              <w:rPr>
                <w:rFonts w:cs="Times New Roman"/>
                <w:strike w:val="0"/>
                <w:dstrike w:val="0"/>
                <w:snapToGrid w:val="0"/>
                <w:kern w:val="0"/>
                <w:sz w:val="21"/>
                <w:szCs w:val="21"/>
                <w:highlight w:val="none"/>
              </w:rPr>
              <w:t>0℃</w:t>
            </w:r>
            <w:r>
              <w:rPr>
                <w:rFonts w:hint="eastAsia" w:cs="Times New Roman"/>
                <w:strike w:val="0"/>
                <w:dstrike w:val="0"/>
                <w:snapToGrid w:val="0"/>
                <w:kern w:val="0"/>
                <w:sz w:val="21"/>
                <w:szCs w:val="21"/>
                <w:highlight w:val="none"/>
              </w:rPr>
              <w:t>×24h）</w:t>
            </w:r>
          </w:p>
        </w:tc>
        <w:tc>
          <w:tcPr>
            <w:tcW w:w="1408" w:type="dxa"/>
            <w:vAlign w:val="center"/>
          </w:tcPr>
          <w:p w14:paraId="4344A3E9">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MPa</w:t>
            </w:r>
          </w:p>
        </w:tc>
        <w:tc>
          <w:tcPr>
            <w:tcW w:w="1904" w:type="dxa"/>
            <w:tcBorders>
              <w:right w:val="single" w:color="auto" w:sz="12" w:space="0"/>
            </w:tcBorders>
            <w:vAlign w:val="center"/>
          </w:tcPr>
          <w:p w14:paraId="67FEDB03">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≥8</w:t>
            </w:r>
            <w:r>
              <w:rPr>
                <w:rFonts w:hint="eastAsia" w:cs="Times New Roman"/>
                <w:strike w:val="0"/>
                <w:dstrike w:val="0"/>
                <w:snapToGrid w:val="0"/>
                <w:kern w:val="0"/>
                <w:sz w:val="21"/>
                <w:szCs w:val="21"/>
                <w:highlight w:val="none"/>
              </w:rPr>
              <w:t>5</w:t>
            </w:r>
          </w:p>
        </w:tc>
      </w:tr>
      <w:tr w14:paraId="468A6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07" w:type="dxa"/>
            <w:gridSpan w:val="2"/>
            <w:tcBorders>
              <w:left w:val="single" w:color="auto" w:sz="12" w:space="0"/>
            </w:tcBorders>
            <w:vAlign w:val="center"/>
          </w:tcPr>
          <w:p w14:paraId="50812124">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耐压强度 (1</w:t>
            </w:r>
            <w:r>
              <w:rPr>
                <w:rFonts w:hint="eastAsia" w:cs="Times New Roman"/>
                <w:strike w:val="0"/>
                <w:dstrike w:val="0"/>
                <w:snapToGrid w:val="0"/>
                <w:kern w:val="0"/>
                <w:sz w:val="21"/>
                <w:szCs w:val="21"/>
                <w:highlight w:val="none"/>
              </w:rPr>
              <w:t>2</w:t>
            </w:r>
            <w:r>
              <w:rPr>
                <w:rFonts w:cs="Times New Roman"/>
                <w:strike w:val="0"/>
                <w:dstrike w:val="0"/>
                <w:snapToGrid w:val="0"/>
                <w:kern w:val="0"/>
                <w:sz w:val="21"/>
                <w:szCs w:val="21"/>
                <w:highlight w:val="none"/>
              </w:rPr>
              <w:t>00℃</w:t>
            </w:r>
            <w:r>
              <w:rPr>
                <w:rFonts w:hint="eastAsia" w:cs="Times New Roman"/>
                <w:strike w:val="0"/>
                <w:dstrike w:val="0"/>
                <w:snapToGrid w:val="0"/>
                <w:kern w:val="0"/>
                <w:sz w:val="21"/>
                <w:szCs w:val="21"/>
                <w:highlight w:val="none"/>
              </w:rPr>
              <w:t>×3h</w:t>
            </w:r>
            <w:r>
              <w:rPr>
                <w:rFonts w:cs="Times New Roman"/>
                <w:strike w:val="0"/>
                <w:dstrike w:val="0"/>
                <w:snapToGrid w:val="0"/>
                <w:kern w:val="0"/>
                <w:sz w:val="21"/>
                <w:szCs w:val="21"/>
                <w:highlight w:val="none"/>
              </w:rPr>
              <w:t>)</w:t>
            </w:r>
          </w:p>
        </w:tc>
        <w:tc>
          <w:tcPr>
            <w:tcW w:w="1408" w:type="dxa"/>
            <w:vAlign w:val="center"/>
          </w:tcPr>
          <w:p w14:paraId="66F2D6EA">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MPa</w:t>
            </w:r>
          </w:p>
        </w:tc>
        <w:tc>
          <w:tcPr>
            <w:tcW w:w="1904" w:type="dxa"/>
            <w:tcBorders>
              <w:right w:val="single" w:color="auto" w:sz="12" w:space="0"/>
            </w:tcBorders>
            <w:vAlign w:val="center"/>
          </w:tcPr>
          <w:p w14:paraId="2C1040A6">
            <w:pPr>
              <w:widowControl/>
              <w:adjustRightInd w:val="0"/>
              <w:snapToGrid w:val="0"/>
              <w:ind w:firstLine="420"/>
              <w:jc w:val="center"/>
              <w:rPr>
                <w:rFonts w:cs="Times New Roman"/>
                <w:strike w:val="0"/>
                <w:dstrike w:val="0"/>
                <w:snapToGrid w:val="0"/>
                <w:kern w:val="0"/>
                <w:sz w:val="21"/>
                <w:szCs w:val="21"/>
                <w:highlight w:val="none"/>
              </w:rPr>
            </w:pPr>
            <w:r>
              <w:rPr>
                <w:rFonts w:cs="Times New Roman"/>
                <w:strike w:val="0"/>
                <w:dstrike w:val="0"/>
                <w:snapToGrid w:val="0"/>
                <w:kern w:val="0"/>
                <w:sz w:val="21"/>
                <w:szCs w:val="21"/>
                <w:highlight w:val="none"/>
              </w:rPr>
              <w:t>≥9</w:t>
            </w:r>
            <w:r>
              <w:rPr>
                <w:rFonts w:hint="eastAsia" w:cs="Times New Roman"/>
                <w:strike w:val="0"/>
                <w:dstrike w:val="0"/>
                <w:snapToGrid w:val="0"/>
                <w:kern w:val="0"/>
                <w:sz w:val="21"/>
                <w:szCs w:val="21"/>
                <w:highlight w:val="none"/>
              </w:rPr>
              <w:t>5</w:t>
            </w:r>
          </w:p>
        </w:tc>
      </w:tr>
      <w:tr w14:paraId="11AB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07" w:type="dxa"/>
            <w:gridSpan w:val="2"/>
            <w:tcBorders>
              <w:left w:val="single" w:color="auto" w:sz="12" w:space="0"/>
            </w:tcBorders>
            <w:vAlign w:val="center"/>
          </w:tcPr>
          <w:p w14:paraId="4A3CF348">
            <w:pPr>
              <w:widowControl/>
              <w:adjustRightInd w:val="0"/>
              <w:snapToGrid w:val="0"/>
              <w:ind w:firstLine="420"/>
              <w:jc w:val="center"/>
              <w:rPr>
                <w:rFonts w:cs="Times New Roman"/>
                <w:strike w:val="0"/>
                <w:dstrike w:val="0"/>
                <w:snapToGrid w:val="0"/>
                <w:kern w:val="0"/>
                <w:sz w:val="21"/>
                <w:szCs w:val="21"/>
                <w:highlight w:val="none"/>
              </w:rPr>
            </w:pPr>
            <w:r>
              <w:rPr>
                <w:rFonts w:hint="eastAsia" w:cs="Times New Roman"/>
                <w:bCs/>
                <w:strike w:val="0"/>
                <w:dstrike w:val="0"/>
                <w:kern w:val="0"/>
                <w:sz w:val="21"/>
                <w:szCs w:val="21"/>
                <w:highlight w:val="none"/>
              </w:rPr>
              <w:t>烧后线变化率</w:t>
            </w:r>
            <w:r>
              <w:rPr>
                <w:rFonts w:cs="Times New Roman"/>
                <w:strike w:val="0"/>
                <w:dstrike w:val="0"/>
                <w:snapToGrid w:val="0"/>
                <w:kern w:val="0"/>
                <w:sz w:val="21"/>
                <w:szCs w:val="21"/>
                <w:highlight w:val="none"/>
              </w:rPr>
              <w:t>(1</w:t>
            </w:r>
            <w:r>
              <w:rPr>
                <w:rFonts w:hint="eastAsia" w:cs="Times New Roman"/>
                <w:strike w:val="0"/>
                <w:dstrike w:val="0"/>
                <w:snapToGrid w:val="0"/>
                <w:kern w:val="0"/>
                <w:sz w:val="21"/>
                <w:szCs w:val="21"/>
                <w:highlight w:val="none"/>
              </w:rPr>
              <w:t>2</w:t>
            </w:r>
            <w:r>
              <w:rPr>
                <w:rFonts w:cs="Times New Roman"/>
                <w:strike w:val="0"/>
                <w:dstrike w:val="0"/>
                <w:snapToGrid w:val="0"/>
                <w:kern w:val="0"/>
                <w:sz w:val="21"/>
                <w:szCs w:val="21"/>
                <w:highlight w:val="none"/>
              </w:rPr>
              <w:t>00℃</w:t>
            </w:r>
            <w:r>
              <w:rPr>
                <w:rFonts w:hint="eastAsia" w:cs="Times New Roman"/>
                <w:strike w:val="0"/>
                <w:dstrike w:val="0"/>
                <w:snapToGrid w:val="0"/>
                <w:kern w:val="0"/>
                <w:sz w:val="21"/>
                <w:szCs w:val="21"/>
                <w:highlight w:val="none"/>
              </w:rPr>
              <w:t>×3h</w:t>
            </w:r>
            <w:r>
              <w:rPr>
                <w:rFonts w:cs="Times New Roman"/>
                <w:strike w:val="0"/>
                <w:dstrike w:val="0"/>
                <w:snapToGrid w:val="0"/>
                <w:kern w:val="0"/>
                <w:sz w:val="21"/>
                <w:szCs w:val="21"/>
                <w:highlight w:val="none"/>
              </w:rPr>
              <w:t>)</w:t>
            </w:r>
          </w:p>
        </w:tc>
        <w:tc>
          <w:tcPr>
            <w:tcW w:w="1408" w:type="dxa"/>
            <w:vAlign w:val="center"/>
          </w:tcPr>
          <w:p w14:paraId="5447A03A">
            <w:pPr>
              <w:widowControl/>
              <w:adjustRightInd w:val="0"/>
              <w:snapToGrid w:val="0"/>
              <w:ind w:firstLine="420"/>
              <w:jc w:val="center"/>
              <w:rPr>
                <w:rFonts w:cs="Times New Roman"/>
                <w:strike w:val="0"/>
                <w:dstrike w:val="0"/>
                <w:snapToGrid w:val="0"/>
                <w:kern w:val="0"/>
                <w:sz w:val="21"/>
                <w:szCs w:val="21"/>
                <w:highlight w:val="none"/>
              </w:rPr>
            </w:pPr>
            <w:r>
              <w:rPr>
                <w:rFonts w:hint="eastAsia" w:cs="Times New Roman"/>
                <w:strike w:val="0"/>
                <w:dstrike w:val="0"/>
                <w:snapToGrid w:val="0"/>
                <w:kern w:val="0"/>
                <w:sz w:val="21"/>
                <w:szCs w:val="21"/>
                <w:highlight w:val="none"/>
              </w:rPr>
              <w:t>%</w:t>
            </w:r>
          </w:p>
        </w:tc>
        <w:tc>
          <w:tcPr>
            <w:tcW w:w="1904" w:type="dxa"/>
            <w:tcBorders>
              <w:right w:val="single" w:color="auto" w:sz="12" w:space="0"/>
            </w:tcBorders>
            <w:vAlign w:val="center"/>
          </w:tcPr>
          <w:p w14:paraId="6B893FF4">
            <w:pPr>
              <w:widowControl/>
              <w:adjustRightInd w:val="0"/>
              <w:snapToGrid w:val="0"/>
              <w:ind w:firstLine="420"/>
              <w:jc w:val="center"/>
              <w:rPr>
                <w:rFonts w:cs="Times New Roman"/>
                <w:strike w:val="0"/>
                <w:dstrike w:val="0"/>
                <w:snapToGrid w:val="0"/>
                <w:kern w:val="0"/>
                <w:sz w:val="21"/>
                <w:szCs w:val="21"/>
                <w:highlight w:val="none"/>
              </w:rPr>
            </w:pPr>
            <w:r>
              <w:rPr>
                <w:rFonts w:hint="eastAsia" w:cs="Times New Roman"/>
                <w:strike w:val="0"/>
                <w:dstrike w:val="0"/>
                <w:snapToGrid w:val="0"/>
                <w:kern w:val="0"/>
                <w:sz w:val="21"/>
                <w:szCs w:val="21"/>
                <w:highlight w:val="none"/>
              </w:rPr>
              <w:t>±0.5</w:t>
            </w:r>
          </w:p>
        </w:tc>
      </w:tr>
      <w:tr w14:paraId="1FFFF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07" w:type="dxa"/>
            <w:gridSpan w:val="2"/>
            <w:tcBorders>
              <w:left w:val="single" w:color="auto" w:sz="12" w:space="0"/>
              <w:bottom w:val="single" w:color="auto" w:sz="12" w:space="0"/>
            </w:tcBorders>
            <w:vAlign w:val="center"/>
          </w:tcPr>
          <w:p w14:paraId="3E2B4AEA">
            <w:pPr>
              <w:widowControl/>
              <w:adjustRightInd w:val="0"/>
              <w:snapToGrid w:val="0"/>
              <w:ind w:firstLine="420"/>
              <w:jc w:val="center"/>
              <w:rPr>
                <w:rFonts w:cs="Times New Roman"/>
                <w:bCs/>
                <w:strike w:val="0"/>
                <w:dstrike w:val="0"/>
                <w:kern w:val="0"/>
                <w:sz w:val="21"/>
                <w:szCs w:val="21"/>
                <w:highlight w:val="none"/>
              </w:rPr>
            </w:pPr>
            <w:r>
              <w:rPr>
                <w:rFonts w:hint="eastAsia" w:cs="Times New Roman"/>
                <w:bCs/>
                <w:strike w:val="0"/>
                <w:dstrike w:val="0"/>
                <w:kern w:val="0"/>
                <w:sz w:val="21"/>
                <w:szCs w:val="21"/>
                <w:highlight w:val="none"/>
              </w:rPr>
              <w:t>使用部位</w:t>
            </w:r>
          </w:p>
        </w:tc>
        <w:tc>
          <w:tcPr>
            <w:tcW w:w="3312" w:type="dxa"/>
            <w:gridSpan w:val="2"/>
            <w:tcBorders>
              <w:bottom w:val="single" w:color="auto" w:sz="12" w:space="0"/>
              <w:right w:val="single" w:color="auto" w:sz="12" w:space="0"/>
            </w:tcBorders>
            <w:vAlign w:val="center"/>
          </w:tcPr>
          <w:p w14:paraId="2CFB9312">
            <w:pPr>
              <w:widowControl/>
              <w:adjustRightInd w:val="0"/>
              <w:snapToGrid w:val="0"/>
              <w:ind w:firstLine="420"/>
              <w:jc w:val="center"/>
              <w:rPr>
                <w:rFonts w:cs="Times New Roman"/>
                <w:strike w:val="0"/>
                <w:dstrike w:val="0"/>
                <w:snapToGrid w:val="0"/>
                <w:kern w:val="0"/>
                <w:sz w:val="21"/>
                <w:szCs w:val="21"/>
                <w:highlight w:val="none"/>
              </w:rPr>
            </w:pPr>
            <w:r>
              <w:rPr>
                <w:rFonts w:hint="eastAsia" w:cs="Times New Roman"/>
                <w:strike w:val="0"/>
                <w:dstrike w:val="0"/>
                <w:snapToGrid w:val="0"/>
                <w:kern w:val="0"/>
                <w:sz w:val="21"/>
                <w:szCs w:val="21"/>
                <w:highlight w:val="none"/>
                <w:lang w:val="en-US" w:eastAsia="zh-CN"/>
              </w:rPr>
              <w:t>11-12</w:t>
            </w:r>
            <w:r>
              <w:rPr>
                <w:rFonts w:hint="eastAsia" w:cs="Times New Roman"/>
                <w:strike w:val="0"/>
                <w:dstrike w:val="0"/>
                <w:snapToGrid w:val="0"/>
                <w:kern w:val="0"/>
                <w:sz w:val="21"/>
                <w:szCs w:val="21"/>
                <w:highlight w:val="none"/>
              </w:rPr>
              <w:t>段冷却壁</w:t>
            </w:r>
          </w:p>
        </w:tc>
      </w:tr>
    </w:tbl>
    <w:p w14:paraId="3AE4A0C0">
      <w:pPr>
        <w:jc w:val="both"/>
        <w:rPr>
          <w:rFonts w:ascii="Times New Roman" w:hAnsi="Times New Roman" w:cs="Times New Roman"/>
          <w:highlight w:val="none"/>
        </w:rPr>
      </w:pPr>
      <w:r>
        <w:rPr>
          <w:rFonts w:ascii="Times New Roman" w:hAnsi="Times New Roman" w:cs="Times New Roman"/>
          <w:highlight w:val="none"/>
        </w:rPr>
        <w:t>4）炉顶煤气封板处耐材</w:t>
      </w:r>
    </w:p>
    <w:p w14:paraId="63EB812F">
      <w:pPr>
        <w:snapToGrid w:val="0"/>
        <w:spacing w:line="348" w:lineRule="auto"/>
        <w:ind w:firstLine="560" w:firstLineChars="0"/>
        <w:jc w:val="both"/>
        <w:rPr>
          <w:rFonts w:cs="宋体"/>
          <w:snapToGrid w:val="0"/>
          <w:highlight w:val="none"/>
        </w:rPr>
      </w:pPr>
      <w:r>
        <w:rPr>
          <w:rFonts w:hint="eastAsia" w:ascii="Times New Roman" w:hAnsi="Times New Roman" w:cs="Times New Roman"/>
          <w:snapToGrid w:val="0"/>
          <w:highlight w:val="none"/>
        </w:rPr>
        <w:t>炉顶封板处的耐材长时间受到炉顶煤气的冲刷，因此本次高炉改造采用</w:t>
      </w:r>
      <w:r>
        <w:rPr>
          <w:rFonts w:ascii="Times New Roman" w:hAnsi="Times New Roman" w:cs="Times New Roman"/>
          <w:snapToGrid w:val="0"/>
          <w:highlight w:val="none"/>
        </w:rPr>
        <w:t>抗折强度高、耐CO侵蚀性能优良的喷涂料</w:t>
      </w:r>
      <w:r>
        <w:rPr>
          <w:rFonts w:hint="eastAsia" w:ascii="Times New Roman" w:hAnsi="Times New Roman" w:cs="Times New Roman"/>
          <w:snapToGrid w:val="0"/>
          <w:highlight w:val="none"/>
        </w:rPr>
        <w:t>对其进行喷涂修复。</w:t>
      </w:r>
      <w:r>
        <w:rPr>
          <w:rFonts w:hint="eastAsia" w:cs="宋体"/>
          <w:snapToGrid w:val="0"/>
          <w:highlight w:val="none"/>
        </w:rPr>
        <w:t>磨损或脱落部位，对现有喷涂料清理干净后，恢复锚固件后进行喷涂，厚度修复至与未磨损部位厚度一致。</w:t>
      </w:r>
      <w:r>
        <w:rPr>
          <w:rFonts w:hint="eastAsia" w:ascii="Times New Roman" w:hAnsi="Times New Roman" w:cs="Times New Roman"/>
          <w:snapToGrid w:val="0"/>
          <w:highlight w:val="none"/>
        </w:rPr>
        <w:t>喷涂料指标与原喷涂料指标一致。</w:t>
      </w:r>
    </w:p>
    <w:p w14:paraId="7CA9FC93">
      <w:pPr>
        <w:ind w:firstLine="0" w:firstLineChars="0"/>
        <w:outlineLvl w:val="2"/>
        <w:rPr>
          <w:rFonts w:cs="Times New Roman"/>
          <w:szCs w:val="28"/>
          <w:highlight w:val="none"/>
        </w:rPr>
      </w:pPr>
      <w:bookmarkStart w:id="304" w:name="_Toc14894"/>
      <w:r>
        <w:rPr>
          <w:rFonts w:hint="eastAsia" w:cs="Times New Roman"/>
          <w:szCs w:val="28"/>
          <w:highlight w:val="none"/>
        </w:rPr>
        <w:t>2.6.6 附属设备</w:t>
      </w:r>
      <w:bookmarkEnd w:id="304"/>
    </w:p>
    <w:p w14:paraId="26618CD8">
      <w:pPr>
        <w:snapToGrid w:val="0"/>
        <w:spacing w:line="348" w:lineRule="auto"/>
        <w:ind w:firstLine="560" w:firstLineChars="0"/>
        <w:jc w:val="both"/>
        <w:rPr>
          <w:rFonts w:ascii="Times New Roman" w:hAnsi="Times New Roman" w:cs="Times New Roman"/>
          <w:snapToGrid w:val="0"/>
          <w:highlight w:val="none"/>
        </w:rPr>
      </w:pPr>
      <w:r>
        <w:rPr>
          <w:rFonts w:ascii="Times New Roman" w:hAnsi="Times New Roman" w:cs="Times New Roman"/>
          <w:snapToGrid w:val="0"/>
          <w:highlight w:val="none"/>
        </w:rPr>
        <w:t>炉体附属设备包括炉喉钢砖、送风装置、风口装置</w:t>
      </w:r>
      <w:r>
        <w:rPr>
          <w:rFonts w:hint="eastAsia" w:ascii="Times New Roman" w:hAnsi="Times New Roman" w:cs="Times New Roman"/>
          <w:snapToGrid w:val="0"/>
          <w:highlight w:val="none"/>
        </w:rPr>
        <w:t>及</w:t>
      </w:r>
      <w:r>
        <w:rPr>
          <w:rFonts w:ascii="Times New Roman" w:hAnsi="Times New Roman" w:cs="Times New Roman"/>
          <w:snapToGrid w:val="0"/>
          <w:highlight w:val="none"/>
        </w:rPr>
        <w:t>炉顶雾化打水装置等。</w:t>
      </w:r>
    </w:p>
    <w:p w14:paraId="0CA589DC">
      <w:pPr>
        <w:snapToGrid w:val="0"/>
        <w:spacing w:line="348" w:lineRule="auto"/>
        <w:ind w:firstLine="560" w:firstLineChars="0"/>
        <w:jc w:val="both"/>
        <w:rPr>
          <w:rFonts w:ascii="Times New Roman" w:hAnsi="Times New Roman" w:cs="Times New Roman"/>
          <w:snapToGrid w:val="0"/>
          <w:highlight w:val="none"/>
        </w:rPr>
      </w:pPr>
      <w:r>
        <w:rPr>
          <w:rFonts w:ascii="Times New Roman" w:hAnsi="Times New Roman" w:cs="Times New Roman"/>
          <w:snapToGrid w:val="0"/>
          <w:highlight w:val="none"/>
        </w:rPr>
        <w:t>1）炉喉钢砖</w:t>
      </w:r>
    </w:p>
    <w:p w14:paraId="28FDCE69">
      <w:pPr>
        <w:snapToGrid w:val="0"/>
        <w:spacing w:line="348" w:lineRule="auto"/>
        <w:ind w:firstLine="560" w:firstLineChars="0"/>
        <w:jc w:val="both"/>
        <w:rPr>
          <w:rFonts w:ascii="Times New Roman" w:hAnsi="Times New Roman" w:cs="Times New Roman"/>
          <w:snapToGrid w:val="0"/>
          <w:highlight w:val="none"/>
        </w:rPr>
      </w:pPr>
      <w:r>
        <w:rPr>
          <w:rFonts w:hint="eastAsia" w:ascii="Times New Roman" w:hAnsi="Times New Roman" w:cs="Times New Roman"/>
          <w:snapToGrid w:val="0"/>
          <w:highlight w:val="none"/>
        </w:rPr>
        <w:t>炉喉钢砖经过一代炉役后发生变形，本次改造，炉喉钢砖全部更换，</w:t>
      </w:r>
      <w:r>
        <w:rPr>
          <w:rFonts w:ascii="Times New Roman" w:hAnsi="Times New Roman" w:cs="Times New Roman"/>
          <w:snapToGrid w:val="0"/>
          <w:highlight w:val="none"/>
        </w:rPr>
        <w:t>在炉喉部位采用无水冷条形钢砖，钢砖材质为ZG270-500</w:t>
      </w:r>
      <w:r>
        <w:rPr>
          <w:rFonts w:hint="eastAsia" w:ascii="Times New Roman" w:hAnsi="Times New Roman" w:cs="Times New Roman"/>
          <w:snapToGrid w:val="0"/>
          <w:highlight w:val="none"/>
        </w:rPr>
        <w:t>，钢砖采用</w:t>
      </w:r>
      <w:r>
        <w:rPr>
          <w:rFonts w:hint="eastAsia" w:ascii="宋体" w:hAnsi="宋体" w:cs="方正小标宋简体"/>
          <w:bCs/>
          <w:color w:val="auto"/>
          <w:szCs w:val="28"/>
          <w:highlight w:val="none"/>
          <w:lang w:val="en-US" w:eastAsia="zh-CN"/>
        </w:rPr>
        <w:t>五点式固定或吊挂与螺栓配合安装形式。</w:t>
      </w:r>
      <w:r>
        <w:rPr>
          <w:rFonts w:hint="eastAsia" w:ascii="Times New Roman" w:hAnsi="Times New Roman" w:cs="Times New Roman"/>
          <w:snapToGrid w:val="0"/>
          <w:highlight w:val="none"/>
        </w:rPr>
        <w:t>吊挂件与炉壳焊接，钢砖与吊挂件不焊接，钢砖沿纵向可自由滑动，消除运行中钢砖变形。钢砖与钢砖之间采用螺栓联接，通过其下部吊挂件将力传至高炉炉壳。</w:t>
      </w:r>
    </w:p>
    <w:p w14:paraId="14E8D1F9">
      <w:pPr>
        <w:snapToGrid w:val="0"/>
        <w:spacing w:line="348" w:lineRule="auto"/>
        <w:ind w:firstLine="560" w:firstLineChars="0"/>
        <w:jc w:val="both"/>
        <w:rPr>
          <w:rFonts w:ascii="Times New Roman" w:hAnsi="Times New Roman" w:cs="Times New Roman"/>
          <w:snapToGrid w:val="0"/>
          <w:highlight w:val="none"/>
        </w:rPr>
      </w:pPr>
      <w:r>
        <w:rPr>
          <w:rFonts w:ascii="Times New Roman" w:hAnsi="Times New Roman" w:cs="Times New Roman"/>
          <w:snapToGrid w:val="0"/>
          <w:highlight w:val="none"/>
        </w:rPr>
        <w:t>2）送风装置</w:t>
      </w:r>
    </w:p>
    <w:p w14:paraId="53E2F21B">
      <w:pPr>
        <w:snapToGrid w:val="0"/>
        <w:spacing w:line="348" w:lineRule="auto"/>
        <w:ind w:firstLine="560" w:firstLineChars="0"/>
        <w:jc w:val="both"/>
        <w:rPr>
          <w:rFonts w:ascii="Times New Roman" w:hAnsi="Times New Roman" w:cs="Times New Roman"/>
          <w:snapToGrid w:val="0"/>
          <w:highlight w:val="none"/>
        </w:rPr>
      </w:pPr>
      <w:r>
        <w:rPr>
          <w:rFonts w:ascii="Times New Roman" w:hAnsi="Times New Roman" w:cs="Times New Roman"/>
          <w:snapToGrid w:val="0"/>
          <w:highlight w:val="none"/>
        </w:rPr>
        <w:t>送风装置采用带万向角波纹补偿器的结构型式，可以有效吸收热风围管与炉体热膨胀的相对位移。送风装置内衬耐火材料工作层能够满足设计风温的使用要求。除风口小套和直吹管采用球面密封外，其它部位均采用法兰联接，便于拆装。</w:t>
      </w:r>
    </w:p>
    <w:p w14:paraId="7E131AB2">
      <w:pPr>
        <w:snapToGrid w:val="0"/>
        <w:spacing w:line="348" w:lineRule="auto"/>
        <w:ind w:firstLine="560" w:firstLineChars="0"/>
        <w:jc w:val="both"/>
        <w:rPr>
          <w:rFonts w:ascii="Times New Roman" w:hAnsi="Times New Roman" w:cs="Times New Roman"/>
          <w:snapToGrid w:val="0"/>
          <w:highlight w:val="none"/>
        </w:rPr>
      </w:pPr>
      <w:r>
        <w:rPr>
          <w:rFonts w:ascii="Times New Roman" w:hAnsi="Times New Roman" w:cs="Times New Roman"/>
          <w:snapToGrid w:val="0"/>
          <w:highlight w:val="none"/>
        </w:rPr>
        <w:t>3）风口装置</w:t>
      </w:r>
    </w:p>
    <w:p w14:paraId="55287422">
      <w:pPr>
        <w:snapToGrid w:val="0"/>
        <w:spacing w:line="348" w:lineRule="auto"/>
        <w:ind w:firstLine="560" w:firstLineChars="0"/>
        <w:jc w:val="both"/>
        <w:rPr>
          <w:rFonts w:ascii="Times New Roman" w:hAnsi="Times New Roman" w:cs="Times New Roman"/>
          <w:snapToGrid w:val="0"/>
          <w:highlight w:val="none"/>
        </w:rPr>
      </w:pPr>
      <w:r>
        <w:rPr>
          <w:rFonts w:hint="eastAsia" w:ascii="Times New Roman" w:hAnsi="Times New Roman" w:cs="Times New Roman"/>
          <w:snapToGrid w:val="0"/>
          <w:highlight w:val="none"/>
        </w:rPr>
        <w:t>本次</w:t>
      </w:r>
      <w:r>
        <w:rPr>
          <w:rFonts w:ascii="Times New Roman" w:hAnsi="Times New Roman" w:cs="Times New Roman"/>
          <w:snapToGrid w:val="0"/>
          <w:highlight w:val="none"/>
        </w:rPr>
        <w:t>高炉</w:t>
      </w:r>
      <w:r>
        <w:rPr>
          <w:rFonts w:hint="eastAsia" w:ascii="Times New Roman" w:hAnsi="Times New Roman" w:cs="Times New Roman"/>
          <w:snapToGrid w:val="0"/>
          <w:highlight w:val="none"/>
        </w:rPr>
        <w:t>改造后，高炉</w:t>
      </w:r>
      <w:r>
        <w:rPr>
          <w:rFonts w:ascii="Times New Roman" w:hAnsi="Times New Roman" w:cs="Times New Roman"/>
          <w:snapToGrid w:val="0"/>
          <w:highlight w:val="none"/>
        </w:rPr>
        <w:t>设有</w:t>
      </w:r>
      <w:r>
        <w:rPr>
          <w:rFonts w:hint="eastAsia" w:ascii="Times New Roman" w:hAnsi="Times New Roman" w:cs="Times New Roman"/>
          <w:snapToGrid w:val="0"/>
          <w:highlight w:val="none"/>
        </w:rPr>
        <w:t>2</w:t>
      </w:r>
      <w:r>
        <w:rPr>
          <w:rFonts w:ascii="Times New Roman" w:hAnsi="Times New Roman" w:cs="Times New Roman"/>
          <w:snapToGrid w:val="0"/>
          <w:highlight w:val="none"/>
        </w:rPr>
        <w:t>0套风口装置。其中2套风口装置由大套法兰、风口大套、风口中套、风口小套及紧固件构成，大套法兰与炉壳焊接，风口大套用螺栓安装在大套法兰上。其余风口装置由风口大套、风口中套、风口小套及紧固件构成，风口大套直接与炉壳焊接。</w:t>
      </w:r>
    </w:p>
    <w:p w14:paraId="683C102A">
      <w:pPr>
        <w:snapToGrid w:val="0"/>
        <w:spacing w:line="348" w:lineRule="auto"/>
        <w:ind w:firstLine="560" w:firstLineChars="0"/>
        <w:jc w:val="both"/>
        <w:rPr>
          <w:rFonts w:ascii="Times New Roman" w:hAnsi="Times New Roman" w:cs="Times New Roman"/>
          <w:snapToGrid w:val="0"/>
          <w:highlight w:val="none"/>
        </w:rPr>
      </w:pPr>
      <w:r>
        <w:rPr>
          <w:rFonts w:ascii="Times New Roman" w:hAnsi="Times New Roman" w:cs="Times New Roman"/>
          <w:snapToGrid w:val="0"/>
          <w:highlight w:val="none"/>
        </w:rPr>
        <w:t>风口大套为铸钢件，无水冷。风口中套为铜件，风口小套为铜质贯流式风口。</w:t>
      </w:r>
    </w:p>
    <w:p w14:paraId="3BADB0CC">
      <w:pPr>
        <w:snapToGrid w:val="0"/>
        <w:spacing w:line="348" w:lineRule="auto"/>
        <w:ind w:firstLine="560" w:firstLineChars="0"/>
        <w:jc w:val="both"/>
        <w:rPr>
          <w:rFonts w:ascii="Times New Roman" w:hAnsi="Times New Roman" w:cs="Times New Roman"/>
          <w:snapToGrid w:val="0"/>
          <w:highlight w:val="none"/>
        </w:rPr>
      </w:pPr>
      <w:r>
        <w:rPr>
          <w:rFonts w:ascii="Times New Roman" w:hAnsi="Times New Roman" w:cs="Times New Roman"/>
          <w:snapToGrid w:val="0"/>
          <w:highlight w:val="none"/>
        </w:rPr>
        <w:t>4）炉顶雾化打水装置</w:t>
      </w:r>
    </w:p>
    <w:p w14:paraId="1902546C">
      <w:pPr>
        <w:snapToGrid w:val="0"/>
        <w:spacing w:line="348" w:lineRule="auto"/>
        <w:ind w:firstLine="560" w:firstLineChars="0"/>
        <w:jc w:val="both"/>
        <w:rPr>
          <w:rFonts w:ascii="Times New Roman" w:hAnsi="Times New Roman" w:cs="Times New Roman"/>
          <w:snapToGrid w:val="0"/>
          <w:highlight w:val="none"/>
        </w:rPr>
      </w:pPr>
      <w:r>
        <w:rPr>
          <w:rFonts w:ascii="Times New Roman" w:hAnsi="Times New Roman" w:cs="Times New Roman"/>
          <w:snapToGrid w:val="0"/>
          <w:highlight w:val="none"/>
        </w:rPr>
        <w:t>2</w:t>
      </w:r>
      <w:r>
        <w:rPr>
          <w:rFonts w:hint="eastAsia" w:ascii="Times New Roman" w:hAnsi="Times New Roman" w:cs="Times New Roman"/>
          <w:snapToGrid w:val="0"/>
          <w:highlight w:val="none"/>
        </w:rPr>
        <w:t>号高炉</w:t>
      </w:r>
      <w:r>
        <w:rPr>
          <w:rFonts w:ascii="Times New Roman" w:hAnsi="Times New Roman" w:cs="Times New Roman"/>
          <w:snapToGrid w:val="0"/>
          <w:highlight w:val="none"/>
        </w:rPr>
        <w:t>在炉顶煤气封板处设</w:t>
      </w:r>
      <w:r>
        <w:rPr>
          <w:rFonts w:hint="eastAsia" w:ascii="Times New Roman" w:hAnsi="Times New Roman" w:cs="Times New Roman"/>
          <w:snapToGrid w:val="0"/>
          <w:highlight w:val="none"/>
        </w:rPr>
        <w:t>有</w:t>
      </w:r>
      <w:r>
        <w:rPr>
          <w:rFonts w:ascii="Times New Roman" w:hAnsi="Times New Roman" w:cs="Times New Roman"/>
          <w:snapToGrid w:val="0"/>
          <w:highlight w:val="none"/>
        </w:rPr>
        <w:t>自动打水降温装置</w:t>
      </w:r>
      <w:r>
        <w:rPr>
          <w:rFonts w:hint="eastAsia" w:ascii="Times New Roman" w:hAnsi="Times New Roman" w:cs="Times New Roman"/>
          <w:snapToGrid w:val="0"/>
          <w:highlight w:val="none"/>
        </w:rPr>
        <w:t>，本次改造利旧使用。</w:t>
      </w:r>
    </w:p>
    <w:p w14:paraId="3BA96B9F">
      <w:pPr>
        <w:snapToGrid w:val="0"/>
        <w:spacing w:line="348" w:lineRule="auto"/>
        <w:ind w:firstLine="560" w:firstLineChars="0"/>
        <w:jc w:val="both"/>
        <w:rPr>
          <w:rFonts w:ascii="Times New Roman" w:hAnsi="Times New Roman" w:cs="Times New Roman"/>
          <w:snapToGrid w:val="0"/>
          <w:highlight w:val="none"/>
        </w:rPr>
      </w:pPr>
      <w:r>
        <w:rPr>
          <w:rFonts w:hint="eastAsia" w:ascii="Times New Roman" w:hAnsi="Times New Roman" w:cs="Times New Roman"/>
          <w:snapToGrid w:val="0"/>
          <w:highlight w:val="none"/>
        </w:rPr>
        <w:t>5</w:t>
      </w:r>
      <w:r>
        <w:rPr>
          <w:rFonts w:ascii="Times New Roman" w:hAnsi="Times New Roman" w:cs="Times New Roman"/>
          <w:snapToGrid w:val="0"/>
          <w:highlight w:val="none"/>
        </w:rPr>
        <w:t>）</w:t>
      </w:r>
      <w:r>
        <w:rPr>
          <w:rFonts w:hint="eastAsia" w:ascii="Times New Roman" w:hAnsi="Times New Roman" w:cs="Times New Roman"/>
          <w:snapToGrid w:val="0"/>
          <w:highlight w:val="none"/>
        </w:rPr>
        <w:t>铁口框</w:t>
      </w:r>
    </w:p>
    <w:p w14:paraId="2EB6CBEA">
      <w:pPr>
        <w:snapToGrid w:val="0"/>
        <w:spacing w:line="348" w:lineRule="auto"/>
        <w:ind w:firstLine="560" w:firstLineChars="0"/>
        <w:jc w:val="both"/>
        <w:rPr>
          <w:rFonts w:ascii="Times New Roman" w:hAnsi="Times New Roman" w:cs="Times New Roman"/>
          <w:snapToGrid w:val="0"/>
          <w:highlight w:val="none"/>
        </w:rPr>
      </w:pPr>
      <w:r>
        <w:rPr>
          <w:rFonts w:hint="eastAsia" w:ascii="Times New Roman" w:hAnsi="Times New Roman" w:cs="Times New Roman"/>
          <w:snapToGrid w:val="0"/>
          <w:highlight w:val="none"/>
        </w:rPr>
        <w:t>铁口框更换，</w:t>
      </w:r>
      <w:r>
        <w:rPr>
          <w:rFonts w:hint="eastAsia" w:ascii="Times New Roman" w:hAnsi="Times New Roman" w:cs="Times New Roman"/>
          <w:snapToGrid w:val="0"/>
          <w:highlight w:val="none"/>
        </w:rPr>
        <w:t>尺寸比原尺寸长度方向加长</w:t>
      </w:r>
      <w:r>
        <w:rPr>
          <w:rFonts w:ascii="Times New Roman" w:hAnsi="Times New Roman" w:cs="Times New Roman"/>
          <w:snapToGrid w:val="0"/>
          <w:highlight w:val="none"/>
        </w:rPr>
        <w:t>0.3米</w:t>
      </w:r>
      <w:r>
        <w:rPr>
          <w:rFonts w:hint="eastAsia" w:ascii="Times New Roman" w:hAnsi="Times New Roman" w:cs="Times New Roman"/>
          <w:snapToGrid w:val="0"/>
          <w:highlight w:val="none"/>
        </w:rPr>
        <w:t>。</w:t>
      </w:r>
      <w:r>
        <w:rPr>
          <w:rFonts w:hint="eastAsia" w:ascii="Times New Roman" w:hAnsi="Times New Roman" w:cs="Times New Roman"/>
          <w:snapToGrid w:val="0"/>
          <w:highlight w:val="none"/>
        </w:rPr>
        <w:t>铁口框架的挡板采用焊接形式，不得采用销轴销板连接。</w:t>
      </w:r>
    </w:p>
    <w:p w14:paraId="797BC11C">
      <w:pPr>
        <w:snapToGrid w:val="0"/>
        <w:spacing w:line="348" w:lineRule="auto"/>
        <w:ind w:firstLine="560" w:firstLineChars="0"/>
        <w:jc w:val="both"/>
        <w:rPr>
          <w:rFonts w:ascii="Times New Roman" w:hAnsi="Times New Roman" w:cs="Times New Roman"/>
          <w:snapToGrid w:val="0"/>
          <w:highlight w:val="none"/>
        </w:rPr>
      </w:pPr>
      <w:r>
        <w:rPr>
          <w:rFonts w:hint="eastAsia" w:ascii="Times New Roman" w:hAnsi="Times New Roman" w:cs="Times New Roman"/>
          <w:snapToGrid w:val="0"/>
          <w:highlight w:val="none"/>
        </w:rPr>
        <w:t>6）换吹管滑道</w:t>
      </w:r>
    </w:p>
    <w:p w14:paraId="685B70C4">
      <w:pPr>
        <w:snapToGrid w:val="0"/>
        <w:spacing w:line="348" w:lineRule="auto"/>
        <w:ind w:firstLine="560" w:firstLineChars="0"/>
        <w:jc w:val="both"/>
        <w:rPr>
          <w:rFonts w:ascii="Times New Roman" w:hAnsi="Times New Roman" w:cs="Times New Roman"/>
          <w:snapToGrid w:val="0"/>
          <w:highlight w:val="none"/>
        </w:rPr>
      </w:pPr>
      <w:r>
        <w:rPr>
          <w:rFonts w:hint="eastAsia" w:ascii="Times New Roman" w:hAnsi="Times New Roman" w:cs="Times New Roman"/>
          <w:snapToGrid w:val="0"/>
          <w:highlight w:val="none"/>
        </w:rPr>
        <w:t>风口增加后，换吹管的滑道重新设计安装，避免水管布置后滑道安装困难。</w:t>
      </w:r>
    </w:p>
    <w:p w14:paraId="0F2403CA">
      <w:pPr>
        <w:ind w:firstLine="0" w:firstLineChars="0"/>
        <w:outlineLvl w:val="2"/>
        <w:rPr>
          <w:rFonts w:cs="Times New Roman"/>
          <w:szCs w:val="28"/>
          <w:highlight w:val="none"/>
        </w:rPr>
      </w:pPr>
      <w:bookmarkStart w:id="305" w:name="_Toc4506"/>
      <w:bookmarkStart w:id="306" w:name="_Toc100483396"/>
      <w:bookmarkStart w:id="307" w:name="_Toc79840293"/>
      <w:r>
        <w:rPr>
          <w:rFonts w:hint="eastAsia" w:cs="Times New Roman"/>
          <w:szCs w:val="28"/>
          <w:highlight w:val="none"/>
        </w:rPr>
        <w:t>2.6.7 检测设施</w:t>
      </w:r>
      <w:bookmarkEnd w:id="305"/>
      <w:bookmarkEnd w:id="306"/>
      <w:bookmarkEnd w:id="307"/>
    </w:p>
    <w:p w14:paraId="7173F838">
      <w:pPr>
        <w:snapToGrid w:val="0"/>
        <w:spacing w:line="348" w:lineRule="auto"/>
        <w:ind w:firstLine="560" w:firstLineChars="0"/>
        <w:jc w:val="both"/>
        <w:rPr>
          <w:rFonts w:ascii="Times New Roman" w:hAnsi="Times New Roman" w:cs="Times New Roman"/>
          <w:snapToGrid w:val="0"/>
          <w:highlight w:val="none"/>
        </w:rPr>
      </w:pPr>
      <w:r>
        <w:rPr>
          <w:rFonts w:ascii="Times New Roman" w:hAnsi="Times New Roman" w:cs="Times New Roman"/>
          <w:snapToGrid w:val="0"/>
          <w:highlight w:val="none"/>
        </w:rPr>
        <w:t>完善的炉体检测设施，</w:t>
      </w:r>
      <w:r>
        <w:rPr>
          <w:rFonts w:hint="eastAsia" w:ascii="Times New Roman" w:hAnsi="Times New Roman" w:cs="Times New Roman"/>
          <w:snapToGrid w:val="0"/>
          <w:highlight w:val="none"/>
        </w:rPr>
        <w:t>不仅</w:t>
      </w:r>
      <w:r>
        <w:rPr>
          <w:rFonts w:ascii="Times New Roman" w:hAnsi="Times New Roman" w:cs="Times New Roman"/>
          <w:snapToGrid w:val="0"/>
          <w:highlight w:val="none"/>
        </w:rPr>
        <w:t>可以为高炉日常操作和维护提供数据支撑，</w:t>
      </w:r>
      <w:r>
        <w:rPr>
          <w:rFonts w:hint="eastAsia" w:ascii="Times New Roman" w:hAnsi="Times New Roman" w:cs="Times New Roman"/>
          <w:snapToGrid w:val="0"/>
          <w:highlight w:val="none"/>
        </w:rPr>
        <w:t>还可以通过</w:t>
      </w:r>
      <w:r>
        <w:rPr>
          <w:rFonts w:ascii="Times New Roman" w:hAnsi="Times New Roman" w:cs="Times New Roman"/>
          <w:snapToGrid w:val="0"/>
          <w:highlight w:val="none"/>
        </w:rPr>
        <w:t>监控高炉运行状况及时发现异常，为高炉数字化、智能化提供必要参数，</w:t>
      </w:r>
      <w:r>
        <w:rPr>
          <w:rFonts w:hint="eastAsia" w:ascii="Times New Roman" w:hAnsi="Times New Roman" w:cs="Times New Roman"/>
          <w:snapToGrid w:val="0"/>
          <w:highlight w:val="none"/>
        </w:rPr>
        <w:t>保障</w:t>
      </w:r>
      <w:r>
        <w:rPr>
          <w:rFonts w:ascii="Times New Roman" w:hAnsi="Times New Roman" w:cs="Times New Roman"/>
          <w:snapToGrid w:val="0"/>
          <w:highlight w:val="none"/>
        </w:rPr>
        <w:t>高炉的安全运行。</w:t>
      </w:r>
      <w:r>
        <w:rPr>
          <w:rFonts w:hint="eastAsia" w:ascii="Times New Roman" w:hAnsi="Times New Roman" w:cs="Times New Roman"/>
          <w:snapToGrid w:val="0"/>
          <w:highlight w:val="none"/>
        </w:rPr>
        <w:t>本次高炉改造，炉体内衬更换，风口以上冷却壁更换，需对高炉</w:t>
      </w:r>
      <w:r>
        <w:rPr>
          <w:rFonts w:ascii="Times New Roman" w:hAnsi="Times New Roman" w:cs="Times New Roman"/>
          <w:snapToGrid w:val="0"/>
          <w:highlight w:val="none"/>
        </w:rPr>
        <w:t>炉体检测</w:t>
      </w:r>
      <w:r>
        <w:rPr>
          <w:rFonts w:hint="eastAsia" w:ascii="Times New Roman" w:hAnsi="Times New Roman" w:cs="Times New Roman"/>
          <w:snapToGrid w:val="0"/>
          <w:highlight w:val="none"/>
        </w:rPr>
        <w:t>设施进行更换，软水密闭循环冷却系统监测点更换。</w:t>
      </w:r>
    </w:p>
    <w:p w14:paraId="5A6C91A3">
      <w:pPr>
        <w:snapToGrid w:val="0"/>
        <w:spacing w:line="348" w:lineRule="auto"/>
        <w:ind w:firstLine="560" w:firstLineChars="0"/>
        <w:jc w:val="both"/>
        <w:rPr>
          <w:rFonts w:ascii="Times New Roman" w:hAnsi="Times New Roman" w:cs="Times New Roman"/>
          <w:snapToGrid w:val="0"/>
          <w:highlight w:val="none"/>
        </w:rPr>
      </w:pPr>
      <w:r>
        <w:rPr>
          <w:rFonts w:ascii="Times New Roman" w:hAnsi="Times New Roman" w:cs="Times New Roman"/>
          <w:snapToGrid w:val="0"/>
          <w:highlight w:val="none"/>
        </w:rPr>
        <w:t>1）高炉炉衬温度检测</w:t>
      </w:r>
    </w:p>
    <w:p w14:paraId="67DBF7AF">
      <w:pPr>
        <w:snapToGrid w:val="0"/>
        <w:spacing w:line="348" w:lineRule="auto"/>
        <w:ind w:firstLine="560" w:firstLineChars="0"/>
        <w:jc w:val="both"/>
        <w:rPr>
          <w:rFonts w:ascii="Times New Roman" w:hAnsi="Times New Roman" w:cs="Times New Roman"/>
          <w:snapToGrid w:val="0"/>
          <w:highlight w:val="none"/>
        </w:rPr>
      </w:pPr>
      <w:r>
        <w:rPr>
          <w:rFonts w:ascii="Times New Roman" w:hAnsi="Times New Roman" w:cs="Times New Roman"/>
          <w:snapToGrid w:val="0"/>
          <w:highlight w:val="none"/>
        </w:rPr>
        <w:t>高炉炉基、炉底、炉缸的</w:t>
      </w:r>
      <w:r>
        <w:rPr>
          <w:rFonts w:hint="eastAsia" w:ascii="Times New Roman" w:hAnsi="Times New Roman" w:cs="Times New Roman"/>
          <w:snapToGrid w:val="0"/>
          <w:highlight w:val="none"/>
        </w:rPr>
        <w:t>温度检测采取恢复性更换，炉底最下部三层炭砖利旧，因此该部位的检测点利旧，其余部位的温度检测点（共203点）更换，总点数与原高炉炉衬检测点数相同。</w:t>
      </w:r>
    </w:p>
    <w:p w14:paraId="30D01958">
      <w:pPr>
        <w:snapToGrid w:val="0"/>
        <w:spacing w:line="348" w:lineRule="auto"/>
        <w:ind w:firstLine="560" w:firstLineChars="0"/>
        <w:jc w:val="both"/>
        <w:rPr>
          <w:rFonts w:ascii="Times New Roman" w:hAnsi="Times New Roman" w:cs="Times New Roman"/>
          <w:snapToGrid w:val="0"/>
          <w:highlight w:val="none"/>
        </w:rPr>
      </w:pPr>
      <w:r>
        <w:rPr>
          <w:rFonts w:ascii="Times New Roman" w:hAnsi="Times New Roman" w:cs="Times New Roman"/>
          <w:snapToGrid w:val="0"/>
          <w:highlight w:val="none"/>
        </w:rPr>
        <w:t>以炉底炉缸耐材测温点温度数据为基础，通过专业数学模型和应用软件，实时监测炉底炉缸耐材温度、等温线、温度场、侵蚀内型、残衬厚度和渣铁壳厚度，并对各种异常情况进行在线诊断和预警。</w:t>
      </w:r>
    </w:p>
    <w:p w14:paraId="6F6CC770">
      <w:pPr>
        <w:snapToGrid w:val="0"/>
        <w:spacing w:line="348" w:lineRule="auto"/>
        <w:ind w:firstLine="560" w:firstLineChars="0"/>
        <w:jc w:val="both"/>
        <w:rPr>
          <w:rFonts w:ascii="Times New Roman" w:hAnsi="Times New Roman" w:cs="Times New Roman"/>
          <w:snapToGrid w:val="0"/>
          <w:highlight w:val="none"/>
        </w:rPr>
      </w:pPr>
      <w:r>
        <w:rPr>
          <w:rFonts w:ascii="Times New Roman" w:hAnsi="Times New Roman" w:cs="Times New Roman"/>
          <w:snapToGrid w:val="0"/>
          <w:highlight w:val="none"/>
        </w:rPr>
        <w:t>2）高炉冷却壁温度检测</w:t>
      </w:r>
    </w:p>
    <w:p w14:paraId="3F01EE77">
      <w:pPr>
        <w:snapToGrid w:val="0"/>
        <w:spacing w:line="348" w:lineRule="auto"/>
        <w:ind w:firstLine="560" w:firstLineChars="0"/>
        <w:jc w:val="both"/>
        <w:rPr>
          <w:rFonts w:ascii="Times New Roman" w:hAnsi="Times New Roman" w:cs="Times New Roman"/>
          <w:snapToGrid w:val="0"/>
          <w:highlight w:val="none"/>
        </w:rPr>
      </w:pPr>
      <w:r>
        <w:rPr>
          <w:rFonts w:ascii="Times New Roman" w:hAnsi="Times New Roman" w:cs="Times New Roman"/>
          <w:snapToGrid w:val="0"/>
          <w:highlight w:val="none"/>
        </w:rPr>
        <w:t>高炉炉腹及以上的冷却壁沿不同的纵向和径向位置设置温度检测点共53点</w:t>
      </w:r>
      <w:r>
        <w:rPr>
          <w:rFonts w:hint="eastAsia" w:ascii="Times New Roman" w:hAnsi="Times New Roman" w:cs="Times New Roman"/>
          <w:snapToGrid w:val="0"/>
          <w:highlight w:val="none"/>
        </w:rPr>
        <w:t>；其中第8</w:t>
      </w:r>
      <w:r>
        <w:rPr>
          <w:rFonts w:ascii="Times New Roman" w:hAnsi="Times New Roman" w:cs="Times New Roman"/>
          <w:snapToGrid w:val="0"/>
          <w:highlight w:val="none"/>
        </w:rPr>
        <w:t>-</w:t>
      </w:r>
      <w:r>
        <w:rPr>
          <w:rFonts w:hint="eastAsia" w:ascii="Times New Roman" w:hAnsi="Times New Roman" w:cs="Times New Roman"/>
          <w:snapToGrid w:val="0"/>
          <w:highlight w:val="none"/>
        </w:rPr>
        <w:t>12段冷却壁更换，对应的冷却壁测温热电偶（共23点）更换，</w:t>
      </w:r>
      <w:r>
        <w:rPr>
          <w:rFonts w:hint="eastAsia" w:ascii="Times New Roman" w:hAnsi="Times New Roman" w:cs="Times New Roman"/>
          <w:strike w:val="0"/>
          <w:dstrike w:val="0"/>
          <w:snapToGrid w:val="0"/>
          <w:highlight w:val="none"/>
        </w:rPr>
        <w:t>电缆</w:t>
      </w:r>
      <w:r>
        <w:rPr>
          <w:rFonts w:hint="eastAsia" w:ascii="Times New Roman" w:hAnsi="Times New Roman" w:cs="Times New Roman"/>
          <w:strike w:val="0"/>
          <w:dstrike w:val="0"/>
          <w:snapToGrid w:val="0"/>
          <w:highlight w:val="none"/>
          <w:lang w:val="en-US" w:eastAsia="zh-CN"/>
        </w:rPr>
        <w:t>更换</w:t>
      </w:r>
      <w:r>
        <w:rPr>
          <w:rFonts w:hint="eastAsia" w:ascii="Times New Roman" w:hAnsi="Times New Roman" w:cs="Times New Roman"/>
          <w:strike w:val="0"/>
          <w:dstrike w:val="0"/>
          <w:snapToGrid w:val="0"/>
          <w:highlight w:val="none"/>
        </w:rPr>
        <w:t>。</w:t>
      </w:r>
      <w:r>
        <w:rPr>
          <w:rFonts w:hint="eastAsia" w:ascii="Times New Roman"/>
          <w:highlight w:val="none"/>
        </w:rPr>
        <w:t>新增炉喉钢砖测温热电偶4支，配套新增电缆，炉喉钢砖原有的4支测温热电偶更换，电缆利旧</w:t>
      </w:r>
      <w:r>
        <w:rPr>
          <w:rFonts w:hint="eastAsia" w:ascii="Times New Roman"/>
          <w:highlight w:val="none"/>
        </w:rPr>
        <w:t>；</w:t>
      </w:r>
      <w:r>
        <w:rPr>
          <w:rFonts w:hint="eastAsia" w:ascii="Times New Roman" w:hAnsi="Times New Roman" w:cs="Times New Roman"/>
          <w:snapToGrid w:val="0"/>
          <w:highlight w:val="none"/>
        </w:rPr>
        <w:t>通过热电偶</w:t>
      </w:r>
      <w:r>
        <w:rPr>
          <w:rFonts w:ascii="Times New Roman" w:hAnsi="Times New Roman" w:cs="Times New Roman"/>
          <w:snapToGrid w:val="0"/>
          <w:highlight w:val="none"/>
        </w:rPr>
        <w:t>进行冷却壁温度的实时检测，用以监控炉衬侵蚀状况和冷却壁工作状态。</w:t>
      </w:r>
    </w:p>
    <w:p w14:paraId="7F7BCB84">
      <w:pPr>
        <w:snapToGrid w:val="0"/>
        <w:spacing w:line="348" w:lineRule="auto"/>
        <w:ind w:firstLine="560" w:firstLineChars="0"/>
        <w:jc w:val="both"/>
        <w:rPr>
          <w:rFonts w:ascii="Times New Roman" w:hAnsi="Times New Roman" w:cs="Times New Roman"/>
          <w:snapToGrid w:val="0"/>
          <w:highlight w:val="none"/>
        </w:rPr>
      </w:pPr>
      <w:r>
        <w:rPr>
          <w:rFonts w:ascii="Times New Roman" w:hAnsi="Times New Roman" w:cs="Times New Roman"/>
          <w:snapToGrid w:val="0"/>
          <w:highlight w:val="none"/>
        </w:rPr>
        <w:t>3）软水密闭循环冷却系统监</w:t>
      </w:r>
      <w:r>
        <w:rPr>
          <w:rFonts w:hint="eastAsia" w:ascii="Times New Roman" w:hAnsi="Times New Roman" w:cs="Times New Roman"/>
          <w:snapToGrid w:val="0"/>
          <w:highlight w:val="none"/>
        </w:rPr>
        <w:t>测</w:t>
      </w:r>
      <w:r>
        <w:rPr>
          <w:rFonts w:ascii="Times New Roman" w:hAnsi="Times New Roman" w:cs="Times New Roman"/>
          <w:snapToGrid w:val="0"/>
          <w:highlight w:val="none"/>
        </w:rPr>
        <w:t>装置</w:t>
      </w:r>
    </w:p>
    <w:p w14:paraId="3E1905E5">
      <w:pPr>
        <w:snapToGrid w:val="0"/>
        <w:spacing w:line="348" w:lineRule="auto"/>
        <w:ind w:firstLine="560" w:firstLineChars="0"/>
        <w:jc w:val="both"/>
        <w:rPr>
          <w:rFonts w:ascii="Times New Roman" w:hAnsi="Times New Roman" w:cs="Times New Roman"/>
          <w:snapToGrid w:val="0"/>
          <w:highlight w:val="none"/>
        </w:rPr>
      </w:pPr>
      <w:r>
        <w:rPr>
          <w:rFonts w:ascii="Times New Roman" w:hAnsi="Times New Roman" w:cs="Times New Roman"/>
          <w:snapToGrid w:val="0"/>
          <w:highlight w:val="none"/>
        </w:rPr>
        <w:t>在整个软水系统监控包括温度、压力、流量、水位等，其中大部分温度检测、全部流量检测及部分压力检测进入主控楼计算机，有画面显示。</w:t>
      </w:r>
    </w:p>
    <w:p w14:paraId="3A951A44">
      <w:pPr>
        <w:snapToGrid w:val="0"/>
        <w:spacing w:line="348" w:lineRule="auto"/>
        <w:ind w:firstLine="560" w:firstLineChars="0"/>
        <w:jc w:val="both"/>
        <w:rPr>
          <w:rFonts w:ascii="Times New Roman" w:hAnsi="Times New Roman" w:cs="Times New Roman"/>
          <w:snapToGrid w:val="0"/>
          <w:highlight w:val="none"/>
        </w:rPr>
      </w:pPr>
      <w:r>
        <w:rPr>
          <w:rFonts w:ascii="Times New Roman" w:hAnsi="Times New Roman" w:cs="Times New Roman"/>
          <w:snapToGrid w:val="0"/>
          <w:highlight w:val="none"/>
        </w:rPr>
        <w:t>系统具有自动排汽功能，根据脱汽罐及膨胀罐间的压力传感器自动控制阀门进行系统排汽。</w:t>
      </w:r>
    </w:p>
    <w:p w14:paraId="7FCADAA2">
      <w:pPr>
        <w:snapToGrid w:val="0"/>
        <w:spacing w:line="348" w:lineRule="auto"/>
        <w:ind w:firstLine="560" w:firstLineChars="0"/>
        <w:jc w:val="both"/>
        <w:rPr>
          <w:rFonts w:ascii="Times New Roman" w:hAnsi="Times New Roman" w:cs="Times New Roman"/>
          <w:snapToGrid w:val="0"/>
          <w:highlight w:val="none"/>
        </w:rPr>
      </w:pPr>
      <w:r>
        <w:rPr>
          <w:rFonts w:ascii="Times New Roman" w:hAnsi="Times New Roman" w:cs="Times New Roman"/>
          <w:snapToGrid w:val="0"/>
          <w:highlight w:val="none"/>
        </w:rPr>
        <w:t>系统具有水位监控、自动补水、破损报警功能，计算机根据膨胀罐上设置的水位计自动控制系统水位及补水，并根据水位情况及补水情况通过累计比较及瞬时变化量的异常自动发出系统漏损报警。</w:t>
      </w:r>
    </w:p>
    <w:p w14:paraId="786E4D96">
      <w:pPr>
        <w:snapToGrid w:val="0"/>
        <w:spacing w:line="348" w:lineRule="auto"/>
        <w:ind w:firstLine="560" w:firstLineChars="0"/>
        <w:jc w:val="both"/>
        <w:rPr>
          <w:rFonts w:ascii="Times New Roman" w:hAnsi="Times New Roman" w:cs="Times New Roman"/>
          <w:snapToGrid w:val="0"/>
          <w:highlight w:val="none"/>
        </w:rPr>
      </w:pPr>
      <w:r>
        <w:rPr>
          <w:rFonts w:ascii="Times New Roman" w:hAnsi="Times New Roman" w:cs="Times New Roman"/>
          <w:snapToGrid w:val="0"/>
          <w:highlight w:val="none"/>
        </w:rPr>
        <w:t>系统还具有自动稳压功能，系统设置有自动充氮装置，根据系统实际压力由主控楼计算机自动控制系统充氮，确保系统压力稳定。</w:t>
      </w:r>
    </w:p>
    <w:p w14:paraId="6ACDBBDC">
      <w:pPr>
        <w:snapToGrid w:val="0"/>
        <w:spacing w:line="348" w:lineRule="auto"/>
        <w:ind w:firstLine="560" w:firstLineChars="0"/>
        <w:jc w:val="both"/>
        <w:rPr>
          <w:rFonts w:ascii="Times New Roman" w:hAnsi="Times New Roman" w:cs="Times New Roman"/>
          <w:snapToGrid w:val="0"/>
          <w:highlight w:val="none"/>
        </w:rPr>
      </w:pPr>
      <w:r>
        <w:rPr>
          <w:rFonts w:hint="eastAsia" w:ascii="Times New Roman" w:hAnsi="Times New Roman" w:cs="Times New Roman"/>
          <w:snapToGrid w:val="0"/>
          <w:highlight w:val="none"/>
        </w:rPr>
        <w:t>根据改造情况，</w:t>
      </w:r>
      <w:r>
        <w:rPr>
          <w:rFonts w:ascii="Times New Roman" w:hAnsi="Times New Roman" w:cs="Times New Roman"/>
          <w:snapToGrid w:val="0"/>
          <w:highlight w:val="none"/>
        </w:rPr>
        <w:t>软水密闭循环冷却系统</w:t>
      </w:r>
      <w:r>
        <w:rPr>
          <w:rFonts w:hint="eastAsia" w:ascii="Times New Roman" w:hAnsi="Times New Roman" w:cs="Times New Roman"/>
          <w:snapToGrid w:val="0"/>
          <w:highlight w:val="none"/>
        </w:rPr>
        <w:t>水管上的温度</w:t>
      </w:r>
      <w:r>
        <w:rPr>
          <w:rFonts w:ascii="Times New Roman" w:hAnsi="Times New Roman" w:cs="Times New Roman"/>
          <w:snapToGrid w:val="0"/>
          <w:highlight w:val="none"/>
        </w:rPr>
        <w:t>监</w:t>
      </w:r>
      <w:r>
        <w:rPr>
          <w:rFonts w:hint="eastAsia" w:ascii="Times New Roman" w:hAnsi="Times New Roman" w:cs="Times New Roman"/>
          <w:snapToGrid w:val="0"/>
          <w:highlight w:val="none"/>
        </w:rPr>
        <w:t>测点及压力监测点利旧，</w:t>
      </w:r>
      <w:r>
        <w:rPr>
          <w:rFonts w:ascii="Times New Roman" w:hAnsi="Times New Roman" w:cs="Times New Roman"/>
          <w:snapToGrid w:val="0"/>
          <w:highlight w:val="none"/>
        </w:rPr>
        <w:t>软水密闭循环冷却系统监控装置</w:t>
      </w:r>
      <w:r>
        <w:rPr>
          <w:rFonts w:hint="eastAsia" w:ascii="Times New Roman" w:hAnsi="Times New Roman" w:cs="Times New Roman"/>
          <w:snapToGrid w:val="0"/>
          <w:highlight w:val="none"/>
        </w:rPr>
        <w:t>利旧。</w:t>
      </w:r>
    </w:p>
    <w:p w14:paraId="1E9C5BDE">
      <w:pPr>
        <w:snapToGrid w:val="0"/>
        <w:spacing w:line="348" w:lineRule="auto"/>
        <w:ind w:firstLine="560" w:firstLineChars="0"/>
        <w:jc w:val="both"/>
        <w:rPr>
          <w:rFonts w:ascii="Times New Roman" w:hAnsi="Times New Roman" w:cs="Times New Roman"/>
          <w:snapToGrid w:val="0"/>
          <w:highlight w:val="none"/>
        </w:rPr>
      </w:pPr>
      <w:r>
        <w:rPr>
          <w:rFonts w:ascii="Times New Roman" w:hAnsi="Times New Roman" w:cs="Times New Roman"/>
          <w:snapToGrid w:val="0"/>
          <w:highlight w:val="none"/>
        </w:rPr>
        <w:t>4）水温差、热负荷及智能检漏监测</w:t>
      </w:r>
    </w:p>
    <w:p w14:paraId="1EA8FFF1">
      <w:pPr>
        <w:snapToGrid w:val="0"/>
        <w:spacing w:line="348" w:lineRule="auto"/>
        <w:ind w:firstLine="560" w:firstLineChars="0"/>
        <w:jc w:val="both"/>
        <w:rPr>
          <w:rFonts w:ascii="Times New Roman" w:hAnsi="Times New Roman" w:cs="Times New Roman"/>
          <w:snapToGrid w:val="0"/>
          <w:highlight w:val="none"/>
        </w:rPr>
      </w:pPr>
      <w:r>
        <w:rPr>
          <w:rFonts w:ascii="Times New Roman" w:hAnsi="Times New Roman" w:cs="Times New Roman"/>
          <w:snapToGrid w:val="0"/>
          <w:highlight w:val="none"/>
        </w:rPr>
        <w:t>冷却壁水温差与热流强度监测系统是一个集现场数据采集、画面实时更新、数据分析处理、报表自动生成的实时监测系统，系统能够实时、连续地监控各冷却壁冷却水管道的瞬时流量、进出管道的水温差，并据此计算出热流强度值。通过对重要的监测数据设置上限值和下限值，实时报警系统可以在第一时间反映出高炉有无异常情况。</w:t>
      </w:r>
      <w:r>
        <w:rPr>
          <w:rFonts w:hint="eastAsia" w:ascii="Times New Roman" w:hAnsi="Times New Roman" w:cs="Times New Roman"/>
          <w:snapToGrid w:val="0"/>
          <w:highlight w:val="none"/>
        </w:rPr>
        <w:t>1-3段水温差检测，按30%进行更换，8-12段全部更换。</w:t>
      </w:r>
      <w:r>
        <w:rPr>
          <w:rFonts w:hint="eastAsia" w:ascii="Times New Roman" w:hAnsi="Times New Roman" w:cs="Times New Roman"/>
          <w:snapToGrid w:val="0"/>
          <w:highlight w:val="none"/>
          <w:lang w:val="en-US" w:eastAsia="zh-CN"/>
        </w:rPr>
        <w:t>详见仪表篇章</w:t>
      </w:r>
      <w:r>
        <w:rPr>
          <w:rFonts w:hint="eastAsia" w:ascii="Times New Roman" w:hAnsi="Times New Roman" w:cs="Times New Roman"/>
          <w:snapToGrid w:val="0"/>
          <w:highlight w:val="none"/>
        </w:rPr>
        <w:t>。</w:t>
      </w:r>
    </w:p>
    <w:p w14:paraId="5A991074">
      <w:pPr>
        <w:snapToGrid w:val="0"/>
        <w:spacing w:line="348" w:lineRule="auto"/>
        <w:ind w:firstLine="560" w:firstLineChars="0"/>
        <w:jc w:val="both"/>
        <w:rPr>
          <w:rFonts w:ascii="Times New Roman" w:hAnsi="Times New Roman" w:cs="Times New Roman"/>
          <w:snapToGrid w:val="0"/>
          <w:highlight w:val="none"/>
        </w:rPr>
      </w:pPr>
      <w:r>
        <w:rPr>
          <w:rFonts w:hint="eastAsia" w:ascii="Times New Roman" w:hAnsi="Times New Roman" w:cs="Times New Roman"/>
          <w:snapToGrid w:val="0"/>
          <w:highlight w:val="none"/>
        </w:rPr>
        <w:t>冷却壁直冷管回水支管8台流量计更换，冷却壁直冷管回水集管1</w:t>
      </w:r>
      <w:r>
        <w:rPr>
          <w:rFonts w:ascii="Times New Roman" w:hAnsi="Times New Roman" w:cs="Times New Roman"/>
          <w:snapToGrid w:val="0"/>
          <w:highlight w:val="none"/>
        </w:rPr>
        <w:t>6</w:t>
      </w:r>
      <w:r>
        <w:rPr>
          <w:rFonts w:hint="eastAsia" w:ascii="Times New Roman" w:hAnsi="Times New Roman" w:cs="Times New Roman"/>
          <w:snapToGrid w:val="0"/>
          <w:highlight w:val="none"/>
        </w:rPr>
        <w:t>台流量计更换。原</w:t>
      </w:r>
      <w:r>
        <w:rPr>
          <w:rFonts w:ascii="Times New Roman" w:hAnsi="Times New Roman" w:cs="Times New Roman"/>
          <w:snapToGrid w:val="0"/>
          <w:highlight w:val="none"/>
        </w:rPr>
        <w:t>风口小套进出水支管均设有</w:t>
      </w:r>
      <w:r>
        <w:rPr>
          <w:rFonts w:hint="eastAsia" w:ascii="Times New Roman" w:hAnsi="Times New Roman" w:cs="Times New Roman"/>
          <w:snapToGrid w:val="0"/>
          <w:highlight w:val="none"/>
        </w:rPr>
        <w:t>弯管</w:t>
      </w:r>
      <w:r>
        <w:rPr>
          <w:rFonts w:ascii="Times New Roman" w:hAnsi="Times New Roman" w:cs="Times New Roman"/>
          <w:snapToGrid w:val="0"/>
          <w:highlight w:val="none"/>
        </w:rPr>
        <w:t>流量计，</w:t>
      </w:r>
      <w:r>
        <w:rPr>
          <w:rFonts w:hint="eastAsia" w:ascii="Times New Roman" w:hAnsi="Times New Roman" w:cs="Times New Roman"/>
          <w:snapToGrid w:val="0"/>
          <w:highlight w:val="none"/>
        </w:rPr>
        <w:t>已使用1</w:t>
      </w:r>
      <w:r>
        <w:rPr>
          <w:rFonts w:ascii="Times New Roman" w:hAnsi="Times New Roman" w:cs="Times New Roman"/>
          <w:snapToGrid w:val="0"/>
          <w:highlight w:val="none"/>
        </w:rPr>
        <w:t>0</w:t>
      </w:r>
      <w:r>
        <w:rPr>
          <w:rFonts w:hint="eastAsia" w:ascii="Times New Roman" w:hAnsi="Times New Roman" w:cs="Times New Roman"/>
          <w:snapToGrid w:val="0"/>
          <w:highlight w:val="none"/>
        </w:rPr>
        <w:t>年，流量数据精度不足以判断风口漏水情况，</w:t>
      </w:r>
      <w:r>
        <w:rPr>
          <w:rFonts w:hint="eastAsia" w:ascii="Times New Roman" w:hAnsi="Times New Roman" w:cs="Times New Roman"/>
          <w:snapToGrid w:val="0"/>
          <w:color w:val="auto"/>
          <w:highlight w:val="none"/>
        </w:rPr>
        <w:t>本次改造将</w:t>
      </w:r>
      <w:r>
        <w:rPr>
          <w:rFonts w:hint="eastAsia" w:ascii="Times New Roman"/>
          <w:highlight w:val="none"/>
        </w:rPr>
        <w:t>风口小套进出水支管</w:t>
      </w:r>
      <w:r>
        <w:rPr>
          <w:rFonts w:hint="eastAsia" w:ascii="Times New Roman"/>
          <w:highlight w:val="none"/>
        </w:rPr>
        <w:t>40台弯管流量计</w:t>
      </w:r>
      <w:r>
        <w:rPr>
          <w:rFonts w:hint="eastAsia" w:ascii="Times New Roman"/>
          <w:highlight w:val="none"/>
          <w:lang w:eastAsia="zh-CN"/>
        </w:rPr>
        <w:t>（</w:t>
      </w:r>
      <w:r>
        <w:rPr>
          <w:rFonts w:hint="eastAsia" w:ascii="Times New Roman"/>
          <w:highlight w:val="none"/>
          <w:lang w:val="en-US" w:eastAsia="zh-CN"/>
        </w:rPr>
        <w:t>配套差压</w:t>
      </w:r>
      <w:r>
        <w:rPr>
          <w:rFonts w:hint="eastAsia" w:ascii="Times New Roman"/>
          <w:highlight w:val="none"/>
        </w:rPr>
        <w:t>变送器</w:t>
      </w:r>
      <w:r>
        <w:rPr>
          <w:rFonts w:hint="eastAsia" w:ascii="Times New Roman"/>
          <w:highlight w:val="none"/>
          <w:lang w:eastAsia="zh-CN"/>
        </w:rPr>
        <w:t>）</w:t>
      </w:r>
      <w:r>
        <w:rPr>
          <w:rFonts w:hint="eastAsia" w:ascii="Times New Roman"/>
          <w:highlight w:val="none"/>
        </w:rPr>
        <w:t>更换，</w:t>
      </w:r>
      <w:r>
        <w:rPr>
          <w:rFonts w:hint="eastAsia" w:ascii="Times New Roman"/>
          <w:color w:val="FF0000"/>
          <w:highlight w:val="none"/>
        </w:rPr>
        <w:t>增加</w:t>
      </w:r>
      <w:r>
        <w:rPr>
          <w:rFonts w:hint="eastAsia" w:ascii="Times New Roman"/>
          <w:color w:val="FF0000"/>
          <w:highlight w:val="none"/>
          <w:lang w:val="en-US" w:eastAsia="zh-CN"/>
        </w:rPr>
        <w:t>进水</w:t>
      </w:r>
      <w:r>
        <w:rPr>
          <w:rFonts w:hint="eastAsia" w:ascii="Times New Roman"/>
          <w:color w:val="FF0000"/>
          <w:highlight w:val="none"/>
        </w:rPr>
        <w:t>温度检测点</w:t>
      </w:r>
      <w:r>
        <w:rPr>
          <w:rFonts w:hint="eastAsia" w:ascii="Times New Roman"/>
          <w:color w:val="FF0000"/>
          <w:highlight w:val="none"/>
          <w:lang w:val="en-US" w:eastAsia="zh-CN"/>
        </w:rPr>
        <w:t>4个，回水</w:t>
      </w:r>
      <w:r>
        <w:rPr>
          <w:rFonts w:hint="eastAsia" w:ascii="Times New Roman"/>
          <w:color w:val="FF0000"/>
          <w:highlight w:val="none"/>
        </w:rPr>
        <w:t>温度检测点</w:t>
      </w:r>
      <w:r>
        <w:rPr>
          <w:rFonts w:hint="eastAsia" w:ascii="Times New Roman"/>
          <w:color w:val="FF0000"/>
          <w:highlight w:val="none"/>
          <w:lang w:val="en-US" w:eastAsia="zh-CN"/>
        </w:rPr>
        <w:t>20</w:t>
      </w:r>
      <w:r>
        <w:rPr>
          <w:rFonts w:hint="eastAsia" w:ascii="Times New Roman"/>
          <w:color w:val="FF0000"/>
          <w:highlight w:val="none"/>
        </w:rPr>
        <w:t>个</w:t>
      </w:r>
      <w:r>
        <w:rPr>
          <w:rFonts w:hint="eastAsia" w:ascii="Times New Roman" w:hAnsi="Times New Roman" w:cs="Times New Roman"/>
          <w:snapToGrid w:val="0"/>
          <w:color w:val="auto"/>
          <w:highlight w:val="none"/>
        </w:rPr>
        <w:t>，</w:t>
      </w:r>
      <w:r>
        <w:rPr>
          <w:rFonts w:ascii="Times New Roman" w:hAnsi="Times New Roman" w:cs="Times New Roman"/>
          <w:snapToGrid w:val="0"/>
          <w:highlight w:val="none"/>
        </w:rPr>
        <w:t>用于监控流量</w:t>
      </w:r>
      <w:r>
        <w:rPr>
          <w:rFonts w:hint="eastAsia" w:ascii="Times New Roman" w:hAnsi="Times New Roman" w:cs="Times New Roman"/>
          <w:snapToGrid w:val="0"/>
          <w:highlight w:val="none"/>
        </w:rPr>
        <w:t>及温度</w:t>
      </w:r>
      <w:r>
        <w:rPr>
          <w:rFonts w:ascii="Times New Roman" w:hAnsi="Times New Roman" w:cs="Times New Roman"/>
          <w:snapToGrid w:val="0"/>
          <w:highlight w:val="none"/>
        </w:rPr>
        <w:t>变化，及时采取调整措施</w:t>
      </w:r>
      <w:r>
        <w:rPr>
          <w:rFonts w:hint="eastAsia" w:ascii="Times New Roman" w:hAnsi="Times New Roman" w:cs="Times New Roman"/>
          <w:snapToGrid w:val="0"/>
          <w:highlight w:val="none"/>
        </w:rPr>
        <w:t>。</w:t>
      </w:r>
    </w:p>
    <w:p w14:paraId="5FB6CD7A">
      <w:pPr>
        <w:snapToGrid w:val="0"/>
        <w:spacing w:line="348" w:lineRule="auto"/>
        <w:ind w:firstLine="560" w:firstLineChars="0"/>
        <w:jc w:val="both"/>
        <w:rPr>
          <w:rFonts w:cs="宋体"/>
          <w:color w:val="000000"/>
          <w:highlight w:val="none"/>
          <w:shd w:val="clear" w:color="auto" w:fill="FFFF00"/>
        </w:rPr>
      </w:pPr>
      <w:r>
        <w:rPr>
          <w:rFonts w:cs="宋体"/>
          <w:color w:val="000000"/>
          <w:highlight w:val="none"/>
          <w:shd w:val="clear" w:color="auto" w:fill="FFFF00"/>
        </w:rPr>
        <w:t>更换的流量计具体见下表，另外风口工业事故水需新增流量计，其余流量计利旧。</w:t>
      </w:r>
    </w:p>
    <w:tbl>
      <w:tblPr>
        <w:tblStyle w:val="61"/>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35"/>
        <w:gridCol w:w="4318"/>
        <w:gridCol w:w="1772"/>
        <w:gridCol w:w="1035"/>
      </w:tblGrid>
      <w:tr w14:paraId="0CB94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5" w:hRule="atLeast"/>
        </w:trPr>
        <w:tc>
          <w:tcPr>
            <w:tcW w:w="8160" w:type="dxa"/>
            <w:gridSpan w:val="4"/>
            <w:tcMar>
              <w:top w:w="0" w:type="dxa"/>
              <w:left w:w="108" w:type="dxa"/>
              <w:bottom w:w="0" w:type="dxa"/>
              <w:right w:w="108" w:type="dxa"/>
            </w:tcMar>
            <w:vAlign w:val="center"/>
          </w:tcPr>
          <w:p w14:paraId="01795E52">
            <w:pPr>
              <w:jc w:val="center"/>
              <w:rPr>
                <w:highlight w:val="none"/>
                <w:shd w:val="clear" w:color="auto" w:fill="FFFF00"/>
              </w:rPr>
            </w:pPr>
            <w:r>
              <w:rPr>
                <w:rFonts w:cs="宋体"/>
                <w:color w:val="000000"/>
                <w:highlight w:val="none"/>
                <w:shd w:val="clear" w:color="auto" w:fill="FFFF00"/>
              </w:rPr>
              <w:t>2号高炉水系统流量计统计</w:t>
            </w:r>
          </w:p>
        </w:tc>
      </w:tr>
      <w:tr w14:paraId="5BBDB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5" w:hRule="atLeast"/>
        </w:trPr>
        <w:tc>
          <w:tcPr>
            <w:tcW w:w="1035" w:type="dxa"/>
            <w:tcMar>
              <w:top w:w="0" w:type="dxa"/>
              <w:left w:w="108" w:type="dxa"/>
              <w:bottom w:w="0" w:type="dxa"/>
              <w:right w:w="108" w:type="dxa"/>
            </w:tcMar>
            <w:vAlign w:val="center"/>
          </w:tcPr>
          <w:p w14:paraId="3DB784C4">
            <w:pPr>
              <w:jc w:val="center"/>
              <w:rPr>
                <w:highlight w:val="none"/>
                <w:shd w:val="clear" w:color="auto" w:fill="FFFF00"/>
              </w:rPr>
            </w:pPr>
            <w:r>
              <w:rPr>
                <w:rFonts w:cs="宋体"/>
                <w:color w:val="000000"/>
                <w:highlight w:val="none"/>
                <w:shd w:val="clear" w:color="auto" w:fill="FFFF00"/>
              </w:rPr>
              <w:t>序号</w:t>
            </w:r>
          </w:p>
        </w:tc>
        <w:tc>
          <w:tcPr>
            <w:tcW w:w="4318" w:type="dxa"/>
            <w:tcMar>
              <w:top w:w="0" w:type="dxa"/>
              <w:left w:w="108" w:type="dxa"/>
              <w:bottom w:w="0" w:type="dxa"/>
              <w:right w:w="108" w:type="dxa"/>
            </w:tcMar>
            <w:vAlign w:val="center"/>
          </w:tcPr>
          <w:p w14:paraId="6B674F12">
            <w:pPr>
              <w:jc w:val="center"/>
              <w:rPr>
                <w:highlight w:val="none"/>
                <w:shd w:val="clear" w:color="auto" w:fill="FFFF00"/>
              </w:rPr>
            </w:pPr>
            <w:r>
              <w:rPr>
                <w:rFonts w:cs="宋体"/>
                <w:color w:val="000000"/>
                <w:highlight w:val="none"/>
                <w:shd w:val="clear" w:color="auto" w:fill="FFFF00"/>
              </w:rPr>
              <w:t>部位</w:t>
            </w:r>
          </w:p>
        </w:tc>
        <w:tc>
          <w:tcPr>
            <w:tcW w:w="1772" w:type="dxa"/>
            <w:tcMar>
              <w:top w:w="0" w:type="dxa"/>
              <w:left w:w="108" w:type="dxa"/>
              <w:bottom w:w="0" w:type="dxa"/>
              <w:right w:w="108" w:type="dxa"/>
            </w:tcMar>
            <w:vAlign w:val="center"/>
          </w:tcPr>
          <w:p w14:paraId="3E1737A7">
            <w:pPr>
              <w:jc w:val="center"/>
              <w:rPr>
                <w:highlight w:val="none"/>
                <w:shd w:val="clear" w:color="auto" w:fill="FFFF00"/>
              </w:rPr>
            </w:pPr>
            <w:r>
              <w:rPr>
                <w:rFonts w:cs="宋体"/>
                <w:color w:val="000000"/>
                <w:highlight w:val="none"/>
                <w:shd w:val="clear" w:color="auto" w:fill="FFFF00"/>
              </w:rPr>
              <w:t>型号</w:t>
            </w:r>
          </w:p>
        </w:tc>
        <w:tc>
          <w:tcPr>
            <w:tcW w:w="1035" w:type="dxa"/>
            <w:tcMar>
              <w:top w:w="0" w:type="dxa"/>
              <w:left w:w="108" w:type="dxa"/>
              <w:bottom w:w="0" w:type="dxa"/>
              <w:right w:w="108" w:type="dxa"/>
            </w:tcMar>
            <w:vAlign w:val="center"/>
          </w:tcPr>
          <w:p w14:paraId="677CDE9B">
            <w:pPr>
              <w:jc w:val="center"/>
              <w:rPr>
                <w:highlight w:val="none"/>
                <w:shd w:val="clear" w:color="auto" w:fill="FFFF00"/>
              </w:rPr>
            </w:pPr>
            <w:r>
              <w:rPr>
                <w:rFonts w:cs="宋体"/>
                <w:color w:val="000000"/>
                <w:highlight w:val="none"/>
                <w:shd w:val="clear" w:color="auto" w:fill="FFFF00"/>
              </w:rPr>
              <w:t>数量</w:t>
            </w:r>
          </w:p>
        </w:tc>
      </w:tr>
      <w:tr w14:paraId="5601E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5" w:hRule="atLeast"/>
        </w:trPr>
        <w:tc>
          <w:tcPr>
            <w:tcW w:w="1035" w:type="dxa"/>
            <w:tcMar>
              <w:top w:w="0" w:type="dxa"/>
              <w:left w:w="108" w:type="dxa"/>
              <w:bottom w:w="0" w:type="dxa"/>
              <w:right w:w="108" w:type="dxa"/>
            </w:tcMar>
            <w:vAlign w:val="center"/>
          </w:tcPr>
          <w:p w14:paraId="2BB3FBEE">
            <w:pPr>
              <w:jc w:val="center"/>
              <w:rPr>
                <w:highlight w:val="none"/>
                <w:shd w:val="clear" w:color="auto" w:fill="FFFF00"/>
              </w:rPr>
            </w:pPr>
            <w:r>
              <w:rPr>
                <w:rFonts w:cs="宋体"/>
                <w:color w:val="000000"/>
                <w:highlight w:val="none"/>
                <w:shd w:val="clear" w:color="auto" w:fill="FFFF00"/>
              </w:rPr>
              <w:t>1</w:t>
            </w:r>
          </w:p>
        </w:tc>
        <w:tc>
          <w:tcPr>
            <w:tcW w:w="4318" w:type="dxa"/>
            <w:tcMar>
              <w:top w:w="0" w:type="dxa"/>
              <w:left w:w="108" w:type="dxa"/>
              <w:bottom w:w="0" w:type="dxa"/>
              <w:right w:w="108" w:type="dxa"/>
            </w:tcMar>
            <w:vAlign w:val="center"/>
          </w:tcPr>
          <w:p w14:paraId="10F87867">
            <w:pPr>
              <w:jc w:val="center"/>
              <w:rPr>
                <w:highlight w:val="none"/>
                <w:shd w:val="clear" w:color="auto" w:fill="FFFF00"/>
              </w:rPr>
            </w:pPr>
            <w:r>
              <w:rPr>
                <w:rFonts w:cs="宋体"/>
                <w:color w:val="000000"/>
                <w:highlight w:val="none"/>
                <w:shd w:val="clear" w:color="auto" w:fill="FFFF00"/>
              </w:rPr>
              <w:t>炉底供水</w:t>
            </w:r>
          </w:p>
        </w:tc>
        <w:tc>
          <w:tcPr>
            <w:tcW w:w="1772" w:type="dxa"/>
            <w:tcMar>
              <w:top w:w="0" w:type="dxa"/>
              <w:left w:w="108" w:type="dxa"/>
              <w:bottom w:w="0" w:type="dxa"/>
              <w:right w:w="108" w:type="dxa"/>
            </w:tcMar>
            <w:vAlign w:val="center"/>
          </w:tcPr>
          <w:p w14:paraId="22089E2F">
            <w:pPr>
              <w:jc w:val="center"/>
              <w:rPr>
                <w:highlight w:val="none"/>
                <w:shd w:val="clear" w:color="auto" w:fill="FFFF00"/>
              </w:rPr>
            </w:pPr>
            <w:r>
              <w:rPr>
                <w:rFonts w:cs="宋体"/>
                <w:color w:val="000000"/>
                <w:highlight w:val="none"/>
                <w:shd w:val="clear" w:color="auto" w:fill="FFFF00"/>
              </w:rPr>
              <w:t>DN350</w:t>
            </w:r>
          </w:p>
        </w:tc>
        <w:tc>
          <w:tcPr>
            <w:tcW w:w="1035" w:type="dxa"/>
            <w:tcMar>
              <w:top w:w="0" w:type="dxa"/>
              <w:left w:w="108" w:type="dxa"/>
              <w:bottom w:w="0" w:type="dxa"/>
              <w:right w:w="108" w:type="dxa"/>
            </w:tcMar>
            <w:vAlign w:val="center"/>
          </w:tcPr>
          <w:p w14:paraId="6501A856">
            <w:pPr>
              <w:jc w:val="center"/>
              <w:rPr>
                <w:highlight w:val="none"/>
                <w:shd w:val="clear" w:color="auto" w:fill="FFFF00"/>
              </w:rPr>
            </w:pPr>
            <w:r>
              <w:rPr>
                <w:rFonts w:cs="宋体"/>
                <w:color w:val="000000"/>
                <w:highlight w:val="none"/>
                <w:shd w:val="clear" w:color="auto" w:fill="FFFF00"/>
              </w:rPr>
              <w:t>1</w:t>
            </w:r>
          </w:p>
        </w:tc>
      </w:tr>
      <w:tr w14:paraId="0C5EF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5" w:hRule="atLeast"/>
        </w:trPr>
        <w:tc>
          <w:tcPr>
            <w:tcW w:w="1035" w:type="dxa"/>
            <w:tcMar>
              <w:top w:w="0" w:type="dxa"/>
              <w:left w:w="108" w:type="dxa"/>
              <w:bottom w:w="0" w:type="dxa"/>
              <w:right w:w="108" w:type="dxa"/>
            </w:tcMar>
            <w:vAlign w:val="center"/>
          </w:tcPr>
          <w:p w14:paraId="1AD649B4">
            <w:pPr>
              <w:jc w:val="center"/>
              <w:rPr>
                <w:highlight w:val="none"/>
                <w:shd w:val="clear" w:color="auto" w:fill="FFFF00"/>
              </w:rPr>
            </w:pPr>
            <w:r>
              <w:rPr>
                <w:rFonts w:cs="宋体"/>
                <w:color w:val="000000"/>
                <w:highlight w:val="none"/>
                <w:shd w:val="clear" w:color="auto" w:fill="FFFF00"/>
              </w:rPr>
              <w:t>2</w:t>
            </w:r>
          </w:p>
        </w:tc>
        <w:tc>
          <w:tcPr>
            <w:tcW w:w="4318" w:type="dxa"/>
            <w:tcMar>
              <w:top w:w="0" w:type="dxa"/>
              <w:left w:w="108" w:type="dxa"/>
              <w:bottom w:w="0" w:type="dxa"/>
              <w:right w:w="108" w:type="dxa"/>
            </w:tcMar>
            <w:vAlign w:val="center"/>
          </w:tcPr>
          <w:p w14:paraId="1BC8DDE1">
            <w:pPr>
              <w:jc w:val="center"/>
              <w:rPr>
                <w:highlight w:val="none"/>
                <w:shd w:val="clear" w:color="auto" w:fill="FFFF00"/>
              </w:rPr>
            </w:pPr>
            <w:r>
              <w:rPr>
                <w:rFonts w:cs="宋体"/>
                <w:color w:val="000000"/>
                <w:highlight w:val="none"/>
                <w:shd w:val="clear" w:color="auto" w:fill="FFFF00"/>
              </w:rPr>
              <w:t>背部供水</w:t>
            </w:r>
          </w:p>
        </w:tc>
        <w:tc>
          <w:tcPr>
            <w:tcW w:w="1772" w:type="dxa"/>
            <w:tcMar>
              <w:top w:w="0" w:type="dxa"/>
              <w:left w:w="108" w:type="dxa"/>
              <w:bottom w:w="0" w:type="dxa"/>
              <w:right w:w="108" w:type="dxa"/>
            </w:tcMar>
            <w:vAlign w:val="center"/>
          </w:tcPr>
          <w:p w14:paraId="1EEFA69C">
            <w:pPr>
              <w:jc w:val="center"/>
              <w:rPr>
                <w:highlight w:val="none"/>
                <w:shd w:val="clear" w:color="auto" w:fill="FFFF00"/>
              </w:rPr>
            </w:pPr>
            <w:r>
              <w:rPr>
                <w:rFonts w:cs="宋体"/>
                <w:color w:val="000000"/>
                <w:highlight w:val="none"/>
                <w:shd w:val="clear" w:color="auto" w:fill="FFFF00"/>
              </w:rPr>
              <w:t>DN350</w:t>
            </w:r>
          </w:p>
        </w:tc>
        <w:tc>
          <w:tcPr>
            <w:tcW w:w="1035" w:type="dxa"/>
            <w:tcMar>
              <w:top w:w="0" w:type="dxa"/>
              <w:left w:w="108" w:type="dxa"/>
              <w:bottom w:w="0" w:type="dxa"/>
              <w:right w:w="108" w:type="dxa"/>
            </w:tcMar>
            <w:vAlign w:val="center"/>
          </w:tcPr>
          <w:p w14:paraId="0516CD47">
            <w:pPr>
              <w:jc w:val="center"/>
              <w:rPr>
                <w:highlight w:val="none"/>
                <w:shd w:val="clear" w:color="auto" w:fill="FFFF00"/>
              </w:rPr>
            </w:pPr>
            <w:r>
              <w:rPr>
                <w:rFonts w:cs="宋体"/>
                <w:color w:val="000000"/>
                <w:highlight w:val="none"/>
                <w:shd w:val="clear" w:color="auto" w:fill="FFFF00"/>
              </w:rPr>
              <w:t>1</w:t>
            </w:r>
          </w:p>
        </w:tc>
      </w:tr>
      <w:tr w14:paraId="2D5C9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5" w:hRule="atLeast"/>
        </w:trPr>
        <w:tc>
          <w:tcPr>
            <w:tcW w:w="1035" w:type="dxa"/>
            <w:tcMar>
              <w:top w:w="0" w:type="dxa"/>
              <w:left w:w="108" w:type="dxa"/>
              <w:bottom w:w="0" w:type="dxa"/>
              <w:right w:w="108" w:type="dxa"/>
            </w:tcMar>
            <w:vAlign w:val="center"/>
          </w:tcPr>
          <w:p w14:paraId="6D205011">
            <w:pPr>
              <w:jc w:val="center"/>
              <w:rPr>
                <w:highlight w:val="none"/>
                <w:shd w:val="clear" w:color="auto" w:fill="FFFF00"/>
              </w:rPr>
            </w:pPr>
            <w:r>
              <w:rPr>
                <w:rFonts w:cs="宋体"/>
                <w:color w:val="000000"/>
                <w:highlight w:val="none"/>
                <w:shd w:val="clear" w:color="auto" w:fill="FFFF00"/>
              </w:rPr>
              <w:t>3</w:t>
            </w:r>
          </w:p>
        </w:tc>
        <w:tc>
          <w:tcPr>
            <w:tcW w:w="4318" w:type="dxa"/>
            <w:tcMar>
              <w:top w:w="0" w:type="dxa"/>
              <w:left w:w="108" w:type="dxa"/>
              <w:bottom w:w="0" w:type="dxa"/>
              <w:right w:w="108" w:type="dxa"/>
            </w:tcMar>
            <w:vAlign w:val="center"/>
          </w:tcPr>
          <w:p w14:paraId="67970C42">
            <w:pPr>
              <w:jc w:val="center"/>
              <w:rPr>
                <w:highlight w:val="none"/>
                <w:shd w:val="clear" w:color="auto" w:fill="FFFF00"/>
              </w:rPr>
            </w:pPr>
            <w:r>
              <w:rPr>
                <w:rFonts w:cs="宋体"/>
                <w:color w:val="000000"/>
                <w:highlight w:val="none"/>
                <w:shd w:val="clear" w:color="auto" w:fill="FFFF00"/>
              </w:rPr>
              <w:t>背部总回水</w:t>
            </w:r>
          </w:p>
        </w:tc>
        <w:tc>
          <w:tcPr>
            <w:tcW w:w="1772" w:type="dxa"/>
            <w:tcMar>
              <w:top w:w="0" w:type="dxa"/>
              <w:left w:w="108" w:type="dxa"/>
              <w:bottom w:w="0" w:type="dxa"/>
              <w:right w:w="108" w:type="dxa"/>
            </w:tcMar>
            <w:vAlign w:val="center"/>
          </w:tcPr>
          <w:p w14:paraId="2F2E641C">
            <w:pPr>
              <w:jc w:val="center"/>
              <w:rPr>
                <w:highlight w:val="none"/>
                <w:shd w:val="clear" w:color="auto" w:fill="FFFF00"/>
              </w:rPr>
            </w:pPr>
            <w:r>
              <w:rPr>
                <w:rFonts w:cs="宋体"/>
                <w:color w:val="000000"/>
                <w:highlight w:val="none"/>
                <w:shd w:val="clear" w:color="auto" w:fill="FFFF00"/>
              </w:rPr>
              <w:t>DN350</w:t>
            </w:r>
          </w:p>
        </w:tc>
        <w:tc>
          <w:tcPr>
            <w:tcW w:w="1035" w:type="dxa"/>
            <w:tcMar>
              <w:top w:w="0" w:type="dxa"/>
              <w:left w:w="108" w:type="dxa"/>
              <w:bottom w:w="0" w:type="dxa"/>
              <w:right w:w="108" w:type="dxa"/>
            </w:tcMar>
            <w:vAlign w:val="center"/>
          </w:tcPr>
          <w:p w14:paraId="3F89F7F7">
            <w:pPr>
              <w:jc w:val="center"/>
              <w:rPr>
                <w:highlight w:val="none"/>
                <w:shd w:val="clear" w:color="auto" w:fill="FFFF00"/>
              </w:rPr>
            </w:pPr>
            <w:r>
              <w:rPr>
                <w:rFonts w:cs="宋体"/>
                <w:color w:val="000000"/>
                <w:highlight w:val="none"/>
                <w:shd w:val="clear" w:color="auto" w:fill="FFFF00"/>
              </w:rPr>
              <w:t>1</w:t>
            </w:r>
          </w:p>
        </w:tc>
      </w:tr>
      <w:tr w14:paraId="232E9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5" w:hRule="atLeast"/>
        </w:trPr>
        <w:tc>
          <w:tcPr>
            <w:tcW w:w="1035" w:type="dxa"/>
            <w:tcMar>
              <w:top w:w="0" w:type="dxa"/>
              <w:left w:w="108" w:type="dxa"/>
              <w:bottom w:w="0" w:type="dxa"/>
              <w:right w:w="108" w:type="dxa"/>
            </w:tcMar>
            <w:vAlign w:val="center"/>
          </w:tcPr>
          <w:p w14:paraId="1DFCC68F">
            <w:pPr>
              <w:jc w:val="center"/>
              <w:rPr>
                <w:highlight w:val="none"/>
                <w:shd w:val="clear" w:color="auto" w:fill="FFFF00"/>
              </w:rPr>
            </w:pPr>
            <w:r>
              <w:rPr>
                <w:rFonts w:cs="宋体"/>
                <w:color w:val="000000"/>
                <w:highlight w:val="none"/>
                <w:shd w:val="clear" w:color="auto" w:fill="FFFF00"/>
              </w:rPr>
              <w:t>4</w:t>
            </w:r>
          </w:p>
        </w:tc>
        <w:tc>
          <w:tcPr>
            <w:tcW w:w="4318" w:type="dxa"/>
            <w:tcMar>
              <w:top w:w="0" w:type="dxa"/>
              <w:left w:w="108" w:type="dxa"/>
              <w:bottom w:w="0" w:type="dxa"/>
              <w:right w:w="108" w:type="dxa"/>
            </w:tcMar>
            <w:vAlign w:val="center"/>
          </w:tcPr>
          <w:p w14:paraId="026613D5">
            <w:pPr>
              <w:jc w:val="center"/>
              <w:rPr>
                <w:highlight w:val="none"/>
                <w:shd w:val="clear" w:color="auto" w:fill="FFFF00"/>
              </w:rPr>
            </w:pPr>
            <w:r>
              <w:rPr>
                <w:rFonts w:cs="宋体"/>
                <w:color w:val="000000"/>
                <w:highlight w:val="none"/>
                <w:shd w:val="clear" w:color="auto" w:fill="FFFF00"/>
              </w:rPr>
              <w:t>中压供水（实际为中套供水）</w:t>
            </w:r>
          </w:p>
        </w:tc>
        <w:tc>
          <w:tcPr>
            <w:tcW w:w="1772" w:type="dxa"/>
            <w:tcMar>
              <w:top w:w="0" w:type="dxa"/>
              <w:left w:w="108" w:type="dxa"/>
              <w:bottom w:w="0" w:type="dxa"/>
              <w:right w:w="108" w:type="dxa"/>
            </w:tcMar>
            <w:vAlign w:val="center"/>
          </w:tcPr>
          <w:p w14:paraId="23A34491">
            <w:pPr>
              <w:jc w:val="center"/>
              <w:rPr>
                <w:highlight w:val="none"/>
                <w:shd w:val="clear" w:color="auto" w:fill="FFFF00"/>
              </w:rPr>
            </w:pPr>
            <w:r>
              <w:rPr>
                <w:rFonts w:cs="宋体"/>
                <w:color w:val="000000"/>
                <w:highlight w:val="none"/>
                <w:shd w:val="clear" w:color="auto" w:fill="FFFF00"/>
              </w:rPr>
              <w:t>DN300</w:t>
            </w:r>
          </w:p>
        </w:tc>
        <w:tc>
          <w:tcPr>
            <w:tcW w:w="1035" w:type="dxa"/>
            <w:tcMar>
              <w:top w:w="0" w:type="dxa"/>
              <w:left w:w="108" w:type="dxa"/>
              <w:bottom w:w="0" w:type="dxa"/>
              <w:right w:w="108" w:type="dxa"/>
            </w:tcMar>
            <w:vAlign w:val="center"/>
          </w:tcPr>
          <w:p w14:paraId="7BC55C3F">
            <w:pPr>
              <w:jc w:val="center"/>
              <w:rPr>
                <w:highlight w:val="none"/>
                <w:shd w:val="clear" w:color="auto" w:fill="FFFF00"/>
              </w:rPr>
            </w:pPr>
            <w:r>
              <w:rPr>
                <w:rFonts w:cs="宋体"/>
                <w:color w:val="000000"/>
                <w:highlight w:val="none"/>
                <w:shd w:val="clear" w:color="auto" w:fill="FFFF00"/>
              </w:rPr>
              <w:t>1</w:t>
            </w:r>
          </w:p>
        </w:tc>
      </w:tr>
      <w:tr w14:paraId="3C0E1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5" w:hRule="atLeast"/>
        </w:trPr>
        <w:tc>
          <w:tcPr>
            <w:tcW w:w="1035" w:type="dxa"/>
            <w:tcMar>
              <w:top w:w="0" w:type="dxa"/>
              <w:left w:w="108" w:type="dxa"/>
              <w:bottom w:w="0" w:type="dxa"/>
              <w:right w:w="108" w:type="dxa"/>
            </w:tcMar>
            <w:vAlign w:val="center"/>
          </w:tcPr>
          <w:p w14:paraId="505547F0">
            <w:pPr>
              <w:jc w:val="center"/>
              <w:rPr>
                <w:highlight w:val="none"/>
                <w:shd w:val="clear" w:color="auto" w:fill="FFFF00"/>
              </w:rPr>
            </w:pPr>
            <w:r>
              <w:rPr>
                <w:rFonts w:cs="宋体"/>
                <w:color w:val="000000"/>
                <w:highlight w:val="none"/>
                <w:shd w:val="clear" w:color="auto" w:fill="FFFF00"/>
              </w:rPr>
              <w:t>5</w:t>
            </w:r>
          </w:p>
        </w:tc>
        <w:tc>
          <w:tcPr>
            <w:tcW w:w="4318" w:type="dxa"/>
            <w:tcMar>
              <w:top w:w="0" w:type="dxa"/>
              <w:left w:w="108" w:type="dxa"/>
              <w:bottom w:w="0" w:type="dxa"/>
              <w:right w:w="108" w:type="dxa"/>
            </w:tcMar>
            <w:vAlign w:val="center"/>
          </w:tcPr>
          <w:p w14:paraId="1E118499">
            <w:pPr>
              <w:jc w:val="center"/>
              <w:rPr>
                <w:highlight w:val="none"/>
                <w:shd w:val="clear" w:color="auto" w:fill="FFFF00"/>
              </w:rPr>
            </w:pPr>
            <w:r>
              <w:rPr>
                <w:rFonts w:cs="宋体"/>
                <w:color w:val="000000"/>
                <w:highlight w:val="none"/>
                <w:shd w:val="clear" w:color="auto" w:fill="FFFF00"/>
              </w:rPr>
              <w:t>中压回水（中套）</w:t>
            </w:r>
          </w:p>
        </w:tc>
        <w:tc>
          <w:tcPr>
            <w:tcW w:w="1772" w:type="dxa"/>
            <w:tcMar>
              <w:top w:w="0" w:type="dxa"/>
              <w:left w:w="108" w:type="dxa"/>
              <w:bottom w:w="0" w:type="dxa"/>
              <w:right w:w="108" w:type="dxa"/>
            </w:tcMar>
            <w:vAlign w:val="center"/>
          </w:tcPr>
          <w:p w14:paraId="03E9E747">
            <w:pPr>
              <w:jc w:val="center"/>
              <w:rPr>
                <w:highlight w:val="none"/>
                <w:shd w:val="clear" w:color="auto" w:fill="FFFF00"/>
              </w:rPr>
            </w:pPr>
            <w:r>
              <w:rPr>
                <w:rFonts w:cs="宋体"/>
                <w:color w:val="000000"/>
                <w:highlight w:val="none"/>
                <w:shd w:val="clear" w:color="auto" w:fill="FFFF00"/>
              </w:rPr>
              <w:t>DN300</w:t>
            </w:r>
          </w:p>
        </w:tc>
        <w:tc>
          <w:tcPr>
            <w:tcW w:w="1035" w:type="dxa"/>
            <w:tcMar>
              <w:top w:w="0" w:type="dxa"/>
              <w:left w:w="108" w:type="dxa"/>
              <w:bottom w:w="0" w:type="dxa"/>
              <w:right w:w="108" w:type="dxa"/>
            </w:tcMar>
            <w:vAlign w:val="center"/>
          </w:tcPr>
          <w:p w14:paraId="0B97CB6C">
            <w:pPr>
              <w:jc w:val="center"/>
              <w:rPr>
                <w:highlight w:val="none"/>
                <w:shd w:val="clear" w:color="auto" w:fill="FFFF00"/>
              </w:rPr>
            </w:pPr>
            <w:r>
              <w:rPr>
                <w:rFonts w:cs="宋体"/>
                <w:color w:val="000000"/>
                <w:highlight w:val="none"/>
                <w:shd w:val="clear" w:color="auto" w:fill="FFFF00"/>
              </w:rPr>
              <w:t>1</w:t>
            </w:r>
          </w:p>
        </w:tc>
      </w:tr>
      <w:tr w14:paraId="234DF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5" w:hRule="atLeast"/>
        </w:trPr>
        <w:tc>
          <w:tcPr>
            <w:tcW w:w="1035" w:type="dxa"/>
            <w:tcMar>
              <w:top w:w="0" w:type="dxa"/>
              <w:left w:w="108" w:type="dxa"/>
              <w:bottom w:w="0" w:type="dxa"/>
              <w:right w:w="108" w:type="dxa"/>
            </w:tcMar>
            <w:vAlign w:val="center"/>
          </w:tcPr>
          <w:p w14:paraId="167D77A9">
            <w:pPr>
              <w:jc w:val="center"/>
              <w:rPr>
                <w:highlight w:val="none"/>
                <w:shd w:val="clear" w:color="auto" w:fill="FFFF00"/>
              </w:rPr>
            </w:pPr>
            <w:r>
              <w:rPr>
                <w:rFonts w:cs="宋体"/>
                <w:color w:val="000000"/>
                <w:highlight w:val="none"/>
                <w:shd w:val="clear" w:color="auto" w:fill="FFFF00"/>
              </w:rPr>
              <w:t>6</w:t>
            </w:r>
          </w:p>
        </w:tc>
        <w:tc>
          <w:tcPr>
            <w:tcW w:w="4318" w:type="dxa"/>
            <w:tcMar>
              <w:top w:w="0" w:type="dxa"/>
              <w:left w:w="108" w:type="dxa"/>
              <w:bottom w:w="0" w:type="dxa"/>
              <w:right w:w="108" w:type="dxa"/>
            </w:tcMar>
            <w:vAlign w:val="center"/>
          </w:tcPr>
          <w:p w14:paraId="072D0149">
            <w:pPr>
              <w:jc w:val="center"/>
              <w:rPr>
                <w:highlight w:val="none"/>
                <w:shd w:val="clear" w:color="auto" w:fill="FFFF00"/>
              </w:rPr>
            </w:pPr>
            <w:r>
              <w:rPr>
                <w:rFonts w:cs="宋体"/>
                <w:color w:val="000000"/>
                <w:highlight w:val="none"/>
                <w:shd w:val="clear" w:color="auto" w:fill="FFFF00"/>
              </w:rPr>
              <w:t>吹管供水</w:t>
            </w:r>
          </w:p>
        </w:tc>
        <w:tc>
          <w:tcPr>
            <w:tcW w:w="1772" w:type="dxa"/>
            <w:tcMar>
              <w:top w:w="0" w:type="dxa"/>
              <w:left w:w="108" w:type="dxa"/>
              <w:bottom w:w="0" w:type="dxa"/>
              <w:right w:w="108" w:type="dxa"/>
            </w:tcMar>
            <w:vAlign w:val="center"/>
          </w:tcPr>
          <w:p w14:paraId="5DBAAC03">
            <w:pPr>
              <w:jc w:val="center"/>
              <w:rPr>
                <w:highlight w:val="none"/>
                <w:shd w:val="clear" w:color="auto" w:fill="FFFF00"/>
              </w:rPr>
            </w:pPr>
            <w:r>
              <w:rPr>
                <w:rFonts w:cs="宋体"/>
                <w:color w:val="000000"/>
                <w:highlight w:val="none"/>
                <w:shd w:val="clear" w:color="auto" w:fill="FFFF00"/>
              </w:rPr>
              <w:t>DN100</w:t>
            </w:r>
          </w:p>
        </w:tc>
        <w:tc>
          <w:tcPr>
            <w:tcW w:w="1035" w:type="dxa"/>
            <w:tcMar>
              <w:top w:w="0" w:type="dxa"/>
              <w:left w:w="108" w:type="dxa"/>
              <w:bottom w:w="0" w:type="dxa"/>
              <w:right w:w="108" w:type="dxa"/>
            </w:tcMar>
            <w:vAlign w:val="center"/>
          </w:tcPr>
          <w:p w14:paraId="4574B342">
            <w:pPr>
              <w:jc w:val="center"/>
              <w:rPr>
                <w:highlight w:val="none"/>
                <w:shd w:val="clear" w:color="auto" w:fill="FFFF00"/>
              </w:rPr>
            </w:pPr>
            <w:r>
              <w:rPr>
                <w:rFonts w:cs="宋体"/>
                <w:color w:val="000000"/>
                <w:highlight w:val="none"/>
                <w:shd w:val="clear" w:color="auto" w:fill="FFFF00"/>
              </w:rPr>
              <w:t>1</w:t>
            </w:r>
          </w:p>
        </w:tc>
      </w:tr>
      <w:tr w14:paraId="123A7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5" w:hRule="atLeast"/>
        </w:trPr>
        <w:tc>
          <w:tcPr>
            <w:tcW w:w="1035" w:type="dxa"/>
            <w:tcMar>
              <w:top w:w="0" w:type="dxa"/>
              <w:left w:w="108" w:type="dxa"/>
              <w:bottom w:w="0" w:type="dxa"/>
              <w:right w:w="108" w:type="dxa"/>
            </w:tcMar>
            <w:vAlign w:val="center"/>
          </w:tcPr>
          <w:p w14:paraId="651C349A">
            <w:pPr>
              <w:jc w:val="center"/>
              <w:rPr>
                <w:highlight w:val="none"/>
                <w:shd w:val="clear" w:color="auto" w:fill="FFFF00"/>
              </w:rPr>
            </w:pPr>
            <w:r>
              <w:rPr>
                <w:rFonts w:cs="宋体"/>
                <w:color w:val="000000"/>
                <w:highlight w:val="none"/>
                <w:shd w:val="clear" w:color="auto" w:fill="FFFF00"/>
              </w:rPr>
              <w:t>7</w:t>
            </w:r>
          </w:p>
        </w:tc>
        <w:tc>
          <w:tcPr>
            <w:tcW w:w="4318" w:type="dxa"/>
            <w:tcMar>
              <w:top w:w="0" w:type="dxa"/>
              <w:left w:w="108" w:type="dxa"/>
              <w:bottom w:w="0" w:type="dxa"/>
              <w:right w:w="108" w:type="dxa"/>
            </w:tcMar>
            <w:vAlign w:val="center"/>
          </w:tcPr>
          <w:p w14:paraId="465B701C">
            <w:pPr>
              <w:jc w:val="center"/>
              <w:rPr>
                <w:highlight w:val="none"/>
                <w:shd w:val="clear" w:color="auto" w:fill="FFFF00"/>
              </w:rPr>
            </w:pPr>
            <w:r>
              <w:rPr>
                <w:rFonts w:cs="宋体"/>
                <w:color w:val="000000"/>
                <w:highlight w:val="none"/>
                <w:shd w:val="clear" w:color="auto" w:fill="FFFF00"/>
              </w:rPr>
              <w:t>吹管回水</w:t>
            </w:r>
          </w:p>
        </w:tc>
        <w:tc>
          <w:tcPr>
            <w:tcW w:w="1772" w:type="dxa"/>
            <w:tcMar>
              <w:top w:w="0" w:type="dxa"/>
              <w:left w:w="108" w:type="dxa"/>
              <w:bottom w:w="0" w:type="dxa"/>
              <w:right w:w="108" w:type="dxa"/>
            </w:tcMar>
            <w:vAlign w:val="center"/>
          </w:tcPr>
          <w:p w14:paraId="06FE2529">
            <w:pPr>
              <w:jc w:val="center"/>
              <w:rPr>
                <w:highlight w:val="none"/>
                <w:shd w:val="clear" w:color="auto" w:fill="FFFF00"/>
              </w:rPr>
            </w:pPr>
            <w:r>
              <w:rPr>
                <w:rFonts w:cs="宋体"/>
                <w:color w:val="000000"/>
                <w:highlight w:val="none"/>
                <w:shd w:val="clear" w:color="auto" w:fill="FFFF00"/>
              </w:rPr>
              <w:t>DN100</w:t>
            </w:r>
          </w:p>
        </w:tc>
        <w:tc>
          <w:tcPr>
            <w:tcW w:w="1035" w:type="dxa"/>
            <w:tcMar>
              <w:top w:w="0" w:type="dxa"/>
              <w:left w:w="108" w:type="dxa"/>
              <w:bottom w:w="0" w:type="dxa"/>
              <w:right w:w="108" w:type="dxa"/>
            </w:tcMar>
            <w:vAlign w:val="center"/>
          </w:tcPr>
          <w:p w14:paraId="7192D969">
            <w:pPr>
              <w:jc w:val="center"/>
              <w:rPr>
                <w:highlight w:val="none"/>
                <w:shd w:val="clear" w:color="auto" w:fill="FFFF00"/>
              </w:rPr>
            </w:pPr>
            <w:r>
              <w:rPr>
                <w:rFonts w:cs="宋体"/>
                <w:color w:val="000000"/>
                <w:highlight w:val="none"/>
                <w:shd w:val="clear" w:color="auto" w:fill="FFFF00"/>
              </w:rPr>
              <w:t>1</w:t>
            </w:r>
          </w:p>
        </w:tc>
      </w:tr>
      <w:tr w14:paraId="2AC7D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5" w:hRule="atLeast"/>
        </w:trPr>
        <w:tc>
          <w:tcPr>
            <w:tcW w:w="1035" w:type="dxa"/>
            <w:tcMar>
              <w:top w:w="0" w:type="dxa"/>
              <w:left w:w="108" w:type="dxa"/>
              <w:bottom w:w="0" w:type="dxa"/>
              <w:right w:w="108" w:type="dxa"/>
            </w:tcMar>
            <w:vAlign w:val="center"/>
          </w:tcPr>
          <w:p w14:paraId="08000F11">
            <w:pPr>
              <w:jc w:val="center"/>
              <w:rPr>
                <w:highlight w:val="none"/>
                <w:shd w:val="clear" w:color="auto" w:fill="FFFF00"/>
              </w:rPr>
            </w:pPr>
            <w:r>
              <w:rPr>
                <w:rFonts w:cs="宋体"/>
                <w:color w:val="000000"/>
                <w:highlight w:val="none"/>
                <w:shd w:val="clear" w:color="auto" w:fill="FFFF00"/>
              </w:rPr>
              <w:t>8</w:t>
            </w:r>
          </w:p>
        </w:tc>
        <w:tc>
          <w:tcPr>
            <w:tcW w:w="4318" w:type="dxa"/>
            <w:tcMar>
              <w:top w:w="0" w:type="dxa"/>
              <w:left w:w="108" w:type="dxa"/>
              <w:bottom w:w="0" w:type="dxa"/>
              <w:right w:w="108" w:type="dxa"/>
            </w:tcMar>
            <w:vAlign w:val="center"/>
          </w:tcPr>
          <w:p w14:paraId="27636195">
            <w:pPr>
              <w:jc w:val="center"/>
              <w:rPr>
                <w:highlight w:val="none"/>
                <w:shd w:val="clear" w:color="auto" w:fill="FFFF00"/>
              </w:rPr>
            </w:pPr>
            <w:r>
              <w:rPr>
                <w:rFonts w:cs="宋体"/>
                <w:color w:val="000000"/>
                <w:highlight w:val="none"/>
                <w:shd w:val="clear" w:color="auto" w:fill="FFFF00"/>
              </w:rPr>
              <w:t>净化循环水供水</w:t>
            </w:r>
          </w:p>
        </w:tc>
        <w:tc>
          <w:tcPr>
            <w:tcW w:w="1772" w:type="dxa"/>
            <w:tcMar>
              <w:top w:w="0" w:type="dxa"/>
              <w:left w:w="108" w:type="dxa"/>
              <w:bottom w:w="0" w:type="dxa"/>
              <w:right w:w="108" w:type="dxa"/>
            </w:tcMar>
            <w:vAlign w:val="center"/>
          </w:tcPr>
          <w:p w14:paraId="1DD9CF00">
            <w:pPr>
              <w:jc w:val="center"/>
              <w:rPr>
                <w:highlight w:val="none"/>
                <w:shd w:val="clear" w:color="auto" w:fill="FFFF00"/>
              </w:rPr>
            </w:pPr>
            <w:r>
              <w:rPr>
                <w:rFonts w:cs="宋体"/>
                <w:color w:val="000000"/>
                <w:highlight w:val="none"/>
                <w:shd w:val="clear" w:color="auto" w:fill="FFFF00"/>
              </w:rPr>
              <w:t>DN150</w:t>
            </w:r>
          </w:p>
        </w:tc>
        <w:tc>
          <w:tcPr>
            <w:tcW w:w="1035" w:type="dxa"/>
            <w:tcMar>
              <w:top w:w="0" w:type="dxa"/>
              <w:left w:w="108" w:type="dxa"/>
              <w:bottom w:w="0" w:type="dxa"/>
              <w:right w:w="108" w:type="dxa"/>
            </w:tcMar>
            <w:vAlign w:val="center"/>
          </w:tcPr>
          <w:p w14:paraId="04B69B93">
            <w:pPr>
              <w:jc w:val="center"/>
              <w:rPr>
                <w:highlight w:val="none"/>
                <w:shd w:val="clear" w:color="auto" w:fill="FFFF00"/>
              </w:rPr>
            </w:pPr>
            <w:r>
              <w:rPr>
                <w:rFonts w:cs="宋体"/>
                <w:color w:val="000000"/>
                <w:highlight w:val="none"/>
                <w:shd w:val="clear" w:color="auto" w:fill="FFFF00"/>
              </w:rPr>
              <w:t>1</w:t>
            </w:r>
          </w:p>
        </w:tc>
      </w:tr>
      <w:tr w14:paraId="520B7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5" w:hRule="atLeast"/>
        </w:trPr>
        <w:tc>
          <w:tcPr>
            <w:tcW w:w="1035" w:type="dxa"/>
            <w:tcMar>
              <w:top w:w="0" w:type="dxa"/>
              <w:left w:w="108" w:type="dxa"/>
              <w:bottom w:w="0" w:type="dxa"/>
              <w:right w:w="108" w:type="dxa"/>
            </w:tcMar>
            <w:vAlign w:val="center"/>
          </w:tcPr>
          <w:p w14:paraId="53E7C61B">
            <w:pPr>
              <w:jc w:val="center"/>
              <w:rPr>
                <w:highlight w:val="none"/>
                <w:shd w:val="clear" w:color="auto" w:fill="FFFF00"/>
              </w:rPr>
            </w:pPr>
            <w:r>
              <w:rPr>
                <w:rFonts w:cs="宋体"/>
                <w:color w:val="000000"/>
                <w:highlight w:val="none"/>
                <w:shd w:val="clear" w:color="auto" w:fill="FFFF00"/>
              </w:rPr>
              <w:t>9</w:t>
            </w:r>
          </w:p>
        </w:tc>
        <w:tc>
          <w:tcPr>
            <w:tcW w:w="4318" w:type="dxa"/>
            <w:tcMar>
              <w:top w:w="0" w:type="dxa"/>
              <w:left w:w="108" w:type="dxa"/>
              <w:bottom w:w="0" w:type="dxa"/>
              <w:right w:w="108" w:type="dxa"/>
            </w:tcMar>
            <w:vAlign w:val="center"/>
          </w:tcPr>
          <w:p w14:paraId="2AD2146B">
            <w:pPr>
              <w:jc w:val="center"/>
              <w:rPr>
                <w:highlight w:val="none"/>
                <w:shd w:val="clear" w:color="auto" w:fill="FFFF00"/>
              </w:rPr>
            </w:pPr>
            <w:r>
              <w:rPr>
                <w:rFonts w:cs="宋体"/>
                <w:color w:val="000000"/>
                <w:highlight w:val="none"/>
                <w:shd w:val="clear" w:color="auto" w:fill="FFFF00"/>
              </w:rPr>
              <w:t>中高压总回水</w:t>
            </w:r>
          </w:p>
        </w:tc>
        <w:tc>
          <w:tcPr>
            <w:tcW w:w="1772" w:type="dxa"/>
            <w:tcMar>
              <w:top w:w="0" w:type="dxa"/>
              <w:left w:w="108" w:type="dxa"/>
              <w:bottom w:w="0" w:type="dxa"/>
              <w:right w:w="108" w:type="dxa"/>
            </w:tcMar>
            <w:vAlign w:val="center"/>
          </w:tcPr>
          <w:p w14:paraId="5A29689B">
            <w:pPr>
              <w:jc w:val="center"/>
              <w:rPr>
                <w:highlight w:val="none"/>
                <w:shd w:val="clear" w:color="auto" w:fill="FFFF00"/>
              </w:rPr>
            </w:pPr>
            <w:r>
              <w:rPr>
                <w:rFonts w:cs="宋体"/>
                <w:color w:val="000000"/>
                <w:highlight w:val="none"/>
                <w:shd w:val="clear" w:color="auto" w:fill="FFFF00"/>
              </w:rPr>
              <w:t>DN600</w:t>
            </w:r>
          </w:p>
        </w:tc>
        <w:tc>
          <w:tcPr>
            <w:tcW w:w="1035" w:type="dxa"/>
            <w:tcMar>
              <w:top w:w="0" w:type="dxa"/>
              <w:left w:w="108" w:type="dxa"/>
              <w:bottom w:w="0" w:type="dxa"/>
              <w:right w:w="108" w:type="dxa"/>
            </w:tcMar>
            <w:vAlign w:val="center"/>
          </w:tcPr>
          <w:p w14:paraId="34CB4DD7">
            <w:pPr>
              <w:jc w:val="center"/>
              <w:rPr>
                <w:highlight w:val="none"/>
                <w:shd w:val="clear" w:color="auto" w:fill="FFFF00"/>
              </w:rPr>
            </w:pPr>
            <w:r>
              <w:rPr>
                <w:rFonts w:cs="宋体"/>
                <w:color w:val="000000"/>
                <w:highlight w:val="none"/>
                <w:shd w:val="clear" w:color="auto" w:fill="FFFF00"/>
              </w:rPr>
              <w:t>1</w:t>
            </w:r>
          </w:p>
        </w:tc>
      </w:tr>
      <w:tr w14:paraId="3CCC2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5" w:hRule="atLeast"/>
        </w:trPr>
        <w:tc>
          <w:tcPr>
            <w:tcW w:w="1035" w:type="dxa"/>
            <w:tcMar>
              <w:top w:w="0" w:type="dxa"/>
              <w:left w:w="108" w:type="dxa"/>
              <w:bottom w:w="0" w:type="dxa"/>
              <w:right w:w="108" w:type="dxa"/>
            </w:tcMar>
            <w:vAlign w:val="center"/>
          </w:tcPr>
          <w:p w14:paraId="6CB2ACA4">
            <w:pPr>
              <w:jc w:val="center"/>
              <w:rPr>
                <w:highlight w:val="none"/>
                <w:shd w:val="clear" w:color="auto" w:fill="FFFF00"/>
              </w:rPr>
            </w:pPr>
            <w:r>
              <w:rPr>
                <w:rFonts w:cs="宋体"/>
                <w:color w:val="000000"/>
                <w:highlight w:val="none"/>
                <w:shd w:val="clear" w:color="auto" w:fill="FFFF00"/>
              </w:rPr>
              <w:t>10</w:t>
            </w:r>
          </w:p>
        </w:tc>
        <w:tc>
          <w:tcPr>
            <w:tcW w:w="4318" w:type="dxa"/>
            <w:tcMar>
              <w:top w:w="0" w:type="dxa"/>
              <w:left w:w="108" w:type="dxa"/>
              <w:bottom w:w="0" w:type="dxa"/>
              <w:right w:w="108" w:type="dxa"/>
            </w:tcMar>
            <w:vAlign w:val="center"/>
          </w:tcPr>
          <w:p w14:paraId="02440C36">
            <w:pPr>
              <w:jc w:val="center"/>
              <w:rPr>
                <w:highlight w:val="none"/>
                <w:shd w:val="clear" w:color="auto" w:fill="FFFF00"/>
              </w:rPr>
            </w:pPr>
            <w:r>
              <w:rPr>
                <w:rFonts w:cs="宋体"/>
                <w:color w:val="000000"/>
                <w:highlight w:val="none"/>
                <w:shd w:val="clear" w:color="auto" w:fill="FFFF00"/>
              </w:rPr>
              <w:t>冷却壁总回水</w:t>
            </w:r>
          </w:p>
        </w:tc>
        <w:tc>
          <w:tcPr>
            <w:tcW w:w="1772" w:type="dxa"/>
            <w:tcMar>
              <w:top w:w="0" w:type="dxa"/>
              <w:left w:w="108" w:type="dxa"/>
              <w:bottom w:w="0" w:type="dxa"/>
              <w:right w:w="108" w:type="dxa"/>
            </w:tcMar>
            <w:vAlign w:val="center"/>
          </w:tcPr>
          <w:p w14:paraId="2E9B8D64">
            <w:pPr>
              <w:jc w:val="center"/>
              <w:rPr>
                <w:highlight w:val="none"/>
                <w:shd w:val="clear" w:color="auto" w:fill="FFFF00"/>
              </w:rPr>
            </w:pPr>
            <w:r>
              <w:rPr>
                <w:rFonts w:cs="宋体"/>
                <w:color w:val="000000"/>
                <w:highlight w:val="none"/>
                <w:shd w:val="clear" w:color="auto" w:fill="FFFF00"/>
              </w:rPr>
              <w:t>DN500</w:t>
            </w:r>
          </w:p>
        </w:tc>
        <w:tc>
          <w:tcPr>
            <w:tcW w:w="1035" w:type="dxa"/>
            <w:tcMar>
              <w:top w:w="0" w:type="dxa"/>
              <w:left w:w="108" w:type="dxa"/>
              <w:bottom w:w="0" w:type="dxa"/>
              <w:right w:w="108" w:type="dxa"/>
            </w:tcMar>
            <w:vAlign w:val="center"/>
          </w:tcPr>
          <w:p w14:paraId="250FDA4F">
            <w:pPr>
              <w:jc w:val="center"/>
              <w:rPr>
                <w:highlight w:val="none"/>
                <w:shd w:val="clear" w:color="auto" w:fill="FFFF00"/>
              </w:rPr>
            </w:pPr>
            <w:r>
              <w:rPr>
                <w:rFonts w:cs="宋体"/>
                <w:color w:val="000000"/>
                <w:highlight w:val="none"/>
                <w:shd w:val="clear" w:color="auto" w:fill="FFFF00"/>
              </w:rPr>
              <w:t>1</w:t>
            </w:r>
          </w:p>
        </w:tc>
      </w:tr>
      <w:tr w14:paraId="32E3E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5" w:hRule="atLeast"/>
        </w:trPr>
        <w:tc>
          <w:tcPr>
            <w:tcW w:w="1035" w:type="dxa"/>
            <w:tcMar>
              <w:top w:w="0" w:type="dxa"/>
              <w:left w:w="108" w:type="dxa"/>
              <w:bottom w:w="0" w:type="dxa"/>
              <w:right w:w="108" w:type="dxa"/>
            </w:tcMar>
            <w:vAlign w:val="center"/>
          </w:tcPr>
          <w:p w14:paraId="6C322920">
            <w:pPr>
              <w:jc w:val="center"/>
              <w:rPr>
                <w:highlight w:val="none"/>
                <w:shd w:val="clear" w:color="auto" w:fill="FFFF00"/>
              </w:rPr>
            </w:pPr>
            <w:r>
              <w:rPr>
                <w:rFonts w:cs="宋体"/>
                <w:color w:val="000000"/>
                <w:highlight w:val="none"/>
                <w:shd w:val="clear" w:color="auto" w:fill="FFFF00"/>
              </w:rPr>
              <w:t>11</w:t>
            </w:r>
          </w:p>
        </w:tc>
        <w:tc>
          <w:tcPr>
            <w:tcW w:w="4318" w:type="dxa"/>
            <w:tcMar>
              <w:top w:w="0" w:type="dxa"/>
              <w:left w:w="108" w:type="dxa"/>
              <w:bottom w:w="0" w:type="dxa"/>
              <w:right w:w="108" w:type="dxa"/>
            </w:tcMar>
            <w:vAlign w:val="center"/>
          </w:tcPr>
          <w:p w14:paraId="3BC2C80B">
            <w:pPr>
              <w:jc w:val="center"/>
              <w:rPr>
                <w:highlight w:val="none"/>
                <w:shd w:val="clear" w:color="auto" w:fill="FFFF00"/>
              </w:rPr>
            </w:pPr>
            <w:r>
              <w:rPr>
                <w:rFonts w:cs="宋体"/>
                <w:color w:val="000000"/>
                <w:highlight w:val="none"/>
                <w:shd w:val="clear" w:color="auto" w:fill="FFFF00"/>
              </w:rPr>
              <w:t>一级回水</w:t>
            </w:r>
          </w:p>
        </w:tc>
        <w:tc>
          <w:tcPr>
            <w:tcW w:w="1772" w:type="dxa"/>
            <w:tcMar>
              <w:top w:w="0" w:type="dxa"/>
              <w:left w:w="108" w:type="dxa"/>
              <w:bottom w:w="0" w:type="dxa"/>
              <w:right w:w="108" w:type="dxa"/>
            </w:tcMar>
            <w:vAlign w:val="center"/>
          </w:tcPr>
          <w:p w14:paraId="4B280651">
            <w:pPr>
              <w:jc w:val="center"/>
              <w:rPr>
                <w:highlight w:val="none"/>
                <w:shd w:val="clear" w:color="auto" w:fill="FFFF00"/>
              </w:rPr>
            </w:pPr>
            <w:r>
              <w:rPr>
                <w:rFonts w:cs="宋体"/>
                <w:color w:val="000000"/>
                <w:highlight w:val="none"/>
                <w:shd w:val="clear" w:color="auto" w:fill="FFFF00"/>
              </w:rPr>
              <w:t>DN600</w:t>
            </w:r>
          </w:p>
        </w:tc>
        <w:tc>
          <w:tcPr>
            <w:tcW w:w="1035" w:type="dxa"/>
            <w:tcMar>
              <w:top w:w="0" w:type="dxa"/>
              <w:left w:w="108" w:type="dxa"/>
              <w:bottom w:w="0" w:type="dxa"/>
              <w:right w:w="108" w:type="dxa"/>
            </w:tcMar>
            <w:vAlign w:val="center"/>
          </w:tcPr>
          <w:p w14:paraId="371EE7EE">
            <w:pPr>
              <w:jc w:val="center"/>
              <w:rPr>
                <w:highlight w:val="none"/>
                <w:shd w:val="clear" w:color="auto" w:fill="FFFF00"/>
              </w:rPr>
            </w:pPr>
            <w:r>
              <w:rPr>
                <w:rFonts w:cs="宋体"/>
                <w:color w:val="000000"/>
                <w:highlight w:val="none"/>
                <w:shd w:val="clear" w:color="auto" w:fill="FFFF00"/>
              </w:rPr>
              <w:t>1</w:t>
            </w:r>
          </w:p>
        </w:tc>
      </w:tr>
      <w:tr w14:paraId="36681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5" w:hRule="atLeast"/>
        </w:trPr>
        <w:tc>
          <w:tcPr>
            <w:tcW w:w="1035" w:type="dxa"/>
            <w:tcMar>
              <w:top w:w="0" w:type="dxa"/>
              <w:left w:w="108" w:type="dxa"/>
              <w:bottom w:w="0" w:type="dxa"/>
              <w:right w:w="108" w:type="dxa"/>
            </w:tcMar>
            <w:vAlign w:val="center"/>
          </w:tcPr>
          <w:p w14:paraId="73384966">
            <w:pPr>
              <w:jc w:val="center"/>
              <w:rPr>
                <w:highlight w:val="none"/>
                <w:shd w:val="clear" w:color="auto" w:fill="FFFF00"/>
              </w:rPr>
            </w:pPr>
            <w:r>
              <w:rPr>
                <w:rFonts w:cs="宋体"/>
                <w:color w:val="000000"/>
                <w:highlight w:val="none"/>
                <w:shd w:val="clear" w:color="auto" w:fill="FFFF00"/>
              </w:rPr>
              <w:t>12</w:t>
            </w:r>
          </w:p>
        </w:tc>
        <w:tc>
          <w:tcPr>
            <w:tcW w:w="4318" w:type="dxa"/>
            <w:tcMar>
              <w:top w:w="0" w:type="dxa"/>
              <w:left w:w="108" w:type="dxa"/>
              <w:bottom w:w="0" w:type="dxa"/>
              <w:right w:w="108" w:type="dxa"/>
            </w:tcMar>
            <w:vAlign w:val="center"/>
          </w:tcPr>
          <w:p w14:paraId="3058BCFE">
            <w:pPr>
              <w:jc w:val="center"/>
              <w:rPr>
                <w:highlight w:val="none"/>
                <w:shd w:val="clear" w:color="auto" w:fill="FFFF00"/>
              </w:rPr>
            </w:pPr>
            <w:r>
              <w:rPr>
                <w:rFonts w:cs="宋体"/>
                <w:color w:val="000000"/>
                <w:highlight w:val="none"/>
                <w:shd w:val="clear" w:color="auto" w:fill="FFFF00"/>
              </w:rPr>
              <w:t>背部集水管</w:t>
            </w:r>
          </w:p>
        </w:tc>
        <w:tc>
          <w:tcPr>
            <w:tcW w:w="1772" w:type="dxa"/>
            <w:tcMar>
              <w:top w:w="0" w:type="dxa"/>
              <w:left w:w="108" w:type="dxa"/>
              <w:bottom w:w="0" w:type="dxa"/>
              <w:right w:w="108" w:type="dxa"/>
            </w:tcMar>
            <w:vAlign w:val="center"/>
          </w:tcPr>
          <w:p w14:paraId="1C7610F1">
            <w:pPr>
              <w:jc w:val="center"/>
              <w:rPr>
                <w:highlight w:val="none"/>
                <w:shd w:val="clear" w:color="auto" w:fill="FFFF00"/>
              </w:rPr>
            </w:pPr>
            <w:r>
              <w:rPr>
                <w:rFonts w:cs="宋体"/>
                <w:color w:val="000000"/>
                <w:highlight w:val="none"/>
                <w:shd w:val="clear" w:color="auto" w:fill="FFFF00"/>
              </w:rPr>
              <w:t>DN200</w:t>
            </w:r>
          </w:p>
        </w:tc>
        <w:tc>
          <w:tcPr>
            <w:tcW w:w="1035" w:type="dxa"/>
            <w:tcMar>
              <w:top w:w="0" w:type="dxa"/>
              <w:left w:w="108" w:type="dxa"/>
              <w:bottom w:w="0" w:type="dxa"/>
              <w:right w:w="108" w:type="dxa"/>
            </w:tcMar>
            <w:vAlign w:val="center"/>
          </w:tcPr>
          <w:p w14:paraId="1EDF586D">
            <w:pPr>
              <w:jc w:val="center"/>
              <w:rPr>
                <w:highlight w:val="none"/>
                <w:shd w:val="clear" w:color="auto" w:fill="FFFF00"/>
              </w:rPr>
            </w:pPr>
            <w:r>
              <w:rPr>
                <w:rFonts w:cs="宋体"/>
                <w:color w:val="000000"/>
                <w:highlight w:val="none"/>
                <w:shd w:val="clear" w:color="auto" w:fill="FFFF00"/>
              </w:rPr>
              <w:t>4</w:t>
            </w:r>
          </w:p>
        </w:tc>
      </w:tr>
      <w:tr w14:paraId="02A16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5" w:hRule="atLeast"/>
        </w:trPr>
        <w:tc>
          <w:tcPr>
            <w:tcW w:w="1035" w:type="dxa"/>
            <w:tcMar>
              <w:top w:w="0" w:type="dxa"/>
              <w:left w:w="108" w:type="dxa"/>
              <w:bottom w:w="0" w:type="dxa"/>
              <w:right w:w="108" w:type="dxa"/>
            </w:tcMar>
            <w:vAlign w:val="center"/>
          </w:tcPr>
          <w:p w14:paraId="707456FA">
            <w:pPr>
              <w:jc w:val="center"/>
              <w:rPr>
                <w:highlight w:val="none"/>
                <w:shd w:val="clear" w:color="auto" w:fill="FFFF00"/>
              </w:rPr>
            </w:pPr>
            <w:r>
              <w:rPr>
                <w:rFonts w:cs="宋体"/>
                <w:color w:val="000000"/>
                <w:highlight w:val="none"/>
                <w:shd w:val="clear" w:color="auto" w:fill="FFFF00"/>
              </w:rPr>
              <w:t>13</w:t>
            </w:r>
          </w:p>
        </w:tc>
        <w:tc>
          <w:tcPr>
            <w:tcW w:w="4318" w:type="dxa"/>
            <w:tcMar>
              <w:top w:w="0" w:type="dxa"/>
              <w:left w:w="108" w:type="dxa"/>
              <w:bottom w:w="0" w:type="dxa"/>
              <w:right w:w="108" w:type="dxa"/>
            </w:tcMar>
            <w:vAlign w:val="center"/>
          </w:tcPr>
          <w:p w14:paraId="2E5025B0">
            <w:pPr>
              <w:jc w:val="center"/>
              <w:rPr>
                <w:highlight w:val="none"/>
                <w:shd w:val="clear" w:color="auto" w:fill="FFFF00"/>
              </w:rPr>
            </w:pPr>
            <w:r>
              <w:rPr>
                <w:rFonts w:cs="宋体"/>
                <w:color w:val="000000"/>
                <w:highlight w:val="none"/>
                <w:shd w:val="clear" w:color="auto" w:fill="FFFF00"/>
              </w:rPr>
              <w:t>冷却壁集水管</w:t>
            </w:r>
          </w:p>
        </w:tc>
        <w:tc>
          <w:tcPr>
            <w:tcW w:w="1772" w:type="dxa"/>
            <w:tcMar>
              <w:top w:w="0" w:type="dxa"/>
              <w:left w:w="108" w:type="dxa"/>
              <w:bottom w:w="0" w:type="dxa"/>
              <w:right w:w="108" w:type="dxa"/>
            </w:tcMar>
            <w:vAlign w:val="center"/>
          </w:tcPr>
          <w:p w14:paraId="75543B6C">
            <w:pPr>
              <w:jc w:val="center"/>
              <w:rPr>
                <w:highlight w:val="none"/>
                <w:shd w:val="clear" w:color="auto" w:fill="FFFF00"/>
              </w:rPr>
            </w:pPr>
            <w:r>
              <w:rPr>
                <w:rFonts w:cs="宋体"/>
                <w:color w:val="000000"/>
                <w:highlight w:val="none"/>
                <w:shd w:val="clear" w:color="auto" w:fill="FFFF00"/>
              </w:rPr>
              <w:t>DN200</w:t>
            </w:r>
          </w:p>
        </w:tc>
        <w:tc>
          <w:tcPr>
            <w:tcW w:w="1035" w:type="dxa"/>
            <w:tcMar>
              <w:top w:w="0" w:type="dxa"/>
              <w:left w:w="108" w:type="dxa"/>
              <w:bottom w:w="0" w:type="dxa"/>
              <w:right w:w="108" w:type="dxa"/>
            </w:tcMar>
            <w:vAlign w:val="center"/>
          </w:tcPr>
          <w:p w14:paraId="6D0362DA">
            <w:pPr>
              <w:jc w:val="center"/>
              <w:rPr>
                <w:highlight w:val="none"/>
                <w:shd w:val="clear" w:color="auto" w:fill="FFFF00"/>
              </w:rPr>
            </w:pPr>
            <w:r>
              <w:rPr>
                <w:rFonts w:cs="宋体"/>
                <w:color w:val="000000"/>
                <w:highlight w:val="none"/>
                <w:shd w:val="clear" w:color="auto" w:fill="FFFF00"/>
              </w:rPr>
              <w:t>16</w:t>
            </w:r>
          </w:p>
        </w:tc>
      </w:tr>
      <w:tr w14:paraId="347AD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5" w:hRule="atLeast"/>
        </w:trPr>
        <w:tc>
          <w:tcPr>
            <w:tcW w:w="1035" w:type="dxa"/>
            <w:tcMar>
              <w:top w:w="0" w:type="dxa"/>
              <w:left w:w="108" w:type="dxa"/>
              <w:bottom w:w="0" w:type="dxa"/>
              <w:right w:w="108" w:type="dxa"/>
            </w:tcMar>
            <w:vAlign w:val="center"/>
          </w:tcPr>
          <w:p w14:paraId="4C3F77E3">
            <w:pPr>
              <w:jc w:val="center"/>
              <w:rPr>
                <w:highlight w:val="none"/>
                <w:shd w:val="clear" w:color="auto" w:fill="FFFF00"/>
              </w:rPr>
            </w:pPr>
            <w:r>
              <w:rPr>
                <w:rFonts w:cs="宋体"/>
                <w:color w:val="000000"/>
                <w:highlight w:val="none"/>
                <w:shd w:val="clear" w:color="auto" w:fill="FFFF00"/>
              </w:rPr>
              <w:t>14</w:t>
            </w:r>
          </w:p>
        </w:tc>
        <w:tc>
          <w:tcPr>
            <w:tcW w:w="4318" w:type="dxa"/>
            <w:tcMar>
              <w:top w:w="0" w:type="dxa"/>
              <w:left w:w="108" w:type="dxa"/>
              <w:bottom w:w="0" w:type="dxa"/>
              <w:right w:w="108" w:type="dxa"/>
            </w:tcMar>
            <w:vAlign w:val="center"/>
          </w:tcPr>
          <w:p w14:paraId="10574B34">
            <w:pPr>
              <w:jc w:val="center"/>
              <w:rPr>
                <w:highlight w:val="none"/>
                <w:shd w:val="clear" w:color="auto" w:fill="FFFF00"/>
              </w:rPr>
            </w:pPr>
            <w:r>
              <w:rPr>
                <w:rFonts w:cs="宋体"/>
                <w:color w:val="000000"/>
                <w:highlight w:val="none"/>
                <w:shd w:val="clear" w:color="auto" w:fill="FFFF00"/>
              </w:rPr>
              <w:t>冷却壁支管</w:t>
            </w:r>
          </w:p>
        </w:tc>
        <w:tc>
          <w:tcPr>
            <w:tcW w:w="1772" w:type="dxa"/>
            <w:tcMar>
              <w:top w:w="0" w:type="dxa"/>
              <w:left w:w="108" w:type="dxa"/>
              <w:bottom w:w="0" w:type="dxa"/>
              <w:right w:w="108" w:type="dxa"/>
            </w:tcMar>
            <w:vAlign w:val="center"/>
          </w:tcPr>
          <w:p w14:paraId="741E5E5B">
            <w:pPr>
              <w:jc w:val="center"/>
              <w:rPr>
                <w:highlight w:val="none"/>
                <w:shd w:val="clear" w:color="auto" w:fill="FFFF00"/>
              </w:rPr>
            </w:pPr>
            <w:r>
              <w:rPr>
                <w:rFonts w:cs="宋体"/>
                <w:color w:val="000000"/>
                <w:highlight w:val="none"/>
                <w:shd w:val="clear" w:color="auto" w:fill="FFFF00"/>
              </w:rPr>
              <w:t>DN65</w:t>
            </w:r>
          </w:p>
        </w:tc>
        <w:tc>
          <w:tcPr>
            <w:tcW w:w="1035" w:type="dxa"/>
            <w:tcMar>
              <w:top w:w="0" w:type="dxa"/>
              <w:left w:w="108" w:type="dxa"/>
              <w:bottom w:w="0" w:type="dxa"/>
              <w:right w:w="108" w:type="dxa"/>
            </w:tcMar>
            <w:vAlign w:val="center"/>
          </w:tcPr>
          <w:p w14:paraId="6A21A97C">
            <w:pPr>
              <w:jc w:val="center"/>
              <w:rPr>
                <w:highlight w:val="none"/>
                <w:shd w:val="clear" w:color="auto" w:fill="FFFF00"/>
              </w:rPr>
            </w:pPr>
            <w:r>
              <w:rPr>
                <w:rFonts w:cs="宋体"/>
                <w:color w:val="000000"/>
                <w:highlight w:val="none"/>
                <w:shd w:val="clear" w:color="auto" w:fill="FFFF00"/>
              </w:rPr>
              <w:t>8</w:t>
            </w:r>
          </w:p>
        </w:tc>
      </w:tr>
      <w:tr w14:paraId="4D44C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5" w:hRule="atLeast"/>
        </w:trPr>
        <w:tc>
          <w:tcPr>
            <w:tcW w:w="1035" w:type="dxa"/>
            <w:tcMar>
              <w:top w:w="0" w:type="dxa"/>
              <w:left w:w="108" w:type="dxa"/>
              <w:bottom w:w="0" w:type="dxa"/>
              <w:right w:w="108" w:type="dxa"/>
            </w:tcMar>
            <w:vAlign w:val="center"/>
          </w:tcPr>
          <w:p w14:paraId="3607290E">
            <w:pPr>
              <w:jc w:val="center"/>
              <w:rPr>
                <w:highlight w:val="none"/>
                <w:shd w:val="clear" w:color="auto" w:fill="FFFF00"/>
              </w:rPr>
            </w:pPr>
            <w:r>
              <w:rPr>
                <w:rFonts w:cs="宋体"/>
                <w:color w:val="000000"/>
                <w:highlight w:val="none"/>
                <w:shd w:val="clear" w:color="auto" w:fill="FFFF00"/>
              </w:rPr>
              <w:t>15</w:t>
            </w:r>
          </w:p>
        </w:tc>
        <w:tc>
          <w:tcPr>
            <w:tcW w:w="4318" w:type="dxa"/>
            <w:tcMar>
              <w:top w:w="0" w:type="dxa"/>
              <w:left w:w="108" w:type="dxa"/>
              <w:bottom w:w="0" w:type="dxa"/>
              <w:right w:w="108" w:type="dxa"/>
            </w:tcMar>
            <w:vAlign w:val="center"/>
          </w:tcPr>
          <w:p w14:paraId="4412CDC7">
            <w:pPr>
              <w:jc w:val="center"/>
              <w:rPr>
                <w:highlight w:val="none"/>
                <w:shd w:val="clear" w:color="auto" w:fill="FFFF00"/>
              </w:rPr>
            </w:pPr>
            <w:r>
              <w:rPr>
                <w:rFonts w:cs="宋体"/>
                <w:color w:val="000000"/>
                <w:highlight w:val="none"/>
                <w:shd w:val="clear" w:color="auto" w:fill="FFFF00"/>
              </w:rPr>
              <w:t>炉顶打水</w:t>
            </w:r>
          </w:p>
        </w:tc>
        <w:tc>
          <w:tcPr>
            <w:tcW w:w="1772" w:type="dxa"/>
            <w:tcMar>
              <w:top w:w="0" w:type="dxa"/>
              <w:left w:w="108" w:type="dxa"/>
              <w:bottom w:w="0" w:type="dxa"/>
              <w:right w:w="108" w:type="dxa"/>
            </w:tcMar>
            <w:vAlign w:val="center"/>
          </w:tcPr>
          <w:p w14:paraId="13759A01">
            <w:pPr>
              <w:jc w:val="center"/>
              <w:rPr>
                <w:highlight w:val="none"/>
                <w:shd w:val="clear" w:color="auto" w:fill="FFFF00"/>
              </w:rPr>
            </w:pPr>
            <w:r>
              <w:rPr>
                <w:rFonts w:cs="宋体"/>
                <w:color w:val="000000"/>
                <w:highlight w:val="none"/>
                <w:shd w:val="clear" w:color="auto" w:fill="FFFF00"/>
              </w:rPr>
              <w:t>DN125</w:t>
            </w:r>
          </w:p>
        </w:tc>
        <w:tc>
          <w:tcPr>
            <w:tcW w:w="1035" w:type="dxa"/>
            <w:tcMar>
              <w:top w:w="0" w:type="dxa"/>
              <w:left w:w="108" w:type="dxa"/>
              <w:bottom w:w="0" w:type="dxa"/>
              <w:right w:w="108" w:type="dxa"/>
            </w:tcMar>
            <w:vAlign w:val="center"/>
          </w:tcPr>
          <w:p w14:paraId="53BBF23A">
            <w:pPr>
              <w:jc w:val="center"/>
              <w:rPr>
                <w:highlight w:val="none"/>
                <w:shd w:val="clear" w:color="auto" w:fill="FFFF00"/>
              </w:rPr>
            </w:pPr>
            <w:r>
              <w:rPr>
                <w:rFonts w:cs="宋体"/>
                <w:color w:val="000000"/>
                <w:highlight w:val="none"/>
                <w:shd w:val="clear" w:color="auto" w:fill="FFFF00"/>
              </w:rPr>
              <w:t>1</w:t>
            </w:r>
          </w:p>
        </w:tc>
      </w:tr>
    </w:tbl>
    <w:p w14:paraId="3A31EEAD">
      <w:pPr>
        <w:snapToGrid w:val="0"/>
        <w:spacing w:line="348" w:lineRule="auto"/>
        <w:ind w:firstLine="560" w:firstLineChars="0"/>
        <w:jc w:val="both"/>
        <w:rPr>
          <w:highlight w:val="none"/>
        </w:rPr>
      </w:pPr>
    </w:p>
    <w:p w14:paraId="13296F21">
      <w:pPr>
        <w:snapToGrid w:val="0"/>
        <w:spacing w:line="348" w:lineRule="auto"/>
        <w:ind w:firstLine="560" w:firstLineChars="0"/>
        <w:jc w:val="both"/>
        <w:rPr>
          <w:rFonts w:ascii="Times New Roman" w:hAnsi="Times New Roman" w:cs="Times New Roman"/>
          <w:snapToGrid w:val="0"/>
          <w:highlight w:val="none"/>
        </w:rPr>
      </w:pPr>
      <w:r>
        <w:rPr>
          <w:rFonts w:ascii="Times New Roman" w:hAnsi="Times New Roman" w:cs="Times New Roman"/>
          <w:snapToGrid w:val="0"/>
          <w:highlight w:val="none"/>
        </w:rPr>
        <w:t>5）炉体静压力检测</w:t>
      </w:r>
    </w:p>
    <w:p w14:paraId="03BAD440">
      <w:pPr>
        <w:snapToGrid w:val="0"/>
        <w:spacing w:line="348" w:lineRule="auto"/>
        <w:ind w:firstLine="560" w:firstLineChars="0"/>
        <w:jc w:val="both"/>
        <w:rPr>
          <w:rFonts w:ascii="Times New Roman" w:hAnsi="Times New Roman" w:cs="Times New Roman"/>
          <w:snapToGrid w:val="0"/>
          <w:highlight w:val="none"/>
        </w:rPr>
      </w:pPr>
      <w:r>
        <w:rPr>
          <w:rFonts w:ascii="Times New Roman" w:hAnsi="Times New Roman" w:cs="Times New Roman"/>
          <w:snapToGrid w:val="0"/>
          <w:highlight w:val="none"/>
        </w:rPr>
        <w:t>在炉腹、炉腰和炉身设置3层炉内压力测点，用于了解炉内阻损，每层4点，共计12点</w:t>
      </w:r>
      <w:r>
        <w:rPr>
          <w:rFonts w:hint="eastAsia" w:ascii="Times New Roman" w:hAnsi="Times New Roman" w:cs="Times New Roman"/>
          <w:snapToGrid w:val="0"/>
          <w:highlight w:val="none"/>
        </w:rPr>
        <w:t>，炉体静压力检测装置全部利旧。</w:t>
      </w:r>
    </w:p>
    <w:p w14:paraId="7B0463CE">
      <w:pPr>
        <w:snapToGrid w:val="0"/>
        <w:spacing w:line="348" w:lineRule="auto"/>
        <w:ind w:firstLine="560" w:firstLineChars="0"/>
        <w:jc w:val="both"/>
        <w:rPr>
          <w:rFonts w:ascii="Times New Roman" w:hAnsi="Times New Roman" w:cs="Times New Roman"/>
          <w:snapToGrid w:val="0"/>
          <w:highlight w:val="none"/>
        </w:rPr>
      </w:pPr>
      <w:r>
        <w:rPr>
          <w:rFonts w:ascii="Times New Roman" w:hAnsi="Times New Roman" w:cs="Times New Roman"/>
          <w:snapToGrid w:val="0"/>
          <w:highlight w:val="none"/>
        </w:rPr>
        <w:t>6）其它检测</w:t>
      </w:r>
    </w:p>
    <w:p w14:paraId="0397B4CB">
      <w:pPr>
        <w:snapToGrid w:val="0"/>
        <w:spacing w:line="348" w:lineRule="auto"/>
        <w:ind w:firstLine="560" w:firstLineChars="0"/>
        <w:jc w:val="both"/>
        <w:rPr>
          <w:rFonts w:ascii="Times New Roman" w:hAnsi="Times New Roman" w:cs="Times New Roman"/>
          <w:snapToGrid w:val="0"/>
          <w:highlight w:val="none"/>
        </w:rPr>
      </w:pPr>
      <w:r>
        <w:rPr>
          <w:rFonts w:ascii="Times New Roman" w:hAnsi="Times New Roman" w:cs="Times New Roman"/>
          <w:snapToGrid w:val="0"/>
          <w:highlight w:val="none"/>
        </w:rPr>
        <w:t>高炉炉顶煤气封板处设1台红外热成像仪，用于观察炉顶料面煤气发展情况和布料溜槽工作情况</w:t>
      </w:r>
      <w:r>
        <w:rPr>
          <w:rFonts w:hint="eastAsia" w:ascii="Times New Roman" w:hAnsi="Times New Roman" w:cs="Times New Roman"/>
          <w:snapToGrid w:val="0"/>
          <w:highlight w:val="none"/>
        </w:rPr>
        <w:t>及布料料面情况</w:t>
      </w:r>
      <w:r>
        <w:rPr>
          <w:rFonts w:ascii="Times New Roman" w:hAnsi="Times New Roman" w:cs="Times New Roman"/>
          <w:snapToGrid w:val="0"/>
          <w:highlight w:val="none"/>
        </w:rPr>
        <w:t>，通过图象处理技术显示炉顶料面温度</w:t>
      </w:r>
      <w:r>
        <w:rPr>
          <w:rFonts w:hint="eastAsia" w:ascii="Times New Roman" w:hAnsi="Times New Roman" w:cs="Times New Roman"/>
          <w:snapToGrid w:val="0"/>
          <w:highlight w:val="none"/>
        </w:rPr>
        <w:t>和料面形状</w:t>
      </w:r>
      <w:r>
        <w:rPr>
          <w:rFonts w:ascii="Times New Roman" w:hAnsi="Times New Roman" w:cs="Times New Roman"/>
          <w:snapToGrid w:val="0"/>
          <w:highlight w:val="none"/>
        </w:rPr>
        <w:t>。红外热成像仪</w:t>
      </w:r>
      <w:r>
        <w:rPr>
          <w:rFonts w:hint="eastAsia" w:ascii="Times New Roman" w:hAnsi="Times New Roman" w:cs="Times New Roman"/>
          <w:snapToGrid w:val="0"/>
          <w:highlight w:val="none"/>
        </w:rPr>
        <w:t>按利旧考虑。</w:t>
      </w:r>
      <w:r>
        <w:rPr>
          <w:rFonts w:hint="eastAsia" w:ascii="Times New Roman"/>
          <w:highlight w:val="none"/>
        </w:rPr>
        <w:t>本系统其它现场仪表利旧。</w:t>
      </w:r>
    </w:p>
    <w:p w14:paraId="1FFA7A85">
      <w:pPr>
        <w:snapToGrid w:val="0"/>
        <w:spacing w:line="348" w:lineRule="auto"/>
        <w:ind w:firstLine="560" w:firstLineChars="0"/>
        <w:jc w:val="both"/>
        <w:rPr>
          <w:rFonts w:ascii="Times New Roman" w:hAnsi="Times New Roman" w:cs="Times New Roman"/>
          <w:snapToGrid w:val="0"/>
          <w:highlight w:val="none"/>
        </w:rPr>
      </w:pPr>
      <w:r>
        <w:rPr>
          <w:rFonts w:ascii="Times New Roman" w:hAnsi="Times New Roman" w:cs="Times New Roman"/>
          <w:snapToGrid w:val="0"/>
          <w:highlight w:val="none"/>
        </w:rPr>
        <w:t>炉体</w:t>
      </w:r>
      <w:r>
        <w:rPr>
          <w:rFonts w:hint="eastAsia" w:ascii="Times New Roman" w:hAnsi="Times New Roman" w:cs="Times New Roman"/>
          <w:snapToGrid w:val="0"/>
          <w:highlight w:val="none"/>
        </w:rPr>
        <w:t>各</w:t>
      </w:r>
      <w:r>
        <w:rPr>
          <w:rFonts w:ascii="Times New Roman" w:hAnsi="Times New Roman" w:cs="Times New Roman"/>
          <w:snapToGrid w:val="0"/>
          <w:highlight w:val="none"/>
        </w:rPr>
        <w:t>层平台</w:t>
      </w:r>
      <w:r>
        <w:rPr>
          <w:rFonts w:hint="eastAsia" w:ascii="Times New Roman" w:hAnsi="Times New Roman" w:cs="Times New Roman"/>
          <w:snapToGrid w:val="0"/>
          <w:highlight w:val="none"/>
        </w:rPr>
        <w:t>原</w:t>
      </w:r>
      <w:r>
        <w:rPr>
          <w:rFonts w:ascii="Times New Roman" w:hAnsi="Times New Roman" w:cs="Times New Roman"/>
          <w:snapToGrid w:val="0"/>
          <w:highlight w:val="none"/>
        </w:rPr>
        <w:t>设置</w:t>
      </w:r>
      <w:r>
        <w:rPr>
          <w:rFonts w:hint="eastAsia" w:ascii="Times New Roman" w:hAnsi="Times New Roman" w:cs="Times New Roman"/>
          <w:snapToGrid w:val="0"/>
          <w:highlight w:val="none"/>
        </w:rPr>
        <w:t>的</w:t>
      </w:r>
      <w:r>
        <w:rPr>
          <w:rFonts w:ascii="Times New Roman" w:hAnsi="Times New Roman" w:cs="Times New Roman"/>
          <w:snapToGrid w:val="0"/>
          <w:highlight w:val="none"/>
        </w:rPr>
        <w:t>一氧化碳报警仪，声光报警</w:t>
      </w:r>
      <w:r>
        <w:rPr>
          <w:rFonts w:hint="eastAsia" w:ascii="Times New Roman" w:hAnsi="Times New Roman" w:cs="Times New Roman"/>
          <w:snapToGrid w:val="0"/>
          <w:highlight w:val="none"/>
        </w:rPr>
        <w:t>均按利旧考虑</w:t>
      </w:r>
      <w:r>
        <w:rPr>
          <w:rFonts w:ascii="Times New Roman" w:hAnsi="Times New Roman" w:cs="Times New Roman"/>
          <w:snapToGrid w:val="0"/>
          <w:highlight w:val="none"/>
        </w:rPr>
        <w:t>。</w:t>
      </w:r>
    </w:p>
    <w:p w14:paraId="56492836">
      <w:pPr>
        <w:snapToGrid w:val="0"/>
        <w:spacing w:line="348" w:lineRule="auto"/>
        <w:ind w:firstLine="560" w:firstLineChars="0"/>
        <w:jc w:val="both"/>
        <w:rPr>
          <w:rFonts w:ascii="Times New Roman" w:hAnsi="Times New Roman" w:cs="Times New Roman"/>
          <w:snapToGrid w:val="0"/>
          <w:highlight w:val="none"/>
        </w:rPr>
      </w:pPr>
      <w:r>
        <w:rPr>
          <w:rFonts w:hint="eastAsia" w:ascii="Times New Roman" w:hAnsi="Times New Roman" w:cs="Times New Roman"/>
          <w:snapToGrid w:val="0"/>
          <w:highlight w:val="none"/>
        </w:rPr>
        <w:t>用于观察风口区域工作状况的风口成像系统利旧，由于风口数量变化，增加2套风口成像设施。</w:t>
      </w:r>
    </w:p>
    <w:p w14:paraId="51E45DB8">
      <w:pPr>
        <w:ind w:firstLine="0" w:firstLineChars="0"/>
        <w:outlineLvl w:val="2"/>
        <w:rPr>
          <w:rFonts w:cs="Times New Roman"/>
          <w:szCs w:val="28"/>
          <w:highlight w:val="none"/>
        </w:rPr>
      </w:pPr>
      <w:bookmarkStart w:id="308" w:name="_Toc523907667"/>
      <w:bookmarkStart w:id="309" w:name="_Toc30091"/>
      <w:bookmarkStart w:id="310" w:name="_Toc13499"/>
      <w:r>
        <w:rPr>
          <w:rFonts w:hint="eastAsia" w:cs="Times New Roman"/>
          <w:szCs w:val="28"/>
          <w:highlight w:val="none"/>
        </w:rPr>
        <w:t>2.6.8炉体耐火材料主要指标</w:t>
      </w:r>
      <w:bookmarkEnd w:id="308"/>
      <w:bookmarkEnd w:id="309"/>
      <w:bookmarkEnd w:id="310"/>
    </w:p>
    <w:p w14:paraId="41981B25">
      <w:pPr>
        <w:numPr>
          <w:ilvl w:val="0"/>
          <w:numId w:val="16"/>
        </w:numPr>
        <w:ind w:left="480" w:leftChars="0" w:firstLine="0" w:firstLineChars="0"/>
        <w:rPr>
          <w:highlight w:val="none"/>
        </w:rPr>
      </w:pPr>
      <w:bookmarkStart w:id="311" w:name="_Toc16769"/>
      <w:r>
        <w:rPr>
          <w:highlight w:val="none"/>
        </w:rPr>
        <w:t>国产微孔炭砖</w:t>
      </w:r>
      <w:bookmarkEnd w:id="311"/>
    </w:p>
    <w:tbl>
      <w:tblPr>
        <w:tblStyle w:val="6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108" w:type="dxa"/>
          <w:bottom w:w="57" w:type="dxa"/>
          <w:right w:w="108" w:type="dxa"/>
        </w:tblCellMar>
      </w:tblPr>
      <w:tblGrid>
        <w:gridCol w:w="1730"/>
        <w:gridCol w:w="1491"/>
        <w:gridCol w:w="2730"/>
        <w:gridCol w:w="2568"/>
      </w:tblGrid>
      <w:tr w14:paraId="097271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315" w:hRule="atLeast"/>
          <w:tblHeader/>
        </w:trPr>
        <w:tc>
          <w:tcPr>
            <w:tcW w:w="3221" w:type="dxa"/>
            <w:gridSpan w:val="2"/>
            <w:vAlign w:val="center"/>
          </w:tcPr>
          <w:p w14:paraId="7A7DA2E2">
            <w:pPr>
              <w:widowControl/>
              <w:spacing w:line="240" w:lineRule="auto"/>
              <w:ind w:firstLine="0" w:firstLineChars="0"/>
              <w:jc w:val="center"/>
              <w:rPr>
                <w:rFonts w:ascii="Times New Roman"/>
                <w:kern w:val="0"/>
                <w:sz w:val="21"/>
                <w:szCs w:val="21"/>
                <w:highlight w:val="none"/>
              </w:rPr>
            </w:pPr>
            <w:r>
              <w:rPr>
                <w:rFonts w:ascii="Times New Roman"/>
                <w:kern w:val="0"/>
                <w:sz w:val="21"/>
                <w:szCs w:val="21"/>
                <w:highlight w:val="none"/>
              </w:rPr>
              <w:t>项目</w:t>
            </w:r>
          </w:p>
        </w:tc>
        <w:tc>
          <w:tcPr>
            <w:tcW w:w="2730" w:type="dxa"/>
            <w:vAlign w:val="center"/>
          </w:tcPr>
          <w:p w14:paraId="1795A2AE">
            <w:pPr>
              <w:widowControl/>
              <w:spacing w:line="240" w:lineRule="auto"/>
              <w:ind w:firstLine="0" w:firstLineChars="0"/>
              <w:jc w:val="center"/>
              <w:rPr>
                <w:rFonts w:ascii="Times New Roman"/>
                <w:kern w:val="0"/>
                <w:sz w:val="21"/>
                <w:szCs w:val="21"/>
                <w:highlight w:val="none"/>
              </w:rPr>
            </w:pPr>
            <w:r>
              <w:rPr>
                <w:rFonts w:ascii="Times New Roman"/>
                <w:kern w:val="0"/>
                <w:sz w:val="21"/>
                <w:szCs w:val="21"/>
                <w:highlight w:val="none"/>
              </w:rPr>
              <w:t>单位</w:t>
            </w:r>
          </w:p>
        </w:tc>
        <w:tc>
          <w:tcPr>
            <w:tcW w:w="2568" w:type="dxa"/>
            <w:vAlign w:val="center"/>
          </w:tcPr>
          <w:p w14:paraId="683DEECA">
            <w:pPr>
              <w:widowControl/>
              <w:spacing w:line="240" w:lineRule="auto"/>
              <w:ind w:firstLine="0" w:firstLineChars="0"/>
              <w:jc w:val="center"/>
              <w:rPr>
                <w:rFonts w:ascii="Times New Roman"/>
                <w:kern w:val="0"/>
                <w:sz w:val="21"/>
                <w:szCs w:val="21"/>
                <w:highlight w:val="none"/>
              </w:rPr>
            </w:pPr>
            <w:r>
              <w:rPr>
                <w:rFonts w:ascii="Times New Roman"/>
                <w:kern w:val="0"/>
                <w:sz w:val="21"/>
                <w:szCs w:val="21"/>
                <w:highlight w:val="none"/>
              </w:rPr>
              <w:t>指标</w:t>
            </w:r>
          </w:p>
        </w:tc>
      </w:tr>
      <w:tr w14:paraId="107B76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315" w:hRule="atLeast"/>
        </w:trPr>
        <w:tc>
          <w:tcPr>
            <w:tcW w:w="3221" w:type="dxa"/>
            <w:gridSpan w:val="2"/>
            <w:vAlign w:val="center"/>
          </w:tcPr>
          <w:p w14:paraId="29277A73">
            <w:pPr>
              <w:widowControl/>
              <w:spacing w:line="240" w:lineRule="auto"/>
              <w:ind w:firstLine="0" w:firstLineChars="0"/>
              <w:rPr>
                <w:rFonts w:ascii="Times New Roman"/>
                <w:kern w:val="0"/>
                <w:sz w:val="21"/>
                <w:szCs w:val="21"/>
                <w:highlight w:val="none"/>
              </w:rPr>
            </w:pPr>
            <w:r>
              <w:rPr>
                <w:rFonts w:ascii="Times New Roman"/>
                <w:kern w:val="0"/>
                <w:sz w:val="21"/>
                <w:szCs w:val="21"/>
                <w:highlight w:val="none"/>
              </w:rPr>
              <w:t>体积密度</w:t>
            </w:r>
          </w:p>
        </w:tc>
        <w:tc>
          <w:tcPr>
            <w:tcW w:w="2730" w:type="dxa"/>
            <w:vAlign w:val="center"/>
          </w:tcPr>
          <w:p w14:paraId="1F9D324D">
            <w:pPr>
              <w:widowControl/>
              <w:spacing w:line="240" w:lineRule="auto"/>
              <w:ind w:firstLine="0" w:firstLineChars="0"/>
              <w:jc w:val="center"/>
              <w:rPr>
                <w:rFonts w:ascii="Times New Roman"/>
                <w:kern w:val="0"/>
                <w:sz w:val="21"/>
                <w:szCs w:val="21"/>
                <w:highlight w:val="none"/>
              </w:rPr>
            </w:pPr>
            <w:r>
              <w:rPr>
                <w:rFonts w:ascii="Times New Roman"/>
                <w:kern w:val="0"/>
                <w:sz w:val="21"/>
                <w:szCs w:val="21"/>
                <w:highlight w:val="none"/>
              </w:rPr>
              <w:t>g/cm</w:t>
            </w:r>
            <w:r>
              <w:rPr>
                <w:rFonts w:ascii="Times New Roman"/>
                <w:kern w:val="0"/>
                <w:sz w:val="21"/>
                <w:szCs w:val="21"/>
                <w:highlight w:val="none"/>
                <w:vertAlign w:val="superscript"/>
              </w:rPr>
              <w:t>3</w:t>
            </w:r>
          </w:p>
        </w:tc>
        <w:tc>
          <w:tcPr>
            <w:tcW w:w="2568" w:type="dxa"/>
            <w:vAlign w:val="center"/>
          </w:tcPr>
          <w:p w14:paraId="6C4BD499">
            <w:pPr>
              <w:widowControl/>
              <w:spacing w:line="240" w:lineRule="auto"/>
              <w:ind w:firstLine="0" w:firstLineChars="0"/>
              <w:jc w:val="center"/>
              <w:rPr>
                <w:rFonts w:ascii="Times New Roman"/>
                <w:kern w:val="0"/>
                <w:sz w:val="21"/>
                <w:szCs w:val="21"/>
                <w:highlight w:val="none"/>
              </w:rPr>
            </w:pPr>
            <w:r>
              <w:rPr>
                <w:rFonts w:ascii="Times New Roman"/>
                <w:kern w:val="0"/>
                <w:sz w:val="21"/>
                <w:szCs w:val="21"/>
                <w:highlight w:val="none"/>
              </w:rPr>
              <w:t>≥</w:t>
            </w:r>
            <w:r>
              <w:rPr>
                <w:rFonts w:hint="eastAsia" w:ascii="Times New Roman"/>
                <w:kern w:val="0"/>
                <w:sz w:val="21"/>
                <w:szCs w:val="21"/>
                <w:highlight w:val="none"/>
              </w:rPr>
              <w:t>1.65</w:t>
            </w:r>
          </w:p>
        </w:tc>
      </w:tr>
      <w:tr w14:paraId="1267C7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315" w:hRule="atLeast"/>
        </w:trPr>
        <w:tc>
          <w:tcPr>
            <w:tcW w:w="3221" w:type="dxa"/>
            <w:gridSpan w:val="2"/>
            <w:vAlign w:val="center"/>
          </w:tcPr>
          <w:p w14:paraId="1CD3E505">
            <w:pPr>
              <w:widowControl/>
              <w:spacing w:line="240" w:lineRule="auto"/>
              <w:ind w:firstLine="0" w:firstLineChars="0"/>
              <w:rPr>
                <w:rFonts w:ascii="Times New Roman"/>
                <w:kern w:val="0"/>
                <w:sz w:val="21"/>
                <w:szCs w:val="21"/>
                <w:highlight w:val="none"/>
              </w:rPr>
            </w:pPr>
            <w:r>
              <w:rPr>
                <w:rFonts w:ascii="Times New Roman"/>
                <w:kern w:val="0"/>
                <w:sz w:val="21"/>
                <w:szCs w:val="21"/>
                <w:highlight w:val="none"/>
              </w:rPr>
              <w:t>显气孔率</w:t>
            </w:r>
          </w:p>
        </w:tc>
        <w:tc>
          <w:tcPr>
            <w:tcW w:w="2730" w:type="dxa"/>
            <w:vAlign w:val="center"/>
          </w:tcPr>
          <w:p w14:paraId="7DDB9037">
            <w:pPr>
              <w:widowControl/>
              <w:spacing w:line="240" w:lineRule="auto"/>
              <w:ind w:firstLine="0" w:firstLineChars="0"/>
              <w:jc w:val="center"/>
              <w:rPr>
                <w:rFonts w:ascii="Times New Roman"/>
                <w:kern w:val="0"/>
                <w:sz w:val="21"/>
                <w:szCs w:val="21"/>
                <w:highlight w:val="none"/>
              </w:rPr>
            </w:pPr>
            <w:r>
              <w:rPr>
                <w:rFonts w:ascii="Times New Roman"/>
                <w:kern w:val="0"/>
                <w:sz w:val="21"/>
                <w:szCs w:val="21"/>
                <w:highlight w:val="none"/>
              </w:rPr>
              <w:t>%</w:t>
            </w:r>
          </w:p>
        </w:tc>
        <w:tc>
          <w:tcPr>
            <w:tcW w:w="2568" w:type="dxa"/>
            <w:vAlign w:val="center"/>
          </w:tcPr>
          <w:p w14:paraId="7FFC72A8">
            <w:pPr>
              <w:widowControl/>
              <w:spacing w:line="240" w:lineRule="auto"/>
              <w:ind w:firstLine="0" w:firstLineChars="0"/>
              <w:jc w:val="center"/>
              <w:rPr>
                <w:rFonts w:ascii="Times New Roman"/>
                <w:kern w:val="0"/>
                <w:sz w:val="21"/>
                <w:szCs w:val="21"/>
                <w:highlight w:val="none"/>
              </w:rPr>
            </w:pPr>
            <w:r>
              <w:rPr>
                <w:rFonts w:ascii="Times New Roman"/>
                <w:kern w:val="0"/>
                <w:sz w:val="21"/>
                <w:szCs w:val="21"/>
                <w:highlight w:val="none"/>
              </w:rPr>
              <w:t>≤16</w:t>
            </w:r>
          </w:p>
        </w:tc>
      </w:tr>
      <w:tr w14:paraId="1CBA6E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315" w:hRule="atLeast"/>
        </w:trPr>
        <w:tc>
          <w:tcPr>
            <w:tcW w:w="3221" w:type="dxa"/>
            <w:gridSpan w:val="2"/>
            <w:vAlign w:val="center"/>
          </w:tcPr>
          <w:p w14:paraId="7A3953B5">
            <w:pPr>
              <w:widowControl/>
              <w:spacing w:line="240" w:lineRule="auto"/>
              <w:ind w:firstLine="0" w:firstLineChars="0"/>
              <w:rPr>
                <w:rFonts w:ascii="Times New Roman"/>
                <w:kern w:val="0"/>
                <w:sz w:val="21"/>
                <w:szCs w:val="21"/>
                <w:highlight w:val="none"/>
              </w:rPr>
            </w:pPr>
            <w:r>
              <w:rPr>
                <w:rFonts w:ascii="Times New Roman"/>
                <w:kern w:val="0"/>
                <w:sz w:val="21"/>
                <w:szCs w:val="21"/>
                <w:highlight w:val="none"/>
              </w:rPr>
              <w:t>耐压强度</w:t>
            </w:r>
          </w:p>
        </w:tc>
        <w:tc>
          <w:tcPr>
            <w:tcW w:w="2730" w:type="dxa"/>
            <w:vAlign w:val="center"/>
          </w:tcPr>
          <w:p w14:paraId="0A3252BE">
            <w:pPr>
              <w:widowControl/>
              <w:spacing w:line="240" w:lineRule="auto"/>
              <w:ind w:firstLine="0" w:firstLineChars="0"/>
              <w:jc w:val="center"/>
              <w:rPr>
                <w:rFonts w:ascii="Times New Roman"/>
                <w:kern w:val="0"/>
                <w:sz w:val="21"/>
                <w:szCs w:val="21"/>
                <w:highlight w:val="none"/>
              </w:rPr>
            </w:pPr>
            <w:r>
              <w:rPr>
                <w:rFonts w:ascii="Times New Roman"/>
                <w:kern w:val="0"/>
                <w:sz w:val="21"/>
                <w:szCs w:val="21"/>
                <w:highlight w:val="none"/>
              </w:rPr>
              <w:t>MPa</w:t>
            </w:r>
          </w:p>
        </w:tc>
        <w:tc>
          <w:tcPr>
            <w:tcW w:w="2568" w:type="dxa"/>
            <w:vAlign w:val="center"/>
          </w:tcPr>
          <w:p w14:paraId="019BF3A8">
            <w:pPr>
              <w:widowControl/>
              <w:spacing w:line="240" w:lineRule="auto"/>
              <w:ind w:firstLine="0" w:firstLineChars="0"/>
              <w:jc w:val="center"/>
              <w:rPr>
                <w:rFonts w:ascii="Times New Roman"/>
                <w:kern w:val="0"/>
                <w:sz w:val="21"/>
                <w:szCs w:val="21"/>
                <w:highlight w:val="none"/>
              </w:rPr>
            </w:pPr>
            <w:r>
              <w:rPr>
                <w:rFonts w:ascii="Times New Roman"/>
                <w:kern w:val="0"/>
                <w:sz w:val="21"/>
                <w:szCs w:val="21"/>
                <w:highlight w:val="none"/>
              </w:rPr>
              <w:t>≥</w:t>
            </w:r>
            <w:r>
              <w:rPr>
                <w:rFonts w:hint="eastAsia" w:ascii="Times New Roman"/>
                <w:kern w:val="0"/>
                <w:sz w:val="21"/>
                <w:szCs w:val="21"/>
                <w:highlight w:val="none"/>
              </w:rPr>
              <w:t>42</w:t>
            </w:r>
          </w:p>
        </w:tc>
      </w:tr>
      <w:tr w14:paraId="405172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315" w:hRule="atLeast"/>
        </w:trPr>
        <w:tc>
          <w:tcPr>
            <w:tcW w:w="3221" w:type="dxa"/>
            <w:gridSpan w:val="2"/>
            <w:vAlign w:val="center"/>
          </w:tcPr>
          <w:p w14:paraId="3C3B6B53">
            <w:pPr>
              <w:widowControl/>
              <w:spacing w:line="240" w:lineRule="auto"/>
              <w:ind w:firstLine="0" w:firstLineChars="0"/>
              <w:rPr>
                <w:rFonts w:ascii="Times New Roman"/>
                <w:kern w:val="0"/>
                <w:sz w:val="21"/>
                <w:szCs w:val="21"/>
                <w:highlight w:val="none"/>
              </w:rPr>
            </w:pPr>
            <w:r>
              <w:rPr>
                <w:rFonts w:ascii="Times New Roman"/>
                <w:kern w:val="0"/>
                <w:sz w:val="21"/>
                <w:szCs w:val="21"/>
                <w:highlight w:val="none"/>
              </w:rPr>
              <w:t>透气性</w:t>
            </w:r>
          </w:p>
        </w:tc>
        <w:tc>
          <w:tcPr>
            <w:tcW w:w="2730" w:type="dxa"/>
            <w:vAlign w:val="center"/>
          </w:tcPr>
          <w:p w14:paraId="5E981C83">
            <w:pPr>
              <w:widowControl/>
              <w:spacing w:line="240" w:lineRule="auto"/>
              <w:ind w:firstLine="0" w:firstLineChars="0"/>
              <w:jc w:val="center"/>
              <w:rPr>
                <w:rFonts w:ascii="Times New Roman"/>
                <w:kern w:val="0"/>
                <w:sz w:val="21"/>
                <w:szCs w:val="21"/>
                <w:highlight w:val="none"/>
              </w:rPr>
            </w:pPr>
            <w:r>
              <w:rPr>
                <w:rFonts w:ascii="Times New Roman"/>
                <w:kern w:val="0"/>
                <w:sz w:val="21"/>
                <w:szCs w:val="21"/>
                <w:highlight w:val="none"/>
              </w:rPr>
              <w:t>mDa</w:t>
            </w:r>
          </w:p>
        </w:tc>
        <w:tc>
          <w:tcPr>
            <w:tcW w:w="2568" w:type="dxa"/>
            <w:vAlign w:val="center"/>
          </w:tcPr>
          <w:p w14:paraId="442B082D">
            <w:pPr>
              <w:widowControl/>
              <w:spacing w:line="240" w:lineRule="auto"/>
              <w:ind w:firstLine="0" w:firstLineChars="0"/>
              <w:jc w:val="center"/>
              <w:rPr>
                <w:rFonts w:ascii="Times New Roman"/>
                <w:kern w:val="0"/>
                <w:sz w:val="21"/>
                <w:szCs w:val="21"/>
                <w:highlight w:val="none"/>
              </w:rPr>
            </w:pPr>
            <w:r>
              <w:rPr>
                <w:rFonts w:ascii="Times New Roman"/>
                <w:kern w:val="0"/>
                <w:sz w:val="21"/>
                <w:szCs w:val="21"/>
                <w:highlight w:val="none"/>
              </w:rPr>
              <w:t>≤9</w:t>
            </w:r>
          </w:p>
        </w:tc>
      </w:tr>
      <w:tr w14:paraId="638358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315" w:hRule="atLeast"/>
        </w:trPr>
        <w:tc>
          <w:tcPr>
            <w:tcW w:w="3221" w:type="dxa"/>
            <w:gridSpan w:val="2"/>
            <w:vAlign w:val="center"/>
          </w:tcPr>
          <w:p w14:paraId="69AD3842">
            <w:pPr>
              <w:widowControl/>
              <w:spacing w:line="240" w:lineRule="auto"/>
              <w:ind w:firstLine="0" w:firstLineChars="0"/>
              <w:rPr>
                <w:rFonts w:ascii="Times New Roman"/>
                <w:kern w:val="0"/>
                <w:sz w:val="21"/>
                <w:szCs w:val="21"/>
                <w:highlight w:val="none"/>
              </w:rPr>
            </w:pPr>
            <w:r>
              <w:rPr>
                <w:rFonts w:ascii="Times New Roman"/>
                <w:kern w:val="0"/>
                <w:sz w:val="21"/>
                <w:szCs w:val="21"/>
                <w:highlight w:val="none"/>
              </w:rPr>
              <w:t>平均孔半径</w:t>
            </w:r>
          </w:p>
        </w:tc>
        <w:tc>
          <w:tcPr>
            <w:tcW w:w="2730" w:type="dxa"/>
            <w:vAlign w:val="center"/>
          </w:tcPr>
          <w:p w14:paraId="54C1F2A9">
            <w:pPr>
              <w:widowControl/>
              <w:spacing w:line="240" w:lineRule="auto"/>
              <w:ind w:firstLine="0" w:firstLineChars="0"/>
              <w:jc w:val="center"/>
              <w:rPr>
                <w:rFonts w:ascii="Times New Roman"/>
                <w:kern w:val="0"/>
                <w:sz w:val="21"/>
                <w:szCs w:val="21"/>
                <w:highlight w:val="none"/>
              </w:rPr>
            </w:pPr>
            <w:r>
              <w:rPr>
                <w:rFonts w:ascii="Times New Roman"/>
                <w:kern w:val="0"/>
                <w:sz w:val="21"/>
                <w:szCs w:val="21"/>
                <w:highlight w:val="none"/>
              </w:rPr>
              <w:t>μm</w:t>
            </w:r>
          </w:p>
        </w:tc>
        <w:tc>
          <w:tcPr>
            <w:tcW w:w="2568" w:type="dxa"/>
            <w:vAlign w:val="center"/>
          </w:tcPr>
          <w:p w14:paraId="37449682">
            <w:pPr>
              <w:widowControl/>
              <w:spacing w:line="240" w:lineRule="auto"/>
              <w:ind w:firstLine="0" w:firstLineChars="0"/>
              <w:jc w:val="center"/>
              <w:rPr>
                <w:rFonts w:ascii="Times New Roman"/>
                <w:kern w:val="0"/>
                <w:sz w:val="21"/>
                <w:szCs w:val="21"/>
                <w:highlight w:val="none"/>
              </w:rPr>
            </w:pPr>
            <w:r>
              <w:rPr>
                <w:rFonts w:ascii="Times New Roman"/>
                <w:kern w:val="0"/>
                <w:sz w:val="21"/>
                <w:szCs w:val="21"/>
                <w:highlight w:val="none"/>
              </w:rPr>
              <w:t>0.5</w:t>
            </w:r>
          </w:p>
        </w:tc>
      </w:tr>
      <w:tr w14:paraId="41B8A3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315" w:hRule="atLeast"/>
        </w:trPr>
        <w:tc>
          <w:tcPr>
            <w:tcW w:w="3221" w:type="dxa"/>
            <w:gridSpan w:val="2"/>
            <w:vAlign w:val="center"/>
          </w:tcPr>
          <w:p w14:paraId="1F0E5A1B">
            <w:pPr>
              <w:widowControl/>
              <w:spacing w:line="240" w:lineRule="auto"/>
              <w:ind w:firstLine="0" w:firstLineChars="0"/>
              <w:rPr>
                <w:rFonts w:ascii="Times New Roman"/>
                <w:kern w:val="0"/>
                <w:sz w:val="21"/>
                <w:szCs w:val="21"/>
                <w:highlight w:val="none"/>
              </w:rPr>
            </w:pPr>
            <w:r>
              <w:rPr>
                <w:rFonts w:ascii="Times New Roman"/>
                <w:kern w:val="0"/>
                <w:sz w:val="21"/>
                <w:szCs w:val="21"/>
                <w:highlight w:val="none"/>
              </w:rPr>
              <w:t>≤1μm孔容积</w:t>
            </w:r>
          </w:p>
        </w:tc>
        <w:tc>
          <w:tcPr>
            <w:tcW w:w="2730" w:type="dxa"/>
            <w:vAlign w:val="center"/>
          </w:tcPr>
          <w:p w14:paraId="5A434CE2">
            <w:pPr>
              <w:widowControl/>
              <w:spacing w:line="240" w:lineRule="auto"/>
              <w:ind w:firstLine="0" w:firstLineChars="0"/>
              <w:jc w:val="center"/>
              <w:rPr>
                <w:rFonts w:ascii="Times New Roman"/>
                <w:kern w:val="0"/>
                <w:sz w:val="21"/>
                <w:szCs w:val="21"/>
                <w:highlight w:val="none"/>
              </w:rPr>
            </w:pPr>
            <w:r>
              <w:rPr>
                <w:rFonts w:ascii="Times New Roman"/>
                <w:kern w:val="0"/>
                <w:sz w:val="21"/>
                <w:szCs w:val="21"/>
                <w:highlight w:val="none"/>
              </w:rPr>
              <w:t>μm</w:t>
            </w:r>
          </w:p>
        </w:tc>
        <w:tc>
          <w:tcPr>
            <w:tcW w:w="2568" w:type="dxa"/>
            <w:vAlign w:val="center"/>
          </w:tcPr>
          <w:p w14:paraId="039C6453">
            <w:pPr>
              <w:widowControl/>
              <w:spacing w:line="240" w:lineRule="auto"/>
              <w:ind w:firstLine="0" w:firstLineChars="0"/>
              <w:jc w:val="center"/>
              <w:rPr>
                <w:rFonts w:ascii="Times New Roman"/>
                <w:kern w:val="0"/>
                <w:sz w:val="21"/>
                <w:szCs w:val="21"/>
                <w:highlight w:val="none"/>
              </w:rPr>
            </w:pPr>
            <w:r>
              <w:rPr>
                <w:rFonts w:ascii="Times New Roman"/>
                <w:kern w:val="0"/>
                <w:sz w:val="21"/>
                <w:szCs w:val="21"/>
                <w:highlight w:val="none"/>
              </w:rPr>
              <w:t>≥70</w:t>
            </w:r>
          </w:p>
        </w:tc>
      </w:tr>
      <w:tr w14:paraId="1A2BA9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315" w:hRule="atLeast"/>
        </w:trPr>
        <w:tc>
          <w:tcPr>
            <w:tcW w:w="3221" w:type="dxa"/>
            <w:gridSpan w:val="2"/>
            <w:vAlign w:val="center"/>
          </w:tcPr>
          <w:p w14:paraId="35C06F2D">
            <w:pPr>
              <w:widowControl/>
              <w:spacing w:line="240" w:lineRule="auto"/>
              <w:ind w:firstLine="0" w:firstLineChars="0"/>
              <w:rPr>
                <w:rFonts w:ascii="Times New Roman"/>
                <w:kern w:val="0"/>
                <w:sz w:val="21"/>
                <w:szCs w:val="21"/>
                <w:highlight w:val="none"/>
              </w:rPr>
            </w:pPr>
            <w:r>
              <w:rPr>
                <w:rFonts w:ascii="Times New Roman"/>
                <w:kern w:val="0"/>
                <w:sz w:val="21"/>
                <w:szCs w:val="21"/>
                <w:highlight w:val="none"/>
              </w:rPr>
              <w:t>氧化率</w:t>
            </w:r>
          </w:p>
        </w:tc>
        <w:tc>
          <w:tcPr>
            <w:tcW w:w="2730" w:type="dxa"/>
            <w:vAlign w:val="center"/>
          </w:tcPr>
          <w:p w14:paraId="600EFAA6">
            <w:pPr>
              <w:widowControl/>
              <w:spacing w:line="240" w:lineRule="auto"/>
              <w:ind w:firstLine="0" w:firstLineChars="0"/>
              <w:jc w:val="center"/>
              <w:rPr>
                <w:rFonts w:ascii="Times New Roman"/>
                <w:kern w:val="0"/>
                <w:sz w:val="21"/>
                <w:szCs w:val="21"/>
                <w:highlight w:val="none"/>
              </w:rPr>
            </w:pPr>
            <w:r>
              <w:rPr>
                <w:rFonts w:ascii="Times New Roman"/>
                <w:kern w:val="0"/>
                <w:sz w:val="21"/>
                <w:szCs w:val="21"/>
                <w:highlight w:val="none"/>
              </w:rPr>
              <w:t>%</w:t>
            </w:r>
          </w:p>
        </w:tc>
        <w:tc>
          <w:tcPr>
            <w:tcW w:w="2568" w:type="dxa"/>
            <w:vAlign w:val="center"/>
          </w:tcPr>
          <w:p w14:paraId="10D31D5D">
            <w:pPr>
              <w:widowControl/>
              <w:spacing w:line="240" w:lineRule="auto"/>
              <w:ind w:firstLine="0" w:firstLineChars="0"/>
              <w:jc w:val="center"/>
              <w:rPr>
                <w:rFonts w:ascii="Times New Roman"/>
                <w:kern w:val="0"/>
                <w:sz w:val="21"/>
                <w:szCs w:val="21"/>
                <w:highlight w:val="none"/>
              </w:rPr>
            </w:pPr>
            <w:r>
              <w:rPr>
                <w:rFonts w:ascii="Times New Roman"/>
                <w:kern w:val="0"/>
                <w:sz w:val="21"/>
                <w:szCs w:val="21"/>
                <w:highlight w:val="none"/>
              </w:rPr>
              <w:t>≤1</w:t>
            </w:r>
            <w:r>
              <w:rPr>
                <w:rFonts w:hint="eastAsia" w:ascii="Times New Roman"/>
                <w:kern w:val="0"/>
                <w:sz w:val="21"/>
                <w:szCs w:val="21"/>
                <w:highlight w:val="none"/>
              </w:rPr>
              <w:t>4</w:t>
            </w:r>
          </w:p>
        </w:tc>
      </w:tr>
      <w:tr w14:paraId="6EBA8D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315" w:hRule="atLeast"/>
        </w:trPr>
        <w:tc>
          <w:tcPr>
            <w:tcW w:w="3221" w:type="dxa"/>
            <w:gridSpan w:val="2"/>
            <w:vAlign w:val="center"/>
          </w:tcPr>
          <w:p w14:paraId="394D1EB1">
            <w:pPr>
              <w:widowControl/>
              <w:spacing w:line="240" w:lineRule="auto"/>
              <w:ind w:firstLine="0" w:firstLineChars="0"/>
              <w:rPr>
                <w:rFonts w:ascii="Times New Roman"/>
                <w:kern w:val="0"/>
                <w:sz w:val="21"/>
                <w:szCs w:val="21"/>
                <w:highlight w:val="none"/>
              </w:rPr>
            </w:pPr>
            <w:r>
              <w:rPr>
                <w:rFonts w:ascii="Times New Roman"/>
                <w:kern w:val="0"/>
                <w:sz w:val="21"/>
                <w:szCs w:val="21"/>
                <w:highlight w:val="none"/>
              </w:rPr>
              <w:t>铁水溶蚀指数</w:t>
            </w:r>
          </w:p>
        </w:tc>
        <w:tc>
          <w:tcPr>
            <w:tcW w:w="2730" w:type="dxa"/>
            <w:vAlign w:val="center"/>
          </w:tcPr>
          <w:p w14:paraId="1FA43831">
            <w:pPr>
              <w:widowControl/>
              <w:spacing w:line="240" w:lineRule="auto"/>
              <w:ind w:firstLine="0" w:firstLineChars="0"/>
              <w:jc w:val="center"/>
              <w:rPr>
                <w:rFonts w:ascii="Times New Roman"/>
                <w:kern w:val="0"/>
                <w:sz w:val="21"/>
                <w:szCs w:val="21"/>
                <w:highlight w:val="none"/>
              </w:rPr>
            </w:pPr>
            <w:r>
              <w:rPr>
                <w:rFonts w:ascii="Times New Roman"/>
                <w:kern w:val="0"/>
                <w:sz w:val="21"/>
                <w:szCs w:val="21"/>
                <w:highlight w:val="none"/>
              </w:rPr>
              <w:t>%</w:t>
            </w:r>
          </w:p>
        </w:tc>
        <w:tc>
          <w:tcPr>
            <w:tcW w:w="2568" w:type="dxa"/>
            <w:vAlign w:val="center"/>
          </w:tcPr>
          <w:p w14:paraId="709B904B">
            <w:pPr>
              <w:widowControl/>
              <w:spacing w:line="240" w:lineRule="auto"/>
              <w:ind w:firstLine="0" w:firstLineChars="0"/>
              <w:jc w:val="center"/>
              <w:rPr>
                <w:rFonts w:ascii="Times New Roman"/>
                <w:kern w:val="0"/>
                <w:sz w:val="21"/>
                <w:szCs w:val="21"/>
                <w:highlight w:val="none"/>
              </w:rPr>
            </w:pPr>
            <w:r>
              <w:rPr>
                <w:rFonts w:ascii="Times New Roman"/>
                <w:kern w:val="0"/>
                <w:sz w:val="21"/>
                <w:szCs w:val="21"/>
                <w:highlight w:val="none"/>
              </w:rPr>
              <w:t>≤</w:t>
            </w:r>
            <w:r>
              <w:rPr>
                <w:rFonts w:hint="eastAsia" w:ascii="Times New Roman"/>
                <w:kern w:val="0"/>
                <w:sz w:val="21"/>
                <w:szCs w:val="21"/>
                <w:highlight w:val="none"/>
              </w:rPr>
              <w:t>27</w:t>
            </w:r>
          </w:p>
        </w:tc>
      </w:tr>
      <w:tr w14:paraId="4F16EF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315" w:hRule="atLeast"/>
        </w:trPr>
        <w:tc>
          <w:tcPr>
            <w:tcW w:w="3221" w:type="dxa"/>
            <w:gridSpan w:val="2"/>
            <w:vAlign w:val="center"/>
          </w:tcPr>
          <w:p w14:paraId="5EE41D82">
            <w:pPr>
              <w:widowControl/>
              <w:spacing w:line="240" w:lineRule="auto"/>
              <w:ind w:firstLine="0" w:firstLineChars="0"/>
              <w:rPr>
                <w:rFonts w:ascii="Times New Roman"/>
                <w:kern w:val="0"/>
                <w:sz w:val="21"/>
                <w:szCs w:val="21"/>
                <w:highlight w:val="none"/>
              </w:rPr>
            </w:pPr>
            <w:r>
              <w:rPr>
                <w:rFonts w:hint="eastAsia" w:ascii="Times New Roman"/>
                <w:kern w:val="0"/>
                <w:sz w:val="21"/>
                <w:szCs w:val="21"/>
                <w:highlight w:val="none"/>
              </w:rPr>
              <w:t>常温抗折强度</w:t>
            </w:r>
          </w:p>
        </w:tc>
        <w:tc>
          <w:tcPr>
            <w:tcW w:w="2730" w:type="dxa"/>
            <w:vAlign w:val="center"/>
          </w:tcPr>
          <w:p w14:paraId="40116051">
            <w:pPr>
              <w:widowControl/>
              <w:spacing w:line="240" w:lineRule="auto"/>
              <w:ind w:firstLine="0" w:firstLineChars="0"/>
              <w:jc w:val="center"/>
              <w:rPr>
                <w:rFonts w:ascii="Times New Roman"/>
                <w:kern w:val="0"/>
                <w:sz w:val="21"/>
                <w:szCs w:val="21"/>
                <w:highlight w:val="none"/>
              </w:rPr>
            </w:pPr>
            <w:r>
              <w:rPr>
                <w:rFonts w:hint="eastAsia" w:ascii="Times New Roman"/>
                <w:kern w:val="0"/>
                <w:sz w:val="21"/>
                <w:szCs w:val="21"/>
                <w:highlight w:val="none"/>
              </w:rPr>
              <w:t>MPa</w:t>
            </w:r>
          </w:p>
        </w:tc>
        <w:tc>
          <w:tcPr>
            <w:tcW w:w="2568" w:type="dxa"/>
            <w:vAlign w:val="center"/>
          </w:tcPr>
          <w:p w14:paraId="5BAC6647">
            <w:pPr>
              <w:widowControl/>
              <w:spacing w:line="240" w:lineRule="auto"/>
              <w:ind w:firstLine="0" w:firstLineChars="0"/>
              <w:jc w:val="center"/>
              <w:rPr>
                <w:rFonts w:ascii="Times New Roman"/>
                <w:kern w:val="0"/>
                <w:sz w:val="21"/>
                <w:szCs w:val="21"/>
                <w:highlight w:val="none"/>
              </w:rPr>
            </w:pPr>
            <w:r>
              <w:rPr>
                <w:rFonts w:hint="eastAsia" w:ascii="Times New Roman"/>
                <w:kern w:val="0"/>
                <w:sz w:val="21"/>
                <w:szCs w:val="21"/>
                <w:highlight w:val="none"/>
              </w:rPr>
              <w:t>≥9</w:t>
            </w:r>
          </w:p>
        </w:tc>
      </w:tr>
      <w:tr w14:paraId="6482C1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315" w:hRule="atLeast"/>
        </w:trPr>
        <w:tc>
          <w:tcPr>
            <w:tcW w:w="3221" w:type="dxa"/>
            <w:gridSpan w:val="2"/>
            <w:vAlign w:val="center"/>
          </w:tcPr>
          <w:p w14:paraId="463F7585">
            <w:pPr>
              <w:widowControl/>
              <w:spacing w:line="240" w:lineRule="auto"/>
              <w:ind w:firstLine="0" w:firstLineChars="0"/>
              <w:rPr>
                <w:rFonts w:ascii="Times New Roman"/>
                <w:kern w:val="0"/>
                <w:sz w:val="21"/>
                <w:szCs w:val="21"/>
                <w:highlight w:val="none"/>
              </w:rPr>
            </w:pPr>
            <w:r>
              <w:rPr>
                <w:rFonts w:hint="eastAsia" w:ascii="Times New Roman"/>
                <w:kern w:val="0"/>
                <w:sz w:val="21"/>
                <w:szCs w:val="21"/>
                <w:highlight w:val="none"/>
              </w:rPr>
              <w:t>灰 分</w:t>
            </w:r>
          </w:p>
        </w:tc>
        <w:tc>
          <w:tcPr>
            <w:tcW w:w="2730" w:type="dxa"/>
            <w:vAlign w:val="center"/>
          </w:tcPr>
          <w:p w14:paraId="515D8F73">
            <w:pPr>
              <w:widowControl/>
              <w:spacing w:line="240" w:lineRule="auto"/>
              <w:ind w:firstLine="0" w:firstLineChars="0"/>
              <w:jc w:val="center"/>
              <w:rPr>
                <w:rFonts w:ascii="Times New Roman"/>
                <w:kern w:val="0"/>
                <w:sz w:val="21"/>
                <w:szCs w:val="21"/>
                <w:highlight w:val="none"/>
              </w:rPr>
            </w:pPr>
            <w:r>
              <w:rPr>
                <w:rFonts w:hint="eastAsia" w:ascii="Times New Roman"/>
                <w:kern w:val="0"/>
                <w:sz w:val="21"/>
                <w:szCs w:val="21"/>
                <w:highlight w:val="none"/>
              </w:rPr>
              <w:t>％</w:t>
            </w:r>
          </w:p>
        </w:tc>
        <w:tc>
          <w:tcPr>
            <w:tcW w:w="2568" w:type="dxa"/>
            <w:vAlign w:val="center"/>
          </w:tcPr>
          <w:p w14:paraId="7991D329">
            <w:pPr>
              <w:widowControl/>
              <w:spacing w:line="240" w:lineRule="auto"/>
              <w:ind w:firstLine="0" w:firstLineChars="0"/>
              <w:jc w:val="center"/>
              <w:rPr>
                <w:rFonts w:ascii="Times New Roman"/>
                <w:kern w:val="0"/>
                <w:sz w:val="21"/>
                <w:szCs w:val="21"/>
                <w:highlight w:val="none"/>
              </w:rPr>
            </w:pPr>
            <w:r>
              <w:rPr>
                <w:rFonts w:hint="eastAsia" w:ascii="Times New Roman"/>
                <w:kern w:val="0"/>
                <w:sz w:val="21"/>
                <w:szCs w:val="21"/>
                <w:highlight w:val="none"/>
              </w:rPr>
              <w:t>≤20</w:t>
            </w:r>
          </w:p>
        </w:tc>
      </w:tr>
      <w:tr w14:paraId="1AFC11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315" w:hRule="atLeast"/>
        </w:trPr>
        <w:tc>
          <w:tcPr>
            <w:tcW w:w="3221" w:type="dxa"/>
            <w:gridSpan w:val="2"/>
            <w:vAlign w:val="center"/>
          </w:tcPr>
          <w:p w14:paraId="01DE276F">
            <w:pPr>
              <w:widowControl/>
              <w:spacing w:line="240" w:lineRule="auto"/>
              <w:ind w:firstLine="0" w:firstLineChars="0"/>
              <w:rPr>
                <w:rFonts w:ascii="Times New Roman"/>
                <w:kern w:val="0"/>
                <w:sz w:val="21"/>
                <w:szCs w:val="21"/>
                <w:highlight w:val="none"/>
              </w:rPr>
            </w:pPr>
            <w:r>
              <w:rPr>
                <w:rFonts w:hint="eastAsia" w:ascii="Times New Roman"/>
                <w:kern w:val="0"/>
                <w:sz w:val="21"/>
                <w:szCs w:val="21"/>
                <w:highlight w:val="none"/>
              </w:rPr>
              <w:t>热膨胀系数（20～200℃）</w:t>
            </w:r>
          </w:p>
        </w:tc>
        <w:tc>
          <w:tcPr>
            <w:tcW w:w="2730" w:type="dxa"/>
            <w:vAlign w:val="center"/>
          </w:tcPr>
          <w:p w14:paraId="467F246D">
            <w:pPr>
              <w:widowControl/>
              <w:spacing w:line="240" w:lineRule="auto"/>
              <w:ind w:firstLine="0" w:firstLineChars="0"/>
              <w:jc w:val="center"/>
              <w:rPr>
                <w:rFonts w:ascii="Times New Roman"/>
                <w:kern w:val="0"/>
                <w:sz w:val="21"/>
                <w:szCs w:val="21"/>
                <w:highlight w:val="none"/>
              </w:rPr>
            </w:pPr>
            <w:r>
              <w:rPr>
                <w:rFonts w:hint="eastAsia" w:ascii="Times New Roman"/>
                <w:kern w:val="0"/>
                <w:sz w:val="21"/>
                <w:szCs w:val="21"/>
                <w:highlight w:val="none"/>
              </w:rPr>
              <w:t>10-6/K</w:t>
            </w:r>
          </w:p>
        </w:tc>
        <w:tc>
          <w:tcPr>
            <w:tcW w:w="2568" w:type="dxa"/>
            <w:vAlign w:val="center"/>
          </w:tcPr>
          <w:p w14:paraId="1B29B228">
            <w:pPr>
              <w:widowControl/>
              <w:spacing w:line="240" w:lineRule="auto"/>
              <w:ind w:firstLine="0" w:firstLineChars="0"/>
              <w:jc w:val="center"/>
              <w:rPr>
                <w:rFonts w:ascii="Times New Roman"/>
                <w:kern w:val="0"/>
                <w:sz w:val="21"/>
                <w:szCs w:val="21"/>
                <w:highlight w:val="none"/>
              </w:rPr>
            </w:pPr>
            <w:r>
              <w:rPr>
                <w:rFonts w:hint="eastAsia" w:ascii="Times New Roman"/>
                <w:kern w:val="0"/>
                <w:sz w:val="21"/>
                <w:szCs w:val="21"/>
                <w:highlight w:val="none"/>
              </w:rPr>
              <w:t>≤2.5</w:t>
            </w:r>
          </w:p>
        </w:tc>
      </w:tr>
      <w:tr w14:paraId="10159F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rPr>
        <w:tc>
          <w:tcPr>
            <w:tcW w:w="1730" w:type="dxa"/>
            <w:vMerge w:val="restart"/>
            <w:vAlign w:val="center"/>
          </w:tcPr>
          <w:p w14:paraId="4AC53F52">
            <w:pPr>
              <w:widowControl/>
              <w:spacing w:line="240" w:lineRule="auto"/>
              <w:ind w:firstLine="0" w:firstLineChars="0"/>
              <w:rPr>
                <w:rFonts w:ascii="Times New Roman"/>
                <w:kern w:val="0"/>
                <w:sz w:val="21"/>
                <w:szCs w:val="21"/>
                <w:highlight w:val="none"/>
              </w:rPr>
            </w:pPr>
            <w:r>
              <w:rPr>
                <w:rFonts w:ascii="Times New Roman"/>
                <w:kern w:val="0"/>
                <w:sz w:val="21"/>
                <w:szCs w:val="21"/>
                <w:highlight w:val="none"/>
              </w:rPr>
              <w:t>导热系数</w:t>
            </w:r>
          </w:p>
        </w:tc>
        <w:tc>
          <w:tcPr>
            <w:tcW w:w="1491" w:type="dxa"/>
            <w:vAlign w:val="center"/>
          </w:tcPr>
          <w:p w14:paraId="1CDA69E6">
            <w:pPr>
              <w:widowControl/>
              <w:spacing w:line="240" w:lineRule="auto"/>
              <w:ind w:firstLine="0" w:firstLineChars="0"/>
              <w:rPr>
                <w:rFonts w:ascii="Times New Roman"/>
                <w:kern w:val="0"/>
                <w:sz w:val="21"/>
                <w:szCs w:val="21"/>
                <w:highlight w:val="none"/>
              </w:rPr>
            </w:pPr>
            <w:r>
              <w:rPr>
                <w:rFonts w:ascii="Times New Roman"/>
                <w:kern w:val="0"/>
                <w:sz w:val="21"/>
                <w:szCs w:val="21"/>
                <w:highlight w:val="none"/>
              </w:rPr>
              <w:t>室温</w:t>
            </w:r>
          </w:p>
        </w:tc>
        <w:tc>
          <w:tcPr>
            <w:tcW w:w="2730" w:type="dxa"/>
            <w:vMerge w:val="restart"/>
            <w:vAlign w:val="center"/>
          </w:tcPr>
          <w:p w14:paraId="18E03A29">
            <w:pPr>
              <w:widowControl/>
              <w:spacing w:line="240" w:lineRule="auto"/>
              <w:ind w:firstLine="0" w:firstLineChars="0"/>
              <w:jc w:val="center"/>
              <w:rPr>
                <w:rFonts w:ascii="Times New Roman"/>
                <w:kern w:val="0"/>
                <w:sz w:val="21"/>
                <w:szCs w:val="21"/>
                <w:highlight w:val="none"/>
              </w:rPr>
            </w:pPr>
            <w:r>
              <w:rPr>
                <w:rFonts w:ascii="Times New Roman"/>
                <w:kern w:val="0"/>
                <w:sz w:val="21"/>
                <w:szCs w:val="21"/>
                <w:highlight w:val="none"/>
              </w:rPr>
              <w:t>W/(m·k)</w:t>
            </w:r>
          </w:p>
        </w:tc>
        <w:tc>
          <w:tcPr>
            <w:tcW w:w="2568" w:type="dxa"/>
            <w:vAlign w:val="center"/>
          </w:tcPr>
          <w:p w14:paraId="4BFACB7F">
            <w:pPr>
              <w:widowControl/>
              <w:spacing w:line="240" w:lineRule="auto"/>
              <w:ind w:firstLine="0" w:firstLineChars="0"/>
              <w:jc w:val="center"/>
              <w:rPr>
                <w:rFonts w:ascii="Times New Roman"/>
                <w:kern w:val="0"/>
                <w:sz w:val="21"/>
                <w:szCs w:val="21"/>
                <w:highlight w:val="none"/>
              </w:rPr>
            </w:pPr>
            <w:r>
              <w:rPr>
                <w:rFonts w:ascii="Times New Roman"/>
                <w:kern w:val="0"/>
                <w:sz w:val="21"/>
                <w:szCs w:val="21"/>
                <w:highlight w:val="none"/>
              </w:rPr>
              <w:t>≥</w:t>
            </w:r>
            <w:r>
              <w:rPr>
                <w:rFonts w:hint="eastAsia" w:ascii="Times New Roman"/>
                <w:kern w:val="0"/>
                <w:sz w:val="21"/>
                <w:szCs w:val="21"/>
                <w:highlight w:val="none"/>
              </w:rPr>
              <w:t>10</w:t>
            </w:r>
          </w:p>
        </w:tc>
      </w:tr>
      <w:tr w14:paraId="7F2684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rPr>
        <w:tc>
          <w:tcPr>
            <w:tcW w:w="1730" w:type="dxa"/>
            <w:vMerge w:val="continue"/>
            <w:vAlign w:val="center"/>
          </w:tcPr>
          <w:p w14:paraId="21FC7F19">
            <w:pPr>
              <w:widowControl/>
              <w:spacing w:line="240" w:lineRule="auto"/>
              <w:ind w:firstLine="0" w:firstLineChars="0"/>
              <w:rPr>
                <w:rFonts w:ascii="Times New Roman"/>
                <w:kern w:val="0"/>
                <w:sz w:val="21"/>
                <w:szCs w:val="21"/>
                <w:highlight w:val="none"/>
              </w:rPr>
            </w:pPr>
          </w:p>
        </w:tc>
        <w:tc>
          <w:tcPr>
            <w:tcW w:w="1491" w:type="dxa"/>
            <w:vAlign w:val="center"/>
          </w:tcPr>
          <w:p w14:paraId="5DFF7E8F">
            <w:pPr>
              <w:widowControl/>
              <w:spacing w:line="240" w:lineRule="auto"/>
              <w:ind w:firstLine="0" w:firstLineChars="0"/>
              <w:rPr>
                <w:rFonts w:ascii="Times New Roman"/>
                <w:kern w:val="0"/>
                <w:sz w:val="21"/>
                <w:szCs w:val="21"/>
                <w:highlight w:val="none"/>
              </w:rPr>
            </w:pPr>
            <w:r>
              <w:rPr>
                <w:rFonts w:ascii="Times New Roman"/>
                <w:kern w:val="0"/>
                <w:sz w:val="21"/>
                <w:szCs w:val="21"/>
                <w:highlight w:val="none"/>
              </w:rPr>
              <w:t>600</w:t>
            </w:r>
            <w:r>
              <w:rPr>
                <w:rFonts w:hint="eastAsia" w:cs="宋体"/>
                <w:kern w:val="0"/>
                <w:sz w:val="21"/>
                <w:szCs w:val="21"/>
                <w:highlight w:val="none"/>
              </w:rPr>
              <w:t>℃</w:t>
            </w:r>
          </w:p>
        </w:tc>
        <w:tc>
          <w:tcPr>
            <w:tcW w:w="2730" w:type="dxa"/>
            <w:vMerge w:val="continue"/>
            <w:vAlign w:val="center"/>
          </w:tcPr>
          <w:p w14:paraId="2CF3B242">
            <w:pPr>
              <w:widowControl/>
              <w:spacing w:line="240" w:lineRule="auto"/>
              <w:ind w:firstLine="0" w:firstLineChars="0"/>
              <w:jc w:val="center"/>
              <w:rPr>
                <w:rFonts w:ascii="Times New Roman"/>
                <w:kern w:val="0"/>
                <w:sz w:val="21"/>
                <w:szCs w:val="21"/>
                <w:highlight w:val="none"/>
              </w:rPr>
            </w:pPr>
          </w:p>
        </w:tc>
        <w:tc>
          <w:tcPr>
            <w:tcW w:w="2568" w:type="dxa"/>
            <w:vAlign w:val="center"/>
          </w:tcPr>
          <w:p w14:paraId="5A232142">
            <w:pPr>
              <w:widowControl/>
              <w:spacing w:line="240" w:lineRule="auto"/>
              <w:ind w:firstLine="0" w:firstLineChars="0"/>
              <w:jc w:val="center"/>
              <w:rPr>
                <w:rFonts w:ascii="Times New Roman"/>
                <w:kern w:val="0"/>
                <w:sz w:val="21"/>
                <w:szCs w:val="21"/>
                <w:highlight w:val="none"/>
              </w:rPr>
            </w:pPr>
            <w:r>
              <w:rPr>
                <w:rFonts w:ascii="Times New Roman"/>
                <w:kern w:val="0"/>
                <w:sz w:val="21"/>
                <w:szCs w:val="21"/>
                <w:highlight w:val="none"/>
              </w:rPr>
              <w:t>≥1</w:t>
            </w:r>
            <w:r>
              <w:rPr>
                <w:rFonts w:hint="eastAsia" w:ascii="Times New Roman"/>
                <w:kern w:val="0"/>
                <w:sz w:val="21"/>
                <w:szCs w:val="21"/>
                <w:highlight w:val="none"/>
              </w:rPr>
              <w:t>5</w:t>
            </w:r>
          </w:p>
        </w:tc>
      </w:tr>
      <w:tr w14:paraId="4D1234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315" w:hRule="atLeast"/>
        </w:trPr>
        <w:tc>
          <w:tcPr>
            <w:tcW w:w="3221" w:type="dxa"/>
            <w:gridSpan w:val="2"/>
            <w:vAlign w:val="center"/>
          </w:tcPr>
          <w:p w14:paraId="60530BF5">
            <w:pPr>
              <w:widowControl/>
              <w:spacing w:line="240" w:lineRule="auto"/>
              <w:ind w:firstLine="0" w:firstLineChars="0"/>
              <w:rPr>
                <w:rFonts w:ascii="Times New Roman"/>
                <w:kern w:val="0"/>
                <w:sz w:val="21"/>
                <w:szCs w:val="21"/>
                <w:highlight w:val="none"/>
              </w:rPr>
            </w:pPr>
            <w:r>
              <w:rPr>
                <w:rFonts w:ascii="Times New Roman"/>
                <w:kern w:val="0"/>
                <w:sz w:val="21"/>
                <w:szCs w:val="21"/>
                <w:highlight w:val="none"/>
              </w:rPr>
              <w:t>抗碱性</w:t>
            </w:r>
          </w:p>
        </w:tc>
        <w:tc>
          <w:tcPr>
            <w:tcW w:w="2730" w:type="dxa"/>
            <w:vAlign w:val="center"/>
          </w:tcPr>
          <w:p w14:paraId="42A38326">
            <w:pPr>
              <w:widowControl/>
              <w:spacing w:line="240" w:lineRule="auto"/>
              <w:ind w:firstLine="0" w:firstLineChars="0"/>
              <w:jc w:val="center"/>
              <w:rPr>
                <w:rFonts w:ascii="Times New Roman"/>
                <w:kern w:val="0"/>
                <w:sz w:val="21"/>
                <w:szCs w:val="21"/>
                <w:highlight w:val="none"/>
              </w:rPr>
            </w:pPr>
            <w:r>
              <w:rPr>
                <w:rFonts w:ascii="Times New Roman"/>
                <w:kern w:val="0"/>
                <w:sz w:val="21"/>
                <w:szCs w:val="21"/>
                <w:highlight w:val="none"/>
              </w:rPr>
              <w:t>级</w:t>
            </w:r>
          </w:p>
        </w:tc>
        <w:tc>
          <w:tcPr>
            <w:tcW w:w="2568" w:type="dxa"/>
            <w:vAlign w:val="center"/>
          </w:tcPr>
          <w:p w14:paraId="411605D9">
            <w:pPr>
              <w:widowControl/>
              <w:spacing w:line="240" w:lineRule="auto"/>
              <w:ind w:firstLine="0" w:firstLineChars="0"/>
              <w:jc w:val="center"/>
              <w:rPr>
                <w:rFonts w:ascii="Times New Roman"/>
                <w:kern w:val="0"/>
                <w:sz w:val="21"/>
                <w:szCs w:val="21"/>
                <w:highlight w:val="none"/>
              </w:rPr>
            </w:pPr>
            <w:r>
              <w:rPr>
                <w:rFonts w:ascii="Times New Roman"/>
                <w:kern w:val="0"/>
                <w:sz w:val="21"/>
                <w:szCs w:val="21"/>
                <w:highlight w:val="none"/>
              </w:rPr>
              <w:t>U或LC</w:t>
            </w:r>
          </w:p>
        </w:tc>
      </w:tr>
      <w:tr w14:paraId="50B309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315" w:hRule="atLeast"/>
        </w:trPr>
        <w:tc>
          <w:tcPr>
            <w:tcW w:w="3221" w:type="dxa"/>
            <w:gridSpan w:val="2"/>
            <w:vAlign w:val="center"/>
          </w:tcPr>
          <w:p w14:paraId="606B8F3E">
            <w:pPr>
              <w:widowControl/>
              <w:spacing w:line="240" w:lineRule="auto"/>
              <w:ind w:firstLine="0" w:firstLineChars="0"/>
              <w:rPr>
                <w:rFonts w:ascii="Times New Roman"/>
                <w:kern w:val="0"/>
                <w:sz w:val="21"/>
                <w:szCs w:val="21"/>
                <w:highlight w:val="none"/>
              </w:rPr>
            </w:pPr>
            <w:r>
              <w:rPr>
                <w:rFonts w:hint="eastAsia" w:ascii="Times New Roman"/>
                <w:kern w:val="0"/>
                <w:sz w:val="21"/>
                <w:szCs w:val="21"/>
                <w:highlight w:val="none"/>
              </w:rPr>
              <w:t>使用部位</w:t>
            </w:r>
          </w:p>
        </w:tc>
        <w:tc>
          <w:tcPr>
            <w:tcW w:w="5298" w:type="dxa"/>
            <w:gridSpan w:val="2"/>
            <w:vAlign w:val="center"/>
          </w:tcPr>
          <w:p w14:paraId="160AAAEA">
            <w:pPr>
              <w:widowControl/>
              <w:spacing w:line="240" w:lineRule="auto"/>
              <w:ind w:firstLine="0" w:firstLineChars="0"/>
              <w:rPr>
                <w:rFonts w:ascii="Times New Roman"/>
                <w:kern w:val="0"/>
                <w:sz w:val="21"/>
                <w:szCs w:val="21"/>
                <w:highlight w:val="none"/>
              </w:rPr>
            </w:pPr>
            <w:r>
              <w:rPr>
                <w:rFonts w:hint="eastAsia" w:ascii="Times New Roman"/>
                <w:kern w:val="0"/>
                <w:sz w:val="21"/>
                <w:szCs w:val="21"/>
                <w:highlight w:val="none"/>
              </w:rPr>
              <w:t>炉缸铁口中心线之上800mm至风口组合砖之间的部位采用微孔炭砖</w:t>
            </w:r>
          </w:p>
        </w:tc>
      </w:tr>
    </w:tbl>
    <w:p w14:paraId="66D5DC23">
      <w:pPr>
        <w:numPr>
          <w:ilvl w:val="0"/>
          <w:numId w:val="16"/>
        </w:numPr>
        <w:ind w:left="480" w:leftChars="0" w:firstLine="0" w:firstLineChars="0"/>
        <w:rPr>
          <w:highlight w:val="none"/>
        </w:rPr>
      </w:pPr>
      <w:bookmarkStart w:id="312" w:name="_Toc29840"/>
      <w:r>
        <w:rPr>
          <w:highlight w:val="none"/>
        </w:rPr>
        <w:t>国产超微孔炭块</w:t>
      </w:r>
      <w:bookmarkEnd w:id="312"/>
    </w:p>
    <w:tbl>
      <w:tblPr>
        <w:tblStyle w:val="6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96"/>
        <w:gridCol w:w="1760"/>
        <w:gridCol w:w="2670"/>
        <w:gridCol w:w="2593"/>
      </w:tblGrid>
      <w:tr w14:paraId="406E0D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5" w:hRule="atLeast"/>
          <w:jc w:val="center"/>
        </w:trPr>
        <w:tc>
          <w:tcPr>
            <w:tcW w:w="3256" w:type="dxa"/>
            <w:gridSpan w:val="2"/>
            <w:tcBorders>
              <w:top w:val="single" w:color="auto" w:sz="12" w:space="0"/>
              <w:left w:val="single" w:color="auto" w:sz="12" w:space="0"/>
              <w:bottom w:val="single" w:color="auto" w:sz="6" w:space="0"/>
              <w:right w:val="single" w:color="auto" w:sz="6" w:space="0"/>
            </w:tcBorders>
            <w:vAlign w:val="center"/>
          </w:tcPr>
          <w:p w14:paraId="58AF2C09">
            <w:pPr>
              <w:widowControl/>
              <w:ind w:firstLine="0" w:firstLineChars="0"/>
              <w:jc w:val="center"/>
              <w:rPr>
                <w:rFonts w:ascii="Times New Roman"/>
                <w:sz w:val="21"/>
                <w:szCs w:val="21"/>
                <w:highlight w:val="none"/>
              </w:rPr>
            </w:pPr>
            <w:r>
              <w:rPr>
                <w:rFonts w:ascii="Times New Roman"/>
                <w:sz w:val="21"/>
                <w:szCs w:val="21"/>
                <w:highlight w:val="none"/>
              </w:rPr>
              <w:t>项    目</w:t>
            </w:r>
          </w:p>
        </w:tc>
        <w:tc>
          <w:tcPr>
            <w:tcW w:w="2670" w:type="dxa"/>
            <w:tcBorders>
              <w:top w:val="single" w:color="auto" w:sz="12" w:space="0"/>
              <w:left w:val="single" w:color="auto" w:sz="6" w:space="0"/>
              <w:bottom w:val="single" w:color="auto" w:sz="6" w:space="0"/>
              <w:right w:val="single" w:color="auto" w:sz="6" w:space="0"/>
            </w:tcBorders>
            <w:vAlign w:val="center"/>
          </w:tcPr>
          <w:p w14:paraId="3E82DA31">
            <w:pPr>
              <w:widowControl/>
              <w:ind w:firstLine="0" w:firstLineChars="0"/>
              <w:jc w:val="center"/>
              <w:rPr>
                <w:rFonts w:ascii="Times New Roman"/>
                <w:sz w:val="21"/>
                <w:szCs w:val="21"/>
                <w:highlight w:val="none"/>
              </w:rPr>
            </w:pPr>
            <w:r>
              <w:rPr>
                <w:rFonts w:ascii="Times New Roman"/>
                <w:sz w:val="21"/>
                <w:szCs w:val="21"/>
                <w:highlight w:val="none"/>
              </w:rPr>
              <w:t>单 位</w:t>
            </w:r>
          </w:p>
        </w:tc>
        <w:tc>
          <w:tcPr>
            <w:tcW w:w="2593" w:type="dxa"/>
            <w:tcBorders>
              <w:top w:val="single" w:color="auto" w:sz="12" w:space="0"/>
              <w:left w:val="single" w:color="auto" w:sz="6" w:space="0"/>
              <w:bottom w:val="single" w:color="auto" w:sz="6" w:space="0"/>
              <w:right w:val="single" w:color="auto" w:sz="12" w:space="0"/>
            </w:tcBorders>
            <w:vAlign w:val="center"/>
          </w:tcPr>
          <w:p w14:paraId="15FFF489">
            <w:pPr>
              <w:widowControl/>
              <w:ind w:firstLine="0" w:firstLineChars="0"/>
              <w:jc w:val="center"/>
              <w:rPr>
                <w:rFonts w:ascii="Times New Roman"/>
                <w:sz w:val="21"/>
                <w:szCs w:val="21"/>
                <w:highlight w:val="none"/>
              </w:rPr>
            </w:pPr>
            <w:r>
              <w:rPr>
                <w:rFonts w:ascii="Times New Roman"/>
                <w:sz w:val="21"/>
                <w:szCs w:val="21"/>
                <w:highlight w:val="none"/>
              </w:rPr>
              <w:t>指  标</w:t>
            </w:r>
          </w:p>
        </w:tc>
      </w:tr>
      <w:tr w14:paraId="2407A6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256" w:type="dxa"/>
            <w:gridSpan w:val="2"/>
            <w:tcBorders>
              <w:top w:val="single" w:color="auto" w:sz="6" w:space="0"/>
              <w:left w:val="single" w:color="auto" w:sz="12" w:space="0"/>
              <w:bottom w:val="single" w:color="auto" w:sz="6" w:space="0"/>
              <w:right w:val="single" w:color="auto" w:sz="6" w:space="0"/>
            </w:tcBorders>
            <w:vAlign w:val="center"/>
          </w:tcPr>
          <w:p w14:paraId="633506C4">
            <w:pPr>
              <w:widowControl/>
              <w:ind w:firstLine="0" w:firstLineChars="0"/>
              <w:rPr>
                <w:rFonts w:ascii="Times New Roman"/>
                <w:sz w:val="21"/>
                <w:szCs w:val="21"/>
                <w:highlight w:val="none"/>
              </w:rPr>
            </w:pPr>
            <w:r>
              <w:rPr>
                <w:rFonts w:ascii="Times New Roman"/>
                <w:sz w:val="21"/>
                <w:szCs w:val="21"/>
                <w:highlight w:val="none"/>
              </w:rPr>
              <w:t xml:space="preserve">体积密度               </w:t>
            </w:r>
          </w:p>
        </w:tc>
        <w:tc>
          <w:tcPr>
            <w:tcW w:w="2670" w:type="dxa"/>
            <w:tcBorders>
              <w:top w:val="single" w:color="auto" w:sz="6" w:space="0"/>
              <w:left w:val="single" w:color="auto" w:sz="6" w:space="0"/>
              <w:bottom w:val="single" w:color="auto" w:sz="6" w:space="0"/>
              <w:right w:val="single" w:color="auto" w:sz="6" w:space="0"/>
            </w:tcBorders>
            <w:vAlign w:val="center"/>
          </w:tcPr>
          <w:p w14:paraId="060964DE">
            <w:pPr>
              <w:widowControl/>
              <w:ind w:firstLine="0" w:firstLineChars="0"/>
              <w:jc w:val="center"/>
              <w:rPr>
                <w:rFonts w:ascii="Times New Roman"/>
                <w:sz w:val="21"/>
                <w:szCs w:val="21"/>
                <w:highlight w:val="none"/>
              </w:rPr>
            </w:pPr>
            <w:r>
              <w:rPr>
                <w:rFonts w:ascii="Times New Roman"/>
                <w:sz w:val="21"/>
                <w:szCs w:val="21"/>
                <w:highlight w:val="none"/>
              </w:rPr>
              <w:t>g/cm3</w:t>
            </w:r>
          </w:p>
        </w:tc>
        <w:tc>
          <w:tcPr>
            <w:tcW w:w="2593" w:type="dxa"/>
            <w:tcBorders>
              <w:top w:val="single" w:color="auto" w:sz="6" w:space="0"/>
              <w:left w:val="single" w:color="auto" w:sz="6" w:space="0"/>
              <w:bottom w:val="single" w:color="auto" w:sz="6" w:space="0"/>
              <w:right w:val="single" w:color="auto" w:sz="12" w:space="0"/>
            </w:tcBorders>
            <w:vAlign w:val="center"/>
          </w:tcPr>
          <w:p w14:paraId="1AC38C72">
            <w:pPr>
              <w:widowControl/>
              <w:ind w:firstLine="0" w:firstLineChars="0"/>
              <w:jc w:val="center"/>
              <w:rPr>
                <w:rFonts w:ascii="Times New Roman"/>
                <w:sz w:val="21"/>
                <w:szCs w:val="21"/>
                <w:highlight w:val="none"/>
              </w:rPr>
            </w:pPr>
            <w:r>
              <w:rPr>
                <w:rFonts w:ascii="Times New Roman"/>
                <w:sz w:val="21"/>
                <w:szCs w:val="21"/>
                <w:highlight w:val="none"/>
              </w:rPr>
              <w:t>≥1.7</w:t>
            </w:r>
            <w:r>
              <w:rPr>
                <w:rFonts w:hint="eastAsia" w:ascii="Times New Roman"/>
                <w:sz w:val="21"/>
                <w:szCs w:val="21"/>
                <w:highlight w:val="none"/>
              </w:rPr>
              <w:t>1</w:t>
            </w:r>
          </w:p>
        </w:tc>
      </w:tr>
      <w:tr w14:paraId="56264C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256" w:type="dxa"/>
            <w:gridSpan w:val="2"/>
            <w:tcBorders>
              <w:top w:val="single" w:color="auto" w:sz="6" w:space="0"/>
              <w:left w:val="single" w:color="auto" w:sz="12" w:space="0"/>
              <w:bottom w:val="single" w:color="auto" w:sz="6" w:space="0"/>
              <w:right w:val="single" w:color="auto" w:sz="6" w:space="0"/>
            </w:tcBorders>
            <w:vAlign w:val="center"/>
          </w:tcPr>
          <w:p w14:paraId="5EEC080F">
            <w:pPr>
              <w:widowControl/>
              <w:ind w:firstLine="0" w:firstLineChars="0"/>
              <w:rPr>
                <w:rFonts w:ascii="Times New Roman"/>
                <w:sz w:val="21"/>
                <w:szCs w:val="21"/>
                <w:highlight w:val="none"/>
              </w:rPr>
            </w:pPr>
            <w:r>
              <w:rPr>
                <w:rFonts w:ascii="Times New Roman"/>
                <w:sz w:val="21"/>
                <w:szCs w:val="21"/>
                <w:highlight w:val="none"/>
              </w:rPr>
              <w:t xml:space="preserve">显气孔率               </w:t>
            </w:r>
          </w:p>
        </w:tc>
        <w:tc>
          <w:tcPr>
            <w:tcW w:w="2670" w:type="dxa"/>
            <w:tcBorders>
              <w:top w:val="single" w:color="auto" w:sz="6" w:space="0"/>
              <w:left w:val="single" w:color="auto" w:sz="6" w:space="0"/>
              <w:bottom w:val="single" w:color="auto" w:sz="6" w:space="0"/>
              <w:right w:val="single" w:color="auto" w:sz="6" w:space="0"/>
            </w:tcBorders>
            <w:vAlign w:val="center"/>
          </w:tcPr>
          <w:p w14:paraId="611E62B4">
            <w:pPr>
              <w:widowControl/>
              <w:ind w:firstLine="0" w:firstLineChars="0"/>
              <w:jc w:val="center"/>
              <w:rPr>
                <w:rFonts w:ascii="Times New Roman"/>
                <w:sz w:val="21"/>
                <w:szCs w:val="21"/>
                <w:highlight w:val="none"/>
              </w:rPr>
            </w:pPr>
            <w:r>
              <w:rPr>
                <w:rFonts w:ascii="Times New Roman"/>
                <w:sz w:val="21"/>
                <w:szCs w:val="21"/>
                <w:highlight w:val="none"/>
              </w:rPr>
              <w:t>%</w:t>
            </w:r>
          </w:p>
        </w:tc>
        <w:tc>
          <w:tcPr>
            <w:tcW w:w="2593" w:type="dxa"/>
            <w:tcBorders>
              <w:top w:val="single" w:color="auto" w:sz="6" w:space="0"/>
              <w:left w:val="single" w:color="auto" w:sz="6" w:space="0"/>
              <w:bottom w:val="single" w:color="auto" w:sz="6" w:space="0"/>
              <w:right w:val="single" w:color="auto" w:sz="12" w:space="0"/>
            </w:tcBorders>
            <w:vAlign w:val="center"/>
          </w:tcPr>
          <w:p w14:paraId="0BEA2CD5">
            <w:pPr>
              <w:widowControl/>
              <w:ind w:firstLine="0" w:firstLineChars="0"/>
              <w:jc w:val="center"/>
              <w:rPr>
                <w:rFonts w:ascii="Times New Roman"/>
                <w:sz w:val="21"/>
                <w:szCs w:val="21"/>
                <w:highlight w:val="none"/>
              </w:rPr>
            </w:pPr>
            <w:r>
              <w:rPr>
                <w:rFonts w:ascii="Times New Roman"/>
                <w:sz w:val="21"/>
                <w:szCs w:val="21"/>
                <w:highlight w:val="none"/>
              </w:rPr>
              <w:t>≤15</w:t>
            </w:r>
          </w:p>
        </w:tc>
      </w:tr>
      <w:tr w14:paraId="165AF4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256" w:type="dxa"/>
            <w:gridSpan w:val="2"/>
            <w:tcBorders>
              <w:top w:val="single" w:color="auto" w:sz="6" w:space="0"/>
              <w:left w:val="single" w:color="auto" w:sz="12" w:space="0"/>
              <w:bottom w:val="single" w:color="auto" w:sz="6" w:space="0"/>
              <w:right w:val="single" w:color="auto" w:sz="6" w:space="0"/>
            </w:tcBorders>
            <w:vAlign w:val="center"/>
          </w:tcPr>
          <w:p w14:paraId="183C129A">
            <w:pPr>
              <w:widowControl/>
              <w:ind w:firstLine="0" w:firstLineChars="0"/>
              <w:rPr>
                <w:rFonts w:ascii="Times New Roman"/>
                <w:sz w:val="21"/>
                <w:szCs w:val="21"/>
                <w:highlight w:val="none"/>
              </w:rPr>
            </w:pPr>
            <w:r>
              <w:rPr>
                <w:rFonts w:ascii="Times New Roman"/>
                <w:sz w:val="21"/>
                <w:szCs w:val="21"/>
                <w:highlight w:val="none"/>
              </w:rPr>
              <w:t xml:space="preserve">耐压强度               </w:t>
            </w:r>
          </w:p>
        </w:tc>
        <w:tc>
          <w:tcPr>
            <w:tcW w:w="2670" w:type="dxa"/>
            <w:tcBorders>
              <w:top w:val="single" w:color="auto" w:sz="6" w:space="0"/>
              <w:left w:val="single" w:color="auto" w:sz="6" w:space="0"/>
              <w:bottom w:val="single" w:color="auto" w:sz="6" w:space="0"/>
              <w:right w:val="single" w:color="auto" w:sz="6" w:space="0"/>
            </w:tcBorders>
            <w:vAlign w:val="center"/>
          </w:tcPr>
          <w:p w14:paraId="1F43BD4C">
            <w:pPr>
              <w:widowControl/>
              <w:ind w:firstLine="0" w:firstLineChars="0"/>
              <w:jc w:val="center"/>
              <w:rPr>
                <w:rFonts w:ascii="Times New Roman"/>
                <w:sz w:val="21"/>
                <w:szCs w:val="21"/>
                <w:highlight w:val="none"/>
              </w:rPr>
            </w:pPr>
            <w:r>
              <w:rPr>
                <w:rFonts w:ascii="Times New Roman"/>
                <w:sz w:val="21"/>
                <w:szCs w:val="21"/>
                <w:highlight w:val="none"/>
              </w:rPr>
              <w:t>MPa</w:t>
            </w:r>
          </w:p>
        </w:tc>
        <w:tc>
          <w:tcPr>
            <w:tcW w:w="2593" w:type="dxa"/>
            <w:tcBorders>
              <w:top w:val="single" w:color="auto" w:sz="6" w:space="0"/>
              <w:left w:val="single" w:color="auto" w:sz="6" w:space="0"/>
              <w:bottom w:val="single" w:color="auto" w:sz="6" w:space="0"/>
              <w:right w:val="single" w:color="auto" w:sz="12" w:space="0"/>
            </w:tcBorders>
            <w:vAlign w:val="center"/>
          </w:tcPr>
          <w:p w14:paraId="49801F81">
            <w:pPr>
              <w:widowControl/>
              <w:ind w:firstLine="0" w:firstLineChars="0"/>
              <w:jc w:val="center"/>
              <w:rPr>
                <w:rFonts w:ascii="Times New Roman"/>
                <w:sz w:val="21"/>
                <w:szCs w:val="21"/>
                <w:highlight w:val="none"/>
              </w:rPr>
            </w:pPr>
            <w:r>
              <w:rPr>
                <w:rFonts w:ascii="Times New Roman"/>
                <w:sz w:val="21"/>
                <w:szCs w:val="21"/>
                <w:highlight w:val="none"/>
              </w:rPr>
              <w:t>≥3</w:t>
            </w:r>
            <w:r>
              <w:rPr>
                <w:rFonts w:hint="eastAsia" w:ascii="Times New Roman"/>
                <w:sz w:val="21"/>
                <w:szCs w:val="21"/>
                <w:highlight w:val="none"/>
              </w:rPr>
              <w:t>8</w:t>
            </w:r>
          </w:p>
        </w:tc>
      </w:tr>
      <w:tr w14:paraId="23EE33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256" w:type="dxa"/>
            <w:gridSpan w:val="2"/>
            <w:tcBorders>
              <w:top w:val="single" w:color="auto" w:sz="6" w:space="0"/>
              <w:left w:val="single" w:color="auto" w:sz="12" w:space="0"/>
              <w:bottom w:val="single" w:color="auto" w:sz="6" w:space="0"/>
              <w:right w:val="single" w:color="auto" w:sz="6" w:space="0"/>
            </w:tcBorders>
            <w:vAlign w:val="center"/>
          </w:tcPr>
          <w:p w14:paraId="2454205E">
            <w:pPr>
              <w:widowControl/>
              <w:ind w:firstLine="0" w:firstLineChars="0"/>
              <w:rPr>
                <w:rFonts w:ascii="Times New Roman"/>
                <w:sz w:val="21"/>
                <w:szCs w:val="21"/>
                <w:highlight w:val="none"/>
              </w:rPr>
            </w:pPr>
            <w:r>
              <w:rPr>
                <w:rFonts w:ascii="Times New Roman"/>
                <w:sz w:val="21"/>
                <w:szCs w:val="21"/>
                <w:highlight w:val="none"/>
              </w:rPr>
              <w:t xml:space="preserve">平均孔半径              </w:t>
            </w:r>
          </w:p>
        </w:tc>
        <w:tc>
          <w:tcPr>
            <w:tcW w:w="2670" w:type="dxa"/>
            <w:tcBorders>
              <w:top w:val="single" w:color="auto" w:sz="6" w:space="0"/>
              <w:left w:val="single" w:color="auto" w:sz="6" w:space="0"/>
              <w:bottom w:val="single" w:color="auto" w:sz="6" w:space="0"/>
              <w:right w:val="single" w:color="auto" w:sz="6" w:space="0"/>
            </w:tcBorders>
            <w:vAlign w:val="center"/>
          </w:tcPr>
          <w:p w14:paraId="64C3E0DA">
            <w:pPr>
              <w:widowControl/>
              <w:ind w:firstLine="0" w:firstLineChars="0"/>
              <w:jc w:val="center"/>
              <w:rPr>
                <w:rFonts w:ascii="Times New Roman"/>
                <w:sz w:val="21"/>
                <w:szCs w:val="21"/>
                <w:highlight w:val="none"/>
              </w:rPr>
            </w:pPr>
            <w:r>
              <w:rPr>
                <w:rFonts w:ascii="Times New Roman"/>
                <w:sz w:val="21"/>
                <w:szCs w:val="21"/>
                <w:highlight w:val="none"/>
              </w:rPr>
              <w:t>μm</w:t>
            </w:r>
          </w:p>
        </w:tc>
        <w:tc>
          <w:tcPr>
            <w:tcW w:w="2593" w:type="dxa"/>
            <w:tcBorders>
              <w:top w:val="single" w:color="auto" w:sz="6" w:space="0"/>
              <w:left w:val="single" w:color="auto" w:sz="6" w:space="0"/>
              <w:bottom w:val="single" w:color="auto" w:sz="6" w:space="0"/>
              <w:right w:val="single" w:color="auto" w:sz="12" w:space="0"/>
            </w:tcBorders>
            <w:vAlign w:val="center"/>
          </w:tcPr>
          <w:p w14:paraId="3AC18D76">
            <w:pPr>
              <w:widowControl/>
              <w:ind w:firstLine="0" w:firstLineChars="0"/>
              <w:jc w:val="center"/>
              <w:rPr>
                <w:rFonts w:ascii="Times New Roman"/>
                <w:sz w:val="21"/>
                <w:szCs w:val="21"/>
                <w:highlight w:val="none"/>
              </w:rPr>
            </w:pPr>
            <w:r>
              <w:rPr>
                <w:rFonts w:ascii="Times New Roman"/>
                <w:sz w:val="21"/>
                <w:szCs w:val="21"/>
                <w:highlight w:val="none"/>
              </w:rPr>
              <w:t>≤0.1</w:t>
            </w:r>
          </w:p>
        </w:tc>
      </w:tr>
      <w:tr w14:paraId="4CCDD4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256" w:type="dxa"/>
            <w:gridSpan w:val="2"/>
            <w:tcBorders>
              <w:top w:val="single" w:color="auto" w:sz="6" w:space="0"/>
              <w:left w:val="single" w:color="auto" w:sz="12" w:space="0"/>
              <w:bottom w:val="single" w:color="auto" w:sz="6" w:space="0"/>
              <w:right w:val="single" w:color="auto" w:sz="6" w:space="0"/>
            </w:tcBorders>
            <w:vAlign w:val="center"/>
          </w:tcPr>
          <w:p w14:paraId="3B39699C">
            <w:pPr>
              <w:widowControl/>
              <w:ind w:firstLine="0" w:firstLineChars="0"/>
              <w:rPr>
                <w:rFonts w:ascii="Times New Roman"/>
                <w:sz w:val="21"/>
                <w:szCs w:val="21"/>
                <w:highlight w:val="none"/>
              </w:rPr>
            </w:pPr>
            <w:r>
              <w:rPr>
                <w:rFonts w:ascii="Times New Roman"/>
                <w:sz w:val="21"/>
                <w:szCs w:val="21"/>
                <w:highlight w:val="none"/>
              </w:rPr>
              <w:t xml:space="preserve">≤1μm孔容积比         </w:t>
            </w:r>
          </w:p>
        </w:tc>
        <w:tc>
          <w:tcPr>
            <w:tcW w:w="2670" w:type="dxa"/>
            <w:tcBorders>
              <w:top w:val="single" w:color="auto" w:sz="6" w:space="0"/>
              <w:left w:val="single" w:color="auto" w:sz="6" w:space="0"/>
              <w:bottom w:val="single" w:color="auto" w:sz="6" w:space="0"/>
              <w:right w:val="single" w:color="auto" w:sz="6" w:space="0"/>
            </w:tcBorders>
            <w:vAlign w:val="center"/>
          </w:tcPr>
          <w:p w14:paraId="43A0B1CC">
            <w:pPr>
              <w:widowControl/>
              <w:ind w:firstLine="0" w:firstLineChars="0"/>
              <w:jc w:val="center"/>
              <w:rPr>
                <w:rFonts w:ascii="Times New Roman"/>
                <w:sz w:val="21"/>
                <w:szCs w:val="21"/>
                <w:highlight w:val="none"/>
              </w:rPr>
            </w:pPr>
            <w:r>
              <w:rPr>
                <w:rFonts w:ascii="Times New Roman"/>
                <w:sz w:val="21"/>
                <w:szCs w:val="21"/>
                <w:highlight w:val="none"/>
              </w:rPr>
              <w:t>%</w:t>
            </w:r>
          </w:p>
        </w:tc>
        <w:tc>
          <w:tcPr>
            <w:tcW w:w="2593" w:type="dxa"/>
            <w:tcBorders>
              <w:top w:val="single" w:color="auto" w:sz="6" w:space="0"/>
              <w:left w:val="single" w:color="auto" w:sz="6" w:space="0"/>
              <w:bottom w:val="single" w:color="auto" w:sz="6" w:space="0"/>
              <w:right w:val="single" w:color="auto" w:sz="12" w:space="0"/>
            </w:tcBorders>
            <w:vAlign w:val="center"/>
          </w:tcPr>
          <w:p w14:paraId="2983F072">
            <w:pPr>
              <w:widowControl/>
              <w:ind w:firstLine="0" w:firstLineChars="0"/>
              <w:jc w:val="center"/>
              <w:rPr>
                <w:rFonts w:ascii="Times New Roman"/>
                <w:sz w:val="21"/>
                <w:szCs w:val="21"/>
                <w:highlight w:val="none"/>
              </w:rPr>
            </w:pPr>
            <w:r>
              <w:rPr>
                <w:rFonts w:ascii="Times New Roman"/>
                <w:sz w:val="21"/>
                <w:szCs w:val="21"/>
                <w:highlight w:val="none"/>
              </w:rPr>
              <w:t>≥80</w:t>
            </w:r>
          </w:p>
        </w:tc>
      </w:tr>
      <w:tr w14:paraId="0B5FBA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1496" w:type="dxa"/>
            <w:vMerge w:val="restart"/>
            <w:tcBorders>
              <w:top w:val="single" w:color="auto" w:sz="6" w:space="0"/>
              <w:left w:val="single" w:color="auto" w:sz="12" w:space="0"/>
              <w:bottom w:val="single" w:color="auto" w:sz="6" w:space="0"/>
              <w:right w:val="single" w:color="auto" w:sz="6" w:space="0"/>
            </w:tcBorders>
            <w:vAlign w:val="center"/>
          </w:tcPr>
          <w:p w14:paraId="11BDC618">
            <w:pPr>
              <w:widowControl/>
              <w:ind w:firstLine="0" w:firstLineChars="0"/>
              <w:rPr>
                <w:rFonts w:ascii="Times New Roman"/>
                <w:sz w:val="21"/>
                <w:szCs w:val="21"/>
                <w:highlight w:val="none"/>
              </w:rPr>
            </w:pPr>
            <w:r>
              <w:rPr>
                <w:rFonts w:ascii="Times New Roman"/>
                <w:sz w:val="21"/>
                <w:szCs w:val="21"/>
                <w:highlight w:val="none"/>
              </w:rPr>
              <w:t xml:space="preserve">导热系数   </w:t>
            </w:r>
          </w:p>
        </w:tc>
        <w:tc>
          <w:tcPr>
            <w:tcW w:w="1760" w:type="dxa"/>
            <w:tcBorders>
              <w:top w:val="single" w:color="auto" w:sz="6" w:space="0"/>
              <w:left w:val="single" w:color="auto" w:sz="6" w:space="0"/>
              <w:bottom w:val="single" w:color="auto" w:sz="6" w:space="0"/>
              <w:right w:val="single" w:color="auto" w:sz="6" w:space="0"/>
            </w:tcBorders>
            <w:vAlign w:val="center"/>
          </w:tcPr>
          <w:p w14:paraId="1D2D2C63">
            <w:pPr>
              <w:widowControl/>
              <w:ind w:firstLine="0" w:firstLineChars="0"/>
              <w:rPr>
                <w:rFonts w:ascii="Times New Roman"/>
                <w:sz w:val="21"/>
                <w:szCs w:val="21"/>
                <w:highlight w:val="none"/>
              </w:rPr>
            </w:pPr>
            <w:r>
              <w:rPr>
                <w:rFonts w:ascii="Times New Roman"/>
                <w:sz w:val="21"/>
                <w:szCs w:val="21"/>
                <w:highlight w:val="none"/>
              </w:rPr>
              <w:t>室温</w:t>
            </w:r>
          </w:p>
        </w:tc>
        <w:tc>
          <w:tcPr>
            <w:tcW w:w="2670" w:type="dxa"/>
            <w:vMerge w:val="restart"/>
            <w:tcBorders>
              <w:top w:val="single" w:color="auto" w:sz="6" w:space="0"/>
              <w:left w:val="single" w:color="auto" w:sz="6" w:space="0"/>
              <w:bottom w:val="single" w:color="auto" w:sz="6" w:space="0"/>
              <w:right w:val="single" w:color="auto" w:sz="6" w:space="0"/>
            </w:tcBorders>
            <w:vAlign w:val="center"/>
          </w:tcPr>
          <w:p w14:paraId="68A187F0">
            <w:pPr>
              <w:widowControl/>
              <w:ind w:firstLine="0" w:firstLineChars="0"/>
              <w:jc w:val="center"/>
              <w:rPr>
                <w:rFonts w:ascii="Times New Roman"/>
                <w:sz w:val="21"/>
                <w:szCs w:val="21"/>
                <w:highlight w:val="none"/>
              </w:rPr>
            </w:pPr>
            <w:r>
              <w:rPr>
                <w:rFonts w:ascii="Times New Roman"/>
                <w:sz w:val="21"/>
                <w:szCs w:val="21"/>
                <w:highlight w:val="none"/>
              </w:rPr>
              <w:t>W/mk</w:t>
            </w:r>
          </w:p>
        </w:tc>
        <w:tc>
          <w:tcPr>
            <w:tcW w:w="2593" w:type="dxa"/>
            <w:tcBorders>
              <w:top w:val="single" w:color="auto" w:sz="6" w:space="0"/>
              <w:left w:val="single" w:color="auto" w:sz="6" w:space="0"/>
              <w:bottom w:val="single" w:color="auto" w:sz="6" w:space="0"/>
              <w:right w:val="single" w:color="auto" w:sz="12" w:space="0"/>
            </w:tcBorders>
            <w:vAlign w:val="center"/>
          </w:tcPr>
          <w:p w14:paraId="0DF17B06">
            <w:pPr>
              <w:widowControl/>
              <w:ind w:firstLine="0" w:firstLineChars="0"/>
              <w:jc w:val="center"/>
              <w:rPr>
                <w:rFonts w:ascii="Times New Roman"/>
                <w:sz w:val="21"/>
                <w:szCs w:val="21"/>
                <w:highlight w:val="none"/>
              </w:rPr>
            </w:pPr>
            <w:r>
              <w:rPr>
                <w:rFonts w:ascii="Times New Roman"/>
                <w:sz w:val="21"/>
                <w:szCs w:val="21"/>
                <w:highlight w:val="none"/>
              </w:rPr>
              <w:t>≥16.0</w:t>
            </w:r>
          </w:p>
        </w:tc>
      </w:tr>
      <w:tr w14:paraId="0237EE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496" w:type="dxa"/>
            <w:vMerge w:val="continue"/>
            <w:tcBorders>
              <w:top w:val="single" w:color="auto" w:sz="6" w:space="0"/>
              <w:left w:val="single" w:color="auto" w:sz="12" w:space="0"/>
              <w:bottom w:val="single" w:color="auto" w:sz="6" w:space="0"/>
              <w:right w:val="single" w:color="auto" w:sz="6" w:space="0"/>
            </w:tcBorders>
            <w:vAlign w:val="center"/>
          </w:tcPr>
          <w:p w14:paraId="4208436A">
            <w:pPr>
              <w:widowControl/>
              <w:spacing w:line="240" w:lineRule="auto"/>
              <w:ind w:firstLine="0" w:firstLineChars="0"/>
              <w:rPr>
                <w:rFonts w:ascii="Times New Roman"/>
                <w:sz w:val="21"/>
                <w:szCs w:val="21"/>
                <w:highlight w:val="none"/>
              </w:rPr>
            </w:pPr>
          </w:p>
        </w:tc>
        <w:tc>
          <w:tcPr>
            <w:tcW w:w="1760" w:type="dxa"/>
            <w:tcBorders>
              <w:top w:val="single" w:color="auto" w:sz="6" w:space="0"/>
              <w:left w:val="single" w:color="auto" w:sz="6" w:space="0"/>
              <w:bottom w:val="single" w:color="auto" w:sz="6" w:space="0"/>
              <w:right w:val="single" w:color="auto" w:sz="6" w:space="0"/>
            </w:tcBorders>
            <w:vAlign w:val="center"/>
          </w:tcPr>
          <w:p w14:paraId="4C7510A6">
            <w:pPr>
              <w:widowControl/>
              <w:ind w:firstLine="0" w:firstLineChars="0"/>
              <w:rPr>
                <w:rFonts w:ascii="Times New Roman"/>
                <w:sz w:val="21"/>
                <w:szCs w:val="21"/>
                <w:highlight w:val="none"/>
              </w:rPr>
            </w:pPr>
            <w:r>
              <w:rPr>
                <w:rFonts w:ascii="Times New Roman"/>
                <w:sz w:val="21"/>
                <w:szCs w:val="21"/>
                <w:highlight w:val="none"/>
              </w:rPr>
              <w:t>600</w:t>
            </w:r>
            <w:r>
              <w:rPr>
                <w:rFonts w:hint="eastAsia" w:cs="宋体"/>
                <w:sz w:val="21"/>
                <w:szCs w:val="21"/>
                <w:highlight w:val="none"/>
              </w:rPr>
              <w:t>℃</w:t>
            </w:r>
          </w:p>
        </w:tc>
        <w:tc>
          <w:tcPr>
            <w:tcW w:w="2670" w:type="dxa"/>
            <w:vMerge w:val="continue"/>
            <w:tcBorders>
              <w:top w:val="single" w:color="auto" w:sz="6" w:space="0"/>
              <w:left w:val="single" w:color="auto" w:sz="6" w:space="0"/>
              <w:bottom w:val="single" w:color="auto" w:sz="6" w:space="0"/>
              <w:right w:val="single" w:color="auto" w:sz="6" w:space="0"/>
            </w:tcBorders>
            <w:vAlign w:val="center"/>
          </w:tcPr>
          <w:p w14:paraId="2785A272">
            <w:pPr>
              <w:widowControl/>
              <w:spacing w:line="240" w:lineRule="auto"/>
              <w:ind w:firstLine="0" w:firstLineChars="0"/>
              <w:rPr>
                <w:rFonts w:ascii="Times New Roman"/>
                <w:sz w:val="21"/>
                <w:szCs w:val="21"/>
                <w:highlight w:val="none"/>
              </w:rPr>
            </w:pPr>
          </w:p>
        </w:tc>
        <w:tc>
          <w:tcPr>
            <w:tcW w:w="2593" w:type="dxa"/>
            <w:tcBorders>
              <w:top w:val="single" w:color="auto" w:sz="6" w:space="0"/>
              <w:left w:val="single" w:color="auto" w:sz="6" w:space="0"/>
              <w:bottom w:val="single" w:color="auto" w:sz="6" w:space="0"/>
              <w:right w:val="single" w:color="auto" w:sz="12" w:space="0"/>
            </w:tcBorders>
            <w:vAlign w:val="center"/>
          </w:tcPr>
          <w:p w14:paraId="651760E6">
            <w:pPr>
              <w:widowControl/>
              <w:ind w:firstLine="0" w:firstLineChars="0"/>
              <w:jc w:val="center"/>
              <w:rPr>
                <w:rFonts w:ascii="Times New Roman"/>
                <w:sz w:val="21"/>
                <w:szCs w:val="21"/>
                <w:highlight w:val="none"/>
              </w:rPr>
            </w:pPr>
            <w:r>
              <w:rPr>
                <w:rFonts w:ascii="Times New Roman"/>
                <w:sz w:val="21"/>
                <w:szCs w:val="21"/>
                <w:highlight w:val="none"/>
              </w:rPr>
              <w:t>≥20.0</w:t>
            </w:r>
          </w:p>
        </w:tc>
      </w:tr>
      <w:tr w14:paraId="23FE08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3256" w:type="dxa"/>
            <w:gridSpan w:val="2"/>
            <w:tcBorders>
              <w:top w:val="single" w:color="auto" w:sz="6" w:space="0"/>
              <w:left w:val="single" w:color="auto" w:sz="12" w:space="0"/>
              <w:bottom w:val="single" w:color="auto" w:sz="6" w:space="0"/>
              <w:right w:val="single" w:color="auto" w:sz="6" w:space="0"/>
            </w:tcBorders>
            <w:vAlign w:val="center"/>
          </w:tcPr>
          <w:p w14:paraId="29F5AB5C">
            <w:pPr>
              <w:widowControl/>
              <w:ind w:firstLine="0" w:firstLineChars="0"/>
              <w:rPr>
                <w:rFonts w:ascii="Times New Roman"/>
                <w:sz w:val="21"/>
                <w:szCs w:val="21"/>
                <w:highlight w:val="none"/>
              </w:rPr>
            </w:pPr>
            <w:r>
              <w:rPr>
                <w:rFonts w:ascii="Times New Roman"/>
                <w:sz w:val="21"/>
                <w:szCs w:val="21"/>
                <w:highlight w:val="none"/>
              </w:rPr>
              <w:t>耐碱性</w:t>
            </w:r>
          </w:p>
        </w:tc>
        <w:tc>
          <w:tcPr>
            <w:tcW w:w="2670" w:type="dxa"/>
            <w:tcBorders>
              <w:top w:val="single" w:color="auto" w:sz="6" w:space="0"/>
              <w:left w:val="single" w:color="auto" w:sz="6" w:space="0"/>
              <w:bottom w:val="single" w:color="auto" w:sz="6" w:space="0"/>
              <w:right w:val="single" w:color="auto" w:sz="6" w:space="0"/>
            </w:tcBorders>
            <w:vAlign w:val="center"/>
          </w:tcPr>
          <w:p w14:paraId="157AAB43">
            <w:pPr>
              <w:widowControl/>
              <w:ind w:firstLine="0" w:firstLineChars="0"/>
              <w:jc w:val="center"/>
              <w:rPr>
                <w:rFonts w:ascii="Times New Roman"/>
                <w:sz w:val="21"/>
                <w:szCs w:val="21"/>
                <w:highlight w:val="none"/>
              </w:rPr>
            </w:pPr>
          </w:p>
        </w:tc>
        <w:tc>
          <w:tcPr>
            <w:tcW w:w="2593" w:type="dxa"/>
            <w:tcBorders>
              <w:top w:val="single" w:color="auto" w:sz="6" w:space="0"/>
              <w:left w:val="single" w:color="auto" w:sz="6" w:space="0"/>
              <w:bottom w:val="single" w:color="auto" w:sz="6" w:space="0"/>
              <w:right w:val="single" w:color="auto" w:sz="12" w:space="0"/>
            </w:tcBorders>
            <w:vAlign w:val="center"/>
          </w:tcPr>
          <w:p w14:paraId="471D99E2">
            <w:pPr>
              <w:widowControl/>
              <w:ind w:firstLine="0" w:firstLineChars="0"/>
              <w:jc w:val="center"/>
              <w:rPr>
                <w:rFonts w:ascii="Times New Roman"/>
                <w:sz w:val="21"/>
                <w:szCs w:val="21"/>
                <w:highlight w:val="none"/>
              </w:rPr>
            </w:pPr>
            <w:r>
              <w:rPr>
                <w:rFonts w:ascii="Times New Roman"/>
                <w:sz w:val="21"/>
                <w:szCs w:val="21"/>
                <w:highlight w:val="none"/>
              </w:rPr>
              <w:t>U</w:t>
            </w:r>
          </w:p>
        </w:tc>
      </w:tr>
      <w:tr w14:paraId="25D0BC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256" w:type="dxa"/>
            <w:gridSpan w:val="2"/>
            <w:tcBorders>
              <w:top w:val="single" w:color="auto" w:sz="6" w:space="0"/>
              <w:left w:val="single" w:color="auto" w:sz="12" w:space="0"/>
              <w:bottom w:val="single" w:color="auto" w:sz="6" w:space="0"/>
              <w:right w:val="single" w:color="auto" w:sz="6" w:space="0"/>
            </w:tcBorders>
            <w:vAlign w:val="center"/>
          </w:tcPr>
          <w:p w14:paraId="45A74D31">
            <w:pPr>
              <w:widowControl/>
              <w:ind w:firstLine="0" w:firstLineChars="0"/>
              <w:rPr>
                <w:rFonts w:ascii="Times New Roman"/>
                <w:sz w:val="21"/>
                <w:szCs w:val="21"/>
                <w:highlight w:val="none"/>
              </w:rPr>
            </w:pPr>
            <w:r>
              <w:rPr>
                <w:rFonts w:ascii="Times New Roman"/>
                <w:sz w:val="21"/>
                <w:szCs w:val="21"/>
                <w:highlight w:val="none"/>
              </w:rPr>
              <w:t xml:space="preserve">氧化率                 </w:t>
            </w:r>
          </w:p>
        </w:tc>
        <w:tc>
          <w:tcPr>
            <w:tcW w:w="2670" w:type="dxa"/>
            <w:tcBorders>
              <w:top w:val="single" w:color="auto" w:sz="6" w:space="0"/>
              <w:left w:val="single" w:color="auto" w:sz="6" w:space="0"/>
              <w:bottom w:val="single" w:color="auto" w:sz="6" w:space="0"/>
              <w:right w:val="single" w:color="auto" w:sz="6" w:space="0"/>
            </w:tcBorders>
            <w:vAlign w:val="center"/>
          </w:tcPr>
          <w:p w14:paraId="0EE8CFCD">
            <w:pPr>
              <w:widowControl/>
              <w:ind w:firstLine="0" w:firstLineChars="0"/>
              <w:jc w:val="center"/>
              <w:rPr>
                <w:rFonts w:ascii="Times New Roman"/>
                <w:sz w:val="21"/>
                <w:szCs w:val="21"/>
                <w:highlight w:val="none"/>
              </w:rPr>
            </w:pPr>
            <w:r>
              <w:rPr>
                <w:rFonts w:ascii="Times New Roman"/>
                <w:sz w:val="21"/>
                <w:szCs w:val="21"/>
                <w:highlight w:val="none"/>
              </w:rPr>
              <w:t>%</w:t>
            </w:r>
          </w:p>
        </w:tc>
        <w:tc>
          <w:tcPr>
            <w:tcW w:w="2593" w:type="dxa"/>
            <w:tcBorders>
              <w:top w:val="single" w:color="auto" w:sz="6" w:space="0"/>
              <w:left w:val="single" w:color="auto" w:sz="6" w:space="0"/>
              <w:bottom w:val="single" w:color="auto" w:sz="6" w:space="0"/>
              <w:right w:val="single" w:color="auto" w:sz="12" w:space="0"/>
            </w:tcBorders>
            <w:vAlign w:val="center"/>
          </w:tcPr>
          <w:p w14:paraId="078187C5">
            <w:pPr>
              <w:widowControl/>
              <w:ind w:firstLine="0" w:firstLineChars="0"/>
              <w:jc w:val="center"/>
              <w:rPr>
                <w:rFonts w:ascii="Times New Roman"/>
                <w:sz w:val="21"/>
                <w:szCs w:val="21"/>
                <w:highlight w:val="none"/>
              </w:rPr>
            </w:pPr>
            <w:r>
              <w:rPr>
                <w:rFonts w:ascii="Times New Roman"/>
                <w:sz w:val="21"/>
                <w:szCs w:val="21"/>
                <w:highlight w:val="none"/>
              </w:rPr>
              <w:t>≤8</w:t>
            </w:r>
          </w:p>
        </w:tc>
      </w:tr>
      <w:tr w14:paraId="15F621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3256" w:type="dxa"/>
            <w:gridSpan w:val="2"/>
            <w:tcBorders>
              <w:top w:val="single" w:color="auto" w:sz="6" w:space="0"/>
              <w:left w:val="single" w:color="auto" w:sz="12" w:space="0"/>
              <w:bottom w:val="single" w:color="auto" w:sz="6" w:space="0"/>
              <w:right w:val="single" w:color="auto" w:sz="6" w:space="0"/>
            </w:tcBorders>
            <w:vAlign w:val="center"/>
          </w:tcPr>
          <w:p w14:paraId="6E6916B1">
            <w:pPr>
              <w:widowControl/>
              <w:ind w:firstLine="0" w:firstLineChars="0"/>
              <w:rPr>
                <w:rFonts w:ascii="Times New Roman"/>
                <w:sz w:val="21"/>
                <w:szCs w:val="21"/>
                <w:highlight w:val="none"/>
              </w:rPr>
            </w:pPr>
            <w:r>
              <w:rPr>
                <w:rFonts w:ascii="Times New Roman"/>
                <w:sz w:val="21"/>
                <w:szCs w:val="21"/>
                <w:highlight w:val="none"/>
              </w:rPr>
              <w:t xml:space="preserve">透气度               </w:t>
            </w:r>
          </w:p>
        </w:tc>
        <w:tc>
          <w:tcPr>
            <w:tcW w:w="2670" w:type="dxa"/>
            <w:tcBorders>
              <w:top w:val="single" w:color="auto" w:sz="6" w:space="0"/>
              <w:left w:val="single" w:color="auto" w:sz="6" w:space="0"/>
              <w:bottom w:val="single" w:color="auto" w:sz="6" w:space="0"/>
              <w:right w:val="single" w:color="auto" w:sz="6" w:space="0"/>
            </w:tcBorders>
            <w:vAlign w:val="center"/>
          </w:tcPr>
          <w:p w14:paraId="0E8286E2">
            <w:pPr>
              <w:widowControl/>
              <w:ind w:firstLine="0" w:firstLineChars="0"/>
              <w:jc w:val="center"/>
              <w:rPr>
                <w:rFonts w:ascii="Times New Roman"/>
                <w:sz w:val="21"/>
                <w:szCs w:val="21"/>
                <w:highlight w:val="none"/>
              </w:rPr>
            </w:pPr>
            <w:r>
              <w:rPr>
                <w:rFonts w:ascii="Times New Roman"/>
                <w:sz w:val="21"/>
                <w:szCs w:val="21"/>
                <w:highlight w:val="none"/>
              </w:rPr>
              <w:t>mDa</w:t>
            </w:r>
          </w:p>
        </w:tc>
        <w:tc>
          <w:tcPr>
            <w:tcW w:w="2593" w:type="dxa"/>
            <w:tcBorders>
              <w:top w:val="single" w:color="auto" w:sz="6" w:space="0"/>
              <w:left w:val="single" w:color="auto" w:sz="6" w:space="0"/>
              <w:bottom w:val="single" w:color="auto" w:sz="6" w:space="0"/>
              <w:right w:val="single" w:color="auto" w:sz="12" w:space="0"/>
            </w:tcBorders>
            <w:vAlign w:val="center"/>
          </w:tcPr>
          <w:p w14:paraId="58EA2BC4">
            <w:pPr>
              <w:widowControl/>
              <w:ind w:firstLine="0" w:firstLineChars="0"/>
              <w:jc w:val="center"/>
              <w:rPr>
                <w:rFonts w:ascii="Times New Roman"/>
                <w:sz w:val="21"/>
                <w:szCs w:val="21"/>
                <w:highlight w:val="none"/>
              </w:rPr>
            </w:pPr>
            <w:r>
              <w:rPr>
                <w:rFonts w:ascii="Times New Roman"/>
                <w:sz w:val="21"/>
                <w:szCs w:val="21"/>
                <w:highlight w:val="none"/>
              </w:rPr>
              <w:t>≤1</w:t>
            </w:r>
          </w:p>
        </w:tc>
      </w:tr>
      <w:tr w14:paraId="6F3BBD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256" w:type="dxa"/>
            <w:gridSpan w:val="2"/>
            <w:tcBorders>
              <w:top w:val="single" w:color="auto" w:sz="6" w:space="0"/>
              <w:left w:val="single" w:color="auto" w:sz="12" w:space="0"/>
              <w:bottom w:val="single" w:color="auto" w:sz="6" w:space="0"/>
              <w:right w:val="single" w:color="auto" w:sz="6" w:space="0"/>
            </w:tcBorders>
            <w:vAlign w:val="center"/>
          </w:tcPr>
          <w:p w14:paraId="0F9D0DD1">
            <w:pPr>
              <w:widowControl/>
              <w:ind w:firstLine="0" w:firstLineChars="0"/>
              <w:rPr>
                <w:rFonts w:ascii="Times New Roman"/>
                <w:sz w:val="21"/>
                <w:szCs w:val="21"/>
                <w:highlight w:val="none"/>
              </w:rPr>
            </w:pPr>
            <w:r>
              <w:rPr>
                <w:rFonts w:ascii="Times New Roman"/>
                <w:sz w:val="21"/>
                <w:szCs w:val="21"/>
                <w:highlight w:val="none"/>
              </w:rPr>
              <w:t xml:space="preserve">铁水溶蚀指数           </w:t>
            </w:r>
          </w:p>
        </w:tc>
        <w:tc>
          <w:tcPr>
            <w:tcW w:w="2670" w:type="dxa"/>
            <w:tcBorders>
              <w:top w:val="single" w:color="auto" w:sz="6" w:space="0"/>
              <w:left w:val="single" w:color="auto" w:sz="6" w:space="0"/>
              <w:bottom w:val="single" w:color="auto" w:sz="6" w:space="0"/>
              <w:right w:val="single" w:color="auto" w:sz="6" w:space="0"/>
            </w:tcBorders>
            <w:vAlign w:val="center"/>
          </w:tcPr>
          <w:p w14:paraId="2E4E7261">
            <w:pPr>
              <w:widowControl/>
              <w:ind w:firstLine="0" w:firstLineChars="0"/>
              <w:jc w:val="center"/>
              <w:rPr>
                <w:rFonts w:ascii="Times New Roman"/>
                <w:sz w:val="21"/>
                <w:szCs w:val="21"/>
                <w:highlight w:val="none"/>
              </w:rPr>
            </w:pPr>
            <w:r>
              <w:rPr>
                <w:rFonts w:ascii="Times New Roman"/>
                <w:sz w:val="21"/>
                <w:szCs w:val="21"/>
                <w:highlight w:val="none"/>
              </w:rPr>
              <w:t>%</w:t>
            </w:r>
          </w:p>
        </w:tc>
        <w:tc>
          <w:tcPr>
            <w:tcW w:w="2593" w:type="dxa"/>
            <w:tcBorders>
              <w:top w:val="single" w:color="auto" w:sz="6" w:space="0"/>
              <w:left w:val="single" w:color="auto" w:sz="6" w:space="0"/>
              <w:bottom w:val="single" w:color="auto" w:sz="6" w:space="0"/>
              <w:right w:val="single" w:color="auto" w:sz="12" w:space="0"/>
            </w:tcBorders>
            <w:vAlign w:val="center"/>
          </w:tcPr>
          <w:p w14:paraId="7A5CADF5">
            <w:pPr>
              <w:widowControl/>
              <w:ind w:firstLine="0" w:firstLineChars="0"/>
              <w:jc w:val="center"/>
              <w:rPr>
                <w:rFonts w:ascii="Times New Roman"/>
                <w:sz w:val="21"/>
                <w:szCs w:val="21"/>
                <w:highlight w:val="none"/>
              </w:rPr>
            </w:pPr>
            <w:r>
              <w:rPr>
                <w:rFonts w:ascii="Times New Roman"/>
                <w:sz w:val="21"/>
                <w:szCs w:val="21"/>
                <w:highlight w:val="none"/>
              </w:rPr>
              <w:t>≤2</w:t>
            </w:r>
            <w:r>
              <w:rPr>
                <w:rFonts w:hint="eastAsia" w:ascii="Times New Roman"/>
                <w:sz w:val="21"/>
                <w:szCs w:val="21"/>
                <w:highlight w:val="none"/>
              </w:rPr>
              <w:t>7</w:t>
            </w:r>
          </w:p>
        </w:tc>
      </w:tr>
      <w:tr w14:paraId="7CCF8B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256" w:type="dxa"/>
            <w:gridSpan w:val="2"/>
            <w:tcBorders>
              <w:top w:val="single" w:color="auto" w:sz="6" w:space="0"/>
              <w:left w:val="single" w:color="auto" w:sz="12" w:space="0"/>
              <w:bottom w:val="single" w:color="auto" w:sz="6" w:space="0"/>
              <w:right w:val="single" w:color="auto" w:sz="6" w:space="0"/>
            </w:tcBorders>
            <w:vAlign w:val="center"/>
          </w:tcPr>
          <w:p w14:paraId="357E0EEC">
            <w:pPr>
              <w:widowControl/>
              <w:ind w:firstLine="0" w:firstLineChars="0"/>
              <w:rPr>
                <w:rFonts w:ascii="Times New Roman"/>
                <w:sz w:val="21"/>
                <w:szCs w:val="21"/>
                <w:highlight w:val="none"/>
              </w:rPr>
            </w:pPr>
            <w:r>
              <w:rPr>
                <w:rFonts w:hint="eastAsia" w:ascii="Times New Roman"/>
                <w:sz w:val="21"/>
                <w:szCs w:val="21"/>
                <w:highlight w:val="none"/>
              </w:rPr>
              <w:t>灰 分</w:t>
            </w:r>
          </w:p>
        </w:tc>
        <w:tc>
          <w:tcPr>
            <w:tcW w:w="2670" w:type="dxa"/>
            <w:tcBorders>
              <w:top w:val="single" w:color="auto" w:sz="6" w:space="0"/>
              <w:left w:val="single" w:color="auto" w:sz="6" w:space="0"/>
              <w:bottom w:val="single" w:color="auto" w:sz="6" w:space="0"/>
              <w:right w:val="single" w:color="auto" w:sz="6" w:space="0"/>
            </w:tcBorders>
            <w:vAlign w:val="center"/>
          </w:tcPr>
          <w:p w14:paraId="19F56883">
            <w:pPr>
              <w:widowControl/>
              <w:ind w:firstLine="0" w:firstLineChars="0"/>
              <w:jc w:val="center"/>
              <w:rPr>
                <w:rFonts w:ascii="Times New Roman"/>
                <w:sz w:val="21"/>
                <w:szCs w:val="21"/>
                <w:highlight w:val="none"/>
              </w:rPr>
            </w:pPr>
            <w:r>
              <w:rPr>
                <w:rFonts w:hint="eastAsia" w:ascii="Times New Roman"/>
                <w:sz w:val="21"/>
                <w:szCs w:val="21"/>
                <w:highlight w:val="none"/>
              </w:rPr>
              <w:t>％</w:t>
            </w:r>
          </w:p>
        </w:tc>
        <w:tc>
          <w:tcPr>
            <w:tcW w:w="2593" w:type="dxa"/>
            <w:tcBorders>
              <w:top w:val="single" w:color="auto" w:sz="6" w:space="0"/>
              <w:left w:val="single" w:color="auto" w:sz="6" w:space="0"/>
              <w:bottom w:val="single" w:color="auto" w:sz="6" w:space="0"/>
              <w:right w:val="single" w:color="auto" w:sz="12" w:space="0"/>
            </w:tcBorders>
            <w:vAlign w:val="center"/>
          </w:tcPr>
          <w:p w14:paraId="78AFC858">
            <w:pPr>
              <w:widowControl/>
              <w:ind w:firstLine="0" w:firstLineChars="0"/>
              <w:jc w:val="center"/>
              <w:rPr>
                <w:rFonts w:ascii="Times New Roman"/>
                <w:sz w:val="21"/>
                <w:szCs w:val="21"/>
                <w:highlight w:val="none"/>
              </w:rPr>
            </w:pPr>
            <w:r>
              <w:rPr>
                <w:rFonts w:hint="eastAsia" w:ascii="Times New Roman"/>
                <w:sz w:val="21"/>
                <w:szCs w:val="21"/>
                <w:highlight w:val="none"/>
              </w:rPr>
              <w:t>≤23</w:t>
            </w:r>
          </w:p>
        </w:tc>
      </w:tr>
      <w:tr w14:paraId="504220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256" w:type="dxa"/>
            <w:gridSpan w:val="2"/>
            <w:tcBorders>
              <w:top w:val="single" w:color="auto" w:sz="6" w:space="0"/>
              <w:left w:val="single" w:color="auto" w:sz="12" w:space="0"/>
              <w:bottom w:val="single" w:color="auto" w:sz="6" w:space="0"/>
              <w:right w:val="single" w:color="auto" w:sz="6" w:space="0"/>
            </w:tcBorders>
            <w:vAlign w:val="center"/>
          </w:tcPr>
          <w:p w14:paraId="165F5587">
            <w:pPr>
              <w:widowControl/>
              <w:ind w:firstLine="0" w:firstLineChars="0"/>
              <w:rPr>
                <w:rFonts w:ascii="Times New Roman"/>
                <w:sz w:val="21"/>
                <w:szCs w:val="21"/>
                <w:highlight w:val="none"/>
              </w:rPr>
            </w:pPr>
            <w:r>
              <w:rPr>
                <w:rFonts w:hint="eastAsia" w:ascii="Times New Roman"/>
                <w:sz w:val="21"/>
                <w:szCs w:val="21"/>
                <w:highlight w:val="none"/>
              </w:rPr>
              <w:t>常温抗折强度</w:t>
            </w:r>
          </w:p>
        </w:tc>
        <w:tc>
          <w:tcPr>
            <w:tcW w:w="2670" w:type="dxa"/>
            <w:tcBorders>
              <w:top w:val="single" w:color="auto" w:sz="6" w:space="0"/>
              <w:left w:val="single" w:color="auto" w:sz="6" w:space="0"/>
              <w:bottom w:val="single" w:color="auto" w:sz="6" w:space="0"/>
              <w:right w:val="single" w:color="auto" w:sz="6" w:space="0"/>
            </w:tcBorders>
            <w:vAlign w:val="center"/>
          </w:tcPr>
          <w:p w14:paraId="06CE093C">
            <w:pPr>
              <w:widowControl/>
              <w:ind w:firstLine="0" w:firstLineChars="0"/>
              <w:jc w:val="center"/>
              <w:rPr>
                <w:rFonts w:ascii="Times New Roman"/>
                <w:sz w:val="21"/>
                <w:szCs w:val="21"/>
                <w:highlight w:val="none"/>
              </w:rPr>
            </w:pPr>
            <w:r>
              <w:rPr>
                <w:rFonts w:hint="eastAsia" w:ascii="Times New Roman"/>
                <w:sz w:val="21"/>
                <w:szCs w:val="21"/>
                <w:highlight w:val="none"/>
              </w:rPr>
              <w:t>MPa</w:t>
            </w:r>
          </w:p>
        </w:tc>
        <w:tc>
          <w:tcPr>
            <w:tcW w:w="2593" w:type="dxa"/>
            <w:tcBorders>
              <w:top w:val="single" w:color="auto" w:sz="6" w:space="0"/>
              <w:left w:val="single" w:color="auto" w:sz="6" w:space="0"/>
              <w:bottom w:val="single" w:color="auto" w:sz="6" w:space="0"/>
              <w:right w:val="single" w:color="auto" w:sz="12" w:space="0"/>
            </w:tcBorders>
            <w:vAlign w:val="center"/>
          </w:tcPr>
          <w:p w14:paraId="405A7DE6">
            <w:pPr>
              <w:widowControl/>
              <w:ind w:firstLine="0" w:firstLineChars="0"/>
              <w:jc w:val="center"/>
              <w:rPr>
                <w:rFonts w:ascii="Times New Roman"/>
                <w:sz w:val="21"/>
                <w:szCs w:val="21"/>
                <w:highlight w:val="none"/>
              </w:rPr>
            </w:pPr>
            <w:r>
              <w:rPr>
                <w:rFonts w:hint="eastAsia" w:ascii="Times New Roman"/>
                <w:sz w:val="21"/>
                <w:szCs w:val="21"/>
                <w:highlight w:val="none"/>
              </w:rPr>
              <w:t>≥11</w:t>
            </w:r>
          </w:p>
        </w:tc>
      </w:tr>
      <w:tr w14:paraId="278FD8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3256" w:type="dxa"/>
            <w:gridSpan w:val="2"/>
            <w:tcBorders>
              <w:top w:val="single" w:color="auto" w:sz="6" w:space="0"/>
              <w:left w:val="single" w:color="auto" w:sz="12" w:space="0"/>
              <w:bottom w:val="single" w:color="auto" w:sz="6" w:space="0"/>
              <w:right w:val="single" w:color="auto" w:sz="6" w:space="0"/>
            </w:tcBorders>
            <w:vAlign w:val="center"/>
          </w:tcPr>
          <w:p w14:paraId="078676F3">
            <w:pPr>
              <w:widowControl/>
              <w:ind w:firstLine="0" w:firstLineChars="0"/>
              <w:rPr>
                <w:rFonts w:ascii="Times New Roman"/>
                <w:sz w:val="21"/>
                <w:szCs w:val="21"/>
                <w:highlight w:val="none"/>
              </w:rPr>
            </w:pPr>
            <w:r>
              <w:rPr>
                <w:rFonts w:hint="eastAsia" w:ascii="Times New Roman"/>
                <w:sz w:val="21"/>
                <w:szCs w:val="21"/>
                <w:highlight w:val="none"/>
              </w:rPr>
              <w:t>热膨胀系数（20～200℃）</w:t>
            </w:r>
          </w:p>
        </w:tc>
        <w:tc>
          <w:tcPr>
            <w:tcW w:w="2670" w:type="dxa"/>
            <w:tcBorders>
              <w:top w:val="single" w:color="auto" w:sz="6" w:space="0"/>
              <w:left w:val="single" w:color="auto" w:sz="6" w:space="0"/>
              <w:bottom w:val="single" w:color="auto" w:sz="6" w:space="0"/>
              <w:right w:val="single" w:color="auto" w:sz="6" w:space="0"/>
            </w:tcBorders>
            <w:vAlign w:val="center"/>
          </w:tcPr>
          <w:p w14:paraId="04F64611">
            <w:pPr>
              <w:widowControl/>
              <w:ind w:firstLine="0" w:firstLineChars="0"/>
              <w:jc w:val="center"/>
              <w:rPr>
                <w:rFonts w:ascii="Times New Roman"/>
                <w:sz w:val="21"/>
                <w:szCs w:val="21"/>
                <w:highlight w:val="none"/>
              </w:rPr>
            </w:pPr>
            <w:r>
              <w:rPr>
                <w:rFonts w:hint="eastAsia" w:ascii="Times New Roman"/>
                <w:sz w:val="21"/>
                <w:szCs w:val="21"/>
                <w:highlight w:val="none"/>
              </w:rPr>
              <w:t>10-6/K</w:t>
            </w:r>
          </w:p>
        </w:tc>
        <w:tc>
          <w:tcPr>
            <w:tcW w:w="2593" w:type="dxa"/>
            <w:tcBorders>
              <w:top w:val="single" w:color="auto" w:sz="6" w:space="0"/>
              <w:left w:val="single" w:color="auto" w:sz="6" w:space="0"/>
              <w:bottom w:val="single" w:color="auto" w:sz="6" w:space="0"/>
              <w:right w:val="single" w:color="auto" w:sz="12" w:space="0"/>
            </w:tcBorders>
            <w:vAlign w:val="center"/>
          </w:tcPr>
          <w:p w14:paraId="7ED7DCF1">
            <w:pPr>
              <w:widowControl/>
              <w:ind w:firstLine="0" w:firstLineChars="0"/>
              <w:jc w:val="center"/>
              <w:rPr>
                <w:rFonts w:ascii="Times New Roman"/>
                <w:sz w:val="21"/>
                <w:szCs w:val="21"/>
                <w:highlight w:val="none"/>
              </w:rPr>
            </w:pPr>
            <w:r>
              <w:rPr>
                <w:rFonts w:hint="eastAsia" w:ascii="Times New Roman"/>
                <w:sz w:val="21"/>
                <w:szCs w:val="21"/>
                <w:highlight w:val="none"/>
              </w:rPr>
              <w:t>≤2.5</w:t>
            </w:r>
          </w:p>
        </w:tc>
      </w:tr>
      <w:tr w14:paraId="2BE85E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256" w:type="dxa"/>
            <w:gridSpan w:val="2"/>
            <w:tcBorders>
              <w:top w:val="single" w:color="auto" w:sz="6" w:space="0"/>
              <w:left w:val="single" w:color="auto" w:sz="12" w:space="0"/>
              <w:bottom w:val="single" w:color="auto" w:sz="12" w:space="0"/>
              <w:right w:val="single" w:color="auto" w:sz="6" w:space="0"/>
            </w:tcBorders>
            <w:vAlign w:val="center"/>
          </w:tcPr>
          <w:p w14:paraId="23319607">
            <w:pPr>
              <w:widowControl/>
              <w:ind w:firstLine="0" w:firstLineChars="0"/>
              <w:rPr>
                <w:rFonts w:ascii="Times New Roman"/>
                <w:sz w:val="21"/>
                <w:szCs w:val="21"/>
                <w:highlight w:val="none"/>
              </w:rPr>
            </w:pPr>
            <w:r>
              <w:rPr>
                <w:rFonts w:hint="eastAsia" w:ascii="Times New Roman"/>
                <w:sz w:val="21"/>
                <w:szCs w:val="21"/>
                <w:highlight w:val="none"/>
              </w:rPr>
              <w:t>使用部位</w:t>
            </w:r>
          </w:p>
        </w:tc>
        <w:tc>
          <w:tcPr>
            <w:tcW w:w="5263" w:type="dxa"/>
            <w:gridSpan w:val="2"/>
            <w:tcBorders>
              <w:top w:val="single" w:color="auto" w:sz="6" w:space="0"/>
              <w:left w:val="single" w:color="auto" w:sz="6" w:space="0"/>
              <w:bottom w:val="single" w:color="auto" w:sz="12" w:space="0"/>
              <w:right w:val="single" w:color="auto" w:sz="12" w:space="0"/>
            </w:tcBorders>
            <w:vAlign w:val="center"/>
          </w:tcPr>
          <w:p w14:paraId="44E4A643">
            <w:pPr>
              <w:widowControl/>
              <w:ind w:firstLine="0" w:firstLineChars="0"/>
              <w:rPr>
                <w:rFonts w:ascii="Times New Roman"/>
                <w:sz w:val="21"/>
                <w:szCs w:val="21"/>
                <w:highlight w:val="none"/>
              </w:rPr>
            </w:pPr>
            <w:r>
              <w:rPr>
                <w:rFonts w:hint="eastAsia" w:ascii="Times New Roman"/>
                <w:kern w:val="0"/>
                <w:sz w:val="21"/>
                <w:szCs w:val="21"/>
                <w:highlight w:val="none"/>
              </w:rPr>
              <w:t>炉底第4~5层采用国产超微孔炭砖，炉缸第5层炭砖至铁口中心线之上约800mm的区域环砌国产超微孔炭砖</w:t>
            </w:r>
          </w:p>
        </w:tc>
      </w:tr>
    </w:tbl>
    <w:p w14:paraId="42EA52BF">
      <w:pPr>
        <w:numPr>
          <w:ilvl w:val="0"/>
          <w:numId w:val="16"/>
        </w:numPr>
        <w:ind w:left="480" w:leftChars="0" w:firstLine="0" w:firstLineChars="0"/>
        <w:rPr>
          <w:highlight w:val="none"/>
        </w:rPr>
      </w:pPr>
      <w:bookmarkStart w:id="313" w:name="_Toc5965"/>
      <w:r>
        <w:rPr>
          <w:highlight w:val="none"/>
        </w:rPr>
        <w:t>国产炭砖配套炭素胶泥</w:t>
      </w:r>
      <w:bookmarkEnd w:id="313"/>
    </w:p>
    <w:tbl>
      <w:tblPr>
        <w:tblStyle w:val="6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108" w:type="dxa"/>
          <w:bottom w:w="57" w:type="dxa"/>
          <w:right w:w="108" w:type="dxa"/>
        </w:tblCellMar>
      </w:tblPr>
      <w:tblGrid>
        <w:gridCol w:w="3222"/>
        <w:gridCol w:w="2548"/>
        <w:gridCol w:w="2749"/>
      </w:tblGrid>
      <w:tr w14:paraId="4D8CB9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blHeader/>
        </w:trPr>
        <w:tc>
          <w:tcPr>
            <w:tcW w:w="3222" w:type="dxa"/>
          </w:tcPr>
          <w:p w14:paraId="46F1F2E8">
            <w:pPr>
              <w:spacing w:line="240" w:lineRule="auto"/>
              <w:ind w:firstLine="0" w:firstLineChars="0"/>
              <w:jc w:val="center"/>
              <w:rPr>
                <w:rFonts w:ascii="Times New Roman"/>
                <w:sz w:val="21"/>
                <w:szCs w:val="21"/>
                <w:highlight w:val="none"/>
              </w:rPr>
            </w:pPr>
            <w:r>
              <w:rPr>
                <w:rFonts w:ascii="Times New Roman"/>
                <w:sz w:val="21"/>
                <w:szCs w:val="21"/>
                <w:highlight w:val="none"/>
              </w:rPr>
              <w:t>项    目</w:t>
            </w:r>
          </w:p>
        </w:tc>
        <w:tc>
          <w:tcPr>
            <w:tcW w:w="2548" w:type="dxa"/>
          </w:tcPr>
          <w:p w14:paraId="39716D3F">
            <w:pPr>
              <w:spacing w:line="240" w:lineRule="auto"/>
              <w:ind w:firstLine="0" w:firstLineChars="0"/>
              <w:jc w:val="center"/>
              <w:rPr>
                <w:rFonts w:ascii="Times New Roman"/>
                <w:sz w:val="21"/>
                <w:szCs w:val="21"/>
                <w:highlight w:val="none"/>
              </w:rPr>
            </w:pPr>
            <w:r>
              <w:rPr>
                <w:rFonts w:ascii="Times New Roman"/>
                <w:sz w:val="21"/>
                <w:szCs w:val="21"/>
                <w:highlight w:val="none"/>
              </w:rPr>
              <w:t>单   位</w:t>
            </w:r>
          </w:p>
        </w:tc>
        <w:tc>
          <w:tcPr>
            <w:tcW w:w="2749" w:type="dxa"/>
          </w:tcPr>
          <w:p w14:paraId="1D3CE6B1">
            <w:pPr>
              <w:spacing w:line="240" w:lineRule="auto"/>
              <w:ind w:firstLine="0" w:firstLineChars="0"/>
              <w:jc w:val="center"/>
              <w:rPr>
                <w:rFonts w:ascii="Times New Roman"/>
                <w:sz w:val="21"/>
                <w:szCs w:val="21"/>
                <w:highlight w:val="none"/>
              </w:rPr>
            </w:pPr>
            <w:r>
              <w:rPr>
                <w:rFonts w:ascii="Times New Roman"/>
                <w:sz w:val="21"/>
                <w:szCs w:val="21"/>
                <w:highlight w:val="none"/>
              </w:rPr>
              <w:t>指   标</w:t>
            </w:r>
          </w:p>
        </w:tc>
      </w:tr>
      <w:tr w14:paraId="5CA9F2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rPr>
        <w:tc>
          <w:tcPr>
            <w:tcW w:w="3222" w:type="dxa"/>
          </w:tcPr>
          <w:p w14:paraId="010D99B0">
            <w:pPr>
              <w:spacing w:line="240" w:lineRule="auto"/>
              <w:ind w:firstLine="0" w:firstLineChars="0"/>
              <w:rPr>
                <w:rFonts w:ascii="Times New Roman"/>
                <w:sz w:val="21"/>
                <w:szCs w:val="21"/>
                <w:highlight w:val="none"/>
              </w:rPr>
            </w:pPr>
            <w:r>
              <w:rPr>
                <w:rFonts w:ascii="Times New Roman"/>
                <w:sz w:val="21"/>
                <w:szCs w:val="21"/>
                <w:highlight w:val="none"/>
              </w:rPr>
              <w:t>碳含量</w:t>
            </w:r>
          </w:p>
        </w:tc>
        <w:tc>
          <w:tcPr>
            <w:tcW w:w="2548" w:type="dxa"/>
          </w:tcPr>
          <w:p w14:paraId="60779CCF">
            <w:pPr>
              <w:spacing w:line="240" w:lineRule="auto"/>
              <w:ind w:firstLine="0" w:firstLineChars="0"/>
              <w:jc w:val="center"/>
              <w:rPr>
                <w:rFonts w:ascii="Times New Roman"/>
                <w:sz w:val="21"/>
                <w:szCs w:val="21"/>
                <w:highlight w:val="none"/>
              </w:rPr>
            </w:pPr>
            <w:r>
              <w:rPr>
                <w:rFonts w:ascii="Times New Roman"/>
                <w:sz w:val="21"/>
                <w:szCs w:val="21"/>
                <w:highlight w:val="none"/>
              </w:rPr>
              <w:t>%</w:t>
            </w:r>
          </w:p>
        </w:tc>
        <w:tc>
          <w:tcPr>
            <w:tcW w:w="2749" w:type="dxa"/>
          </w:tcPr>
          <w:p w14:paraId="0662AB64">
            <w:pPr>
              <w:spacing w:line="240" w:lineRule="auto"/>
              <w:ind w:firstLine="0" w:firstLineChars="0"/>
              <w:jc w:val="center"/>
              <w:rPr>
                <w:rFonts w:ascii="Times New Roman"/>
                <w:sz w:val="21"/>
                <w:szCs w:val="21"/>
                <w:highlight w:val="none"/>
              </w:rPr>
            </w:pPr>
            <w:r>
              <w:rPr>
                <w:rFonts w:ascii="Times New Roman"/>
                <w:sz w:val="21"/>
                <w:szCs w:val="21"/>
                <w:highlight w:val="none"/>
              </w:rPr>
              <w:t>≥5</w:t>
            </w:r>
            <w:r>
              <w:rPr>
                <w:rFonts w:hint="eastAsia" w:ascii="Times New Roman"/>
                <w:sz w:val="21"/>
                <w:szCs w:val="21"/>
                <w:highlight w:val="none"/>
              </w:rPr>
              <w:t>4</w:t>
            </w:r>
          </w:p>
        </w:tc>
      </w:tr>
      <w:tr w14:paraId="1BC0F1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rPr>
        <w:tc>
          <w:tcPr>
            <w:tcW w:w="3222" w:type="dxa"/>
          </w:tcPr>
          <w:p w14:paraId="196E3E99">
            <w:pPr>
              <w:spacing w:line="240" w:lineRule="auto"/>
              <w:ind w:firstLine="0" w:firstLineChars="0"/>
              <w:rPr>
                <w:rFonts w:ascii="Times New Roman"/>
                <w:sz w:val="21"/>
                <w:szCs w:val="21"/>
                <w:highlight w:val="none"/>
              </w:rPr>
            </w:pPr>
            <w:r>
              <w:rPr>
                <w:rFonts w:ascii="Times New Roman"/>
                <w:sz w:val="21"/>
                <w:szCs w:val="21"/>
                <w:highlight w:val="none"/>
              </w:rPr>
              <w:t>灰分</w:t>
            </w:r>
          </w:p>
        </w:tc>
        <w:tc>
          <w:tcPr>
            <w:tcW w:w="2548" w:type="dxa"/>
          </w:tcPr>
          <w:p w14:paraId="0C2B54F7">
            <w:pPr>
              <w:spacing w:line="240" w:lineRule="auto"/>
              <w:ind w:firstLine="0" w:firstLineChars="0"/>
              <w:jc w:val="center"/>
              <w:rPr>
                <w:rFonts w:ascii="Times New Roman"/>
                <w:sz w:val="21"/>
                <w:szCs w:val="21"/>
                <w:highlight w:val="none"/>
              </w:rPr>
            </w:pPr>
            <w:r>
              <w:rPr>
                <w:rFonts w:ascii="Times New Roman"/>
                <w:sz w:val="21"/>
                <w:szCs w:val="21"/>
                <w:highlight w:val="none"/>
              </w:rPr>
              <w:t>%</w:t>
            </w:r>
          </w:p>
        </w:tc>
        <w:tc>
          <w:tcPr>
            <w:tcW w:w="2749" w:type="dxa"/>
          </w:tcPr>
          <w:p w14:paraId="28D4C55D">
            <w:pPr>
              <w:spacing w:line="240" w:lineRule="auto"/>
              <w:ind w:firstLine="0" w:firstLineChars="0"/>
              <w:jc w:val="center"/>
              <w:rPr>
                <w:rFonts w:ascii="Times New Roman"/>
                <w:sz w:val="21"/>
                <w:szCs w:val="21"/>
                <w:highlight w:val="none"/>
              </w:rPr>
            </w:pPr>
            <w:r>
              <w:rPr>
                <w:rFonts w:ascii="Times New Roman"/>
                <w:sz w:val="21"/>
                <w:szCs w:val="21"/>
                <w:highlight w:val="none"/>
              </w:rPr>
              <w:t>≤</w:t>
            </w:r>
            <w:r>
              <w:rPr>
                <w:rFonts w:hint="eastAsia" w:ascii="Times New Roman"/>
                <w:sz w:val="21"/>
                <w:szCs w:val="21"/>
                <w:highlight w:val="none"/>
              </w:rPr>
              <w:t>8</w:t>
            </w:r>
          </w:p>
        </w:tc>
      </w:tr>
      <w:tr w14:paraId="05C343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rPr>
        <w:tc>
          <w:tcPr>
            <w:tcW w:w="3222" w:type="dxa"/>
          </w:tcPr>
          <w:p w14:paraId="408BC2FB">
            <w:pPr>
              <w:spacing w:line="240" w:lineRule="auto"/>
              <w:ind w:firstLine="0" w:firstLineChars="0"/>
              <w:rPr>
                <w:rFonts w:ascii="Times New Roman"/>
                <w:sz w:val="21"/>
                <w:szCs w:val="21"/>
                <w:highlight w:val="none"/>
              </w:rPr>
            </w:pPr>
            <w:r>
              <w:rPr>
                <w:rFonts w:ascii="Times New Roman"/>
                <w:sz w:val="21"/>
                <w:szCs w:val="21"/>
                <w:highlight w:val="none"/>
              </w:rPr>
              <w:t>挥发份</w:t>
            </w:r>
          </w:p>
        </w:tc>
        <w:tc>
          <w:tcPr>
            <w:tcW w:w="2548" w:type="dxa"/>
          </w:tcPr>
          <w:p w14:paraId="2C9908BA">
            <w:pPr>
              <w:spacing w:line="240" w:lineRule="auto"/>
              <w:ind w:firstLine="0" w:firstLineChars="0"/>
              <w:jc w:val="center"/>
              <w:rPr>
                <w:rFonts w:ascii="Times New Roman"/>
                <w:sz w:val="21"/>
                <w:szCs w:val="21"/>
                <w:highlight w:val="none"/>
              </w:rPr>
            </w:pPr>
            <w:r>
              <w:rPr>
                <w:rFonts w:ascii="Times New Roman"/>
                <w:sz w:val="21"/>
                <w:szCs w:val="21"/>
                <w:highlight w:val="none"/>
              </w:rPr>
              <w:t>%</w:t>
            </w:r>
          </w:p>
        </w:tc>
        <w:tc>
          <w:tcPr>
            <w:tcW w:w="2749" w:type="dxa"/>
          </w:tcPr>
          <w:p w14:paraId="163C7BF4">
            <w:pPr>
              <w:spacing w:line="240" w:lineRule="auto"/>
              <w:ind w:firstLine="0" w:firstLineChars="0"/>
              <w:jc w:val="center"/>
              <w:rPr>
                <w:rFonts w:ascii="Times New Roman"/>
                <w:sz w:val="21"/>
                <w:szCs w:val="21"/>
                <w:highlight w:val="none"/>
              </w:rPr>
            </w:pPr>
            <w:r>
              <w:rPr>
                <w:rFonts w:ascii="Times New Roman"/>
                <w:sz w:val="21"/>
                <w:szCs w:val="21"/>
                <w:highlight w:val="none"/>
              </w:rPr>
              <w:t>≤3</w:t>
            </w:r>
            <w:r>
              <w:rPr>
                <w:rFonts w:hint="eastAsia" w:ascii="Times New Roman"/>
                <w:sz w:val="21"/>
                <w:szCs w:val="21"/>
                <w:highlight w:val="none"/>
              </w:rPr>
              <w:t>5</w:t>
            </w:r>
          </w:p>
        </w:tc>
      </w:tr>
      <w:tr w14:paraId="56E5A7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rPr>
        <w:tc>
          <w:tcPr>
            <w:tcW w:w="3222" w:type="dxa"/>
            <w:vAlign w:val="center"/>
          </w:tcPr>
          <w:p w14:paraId="7169023E">
            <w:pPr>
              <w:spacing w:line="240" w:lineRule="auto"/>
              <w:ind w:firstLine="0" w:firstLineChars="0"/>
              <w:rPr>
                <w:rFonts w:ascii="Times New Roman"/>
                <w:sz w:val="21"/>
                <w:szCs w:val="21"/>
                <w:highlight w:val="none"/>
              </w:rPr>
            </w:pPr>
            <w:r>
              <w:rPr>
                <w:rFonts w:ascii="Times New Roman"/>
                <w:sz w:val="21"/>
                <w:szCs w:val="21"/>
                <w:highlight w:val="none"/>
              </w:rPr>
              <w:t>粘结抗折强度</w:t>
            </w:r>
          </w:p>
        </w:tc>
        <w:tc>
          <w:tcPr>
            <w:tcW w:w="2548" w:type="dxa"/>
          </w:tcPr>
          <w:p w14:paraId="452C7AD0">
            <w:pPr>
              <w:spacing w:line="240" w:lineRule="auto"/>
              <w:ind w:firstLine="0" w:firstLineChars="0"/>
              <w:jc w:val="center"/>
              <w:rPr>
                <w:rFonts w:ascii="Times New Roman"/>
                <w:sz w:val="21"/>
                <w:szCs w:val="21"/>
                <w:highlight w:val="none"/>
              </w:rPr>
            </w:pPr>
            <w:r>
              <w:rPr>
                <w:rFonts w:ascii="Times New Roman"/>
                <w:sz w:val="21"/>
                <w:szCs w:val="21"/>
                <w:highlight w:val="none"/>
              </w:rPr>
              <w:t>MPa</w:t>
            </w:r>
          </w:p>
        </w:tc>
        <w:tc>
          <w:tcPr>
            <w:tcW w:w="2749" w:type="dxa"/>
          </w:tcPr>
          <w:p w14:paraId="261061DE">
            <w:pPr>
              <w:spacing w:line="240" w:lineRule="auto"/>
              <w:ind w:firstLine="0" w:firstLineChars="0"/>
              <w:jc w:val="center"/>
              <w:rPr>
                <w:rFonts w:ascii="Times New Roman"/>
                <w:sz w:val="21"/>
                <w:szCs w:val="21"/>
                <w:highlight w:val="none"/>
              </w:rPr>
            </w:pPr>
            <w:r>
              <w:rPr>
                <w:rFonts w:ascii="Times New Roman"/>
                <w:sz w:val="21"/>
                <w:szCs w:val="21"/>
                <w:highlight w:val="none"/>
              </w:rPr>
              <w:t>≥</w:t>
            </w:r>
            <w:r>
              <w:rPr>
                <w:rFonts w:hint="eastAsia" w:ascii="Times New Roman"/>
                <w:sz w:val="21"/>
                <w:szCs w:val="21"/>
                <w:highlight w:val="none"/>
              </w:rPr>
              <w:t>7</w:t>
            </w:r>
          </w:p>
        </w:tc>
      </w:tr>
      <w:tr w14:paraId="128779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rPr>
        <w:tc>
          <w:tcPr>
            <w:tcW w:w="3222" w:type="dxa"/>
          </w:tcPr>
          <w:p w14:paraId="7D4A9435">
            <w:pPr>
              <w:spacing w:line="240" w:lineRule="auto"/>
              <w:ind w:firstLine="0" w:firstLineChars="0"/>
              <w:rPr>
                <w:rFonts w:ascii="Times New Roman"/>
                <w:sz w:val="21"/>
                <w:szCs w:val="21"/>
                <w:highlight w:val="none"/>
              </w:rPr>
            </w:pPr>
            <w:r>
              <w:rPr>
                <w:rFonts w:ascii="Times New Roman"/>
                <w:sz w:val="21"/>
                <w:szCs w:val="21"/>
                <w:highlight w:val="none"/>
              </w:rPr>
              <w:t>挤压缝实验≥170</w:t>
            </w:r>
            <w:r>
              <w:rPr>
                <w:rFonts w:hint="eastAsia" w:cs="宋体"/>
                <w:sz w:val="21"/>
                <w:szCs w:val="21"/>
                <w:highlight w:val="none"/>
              </w:rPr>
              <w:t>℃</w:t>
            </w:r>
            <w:r>
              <w:rPr>
                <w:rFonts w:ascii="Times New Roman"/>
                <w:sz w:val="21"/>
                <w:szCs w:val="21"/>
                <w:highlight w:val="none"/>
              </w:rPr>
              <w:t>固化24h</w:t>
            </w:r>
          </w:p>
        </w:tc>
        <w:tc>
          <w:tcPr>
            <w:tcW w:w="2548" w:type="dxa"/>
          </w:tcPr>
          <w:p w14:paraId="6149AB96">
            <w:pPr>
              <w:spacing w:line="240" w:lineRule="auto"/>
              <w:ind w:firstLine="0" w:firstLineChars="0"/>
              <w:jc w:val="center"/>
              <w:rPr>
                <w:rFonts w:ascii="Times New Roman"/>
                <w:sz w:val="21"/>
                <w:szCs w:val="21"/>
                <w:highlight w:val="none"/>
              </w:rPr>
            </w:pPr>
            <w:r>
              <w:rPr>
                <w:rFonts w:ascii="Times New Roman"/>
                <w:sz w:val="21"/>
                <w:szCs w:val="21"/>
                <w:highlight w:val="none"/>
              </w:rPr>
              <w:t>mm</w:t>
            </w:r>
          </w:p>
        </w:tc>
        <w:tc>
          <w:tcPr>
            <w:tcW w:w="2749" w:type="dxa"/>
          </w:tcPr>
          <w:p w14:paraId="44EEF963">
            <w:pPr>
              <w:spacing w:line="240" w:lineRule="auto"/>
              <w:ind w:firstLine="0" w:firstLineChars="0"/>
              <w:jc w:val="center"/>
              <w:rPr>
                <w:rFonts w:ascii="Times New Roman"/>
                <w:sz w:val="21"/>
                <w:szCs w:val="21"/>
                <w:highlight w:val="none"/>
              </w:rPr>
            </w:pPr>
            <w:r>
              <w:rPr>
                <w:rFonts w:ascii="Times New Roman"/>
                <w:sz w:val="21"/>
                <w:szCs w:val="21"/>
                <w:highlight w:val="none"/>
              </w:rPr>
              <w:t>≤1</w:t>
            </w:r>
          </w:p>
        </w:tc>
      </w:tr>
      <w:tr w14:paraId="64F2FB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rPr>
        <w:tc>
          <w:tcPr>
            <w:tcW w:w="3222" w:type="dxa"/>
          </w:tcPr>
          <w:p w14:paraId="17021B1A">
            <w:pPr>
              <w:spacing w:line="240" w:lineRule="auto"/>
              <w:ind w:firstLine="0" w:firstLineChars="0"/>
              <w:rPr>
                <w:rFonts w:ascii="Times New Roman"/>
                <w:sz w:val="21"/>
                <w:szCs w:val="21"/>
                <w:highlight w:val="none"/>
              </w:rPr>
            </w:pPr>
            <w:r>
              <w:rPr>
                <w:rFonts w:ascii="Times New Roman"/>
                <w:sz w:val="21"/>
                <w:szCs w:val="21"/>
                <w:highlight w:val="none"/>
              </w:rPr>
              <w:t>施工温度</w:t>
            </w:r>
          </w:p>
        </w:tc>
        <w:tc>
          <w:tcPr>
            <w:tcW w:w="2548" w:type="dxa"/>
          </w:tcPr>
          <w:p w14:paraId="6E92295D">
            <w:pPr>
              <w:spacing w:line="240" w:lineRule="auto"/>
              <w:ind w:firstLine="0" w:firstLineChars="0"/>
              <w:jc w:val="center"/>
              <w:rPr>
                <w:rFonts w:ascii="Times New Roman"/>
                <w:sz w:val="21"/>
                <w:szCs w:val="21"/>
                <w:highlight w:val="none"/>
              </w:rPr>
            </w:pPr>
            <w:r>
              <w:rPr>
                <w:rFonts w:hint="eastAsia" w:cs="宋体"/>
                <w:sz w:val="21"/>
                <w:szCs w:val="21"/>
                <w:highlight w:val="none"/>
              </w:rPr>
              <w:t>℃</w:t>
            </w:r>
          </w:p>
        </w:tc>
        <w:tc>
          <w:tcPr>
            <w:tcW w:w="2749" w:type="dxa"/>
          </w:tcPr>
          <w:p w14:paraId="39C7F6CB">
            <w:pPr>
              <w:spacing w:line="240" w:lineRule="auto"/>
              <w:ind w:firstLine="0" w:firstLineChars="0"/>
              <w:jc w:val="center"/>
              <w:rPr>
                <w:rFonts w:ascii="Times New Roman"/>
                <w:sz w:val="21"/>
                <w:szCs w:val="21"/>
                <w:highlight w:val="none"/>
              </w:rPr>
            </w:pPr>
            <w:r>
              <w:rPr>
                <w:rFonts w:hint="eastAsia" w:ascii="Times New Roman"/>
                <w:sz w:val="21"/>
                <w:szCs w:val="21"/>
                <w:highlight w:val="none"/>
              </w:rPr>
              <w:t>5</w:t>
            </w:r>
            <w:r>
              <w:rPr>
                <w:rFonts w:hint="eastAsia" w:cs="宋体"/>
                <w:kern w:val="0"/>
                <w:highlight w:val="none"/>
              </w:rPr>
              <w:t>～4</w:t>
            </w:r>
            <w:r>
              <w:rPr>
                <w:rFonts w:ascii="Times New Roman"/>
                <w:sz w:val="21"/>
                <w:szCs w:val="21"/>
                <w:highlight w:val="none"/>
              </w:rPr>
              <w:t>0</w:t>
            </w:r>
          </w:p>
        </w:tc>
      </w:tr>
      <w:tr w14:paraId="276A18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rPr>
        <w:tc>
          <w:tcPr>
            <w:tcW w:w="3222" w:type="dxa"/>
          </w:tcPr>
          <w:p w14:paraId="52F8141C">
            <w:pPr>
              <w:spacing w:line="240" w:lineRule="auto"/>
              <w:ind w:firstLine="0" w:firstLineChars="0"/>
              <w:jc w:val="both"/>
              <w:rPr>
                <w:rFonts w:ascii="Times New Roman"/>
                <w:sz w:val="21"/>
                <w:szCs w:val="21"/>
                <w:highlight w:val="none"/>
              </w:rPr>
            </w:pPr>
            <w:r>
              <w:rPr>
                <w:rFonts w:hint="eastAsia" w:ascii="Times New Roman"/>
                <w:sz w:val="21"/>
                <w:szCs w:val="21"/>
                <w:highlight w:val="none"/>
              </w:rPr>
              <w:t>使用部位</w:t>
            </w:r>
          </w:p>
        </w:tc>
        <w:tc>
          <w:tcPr>
            <w:tcW w:w="5297" w:type="dxa"/>
            <w:gridSpan w:val="2"/>
          </w:tcPr>
          <w:p w14:paraId="5508B570">
            <w:pPr>
              <w:spacing w:line="240" w:lineRule="auto"/>
              <w:ind w:firstLine="0" w:firstLineChars="0"/>
              <w:jc w:val="center"/>
              <w:rPr>
                <w:rFonts w:ascii="Times New Roman"/>
                <w:sz w:val="21"/>
                <w:szCs w:val="21"/>
                <w:highlight w:val="none"/>
              </w:rPr>
            </w:pPr>
            <w:r>
              <w:rPr>
                <w:rFonts w:hint="eastAsia" w:ascii="Times New Roman"/>
                <w:sz w:val="21"/>
                <w:szCs w:val="21"/>
                <w:highlight w:val="none"/>
              </w:rPr>
              <w:t>砌筑炭砖</w:t>
            </w:r>
          </w:p>
        </w:tc>
      </w:tr>
    </w:tbl>
    <w:p w14:paraId="412704EB">
      <w:pPr>
        <w:numPr>
          <w:ilvl w:val="0"/>
          <w:numId w:val="16"/>
        </w:numPr>
        <w:ind w:left="480" w:leftChars="0" w:firstLine="0" w:firstLineChars="0"/>
        <w:rPr>
          <w:highlight w:val="none"/>
        </w:rPr>
      </w:pPr>
      <w:bookmarkStart w:id="314" w:name="_Toc8392"/>
      <w:r>
        <w:rPr>
          <w:rFonts w:hint="eastAsia"/>
          <w:highlight w:val="none"/>
        </w:rPr>
        <w:t>炭素捣打料</w:t>
      </w:r>
      <w:bookmarkEnd w:id="314"/>
    </w:p>
    <w:tbl>
      <w:tblPr>
        <w:tblStyle w:val="6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46"/>
        <w:gridCol w:w="1510"/>
        <w:gridCol w:w="2280"/>
        <w:gridCol w:w="2783"/>
      </w:tblGrid>
      <w:tr w14:paraId="405AA5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91" w:hRule="atLeast"/>
          <w:jc w:val="center"/>
        </w:trPr>
        <w:tc>
          <w:tcPr>
            <w:tcW w:w="3456" w:type="dxa"/>
            <w:gridSpan w:val="2"/>
            <w:vAlign w:val="center"/>
          </w:tcPr>
          <w:p w14:paraId="02DD7140">
            <w:pPr>
              <w:ind w:firstLine="0" w:firstLineChars="0"/>
              <w:jc w:val="center"/>
              <w:rPr>
                <w:spacing w:val="-3"/>
                <w:sz w:val="21"/>
                <w:szCs w:val="21"/>
                <w:highlight w:val="none"/>
              </w:rPr>
            </w:pPr>
            <w:r>
              <w:rPr>
                <w:spacing w:val="-3"/>
                <w:sz w:val="21"/>
                <w:szCs w:val="21"/>
                <w:highlight w:val="none"/>
              </w:rPr>
              <w:t>项     目</w:t>
            </w:r>
          </w:p>
        </w:tc>
        <w:tc>
          <w:tcPr>
            <w:tcW w:w="2280" w:type="dxa"/>
            <w:vAlign w:val="center"/>
          </w:tcPr>
          <w:p w14:paraId="125309C2">
            <w:pPr>
              <w:ind w:firstLine="0" w:firstLineChars="0"/>
              <w:jc w:val="center"/>
              <w:rPr>
                <w:spacing w:val="-3"/>
                <w:sz w:val="21"/>
                <w:szCs w:val="21"/>
                <w:highlight w:val="none"/>
              </w:rPr>
            </w:pPr>
            <w:r>
              <w:rPr>
                <w:spacing w:val="-3"/>
                <w:sz w:val="21"/>
                <w:szCs w:val="21"/>
                <w:highlight w:val="none"/>
              </w:rPr>
              <w:t>单 位</w:t>
            </w:r>
          </w:p>
        </w:tc>
        <w:tc>
          <w:tcPr>
            <w:tcW w:w="2783" w:type="dxa"/>
            <w:vAlign w:val="center"/>
          </w:tcPr>
          <w:p w14:paraId="16361580">
            <w:pPr>
              <w:ind w:firstLine="0" w:firstLineChars="0"/>
              <w:jc w:val="center"/>
              <w:rPr>
                <w:spacing w:val="-3"/>
                <w:sz w:val="21"/>
                <w:szCs w:val="21"/>
                <w:highlight w:val="none"/>
              </w:rPr>
            </w:pPr>
          </w:p>
        </w:tc>
      </w:tr>
      <w:tr w14:paraId="3599ED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91" w:hRule="atLeast"/>
          <w:jc w:val="center"/>
        </w:trPr>
        <w:tc>
          <w:tcPr>
            <w:tcW w:w="3456" w:type="dxa"/>
            <w:gridSpan w:val="2"/>
            <w:vAlign w:val="center"/>
          </w:tcPr>
          <w:p w14:paraId="5A48672F">
            <w:pPr>
              <w:ind w:firstLine="0" w:firstLineChars="0"/>
              <w:rPr>
                <w:spacing w:val="-3"/>
                <w:sz w:val="21"/>
                <w:szCs w:val="21"/>
                <w:highlight w:val="none"/>
              </w:rPr>
            </w:pPr>
            <w:r>
              <w:rPr>
                <w:spacing w:val="-3"/>
                <w:sz w:val="21"/>
                <w:szCs w:val="21"/>
                <w:highlight w:val="none"/>
              </w:rPr>
              <w:t>模子容重</w:t>
            </w:r>
          </w:p>
        </w:tc>
        <w:tc>
          <w:tcPr>
            <w:tcW w:w="2280" w:type="dxa"/>
            <w:vAlign w:val="center"/>
          </w:tcPr>
          <w:p w14:paraId="395FC2E4">
            <w:pPr>
              <w:ind w:firstLine="0" w:firstLineChars="0"/>
              <w:jc w:val="center"/>
              <w:rPr>
                <w:spacing w:val="-3"/>
                <w:sz w:val="21"/>
                <w:szCs w:val="21"/>
                <w:highlight w:val="none"/>
              </w:rPr>
            </w:pPr>
            <w:r>
              <w:rPr>
                <w:spacing w:val="-3"/>
                <w:sz w:val="21"/>
                <w:szCs w:val="21"/>
                <w:highlight w:val="none"/>
              </w:rPr>
              <w:t>g/m</w:t>
            </w:r>
            <w:r>
              <w:rPr>
                <w:spacing w:val="-3"/>
                <w:sz w:val="21"/>
                <w:szCs w:val="21"/>
                <w:highlight w:val="none"/>
                <w:vertAlign w:val="superscript"/>
              </w:rPr>
              <w:t>3</w:t>
            </w:r>
          </w:p>
        </w:tc>
        <w:tc>
          <w:tcPr>
            <w:tcW w:w="2783" w:type="dxa"/>
            <w:vAlign w:val="center"/>
          </w:tcPr>
          <w:p w14:paraId="6DD6ABAE">
            <w:pPr>
              <w:ind w:firstLine="0" w:firstLineChars="0"/>
              <w:jc w:val="center"/>
              <w:rPr>
                <w:spacing w:val="-3"/>
                <w:sz w:val="21"/>
                <w:szCs w:val="21"/>
                <w:highlight w:val="none"/>
              </w:rPr>
            </w:pPr>
            <w:r>
              <w:rPr>
                <w:spacing w:val="-3"/>
                <w:sz w:val="21"/>
                <w:szCs w:val="21"/>
                <w:highlight w:val="none"/>
              </w:rPr>
              <w:t>≥1.65</w:t>
            </w:r>
          </w:p>
        </w:tc>
      </w:tr>
      <w:tr w14:paraId="1852FA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456" w:type="dxa"/>
            <w:gridSpan w:val="2"/>
            <w:vAlign w:val="center"/>
          </w:tcPr>
          <w:p w14:paraId="3AEA960C">
            <w:pPr>
              <w:ind w:firstLine="0" w:firstLineChars="0"/>
              <w:rPr>
                <w:spacing w:val="-3"/>
                <w:sz w:val="21"/>
                <w:szCs w:val="21"/>
                <w:highlight w:val="none"/>
              </w:rPr>
            </w:pPr>
            <w:r>
              <w:rPr>
                <w:spacing w:val="-3"/>
                <w:sz w:val="21"/>
                <w:szCs w:val="21"/>
                <w:highlight w:val="none"/>
              </w:rPr>
              <w:t>耐压强度（110℃</w:t>
            </w:r>
            <w:r>
              <w:rPr>
                <w:kern w:val="0"/>
                <w:sz w:val="21"/>
                <w:szCs w:val="21"/>
                <w:highlight w:val="none"/>
              </w:rPr>
              <w:t>×</w:t>
            </w:r>
            <w:r>
              <w:rPr>
                <w:spacing w:val="-3"/>
                <w:sz w:val="21"/>
                <w:szCs w:val="21"/>
                <w:highlight w:val="none"/>
              </w:rPr>
              <w:t>24h）</w:t>
            </w:r>
          </w:p>
        </w:tc>
        <w:tc>
          <w:tcPr>
            <w:tcW w:w="2280" w:type="dxa"/>
            <w:vAlign w:val="center"/>
          </w:tcPr>
          <w:p w14:paraId="71B292CC">
            <w:pPr>
              <w:ind w:firstLine="0" w:firstLineChars="0"/>
              <w:jc w:val="center"/>
              <w:rPr>
                <w:spacing w:val="-3"/>
                <w:sz w:val="21"/>
                <w:szCs w:val="21"/>
                <w:highlight w:val="none"/>
              </w:rPr>
            </w:pPr>
            <w:r>
              <w:rPr>
                <w:spacing w:val="-3"/>
                <w:sz w:val="21"/>
                <w:szCs w:val="21"/>
                <w:highlight w:val="none"/>
              </w:rPr>
              <w:t>MPa</w:t>
            </w:r>
          </w:p>
        </w:tc>
        <w:tc>
          <w:tcPr>
            <w:tcW w:w="2783" w:type="dxa"/>
            <w:vAlign w:val="center"/>
          </w:tcPr>
          <w:p w14:paraId="1B960974">
            <w:pPr>
              <w:ind w:firstLine="0" w:firstLineChars="0"/>
              <w:jc w:val="center"/>
              <w:rPr>
                <w:spacing w:val="-3"/>
                <w:sz w:val="21"/>
                <w:szCs w:val="21"/>
                <w:highlight w:val="none"/>
              </w:rPr>
            </w:pPr>
            <w:r>
              <w:rPr>
                <w:spacing w:val="-3"/>
                <w:sz w:val="21"/>
                <w:szCs w:val="21"/>
                <w:highlight w:val="none"/>
              </w:rPr>
              <w:t>≥</w:t>
            </w:r>
            <w:r>
              <w:rPr>
                <w:rFonts w:hint="eastAsia"/>
                <w:spacing w:val="-3"/>
                <w:sz w:val="21"/>
                <w:szCs w:val="21"/>
                <w:highlight w:val="none"/>
              </w:rPr>
              <w:t>5</w:t>
            </w:r>
          </w:p>
        </w:tc>
      </w:tr>
      <w:tr w14:paraId="66C5C6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92" w:hRule="atLeast"/>
          <w:jc w:val="center"/>
        </w:trPr>
        <w:tc>
          <w:tcPr>
            <w:tcW w:w="1946" w:type="dxa"/>
            <w:vMerge w:val="restart"/>
            <w:vAlign w:val="center"/>
          </w:tcPr>
          <w:p w14:paraId="4023038F">
            <w:pPr>
              <w:ind w:firstLine="0" w:firstLineChars="0"/>
              <w:rPr>
                <w:spacing w:val="-3"/>
                <w:sz w:val="21"/>
                <w:szCs w:val="21"/>
                <w:highlight w:val="none"/>
              </w:rPr>
            </w:pPr>
            <w:r>
              <w:rPr>
                <w:spacing w:val="-3"/>
                <w:sz w:val="21"/>
                <w:szCs w:val="21"/>
                <w:highlight w:val="none"/>
              </w:rPr>
              <w:t>导热系数</w:t>
            </w:r>
          </w:p>
        </w:tc>
        <w:tc>
          <w:tcPr>
            <w:tcW w:w="1510" w:type="dxa"/>
            <w:vAlign w:val="center"/>
          </w:tcPr>
          <w:p w14:paraId="27F6384F">
            <w:pPr>
              <w:ind w:firstLine="0" w:firstLineChars="0"/>
              <w:rPr>
                <w:spacing w:val="-3"/>
                <w:sz w:val="21"/>
                <w:szCs w:val="21"/>
                <w:highlight w:val="none"/>
              </w:rPr>
            </w:pPr>
            <w:r>
              <w:rPr>
                <w:spacing w:val="-3"/>
                <w:sz w:val="21"/>
                <w:szCs w:val="21"/>
                <w:highlight w:val="none"/>
              </w:rPr>
              <w:t>室温</w:t>
            </w:r>
          </w:p>
        </w:tc>
        <w:tc>
          <w:tcPr>
            <w:tcW w:w="2280" w:type="dxa"/>
            <w:vMerge w:val="restart"/>
            <w:vAlign w:val="center"/>
          </w:tcPr>
          <w:p w14:paraId="4C531218">
            <w:pPr>
              <w:ind w:firstLine="0" w:firstLineChars="0"/>
              <w:jc w:val="center"/>
              <w:rPr>
                <w:spacing w:val="-3"/>
                <w:sz w:val="21"/>
                <w:szCs w:val="21"/>
                <w:highlight w:val="none"/>
              </w:rPr>
            </w:pPr>
            <w:r>
              <w:rPr>
                <w:spacing w:val="-3"/>
                <w:sz w:val="21"/>
                <w:szCs w:val="21"/>
                <w:highlight w:val="none"/>
              </w:rPr>
              <w:t>W/m.K</w:t>
            </w:r>
          </w:p>
        </w:tc>
        <w:tc>
          <w:tcPr>
            <w:tcW w:w="2783" w:type="dxa"/>
            <w:vAlign w:val="center"/>
          </w:tcPr>
          <w:p w14:paraId="027A0517">
            <w:pPr>
              <w:ind w:firstLine="0" w:firstLineChars="0"/>
              <w:jc w:val="center"/>
              <w:rPr>
                <w:spacing w:val="-3"/>
                <w:sz w:val="21"/>
                <w:szCs w:val="21"/>
                <w:highlight w:val="none"/>
              </w:rPr>
            </w:pPr>
            <w:r>
              <w:rPr>
                <w:spacing w:val="-3"/>
                <w:sz w:val="21"/>
                <w:szCs w:val="21"/>
                <w:highlight w:val="none"/>
              </w:rPr>
              <w:t>≥18</w:t>
            </w:r>
          </w:p>
        </w:tc>
      </w:tr>
      <w:tr w14:paraId="777766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1" w:hRule="atLeast"/>
          <w:jc w:val="center"/>
        </w:trPr>
        <w:tc>
          <w:tcPr>
            <w:tcW w:w="1946" w:type="dxa"/>
            <w:vMerge w:val="continue"/>
            <w:vAlign w:val="center"/>
          </w:tcPr>
          <w:p w14:paraId="0A5C2E5A">
            <w:pPr>
              <w:ind w:firstLine="0" w:firstLineChars="0"/>
              <w:rPr>
                <w:spacing w:val="-3"/>
                <w:sz w:val="21"/>
                <w:szCs w:val="21"/>
                <w:highlight w:val="none"/>
              </w:rPr>
            </w:pPr>
          </w:p>
        </w:tc>
        <w:tc>
          <w:tcPr>
            <w:tcW w:w="1510" w:type="dxa"/>
            <w:vAlign w:val="center"/>
          </w:tcPr>
          <w:p w14:paraId="45BE30A4">
            <w:pPr>
              <w:ind w:firstLine="0" w:firstLineChars="0"/>
              <w:rPr>
                <w:spacing w:val="-3"/>
                <w:sz w:val="21"/>
                <w:szCs w:val="21"/>
                <w:highlight w:val="none"/>
              </w:rPr>
            </w:pPr>
            <w:r>
              <w:rPr>
                <w:spacing w:val="-3"/>
                <w:sz w:val="21"/>
                <w:szCs w:val="21"/>
                <w:highlight w:val="none"/>
              </w:rPr>
              <w:t>100 ℃</w:t>
            </w:r>
          </w:p>
        </w:tc>
        <w:tc>
          <w:tcPr>
            <w:tcW w:w="2280" w:type="dxa"/>
            <w:vMerge w:val="continue"/>
            <w:vAlign w:val="center"/>
          </w:tcPr>
          <w:p w14:paraId="4505F9E0">
            <w:pPr>
              <w:ind w:firstLine="0" w:firstLineChars="0"/>
              <w:jc w:val="center"/>
              <w:rPr>
                <w:spacing w:val="-3"/>
                <w:sz w:val="21"/>
                <w:szCs w:val="21"/>
                <w:highlight w:val="none"/>
              </w:rPr>
            </w:pPr>
          </w:p>
        </w:tc>
        <w:tc>
          <w:tcPr>
            <w:tcW w:w="2783" w:type="dxa"/>
            <w:vAlign w:val="center"/>
          </w:tcPr>
          <w:p w14:paraId="37C70F01">
            <w:pPr>
              <w:ind w:firstLine="0" w:firstLineChars="0"/>
              <w:jc w:val="center"/>
              <w:rPr>
                <w:spacing w:val="-3"/>
                <w:sz w:val="21"/>
                <w:szCs w:val="21"/>
                <w:highlight w:val="none"/>
              </w:rPr>
            </w:pPr>
            <w:r>
              <w:rPr>
                <w:spacing w:val="-3"/>
                <w:sz w:val="21"/>
                <w:szCs w:val="21"/>
                <w:highlight w:val="none"/>
              </w:rPr>
              <w:t>≥19</w:t>
            </w:r>
          </w:p>
        </w:tc>
      </w:tr>
      <w:tr w14:paraId="6A46DA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946" w:type="dxa"/>
            <w:vMerge w:val="continue"/>
            <w:vAlign w:val="center"/>
          </w:tcPr>
          <w:p w14:paraId="2E53CCDD">
            <w:pPr>
              <w:ind w:firstLine="0" w:firstLineChars="0"/>
              <w:rPr>
                <w:spacing w:val="-3"/>
                <w:sz w:val="21"/>
                <w:szCs w:val="21"/>
                <w:highlight w:val="none"/>
              </w:rPr>
            </w:pPr>
          </w:p>
        </w:tc>
        <w:tc>
          <w:tcPr>
            <w:tcW w:w="1510" w:type="dxa"/>
            <w:vAlign w:val="center"/>
          </w:tcPr>
          <w:p w14:paraId="7CF70C62">
            <w:pPr>
              <w:ind w:firstLine="0" w:firstLineChars="0"/>
              <w:rPr>
                <w:spacing w:val="-3"/>
                <w:sz w:val="21"/>
                <w:szCs w:val="21"/>
                <w:highlight w:val="none"/>
              </w:rPr>
            </w:pPr>
            <w:r>
              <w:rPr>
                <w:spacing w:val="-3"/>
                <w:sz w:val="21"/>
                <w:szCs w:val="21"/>
                <w:highlight w:val="none"/>
              </w:rPr>
              <w:t>300℃</w:t>
            </w:r>
          </w:p>
        </w:tc>
        <w:tc>
          <w:tcPr>
            <w:tcW w:w="2280" w:type="dxa"/>
            <w:vMerge w:val="continue"/>
            <w:vAlign w:val="center"/>
          </w:tcPr>
          <w:p w14:paraId="6893519C">
            <w:pPr>
              <w:ind w:firstLine="0" w:firstLineChars="0"/>
              <w:jc w:val="center"/>
              <w:rPr>
                <w:spacing w:val="-3"/>
                <w:sz w:val="21"/>
                <w:szCs w:val="21"/>
                <w:highlight w:val="none"/>
              </w:rPr>
            </w:pPr>
          </w:p>
        </w:tc>
        <w:tc>
          <w:tcPr>
            <w:tcW w:w="2783" w:type="dxa"/>
            <w:vAlign w:val="center"/>
          </w:tcPr>
          <w:p w14:paraId="6443C56D">
            <w:pPr>
              <w:ind w:firstLine="0" w:firstLineChars="0"/>
              <w:jc w:val="center"/>
              <w:rPr>
                <w:spacing w:val="-3"/>
                <w:sz w:val="21"/>
                <w:szCs w:val="21"/>
                <w:highlight w:val="none"/>
              </w:rPr>
            </w:pPr>
            <w:r>
              <w:rPr>
                <w:spacing w:val="-3"/>
                <w:sz w:val="21"/>
                <w:szCs w:val="21"/>
                <w:highlight w:val="none"/>
              </w:rPr>
              <w:t>≥19</w:t>
            </w:r>
          </w:p>
        </w:tc>
      </w:tr>
      <w:tr w14:paraId="48AB26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456" w:type="dxa"/>
            <w:gridSpan w:val="2"/>
            <w:vAlign w:val="center"/>
          </w:tcPr>
          <w:p w14:paraId="7FA028AE">
            <w:pPr>
              <w:ind w:firstLine="0" w:firstLineChars="0"/>
              <w:rPr>
                <w:spacing w:val="-3"/>
                <w:sz w:val="21"/>
                <w:szCs w:val="21"/>
                <w:highlight w:val="none"/>
              </w:rPr>
            </w:pPr>
            <w:r>
              <w:rPr>
                <w:spacing w:val="-3"/>
                <w:sz w:val="21"/>
                <w:szCs w:val="21"/>
                <w:highlight w:val="none"/>
              </w:rPr>
              <w:t>固定碳</w:t>
            </w:r>
          </w:p>
        </w:tc>
        <w:tc>
          <w:tcPr>
            <w:tcW w:w="2280" w:type="dxa"/>
            <w:vAlign w:val="center"/>
          </w:tcPr>
          <w:p w14:paraId="58A942C2">
            <w:pPr>
              <w:ind w:firstLine="0" w:firstLineChars="0"/>
              <w:jc w:val="center"/>
              <w:rPr>
                <w:spacing w:val="-3"/>
                <w:sz w:val="21"/>
                <w:szCs w:val="21"/>
                <w:highlight w:val="none"/>
              </w:rPr>
            </w:pPr>
            <w:r>
              <w:rPr>
                <w:spacing w:val="-3"/>
                <w:sz w:val="21"/>
                <w:szCs w:val="21"/>
                <w:highlight w:val="none"/>
              </w:rPr>
              <w:t>%</w:t>
            </w:r>
          </w:p>
        </w:tc>
        <w:tc>
          <w:tcPr>
            <w:tcW w:w="2783" w:type="dxa"/>
            <w:vAlign w:val="center"/>
          </w:tcPr>
          <w:p w14:paraId="5AAC3100">
            <w:pPr>
              <w:ind w:firstLine="0" w:firstLineChars="0"/>
              <w:jc w:val="center"/>
              <w:rPr>
                <w:spacing w:val="-3"/>
                <w:sz w:val="21"/>
                <w:szCs w:val="21"/>
                <w:highlight w:val="none"/>
              </w:rPr>
            </w:pPr>
            <w:r>
              <w:rPr>
                <w:spacing w:val="-3"/>
                <w:sz w:val="21"/>
                <w:szCs w:val="21"/>
                <w:highlight w:val="none"/>
              </w:rPr>
              <w:t>≥</w:t>
            </w:r>
            <w:r>
              <w:rPr>
                <w:rFonts w:hint="eastAsia"/>
                <w:spacing w:val="-3"/>
                <w:sz w:val="21"/>
                <w:szCs w:val="21"/>
                <w:highlight w:val="none"/>
              </w:rPr>
              <w:t>90</w:t>
            </w:r>
          </w:p>
        </w:tc>
      </w:tr>
      <w:tr w14:paraId="17E67B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7" w:hRule="atLeast"/>
          <w:jc w:val="center"/>
        </w:trPr>
        <w:tc>
          <w:tcPr>
            <w:tcW w:w="3456" w:type="dxa"/>
            <w:gridSpan w:val="2"/>
            <w:vAlign w:val="center"/>
          </w:tcPr>
          <w:p w14:paraId="458573E1">
            <w:pPr>
              <w:ind w:firstLine="0" w:firstLineChars="0"/>
              <w:rPr>
                <w:spacing w:val="-3"/>
                <w:sz w:val="21"/>
                <w:szCs w:val="21"/>
                <w:highlight w:val="none"/>
              </w:rPr>
            </w:pPr>
            <w:r>
              <w:rPr>
                <w:spacing w:val="-3"/>
                <w:sz w:val="21"/>
                <w:szCs w:val="21"/>
                <w:highlight w:val="none"/>
              </w:rPr>
              <w:t>结合剂</w:t>
            </w:r>
          </w:p>
        </w:tc>
        <w:tc>
          <w:tcPr>
            <w:tcW w:w="2280" w:type="dxa"/>
            <w:vAlign w:val="center"/>
          </w:tcPr>
          <w:p w14:paraId="03024EB9">
            <w:pPr>
              <w:ind w:firstLine="0" w:firstLineChars="0"/>
              <w:jc w:val="center"/>
              <w:rPr>
                <w:spacing w:val="-3"/>
                <w:sz w:val="21"/>
                <w:szCs w:val="21"/>
                <w:highlight w:val="none"/>
              </w:rPr>
            </w:pPr>
          </w:p>
        </w:tc>
        <w:tc>
          <w:tcPr>
            <w:tcW w:w="2783" w:type="dxa"/>
          </w:tcPr>
          <w:p w14:paraId="49CB8719">
            <w:pPr>
              <w:ind w:firstLine="0" w:firstLineChars="0"/>
              <w:jc w:val="center"/>
              <w:rPr>
                <w:spacing w:val="-3"/>
                <w:sz w:val="21"/>
                <w:szCs w:val="21"/>
                <w:highlight w:val="none"/>
              </w:rPr>
            </w:pPr>
            <w:r>
              <w:rPr>
                <w:rFonts w:hint="eastAsia" w:ascii="Times New Roman"/>
                <w:sz w:val="21"/>
                <w:szCs w:val="21"/>
                <w:highlight w:val="none"/>
              </w:rPr>
              <w:t>焦油</w:t>
            </w:r>
          </w:p>
        </w:tc>
      </w:tr>
      <w:tr w14:paraId="6F35AF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456" w:type="dxa"/>
            <w:gridSpan w:val="2"/>
            <w:vAlign w:val="center"/>
          </w:tcPr>
          <w:p w14:paraId="1FFDFF68">
            <w:pPr>
              <w:ind w:firstLine="0" w:firstLineChars="0"/>
              <w:rPr>
                <w:spacing w:val="-3"/>
                <w:sz w:val="21"/>
                <w:szCs w:val="21"/>
                <w:highlight w:val="none"/>
              </w:rPr>
            </w:pPr>
            <w:r>
              <w:rPr>
                <w:spacing w:val="-3"/>
                <w:sz w:val="21"/>
                <w:szCs w:val="21"/>
                <w:highlight w:val="none"/>
              </w:rPr>
              <w:t>施工</w:t>
            </w:r>
            <w:r>
              <w:rPr>
                <w:rFonts w:hint="eastAsia"/>
                <w:spacing w:val="-3"/>
                <w:sz w:val="21"/>
                <w:szCs w:val="21"/>
                <w:highlight w:val="none"/>
              </w:rPr>
              <w:t>温度</w:t>
            </w:r>
          </w:p>
        </w:tc>
        <w:tc>
          <w:tcPr>
            <w:tcW w:w="2280" w:type="dxa"/>
            <w:vAlign w:val="center"/>
          </w:tcPr>
          <w:p w14:paraId="32F7FEE9">
            <w:pPr>
              <w:ind w:firstLine="0" w:firstLineChars="0"/>
              <w:jc w:val="center"/>
              <w:rPr>
                <w:spacing w:val="-3"/>
                <w:sz w:val="21"/>
                <w:szCs w:val="21"/>
                <w:highlight w:val="none"/>
              </w:rPr>
            </w:pPr>
            <w:r>
              <w:rPr>
                <w:rFonts w:hint="eastAsia" w:cs="宋体"/>
                <w:sz w:val="21"/>
                <w:szCs w:val="21"/>
                <w:highlight w:val="none"/>
              </w:rPr>
              <w:t>℃</w:t>
            </w:r>
          </w:p>
        </w:tc>
        <w:tc>
          <w:tcPr>
            <w:tcW w:w="2783" w:type="dxa"/>
          </w:tcPr>
          <w:p w14:paraId="0770DE00">
            <w:pPr>
              <w:ind w:firstLine="0" w:firstLineChars="0"/>
              <w:jc w:val="center"/>
              <w:rPr>
                <w:spacing w:val="-3"/>
                <w:sz w:val="21"/>
                <w:szCs w:val="21"/>
                <w:highlight w:val="none"/>
              </w:rPr>
            </w:pPr>
            <w:r>
              <w:rPr>
                <w:rFonts w:hint="eastAsia"/>
                <w:spacing w:val="-3"/>
                <w:sz w:val="21"/>
                <w:szCs w:val="21"/>
                <w:highlight w:val="none"/>
              </w:rPr>
              <w:t>5</w:t>
            </w:r>
            <w:r>
              <w:rPr>
                <w:sz w:val="21"/>
                <w:szCs w:val="21"/>
                <w:highlight w:val="none"/>
              </w:rPr>
              <w:t>～</w:t>
            </w:r>
            <w:r>
              <w:rPr>
                <w:rFonts w:hint="eastAsia"/>
                <w:sz w:val="21"/>
                <w:szCs w:val="21"/>
                <w:highlight w:val="none"/>
              </w:rPr>
              <w:t>40</w:t>
            </w:r>
          </w:p>
        </w:tc>
      </w:tr>
      <w:tr w14:paraId="6C2C0D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456" w:type="dxa"/>
            <w:gridSpan w:val="2"/>
            <w:vAlign w:val="center"/>
          </w:tcPr>
          <w:p w14:paraId="042E14D5">
            <w:pPr>
              <w:ind w:firstLine="0" w:firstLineChars="0"/>
              <w:rPr>
                <w:spacing w:val="-3"/>
                <w:sz w:val="21"/>
                <w:szCs w:val="21"/>
                <w:highlight w:val="none"/>
              </w:rPr>
            </w:pPr>
            <w:r>
              <w:rPr>
                <w:rFonts w:hint="eastAsia"/>
                <w:spacing w:val="-3"/>
                <w:sz w:val="21"/>
                <w:szCs w:val="21"/>
                <w:highlight w:val="none"/>
              </w:rPr>
              <w:t>使用部位</w:t>
            </w:r>
          </w:p>
        </w:tc>
        <w:tc>
          <w:tcPr>
            <w:tcW w:w="5063" w:type="dxa"/>
            <w:gridSpan w:val="2"/>
            <w:vAlign w:val="center"/>
          </w:tcPr>
          <w:p w14:paraId="153EC62B">
            <w:pPr>
              <w:ind w:firstLine="0" w:firstLineChars="0"/>
              <w:rPr>
                <w:spacing w:val="-3"/>
                <w:sz w:val="21"/>
                <w:szCs w:val="21"/>
                <w:highlight w:val="none"/>
              </w:rPr>
            </w:pPr>
            <w:r>
              <w:rPr>
                <w:rFonts w:hint="eastAsia"/>
                <w:sz w:val="21"/>
                <w:szCs w:val="21"/>
                <w:highlight w:val="none"/>
              </w:rPr>
              <w:t>国产炭砖与冷却壁之间。</w:t>
            </w:r>
          </w:p>
        </w:tc>
      </w:tr>
    </w:tbl>
    <w:p w14:paraId="1B559177">
      <w:pPr>
        <w:numPr>
          <w:ilvl w:val="0"/>
          <w:numId w:val="16"/>
        </w:numPr>
        <w:ind w:left="480" w:leftChars="0" w:firstLine="0" w:firstLineChars="0"/>
        <w:rPr>
          <w:highlight w:val="none"/>
        </w:rPr>
      </w:pPr>
      <w:r>
        <w:rPr>
          <w:rFonts w:hint="eastAsia"/>
          <w:highlight w:val="none"/>
        </w:rPr>
        <w:t xml:space="preserve"> </w:t>
      </w:r>
      <w:bookmarkStart w:id="315" w:name="_Toc32503"/>
      <w:r>
        <w:rPr>
          <w:rFonts w:hint="eastAsia"/>
          <w:highlight w:val="none"/>
        </w:rPr>
        <w:t>铁屑填料</w:t>
      </w:r>
      <w:bookmarkEnd w:id="315"/>
      <w:r>
        <w:rPr>
          <w:rFonts w:hint="eastAsia"/>
          <w:highlight w:val="none"/>
        </w:rPr>
        <w:t xml:space="preserve"> </w:t>
      </w:r>
    </w:p>
    <w:tbl>
      <w:tblPr>
        <w:tblStyle w:val="6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108" w:type="dxa"/>
          <w:bottom w:w="57" w:type="dxa"/>
          <w:right w:w="108" w:type="dxa"/>
        </w:tblCellMar>
      </w:tblPr>
      <w:tblGrid>
        <w:gridCol w:w="2015"/>
        <w:gridCol w:w="1621"/>
        <w:gridCol w:w="4886"/>
      </w:tblGrid>
      <w:tr w14:paraId="4D23CA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0" w:hRule="atLeast"/>
          <w:jc w:val="center"/>
        </w:trPr>
        <w:tc>
          <w:tcPr>
            <w:tcW w:w="3636" w:type="dxa"/>
            <w:gridSpan w:val="2"/>
            <w:vAlign w:val="center"/>
          </w:tcPr>
          <w:p w14:paraId="47618F10">
            <w:pPr>
              <w:spacing w:line="240" w:lineRule="auto"/>
              <w:ind w:firstLine="0" w:firstLineChars="0"/>
              <w:rPr>
                <w:rFonts w:ascii="Times New Roman"/>
                <w:bCs/>
                <w:sz w:val="21"/>
                <w:szCs w:val="21"/>
                <w:highlight w:val="none"/>
              </w:rPr>
            </w:pPr>
            <w:r>
              <w:rPr>
                <w:rFonts w:ascii="Times New Roman"/>
                <w:bCs/>
                <w:sz w:val="21"/>
                <w:szCs w:val="21"/>
                <w:highlight w:val="none"/>
              </w:rPr>
              <w:t>项           目</w:t>
            </w:r>
          </w:p>
        </w:tc>
        <w:tc>
          <w:tcPr>
            <w:tcW w:w="4886" w:type="dxa"/>
            <w:vAlign w:val="center"/>
          </w:tcPr>
          <w:p w14:paraId="65C04C21">
            <w:pPr>
              <w:spacing w:line="240" w:lineRule="auto"/>
              <w:ind w:firstLine="0" w:firstLineChars="0"/>
              <w:jc w:val="center"/>
              <w:rPr>
                <w:rFonts w:ascii="Times New Roman"/>
                <w:bCs/>
                <w:sz w:val="21"/>
                <w:szCs w:val="21"/>
                <w:highlight w:val="none"/>
              </w:rPr>
            </w:pPr>
            <w:r>
              <w:rPr>
                <w:rFonts w:ascii="Times New Roman"/>
                <w:bCs/>
                <w:sz w:val="21"/>
                <w:szCs w:val="21"/>
                <w:highlight w:val="none"/>
              </w:rPr>
              <w:t>指  标</w:t>
            </w:r>
          </w:p>
        </w:tc>
      </w:tr>
      <w:tr w14:paraId="4E48F3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0" w:hRule="atLeast"/>
          <w:jc w:val="center"/>
        </w:trPr>
        <w:tc>
          <w:tcPr>
            <w:tcW w:w="3636" w:type="dxa"/>
            <w:gridSpan w:val="2"/>
            <w:vAlign w:val="center"/>
          </w:tcPr>
          <w:p w14:paraId="242EEA33">
            <w:pPr>
              <w:spacing w:line="240" w:lineRule="auto"/>
              <w:ind w:firstLine="0" w:firstLineChars="0"/>
              <w:rPr>
                <w:rFonts w:ascii="Times New Roman"/>
                <w:bCs/>
                <w:sz w:val="21"/>
                <w:szCs w:val="21"/>
                <w:highlight w:val="none"/>
              </w:rPr>
            </w:pPr>
            <w:r>
              <w:rPr>
                <w:rFonts w:ascii="Times New Roman"/>
                <w:bCs/>
                <w:sz w:val="21"/>
                <w:szCs w:val="21"/>
                <w:highlight w:val="none"/>
              </w:rPr>
              <w:t>体积密度（g/cm</w:t>
            </w:r>
            <w:r>
              <w:rPr>
                <w:rFonts w:ascii="Times New Roman"/>
                <w:bCs/>
                <w:sz w:val="21"/>
                <w:szCs w:val="21"/>
                <w:highlight w:val="none"/>
                <w:vertAlign w:val="superscript"/>
              </w:rPr>
              <w:t>3</w:t>
            </w:r>
            <w:r>
              <w:rPr>
                <w:rFonts w:ascii="Times New Roman"/>
                <w:bCs/>
                <w:sz w:val="21"/>
                <w:szCs w:val="21"/>
                <w:highlight w:val="none"/>
              </w:rPr>
              <w:t>）</w:t>
            </w:r>
          </w:p>
        </w:tc>
        <w:tc>
          <w:tcPr>
            <w:tcW w:w="4886" w:type="dxa"/>
            <w:vAlign w:val="center"/>
          </w:tcPr>
          <w:p w14:paraId="1FA56941">
            <w:pPr>
              <w:spacing w:line="240" w:lineRule="auto"/>
              <w:ind w:firstLine="0" w:firstLineChars="0"/>
              <w:jc w:val="center"/>
              <w:rPr>
                <w:rFonts w:ascii="Times New Roman"/>
                <w:bCs/>
                <w:sz w:val="21"/>
                <w:szCs w:val="21"/>
                <w:highlight w:val="none"/>
              </w:rPr>
            </w:pPr>
            <w:r>
              <w:rPr>
                <w:rFonts w:ascii="Times New Roman"/>
                <w:bCs/>
                <w:sz w:val="21"/>
                <w:szCs w:val="21"/>
                <w:highlight w:val="none"/>
              </w:rPr>
              <w:t>≥3.5</w:t>
            </w:r>
          </w:p>
        </w:tc>
      </w:tr>
      <w:tr w14:paraId="041C29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0" w:hRule="atLeast"/>
          <w:jc w:val="center"/>
        </w:trPr>
        <w:tc>
          <w:tcPr>
            <w:tcW w:w="2015" w:type="dxa"/>
            <w:vMerge w:val="restart"/>
            <w:vAlign w:val="center"/>
          </w:tcPr>
          <w:p w14:paraId="3506053A">
            <w:pPr>
              <w:spacing w:line="240" w:lineRule="auto"/>
              <w:ind w:firstLine="0" w:firstLineChars="0"/>
              <w:rPr>
                <w:rFonts w:ascii="Times New Roman"/>
                <w:bCs/>
                <w:sz w:val="21"/>
                <w:szCs w:val="21"/>
                <w:highlight w:val="none"/>
              </w:rPr>
            </w:pPr>
            <w:r>
              <w:rPr>
                <w:rFonts w:ascii="Times New Roman"/>
                <w:bCs/>
                <w:sz w:val="21"/>
                <w:szCs w:val="21"/>
                <w:highlight w:val="none"/>
              </w:rPr>
              <w:t>抗折强度   (MPa)</w:t>
            </w:r>
          </w:p>
        </w:tc>
        <w:tc>
          <w:tcPr>
            <w:tcW w:w="1621" w:type="dxa"/>
            <w:vAlign w:val="center"/>
          </w:tcPr>
          <w:p w14:paraId="020A2F94">
            <w:pPr>
              <w:spacing w:line="240" w:lineRule="auto"/>
              <w:ind w:firstLine="0" w:firstLineChars="0"/>
              <w:rPr>
                <w:rFonts w:ascii="Times New Roman"/>
                <w:bCs/>
                <w:sz w:val="21"/>
                <w:szCs w:val="21"/>
                <w:highlight w:val="none"/>
              </w:rPr>
            </w:pPr>
            <w:r>
              <w:rPr>
                <w:rFonts w:ascii="Times New Roman"/>
                <w:bCs/>
                <w:sz w:val="21"/>
                <w:szCs w:val="21"/>
                <w:highlight w:val="none"/>
              </w:rPr>
              <w:t>110</w:t>
            </w:r>
            <w:r>
              <w:rPr>
                <w:rFonts w:hint="eastAsia" w:cs="宋体"/>
                <w:bCs/>
                <w:sz w:val="21"/>
                <w:szCs w:val="21"/>
                <w:highlight w:val="none"/>
              </w:rPr>
              <w:t>℃</w:t>
            </w:r>
            <w:r>
              <w:rPr>
                <w:rFonts w:ascii="Times New Roman"/>
                <w:bCs/>
                <w:sz w:val="21"/>
                <w:szCs w:val="21"/>
                <w:highlight w:val="none"/>
              </w:rPr>
              <w:t>X24h</w:t>
            </w:r>
          </w:p>
        </w:tc>
        <w:tc>
          <w:tcPr>
            <w:tcW w:w="4886" w:type="dxa"/>
            <w:vAlign w:val="center"/>
          </w:tcPr>
          <w:p w14:paraId="223853FE">
            <w:pPr>
              <w:spacing w:line="240" w:lineRule="auto"/>
              <w:ind w:firstLine="0" w:firstLineChars="0"/>
              <w:jc w:val="center"/>
              <w:rPr>
                <w:rFonts w:ascii="Times New Roman"/>
                <w:bCs/>
                <w:sz w:val="21"/>
                <w:szCs w:val="21"/>
                <w:highlight w:val="none"/>
              </w:rPr>
            </w:pPr>
            <w:r>
              <w:rPr>
                <w:rFonts w:ascii="Times New Roman"/>
                <w:bCs/>
                <w:sz w:val="21"/>
                <w:szCs w:val="21"/>
                <w:highlight w:val="none"/>
              </w:rPr>
              <w:t>≥</w:t>
            </w:r>
            <w:r>
              <w:rPr>
                <w:rFonts w:hint="eastAsia" w:ascii="Times New Roman"/>
                <w:bCs/>
                <w:sz w:val="21"/>
                <w:szCs w:val="21"/>
                <w:highlight w:val="none"/>
              </w:rPr>
              <w:t>8</w:t>
            </w:r>
          </w:p>
        </w:tc>
      </w:tr>
      <w:tr w14:paraId="1D85A9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0" w:hRule="atLeast"/>
          <w:jc w:val="center"/>
        </w:trPr>
        <w:tc>
          <w:tcPr>
            <w:tcW w:w="2015" w:type="dxa"/>
            <w:vMerge w:val="continue"/>
            <w:vAlign w:val="center"/>
          </w:tcPr>
          <w:p w14:paraId="16BE8193">
            <w:pPr>
              <w:spacing w:line="240" w:lineRule="auto"/>
              <w:ind w:firstLine="0" w:firstLineChars="0"/>
              <w:rPr>
                <w:rFonts w:ascii="Times New Roman"/>
                <w:bCs/>
                <w:sz w:val="21"/>
                <w:szCs w:val="21"/>
                <w:highlight w:val="none"/>
              </w:rPr>
            </w:pPr>
          </w:p>
        </w:tc>
        <w:tc>
          <w:tcPr>
            <w:tcW w:w="1621" w:type="dxa"/>
            <w:vAlign w:val="center"/>
          </w:tcPr>
          <w:p w14:paraId="1A7B5805">
            <w:pPr>
              <w:spacing w:line="240" w:lineRule="auto"/>
              <w:ind w:firstLine="0" w:firstLineChars="0"/>
              <w:rPr>
                <w:rFonts w:ascii="Times New Roman"/>
                <w:bCs/>
                <w:sz w:val="21"/>
                <w:szCs w:val="21"/>
                <w:highlight w:val="none"/>
              </w:rPr>
            </w:pPr>
            <w:r>
              <w:rPr>
                <w:rFonts w:ascii="Times New Roman"/>
                <w:bCs/>
                <w:sz w:val="21"/>
                <w:szCs w:val="21"/>
                <w:highlight w:val="none"/>
              </w:rPr>
              <w:t>400</w:t>
            </w:r>
            <w:r>
              <w:rPr>
                <w:rFonts w:hint="eastAsia" w:cs="宋体"/>
                <w:bCs/>
                <w:sz w:val="21"/>
                <w:szCs w:val="21"/>
                <w:highlight w:val="none"/>
              </w:rPr>
              <w:t>℃</w:t>
            </w:r>
            <w:r>
              <w:rPr>
                <w:rFonts w:ascii="Times New Roman"/>
                <w:bCs/>
                <w:sz w:val="21"/>
                <w:szCs w:val="21"/>
                <w:highlight w:val="none"/>
              </w:rPr>
              <w:t>×3h</w:t>
            </w:r>
          </w:p>
        </w:tc>
        <w:tc>
          <w:tcPr>
            <w:tcW w:w="4886" w:type="dxa"/>
            <w:vAlign w:val="center"/>
          </w:tcPr>
          <w:p w14:paraId="4444F400">
            <w:pPr>
              <w:spacing w:line="240" w:lineRule="auto"/>
              <w:ind w:firstLine="0" w:firstLineChars="0"/>
              <w:jc w:val="center"/>
              <w:rPr>
                <w:rFonts w:ascii="Times New Roman"/>
                <w:bCs/>
                <w:sz w:val="21"/>
                <w:szCs w:val="21"/>
                <w:highlight w:val="none"/>
              </w:rPr>
            </w:pPr>
            <w:r>
              <w:rPr>
                <w:rFonts w:ascii="Times New Roman"/>
                <w:bCs/>
                <w:sz w:val="21"/>
                <w:szCs w:val="21"/>
                <w:highlight w:val="none"/>
              </w:rPr>
              <w:t>≥7</w:t>
            </w:r>
          </w:p>
        </w:tc>
      </w:tr>
      <w:tr w14:paraId="2307B8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0" w:hRule="atLeast"/>
          <w:jc w:val="center"/>
        </w:trPr>
        <w:tc>
          <w:tcPr>
            <w:tcW w:w="2015" w:type="dxa"/>
            <w:vMerge w:val="restart"/>
            <w:vAlign w:val="center"/>
          </w:tcPr>
          <w:p w14:paraId="7FBCEDF8">
            <w:pPr>
              <w:spacing w:line="240" w:lineRule="auto"/>
              <w:ind w:firstLine="0" w:firstLineChars="0"/>
              <w:rPr>
                <w:rFonts w:ascii="Times New Roman"/>
                <w:bCs/>
                <w:sz w:val="21"/>
                <w:szCs w:val="21"/>
                <w:highlight w:val="none"/>
              </w:rPr>
            </w:pPr>
            <w:r>
              <w:rPr>
                <w:rFonts w:ascii="Times New Roman"/>
                <w:bCs/>
                <w:sz w:val="21"/>
                <w:szCs w:val="21"/>
                <w:highlight w:val="none"/>
              </w:rPr>
              <w:t>耐压强度   (MPa)</w:t>
            </w:r>
          </w:p>
        </w:tc>
        <w:tc>
          <w:tcPr>
            <w:tcW w:w="1621" w:type="dxa"/>
            <w:vAlign w:val="center"/>
          </w:tcPr>
          <w:p w14:paraId="494E9526">
            <w:pPr>
              <w:spacing w:line="240" w:lineRule="auto"/>
              <w:ind w:firstLine="0" w:firstLineChars="0"/>
              <w:rPr>
                <w:rFonts w:ascii="Times New Roman"/>
                <w:bCs/>
                <w:sz w:val="21"/>
                <w:szCs w:val="21"/>
                <w:highlight w:val="none"/>
              </w:rPr>
            </w:pPr>
            <w:r>
              <w:rPr>
                <w:rFonts w:ascii="Times New Roman"/>
                <w:bCs/>
                <w:sz w:val="21"/>
                <w:szCs w:val="21"/>
                <w:highlight w:val="none"/>
              </w:rPr>
              <w:t>110</w:t>
            </w:r>
            <w:r>
              <w:rPr>
                <w:rFonts w:hint="eastAsia" w:cs="宋体"/>
                <w:bCs/>
                <w:sz w:val="21"/>
                <w:szCs w:val="21"/>
                <w:highlight w:val="none"/>
              </w:rPr>
              <w:t>℃</w:t>
            </w:r>
            <w:r>
              <w:rPr>
                <w:rFonts w:ascii="Times New Roman"/>
                <w:bCs/>
                <w:sz w:val="21"/>
                <w:szCs w:val="21"/>
                <w:highlight w:val="none"/>
              </w:rPr>
              <w:t>X24h</w:t>
            </w:r>
          </w:p>
        </w:tc>
        <w:tc>
          <w:tcPr>
            <w:tcW w:w="4886" w:type="dxa"/>
            <w:vAlign w:val="center"/>
          </w:tcPr>
          <w:p w14:paraId="09C1C5F8">
            <w:pPr>
              <w:spacing w:line="240" w:lineRule="auto"/>
              <w:ind w:firstLine="0" w:firstLineChars="0"/>
              <w:jc w:val="center"/>
              <w:rPr>
                <w:rFonts w:ascii="Times New Roman"/>
                <w:bCs/>
                <w:sz w:val="21"/>
                <w:szCs w:val="21"/>
                <w:highlight w:val="none"/>
              </w:rPr>
            </w:pPr>
            <w:r>
              <w:rPr>
                <w:rFonts w:ascii="Times New Roman"/>
                <w:bCs/>
                <w:sz w:val="21"/>
                <w:szCs w:val="21"/>
                <w:highlight w:val="none"/>
              </w:rPr>
              <w:t>≥15</w:t>
            </w:r>
          </w:p>
        </w:tc>
      </w:tr>
      <w:tr w14:paraId="16AB6C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0" w:hRule="atLeast"/>
          <w:jc w:val="center"/>
        </w:trPr>
        <w:tc>
          <w:tcPr>
            <w:tcW w:w="2015" w:type="dxa"/>
            <w:vMerge w:val="continue"/>
            <w:vAlign w:val="center"/>
          </w:tcPr>
          <w:p w14:paraId="7A0D1640">
            <w:pPr>
              <w:spacing w:line="240" w:lineRule="auto"/>
              <w:ind w:firstLine="0" w:firstLineChars="0"/>
              <w:rPr>
                <w:rFonts w:ascii="Times New Roman"/>
                <w:bCs/>
                <w:sz w:val="21"/>
                <w:szCs w:val="21"/>
                <w:highlight w:val="none"/>
              </w:rPr>
            </w:pPr>
          </w:p>
        </w:tc>
        <w:tc>
          <w:tcPr>
            <w:tcW w:w="1621" w:type="dxa"/>
            <w:vAlign w:val="center"/>
          </w:tcPr>
          <w:p w14:paraId="6F3E1C43">
            <w:pPr>
              <w:spacing w:line="240" w:lineRule="auto"/>
              <w:ind w:firstLine="0" w:firstLineChars="0"/>
              <w:rPr>
                <w:rFonts w:ascii="Times New Roman"/>
                <w:bCs/>
                <w:sz w:val="21"/>
                <w:szCs w:val="21"/>
                <w:highlight w:val="none"/>
              </w:rPr>
            </w:pPr>
            <w:r>
              <w:rPr>
                <w:rFonts w:ascii="Times New Roman"/>
                <w:bCs/>
                <w:sz w:val="21"/>
                <w:szCs w:val="21"/>
                <w:highlight w:val="none"/>
              </w:rPr>
              <w:t>400</w:t>
            </w:r>
            <w:r>
              <w:rPr>
                <w:rFonts w:hint="eastAsia" w:cs="宋体"/>
                <w:bCs/>
                <w:sz w:val="21"/>
                <w:szCs w:val="21"/>
                <w:highlight w:val="none"/>
              </w:rPr>
              <w:t>℃</w:t>
            </w:r>
            <w:r>
              <w:rPr>
                <w:rFonts w:ascii="Times New Roman"/>
                <w:bCs/>
                <w:sz w:val="21"/>
                <w:szCs w:val="21"/>
                <w:highlight w:val="none"/>
              </w:rPr>
              <w:t>×3h</w:t>
            </w:r>
          </w:p>
        </w:tc>
        <w:tc>
          <w:tcPr>
            <w:tcW w:w="4886" w:type="dxa"/>
            <w:vAlign w:val="center"/>
          </w:tcPr>
          <w:p w14:paraId="6722F404">
            <w:pPr>
              <w:spacing w:line="240" w:lineRule="auto"/>
              <w:ind w:firstLine="0" w:firstLineChars="0"/>
              <w:jc w:val="center"/>
              <w:rPr>
                <w:rFonts w:ascii="Times New Roman"/>
                <w:bCs/>
                <w:sz w:val="21"/>
                <w:szCs w:val="21"/>
                <w:highlight w:val="none"/>
              </w:rPr>
            </w:pPr>
            <w:r>
              <w:rPr>
                <w:rFonts w:ascii="Times New Roman"/>
                <w:bCs/>
                <w:sz w:val="21"/>
                <w:szCs w:val="21"/>
                <w:highlight w:val="none"/>
              </w:rPr>
              <w:t>≥</w:t>
            </w:r>
            <w:r>
              <w:rPr>
                <w:rFonts w:hint="eastAsia" w:ascii="Times New Roman"/>
                <w:bCs/>
                <w:sz w:val="21"/>
                <w:szCs w:val="21"/>
                <w:highlight w:val="none"/>
              </w:rPr>
              <w:t>2</w:t>
            </w:r>
            <w:r>
              <w:rPr>
                <w:rFonts w:ascii="Times New Roman"/>
                <w:bCs/>
                <w:sz w:val="21"/>
                <w:szCs w:val="21"/>
                <w:highlight w:val="none"/>
              </w:rPr>
              <w:t>5</w:t>
            </w:r>
          </w:p>
        </w:tc>
      </w:tr>
      <w:tr w14:paraId="261F2C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0" w:hRule="atLeast"/>
          <w:jc w:val="center"/>
        </w:trPr>
        <w:tc>
          <w:tcPr>
            <w:tcW w:w="2015" w:type="dxa"/>
            <w:vAlign w:val="center"/>
          </w:tcPr>
          <w:p w14:paraId="266576BB">
            <w:pPr>
              <w:spacing w:line="240" w:lineRule="auto"/>
              <w:ind w:firstLine="0" w:firstLineChars="0"/>
              <w:rPr>
                <w:rFonts w:ascii="Times New Roman"/>
                <w:bCs/>
                <w:sz w:val="21"/>
                <w:szCs w:val="21"/>
                <w:highlight w:val="none"/>
              </w:rPr>
            </w:pPr>
            <w:r>
              <w:rPr>
                <w:rFonts w:ascii="Times New Roman"/>
                <w:bCs/>
                <w:sz w:val="21"/>
                <w:szCs w:val="21"/>
                <w:highlight w:val="none"/>
              </w:rPr>
              <w:t>导热系数</w:t>
            </w:r>
          </w:p>
        </w:tc>
        <w:tc>
          <w:tcPr>
            <w:tcW w:w="1621" w:type="dxa"/>
            <w:vAlign w:val="center"/>
          </w:tcPr>
          <w:p w14:paraId="7B87C30B">
            <w:pPr>
              <w:spacing w:line="240" w:lineRule="auto"/>
              <w:ind w:firstLine="0" w:firstLineChars="0"/>
              <w:rPr>
                <w:rFonts w:ascii="Times New Roman"/>
                <w:bCs/>
                <w:sz w:val="21"/>
                <w:szCs w:val="21"/>
                <w:highlight w:val="none"/>
              </w:rPr>
            </w:pPr>
            <w:r>
              <w:rPr>
                <w:spacing w:val="-20"/>
                <w:sz w:val="21"/>
                <w:szCs w:val="21"/>
                <w:highlight w:val="none"/>
              </w:rPr>
              <w:t>W/(m·k)</w:t>
            </w:r>
          </w:p>
        </w:tc>
        <w:tc>
          <w:tcPr>
            <w:tcW w:w="4886" w:type="dxa"/>
            <w:vAlign w:val="center"/>
          </w:tcPr>
          <w:p w14:paraId="6B60D05F">
            <w:pPr>
              <w:spacing w:line="240" w:lineRule="auto"/>
              <w:ind w:firstLine="0" w:firstLineChars="0"/>
              <w:jc w:val="center"/>
              <w:rPr>
                <w:rFonts w:ascii="Times New Roman"/>
                <w:bCs/>
                <w:sz w:val="21"/>
                <w:szCs w:val="21"/>
                <w:highlight w:val="none"/>
              </w:rPr>
            </w:pPr>
            <w:r>
              <w:rPr>
                <w:rFonts w:ascii="Times New Roman"/>
                <w:bCs/>
                <w:sz w:val="21"/>
                <w:szCs w:val="21"/>
                <w:highlight w:val="none"/>
              </w:rPr>
              <w:t>≥</w:t>
            </w:r>
            <w:r>
              <w:rPr>
                <w:rFonts w:hint="eastAsia" w:ascii="Times New Roman"/>
                <w:bCs/>
                <w:sz w:val="21"/>
                <w:szCs w:val="21"/>
                <w:highlight w:val="none"/>
              </w:rPr>
              <w:t>12</w:t>
            </w:r>
          </w:p>
        </w:tc>
      </w:tr>
      <w:tr w14:paraId="39C9B6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0" w:hRule="atLeast"/>
          <w:jc w:val="center"/>
        </w:trPr>
        <w:tc>
          <w:tcPr>
            <w:tcW w:w="3636" w:type="dxa"/>
            <w:gridSpan w:val="2"/>
            <w:vAlign w:val="center"/>
          </w:tcPr>
          <w:p w14:paraId="0CEDF7F1">
            <w:pPr>
              <w:spacing w:line="240" w:lineRule="auto"/>
              <w:ind w:firstLine="0" w:firstLineChars="0"/>
              <w:rPr>
                <w:spacing w:val="-20"/>
                <w:sz w:val="21"/>
                <w:szCs w:val="21"/>
                <w:highlight w:val="none"/>
              </w:rPr>
            </w:pPr>
            <w:r>
              <w:rPr>
                <w:rFonts w:hint="eastAsia"/>
                <w:spacing w:val="-3"/>
                <w:sz w:val="21"/>
                <w:szCs w:val="21"/>
                <w:highlight w:val="none"/>
              </w:rPr>
              <w:t>使用部位</w:t>
            </w:r>
          </w:p>
        </w:tc>
        <w:tc>
          <w:tcPr>
            <w:tcW w:w="4886" w:type="dxa"/>
            <w:vAlign w:val="center"/>
          </w:tcPr>
          <w:p w14:paraId="3AFB91DD">
            <w:pPr>
              <w:spacing w:line="240" w:lineRule="auto"/>
              <w:ind w:firstLine="0" w:firstLineChars="0"/>
              <w:rPr>
                <w:rFonts w:ascii="Times New Roman"/>
                <w:bCs/>
                <w:sz w:val="21"/>
                <w:szCs w:val="21"/>
                <w:highlight w:val="none"/>
              </w:rPr>
            </w:pPr>
            <w:r>
              <w:rPr>
                <w:rFonts w:hint="eastAsia" w:ascii="Times New Roman"/>
                <w:bCs/>
                <w:sz w:val="21"/>
                <w:szCs w:val="21"/>
                <w:highlight w:val="none"/>
              </w:rPr>
              <w:t>冷却壁之间的横缝和竖缝的金属部分</w:t>
            </w:r>
          </w:p>
        </w:tc>
      </w:tr>
    </w:tbl>
    <w:p w14:paraId="752BBFB2">
      <w:pPr>
        <w:pStyle w:val="128"/>
        <w:spacing w:before="157" w:beforeLines="50"/>
        <w:ind w:firstLine="480"/>
        <w:jc w:val="both"/>
        <w:rPr>
          <w:rFonts w:ascii="宋体" w:hAnsi="宋体" w:cs="宋体"/>
          <w:sz w:val="24"/>
          <w:highlight w:val="none"/>
        </w:rPr>
      </w:pPr>
      <w:bookmarkStart w:id="316" w:name="_Toc17787"/>
      <w:r>
        <w:rPr>
          <w:rFonts w:hint="eastAsia" w:ascii="宋体" w:hAnsi="宋体" w:cs="宋体"/>
          <w:sz w:val="24"/>
          <w:highlight w:val="none"/>
        </w:rPr>
        <w:t>成分（质量比）：</w:t>
      </w:r>
    </w:p>
    <w:tbl>
      <w:tblPr>
        <w:tblStyle w:val="6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45"/>
        <w:gridCol w:w="2575"/>
      </w:tblGrid>
      <w:tr w14:paraId="4A469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5" w:type="dxa"/>
            <w:tcBorders>
              <w:top w:val="single" w:color="000000" w:sz="12" w:space="0"/>
              <w:left w:val="single" w:color="000000" w:sz="12" w:space="0"/>
            </w:tcBorders>
          </w:tcPr>
          <w:p w14:paraId="4756E405">
            <w:pPr>
              <w:spacing w:line="240" w:lineRule="auto"/>
              <w:ind w:firstLine="0" w:firstLineChars="0"/>
              <w:rPr>
                <w:rFonts w:ascii="Times New Roman"/>
                <w:bCs/>
                <w:sz w:val="21"/>
                <w:szCs w:val="21"/>
                <w:highlight w:val="none"/>
              </w:rPr>
            </w:pPr>
            <w:r>
              <w:rPr>
                <w:rFonts w:hint="eastAsia" w:ascii="Times New Roman"/>
                <w:bCs/>
                <w:sz w:val="21"/>
                <w:szCs w:val="21"/>
                <w:highlight w:val="none"/>
              </w:rPr>
              <w:t>生铁屑：洁净无锈，无油污，粒径1~5mm</w:t>
            </w:r>
          </w:p>
        </w:tc>
        <w:tc>
          <w:tcPr>
            <w:tcW w:w="2575" w:type="dxa"/>
            <w:tcBorders>
              <w:top w:val="single" w:color="000000" w:sz="12" w:space="0"/>
              <w:right w:val="single" w:color="000000" w:sz="12" w:space="0"/>
            </w:tcBorders>
          </w:tcPr>
          <w:p w14:paraId="765947DD">
            <w:pPr>
              <w:spacing w:line="240" w:lineRule="auto"/>
              <w:ind w:firstLine="0" w:firstLineChars="0"/>
              <w:rPr>
                <w:rFonts w:ascii="Times New Roman"/>
                <w:bCs/>
                <w:sz w:val="21"/>
                <w:szCs w:val="21"/>
                <w:highlight w:val="none"/>
              </w:rPr>
            </w:pPr>
            <w:r>
              <w:rPr>
                <w:rFonts w:hint="eastAsia" w:ascii="Times New Roman"/>
                <w:bCs/>
                <w:sz w:val="21"/>
                <w:szCs w:val="21"/>
                <w:highlight w:val="none"/>
              </w:rPr>
              <w:t>70%</w:t>
            </w:r>
          </w:p>
        </w:tc>
      </w:tr>
      <w:tr w14:paraId="2C86A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5" w:type="dxa"/>
            <w:tcBorders>
              <w:left w:val="single" w:color="000000" w:sz="12" w:space="0"/>
            </w:tcBorders>
          </w:tcPr>
          <w:p w14:paraId="7966B6EC">
            <w:pPr>
              <w:spacing w:line="240" w:lineRule="auto"/>
              <w:ind w:firstLine="0" w:firstLineChars="0"/>
              <w:rPr>
                <w:rFonts w:ascii="Times New Roman"/>
                <w:bCs/>
                <w:sz w:val="21"/>
                <w:szCs w:val="21"/>
                <w:highlight w:val="none"/>
              </w:rPr>
            </w:pPr>
            <w:r>
              <w:rPr>
                <w:rFonts w:hint="eastAsia" w:ascii="Times New Roman"/>
                <w:bCs/>
                <w:sz w:val="21"/>
                <w:szCs w:val="21"/>
                <w:highlight w:val="none"/>
              </w:rPr>
              <w:t>黏土熟料粉</w:t>
            </w:r>
          </w:p>
        </w:tc>
        <w:tc>
          <w:tcPr>
            <w:tcW w:w="2575" w:type="dxa"/>
            <w:tcBorders>
              <w:right w:val="single" w:color="000000" w:sz="12" w:space="0"/>
            </w:tcBorders>
          </w:tcPr>
          <w:p w14:paraId="2C859222">
            <w:pPr>
              <w:spacing w:line="240" w:lineRule="auto"/>
              <w:ind w:firstLine="0" w:firstLineChars="0"/>
              <w:rPr>
                <w:rFonts w:ascii="Times New Roman"/>
                <w:bCs/>
                <w:sz w:val="21"/>
                <w:szCs w:val="21"/>
                <w:highlight w:val="none"/>
              </w:rPr>
            </w:pPr>
            <w:r>
              <w:rPr>
                <w:rFonts w:hint="eastAsia" w:ascii="Times New Roman"/>
                <w:bCs/>
                <w:sz w:val="21"/>
                <w:szCs w:val="21"/>
                <w:highlight w:val="none"/>
              </w:rPr>
              <w:t>30%</w:t>
            </w:r>
          </w:p>
        </w:tc>
      </w:tr>
      <w:tr w14:paraId="59D0F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5" w:type="dxa"/>
            <w:tcBorders>
              <w:left w:val="single" w:color="000000" w:sz="12" w:space="0"/>
            </w:tcBorders>
          </w:tcPr>
          <w:p w14:paraId="535CC461">
            <w:pPr>
              <w:spacing w:line="240" w:lineRule="auto"/>
              <w:ind w:firstLine="0" w:firstLineChars="0"/>
              <w:rPr>
                <w:rFonts w:ascii="Times New Roman"/>
                <w:bCs/>
                <w:sz w:val="21"/>
                <w:szCs w:val="21"/>
                <w:highlight w:val="none"/>
              </w:rPr>
            </w:pPr>
            <w:r>
              <w:rPr>
                <w:rFonts w:hint="eastAsia" w:ascii="Times New Roman"/>
                <w:bCs/>
                <w:sz w:val="21"/>
                <w:szCs w:val="21"/>
                <w:highlight w:val="none"/>
              </w:rPr>
              <w:t>水玻璃（密度1.3~1.4g/ml，模数不低于2.2）（外加）</w:t>
            </w:r>
          </w:p>
        </w:tc>
        <w:tc>
          <w:tcPr>
            <w:tcW w:w="2575" w:type="dxa"/>
            <w:tcBorders>
              <w:right w:val="single" w:color="000000" w:sz="12" w:space="0"/>
            </w:tcBorders>
          </w:tcPr>
          <w:p w14:paraId="5007789E">
            <w:pPr>
              <w:spacing w:line="240" w:lineRule="auto"/>
              <w:ind w:firstLine="0" w:firstLineChars="0"/>
              <w:rPr>
                <w:rFonts w:ascii="Times New Roman"/>
                <w:bCs/>
                <w:sz w:val="21"/>
                <w:szCs w:val="21"/>
                <w:highlight w:val="none"/>
              </w:rPr>
            </w:pPr>
            <w:r>
              <w:rPr>
                <w:rFonts w:hint="eastAsia" w:ascii="Times New Roman"/>
                <w:bCs/>
                <w:sz w:val="21"/>
                <w:szCs w:val="21"/>
                <w:highlight w:val="none"/>
              </w:rPr>
              <w:t>15~17%</w:t>
            </w:r>
          </w:p>
        </w:tc>
      </w:tr>
      <w:tr w14:paraId="291CC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5" w:type="dxa"/>
            <w:tcBorders>
              <w:left w:val="single" w:color="000000" w:sz="12" w:space="0"/>
              <w:bottom w:val="single" w:color="000000" w:sz="12" w:space="0"/>
            </w:tcBorders>
          </w:tcPr>
          <w:p w14:paraId="60CA1E11">
            <w:pPr>
              <w:spacing w:line="240" w:lineRule="auto"/>
              <w:ind w:firstLine="0" w:firstLineChars="0"/>
              <w:rPr>
                <w:rFonts w:ascii="Times New Roman"/>
                <w:bCs/>
                <w:sz w:val="21"/>
                <w:szCs w:val="21"/>
                <w:highlight w:val="none"/>
              </w:rPr>
            </w:pPr>
            <w:r>
              <w:rPr>
                <w:rFonts w:hint="eastAsia" w:ascii="Times New Roman"/>
                <w:bCs/>
                <w:sz w:val="21"/>
                <w:szCs w:val="21"/>
                <w:highlight w:val="none"/>
              </w:rPr>
              <w:t>硅酸盐水泥（强度等级42.5）（外加）</w:t>
            </w:r>
          </w:p>
        </w:tc>
        <w:tc>
          <w:tcPr>
            <w:tcW w:w="2575" w:type="dxa"/>
            <w:tcBorders>
              <w:bottom w:val="single" w:color="000000" w:sz="12" w:space="0"/>
              <w:right w:val="single" w:color="000000" w:sz="12" w:space="0"/>
            </w:tcBorders>
          </w:tcPr>
          <w:p w14:paraId="3C3243AF">
            <w:pPr>
              <w:spacing w:line="240" w:lineRule="auto"/>
              <w:ind w:firstLine="0" w:firstLineChars="0"/>
              <w:rPr>
                <w:rFonts w:ascii="Times New Roman"/>
                <w:bCs/>
                <w:sz w:val="21"/>
                <w:szCs w:val="21"/>
                <w:highlight w:val="none"/>
              </w:rPr>
            </w:pPr>
            <w:r>
              <w:rPr>
                <w:rFonts w:hint="eastAsia" w:ascii="Times New Roman"/>
                <w:bCs/>
                <w:sz w:val="21"/>
                <w:szCs w:val="21"/>
                <w:highlight w:val="none"/>
              </w:rPr>
              <w:t>2%</w:t>
            </w:r>
          </w:p>
        </w:tc>
      </w:tr>
    </w:tbl>
    <w:p w14:paraId="46B21B26">
      <w:pPr>
        <w:numPr>
          <w:ilvl w:val="0"/>
          <w:numId w:val="16"/>
        </w:numPr>
        <w:ind w:left="480" w:leftChars="0" w:firstLine="0" w:firstLineChars="0"/>
        <w:rPr>
          <w:highlight w:val="none"/>
        </w:rPr>
      </w:pPr>
      <w:r>
        <w:rPr>
          <w:rFonts w:hint="eastAsia"/>
          <w:highlight w:val="none"/>
        </w:rPr>
        <w:t>微孔刚玉砖</w:t>
      </w:r>
      <w:bookmarkEnd w:id="316"/>
    </w:p>
    <w:tbl>
      <w:tblPr>
        <w:tblStyle w:val="60"/>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28" w:type="dxa"/>
          <w:left w:w="85" w:type="dxa"/>
          <w:bottom w:w="28" w:type="dxa"/>
          <w:right w:w="85" w:type="dxa"/>
        </w:tblCellMar>
      </w:tblPr>
      <w:tblGrid>
        <w:gridCol w:w="3316"/>
        <w:gridCol w:w="1924"/>
        <w:gridCol w:w="3234"/>
      </w:tblGrid>
      <w:tr w14:paraId="02880D0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85" w:type="dxa"/>
            <w:bottom w:w="28" w:type="dxa"/>
            <w:right w:w="85" w:type="dxa"/>
          </w:tblCellMar>
        </w:tblPrEx>
        <w:trPr>
          <w:trHeight w:val="284" w:hRule="atLeast"/>
          <w:jc w:val="center"/>
        </w:trPr>
        <w:tc>
          <w:tcPr>
            <w:tcW w:w="3316" w:type="dxa"/>
            <w:vAlign w:val="center"/>
          </w:tcPr>
          <w:p w14:paraId="44ABC41B">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项目</w:t>
            </w:r>
          </w:p>
        </w:tc>
        <w:tc>
          <w:tcPr>
            <w:tcW w:w="1924" w:type="dxa"/>
            <w:vAlign w:val="center"/>
          </w:tcPr>
          <w:p w14:paraId="3C552344">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单位</w:t>
            </w:r>
          </w:p>
        </w:tc>
        <w:tc>
          <w:tcPr>
            <w:tcW w:w="3234" w:type="dxa"/>
          </w:tcPr>
          <w:p w14:paraId="0A401E08">
            <w:pPr>
              <w:spacing w:line="240" w:lineRule="auto"/>
              <w:ind w:firstLine="0" w:firstLineChars="0"/>
              <w:jc w:val="center"/>
              <w:textAlignment w:val="center"/>
              <w:rPr>
                <w:rFonts w:ascii="Times New Roman"/>
                <w:bCs/>
                <w:sz w:val="21"/>
                <w:szCs w:val="21"/>
                <w:highlight w:val="none"/>
              </w:rPr>
            </w:pPr>
            <w:r>
              <w:rPr>
                <w:rFonts w:hint="eastAsia" w:ascii="Times New Roman"/>
                <w:bCs/>
                <w:sz w:val="21"/>
                <w:szCs w:val="21"/>
                <w:highlight w:val="none"/>
              </w:rPr>
              <w:t>WGZ-83</w:t>
            </w:r>
          </w:p>
        </w:tc>
      </w:tr>
      <w:tr w14:paraId="125EF57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85" w:type="dxa"/>
            <w:bottom w:w="28" w:type="dxa"/>
            <w:right w:w="85" w:type="dxa"/>
          </w:tblCellMar>
        </w:tblPrEx>
        <w:trPr>
          <w:trHeight w:val="284" w:hRule="atLeast"/>
          <w:jc w:val="center"/>
        </w:trPr>
        <w:tc>
          <w:tcPr>
            <w:tcW w:w="3316" w:type="dxa"/>
            <w:vAlign w:val="center"/>
          </w:tcPr>
          <w:p w14:paraId="29E5854D">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w(Al</w:t>
            </w:r>
            <w:r>
              <w:rPr>
                <w:rFonts w:ascii="Times New Roman"/>
                <w:bCs/>
                <w:sz w:val="21"/>
                <w:szCs w:val="21"/>
                <w:highlight w:val="none"/>
                <w:vertAlign w:val="subscript"/>
              </w:rPr>
              <w:t>2</w:t>
            </w:r>
            <w:r>
              <w:rPr>
                <w:rFonts w:ascii="Times New Roman"/>
                <w:bCs/>
                <w:sz w:val="21"/>
                <w:szCs w:val="21"/>
                <w:highlight w:val="none"/>
              </w:rPr>
              <w:t>O</w:t>
            </w:r>
            <w:r>
              <w:rPr>
                <w:rFonts w:ascii="Times New Roman"/>
                <w:bCs/>
                <w:sz w:val="21"/>
                <w:szCs w:val="21"/>
                <w:highlight w:val="none"/>
                <w:vertAlign w:val="subscript"/>
              </w:rPr>
              <w:t>3</w:t>
            </w:r>
            <w:r>
              <w:rPr>
                <w:rFonts w:ascii="Times New Roman"/>
                <w:bCs/>
                <w:sz w:val="21"/>
                <w:szCs w:val="21"/>
                <w:highlight w:val="none"/>
              </w:rPr>
              <w:t>)</w:t>
            </w:r>
          </w:p>
        </w:tc>
        <w:tc>
          <w:tcPr>
            <w:tcW w:w="1924" w:type="dxa"/>
            <w:vAlign w:val="center"/>
          </w:tcPr>
          <w:p w14:paraId="33BDF0BF">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w:t>
            </w:r>
          </w:p>
        </w:tc>
        <w:tc>
          <w:tcPr>
            <w:tcW w:w="3234" w:type="dxa"/>
            <w:vAlign w:val="center"/>
          </w:tcPr>
          <w:p w14:paraId="48F92799">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≥83</w:t>
            </w:r>
          </w:p>
        </w:tc>
      </w:tr>
      <w:tr w14:paraId="1F5C8F7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85" w:type="dxa"/>
            <w:bottom w:w="28" w:type="dxa"/>
            <w:right w:w="85" w:type="dxa"/>
          </w:tblCellMar>
        </w:tblPrEx>
        <w:trPr>
          <w:trHeight w:val="284" w:hRule="atLeast"/>
          <w:jc w:val="center"/>
        </w:trPr>
        <w:tc>
          <w:tcPr>
            <w:tcW w:w="3316" w:type="dxa"/>
            <w:vAlign w:val="center"/>
          </w:tcPr>
          <w:p w14:paraId="220DEC67">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w(Fe</w:t>
            </w:r>
            <w:r>
              <w:rPr>
                <w:rFonts w:ascii="Times New Roman"/>
                <w:bCs/>
                <w:sz w:val="21"/>
                <w:szCs w:val="21"/>
                <w:highlight w:val="none"/>
                <w:vertAlign w:val="subscript"/>
              </w:rPr>
              <w:t>2</w:t>
            </w:r>
            <w:r>
              <w:rPr>
                <w:rFonts w:ascii="Times New Roman"/>
                <w:bCs/>
                <w:sz w:val="21"/>
                <w:szCs w:val="21"/>
                <w:highlight w:val="none"/>
              </w:rPr>
              <w:t>O</w:t>
            </w:r>
            <w:r>
              <w:rPr>
                <w:rFonts w:ascii="Times New Roman"/>
                <w:bCs/>
                <w:sz w:val="21"/>
                <w:szCs w:val="21"/>
                <w:highlight w:val="none"/>
                <w:vertAlign w:val="subscript"/>
              </w:rPr>
              <w:t>3</w:t>
            </w:r>
            <w:r>
              <w:rPr>
                <w:rFonts w:ascii="Times New Roman"/>
                <w:bCs/>
                <w:sz w:val="21"/>
                <w:szCs w:val="21"/>
                <w:highlight w:val="none"/>
              </w:rPr>
              <w:t>)</w:t>
            </w:r>
          </w:p>
        </w:tc>
        <w:tc>
          <w:tcPr>
            <w:tcW w:w="1924" w:type="dxa"/>
            <w:vAlign w:val="center"/>
          </w:tcPr>
          <w:p w14:paraId="11D60501">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w:t>
            </w:r>
          </w:p>
        </w:tc>
        <w:tc>
          <w:tcPr>
            <w:tcW w:w="3234" w:type="dxa"/>
            <w:vAlign w:val="center"/>
          </w:tcPr>
          <w:p w14:paraId="69966964">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w:t>
            </w:r>
            <w:r>
              <w:rPr>
                <w:rFonts w:hint="eastAsia" w:ascii="Times New Roman"/>
                <w:bCs/>
                <w:sz w:val="21"/>
                <w:szCs w:val="21"/>
                <w:highlight w:val="none"/>
              </w:rPr>
              <w:t>0.8</w:t>
            </w:r>
          </w:p>
        </w:tc>
      </w:tr>
      <w:tr w14:paraId="108749D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85" w:type="dxa"/>
            <w:bottom w:w="28" w:type="dxa"/>
            <w:right w:w="85" w:type="dxa"/>
          </w:tblCellMar>
        </w:tblPrEx>
        <w:trPr>
          <w:trHeight w:val="284" w:hRule="atLeast"/>
          <w:jc w:val="center"/>
        </w:trPr>
        <w:tc>
          <w:tcPr>
            <w:tcW w:w="3316" w:type="dxa"/>
            <w:vAlign w:val="center"/>
          </w:tcPr>
          <w:p w14:paraId="10E29BFE">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显气孔率</w:t>
            </w:r>
          </w:p>
        </w:tc>
        <w:tc>
          <w:tcPr>
            <w:tcW w:w="1924" w:type="dxa"/>
            <w:vAlign w:val="center"/>
          </w:tcPr>
          <w:p w14:paraId="64F40504">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w:t>
            </w:r>
          </w:p>
        </w:tc>
        <w:tc>
          <w:tcPr>
            <w:tcW w:w="3234" w:type="dxa"/>
            <w:vAlign w:val="center"/>
          </w:tcPr>
          <w:p w14:paraId="37FB6A77">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≤13</w:t>
            </w:r>
          </w:p>
        </w:tc>
      </w:tr>
      <w:tr w14:paraId="4527BCA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85" w:type="dxa"/>
            <w:bottom w:w="28" w:type="dxa"/>
            <w:right w:w="85" w:type="dxa"/>
          </w:tblCellMar>
        </w:tblPrEx>
        <w:trPr>
          <w:trHeight w:val="284" w:hRule="atLeast"/>
          <w:jc w:val="center"/>
        </w:trPr>
        <w:tc>
          <w:tcPr>
            <w:tcW w:w="3316" w:type="dxa"/>
            <w:vAlign w:val="center"/>
          </w:tcPr>
          <w:p w14:paraId="33219089">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体积密度</w:t>
            </w:r>
          </w:p>
        </w:tc>
        <w:tc>
          <w:tcPr>
            <w:tcW w:w="1924" w:type="dxa"/>
            <w:vAlign w:val="center"/>
          </w:tcPr>
          <w:p w14:paraId="657E714C">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g</w:t>
            </w:r>
            <w:r>
              <w:rPr>
                <w:rFonts w:ascii="Times New Roman"/>
                <w:spacing w:val="-3"/>
                <w:sz w:val="21"/>
                <w:szCs w:val="21"/>
                <w:highlight w:val="none"/>
              </w:rPr>
              <w:t>/</w:t>
            </w:r>
            <w:r>
              <w:rPr>
                <w:rFonts w:ascii="Times New Roman"/>
                <w:bCs/>
                <w:sz w:val="21"/>
                <w:szCs w:val="21"/>
                <w:highlight w:val="none"/>
              </w:rPr>
              <w:t>cm</w:t>
            </w:r>
            <w:r>
              <w:rPr>
                <w:rFonts w:hint="eastAsia" w:ascii="Times New Roman"/>
                <w:bCs/>
                <w:sz w:val="21"/>
                <w:szCs w:val="21"/>
                <w:highlight w:val="none"/>
                <w:vertAlign w:val="superscript"/>
              </w:rPr>
              <w:t>3</w:t>
            </w:r>
          </w:p>
        </w:tc>
        <w:tc>
          <w:tcPr>
            <w:tcW w:w="3234" w:type="dxa"/>
            <w:vAlign w:val="center"/>
          </w:tcPr>
          <w:p w14:paraId="1D4A9126">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≥3.2</w:t>
            </w:r>
          </w:p>
        </w:tc>
      </w:tr>
      <w:tr w14:paraId="322EAD4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85" w:type="dxa"/>
            <w:bottom w:w="28" w:type="dxa"/>
            <w:right w:w="85" w:type="dxa"/>
          </w:tblCellMar>
        </w:tblPrEx>
        <w:trPr>
          <w:trHeight w:val="284" w:hRule="atLeast"/>
          <w:jc w:val="center"/>
        </w:trPr>
        <w:tc>
          <w:tcPr>
            <w:tcW w:w="3316" w:type="dxa"/>
            <w:vAlign w:val="center"/>
          </w:tcPr>
          <w:p w14:paraId="15861103">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常温耐压强度</w:t>
            </w:r>
          </w:p>
        </w:tc>
        <w:tc>
          <w:tcPr>
            <w:tcW w:w="1924" w:type="dxa"/>
            <w:vAlign w:val="center"/>
          </w:tcPr>
          <w:p w14:paraId="337D65EA">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 xml:space="preserve"> MPa</w:t>
            </w:r>
          </w:p>
        </w:tc>
        <w:tc>
          <w:tcPr>
            <w:tcW w:w="3234" w:type="dxa"/>
            <w:vAlign w:val="center"/>
          </w:tcPr>
          <w:p w14:paraId="6FEC1CF3">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≥150</w:t>
            </w:r>
          </w:p>
        </w:tc>
      </w:tr>
      <w:tr w14:paraId="4976EDB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85" w:type="dxa"/>
            <w:bottom w:w="28" w:type="dxa"/>
            <w:right w:w="85" w:type="dxa"/>
          </w:tblCellMar>
        </w:tblPrEx>
        <w:trPr>
          <w:trHeight w:val="284" w:hRule="atLeast"/>
          <w:jc w:val="center"/>
        </w:trPr>
        <w:tc>
          <w:tcPr>
            <w:tcW w:w="3316" w:type="dxa"/>
            <w:vAlign w:val="center"/>
          </w:tcPr>
          <w:p w14:paraId="5D68EE2F">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 xml:space="preserve"> 铁水熔蚀指数</w:t>
            </w:r>
          </w:p>
        </w:tc>
        <w:tc>
          <w:tcPr>
            <w:tcW w:w="1924" w:type="dxa"/>
            <w:vAlign w:val="center"/>
          </w:tcPr>
          <w:p w14:paraId="4CBA722B">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w:t>
            </w:r>
          </w:p>
        </w:tc>
        <w:tc>
          <w:tcPr>
            <w:tcW w:w="3234" w:type="dxa"/>
            <w:vAlign w:val="center"/>
          </w:tcPr>
          <w:p w14:paraId="41E71EEA">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≤1</w:t>
            </w:r>
            <w:r>
              <w:rPr>
                <w:rFonts w:hint="eastAsia" w:ascii="Times New Roman"/>
                <w:bCs/>
                <w:sz w:val="21"/>
                <w:szCs w:val="21"/>
                <w:highlight w:val="none"/>
              </w:rPr>
              <w:t>.0</w:t>
            </w:r>
          </w:p>
        </w:tc>
      </w:tr>
      <w:tr w14:paraId="49883F6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85" w:type="dxa"/>
            <w:bottom w:w="28" w:type="dxa"/>
            <w:right w:w="85" w:type="dxa"/>
          </w:tblCellMar>
        </w:tblPrEx>
        <w:trPr>
          <w:trHeight w:val="284" w:hRule="atLeast"/>
          <w:jc w:val="center"/>
        </w:trPr>
        <w:tc>
          <w:tcPr>
            <w:tcW w:w="3316" w:type="dxa"/>
            <w:vAlign w:val="center"/>
          </w:tcPr>
          <w:p w14:paraId="7C95941D">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抗渣性（溶蚀率）</w:t>
            </w:r>
          </w:p>
        </w:tc>
        <w:tc>
          <w:tcPr>
            <w:tcW w:w="1924" w:type="dxa"/>
            <w:vAlign w:val="center"/>
          </w:tcPr>
          <w:p w14:paraId="57E21D10">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w:t>
            </w:r>
          </w:p>
        </w:tc>
        <w:tc>
          <w:tcPr>
            <w:tcW w:w="3234" w:type="dxa"/>
            <w:vAlign w:val="center"/>
          </w:tcPr>
          <w:p w14:paraId="0A3A135B">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≤8</w:t>
            </w:r>
          </w:p>
        </w:tc>
      </w:tr>
      <w:tr w14:paraId="0450C1F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85" w:type="dxa"/>
            <w:bottom w:w="28" w:type="dxa"/>
            <w:right w:w="85" w:type="dxa"/>
          </w:tblCellMar>
        </w:tblPrEx>
        <w:trPr>
          <w:trHeight w:val="284" w:hRule="atLeast"/>
          <w:jc w:val="center"/>
        </w:trPr>
        <w:tc>
          <w:tcPr>
            <w:tcW w:w="3316" w:type="dxa"/>
            <w:vAlign w:val="center"/>
          </w:tcPr>
          <w:p w14:paraId="048C1F52">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透气度</w:t>
            </w:r>
          </w:p>
        </w:tc>
        <w:tc>
          <w:tcPr>
            <w:tcW w:w="1924" w:type="dxa"/>
            <w:vAlign w:val="center"/>
          </w:tcPr>
          <w:p w14:paraId="3462FBA2">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mDa</w:t>
            </w:r>
          </w:p>
        </w:tc>
        <w:tc>
          <w:tcPr>
            <w:tcW w:w="3234" w:type="dxa"/>
            <w:vAlign w:val="center"/>
          </w:tcPr>
          <w:p w14:paraId="6349BA78">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≤0.5</w:t>
            </w:r>
          </w:p>
        </w:tc>
      </w:tr>
      <w:tr w14:paraId="31165DD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85" w:type="dxa"/>
            <w:bottom w:w="28" w:type="dxa"/>
            <w:right w:w="85" w:type="dxa"/>
          </w:tblCellMar>
        </w:tblPrEx>
        <w:trPr>
          <w:trHeight w:val="284" w:hRule="atLeast"/>
          <w:jc w:val="center"/>
        </w:trPr>
        <w:tc>
          <w:tcPr>
            <w:tcW w:w="3316" w:type="dxa"/>
            <w:vAlign w:val="center"/>
          </w:tcPr>
          <w:p w14:paraId="5070010D">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平均孔径</w:t>
            </w:r>
          </w:p>
        </w:tc>
        <w:tc>
          <w:tcPr>
            <w:tcW w:w="1924" w:type="dxa"/>
            <w:vAlign w:val="center"/>
          </w:tcPr>
          <w:p w14:paraId="5DA21204">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μm</w:t>
            </w:r>
          </w:p>
        </w:tc>
        <w:tc>
          <w:tcPr>
            <w:tcW w:w="3234" w:type="dxa"/>
            <w:vAlign w:val="center"/>
          </w:tcPr>
          <w:p w14:paraId="4930B967">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≤0.3</w:t>
            </w:r>
          </w:p>
        </w:tc>
      </w:tr>
      <w:tr w14:paraId="67AEEAA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85" w:type="dxa"/>
            <w:bottom w:w="28" w:type="dxa"/>
            <w:right w:w="85" w:type="dxa"/>
          </w:tblCellMar>
        </w:tblPrEx>
        <w:trPr>
          <w:trHeight w:val="284" w:hRule="atLeast"/>
          <w:jc w:val="center"/>
        </w:trPr>
        <w:tc>
          <w:tcPr>
            <w:tcW w:w="3316" w:type="dxa"/>
            <w:vAlign w:val="center"/>
          </w:tcPr>
          <w:p w14:paraId="4940377C">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小于1μm孔容积率</w:t>
            </w:r>
          </w:p>
        </w:tc>
        <w:tc>
          <w:tcPr>
            <w:tcW w:w="1924" w:type="dxa"/>
            <w:vAlign w:val="center"/>
          </w:tcPr>
          <w:p w14:paraId="4BD27EF5">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w:t>
            </w:r>
          </w:p>
        </w:tc>
        <w:tc>
          <w:tcPr>
            <w:tcW w:w="3234" w:type="dxa"/>
            <w:vAlign w:val="center"/>
          </w:tcPr>
          <w:p w14:paraId="32F605B2">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≥80</w:t>
            </w:r>
          </w:p>
        </w:tc>
      </w:tr>
      <w:tr w14:paraId="671623C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85" w:type="dxa"/>
            <w:bottom w:w="28" w:type="dxa"/>
            <w:right w:w="85" w:type="dxa"/>
          </w:tblCellMar>
        </w:tblPrEx>
        <w:trPr>
          <w:trHeight w:val="284" w:hRule="atLeast"/>
          <w:jc w:val="center"/>
        </w:trPr>
        <w:tc>
          <w:tcPr>
            <w:tcW w:w="3316" w:type="dxa"/>
            <w:vAlign w:val="center"/>
          </w:tcPr>
          <w:p w14:paraId="034DED4B">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抗碱性(强度下降率）</w:t>
            </w:r>
          </w:p>
        </w:tc>
        <w:tc>
          <w:tcPr>
            <w:tcW w:w="1924" w:type="dxa"/>
            <w:vAlign w:val="center"/>
          </w:tcPr>
          <w:p w14:paraId="4C41359E">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w:t>
            </w:r>
          </w:p>
        </w:tc>
        <w:tc>
          <w:tcPr>
            <w:tcW w:w="3234" w:type="dxa"/>
            <w:vAlign w:val="center"/>
          </w:tcPr>
          <w:p w14:paraId="26679EF3">
            <w:pPr>
              <w:spacing w:line="240" w:lineRule="auto"/>
              <w:ind w:firstLine="0" w:firstLineChars="0"/>
              <w:jc w:val="center"/>
              <w:textAlignment w:val="center"/>
              <w:rPr>
                <w:rFonts w:ascii="Times New Roman"/>
                <w:bCs/>
                <w:sz w:val="21"/>
                <w:szCs w:val="21"/>
                <w:highlight w:val="none"/>
              </w:rPr>
            </w:pPr>
            <w:r>
              <w:rPr>
                <w:rFonts w:ascii="Times New Roman"/>
                <w:bCs/>
                <w:sz w:val="21"/>
                <w:szCs w:val="21"/>
                <w:highlight w:val="none"/>
              </w:rPr>
              <w:t>≤10</w:t>
            </w:r>
          </w:p>
        </w:tc>
      </w:tr>
      <w:tr w14:paraId="640ABF5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85" w:type="dxa"/>
            <w:bottom w:w="28" w:type="dxa"/>
            <w:right w:w="85" w:type="dxa"/>
          </w:tblCellMar>
        </w:tblPrEx>
        <w:trPr>
          <w:trHeight w:val="284" w:hRule="atLeast"/>
          <w:jc w:val="center"/>
        </w:trPr>
        <w:tc>
          <w:tcPr>
            <w:tcW w:w="3316" w:type="dxa"/>
            <w:vAlign w:val="center"/>
          </w:tcPr>
          <w:p w14:paraId="04F18DD3">
            <w:pPr>
              <w:spacing w:line="240" w:lineRule="auto"/>
              <w:ind w:firstLine="0" w:firstLineChars="0"/>
              <w:jc w:val="center"/>
              <w:textAlignment w:val="center"/>
              <w:rPr>
                <w:rFonts w:ascii="Times New Roman"/>
                <w:bCs/>
                <w:sz w:val="21"/>
                <w:szCs w:val="21"/>
                <w:highlight w:val="none"/>
              </w:rPr>
            </w:pPr>
            <w:r>
              <w:rPr>
                <w:rFonts w:hint="eastAsia" w:ascii="Times New Roman"/>
                <w:bCs/>
                <w:sz w:val="21"/>
                <w:szCs w:val="21"/>
                <w:highlight w:val="none"/>
              </w:rPr>
              <w:t>热震稳定性（1100℃水冷）</w:t>
            </w:r>
          </w:p>
        </w:tc>
        <w:tc>
          <w:tcPr>
            <w:tcW w:w="1924" w:type="dxa"/>
            <w:vAlign w:val="center"/>
          </w:tcPr>
          <w:p w14:paraId="7598E17E">
            <w:pPr>
              <w:spacing w:line="240" w:lineRule="auto"/>
              <w:ind w:firstLine="0" w:firstLineChars="0"/>
              <w:jc w:val="center"/>
              <w:textAlignment w:val="center"/>
              <w:rPr>
                <w:rFonts w:ascii="Times New Roman"/>
                <w:bCs/>
                <w:sz w:val="21"/>
                <w:szCs w:val="21"/>
                <w:highlight w:val="none"/>
              </w:rPr>
            </w:pPr>
            <w:r>
              <w:rPr>
                <w:rFonts w:hint="eastAsia" w:ascii="Times New Roman"/>
                <w:bCs/>
                <w:sz w:val="21"/>
                <w:szCs w:val="21"/>
                <w:highlight w:val="none"/>
              </w:rPr>
              <w:t>次</w:t>
            </w:r>
          </w:p>
        </w:tc>
        <w:tc>
          <w:tcPr>
            <w:tcW w:w="3234" w:type="dxa"/>
            <w:vAlign w:val="center"/>
          </w:tcPr>
          <w:p w14:paraId="14685835">
            <w:pPr>
              <w:spacing w:line="240" w:lineRule="auto"/>
              <w:ind w:firstLine="0" w:firstLineChars="0"/>
              <w:jc w:val="center"/>
              <w:textAlignment w:val="center"/>
              <w:rPr>
                <w:rFonts w:ascii="Times New Roman"/>
                <w:bCs/>
                <w:sz w:val="21"/>
                <w:szCs w:val="21"/>
                <w:highlight w:val="none"/>
              </w:rPr>
            </w:pPr>
            <w:r>
              <w:rPr>
                <w:rFonts w:hint="eastAsia" w:ascii="Times New Roman"/>
                <w:bCs/>
                <w:sz w:val="21"/>
                <w:szCs w:val="21"/>
                <w:highlight w:val="none"/>
              </w:rPr>
              <w:t>≥30</w:t>
            </w:r>
          </w:p>
        </w:tc>
      </w:tr>
      <w:tr w14:paraId="23C3D8F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85" w:type="dxa"/>
            <w:bottom w:w="28" w:type="dxa"/>
            <w:right w:w="85" w:type="dxa"/>
          </w:tblCellMar>
        </w:tblPrEx>
        <w:trPr>
          <w:trHeight w:val="284" w:hRule="atLeast"/>
          <w:jc w:val="center"/>
        </w:trPr>
        <w:tc>
          <w:tcPr>
            <w:tcW w:w="3316" w:type="dxa"/>
            <w:vAlign w:val="center"/>
          </w:tcPr>
          <w:p w14:paraId="69EA6615">
            <w:pPr>
              <w:spacing w:line="240" w:lineRule="auto"/>
              <w:ind w:firstLine="0" w:firstLineChars="0"/>
              <w:jc w:val="center"/>
              <w:textAlignment w:val="center"/>
              <w:rPr>
                <w:rFonts w:ascii="Times New Roman"/>
                <w:bCs/>
                <w:sz w:val="21"/>
                <w:szCs w:val="21"/>
                <w:highlight w:val="none"/>
              </w:rPr>
            </w:pPr>
            <w:r>
              <w:rPr>
                <w:rFonts w:hint="eastAsia" w:ascii="Times New Roman"/>
                <w:bCs/>
                <w:sz w:val="21"/>
                <w:szCs w:val="21"/>
                <w:highlight w:val="none"/>
              </w:rPr>
              <w:t>重烧线变化率（1500℃×</w:t>
            </w:r>
            <w:r>
              <w:rPr>
                <w:rFonts w:ascii="Times New Roman"/>
                <w:bCs/>
                <w:sz w:val="21"/>
                <w:szCs w:val="21"/>
                <w:highlight w:val="none"/>
              </w:rPr>
              <w:t>2</w:t>
            </w:r>
            <w:r>
              <w:rPr>
                <w:rFonts w:hint="eastAsia" w:ascii="Times New Roman"/>
                <w:bCs/>
                <w:sz w:val="21"/>
                <w:szCs w:val="21"/>
                <w:highlight w:val="none"/>
              </w:rPr>
              <w:t>h）</w:t>
            </w:r>
          </w:p>
        </w:tc>
        <w:tc>
          <w:tcPr>
            <w:tcW w:w="1924" w:type="dxa"/>
            <w:vAlign w:val="center"/>
          </w:tcPr>
          <w:p w14:paraId="16A4F736">
            <w:pPr>
              <w:spacing w:line="240" w:lineRule="auto"/>
              <w:ind w:firstLine="0" w:firstLineChars="0"/>
              <w:jc w:val="center"/>
              <w:textAlignment w:val="center"/>
              <w:rPr>
                <w:rFonts w:ascii="Times New Roman"/>
                <w:bCs/>
                <w:sz w:val="21"/>
                <w:szCs w:val="21"/>
                <w:highlight w:val="none"/>
              </w:rPr>
            </w:pPr>
            <w:r>
              <w:rPr>
                <w:rFonts w:hint="eastAsia" w:ascii="Times New Roman"/>
                <w:bCs/>
                <w:sz w:val="21"/>
                <w:szCs w:val="21"/>
                <w:highlight w:val="none"/>
              </w:rPr>
              <w:t>%</w:t>
            </w:r>
          </w:p>
        </w:tc>
        <w:tc>
          <w:tcPr>
            <w:tcW w:w="3234" w:type="dxa"/>
            <w:vAlign w:val="center"/>
          </w:tcPr>
          <w:p w14:paraId="08A94CFC">
            <w:pPr>
              <w:spacing w:line="240" w:lineRule="auto"/>
              <w:ind w:firstLine="0" w:firstLineChars="0"/>
              <w:jc w:val="center"/>
              <w:textAlignment w:val="center"/>
              <w:rPr>
                <w:rFonts w:ascii="Times New Roman"/>
                <w:bCs/>
                <w:sz w:val="21"/>
                <w:szCs w:val="21"/>
                <w:highlight w:val="none"/>
              </w:rPr>
            </w:pPr>
            <w:r>
              <w:rPr>
                <w:rFonts w:hint="eastAsia" w:ascii="Times New Roman"/>
                <w:bCs/>
                <w:sz w:val="21"/>
                <w:szCs w:val="21"/>
                <w:highlight w:val="none"/>
              </w:rPr>
              <w:t>-0</w:t>
            </w:r>
            <w:r>
              <w:rPr>
                <w:rFonts w:ascii="Times New Roman"/>
                <w:bCs/>
                <w:sz w:val="21"/>
                <w:szCs w:val="21"/>
                <w:highlight w:val="none"/>
              </w:rPr>
              <w:t>.2</w:t>
            </w:r>
            <w:r>
              <w:rPr>
                <w:rFonts w:hint="eastAsia" w:ascii="Times New Roman"/>
                <w:bCs/>
                <w:sz w:val="21"/>
                <w:szCs w:val="21"/>
                <w:highlight w:val="none"/>
              </w:rPr>
              <w:t>～+0</w:t>
            </w:r>
            <w:r>
              <w:rPr>
                <w:rFonts w:ascii="Times New Roman"/>
                <w:bCs/>
                <w:sz w:val="21"/>
                <w:szCs w:val="21"/>
                <w:highlight w:val="none"/>
              </w:rPr>
              <w:t>.1</w:t>
            </w:r>
          </w:p>
        </w:tc>
      </w:tr>
      <w:tr w14:paraId="3FC307F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85" w:type="dxa"/>
            <w:bottom w:w="28" w:type="dxa"/>
            <w:right w:w="85" w:type="dxa"/>
          </w:tblCellMar>
        </w:tblPrEx>
        <w:trPr>
          <w:trHeight w:val="284" w:hRule="atLeast"/>
          <w:jc w:val="center"/>
        </w:trPr>
        <w:tc>
          <w:tcPr>
            <w:tcW w:w="3316" w:type="dxa"/>
            <w:vAlign w:val="center"/>
          </w:tcPr>
          <w:p w14:paraId="2F3A509F">
            <w:pPr>
              <w:spacing w:line="240" w:lineRule="auto"/>
              <w:ind w:firstLine="0" w:firstLineChars="0"/>
              <w:jc w:val="center"/>
              <w:textAlignment w:val="center"/>
              <w:rPr>
                <w:rFonts w:ascii="Times New Roman"/>
                <w:bCs/>
                <w:sz w:val="21"/>
                <w:szCs w:val="21"/>
                <w:highlight w:val="none"/>
              </w:rPr>
            </w:pPr>
            <w:r>
              <w:rPr>
                <w:rFonts w:hint="eastAsia" w:ascii="Times New Roman"/>
                <w:bCs/>
                <w:sz w:val="21"/>
                <w:szCs w:val="21"/>
                <w:highlight w:val="none"/>
              </w:rPr>
              <w:t>使用部位</w:t>
            </w:r>
          </w:p>
        </w:tc>
        <w:tc>
          <w:tcPr>
            <w:tcW w:w="5158" w:type="dxa"/>
            <w:gridSpan w:val="2"/>
            <w:vAlign w:val="center"/>
          </w:tcPr>
          <w:p w14:paraId="60878C54">
            <w:pPr>
              <w:spacing w:line="240" w:lineRule="auto"/>
              <w:ind w:firstLine="0" w:firstLineChars="0"/>
              <w:jc w:val="center"/>
              <w:textAlignment w:val="center"/>
              <w:rPr>
                <w:rFonts w:ascii="Times New Roman"/>
                <w:bCs/>
                <w:sz w:val="21"/>
                <w:szCs w:val="21"/>
                <w:highlight w:val="none"/>
              </w:rPr>
            </w:pPr>
            <w:r>
              <w:rPr>
                <w:rFonts w:hint="eastAsia" w:ascii="Times New Roman" w:hAnsi="Times New Roman" w:cs="Times New Roman"/>
                <w:color w:val="auto"/>
                <w:sz w:val="21"/>
                <w:szCs w:val="21"/>
                <w:highlight w:val="none"/>
              </w:rPr>
              <w:t>炉缸侧壁陶瓷</w:t>
            </w:r>
            <w:r>
              <w:rPr>
                <w:rFonts w:ascii="Times New Roman" w:hAnsi="Times New Roman" w:cs="Times New Roman"/>
                <w:color w:val="auto"/>
                <w:sz w:val="21"/>
                <w:szCs w:val="21"/>
                <w:highlight w:val="none"/>
              </w:rPr>
              <w:t>杯</w:t>
            </w:r>
            <w:r>
              <w:rPr>
                <w:rFonts w:hint="eastAsia" w:ascii="Times New Roman" w:hAnsi="Times New Roman" w:cs="Times New Roman"/>
                <w:color w:val="auto"/>
                <w:sz w:val="21"/>
                <w:szCs w:val="21"/>
                <w:highlight w:val="none"/>
              </w:rPr>
              <w:t>壁、</w:t>
            </w:r>
            <w:r>
              <w:rPr>
                <w:rFonts w:hint="eastAsia" w:ascii="Times New Roman" w:hAnsi="Times New Roman" w:cs="Times New Roman"/>
                <w:sz w:val="21"/>
                <w:szCs w:val="21"/>
                <w:highlight w:val="none"/>
              </w:rPr>
              <w:t>风口组合砖</w:t>
            </w:r>
          </w:p>
        </w:tc>
      </w:tr>
    </w:tbl>
    <w:p w14:paraId="11FCDC85">
      <w:pPr>
        <w:numPr>
          <w:ilvl w:val="0"/>
          <w:numId w:val="16"/>
        </w:numPr>
        <w:shd w:val="clear" w:color="auto" w:fill="auto"/>
        <w:ind w:left="240" w:leftChars="0" w:firstLine="0" w:firstLineChars="0"/>
        <w:rPr>
          <w:rFonts w:hint="eastAsia"/>
          <w:color w:val="auto"/>
          <w:highlight w:val="none"/>
        </w:rPr>
      </w:pPr>
      <w:bookmarkStart w:id="317" w:name="_Toc7146"/>
      <w:r>
        <w:rPr>
          <w:rFonts w:hint="eastAsia"/>
          <w:color w:val="auto"/>
          <w:highlight w:val="none"/>
        </w:rPr>
        <w:t>刚玉莫来石砖</w:t>
      </w:r>
    </w:p>
    <w:tbl>
      <w:tblPr>
        <w:tblStyle w:val="6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108" w:type="dxa"/>
          <w:bottom w:w="57" w:type="dxa"/>
          <w:right w:w="108" w:type="dxa"/>
        </w:tblCellMar>
      </w:tblPr>
      <w:tblGrid>
        <w:gridCol w:w="3776"/>
        <w:gridCol w:w="2391"/>
        <w:gridCol w:w="2352"/>
      </w:tblGrid>
      <w:tr w14:paraId="5AE537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0" w:hRule="atLeast"/>
          <w:tblHeader/>
        </w:trPr>
        <w:tc>
          <w:tcPr>
            <w:tcW w:w="3776" w:type="dxa"/>
            <w:vAlign w:val="center"/>
          </w:tcPr>
          <w:p w14:paraId="6428C58A">
            <w:pPr>
              <w:shd w:val="clear" w:color="auto" w:fill="auto"/>
              <w:spacing w:line="240" w:lineRule="auto"/>
              <w:ind w:firstLine="0" w:firstLineChars="0"/>
              <w:jc w:val="center"/>
              <w:rPr>
                <w:rFonts w:ascii="Times New Roman"/>
                <w:color w:val="auto"/>
                <w:sz w:val="21"/>
                <w:szCs w:val="21"/>
                <w:highlight w:val="none"/>
              </w:rPr>
            </w:pPr>
            <w:r>
              <w:rPr>
                <w:rFonts w:ascii="Times New Roman"/>
                <w:color w:val="auto"/>
                <w:sz w:val="21"/>
                <w:szCs w:val="21"/>
                <w:highlight w:val="none"/>
              </w:rPr>
              <w:t>项目</w:t>
            </w:r>
          </w:p>
        </w:tc>
        <w:tc>
          <w:tcPr>
            <w:tcW w:w="2391" w:type="dxa"/>
            <w:vAlign w:val="center"/>
          </w:tcPr>
          <w:p w14:paraId="334BD30F">
            <w:pPr>
              <w:shd w:val="clear" w:color="auto" w:fill="auto"/>
              <w:spacing w:line="240" w:lineRule="auto"/>
              <w:ind w:firstLine="0" w:firstLineChars="0"/>
              <w:jc w:val="center"/>
              <w:rPr>
                <w:rFonts w:ascii="Times New Roman"/>
                <w:color w:val="auto"/>
                <w:sz w:val="21"/>
                <w:szCs w:val="21"/>
                <w:highlight w:val="none"/>
              </w:rPr>
            </w:pPr>
            <w:r>
              <w:rPr>
                <w:rFonts w:ascii="Times New Roman"/>
                <w:color w:val="auto"/>
                <w:sz w:val="21"/>
                <w:szCs w:val="21"/>
                <w:highlight w:val="none"/>
              </w:rPr>
              <w:t>单位</w:t>
            </w:r>
          </w:p>
        </w:tc>
        <w:tc>
          <w:tcPr>
            <w:tcW w:w="2352" w:type="dxa"/>
            <w:vAlign w:val="center"/>
          </w:tcPr>
          <w:p w14:paraId="1EC403BE">
            <w:pPr>
              <w:shd w:val="clear" w:color="auto" w:fill="auto"/>
              <w:spacing w:line="240" w:lineRule="auto"/>
              <w:ind w:firstLine="0" w:firstLineChars="0"/>
              <w:jc w:val="center"/>
              <w:rPr>
                <w:rFonts w:ascii="Times New Roman"/>
                <w:color w:val="auto"/>
                <w:sz w:val="21"/>
                <w:szCs w:val="21"/>
                <w:highlight w:val="none"/>
              </w:rPr>
            </w:pPr>
          </w:p>
        </w:tc>
      </w:tr>
      <w:tr w14:paraId="0D89ED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0" w:hRule="atLeast"/>
        </w:trPr>
        <w:tc>
          <w:tcPr>
            <w:tcW w:w="3776" w:type="dxa"/>
            <w:vAlign w:val="center"/>
          </w:tcPr>
          <w:p w14:paraId="1041F08B">
            <w:pPr>
              <w:shd w:val="clear" w:color="auto" w:fill="auto"/>
              <w:spacing w:line="240" w:lineRule="auto"/>
              <w:ind w:firstLine="0" w:firstLineChars="0"/>
              <w:rPr>
                <w:rFonts w:ascii="Times New Roman"/>
                <w:color w:val="auto"/>
                <w:sz w:val="21"/>
                <w:szCs w:val="21"/>
                <w:highlight w:val="none"/>
              </w:rPr>
            </w:pPr>
            <w:r>
              <w:rPr>
                <w:rFonts w:ascii="Times New Roman"/>
                <w:color w:val="auto"/>
                <w:sz w:val="21"/>
                <w:szCs w:val="21"/>
                <w:highlight w:val="none"/>
              </w:rPr>
              <w:t>Al</w:t>
            </w:r>
            <w:r>
              <w:rPr>
                <w:rFonts w:ascii="Times New Roman"/>
                <w:color w:val="auto"/>
                <w:sz w:val="21"/>
                <w:szCs w:val="21"/>
                <w:highlight w:val="none"/>
                <w:vertAlign w:val="subscript"/>
              </w:rPr>
              <w:t>2</w:t>
            </w:r>
            <w:r>
              <w:rPr>
                <w:rFonts w:ascii="Times New Roman"/>
                <w:color w:val="auto"/>
                <w:sz w:val="21"/>
                <w:szCs w:val="21"/>
                <w:highlight w:val="none"/>
              </w:rPr>
              <w:t>O</w:t>
            </w:r>
            <w:r>
              <w:rPr>
                <w:rFonts w:ascii="Times New Roman"/>
                <w:color w:val="auto"/>
                <w:sz w:val="21"/>
                <w:szCs w:val="21"/>
                <w:highlight w:val="none"/>
                <w:vertAlign w:val="subscript"/>
              </w:rPr>
              <w:t>3</w:t>
            </w:r>
          </w:p>
        </w:tc>
        <w:tc>
          <w:tcPr>
            <w:tcW w:w="2391" w:type="dxa"/>
            <w:vAlign w:val="center"/>
          </w:tcPr>
          <w:p w14:paraId="18B76713">
            <w:pPr>
              <w:shd w:val="clear" w:color="auto" w:fill="auto"/>
              <w:spacing w:line="240" w:lineRule="auto"/>
              <w:ind w:firstLine="0" w:firstLineChars="0"/>
              <w:jc w:val="center"/>
              <w:rPr>
                <w:rFonts w:ascii="Times New Roman"/>
                <w:color w:val="auto"/>
                <w:sz w:val="21"/>
                <w:szCs w:val="21"/>
                <w:highlight w:val="none"/>
              </w:rPr>
            </w:pPr>
            <w:r>
              <w:rPr>
                <w:rFonts w:ascii="Times New Roman"/>
                <w:color w:val="auto"/>
                <w:sz w:val="21"/>
                <w:szCs w:val="21"/>
                <w:highlight w:val="none"/>
              </w:rPr>
              <w:t>%</w:t>
            </w:r>
          </w:p>
        </w:tc>
        <w:tc>
          <w:tcPr>
            <w:tcW w:w="2352" w:type="dxa"/>
            <w:vAlign w:val="center"/>
          </w:tcPr>
          <w:p w14:paraId="233B811A">
            <w:pPr>
              <w:shd w:val="clear" w:color="auto" w:fill="auto"/>
              <w:spacing w:line="240" w:lineRule="auto"/>
              <w:ind w:firstLine="0" w:firstLineChars="0"/>
              <w:jc w:val="center"/>
              <w:rPr>
                <w:rFonts w:hint="eastAsia" w:ascii="Times New Roman" w:eastAsia="宋体"/>
                <w:color w:val="auto"/>
                <w:sz w:val="21"/>
                <w:szCs w:val="21"/>
                <w:highlight w:val="none"/>
                <w:lang w:eastAsia="zh-CN"/>
              </w:rPr>
            </w:pPr>
            <w:r>
              <w:rPr>
                <w:rFonts w:ascii="Times New Roman"/>
                <w:color w:val="auto"/>
                <w:sz w:val="21"/>
                <w:szCs w:val="21"/>
                <w:highlight w:val="none"/>
              </w:rPr>
              <w:t>≥8</w:t>
            </w:r>
            <w:r>
              <w:rPr>
                <w:rFonts w:hint="eastAsia" w:ascii="Times New Roman"/>
                <w:color w:val="auto"/>
                <w:sz w:val="21"/>
                <w:szCs w:val="21"/>
                <w:highlight w:val="none"/>
                <w:lang w:val="en-US" w:eastAsia="zh-CN"/>
              </w:rPr>
              <w:t>8</w:t>
            </w:r>
          </w:p>
        </w:tc>
      </w:tr>
      <w:tr w14:paraId="7185AC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0" w:hRule="atLeast"/>
        </w:trPr>
        <w:tc>
          <w:tcPr>
            <w:tcW w:w="3776" w:type="dxa"/>
            <w:vAlign w:val="center"/>
          </w:tcPr>
          <w:p w14:paraId="28A94969">
            <w:pPr>
              <w:shd w:val="clear" w:color="auto" w:fill="auto"/>
              <w:spacing w:line="240" w:lineRule="auto"/>
              <w:ind w:firstLine="0" w:firstLineChars="0"/>
              <w:rPr>
                <w:rFonts w:ascii="Times New Roman"/>
                <w:color w:val="auto"/>
                <w:sz w:val="21"/>
                <w:szCs w:val="21"/>
                <w:highlight w:val="none"/>
              </w:rPr>
            </w:pPr>
            <w:r>
              <w:rPr>
                <w:rFonts w:ascii="Times New Roman"/>
                <w:color w:val="auto"/>
                <w:sz w:val="21"/>
                <w:szCs w:val="21"/>
                <w:highlight w:val="none"/>
              </w:rPr>
              <w:t>Fe</w:t>
            </w:r>
            <w:r>
              <w:rPr>
                <w:rFonts w:ascii="Times New Roman"/>
                <w:color w:val="auto"/>
                <w:sz w:val="21"/>
                <w:szCs w:val="21"/>
                <w:highlight w:val="none"/>
                <w:vertAlign w:val="subscript"/>
              </w:rPr>
              <w:t>2</w:t>
            </w:r>
            <w:r>
              <w:rPr>
                <w:rFonts w:ascii="Times New Roman"/>
                <w:color w:val="auto"/>
                <w:sz w:val="21"/>
                <w:szCs w:val="21"/>
                <w:highlight w:val="none"/>
              </w:rPr>
              <w:t>O</w:t>
            </w:r>
            <w:r>
              <w:rPr>
                <w:rFonts w:ascii="Times New Roman"/>
                <w:color w:val="auto"/>
                <w:sz w:val="21"/>
                <w:szCs w:val="21"/>
                <w:highlight w:val="none"/>
                <w:vertAlign w:val="subscript"/>
              </w:rPr>
              <w:t>3</w:t>
            </w:r>
          </w:p>
        </w:tc>
        <w:tc>
          <w:tcPr>
            <w:tcW w:w="2391" w:type="dxa"/>
            <w:vAlign w:val="center"/>
          </w:tcPr>
          <w:p w14:paraId="778C0E84">
            <w:pPr>
              <w:shd w:val="clear" w:color="auto" w:fill="auto"/>
              <w:spacing w:line="240" w:lineRule="auto"/>
              <w:ind w:firstLine="0" w:firstLineChars="0"/>
              <w:jc w:val="center"/>
              <w:rPr>
                <w:rFonts w:ascii="Times New Roman"/>
                <w:color w:val="auto"/>
                <w:sz w:val="21"/>
                <w:szCs w:val="21"/>
                <w:highlight w:val="none"/>
              </w:rPr>
            </w:pPr>
            <w:r>
              <w:rPr>
                <w:rFonts w:ascii="Times New Roman"/>
                <w:color w:val="auto"/>
                <w:sz w:val="21"/>
                <w:szCs w:val="21"/>
                <w:highlight w:val="none"/>
              </w:rPr>
              <w:t>%</w:t>
            </w:r>
          </w:p>
        </w:tc>
        <w:tc>
          <w:tcPr>
            <w:tcW w:w="2352" w:type="dxa"/>
            <w:vAlign w:val="center"/>
          </w:tcPr>
          <w:p w14:paraId="5762502C">
            <w:pPr>
              <w:shd w:val="clear" w:color="auto" w:fill="auto"/>
              <w:spacing w:line="240" w:lineRule="auto"/>
              <w:ind w:firstLine="0" w:firstLineChars="0"/>
              <w:jc w:val="center"/>
              <w:rPr>
                <w:rFonts w:hint="default" w:ascii="Times New Roman" w:eastAsia="宋体"/>
                <w:color w:val="auto"/>
                <w:sz w:val="21"/>
                <w:szCs w:val="21"/>
                <w:highlight w:val="none"/>
                <w:lang w:val="en-US" w:eastAsia="zh-CN"/>
              </w:rPr>
            </w:pPr>
            <w:r>
              <w:rPr>
                <w:rFonts w:ascii="Times New Roman"/>
                <w:color w:val="auto"/>
                <w:sz w:val="21"/>
                <w:szCs w:val="21"/>
                <w:highlight w:val="none"/>
              </w:rPr>
              <w:t>≤</w:t>
            </w:r>
            <w:r>
              <w:rPr>
                <w:rFonts w:hint="eastAsia" w:ascii="Times New Roman"/>
                <w:color w:val="auto"/>
                <w:sz w:val="21"/>
                <w:szCs w:val="21"/>
                <w:highlight w:val="none"/>
                <w:lang w:val="en-US" w:eastAsia="zh-CN"/>
              </w:rPr>
              <w:t>0.8</w:t>
            </w:r>
          </w:p>
        </w:tc>
      </w:tr>
      <w:tr w14:paraId="52CA6B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0" w:hRule="atLeast"/>
        </w:trPr>
        <w:tc>
          <w:tcPr>
            <w:tcW w:w="3776" w:type="dxa"/>
            <w:vAlign w:val="center"/>
          </w:tcPr>
          <w:p w14:paraId="3F49127F">
            <w:pPr>
              <w:shd w:val="clear" w:color="auto" w:fill="auto"/>
              <w:spacing w:line="240" w:lineRule="auto"/>
              <w:ind w:firstLine="0" w:firstLineChars="0"/>
              <w:rPr>
                <w:rFonts w:ascii="Times New Roman"/>
                <w:color w:val="auto"/>
                <w:sz w:val="21"/>
                <w:szCs w:val="21"/>
                <w:highlight w:val="none"/>
              </w:rPr>
            </w:pPr>
            <w:r>
              <w:rPr>
                <w:rFonts w:ascii="Times New Roman"/>
                <w:color w:val="auto"/>
                <w:sz w:val="21"/>
                <w:szCs w:val="21"/>
                <w:highlight w:val="none"/>
              </w:rPr>
              <w:t>显气孔率</w:t>
            </w:r>
          </w:p>
        </w:tc>
        <w:tc>
          <w:tcPr>
            <w:tcW w:w="2391" w:type="dxa"/>
            <w:vAlign w:val="center"/>
          </w:tcPr>
          <w:p w14:paraId="2B925D26">
            <w:pPr>
              <w:shd w:val="clear" w:color="auto" w:fill="auto"/>
              <w:spacing w:line="240" w:lineRule="auto"/>
              <w:ind w:firstLine="0" w:firstLineChars="0"/>
              <w:jc w:val="center"/>
              <w:rPr>
                <w:rFonts w:ascii="Times New Roman"/>
                <w:color w:val="auto"/>
                <w:sz w:val="21"/>
                <w:szCs w:val="21"/>
                <w:highlight w:val="none"/>
              </w:rPr>
            </w:pPr>
            <w:r>
              <w:rPr>
                <w:rFonts w:ascii="Times New Roman"/>
                <w:color w:val="auto"/>
                <w:sz w:val="21"/>
                <w:szCs w:val="21"/>
                <w:highlight w:val="none"/>
              </w:rPr>
              <w:t>%</w:t>
            </w:r>
          </w:p>
        </w:tc>
        <w:tc>
          <w:tcPr>
            <w:tcW w:w="2352" w:type="dxa"/>
            <w:vAlign w:val="center"/>
          </w:tcPr>
          <w:p w14:paraId="38C9EFE9">
            <w:pPr>
              <w:shd w:val="clear" w:color="auto" w:fill="auto"/>
              <w:spacing w:line="240" w:lineRule="auto"/>
              <w:ind w:firstLine="0" w:firstLineChars="0"/>
              <w:jc w:val="center"/>
              <w:rPr>
                <w:rFonts w:hint="eastAsia" w:ascii="Times New Roman" w:eastAsia="宋体"/>
                <w:color w:val="auto"/>
                <w:sz w:val="21"/>
                <w:szCs w:val="21"/>
                <w:highlight w:val="none"/>
                <w:lang w:eastAsia="zh-CN"/>
              </w:rPr>
            </w:pPr>
            <w:r>
              <w:rPr>
                <w:rFonts w:ascii="Times New Roman"/>
                <w:color w:val="auto"/>
                <w:sz w:val="21"/>
                <w:szCs w:val="21"/>
                <w:highlight w:val="none"/>
              </w:rPr>
              <w:t>≤1</w:t>
            </w:r>
            <w:r>
              <w:rPr>
                <w:rFonts w:hint="eastAsia" w:ascii="Times New Roman"/>
                <w:color w:val="auto"/>
                <w:sz w:val="21"/>
                <w:szCs w:val="21"/>
                <w:highlight w:val="none"/>
                <w:lang w:val="en-US" w:eastAsia="zh-CN"/>
              </w:rPr>
              <w:t>6</w:t>
            </w:r>
          </w:p>
        </w:tc>
      </w:tr>
      <w:tr w14:paraId="293D59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0" w:hRule="atLeast"/>
        </w:trPr>
        <w:tc>
          <w:tcPr>
            <w:tcW w:w="3776" w:type="dxa"/>
            <w:vAlign w:val="center"/>
          </w:tcPr>
          <w:p w14:paraId="70ACD759">
            <w:pPr>
              <w:shd w:val="clear" w:color="auto" w:fill="auto"/>
              <w:spacing w:line="240" w:lineRule="auto"/>
              <w:ind w:firstLine="0" w:firstLineChars="0"/>
              <w:rPr>
                <w:rFonts w:ascii="Times New Roman"/>
                <w:color w:val="auto"/>
                <w:sz w:val="21"/>
                <w:szCs w:val="21"/>
                <w:highlight w:val="none"/>
              </w:rPr>
            </w:pPr>
            <w:r>
              <w:rPr>
                <w:rFonts w:ascii="Times New Roman"/>
                <w:color w:val="auto"/>
                <w:sz w:val="21"/>
                <w:szCs w:val="21"/>
                <w:highlight w:val="none"/>
              </w:rPr>
              <w:t>体积密度</w:t>
            </w:r>
          </w:p>
        </w:tc>
        <w:tc>
          <w:tcPr>
            <w:tcW w:w="2391" w:type="dxa"/>
            <w:vAlign w:val="center"/>
          </w:tcPr>
          <w:p w14:paraId="10E63BDE">
            <w:pPr>
              <w:shd w:val="clear" w:color="auto" w:fill="auto"/>
              <w:spacing w:line="240" w:lineRule="auto"/>
              <w:ind w:firstLine="0" w:firstLineChars="0"/>
              <w:jc w:val="center"/>
              <w:rPr>
                <w:rFonts w:ascii="Times New Roman"/>
                <w:color w:val="auto"/>
                <w:sz w:val="21"/>
                <w:szCs w:val="21"/>
                <w:highlight w:val="none"/>
              </w:rPr>
            </w:pPr>
            <w:r>
              <w:rPr>
                <w:rFonts w:ascii="Times New Roman"/>
                <w:color w:val="auto"/>
                <w:sz w:val="21"/>
                <w:szCs w:val="21"/>
                <w:highlight w:val="none"/>
              </w:rPr>
              <w:t>g/cm</w:t>
            </w:r>
            <w:r>
              <w:rPr>
                <w:rFonts w:ascii="Times New Roman"/>
                <w:color w:val="auto"/>
                <w:sz w:val="21"/>
                <w:szCs w:val="21"/>
                <w:highlight w:val="none"/>
                <w:vertAlign w:val="superscript"/>
              </w:rPr>
              <w:t>3</w:t>
            </w:r>
          </w:p>
        </w:tc>
        <w:tc>
          <w:tcPr>
            <w:tcW w:w="2352" w:type="dxa"/>
            <w:vAlign w:val="center"/>
          </w:tcPr>
          <w:p w14:paraId="3EC90D59">
            <w:pPr>
              <w:shd w:val="clear" w:color="auto" w:fill="auto"/>
              <w:spacing w:line="240" w:lineRule="auto"/>
              <w:ind w:firstLine="0" w:firstLineChars="0"/>
              <w:jc w:val="center"/>
              <w:rPr>
                <w:rFonts w:ascii="Times New Roman"/>
                <w:color w:val="auto"/>
                <w:sz w:val="21"/>
                <w:szCs w:val="21"/>
                <w:highlight w:val="none"/>
              </w:rPr>
            </w:pPr>
            <w:r>
              <w:rPr>
                <w:rFonts w:ascii="Times New Roman"/>
                <w:color w:val="auto"/>
                <w:sz w:val="21"/>
                <w:szCs w:val="21"/>
                <w:highlight w:val="none"/>
              </w:rPr>
              <w:t>≥2.</w:t>
            </w:r>
            <w:r>
              <w:rPr>
                <w:rFonts w:hint="eastAsia" w:ascii="Times New Roman"/>
                <w:color w:val="auto"/>
                <w:sz w:val="21"/>
                <w:szCs w:val="21"/>
                <w:highlight w:val="none"/>
                <w:lang w:val="en-US" w:eastAsia="zh-CN"/>
              </w:rPr>
              <w:t>9</w:t>
            </w:r>
            <w:r>
              <w:rPr>
                <w:rFonts w:ascii="Times New Roman"/>
                <w:color w:val="auto"/>
                <w:sz w:val="21"/>
                <w:szCs w:val="21"/>
                <w:highlight w:val="none"/>
              </w:rPr>
              <w:t>5</w:t>
            </w:r>
          </w:p>
        </w:tc>
      </w:tr>
      <w:tr w14:paraId="1F970D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0" w:hRule="atLeast"/>
        </w:trPr>
        <w:tc>
          <w:tcPr>
            <w:tcW w:w="3776" w:type="dxa"/>
            <w:vAlign w:val="center"/>
          </w:tcPr>
          <w:p w14:paraId="4529101E">
            <w:pPr>
              <w:shd w:val="clear" w:color="auto" w:fill="auto"/>
              <w:spacing w:line="240" w:lineRule="auto"/>
              <w:ind w:firstLine="0" w:firstLineChars="0"/>
              <w:rPr>
                <w:rFonts w:ascii="Times New Roman"/>
                <w:color w:val="auto"/>
                <w:sz w:val="21"/>
                <w:szCs w:val="21"/>
                <w:highlight w:val="none"/>
              </w:rPr>
            </w:pPr>
            <w:r>
              <w:rPr>
                <w:rFonts w:ascii="Times New Roman"/>
                <w:color w:val="auto"/>
                <w:sz w:val="21"/>
                <w:szCs w:val="21"/>
                <w:highlight w:val="none"/>
              </w:rPr>
              <w:t>常温耐压强度</w:t>
            </w:r>
          </w:p>
        </w:tc>
        <w:tc>
          <w:tcPr>
            <w:tcW w:w="2391" w:type="dxa"/>
            <w:vAlign w:val="center"/>
          </w:tcPr>
          <w:p w14:paraId="3A015E12">
            <w:pPr>
              <w:shd w:val="clear" w:color="auto" w:fill="auto"/>
              <w:spacing w:line="240" w:lineRule="auto"/>
              <w:ind w:firstLine="0" w:firstLineChars="0"/>
              <w:jc w:val="center"/>
              <w:rPr>
                <w:rFonts w:ascii="Times New Roman"/>
                <w:color w:val="auto"/>
                <w:sz w:val="21"/>
                <w:szCs w:val="21"/>
                <w:highlight w:val="none"/>
              </w:rPr>
            </w:pPr>
            <w:r>
              <w:rPr>
                <w:rFonts w:ascii="Times New Roman"/>
                <w:color w:val="auto"/>
                <w:sz w:val="21"/>
                <w:szCs w:val="21"/>
                <w:highlight w:val="none"/>
              </w:rPr>
              <w:t>MPa</w:t>
            </w:r>
          </w:p>
        </w:tc>
        <w:tc>
          <w:tcPr>
            <w:tcW w:w="2352" w:type="dxa"/>
            <w:vAlign w:val="center"/>
          </w:tcPr>
          <w:p w14:paraId="5CB2C07F">
            <w:pPr>
              <w:shd w:val="clear" w:color="auto" w:fill="auto"/>
              <w:spacing w:line="240" w:lineRule="auto"/>
              <w:ind w:firstLine="0" w:firstLineChars="0"/>
              <w:jc w:val="center"/>
              <w:rPr>
                <w:rFonts w:ascii="Times New Roman"/>
                <w:color w:val="auto"/>
                <w:sz w:val="21"/>
                <w:szCs w:val="21"/>
                <w:highlight w:val="none"/>
              </w:rPr>
            </w:pPr>
            <w:r>
              <w:rPr>
                <w:rFonts w:ascii="Times New Roman"/>
                <w:color w:val="auto"/>
                <w:sz w:val="21"/>
                <w:szCs w:val="21"/>
                <w:highlight w:val="none"/>
              </w:rPr>
              <w:t>≥1</w:t>
            </w:r>
            <w:r>
              <w:rPr>
                <w:rFonts w:hint="eastAsia" w:ascii="Times New Roman"/>
                <w:color w:val="auto"/>
                <w:sz w:val="21"/>
                <w:szCs w:val="21"/>
                <w:highlight w:val="none"/>
                <w:lang w:val="en-US" w:eastAsia="zh-CN"/>
              </w:rPr>
              <w:t>2</w:t>
            </w:r>
            <w:r>
              <w:rPr>
                <w:rFonts w:ascii="Times New Roman"/>
                <w:color w:val="auto"/>
                <w:sz w:val="21"/>
                <w:szCs w:val="21"/>
                <w:highlight w:val="none"/>
              </w:rPr>
              <w:t>0</w:t>
            </w:r>
          </w:p>
        </w:tc>
      </w:tr>
      <w:tr w14:paraId="0B810A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0" w:hRule="atLeast"/>
        </w:trPr>
        <w:tc>
          <w:tcPr>
            <w:tcW w:w="3776" w:type="dxa"/>
            <w:vAlign w:val="center"/>
          </w:tcPr>
          <w:p w14:paraId="33B8C40B">
            <w:pPr>
              <w:shd w:val="clear" w:color="auto" w:fill="auto"/>
              <w:spacing w:line="240" w:lineRule="auto"/>
              <w:ind w:firstLine="0" w:firstLineChars="0"/>
              <w:rPr>
                <w:rFonts w:ascii="Times New Roman"/>
                <w:color w:val="auto"/>
                <w:sz w:val="21"/>
                <w:szCs w:val="21"/>
                <w:highlight w:val="none"/>
              </w:rPr>
            </w:pPr>
            <w:r>
              <w:rPr>
                <w:rFonts w:ascii="Times New Roman"/>
                <w:color w:val="auto"/>
                <w:sz w:val="21"/>
                <w:szCs w:val="21"/>
                <w:highlight w:val="none"/>
              </w:rPr>
              <w:t>0.2MPa 荷重软化开始温度</w:t>
            </w:r>
          </w:p>
        </w:tc>
        <w:tc>
          <w:tcPr>
            <w:tcW w:w="2391" w:type="dxa"/>
            <w:vAlign w:val="center"/>
          </w:tcPr>
          <w:p w14:paraId="7396B219">
            <w:pPr>
              <w:shd w:val="clear" w:color="auto" w:fill="auto"/>
              <w:spacing w:line="240" w:lineRule="auto"/>
              <w:ind w:firstLine="0" w:firstLineChars="0"/>
              <w:jc w:val="center"/>
              <w:rPr>
                <w:rFonts w:ascii="Times New Roman"/>
                <w:color w:val="auto"/>
                <w:sz w:val="21"/>
                <w:szCs w:val="21"/>
                <w:highlight w:val="none"/>
              </w:rPr>
            </w:pPr>
            <w:r>
              <w:rPr>
                <w:rFonts w:hint="eastAsia" w:cs="宋体"/>
                <w:color w:val="auto"/>
                <w:sz w:val="21"/>
                <w:szCs w:val="21"/>
                <w:highlight w:val="none"/>
              </w:rPr>
              <w:t>℃</w:t>
            </w:r>
          </w:p>
        </w:tc>
        <w:tc>
          <w:tcPr>
            <w:tcW w:w="2352" w:type="dxa"/>
            <w:vAlign w:val="center"/>
          </w:tcPr>
          <w:p w14:paraId="154E4A9C">
            <w:pPr>
              <w:shd w:val="clear" w:color="auto" w:fill="auto"/>
              <w:spacing w:line="240" w:lineRule="auto"/>
              <w:ind w:firstLine="0" w:firstLineChars="0"/>
              <w:jc w:val="center"/>
              <w:rPr>
                <w:rFonts w:ascii="Times New Roman"/>
                <w:color w:val="auto"/>
                <w:sz w:val="21"/>
                <w:szCs w:val="21"/>
                <w:highlight w:val="none"/>
              </w:rPr>
            </w:pPr>
            <w:r>
              <w:rPr>
                <w:rFonts w:ascii="Times New Roman"/>
                <w:color w:val="auto"/>
                <w:sz w:val="21"/>
                <w:szCs w:val="21"/>
                <w:highlight w:val="none"/>
              </w:rPr>
              <w:t>≥1</w:t>
            </w:r>
            <w:r>
              <w:rPr>
                <w:rFonts w:hint="eastAsia" w:ascii="Times New Roman"/>
                <w:color w:val="auto"/>
                <w:sz w:val="21"/>
                <w:szCs w:val="21"/>
                <w:highlight w:val="none"/>
                <w:lang w:val="en-US" w:eastAsia="zh-CN"/>
              </w:rPr>
              <w:t>70</w:t>
            </w:r>
            <w:r>
              <w:rPr>
                <w:rFonts w:ascii="Times New Roman"/>
                <w:color w:val="auto"/>
                <w:sz w:val="21"/>
                <w:szCs w:val="21"/>
                <w:highlight w:val="none"/>
              </w:rPr>
              <w:t>0</w:t>
            </w:r>
          </w:p>
        </w:tc>
      </w:tr>
      <w:tr w14:paraId="4B721B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0" w:hRule="atLeast"/>
        </w:trPr>
        <w:tc>
          <w:tcPr>
            <w:tcW w:w="3776" w:type="dxa"/>
            <w:vAlign w:val="center"/>
          </w:tcPr>
          <w:p w14:paraId="12A97CB7">
            <w:pPr>
              <w:shd w:val="clear" w:color="auto" w:fill="auto"/>
              <w:spacing w:line="240" w:lineRule="auto"/>
              <w:ind w:firstLine="0" w:firstLineChars="0"/>
              <w:rPr>
                <w:rFonts w:ascii="Times New Roman"/>
                <w:color w:val="auto"/>
                <w:sz w:val="21"/>
                <w:szCs w:val="21"/>
                <w:highlight w:val="none"/>
              </w:rPr>
            </w:pPr>
            <w:r>
              <w:rPr>
                <w:rFonts w:ascii="Times New Roman"/>
                <w:color w:val="auto"/>
                <w:sz w:val="21"/>
                <w:szCs w:val="21"/>
                <w:highlight w:val="none"/>
              </w:rPr>
              <w:t>加热永久线变化(1500</w:t>
            </w:r>
            <w:r>
              <w:rPr>
                <w:rFonts w:hint="eastAsia" w:cs="宋体"/>
                <w:color w:val="auto"/>
                <w:sz w:val="21"/>
                <w:szCs w:val="21"/>
                <w:highlight w:val="none"/>
              </w:rPr>
              <w:t>℃</w:t>
            </w:r>
            <w:r>
              <w:rPr>
                <w:rFonts w:ascii="Times New Roman"/>
                <w:color w:val="auto"/>
                <w:sz w:val="21"/>
                <w:szCs w:val="21"/>
                <w:highlight w:val="none"/>
              </w:rPr>
              <w:t>×2h)</w:t>
            </w:r>
          </w:p>
        </w:tc>
        <w:tc>
          <w:tcPr>
            <w:tcW w:w="2391" w:type="dxa"/>
            <w:vAlign w:val="center"/>
          </w:tcPr>
          <w:p w14:paraId="795C0BC8">
            <w:pPr>
              <w:shd w:val="clear" w:color="auto" w:fill="auto"/>
              <w:spacing w:line="240" w:lineRule="auto"/>
              <w:ind w:firstLine="0" w:firstLineChars="0"/>
              <w:jc w:val="center"/>
              <w:rPr>
                <w:rFonts w:ascii="Times New Roman"/>
                <w:color w:val="auto"/>
                <w:sz w:val="21"/>
                <w:szCs w:val="21"/>
                <w:highlight w:val="none"/>
              </w:rPr>
            </w:pPr>
            <w:r>
              <w:rPr>
                <w:rFonts w:ascii="Times New Roman"/>
                <w:color w:val="auto"/>
                <w:sz w:val="21"/>
                <w:szCs w:val="21"/>
                <w:highlight w:val="none"/>
              </w:rPr>
              <w:t>%</w:t>
            </w:r>
          </w:p>
        </w:tc>
        <w:tc>
          <w:tcPr>
            <w:tcW w:w="2352" w:type="dxa"/>
            <w:vAlign w:val="center"/>
          </w:tcPr>
          <w:p w14:paraId="7108F807">
            <w:pPr>
              <w:shd w:val="clear" w:color="auto" w:fill="auto"/>
              <w:spacing w:line="240" w:lineRule="auto"/>
              <w:ind w:firstLine="0" w:firstLineChars="0"/>
              <w:jc w:val="center"/>
              <w:rPr>
                <w:rFonts w:hint="eastAsia" w:ascii="Times New Roman" w:eastAsia="宋体"/>
                <w:color w:val="auto"/>
                <w:sz w:val="21"/>
                <w:szCs w:val="21"/>
                <w:highlight w:val="none"/>
                <w:lang w:eastAsia="zh-CN"/>
              </w:rPr>
            </w:pPr>
            <w:r>
              <w:rPr>
                <w:rFonts w:ascii="Times New Roman"/>
                <w:color w:val="auto"/>
                <w:sz w:val="21"/>
                <w:szCs w:val="21"/>
                <w:highlight w:val="none"/>
              </w:rPr>
              <w:t>±0.</w:t>
            </w:r>
            <w:r>
              <w:rPr>
                <w:rFonts w:hint="eastAsia" w:ascii="Times New Roman"/>
                <w:color w:val="auto"/>
                <w:sz w:val="21"/>
                <w:szCs w:val="21"/>
                <w:highlight w:val="none"/>
                <w:lang w:val="en-US" w:eastAsia="zh-CN"/>
              </w:rPr>
              <w:t>1</w:t>
            </w:r>
          </w:p>
        </w:tc>
      </w:tr>
      <w:tr w14:paraId="49DEC6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0" w:hRule="atLeast"/>
        </w:trPr>
        <w:tc>
          <w:tcPr>
            <w:tcW w:w="3776" w:type="dxa"/>
            <w:vAlign w:val="center"/>
          </w:tcPr>
          <w:p w14:paraId="6450FF17">
            <w:pPr>
              <w:shd w:val="clear" w:color="auto" w:fill="auto"/>
              <w:spacing w:line="240" w:lineRule="auto"/>
              <w:ind w:firstLine="0" w:firstLineChars="0"/>
              <w:rPr>
                <w:rFonts w:ascii="Times New Roman"/>
                <w:color w:val="auto"/>
                <w:sz w:val="21"/>
                <w:szCs w:val="21"/>
                <w:highlight w:val="none"/>
              </w:rPr>
            </w:pPr>
            <w:r>
              <w:rPr>
                <w:rFonts w:ascii="Times New Roman"/>
                <w:color w:val="auto"/>
                <w:sz w:val="21"/>
                <w:szCs w:val="21"/>
                <w:highlight w:val="none"/>
              </w:rPr>
              <w:t>热震稳定性（1100</w:t>
            </w:r>
            <w:r>
              <w:rPr>
                <w:rFonts w:hint="eastAsia" w:cs="宋体"/>
                <w:color w:val="auto"/>
                <w:sz w:val="21"/>
                <w:szCs w:val="21"/>
                <w:highlight w:val="none"/>
              </w:rPr>
              <w:t>℃</w:t>
            </w:r>
            <w:r>
              <w:rPr>
                <w:rFonts w:ascii="Times New Roman"/>
                <w:color w:val="auto"/>
                <w:sz w:val="21"/>
                <w:szCs w:val="21"/>
                <w:highlight w:val="none"/>
              </w:rPr>
              <w:t>水冷）</w:t>
            </w:r>
          </w:p>
        </w:tc>
        <w:tc>
          <w:tcPr>
            <w:tcW w:w="2391" w:type="dxa"/>
            <w:vAlign w:val="center"/>
          </w:tcPr>
          <w:p w14:paraId="29C66C6F">
            <w:pPr>
              <w:shd w:val="clear" w:color="auto" w:fill="auto"/>
              <w:spacing w:line="240" w:lineRule="auto"/>
              <w:ind w:firstLine="0" w:firstLineChars="0"/>
              <w:jc w:val="center"/>
              <w:rPr>
                <w:rFonts w:ascii="Times New Roman"/>
                <w:color w:val="auto"/>
                <w:sz w:val="21"/>
                <w:szCs w:val="21"/>
                <w:highlight w:val="none"/>
              </w:rPr>
            </w:pPr>
            <w:r>
              <w:rPr>
                <w:rFonts w:ascii="Times New Roman"/>
                <w:color w:val="auto"/>
                <w:sz w:val="21"/>
                <w:szCs w:val="21"/>
                <w:highlight w:val="none"/>
              </w:rPr>
              <w:t>次</w:t>
            </w:r>
          </w:p>
        </w:tc>
        <w:tc>
          <w:tcPr>
            <w:tcW w:w="2352" w:type="dxa"/>
            <w:vAlign w:val="center"/>
          </w:tcPr>
          <w:p w14:paraId="384E6077">
            <w:pPr>
              <w:shd w:val="clear" w:color="auto" w:fill="auto"/>
              <w:spacing w:line="240" w:lineRule="auto"/>
              <w:ind w:firstLine="0" w:firstLineChars="0"/>
              <w:jc w:val="center"/>
              <w:rPr>
                <w:rFonts w:ascii="Times New Roman"/>
                <w:color w:val="auto"/>
                <w:sz w:val="21"/>
                <w:szCs w:val="21"/>
                <w:highlight w:val="none"/>
              </w:rPr>
            </w:pPr>
          </w:p>
        </w:tc>
      </w:tr>
      <w:tr w14:paraId="0FC899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0" w:hRule="atLeast"/>
        </w:trPr>
        <w:tc>
          <w:tcPr>
            <w:tcW w:w="3776" w:type="dxa"/>
            <w:vAlign w:val="center"/>
          </w:tcPr>
          <w:p w14:paraId="2D854C86">
            <w:pPr>
              <w:shd w:val="clear" w:color="auto" w:fill="auto"/>
              <w:spacing w:line="240" w:lineRule="auto"/>
              <w:ind w:firstLine="0" w:firstLineChars="0"/>
              <w:rPr>
                <w:rFonts w:ascii="Times New Roman"/>
                <w:color w:val="auto"/>
                <w:sz w:val="21"/>
                <w:szCs w:val="21"/>
                <w:highlight w:val="none"/>
              </w:rPr>
            </w:pPr>
            <w:r>
              <w:rPr>
                <w:rFonts w:ascii="Times New Roman"/>
                <w:color w:val="auto"/>
                <w:sz w:val="21"/>
                <w:szCs w:val="21"/>
                <w:highlight w:val="none"/>
              </w:rPr>
              <w:t>抗铁水熔蚀性</w:t>
            </w:r>
          </w:p>
        </w:tc>
        <w:tc>
          <w:tcPr>
            <w:tcW w:w="2391" w:type="dxa"/>
            <w:vAlign w:val="center"/>
          </w:tcPr>
          <w:p w14:paraId="11AD8AB3">
            <w:pPr>
              <w:shd w:val="clear" w:color="auto" w:fill="auto"/>
              <w:spacing w:line="240" w:lineRule="auto"/>
              <w:ind w:firstLine="0" w:firstLineChars="0"/>
              <w:jc w:val="center"/>
              <w:rPr>
                <w:rFonts w:ascii="Times New Roman"/>
                <w:color w:val="auto"/>
                <w:sz w:val="21"/>
                <w:szCs w:val="21"/>
                <w:highlight w:val="none"/>
              </w:rPr>
            </w:pPr>
            <w:r>
              <w:rPr>
                <w:rFonts w:hint="eastAsia" w:ascii="Times New Roman"/>
                <w:color w:val="auto"/>
                <w:sz w:val="21"/>
                <w:szCs w:val="21"/>
                <w:highlight w:val="none"/>
              </w:rPr>
              <w:t>参考指标</w:t>
            </w:r>
          </w:p>
        </w:tc>
        <w:tc>
          <w:tcPr>
            <w:tcW w:w="2352" w:type="dxa"/>
            <w:vAlign w:val="center"/>
          </w:tcPr>
          <w:p w14:paraId="7E890E07">
            <w:pPr>
              <w:shd w:val="clear" w:color="auto" w:fill="auto"/>
              <w:spacing w:line="240" w:lineRule="auto"/>
              <w:ind w:firstLine="0" w:firstLineChars="0"/>
              <w:jc w:val="center"/>
              <w:rPr>
                <w:rFonts w:ascii="Times New Roman"/>
                <w:color w:val="auto"/>
                <w:sz w:val="21"/>
                <w:szCs w:val="21"/>
                <w:highlight w:val="none"/>
              </w:rPr>
            </w:pPr>
            <w:r>
              <w:rPr>
                <w:rFonts w:ascii="Times New Roman"/>
                <w:color w:val="auto"/>
                <w:sz w:val="21"/>
                <w:szCs w:val="21"/>
                <w:highlight w:val="none"/>
              </w:rPr>
              <w:t>≤1.0</w:t>
            </w:r>
          </w:p>
        </w:tc>
      </w:tr>
      <w:tr w14:paraId="46D12F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0" w:hRule="atLeast"/>
        </w:trPr>
        <w:tc>
          <w:tcPr>
            <w:tcW w:w="3776" w:type="dxa"/>
            <w:vAlign w:val="center"/>
          </w:tcPr>
          <w:p w14:paraId="0EB6538D">
            <w:pPr>
              <w:shd w:val="clear" w:color="auto" w:fill="auto"/>
              <w:spacing w:line="240" w:lineRule="auto"/>
              <w:ind w:firstLine="0" w:firstLineChars="0"/>
              <w:jc w:val="left"/>
              <w:rPr>
                <w:rFonts w:hint="eastAsia" w:ascii="Times New Roman" w:hAnsi="宋体" w:eastAsia="宋体" w:cs="Arial"/>
                <w:color w:val="auto"/>
                <w:sz w:val="21"/>
                <w:szCs w:val="21"/>
                <w:highlight w:val="none"/>
                <w:lang w:val="en-US" w:eastAsia="zh-CN"/>
              </w:rPr>
            </w:pPr>
            <w:r>
              <w:rPr>
                <w:rFonts w:hint="eastAsia" w:ascii="Times New Roman" w:hAnsi="宋体" w:eastAsia="宋体" w:cs="Arial"/>
                <w:color w:val="auto"/>
                <w:sz w:val="21"/>
                <w:szCs w:val="21"/>
                <w:highlight w:val="none"/>
                <w:lang w:val="en-US" w:eastAsia="zh-CN"/>
              </w:rPr>
              <w:t>常温抗折强度</w:t>
            </w:r>
          </w:p>
        </w:tc>
        <w:tc>
          <w:tcPr>
            <w:tcW w:w="2391" w:type="dxa"/>
            <w:vAlign w:val="center"/>
          </w:tcPr>
          <w:p w14:paraId="04F3E2D5">
            <w:pPr>
              <w:shd w:val="clear" w:color="auto" w:fill="auto"/>
              <w:spacing w:line="240" w:lineRule="auto"/>
              <w:ind w:firstLine="0" w:firstLineChars="0"/>
              <w:jc w:val="center"/>
              <w:rPr>
                <w:rFonts w:hint="eastAsia" w:ascii="Times New Roman" w:hAnsi="宋体" w:eastAsia="宋体" w:cs="Arial"/>
                <w:color w:val="auto"/>
                <w:sz w:val="21"/>
                <w:szCs w:val="21"/>
                <w:highlight w:val="none"/>
                <w:lang w:val="en-US" w:eastAsia="zh-CN"/>
              </w:rPr>
            </w:pPr>
            <w:r>
              <w:rPr>
                <w:rFonts w:hint="eastAsia" w:ascii="Times New Roman" w:hAnsi="宋体" w:eastAsia="宋体" w:cs="Arial"/>
                <w:color w:val="auto"/>
                <w:sz w:val="21"/>
                <w:szCs w:val="21"/>
                <w:highlight w:val="none"/>
              </w:rPr>
              <w:t>MPa</w:t>
            </w:r>
          </w:p>
        </w:tc>
        <w:tc>
          <w:tcPr>
            <w:tcW w:w="2352" w:type="dxa"/>
            <w:vAlign w:val="center"/>
          </w:tcPr>
          <w:p w14:paraId="595F6A12">
            <w:pPr>
              <w:shd w:val="clear" w:color="auto" w:fill="auto"/>
              <w:spacing w:line="240" w:lineRule="auto"/>
              <w:ind w:firstLine="0" w:firstLineChars="0"/>
              <w:jc w:val="center"/>
              <w:rPr>
                <w:rFonts w:hint="eastAsia" w:ascii="Times New Roman" w:hAnsi="宋体" w:eastAsia="宋体" w:cs="Arial"/>
                <w:color w:val="auto"/>
                <w:sz w:val="21"/>
                <w:szCs w:val="21"/>
                <w:highlight w:val="none"/>
                <w:lang w:val="en-US" w:eastAsia="zh-CN"/>
              </w:rPr>
            </w:pPr>
            <w:r>
              <w:rPr>
                <w:rFonts w:hint="eastAsia" w:ascii="Times New Roman" w:hAnsi="宋体" w:eastAsia="宋体" w:cs="Arial"/>
                <w:color w:val="auto"/>
                <w:sz w:val="21"/>
                <w:szCs w:val="21"/>
                <w:highlight w:val="none"/>
              </w:rPr>
              <w:t>≥1</w:t>
            </w:r>
            <w:r>
              <w:rPr>
                <w:rFonts w:hint="eastAsia" w:ascii="Times New Roman" w:hAnsi="宋体" w:eastAsia="宋体" w:cs="Arial"/>
                <w:color w:val="auto"/>
                <w:sz w:val="21"/>
                <w:szCs w:val="21"/>
                <w:highlight w:val="none"/>
                <w:lang w:val="en-US" w:eastAsia="zh-CN"/>
              </w:rPr>
              <w:t>5</w:t>
            </w:r>
          </w:p>
        </w:tc>
      </w:tr>
      <w:tr w14:paraId="2265DF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0" w:hRule="atLeast"/>
        </w:trPr>
        <w:tc>
          <w:tcPr>
            <w:tcW w:w="3776" w:type="dxa"/>
            <w:vAlign w:val="center"/>
          </w:tcPr>
          <w:p w14:paraId="31A531F3">
            <w:pPr>
              <w:shd w:val="clear" w:color="auto" w:fill="auto"/>
              <w:spacing w:line="240" w:lineRule="auto"/>
              <w:ind w:firstLine="0" w:firstLineChars="0"/>
              <w:jc w:val="left"/>
              <w:rPr>
                <w:rFonts w:hint="eastAsia" w:ascii="Times New Roman" w:hAnsi="宋体" w:eastAsia="宋体" w:cs="Arial"/>
                <w:color w:val="auto"/>
                <w:sz w:val="21"/>
                <w:szCs w:val="21"/>
                <w:highlight w:val="none"/>
                <w:lang w:val="en-US" w:eastAsia="zh-CN"/>
              </w:rPr>
            </w:pPr>
            <w:r>
              <w:rPr>
                <w:rFonts w:hint="eastAsia" w:ascii="Times New Roman" w:hAnsi="宋体" w:eastAsia="宋体" w:cs="Arial"/>
                <w:color w:val="auto"/>
                <w:sz w:val="21"/>
                <w:szCs w:val="21"/>
                <w:highlight w:val="none"/>
              </w:rPr>
              <w:t>耐火度</w:t>
            </w:r>
          </w:p>
        </w:tc>
        <w:tc>
          <w:tcPr>
            <w:tcW w:w="2391" w:type="dxa"/>
            <w:vAlign w:val="center"/>
          </w:tcPr>
          <w:p w14:paraId="000DD522">
            <w:pPr>
              <w:shd w:val="clear" w:color="auto" w:fill="auto"/>
              <w:spacing w:line="240" w:lineRule="auto"/>
              <w:ind w:firstLine="0" w:firstLineChars="0"/>
              <w:jc w:val="center"/>
              <w:rPr>
                <w:rFonts w:hint="eastAsia" w:ascii="Times New Roman" w:hAnsi="宋体" w:eastAsia="宋体" w:cs="Arial"/>
                <w:color w:val="auto"/>
                <w:sz w:val="21"/>
                <w:szCs w:val="21"/>
                <w:highlight w:val="none"/>
                <w:lang w:val="en-US" w:eastAsia="zh-CN"/>
              </w:rPr>
            </w:pPr>
            <w:r>
              <w:rPr>
                <w:rFonts w:hint="eastAsia" w:ascii="Times New Roman" w:hAnsi="宋体" w:eastAsia="宋体" w:cs="Arial"/>
                <w:color w:val="auto"/>
                <w:sz w:val="21"/>
                <w:szCs w:val="21"/>
                <w:highlight w:val="none"/>
              </w:rPr>
              <w:t>℃</w:t>
            </w:r>
          </w:p>
        </w:tc>
        <w:tc>
          <w:tcPr>
            <w:tcW w:w="2352" w:type="dxa"/>
            <w:vAlign w:val="center"/>
          </w:tcPr>
          <w:p w14:paraId="63BBA43B">
            <w:pPr>
              <w:shd w:val="clear" w:color="auto" w:fill="auto"/>
              <w:spacing w:line="240" w:lineRule="auto"/>
              <w:ind w:firstLine="0" w:firstLineChars="0"/>
              <w:jc w:val="center"/>
              <w:rPr>
                <w:rFonts w:hint="eastAsia" w:ascii="Times New Roman" w:hAnsi="宋体" w:eastAsia="宋体" w:cs="Arial"/>
                <w:color w:val="auto"/>
                <w:sz w:val="21"/>
                <w:szCs w:val="21"/>
                <w:highlight w:val="none"/>
                <w:lang w:val="en-US" w:eastAsia="zh-CN"/>
              </w:rPr>
            </w:pPr>
            <w:r>
              <w:rPr>
                <w:rFonts w:hint="eastAsia" w:ascii="Times New Roman" w:hAnsi="宋体" w:eastAsia="宋体" w:cs="Arial"/>
                <w:color w:val="auto"/>
                <w:sz w:val="21"/>
                <w:szCs w:val="21"/>
                <w:highlight w:val="none"/>
              </w:rPr>
              <w:t>≥1</w:t>
            </w:r>
            <w:r>
              <w:rPr>
                <w:rFonts w:hint="eastAsia" w:ascii="Times New Roman" w:hAnsi="宋体" w:eastAsia="宋体" w:cs="Arial"/>
                <w:color w:val="auto"/>
                <w:sz w:val="21"/>
                <w:szCs w:val="21"/>
                <w:highlight w:val="none"/>
                <w:lang w:val="en-US" w:eastAsia="zh-CN"/>
              </w:rPr>
              <w:t>790</w:t>
            </w:r>
          </w:p>
        </w:tc>
      </w:tr>
      <w:tr w14:paraId="74E589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0" w:hRule="atLeast"/>
        </w:trPr>
        <w:tc>
          <w:tcPr>
            <w:tcW w:w="3776" w:type="dxa"/>
            <w:vAlign w:val="center"/>
          </w:tcPr>
          <w:p w14:paraId="77201B35">
            <w:pPr>
              <w:shd w:val="clear" w:color="auto" w:fill="auto"/>
              <w:spacing w:line="240" w:lineRule="auto"/>
              <w:ind w:firstLine="0" w:firstLineChars="0"/>
              <w:rPr>
                <w:rFonts w:ascii="Times New Roman"/>
                <w:color w:val="auto"/>
                <w:sz w:val="21"/>
                <w:szCs w:val="21"/>
                <w:highlight w:val="none"/>
              </w:rPr>
            </w:pPr>
            <w:r>
              <w:rPr>
                <w:rFonts w:hint="eastAsia" w:ascii="Times New Roman"/>
                <w:bCs/>
                <w:color w:val="auto"/>
                <w:sz w:val="21"/>
                <w:szCs w:val="21"/>
                <w:highlight w:val="none"/>
              </w:rPr>
              <w:t>使用部位</w:t>
            </w:r>
          </w:p>
        </w:tc>
        <w:tc>
          <w:tcPr>
            <w:tcW w:w="4743" w:type="dxa"/>
            <w:gridSpan w:val="2"/>
            <w:vAlign w:val="center"/>
          </w:tcPr>
          <w:p w14:paraId="5D8EF1AA">
            <w:pPr>
              <w:shd w:val="clear" w:color="auto" w:fill="auto"/>
              <w:spacing w:line="240" w:lineRule="auto"/>
              <w:ind w:firstLine="0" w:firstLineChars="0"/>
              <w:jc w:val="both"/>
              <w:rPr>
                <w:rFonts w:hint="eastAsia" w:ascii="Times New Roman" w:eastAsia="宋体"/>
                <w:color w:val="auto"/>
                <w:sz w:val="21"/>
                <w:szCs w:val="21"/>
                <w:highlight w:val="none"/>
                <w:lang w:val="en-US" w:eastAsia="zh-CN"/>
              </w:rPr>
            </w:pPr>
            <w:r>
              <w:rPr>
                <w:rFonts w:hint="eastAsia" w:ascii="Times New Roman" w:hAnsi="Times New Roman" w:cs="Times New Roman"/>
                <w:color w:val="auto"/>
                <w:sz w:val="21"/>
                <w:szCs w:val="21"/>
                <w:highlight w:val="none"/>
              </w:rPr>
              <w:t>陶瓷杯垫</w:t>
            </w:r>
            <w:r>
              <w:rPr>
                <w:rFonts w:hint="eastAsia" w:ascii="Times New Roman" w:hAnsi="Times New Roman" w:cs="Times New Roman"/>
                <w:color w:val="auto"/>
                <w:sz w:val="21"/>
                <w:szCs w:val="21"/>
                <w:highlight w:val="none"/>
                <w:lang w:val="en-US" w:eastAsia="zh-CN"/>
              </w:rPr>
              <w:t>砖</w:t>
            </w:r>
          </w:p>
        </w:tc>
      </w:tr>
    </w:tbl>
    <w:p w14:paraId="4E1EDC11">
      <w:pPr>
        <w:numPr>
          <w:ilvl w:val="0"/>
          <w:numId w:val="16"/>
        </w:numPr>
        <w:shd w:val="clear" w:color="auto" w:fill="auto"/>
        <w:ind w:left="240" w:leftChars="0" w:firstLine="0" w:firstLineChars="0"/>
        <w:rPr>
          <w:rFonts w:hint="eastAsia" w:ascii="宋体" w:hAnsi="宋体" w:eastAsia="宋体"/>
          <w:color w:val="FF0000"/>
          <w:highlight w:val="none"/>
        </w:rPr>
      </w:pPr>
      <w:r>
        <w:rPr>
          <w:rFonts w:hint="eastAsia" w:ascii="宋体" w:hAnsi="宋体" w:eastAsia="宋体"/>
          <w:color w:val="FF0000"/>
          <w:highlight w:val="none"/>
        </w:rPr>
        <w:t>溶胶结合半导热铝-碳化硅自流浇注料理化指标</w:t>
      </w:r>
    </w:p>
    <w:tbl>
      <w:tblPr>
        <w:tblStyle w:val="60"/>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689"/>
        <w:gridCol w:w="1221"/>
        <w:gridCol w:w="1476"/>
        <w:gridCol w:w="3133"/>
      </w:tblGrid>
      <w:tr w14:paraId="3E64B7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80" w:type="pct"/>
            <w:noWrap w:val="0"/>
            <w:tcMar>
              <w:top w:w="0" w:type="dxa"/>
              <w:left w:w="108" w:type="dxa"/>
              <w:bottom w:w="0" w:type="dxa"/>
              <w:right w:w="108" w:type="dxa"/>
            </w:tcMar>
            <w:vAlign w:val="center"/>
          </w:tcPr>
          <w:p w14:paraId="67B84025">
            <w:pPr>
              <w:snapToGrid w:val="0"/>
              <w:ind w:firstLine="420"/>
              <w:jc w:val="center"/>
              <w:rPr>
                <w:color w:val="FF0000"/>
                <w:highlight w:val="none"/>
                <w:shd w:val="clear" w:color="auto" w:fill="FFFF00"/>
              </w:rPr>
            </w:pPr>
            <w:r>
              <w:rPr>
                <w:rFonts w:cs="宋体"/>
                <w:color w:val="FF0000"/>
                <w:sz w:val="21"/>
                <w:highlight w:val="none"/>
                <w:shd w:val="clear" w:color="auto" w:fill="FFFF00"/>
              </w:rPr>
              <w:t>项目</w:t>
            </w:r>
          </w:p>
        </w:tc>
        <w:tc>
          <w:tcPr>
            <w:tcW w:w="711" w:type="pct"/>
            <w:noWrap w:val="0"/>
            <w:tcMar>
              <w:top w:w="0" w:type="dxa"/>
              <w:bottom w:w="0" w:type="dxa"/>
            </w:tcMar>
            <w:vAlign w:val="center"/>
          </w:tcPr>
          <w:p w14:paraId="04E31910">
            <w:pPr>
              <w:snapToGrid w:val="0"/>
              <w:ind w:firstLine="420"/>
              <w:jc w:val="center"/>
              <w:rPr>
                <w:color w:val="FF0000"/>
                <w:highlight w:val="none"/>
                <w:shd w:val="clear" w:color="auto" w:fill="FFFF00"/>
              </w:rPr>
            </w:pPr>
            <w:r>
              <w:rPr>
                <w:rFonts w:cs="宋体"/>
                <w:color w:val="FF0000"/>
                <w:sz w:val="21"/>
                <w:highlight w:val="none"/>
                <w:shd w:val="clear" w:color="auto" w:fill="FFFF00"/>
              </w:rPr>
              <w:t>单位</w:t>
            </w:r>
          </w:p>
        </w:tc>
        <w:tc>
          <w:tcPr>
            <w:tcW w:w="868" w:type="pct"/>
            <w:noWrap w:val="0"/>
            <w:tcMar>
              <w:top w:w="0" w:type="dxa"/>
              <w:bottom w:w="0" w:type="dxa"/>
            </w:tcMar>
            <w:vAlign w:val="center"/>
          </w:tcPr>
          <w:p w14:paraId="3A1D19F1">
            <w:pPr>
              <w:snapToGrid w:val="0"/>
              <w:ind w:firstLine="420"/>
              <w:jc w:val="center"/>
              <w:rPr>
                <w:color w:val="FF0000"/>
                <w:highlight w:val="none"/>
                <w:shd w:val="clear" w:color="auto" w:fill="FFFF00"/>
              </w:rPr>
            </w:pPr>
            <w:r>
              <w:rPr>
                <w:rFonts w:cs="宋体"/>
                <w:color w:val="FF0000"/>
                <w:sz w:val="21"/>
                <w:highlight w:val="none"/>
                <w:shd w:val="clear" w:color="auto" w:fill="FFFF00"/>
              </w:rPr>
              <w:t>保证值指标</w:t>
            </w:r>
          </w:p>
        </w:tc>
        <w:tc>
          <w:tcPr>
            <w:tcW w:w="1839" w:type="pct"/>
            <w:noWrap w:val="0"/>
            <w:tcMar>
              <w:top w:w="0" w:type="dxa"/>
              <w:bottom w:w="0" w:type="dxa"/>
            </w:tcMar>
            <w:vAlign w:val="center"/>
          </w:tcPr>
          <w:p w14:paraId="4D45A839">
            <w:pPr>
              <w:snapToGrid w:val="0"/>
              <w:ind w:firstLine="420"/>
              <w:jc w:val="center"/>
              <w:rPr>
                <w:color w:val="FF0000"/>
                <w:highlight w:val="none"/>
                <w:shd w:val="clear" w:color="auto" w:fill="FFFF00"/>
              </w:rPr>
            </w:pPr>
            <w:r>
              <w:rPr>
                <w:rFonts w:cs="宋体"/>
                <w:color w:val="FF0000"/>
                <w:sz w:val="21"/>
                <w:highlight w:val="none"/>
                <w:shd w:val="clear" w:color="auto" w:fill="FFFF00"/>
              </w:rPr>
              <w:t>检测依据</w:t>
            </w:r>
          </w:p>
        </w:tc>
      </w:tr>
      <w:tr w14:paraId="73B06A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80" w:type="pct"/>
            <w:noWrap w:val="0"/>
            <w:tcMar>
              <w:top w:w="0" w:type="dxa"/>
              <w:left w:w="108" w:type="dxa"/>
              <w:bottom w:w="0" w:type="dxa"/>
              <w:right w:w="108" w:type="dxa"/>
            </w:tcMar>
            <w:vAlign w:val="center"/>
          </w:tcPr>
          <w:p w14:paraId="371F1854">
            <w:pPr>
              <w:snapToGrid w:val="0"/>
              <w:ind w:firstLine="420"/>
              <w:jc w:val="center"/>
              <w:rPr>
                <w:color w:val="FF0000"/>
                <w:highlight w:val="none"/>
                <w:shd w:val="clear" w:color="auto" w:fill="FFFF00"/>
              </w:rPr>
            </w:pPr>
            <w:r>
              <w:rPr>
                <w:rFonts w:cs="宋体"/>
                <w:color w:val="FF0000"/>
                <w:sz w:val="21"/>
                <w:highlight w:val="none"/>
                <w:shd w:val="clear" w:color="auto" w:fill="FFFF00"/>
              </w:rPr>
              <w:t>Al</w:t>
            </w:r>
            <w:r>
              <w:rPr>
                <w:rFonts w:cs="宋体"/>
                <w:color w:val="FF0000"/>
                <w:sz w:val="21"/>
                <w:highlight w:val="none"/>
                <w:shd w:val="clear" w:color="auto" w:fill="FFFF00"/>
                <w:vertAlign w:val="subscript"/>
              </w:rPr>
              <w:t>2</w:t>
            </w:r>
            <w:r>
              <w:rPr>
                <w:rFonts w:cs="宋体"/>
                <w:color w:val="FF0000"/>
                <w:sz w:val="21"/>
                <w:highlight w:val="none"/>
                <w:shd w:val="clear" w:color="auto" w:fill="FFFF00"/>
              </w:rPr>
              <w:t>O</w:t>
            </w:r>
            <w:r>
              <w:rPr>
                <w:rFonts w:cs="宋体"/>
                <w:color w:val="FF0000"/>
                <w:sz w:val="21"/>
                <w:highlight w:val="none"/>
                <w:shd w:val="clear" w:color="auto" w:fill="FFFF00"/>
                <w:vertAlign w:val="subscript"/>
              </w:rPr>
              <w:t>3</w:t>
            </w:r>
          </w:p>
        </w:tc>
        <w:tc>
          <w:tcPr>
            <w:tcW w:w="711" w:type="pct"/>
            <w:noWrap w:val="0"/>
            <w:tcMar>
              <w:top w:w="0" w:type="dxa"/>
              <w:bottom w:w="0" w:type="dxa"/>
            </w:tcMar>
            <w:vAlign w:val="center"/>
          </w:tcPr>
          <w:p w14:paraId="720AA40F">
            <w:pPr>
              <w:snapToGrid w:val="0"/>
              <w:ind w:firstLine="420"/>
              <w:jc w:val="center"/>
              <w:rPr>
                <w:color w:val="FF0000"/>
                <w:highlight w:val="none"/>
                <w:shd w:val="clear" w:color="auto" w:fill="FFFF00"/>
              </w:rPr>
            </w:pPr>
            <w:r>
              <w:rPr>
                <w:rFonts w:cs="宋体"/>
                <w:color w:val="FF0000"/>
                <w:sz w:val="21"/>
                <w:highlight w:val="none"/>
                <w:shd w:val="clear" w:color="auto" w:fill="FFFF00"/>
              </w:rPr>
              <w:t>%</w:t>
            </w:r>
          </w:p>
        </w:tc>
        <w:tc>
          <w:tcPr>
            <w:tcW w:w="868" w:type="pct"/>
            <w:noWrap w:val="0"/>
            <w:tcMar>
              <w:top w:w="0" w:type="dxa"/>
              <w:bottom w:w="0" w:type="dxa"/>
            </w:tcMar>
            <w:vAlign w:val="center"/>
          </w:tcPr>
          <w:p w14:paraId="76830816">
            <w:pPr>
              <w:snapToGrid w:val="0"/>
              <w:ind w:firstLine="420"/>
              <w:jc w:val="center"/>
              <w:rPr>
                <w:color w:val="FF0000"/>
                <w:highlight w:val="none"/>
                <w:shd w:val="clear" w:color="auto" w:fill="FFFF00"/>
              </w:rPr>
            </w:pPr>
            <w:r>
              <w:rPr>
                <w:rFonts w:cs="宋体"/>
                <w:color w:val="FF0000"/>
                <w:sz w:val="21"/>
                <w:highlight w:val="none"/>
                <w:shd w:val="clear" w:color="auto" w:fill="FFFF00"/>
              </w:rPr>
              <w:t>≥70</w:t>
            </w:r>
          </w:p>
        </w:tc>
        <w:tc>
          <w:tcPr>
            <w:tcW w:w="1839" w:type="pct"/>
            <w:noWrap w:val="0"/>
            <w:tcMar>
              <w:top w:w="0" w:type="dxa"/>
              <w:bottom w:w="0" w:type="dxa"/>
            </w:tcMar>
            <w:vAlign w:val="center"/>
          </w:tcPr>
          <w:p w14:paraId="5698B786">
            <w:pPr>
              <w:snapToGrid w:val="0"/>
              <w:ind w:firstLine="420"/>
              <w:jc w:val="center"/>
              <w:rPr>
                <w:color w:val="FF0000"/>
                <w:highlight w:val="none"/>
                <w:shd w:val="clear" w:color="auto" w:fill="FFFF00"/>
              </w:rPr>
            </w:pPr>
            <w:r>
              <w:rPr>
                <w:rFonts w:cs="宋体"/>
                <w:color w:val="FF0000"/>
                <w:sz w:val="21"/>
                <w:highlight w:val="none"/>
                <w:shd w:val="clear" w:color="auto" w:fill="FFFF00"/>
              </w:rPr>
              <w:t>GB/T 16555-2018</w:t>
            </w:r>
          </w:p>
        </w:tc>
      </w:tr>
      <w:tr w14:paraId="4EA1A9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80" w:type="pct"/>
            <w:noWrap w:val="0"/>
            <w:tcMar>
              <w:top w:w="0" w:type="dxa"/>
              <w:left w:w="108" w:type="dxa"/>
              <w:bottom w:w="0" w:type="dxa"/>
              <w:right w:w="108" w:type="dxa"/>
            </w:tcMar>
            <w:vAlign w:val="center"/>
          </w:tcPr>
          <w:p w14:paraId="13130B4F">
            <w:pPr>
              <w:snapToGrid w:val="0"/>
              <w:ind w:firstLine="420"/>
              <w:jc w:val="center"/>
              <w:rPr>
                <w:color w:val="FF0000"/>
                <w:highlight w:val="none"/>
                <w:shd w:val="clear" w:color="auto" w:fill="FFFF00"/>
              </w:rPr>
            </w:pPr>
            <w:r>
              <w:rPr>
                <w:rFonts w:cs="宋体"/>
                <w:color w:val="FF0000"/>
                <w:sz w:val="21"/>
                <w:highlight w:val="none"/>
                <w:shd w:val="clear" w:color="auto" w:fill="FFFF00"/>
              </w:rPr>
              <w:t>SiC</w:t>
            </w:r>
          </w:p>
        </w:tc>
        <w:tc>
          <w:tcPr>
            <w:tcW w:w="711" w:type="pct"/>
            <w:noWrap w:val="0"/>
            <w:tcMar>
              <w:top w:w="0" w:type="dxa"/>
              <w:bottom w:w="0" w:type="dxa"/>
            </w:tcMar>
            <w:vAlign w:val="center"/>
          </w:tcPr>
          <w:p w14:paraId="111DC677">
            <w:pPr>
              <w:snapToGrid w:val="0"/>
              <w:ind w:firstLine="420"/>
              <w:jc w:val="center"/>
              <w:rPr>
                <w:color w:val="FF0000"/>
                <w:highlight w:val="none"/>
                <w:shd w:val="clear" w:color="auto" w:fill="FFFF00"/>
              </w:rPr>
            </w:pPr>
            <w:r>
              <w:rPr>
                <w:rFonts w:cs="宋体"/>
                <w:color w:val="FF0000"/>
                <w:sz w:val="21"/>
                <w:highlight w:val="none"/>
                <w:shd w:val="clear" w:color="auto" w:fill="FFFF00"/>
              </w:rPr>
              <w:t>%</w:t>
            </w:r>
          </w:p>
        </w:tc>
        <w:tc>
          <w:tcPr>
            <w:tcW w:w="868" w:type="pct"/>
            <w:noWrap w:val="0"/>
            <w:tcMar>
              <w:top w:w="0" w:type="dxa"/>
              <w:bottom w:w="0" w:type="dxa"/>
            </w:tcMar>
            <w:vAlign w:val="center"/>
          </w:tcPr>
          <w:p w14:paraId="5C87BE4E">
            <w:pPr>
              <w:snapToGrid w:val="0"/>
              <w:ind w:firstLine="420"/>
              <w:jc w:val="center"/>
              <w:rPr>
                <w:color w:val="FF0000"/>
                <w:highlight w:val="none"/>
                <w:shd w:val="clear" w:color="auto" w:fill="FFFF00"/>
              </w:rPr>
            </w:pPr>
            <w:r>
              <w:rPr>
                <w:rFonts w:cs="宋体"/>
                <w:color w:val="FF0000"/>
                <w:sz w:val="21"/>
                <w:highlight w:val="none"/>
                <w:shd w:val="clear" w:color="auto" w:fill="FFFF00"/>
              </w:rPr>
              <w:t>≥1</w:t>
            </w:r>
            <w:r>
              <w:rPr>
                <w:rFonts w:hint="eastAsia" w:cs="宋体"/>
                <w:color w:val="FF0000"/>
                <w:sz w:val="21"/>
                <w:highlight w:val="none"/>
                <w:shd w:val="clear" w:color="auto" w:fill="FFFF00"/>
              </w:rPr>
              <w:t>2</w:t>
            </w:r>
          </w:p>
        </w:tc>
        <w:tc>
          <w:tcPr>
            <w:tcW w:w="1839" w:type="pct"/>
            <w:noWrap w:val="0"/>
            <w:tcMar>
              <w:top w:w="0" w:type="dxa"/>
              <w:bottom w:w="0" w:type="dxa"/>
            </w:tcMar>
            <w:vAlign w:val="center"/>
          </w:tcPr>
          <w:p w14:paraId="2D896AA4">
            <w:pPr>
              <w:snapToGrid w:val="0"/>
              <w:ind w:firstLine="420"/>
              <w:jc w:val="center"/>
              <w:rPr>
                <w:color w:val="FF0000"/>
                <w:highlight w:val="none"/>
                <w:shd w:val="clear" w:color="auto" w:fill="FFFF00"/>
              </w:rPr>
            </w:pPr>
            <w:r>
              <w:rPr>
                <w:rFonts w:cs="宋体"/>
                <w:color w:val="FF0000"/>
                <w:sz w:val="21"/>
                <w:highlight w:val="none"/>
                <w:shd w:val="clear" w:color="auto" w:fill="FFFF00"/>
              </w:rPr>
              <w:t>GB/T 16555-2018</w:t>
            </w:r>
          </w:p>
        </w:tc>
      </w:tr>
      <w:tr w14:paraId="1730AB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80" w:type="pct"/>
            <w:noWrap w:val="0"/>
            <w:tcMar>
              <w:top w:w="0" w:type="dxa"/>
              <w:left w:w="108" w:type="dxa"/>
              <w:bottom w:w="0" w:type="dxa"/>
              <w:right w:w="108" w:type="dxa"/>
            </w:tcMar>
            <w:vAlign w:val="center"/>
          </w:tcPr>
          <w:p w14:paraId="6E088BC3">
            <w:pPr>
              <w:snapToGrid w:val="0"/>
              <w:ind w:firstLine="420"/>
              <w:jc w:val="center"/>
              <w:rPr>
                <w:color w:val="FF0000"/>
                <w:highlight w:val="none"/>
                <w:shd w:val="clear" w:color="auto" w:fill="FFFF00"/>
              </w:rPr>
            </w:pPr>
            <w:r>
              <w:rPr>
                <w:rFonts w:cs="宋体"/>
                <w:color w:val="FF0000"/>
                <w:sz w:val="21"/>
                <w:highlight w:val="none"/>
                <w:shd w:val="clear" w:color="auto" w:fill="FFFF00"/>
              </w:rPr>
              <w:t>SiO</w:t>
            </w:r>
            <w:r>
              <w:rPr>
                <w:rFonts w:cs="宋体"/>
                <w:color w:val="FF0000"/>
                <w:sz w:val="21"/>
                <w:highlight w:val="none"/>
                <w:shd w:val="clear" w:color="auto" w:fill="FFFF00"/>
                <w:vertAlign w:val="subscript"/>
              </w:rPr>
              <w:t>2</w:t>
            </w:r>
          </w:p>
        </w:tc>
        <w:tc>
          <w:tcPr>
            <w:tcW w:w="711" w:type="pct"/>
            <w:noWrap w:val="0"/>
            <w:tcMar>
              <w:top w:w="0" w:type="dxa"/>
              <w:bottom w:w="0" w:type="dxa"/>
            </w:tcMar>
            <w:vAlign w:val="center"/>
          </w:tcPr>
          <w:p w14:paraId="406E65B2">
            <w:pPr>
              <w:snapToGrid w:val="0"/>
              <w:ind w:firstLine="420"/>
              <w:jc w:val="center"/>
              <w:rPr>
                <w:color w:val="FF0000"/>
                <w:highlight w:val="none"/>
                <w:shd w:val="clear" w:color="auto" w:fill="FFFF00"/>
              </w:rPr>
            </w:pPr>
            <w:r>
              <w:rPr>
                <w:rFonts w:cs="宋体"/>
                <w:color w:val="FF0000"/>
                <w:sz w:val="21"/>
                <w:highlight w:val="none"/>
                <w:shd w:val="clear" w:color="auto" w:fill="FFFF00"/>
              </w:rPr>
              <w:t>%</w:t>
            </w:r>
          </w:p>
        </w:tc>
        <w:tc>
          <w:tcPr>
            <w:tcW w:w="868" w:type="pct"/>
            <w:noWrap w:val="0"/>
            <w:tcMar>
              <w:top w:w="0" w:type="dxa"/>
              <w:bottom w:w="0" w:type="dxa"/>
            </w:tcMar>
            <w:vAlign w:val="center"/>
          </w:tcPr>
          <w:p w14:paraId="6E360A4B">
            <w:pPr>
              <w:snapToGrid w:val="0"/>
              <w:ind w:firstLine="420"/>
              <w:jc w:val="center"/>
              <w:rPr>
                <w:color w:val="FF0000"/>
                <w:highlight w:val="none"/>
                <w:shd w:val="clear" w:color="auto" w:fill="FFFF00"/>
              </w:rPr>
            </w:pPr>
            <w:r>
              <w:rPr>
                <w:rFonts w:cs="宋体"/>
                <w:color w:val="FF0000"/>
                <w:sz w:val="21"/>
                <w:highlight w:val="none"/>
                <w:shd w:val="clear" w:color="auto" w:fill="FFFF00"/>
              </w:rPr>
              <w:t>≤8</w:t>
            </w:r>
          </w:p>
        </w:tc>
        <w:tc>
          <w:tcPr>
            <w:tcW w:w="1839" w:type="pct"/>
            <w:noWrap w:val="0"/>
            <w:tcMar>
              <w:top w:w="0" w:type="dxa"/>
              <w:bottom w:w="0" w:type="dxa"/>
            </w:tcMar>
            <w:vAlign w:val="center"/>
          </w:tcPr>
          <w:p w14:paraId="5FDB86F3">
            <w:pPr>
              <w:snapToGrid w:val="0"/>
              <w:ind w:firstLine="420"/>
              <w:jc w:val="center"/>
              <w:rPr>
                <w:color w:val="FF0000"/>
                <w:highlight w:val="none"/>
                <w:shd w:val="clear" w:color="auto" w:fill="FFFF00"/>
              </w:rPr>
            </w:pPr>
            <w:r>
              <w:rPr>
                <w:rFonts w:cs="宋体"/>
                <w:color w:val="FF0000"/>
                <w:sz w:val="21"/>
                <w:highlight w:val="none"/>
                <w:shd w:val="clear" w:color="auto" w:fill="FFFF00"/>
              </w:rPr>
              <w:t>GB/T 16555-2018</w:t>
            </w:r>
          </w:p>
        </w:tc>
      </w:tr>
      <w:tr w14:paraId="1300A3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80" w:type="pct"/>
            <w:noWrap w:val="0"/>
            <w:tcMar>
              <w:top w:w="0" w:type="dxa"/>
              <w:left w:w="108" w:type="dxa"/>
              <w:bottom w:w="0" w:type="dxa"/>
              <w:right w:w="108" w:type="dxa"/>
            </w:tcMar>
            <w:vAlign w:val="center"/>
          </w:tcPr>
          <w:p w14:paraId="4A76D965">
            <w:pPr>
              <w:snapToGrid w:val="0"/>
              <w:ind w:firstLine="420"/>
              <w:jc w:val="center"/>
              <w:rPr>
                <w:color w:val="FF0000"/>
                <w:highlight w:val="none"/>
                <w:shd w:val="clear" w:color="auto" w:fill="FFFF00"/>
              </w:rPr>
            </w:pPr>
            <w:r>
              <w:rPr>
                <w:rFonts w:cs="宋体"/>
                <w:color w:val="FF0000"/>
                <w:sz w:val="21"/>
                <w:highlight w:val="none"/>
                <w:shd w:val="clear" w:color="auto" w:fill="FFFF00"/>
              </w:rPr>
              <w:t>CaO</w:t>
            </w:r>
          </w:p>
        </w:tc>
        <w:tc>
          <w:tcPr>
            <w:tcW w:w="711" w:type="pct"/>
            <w:noWrap w:val="0"/>
            <w:tcMar>
              <w:top w:w="0" w:type="dxa"/>
              <w:bottom w:w="0" w:type="dxa"/>
            </w:tcMar>
            <w:vAlign w:val="center"/>
          </w:tcPr>
          <w:p w14:paraId="0A43B5DC">
            <w:pPr>
              <w:snapToGrid w:val="0"/>
              <w:ind w:firstLine="420"/>
              <w:jc w:val="center"/>
              <w:rPr>
                <w:color w:val="FF0000"/>
                <w:highlight w:val="none"/>
                <w:shd w:val="clear" w:color="auto" w:fill="FFFF00"/>
              </w:rPr>
            </w:pPr>
            <w:r>
              <w:rPr>
                <w:rFonts w:cs="宋体"/>
                <w:color w:val="FF0000"/>
                <w:sz w:val="21"/>
                <w:highlight w:val="none"/>
                <w:shd w:val="clear" w:color="auto" w:fill="FFFF00"/>
              </w:rPr>
              <w:t>%</w:t>
            </w:r>
          </w:p>
        </w:tc>
        <w:tc>
          <w:tcPr>
            <w:tcW w:w="868" w:type="pct"/>
            <w:noWrap w:val="0"/>
            <w:tcMar>
              <w:top w:w="0" w:type="dxa"/>
              <w:bottom w:w="0" w:type="dxa"/>
            </w:tcMar>
            <w:vAlign w:val="center"/>
          </w:tcPr>
          <w:p w14:paraId="094862EF">
            <w:pPr>
              <w:snapToGrid w:val="0"/>
              <w:ind w:firstLine="420"/>
              <w:jc w:val="center"/>
              <w:rPr>
                <w:color w:val="FF0000"/>
                <w:highlight w:val="none"/>
                <w:shd w:val="clear" w:color="auto" w:fill="FFFF00"/>
              </w:rPr>
            </w:pPr>
            <w:r>
              <w:rPr>
                <w:rFonts w:cs="宋体"/>
                <w:color w:val="FF0000"/>
                <w:sz w:val="21"/>
                <w:highlight w:val="none"/>
                <w:shd w:val="clear" w:color="auto" w:fill="FFFF00"/>
              </w:rPr>
              <w:t>≤0.5</w:t>
            </w:r>
          </w:p>
        </w:tc>
        <w:tc>
          <w:tcPr>
            <w:tcW w:w="1839" w:type="pct"/>
            <w:noWrap w:val="0"/>
            <w:tcMar>
              <w:top w:w="0" w:type="dxa"/>
              <w:bottom w:w="0" w:type="dxa"/>
            </w:tcMar>
            <w:vAlign w:val="center"/>
          </w:tcPr>
          <w:p w14:paraId="6A06BBB4">
            <w:pPr>
              <w:snapToGrid w:val="0"/>
              <w:ind w:firstLine="420"/>
              <w:jc w:val="center"/>
              <w:rPr>
                <w:color w:val="FF0000"/>
                <w:highlight w:val="none"/>
                <w:shd w:val="clear" w:color="auto" w:fill="FFFF00"/>
              </w:rPr>
            </w:pPr>
            <w:r>
              <w:rPr>
                <w:rFonts w:cs="宋体"/>
                <w:color w:val="FF0000"/>
                <w:sz w:val="21"/>
                <w:highlight w:val="none"/>
                <w:shd w:val="clear" w:color="auto" w:fill="FFFF00"/>
              </w:rPr>
              <w:t>GB/T 16555-2018</w:t>
            </w:r>
          </w:p>
        </w:tc>
      </w:tr>
      <w:tr w14:paraId="1412EE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80" w:type="pct"/>
            <w:noWrap w:val="0"/>
            <w:tcMar>
              <w:top w:w="0" w:type="dxa"/>
              <w:left w:w="108" w:type="dxa"/>
              <w:bottom w:w="0" w:type="dxa"/>
              <w:right w:w="108" w:type="dxa"/>
            </w:tcMar>
            <w:vAlign w:val="center"/>
          </w:tcPr>
          <w:p w14:paraId="3BAACDAE">
            <w:pPr>
              <w:snapToGrid w:val="0"/>
              <w:ind w:firstLine="420"/>
              <w:jc w:val="center"/>
              <w:rPr>
                <w:color w:val="FF0000"/>
                <w:highlight w:val="none"/>
                <w:shd w:val="clear" w:color="auto" w:fill="FFFF00"/>
              </w:rPr>
            </w:pPr>
            <w:r>
              <w:rPr>
                <w:rFonts w:cs="宋体"/>
                <w:color w:val="FF0000"/>
                <w:sz w:val="21"/>
                <w:highlight w:val="none"/>
                <w:shd w:val="clear" w:color="auto" w:fill="FFFF00"/>
              </w:rPr>
              <w:t>Fe</w:t>
            </w:r>
            <w:r>
              <w:rPr>
                <w:rFonts w:cs="宋体"/>
                <w:color w:val="FF0000"/>
                <w:sz w:val="21"/>
                <w:highlight w:val="none"/>
                <w:shd w:val="clear" w:color="auto" w:fill="FFFF00"/>
                <w:vertAlign w:val="subscript"/>
              </w:rPr>
              <w:t>2</w:t>
            </w:r>
            <w:r>
              <w:rPr>
                <w:rFonts w:cs="宋体"/>
                <w:color w:val="FF0000"/>
                <w:sz w:val="21"/>
                <w:highlight w:val="none"/>
                <w:shd w:val="clear" w:color="auto" w:fill="FFFF00"/>
              </w:rPr>
              <w:t>O</w:t>
            </w:r>
            <w:r>
              <w:rPr>
                <w:rFonts w:cs="宋体"/>
                <w:color w:val="FF0000"/>
                <w:sz w:val="21"/>
                <w:highlight w:val="none"/>
                <w:shd w:val="clear" w:color="auto" w:fill="FFFF00"/>
                <w:vertAlign w:val="subscript"/>
              </w:rPr>
              <w:t>3</w:t>
            </w:r>
          </w:p>
        </w:tc>
        <w:tc>
          <w:tcPr>
            <w:tcW w:w="711" w:type="pct"/>
            <w:noWrap w:val="0"/>
            <w:tcMar>
              <w:top w:w="0" w:type="dxa"/>
              <w:bottom w:w="0" w:type="dxa"/>
            </w:tcMar>
            <w:vAlign w:val="center"/>
          </w:tcPr>
          <w:p w14:paraId="1A043295">
            <w:pPr>
              <w:snapToGrid w:val="0"/>
              <w:ind w:firstLine="420"/>
              <w:jc w:val="center"/>
              <w:rPr>
                <w:color w:val="FF0000"/>
                <w:highlight w:val="none"/>
                <w:shd w:val="clear" w:color="auto" w:fill="FFFF00"/>
              </w:rPr>
            </w:pPr>
            <w:r>
              <w:rPr>
                <w:rFonts w:cs="宋体"/>
                <w:color w:val="FF0000"/>
                <w:sz w:val="21"/>
                <w:highlight w:val="none"/>
                <w:shd w:val="clear" w:color="auto" w:fill="FFFF00"/>
              </w:rPr>
              <w:t>%</w:t>
            </w:r>
          </w:p>
        </w:tc>
        <w:tc>
          <w:tcPr>
            <w:tcW w:w="868" w:type="pct"/>
            <w:noWrap w:val="0"/>
            <w:tcMar>
              <w:top w:w="0" w:type="dxa"/>
              <w:bottom w:w="0" w:type="dxa"/>
            </w:tcMar>
            <w:vAlign w:val="center"/>
          </w:tcPr>
          <w:p w14:paraId="24C1600E">
            <w:pPr>
              <w:snapToGrid w:val="0"/>
              <w:ind w:firstLine="420"/>
              <w:jc w:val="center"/>
              <w:rPr>
                <w:color w:val="FF0000"/>
                <w:highlight w:val="none"/>
                <w:shd w:val="clear" w:color="auto" w:fill="FFFF00"/>
              </w:rPr>
            </w:pPr>
            <w:r>
              <w:rPr>
                <w:rFonts w:cs="宋体"/>
                <w:color w:val="FF0000"/>
                <w:sz w:val="21"/>
                <w:highlight w:val="none"/>
                <w:shd w:val="clear" w:color="auto" w:fill="FFFF00"/>
              </w:rPr>
              <w:t>≤0.5</w:t>
            </w:r>
          </w:p>
        </w:tc>
        <w:tc>
          <w:tcPr>
            <w:tcW w:w="1839" w:type="pct"/>
            <w:noWrap w:val="0"/>
            <w:tcMar>
              <w:top w:w="0" w:type="dxa"/>
              <w:bottom w:w="0" w:type="dxa"/>
            </w:tcMar>
            <w:vAlign w:val="center"/>
          </w:tcPr>
          <w:p w14:paraId="4055D622">
            <w:pPr>
              <w:snapToGrid w:val="0"/>
              <w:ind w:firstLine="420"/>
              <w:jc w:val="center"/>
              <w:rPr>
                <w:color w:val="FF0000"/>
                <w:highlight w:val="none"/>
                <w:shd w:val="clear" w:color="auto" w:fill="FFFF00"/>
              </w:rPr>
            </w:pPr>
            <w:r>
              <w:rPr>
                <w:rFonts w:cs="宋体"/>
                <w:color w:val="FF0000"/>
                <w:sz w:val="21"/>
                <w:highlight w:val="none"/>
                <w:shd w:val="clear" w:color="auto" w:fill="FFFF00"/>
              </w:rPr>
              <w:t>GB/T 16555-2018</w:t>
            </w:r>
          </w:p>
        </w:tc>
      </w:tr>
      <w:tr w14:paraId="518692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80" w:type="pct"/>
            <w:noWrap w:val="0"/>
            <w:tcMar>
              <w:top w:w="0" w:type="dxa"/>
              <w:left w:w="108" w:type="dxa"/>
              <w:bottom w:w="0" w:type="dxa"/>
              <w:right w:w="108" w:type="dxa"/>
            </w:tcMar>
            <w:vAlign w:val="center"/>
          </w:tcPr>
          <w:p w14:paraId="032EBAD4">
            <w:pPr>
              <w:snapToGrid w:val="0"/>
              <w:ind w:firstLine="420"/>
              <w:jc w:val="center"/>
              <w:rPr>
                <w:color w:val="FF0000"/>
                <w:highlight w:val="none"/>
                <w:shd w:val="clear" w:color="auto" w:fill="FFFF00"/>
              </w:rPr>
            </w:pPr>
            <w:r>
              <w:rPr>
                <w:rFonts w:cs="宋体"/>
                <w:color w:val="FF0000"/>
                <w:sz w:val="21"/>
                <w:highlight w:val="none"/>
                <w:shd w:val="clear" w:color="auto" w:fill="FFFF00"/>
              </w:rPr>
              <w:t>TiO</w:t>
            </w:r>
            <w:r>
              <w:rPr>
                <w:rFonts w:cs="宋体"/>
                <w:color w:val="FF0000"/>
                <w:sz w:val="21"/>
                <w:highlight w:val="none"/>
                <w:shd w:val="clear" w:color="auto" w:fill="FFFF00"/>
                <w:vertAlign w:val="subscript"/>
              </w:rPr>
              <w:t>2</w:t>
            </w:r>
          </w:p>
        </w:tc>
        <w:tc>
          <w:tcPr>
            <w:tcW w:w="711" w:type="pct"/>
            <w:noWrap w:val="0"/>
            <w:tcMar>
              <w:top w:w="0" w:type="dxa"/>
              <w:bottom w:w="0" w:type="dxa"/>
            </w:tcMar>
            <w:vAlign w:val="center"/>
          </w:tcPr>
          <w:p w14:paraId="1E8FB948">
            <w:pPr>
              <w:snapToGrid w:val="0"/>
              <w:ind w:firstLine="420"/>
              <w:jc w:val="center"/>
              <w:rPr>
                <w:color w:val="FF0000"/>
                <w:highlight w:val="none"/>
                <w:shd w:val="clear" w:color="auto" w:fill="FFFF00"/>
              </w:rPr>
            </w:pPr>
            <w:r>
              <w:rPr>
                <w:rFonts w:cs="宋体"/>
                <w:color w:val="FF0000"/>
                <w:sz w:val="21"/>
                <w:highlight w:val="none"/>
                <w:shd w:val="clear" w:color="auto" w:fill="FFFF00"/>
              </w:rPr>
              <w:t>%</w:t>
            </w:r>
          </w:p>
        </w:tc>
        <w:tc>
          <w:tcPr>
            <w:tcW w:w="868" w:type="pct"/>
            <w:noWrap w:val="0"/>
            <w:tcMar>
              <w:top w:w="0" w:type="dxa"/>
              <w:bottom w:w="0" w:type="dxa"/>
            </w:tcMar>
            <w:vAlign w:val="center"/>
          </w:tcPr>
          <w:p w14:paraId="58D1F048">
            <w:pPr>
              <w:snapToGrid w:val="0"/>
              <w:ind w:firstLine="420"/>
              <w:jc w:val="center"/>
              <w:rPr>
                <w:color w:val="FF0000"/>
                <w:highlight w:val="none"/>
                <w:shd w:val="clear" w:color="auto" w:fill="FFFF00"/>
              </w:rPr>
            </w:pPr>
            <w:r>
              <w:rPr>
                <w:rFonts w:cs="宋体"/>
                <w:color w:val="FF0000"/>
                <w:sz w:val="21"/>
                <w:highlight w:val="none"/>
                <w:shd w:val="clear" w:color="auto" w:fill="FFFF00"/>
              </w:rPr>
              <w:t>≤3</w:t>
            </w:r>
          </w:p>
        </w:tc>
        <w:tc>
          <w:tcPr>
            <w:tcW w:w="1839" w:type="pct"/>
            <w:noWrap w:val="0"/>
            <w:tcMar>
              <w:top w:w="0" w:type="dxa"/>
              <w:bottom w:w="0" w:type="dxa"/>
            </w:tcMar>
            <w:vAlign w:val="center"/>
          </w:tcPr>
          <w:p w14:paraId="138768CC">
            <w:pPr>
              <w:snapToGrid w:val="0"/>
              <w:ind w:firstLine="420"/>
              <w:jc w:val="center"/>
              <w:rPr>
                <w:color w:val="FF0000"/>
                <w:highlight w:val="none"/>
                <w:shd w:val="clear" w:color="auto" w:fill="FFFF00"/>
              </w:rPr>
            </w:pPr>
            <w:r>
              <w:rPr>
                <w:rFonts w:cs="宋体"/>
                <w:color w:val="FF0000"/>
                <w:sz w:val="21"/>
                <w:highlight w:val="none"/>
                <w:shd w:val="clear" w:color="auto" w:fill="FFFF00"/>
              </w:rPr>
              <w:t>GB/T 16555-2018</w:t>
            </w:r>
          </w:p>
        </w:tc>
      </w:tr>
      <w:tr w14:paraId="103A96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80" w:type="pct"/>
            <w:noWrap w:val="0"/>
            <w:tcMar>
              <w:top w:w="0" w:type="dxa"/>
              <w:left w:w="108" w:type="dxa"/>
              <w:bottom w:w="0" w:type="dxa"/>
              <w:right w:w="108" w:type="dxa"/>
            </w:tcMar>
            <w:vAlign w:val="center"/>
          </w:tcPr>
          <w:p w14:paraId="6AD99A3A">
            <w:pPr>
              <w:snapToGrid w:val="0"/>
              <w:ind w:firstLine="420"/>
              <w:jc w:val="center"/>
              <w:rPr>
                <w:color w:val="FF0000"/>
                <w:highlight w:val="none"/>
                <w:shd w:val="clear" w:color="auto" w:fill="FFFF00"/>
              </w:rPr>
            </w:pPr>
            <w:r>
              <w:rPr>
                <w:rFonts w:cs="宋体"/>
                <w:color w:val="FF0000"/>
                <w:sz w:val="21"/>
                <w:highlight w:val="none"/>
                <w:shd w:val="clear" w:color="auto" w:fill="FFFF00"/>
              </w:rPr>
              <w:t>自由碳</w:t>
            </w:r>
          </w:p>
        </w:tc>
        <w:tc>
          <w:tcPr>
            <w:tcW w:w="711" w:type="pct"/>
            <w:noWrap w:val="0"/>
            <w:tcMar>
              <w:top w:w="0" w:type="dxa"/>
              <w:bottom w:w="0" w:type="dxa"/>
            </w:tcMar>
            <w:vAlign w:val="center"/>
          </w:tcPr>
          <w:p w14:paraId="5560F5DE">
            <w:pPr>
              <w:snapToGrid w:val="0"/>
              <w:ind w:firstLine="420"/>
              <w:jc w:val="center"/>
              <w:rPr>
                <w:color w:val="FF0000"/>
                <w:highlight w:val="none"/>
                <w:shd w:val="clear" w:color="auto" w:fill="FFFF00"/>
              </w:rPr>
            </w:pPr>
            <w:r>
              <w:rPr>
                <w:rFonts w:cs="宋体"/>
                <w:color w:val="FF0000"/>
                <w:sz w:val="21"/>
                <w:highlight w:val="none"/>
                <w:shd w:val="clear" w:color="auto" w:fill="FFFF00"/>
              </w:rPr>
              <w:t>%</w:t>
            </w:r>
          </w:p>
        </w:tc>
        <w:tc>
          <w:tcPr>
            <w:tcW w:w="868" w:type="pct"/>
            <w:noWrap w:val="0"/>
            <w:tcMar>
              <w:top w:w="0" w:type="dxa"/>
              <w:bottom w:w="0" w:type="dxa"/>
            </w:tcMar>
            <w:vAlign w:val="center"/>
          </w:tcPr>
          <w:p w14:paraId="3CBE1B4E">
            <w:pPr>
              <w:snapToGrid w:val="0"/>
              <w:ind w:firstLine="420"/>
              <w:jc w:val="center"/>
              <w:rPr>
                <w:color w:val="FF0000"/>
                <w:highlight w:val="none"/>
                <w:shd w:val="clear" w:color="auto" w:fill="FFFF00"/>
              </w:rPr>
            </w:pPr>
            <w:r>
              <w:rPr>
                <w:rFonts w:cs="宋体"/>
                <w:color w:val="FF0000"/>
                <w:sz w:val="21"/>
                <w:highlight w:val="none"/>
                <w:shd w:val="clear" w:color="auto" w:fill="FFFF00"/>
              </w:rPr>
              <w:t>≤1.5</w:t>
            </w:r>
          </w:p>
        </w:tc>
        <w:tc>
          <w:tcPr>
            <w:tcW w:w="1839" w:type="pct"/>
            <w:noWrap w:val="0"/>
            <w:tcMar>
              <w:top w:w="0" w:type="dxa"/>
              <w:bottom w:w="0" w:type="dxa"/>
            </w:tcMar>
            <w:vAlign w:val="center"/>
          </w:tcPr>
          <w:p w14:paraId="6D59C06E">
            <w:pPr>
              <w:snapToGrid w:val="0"/>
              <w:ind w:firstLine="420"/>
              <w:jc w:val="center"/>
              <w:rPr>
                <w:color w:val="FF0000"/>
                <w:highlight w:val="none"/>
                <w:shd w:val="clear" w:color="auto" w:fill="FFFF00"/>
              </w:rPr>
            </w:pPr>
            <w:r>
              <w:rPr>
                <w:rFonts w:cs="宋体"/>
                <w:color w:val="FF0000"/>
                <w:sz w:val="21"/>
                <w:highlight w:val="none"/>
                <w:shd w:val="clear" w:color="auto" w:fill="FFFF00"/>
              </w:rPr>
              <w:t>GB/T 16555-2018</w:t>
            </w:r>
          </w:p>
        </w:tc>
      </w:tr>
      <w:tr w14:paraId="1378EA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80" w:type="pct"/>
            <w:noWrap w:val="0"/>
            <w:tcMar>
              <w:top w:w="0" w:type="dxa"/>
              <w:left w:w="108" w:type="dxa"/>
              <w:bottom w:w="0" w:type="dxa"/>
              <w:right w:w="108" w:type="dxa"/>
            </w:tcMar>
            <w:vAlign w:val="center"/>
          </w:tcPr>
          <w:p w14:paraId="49888BF1">
            <w:pPr>
              <w:snapToGrid w:val="0"/>
              <w:ind w:firstLine="420"/>
              <w:jc w:val="center"/>
              <w:rPr>
                <w:color w:val="FF0000"/>
                <w:highlight w:val="none"/>
                <w:shd w:val="clear" w:color="auto" w:fill="FFFF00"/>
              </w:rPr>
            </w:pPr>
            <w:r>
              <w:rPr>
                <w:rFonts w:cs="宋体"/>
                <w:color w:val="FF0000"/>
                <w:sz w:val="21"/>
                <w:highlight w:val="none"/>
                <w:shd w:val="clear" w:color="auto" w:fill="FFFF00"/>
              </w:rPr>
              <w:t>体积密度</w:t>
            </w:r>
          </w:p>
        </w:tc>
        <w:tc>
          <w:tcPr>
            <w:tcW w:w="711" w:type="pct"/>
            <w:noWrap w:val="0"/>
            <w:tcMar>
              <w:top w:w="0" w:type="dxa"/>
              <w:bottom w:w="0" w:type="dxa"/>
            </w:tcMar>
            <w:vAlign w:val="center"/>
          </w:tcPr>
          <w:p w14:paraId="6756F272">
            <w:pPr>
              <w:snapToGrid w:val="0"/>
              <w:ind w:firstLine="420"/>
              <w:jc w:val="center"/>
              <w:rPr>
                <w:color w:val="FF0000"/>
                <w:highlight w:val="none"/>
                <w:shd w:val="clear" w:color="auto" w:fill="FFFF00"/>
              </w:rPr>
            </w:pPr>
            <w:r>
              <w:rPr>
                <w:rFonts w:cs="宋体"/>
                <w:color w:val="FF0000"/>
                <w:sz w:val="21"/>
                <w:highlight w:val="none"/>
                <w:shd w:val="clear" w:color="auto" w:fill="FFFF00"/>
              </w:rPr>
              <w:t>g/cm</w:t>
            </w:r>
            <w:r>
              <w:rPr>
                <w:rFonts w:cs="宋体"/>
                <w:color w:val="FF0000"/>
                <w:sz w:val="21"/>
                <w:highlight w:val="none"/>
                <w:shd w:val="clear" w:color="auto" w:fill="FFFF00"/>
                <w:vertAlign w:val="superscript"/>
              </w:rPr>
              <w:t>3</w:t>
            </w:r>
          </w:p>
        </w:tc>
        <w:tc>
          <w:tcPr>
            <w:tcW w:w="868" w:type="pct"/>
            <w:noWrap w:val="0"/>
            <w:tcMar>
              <w:top w:w="0" w:type="dxa"/>
              <w:bottom w:w="0" w:type="dxa"/>
            </w:tcMar>
            <w:vAlign w:val="center"/>
          </w:tcPr>
          <w:p w14:paraId="4E8D8B90">
            <w:pPr>
              <w:snapToGrid w:val="0"/>
              <w:ind w:firstLine="420"/>
              <w:jc w:val="center"/>
              <w:rPr>
                <w:color w:val="FF0000"/>
                <w:highlight w:val="none"/>
                <w:shd w:val="clear" w:color="auto" w:fill="FFFF00"/>
              </w:rPr>
            </w:pPr>
            <w:r>
              <w:rPr>
                <w:rFonts w:cs="宋体"/>
                <w:color w:val="FF0000"/>
                <w:sz w:val="21"/>
                <w:highlight w:val="none"/>
                <w:shd w:val="clear" w:color="auto" w:fill="FFFF00"/>
              </w:rPr>
              <w:t>≥2.95</w:t>
            </w:r>
          </w:p>
        </w:tc>
        <w:tc>
          <w:tcPr>
            <w:tcW w:w="1839" w:type="pct"/>
            <w:noWrap w:val="0"/>
            <w:tcMar>
              <w:top w:w="0" w:type="dxa"/>
              <w:bottom w:w="0" w:type="dxa"/>
            </w:tcMar>
            <w:vAlign w:val="center"/>
          </w:tcPr>
          <w:p w14:paraId="1B4E5962">
            <w:pPr>
              <w:snapToGrid w:val="0"/>
              <w:ind w:firstLine="420"/>
              <w:jc w:val="center"/>
              <w:rPr>
                <w:color w:val="FF0000"/>
                <w:highlight w:val="none"/>
                <w:shd w:val="clear" w:color="auto" w:fill="FFFF00"/>
              </w:rPr>
            </w:pPr>
            <w:r>
              <w:rPr>
                <w:rFonts w:cs="宋体"/>
                <w:color w:val="FF0000"/>
                <w:sz w:val="21"/>
                <w:highlight w:val="none"/>
                <w:shd w:val="clear" w:color="auto" w:fill="FFFF00"/>
              </w:rPr>
              <w:t>GB/T 2997-2015</w:t>
            </w:r>
          </w:p>
        </w:tc>
      </w:tr>
      <w:tr w14:paraId="6416B6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80" w:type="pct"/>
            <w:noWrap w:val="0"/>
            <w:tcMar>
              <w:top w:w="0" w:type="dxa"/>
              <w:left w:w="108" w:type="dxa"/>
              <w:bottom w:w="0" w:type="dxa"/>
              <w:right w:w="108" w:type="dxa"/>
            </w:tcMar>
            <w:vAlign w:val="center"/>
          </w:tcPr>
          <w:p w14:paraId="782F9FFB">
            <w:pPr>
              <w:snapToGrid w:val="0"/>
              <w:ind w:firstLine="420"/>
              <w:jc w:val="center"/>
              <w:rPr>
                <w:color w:val="FF0000"/>
                <w:highlight w:val="none"/>
                <w:shd w:val="clear" w:color="auto" w:fill="FFFF00"/>
              </w:rPr>
            </w:pPr>
            <w:r>
              <w:rPr>
                <w:rFonts w:cs="宋体"/>
                <w:color w:val="FF0000"/>
                <w:sz w:val="21"/>
                <w:highlight w:val="none"/>
                <w:shd w:val="clear" w:color="auto" w:fill="FFFF00"/>
              </w:rPr>
              <w:t>耐压强度1400℃×3h</w:t>
            </w:r>
          </w:p>
        </w:tc>
        <w:tc>
          <w:tcPr>
            <w:tcW w:w="711" w:type="pct"/>
            <w:noWrap w:val="0"/>
            <w:tcMar>
              <w:top w:w="0" w:type="dxa"/>
              <w:bottom w:w="0" w:type="dxa"/>
            </w:tcMar>
            <w:vAlign w:val="center"/>
          </w:tcPr>
          <w:p w14:paraId="733FCB94">
            <w:pPr>
              <w:snapToGrid w:val="0"/>
              <w:ind w:firstLine="420"/>
              <w:jc w:val="center"/>
              <w:rPr>
                <w:color w:val="FF0000"/>
                <w:highlight w:val="none"/>
                <w:shd w:val="clear" w:color="auto" w:fill="FFFF00"/>
              </w:rPr>
            </w:pPr>
            <w:r>
              <w:rPr>
                <w:rFonts w:cs="宋体"/>
                <w:color w:val="FF0000"/>
                <w:sz w:val="21"/>
                <w:highlight w:val="none"/>
                <w:shd w:val="clear" w:color="auto" w:fill="FFFF00"/>
              </w:rPr>
              <w:t>MPa</w:t>
            </w:r>
          </w:p>
        </w:tc>
        <w:tc>
          <w:tcPr>
            <w:tcW w:w="868" w:type="pct"/>
            <w:noWrap w:val="0"/>
            <w:tcMar>
              <w:top w:w="0" w:type="dxa"/>
              <w:bottom w:w="0" w:type="dxa"/>
            </w:tcMar>
            <w:vAlign w:val="center"/>
          </w:tcPr>
          <w:p w14:paraId="3BBC9716">
            <w:pPr>
              <w:snapToGrid w:val="0"/>
              <w:ind w:firstLine="420"/>
              <w:jc w:val="center"/>
              <w:rPr>
                <w:color w:val="FF0000"/>
                <w:highlight w:val="none"/>
                <w:shd w:val="clear" w:color="auto" w:fill="FFFF00"/>
              </w:rPr>
            </w:pPr>
            <w:r>
              <w:rPr>
                <w:rFonts w:cs="宋体"/>
                <w:color w:val="FF0000"/>
                <w:sz w:val="21"/>
                <w:highlight w:val="none"/>
                <w:shd w:val="clear" w:color="auto" w:fill="FFFF00"/>
              </w:rPr>
              <w:t>≥</w:t>
            </w:r>
            <w:r>
              <w:rPr>
                <w:rFonts w:hint="eastAsia" w:cs="宋体"/>
                <w:color w:val="FF0000"/>
                <w:sz w:val="21"/>
                <w:highlight w:val="none"/>
                <w:shd w:val="clear" w:color="auto" w:fill="FFFF00"/>
              </w:rPr>
              <w:t>7</w:t>
            </w:r>
            <w:r>
              <w:rPr>
                <w:rFonts w:cs="宋体"/>
                <w:color w:val="FF0000"/>
                <w:sz w:val="21"/>
                <w:highlight w:val="none"/>
                <w:shd w:val="clear" w:color="auto" w:fill="FFFF00"/>
              </w:rPr>
              <w:t>0</w:t>
            </w:r>
          </w:p>
        </w:tc>
        <w:tc>
          <w:tcPr>
            <w:tcW w:w="1839" w:type="pct"/>
            <w:noWrap w:val="0"/>
            <w:tcMar>
              <w:top w:w="0" w:type="dxa"/>
              <w:bottom w:w="0" w:type="dxa"/>
            </w:tcMar>
            <w:vAlign w:val="center"/>
          </w:tcPr>
          <w:p w14:paraId="31B1BAEB">
            <w:pPr>
              <w:snapToGrid w:val="0"/>
              <w:ind w:firstLine="420"/>
              <w:jc w:val="center"/>
              <w:rPr>
                <w:color w:val="FF0000"/>
                <w:highlight w:val="none"/>
                <w:shd w:val="clear" w:color="auto" w:fill="FFFF00"/>
              </w:rPr>
            </w:pPr>
            <w:r>
              <w:rPr>
                <w:rFonts w:cs="宋体"/>
                <w:color w:val="FF0000"/>
                <w:sz w:val="21"/>
                <w:highlight w:val="none"/>
                <w:shd w:val="clear" w:color="auto" w:fill="FFFF00"/>
              </w:rPr>
              <w:t>GB/T 5072-2008</w:t>
            </w:r>
          </w:p>
        </w:tc>
      </w:tr>
      <w:tr w14:paraId="5DC827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80" w:type="pct"/>
            <w:noWrap w:val="0"/>
            <w:tcMar>
              <w:top w:w="0" w:type="dxa"/>
              <w:left w:w="108" w:type="dxa"/>
              <w:bottom w:w="0" w:type="dxa"/>
              <w:right w:w="108" w:type="dxa"/>
            </w:tcMar>
            <w:vAlign w:val="center"/>
          </w:tcPr>
          <w:p w14:paraId="3170CBA0">
            <w:pPr>
              <w:snapToGrid w:val="0"/>
              <w:ind w:firstLine="420"/>
              <w:jc w:val="center"/>
              <w:rPr>
                <w:color w:val="FF0000"/>
                <w:highlight w:val="none"/>
                <w:shd w:val="clear" w:color="auto" w:fill="FFFF00"/>
              </w:rPr>
            </w:pPr>
            <w:r>
              <w:rPr>
                <w:rFonts w:cs="宋体"/>
                <w:color w:val="FF0000"/>
                <w:sz w:val="21"/>
                <w:highlight w:val="none"/>
                <w:shd w:val="clear" w:color="auto" w:fill="FFFF00"/>
              </w:rPr>
              <w:t>抗折强度1400℃×3h</w:t>
            </w:r>
          </w:p>
        </w:tc>
        <w:tc>
          <w:tcPr>
            <w:tcW w:w="711" w:type="pct"/>
            <w:noWrap w:val="0"/>
            <w:tcMar>
              <w:top w:w="0" w:type="dxa"/>
              <w:bottom w:w="0" w:type="dxa"/>
            </w:tcMar>
            <w:vAlign w:val="center"/>
          </w:tcPr>
          <w:p w14:paraId="5833A790">
            <w:pPr>
              <w:snapToGrid w:val="0"/>
              <w:ind w:firstLine="420"/>
              <w:jc w:val="center"/>
              <w:rPr>
                <w:color w:val="FF0000"/>
                <w:highlight w:val="none"/>
                <w:shd w:val="clear" w:color="auto" w:fill="FFFF00"/>
              </w:rPr>
            </w:pPr>
            <w:r>
              <w:rPr>
                <w:rFonts w:cs="宋体"/>
                <w:color w:val="FF0000"/>
                <w:sz w:val="21"/>
                <w:highlight w:val="none"/>
                <w:shd w:val="clear" w:color="auto" w:fill="FFFF00"/>
              </w:rPr>
              <w:t>MPa</w:t>
            </w:r>
          </w:p>
        </w:tc>
        <w:tc>
          <w:tcPr>
            <w:tcW w:w="868" w:type="pct"/>
            <w:noWrap w:val="0"/>
            <w:tcMar>
              <w:top w:w="0" w:type="dxa"/>
              <w:bottom w:w="0" w:type="dxa"/>
            </w:tcMar>
            <w:vAlign w:val="center"/>
          </w:tcPr>
          <w:p w14:paraId="4C4C3CDE">
            <w:pPr>
              <w:snapToGrid w:val="0"/>
              <w:ind w:firstLine="420"/>
              <w:jc w:val="center"/>
              <w:rPr>
                <w:color w:val="FF0000"/>
                <w:highlight w:val="none"/>
                <w:shd w:val="clear" w:color="auto" w:fill="FFFF00"/>
              </w:rPr>
            </w:pPr>
            <w:r>
              <w:rPr>
                <w:rFonts w:cs="宋体"/>
                <w:color w:val="FF0000"/>
                <w:sz w:val="21"/>
                <w:highlight w:val="none"/>
                <w:shd w:val="clear" w:color="auto" w:fill="FFFF00"/>
              </w:rPr>
              <w:t>≥1</w:t>
            </w:r>
            <w:r>
              <w:rPr>
                <w:rFonts w:hint="eastAsia" w:cs="宋体"/>
                <w:color w:val="FF0000"/>
                <w:sz w:val="21"/>
                <w:highlight w:val="none"/>
                <w:shd w:val="clear" w:color="auto" w:fill="FFFF00"/>
              </w:rPr>
              <w:t>2</w:t>
            </w:r>
          </w:p>
        </w:tc>
        <w:tc>
          <w:tcPr>
            <w:tcW w:w="1839" w:type="pct"/>
            <w:noWrap w:val="0"/>
            <w:tcMar>
              <w:top w:w="0" w:type="dxa"/>
              <w:bottom w:w="0" w:type="dxa"/>
            </w:tcMar>
            <w:vAlign w:val="center"/>
          </w:tcPr>
          <w:p w14:paraId="1739B7CC">
            <w:pPr>
              <w:snapToGrid w:val="0"/>
              <w:ind w:firstLine="420"/>
              <w:jc w:val="center"/>
              <w:rPr>
                <w:color w:val="FF0000"/>
                <w:highlight w:val="none"/>
                <w:shd w:val="clear" w:color="auto" w:fill="FFFF00"/>
              </w:rPr>
            </w:pPr>
            <w:r>
              <w:rPr>
                <w:rFonts w:cs="宋体"/>
                <w:color w:val="FF0000"/>
                <w:sz w:val="21"/>
                <w:highlight w:val="none"/>
                <w:shd w:val="clear" w:color="auto" w:fill="FFFF00"/>
              </w:rPr>
              <w:t>GB/T 3001-2017</w:t>
            </w:r>
          </w:p>
        </w:tc>
      </w:tr>
      <w:tr w14:paraId="020335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80" w:type="pct"/>
            <w:noWrap w:val="0"/>
            <w:tcMar>
              <w:top w:w="0" w:type="dxa"/>
              <w:left w:w="108" w:type="dxa"/>
              <w:bottom w:w="0" w:type="dxa"/>
              <w:right w:w="108" w:type="dxa"/>
            </w:tcMar>
            <w:vAlign w:val="center"/>
          </w:tcPr>
          <w:p w14:paraId="12B3935E">
            <w:pPr>
              <w:snapToGrid w:val="0"/>
              <w:ind w:firstLine="420"/>
              <w:jc w:val="center"/>
              <w:rPr>
                <w:color w:val="FF0000"/>
                <w:highlight w:val="none"/>
                <w:shd w:val="clear" w:color="auto" w:fill="FFFF00"/>
              </w:rPr>
            </w:pPr>
            <w:r>
              <w:rPr>
                <w:rFonts w:cs="宋体"/>
                <w:color w:val="FF0000"/>
                <w:sz w:val="21"/>
                <w:highlight w:val="none"/>
                <w:shd w:val="clear" w:color="auto" w:fill="FFFF00"/>
              </w:rPr>
              <w:t>导热系数  1200℃</w:t>
            </w:r>
          </w:p>
        </w:tc>
        <w:tc>
          <w:tcPr>
            <w:tcW w:w="711" w:type="pct"/>
            <w:noWrap w:val="0"/>
            <w:tcMar>
              <w:top w:w="0" w:type="dxa"/>
              <w:bottom w:w="0" w:type="dxa"/>
            </w:tcMar>
            <w:vAlign w:val="center"/>
          </w:tcPr>
          <w:p w14:paraId="4C8E36BB">
            <w:pPr>
              <w:snapToGrid w:val="0"/>
              <w:ind w:firstLine="420"/>
              <w:jc w:val="center"/>
              <w:rPr>
                <w:color w:val="FF0000"/>
                <w:highlight w:val="none"/>
                <w:shd w:val="clear" w:color="auto" w:fill="FFFF00"/>
              </w:rPr>
            </w:pPr>
            <w:r>
              <w:rPr>
                <w:rFonts w:cs="宋体"/>
                <w:color w:val="FF0000"/>
                <w:sz w:val="21"/>
                <w:highlight w:val="none"/>
                <w:shd w:val="clear" w:color="auto" w:fill="FFFF00"/>
              </w:rPr>
              <w:t>W/m.k</w:t>
            </w:r>
          </w:p>
        </w:tc>
        <w:tc>
          <w:tcPr>
            <w:tcW w:w="868" w:type="pct"/>
            <w:noWrap w:val="0"/>
            <w:tcMar>
              <w:top w:w="0" w:type="dxa"/>
              <w:bottom w:w="0" w:type="dxa"/>
            </w:tcMar>
            <w:vAlign w:val="center"/>
          </w:tcPr>
          <w:p w14:paraId="0ED8AF62">
            <w:pPr>
              <w:snapToGrid w:val="0"/>
              <w:ind w:firstLine="420"/>
              <w:jc w:val="center"/>
              <w:rPr>
                <w:color w:val="FF0000"/>
                <w:highlight w:val="none"/>
                <w:shd w:val="clear" w:color="auto" w:fill="FFFF00"/>
              </w:rPr>
            </w:pPr>
            <w:r>
              <w:rPr>
                <w:rFonts w:cs="宋体"/>
                <w:color w:val="FF0000"/>
                <w:sz w:val="21"/>
                <w:highlight w:val="none"/>
                <w:shd w:val="clear" w:color="auto" w:fill="FFFF00"/>
              </w:rPr>
              <w:t>≥4.2</w:t>
            </w:r>
          </w:p>
        </w:tc>
        <w:tc>
          <w:tcPr>
            <w:tcW w:w="1839" w:type="pct"/>
            <w:noWrap w:val="0"/>
            <w:tcMar>
              <w:top w:w="0" w:type="dxa"/>
              <w:bottom w:w="0" w:type="dxa"/>
            </w:tcMar>
            <w:vAlign w:val="center"/>
          </w:tcPr>
          <w:p w14:paraId="1572066E">
            <w:pPr>
              <w:snapToGrid w:val="0"/>
              <w:ind w:firstLine="420"/>
              <w:jc w:val="center"/>
              <w:rPr>
                <w:color w:val="FF0000"/>
                <w:highlight w:val="none"/>
                <w:shd w:val="clear" w:color="auto" w:fill="FFFF00"/>
              </w:rPr>
            </w:pPr>
            <w:r>
              <w:rPr>
                <w:rFonts w:cs="宋体"/>
                <w:color w:val="FF0000"/>
                <w:sz w:val="21"/>
                <w:highlight w:val="none"/>
                <w:shd w:val="clear" w:color="auto" w:fill="FFFF00"/>
              </w:rPr>
              <w:t>激光法GB/T 22588-2008</w:t>
            </w:r>
          </w:p>
        </w:tc>
      </w:tr>
      <w:tr w14:paraId="24DA0E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80" w:type="pct"/>
            <w:noWrap w:val="0"/>
            <w:tcMar>
              <w:top w:w="0" w:type="dxa"/>
              <w:left w:w="108" w:type="dxa"/>
              <w:bottom w:w="0" w:type="dxa"/>
              <w:right w:w="108" w:type="dxa"/>
            </w:tcMar>
            <w:vAlign w:val="center"/>
          </w:tcPr>
          <w:p w14:paraId="35FA8F83">
            <w:pPr>
              <w:snapToGrid w:val="0"/>
              <w:ind w:firstLine="420"/>
              <w:jc w:val="center"/>
              <w:rPr>
                <w:color w:val="FF0000"/>
                <w:highlight w:val="none"/>
                <w:shd w:val="clear" w:color="auto" w:fill="FFFF00"/>
              </w:rPr>
            </w:pPr>
            <w:r>
              <w:rPr>
                <w:rFonts w:cs="宋体"/>
                <w:color w:val="FF0000"/>
                <w:sz w:val="21"/>
                <w:highlight w:val="none"/>
                <w:shd w:val="clear" w:color="auto" w:fill="FFFF00"/>
              </w:rPr>
              <w:t>永久线变化1400℃×3h</w:t>
            </w:r>
          </w:p>
        </w:tc>
        <w:tc>
          <w:tcPr>
            <w:tcW w:w="711" w:type="pct"/>
            <w:noWrap w:val="0"/>
            <w:tcMar>
              <w:top w:w="0" w:type="dxa"/>
              <w:bottom w:w="0" w:type="dxa"/>
            </w:tcMar>
            <w:vAlign w:val="center"/>
          </w:tcPr>
          <w:p w14:paraId="1570CA8A">
            <w:pPr>
              <w:snapToGrid w:val="0"/>
              <w:ind w:firstLine="420"/>
              <w:jc w:val="center"/>
              <w:rPr>
                <w:color w:val="FF0000"/>
                <w:highlight w:val="none"/>
                <w:shd w:val="clear" w:color="auto" w:fill="FFFF00"/>
              </w:rPr>
            </w:pPr>
            <w:r>
              <w:rPr>
                <w:rFonts w:cs="宋体"/>
                <w:color w:val="FF0000"/>
                <w:sz w:val="21"/>
                <w:highlight w:val="none"/>
                <w:shd w:val="clear" w:color="auto" w:fill="FFFF00"/>
              </w:rPr>
              <w:t>%</w:t>
            </w:r>
          </w:p>
        </w:tc>
        <w:tc>
          <w:tcPr>
            <w:tcW w:w="868" w:type="pct"/>
            <w:noWrap w:val="0"/>
            <w:tcMar>
              <w:top w:w="0" w:type="dxa"/>
              <w:bottom w:w="0" w:type="dxa"/>
            </w:tcMar>
            <w:vAlign w:val="center"/>
          </w:tcPr>
          <w:p w14:paraId="711C379A">
            <w:pPr>
              <w:snapToGrid w:val="0"/>
              <w:ind w:firstLine="420"/>
              <w:jc w:val="center"/>
              <w:rPr>
                <w:color w:val="FF0000"/>
                <w:highlight w:val="none"/>
                <w:shd w:val="clear" w:color="auto" w:fill="FFFF00"/>
              </w:rPr>
            </w:pPr>
            <w:r>
              <w:rPr>
                <w:rFonts w:cs="宋体"/>
                <w:color w:val="FF0000"/>
                <w:sz w:val="21"/>
                <w:highlight w:val="none"/>
                <w:shd w:val="clear" w:color="auto" w:fill="FFFF00"/>
              </w:rPr>
              <w:t>±0.</w:t>
            </w:r>
            <w:r>
              <w:rPr>
                <w:rFonts w:hint="eastAsia" w:cs="宋体"/>
                <w:color w:val="FF0000"/>
                <w:sz w:val="21"/>
                <w:highlight w:val="none"/>
                <w:shd w:val="clear" w:color="auto" w:fill="FFFF00"/>
              </w:rPr>
              <w:t>3</w:t>
            </w:r>
          </w:p>
        </w:tc>
        <w:tc>
          <w:tcPr>
            <w:tcW w:w="1839" w:type="pct"/>
            <w:noWrap w:val="0"/>
            <w:tcMar>
              <w:top w:w="0" w:type="dxa"/>
              <w:bottom w:w="0" w:type="dxa"/>
            </w:tcMar>
            <w:vAlign w:val="center"/>
          </w:tcPr>
          <w:p w14:paraId="1061DF08">
            <w:pPr>
              <w:snapToGrid w:val="0"/>
              <w:ind w:firstLine="420"/>
              <w:jc w:val="center"/>
              <w:rPr>
                <w:color w:val="FF0000"/>
                <w:highlight w:val="none"/>
                <w:shd w:val="clear" w:color="auto" w:fill="FFFF00"/>
              </w:rPr>
            </w:pPr>
            <w:r>
              <w:rPr>
                <w:rFonts w:cs="宋体"/>
                <w:color w:val="FF0000"/>
                <w:sz w:val="21"/>
                <w:highlight w:val="none"/>
                <w:shd w:val="clear" w:color="auto" w:fill="FFFF00"/>
              </w:rPr>
              <w:t>GB/T 5988-2007</w:t>
            </w:r>
          </w:p>
        </w:tc>
      </w:tr>
      <w:tr w14:paraId="6B59A8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80" w:type="pct"/>
            <w:noWrap w:val="0"/>
            <w:tcMar>
              <w:top w:w="0" w:type="dxa"/>
              <w:left w:w="108" w:type="dxa"/>
              <w:bottom w:w="0" w:type="dxa"/>
              <w:right w:w="108" w:type="dxa"/>
            </w:tcMar>
            <w:vAlign w:val="center"/>
          </w:tcPr>
          <w:p w14:paraId="6139C07C">
            <w:pPr>
              <w:snapToGrid w:val="0"/>
              <w:ind w:firstLine="420"/>
              <w:jc w:val="center"/>
              <w:rPr>
                <w:color w:val="FF0000"/>
                <w:highlight w:val="none"/>
                <w:shd w:val="clear" w:color="auto" w:fill="FFFF00"/>
              </w:rPr>
            </w:pPr>
            <w:r>
              <w:rPr>
                <w:rFonts w:cs="宋体"/>
                <w:color w:val="FF0000"/>
                <w:sz w:val="21"/>
                <w:highlight w:val="none"/>
                <w:shd w:val="clear" w:color="auto" w:fill="FFFF00"/>
              </w:rPr>
              <w:t>显气孔率</w:t>
            </w:r>
          </w:p>
        </w:tc>
        <w:tc>
          <w:tcPr>
            <w:tcW w:w="711" w:type="pct"/>
            <w:noWrap w:val="0"/>
            <w:tcMar>
              <w:top w:w="0" w:type="dxa"/>
              <w:bottom w:w="0" w:type="dxa"/>
            </w:tcMar>
            <w:vAlign w:val="center"/>
          </w:tcPr>
          <w:p w14:paraId="5DB44137">
            <w:pPr>
              <w:snapToGrid w:val="0"/>
              <w:ind w:firstLine="420"/>
              <w:jc w:val="center"/>
              <w:rPr>
                <w:color w:val="FF0000"/>
                <w:highlight w:val="none"/>
                <w:shd w:val="clear" w:color="auto" w:fill="FFFF00"/>
              </w:rPr>
            </w:pPr>
            <w:r>
              <w:rPr>
                <w:rFonts w:cs="宋体"/>
                <w:color w:val="FF0000"/>
                <w:sz w:val="21"/>
                <w:highlight w:val="none"/>
                <w:shd w:val="clear" w:color="auto" w:fill="FFFF00"/>
              </w:rPr>
              <w:t>%</w:t>
            </w:r>
          </w:p>
        </w:tc>
        <w:tc>
          <w:tcPr>
            <w:tcW w:w="868" w:type="pct"/>
            <w:noWrap w:val="0"/>
            <w:tcMar>
              <w:top w:w="0" w:type="dxa"/>
              <w:bottom w:w="0" w:type="dxa"/>
            </w:tcMar>
            <w:vAlign w:val="center"/>
          </w:tcPr>
          <w:p w14:paraId="2ACF1A10">
            <w:pPr>
              <w:snapToGrid w:val="0"/>
              <w:ind w:firstLine="420"/>
              <w:jc w:val="center"/>
              <w:rPr>
                <w:color w:val="FF0000"/>
                <w:highlight w:val="none"/>
                <w:shd w:val="clear" w:color="auto" w:fill="FFFF00"/>
              </w:rPr>
            </w:pPr>
            <w:r>
              <w:rPr>
                <w:rFonts w:cs="宋体"/>
                <w:color w:val="FF0000"/>
                <w:sz w:val="21"/>
                <w:highlight w:val="none"/>
                <w:shd w:val="clear" w:color="auto" w:fill="FFFF00"/>
              </w:rPr>
              <w:t>≤17</w:t>
            </w:r>
          </w:p>
        </w:tc>
        <w:tc>
          <w:tcPr>
            <w:tcW w:w="1839" w:type="pct"/>
            <w:noWrap w:val="0"/>
            <w:tcMar>
              <w:top w:w="0" w:type="dxa"/>
              <w:bottom w:w="0" w:type="dxa"/>
            </w:tcMar>
            <w:vAlign w:val="center"/>
          </w:tcPr>
          <w:p w14:paraId="5C10FCF1">
            <w:pPr>
              <w:snapToGrid w:val="0"/>
              <w:ind w:firstLine="420"/>
              <w:jc w:val="center"/>
              <w:rPr>
                <w:color w:val="FF0000"/>
                <w:highlight w:val="none"/>
                <w:shd w:val="clear" w:color="auto" w:fill="FFFF00"/>
              </w:rPr>
            </w:pPr>
            <w:r>
              <w:rPr>
                <w:rFonts w:cs="宋体"/>
                <w:color w:val="FF0000"/>
                <w:sz w:val="21"/>
                <w:highlight w:val="none"/>
                <w:shd w:val="clear" w:color="auto" w:fill="FFFF00"/>
              </w:rPr>
              <w:t>GB/T 2997-2015</w:t>
            </w:r>
          </w:p>
        </w:tc>
      </w:tr>
      <w:tr w14:paraId="68CB59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80" w:type="pct"/>
            <w:noWrap w:val="0"/>
            <w:tcMar>
              <w:top w:w="0" w:type="dxa"/>
              <w:left w:w="108" w:type="dxa"/>
              <w:bottom w:w="0" w:type="dxa"/>
              <w:right w:w="108" w:type="dxa"/>
            </w:tcMar>
            <w:vAlign w:val="center"/>
          </w:tcPr>
          <w:p w14:paraId="19D9612A">
            <w:pPr>
              <w:snapToGrid w:val="0"/>
              <w:ind w:firstLine="420"/>
              <w:jc w:val="center"/>
              <w:rPr>
                <w:color w:val="FF0000"/>
                <w:highlight w:val="none"/>
                <w:shd w:val="clear" w:color="auto" w:fill="FFFF00"/>
              </w:rPr>
            </w:pPr>
            <w:r>
              <w:rPr>
                <w:rFonts w:cs="宋体"/>
                <w:color w:val="FF0000"/>
                <w:sz w:val="21"/>
                <w:highlight w:val="none"/>
                <w:shd w:val="clear" w:color="auto" w:fill="FFFF00"/>
              </w:rPr>
              <w:t>使用部位</w:t>
            </w:r>
          </w:p>
        </w:tc>
        <w:tc>
          <w:tcPr>
            <w:tcW w:w="3419" w:type="pct"/>
            <w:gridSpan w:val="3"/>
            <w:noWrap w:val="0"/>
            <w:tcMar>
              <w:top w:w="0" w:type="dxa"/>
              <w:bottom w:w="0" w:type="dxa"/>
            </w:tcMar>
            <w:vAlign w:val="center"/>
          </w:tcPr>
          <w:p w14:paraId="66140CA7">
            <w:pPr>
              <w:snapToGrid w:val="0"/>
              <w:ind w:firstLine="420"/>
              <w:jc w:val="center"/>
              <w:rPr>
                <w:color w:val="FF0000"/>
                <w:highlight w:val="none"/>
                <w:shd w:val="clear" w:color="auto" w:fill="FFFF00"/>
              </w:rPr>
            </w:pPr>
            <w:r>
              <w:rPr>
                <w:rFonts w:hint="eastAsia" w:ascii="Times New Roman"/>
                <w:bCs/>
                <w:color w:val="auto"/>
                <w:sz w:val="21"/>
                <w:szCs w:val="21"/>
                <w:highlight w:val="none"/>
              </w:rPr>
              <w:t>铁口框及铁口</w:t>
            </w:r>
            <w:r>
              <w:rPr>
                <w:rFonts w:hint="eastAsia" w:ascii="Times New Roman"/>
                <w:bCs/>
                <w:color w:val="auto"/>
                <w:sz w:val="21"/>
                <w:szCs w:val="21"/>
                <w:highlight w:val="none"/>
                <w:lang w:val="en-US" w:eastAsia="zh-CN"/>
              </w:rPr>
              <w:t>泥包保护座、铁口</w:t>
            </w:r>
            <w:r>
              <w:rPr>
                <w:rFonts w:hint="eastAsia" w:ascii="Times New Roman"/>
                <w:bCs/>
                <w:color w:val="auto"/>
                <w:sz w:val="21"/>
                <w:szCs w:val="21"/>
                <w:highlight w:val="none"/>
              </w:rPr>
              <w:t>通道浇筑</w:t>
            </w:r>
          </w:p>
        </w:tc>
      </w:tr>
      <w:bookmarkEnd w:id="317"/>
    </w:tbl>
    <w:p w14:paraId="6DA66CF7">
      <w:pPr>
        <w:numPr>
          <w:ilvl w:val="0"/>
          <w:numId w:val="16"/>
        </w:numPr>
        <w:ind w:left="480" w:leftChars="0" w:firstLine="0" w:firstLineChars="0"/>
        <w:rPr>
          <w:highlight w:val="none"/>
        </w:rPr>
      </w:pPr>
      <w:bookmarkStart w:id="318" w:name="_Toc29467"/>
      <w:r>
        <w:rPr>
          <w:rFonts w:hint="eastAsia"/>
          <w:highlight w:val="none"/>
        </w:rPr>
        <w:t>刚玉质磷酸盐泥浆</w:t>
      </w:r>
      <w:bookmarkEnd w:id="318"/>
      <w:r>
        <w:rPr>
          <w:rFonts w:hint="eastAsia"/>
          <w:highlight w:val="none"/>
        </w:rPr>
        <w:t>GP-80</w:t>
      </w:r>
    </w:p>
    <w:tbl>
      <w:tblPr>
        <w:tblStyle w:val="6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1531"/>
        <w:gridCol w:w="1991"/>
        <w:gridCol w:w="1224"/>
        <w:gridCol w:w="1309"/>
        <w:gridCol w:w="1670"/>
      </w:tblGrid>
      <w:tr w14:paraId="3B256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533" w:type="pct"/>
            <w:gridSpan w:val="3"/>
            <w:tcBorders>
              <w:top w:val="single" w:color="auto" w:sz="12" w:space="0"/>
              <w:left w:val="single" w:color="auto" w:sz="12" w:space="0"/>
              <w:bottom w:val="single" w:color="auto" w:sz="4" w:space="0"/>
              <w:right w:val="single" w:color="auto" w:sz="4" w:space="0"/>
            </w:tcBorders>
            <w:vAlign w:val="center"/>
          </w:tcPr>
          <w:p w14:paraId="78511B53">
            <w:pPr>
              <w:spacing w:line="240" w:lineRule="auto"/>
              <w:ind w:firstLine="0" w:firstLineChars="0"/>
              <w:rPr>
                <w:rFonts w:ascii="Times New Roman"/>
                <w:sz w:val="21"/>
                <w:szCs w:val="21"/>
                <w:highlight w:val="none"/>
              </w:rPr>
            </w:pPr>
            <w:r>
              <w:rPr>
                <w:rFonts w:hint="eastAsia" w:ascii="Times New Roman"/>
                <w:sz w:val="21"/>
                <w:szCs w:val="21"/>
                <w:highlight w:val="none"/>
              </w:rPr>
              <w:t>耐火材料品种</w:t>
            </w:r>
          </w:p>
        </w:tc>
        <w:tc>
          <w:tcPr>
            <w:tcW w:w="2466" w:type="pct"/>
            <w:gridSpan w:val="3"/>
            <w:tcBorders>
              <w:top w:val="single" w:color="auto" w:sz="12" w:space="0"/>
              <w:left w:val="single" w:color="auto" w:sz="4" w:space="0"/>
              <w:bottom w:val="single" w:color="auto" w:sz="4" w:space="0"/>
              <w:right w:val="single" w:color="auto" w:sz="12" w:space="0"/>
            </w:tcBorders>
            <w:vAlign w:val="center"/>
          </w:tcPr>
          <w:p w14:paraId="271C554C">
            <w:pPr>
              <w:spacing w:line="240" w:lineRule="auto"/>
              <w:ind w:firstLine="0" w:firstLineChars="0"/>
              <w:rPr>
                <w:rFonts w:ascii="Times New Roman"/>
                <w:sz w:val="21"/>
                <w:szCs w:val="21"/>
                <w:highlight w:val="none"/>
              </w:rPr>
            </w:pPr>
            <w:r>
              <w:rPr>
                <w:rFonts w:hint="eastAsia" w:ascii="Times New Roman"/>
                <w:sz w:val="21"/>
                <w:szCs w:val="21"/>
                <w:highlight w:val="none"/>
              </w:rPr>
              <w:t>刚玉泥浆</w:t>
            </w:r>
          </w:p>
        </w:tc>
      </w:tr>
      <w:tr w14:paraId="726A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12" w:space="0"/>
              <w:bottom w:val="single" w:color="auto" w:sz="4" w:space="0"/>
              <w:right w:val="single" w:color="auto" w:sz="4" w:space="0"/>
            </w:tcBorders>
            <w:vAlign w:val="center"/>
          </w:tcPr>
          <w:p w14:paraId="1489C7C2">
            <w:pPr>
              <w:spacing w:line="240" w:lineRule="auto"/>
              <w:ind w:firstLine="0" w:firstLineChars="0"/>
              <w:rPr>
                <w:rFonts w:ascii="Times New Roman"/>
                <w:sz w:val="21"/>
                <w:szCs w:val="21"/>
                <w:highlight w:val="none"/>
              </w:rPr>
            </w:pPr>
            <w:r>
              <w:rPr>
                <w:rFonts w:hint="eastAsia" w:ascii="Times New Roman"/>
                <w:sz w:val="21"/>
                <w:szCs w:val="21"/>
                <w:highlight w:val="none"/>
              </w:rPr>
              <w:t>序号</w:t>
            </w:r>
          </w:p>
        </w:tc>
        <w:tc>
          <w:tcPr>
            <w:tcW w:w="2066" w:type="pct"/>
            <w:gridSpan w:val="2"/>
            <w:tcBorders>
              <w:top w:val="single" w:color="auto" w:sz="4" w:space="0"/>
              <w:left w:val="single" w:color="auto" w:sz="4" w:space="0"/>
              <w:bottom w:val="single" w:color="auto" w:sz="4" w:space="0"/>
              <w:right w:val="single" w:color="auto" w:sz="4" w:space="0"/>
            </w:tcBorders>
            <w:vAlign w:val="center"/>
          </w:tcPr>
          <w:p w14:paraId="3CB80F47">
            <w:pPr>
              <w:spacing w:line="240" w:lineRule="auto"/>
              <w:ind w:firstLine="0" w:firstLineChars="0"/>
              <w:rPr>
                <w:rFonts w:ascii="Times New Roman"/>
                <w:sz w:val="21"/>
                <w:szCs w:val="21"/>
                <w:highlight w:val="none"/>
              </w:rPr>
            </w:pPr>
            <w:r>
              <w:rPr>
                <w:rFonts w:hint="eastAsia" w:ascii="Times New Roman"/>
                <w:sz w:val="21"/>
                <w:szCs w:val="21"/>
                <w:highlight w:val="none"/>
              </w:rPr>
              <w:t>项    目</w:t>
            </w:r>
          </w:p>
        </w:tc>
        <w:tc>
          <w:tcPr>
            <w:tcW w:w="718" w:type="pct"/>
            <w:tcBorders>
              <w:top w:val="single" w:color="auto" w:sz="4" w:space="0"/>
              <w:left w:val="single" w:color="auto" w:sz="4" w:space="0"/>
              <w:bottom w:val="single" w:color="auto" w:sz="4" w:space="0"/>
              <w:right w:val="single" w:color="auto" w:sz="4" w:space="0"/>
            </w:tcBorders>
            <w:vAlign w:val="center"/>
          </w:tcPr>
          <w:p w14:paraId="0E813C17">
            <w:pPr>
              <w:spacing w:line="240" w:lineRule="auto"/>
              <w:ind w:firstLine="0" w:firstLineChars="0"/>
              <w:rPr>
                <w:rFonts w:ascii="Times New Roman"/>
                <w:sz w:val="21"/>
                <w:szCs w:val="21"/>
                <w:highlight w:val="none"/>
              </w:rPr>
            </w:pPr>
            <w:r>
              <w:rPr>
                <w:rFonts w:hint="eastAsia" w:ascii="Times New Roman"/>
                <w:sz w:val="21"/>
                <w:szCs w:val="21"/>
                <w:highlight w:val="none"/>
              </w:rPr>
              <w:t>单  位</w:t>
            </w:r>
          </w:p>
        </w:tc>
        <w:tc>
          <w:tcPr>
            <w:tcW w:w="768" w:type="pct"/>
            <w:tcBorders>
              <w:top w:val="single" w:color="auto" w:sz="4" w:space="0"/>
              <w:left w:val="single" w:color="auto" w:sz="4" w:space="0"/>
              <w:bottom w:val="single" w:color="auto" w:sz="4" w:space="0"/>
              <w:right w:val="single" w:color="auto" w:sz="4" w:space="0"/>
            </w:tcBorders>
            <w:vAlign w:val="center"/>
          </w:tcPr>
          <w:p w14:paraId="7F19EAFC">
            <w:pPr>
              <w:spacing w:line="240" w:lineRule="auto"/>
              <w:ind w:firstLine="0" w:firstLineChars="0"/>
              <w:rPr>
                <w:rFonts w:ascii="Times New Roman"/>
                <w:sz w:val="21"/>
                <w:szCs w:val="21"/>
                <w:highlight w:val="none"/>
              </w:rPr>
            </w:pPr>
            <w:r>
              <w:rPr>
                <w:rFonts w:hint="eastAsia" w:ascii="Times New Roman"/>
                <w:sz w:val="21"/>
                <w:szCs w:val="21"/>
                <w:highlight w:val="none"/>
              </w:rPr>
              <w:t>指  标</w:t>
            </w:r>
          </w:p>
        </w:tc>
        <w:tc>
          <w:tcPr>
            <w:tcW w:w="979" w:type="pct"/>
            <w:tcBorders>
              <w:top w:val="single" w:color="auto" w:sz="4" w:space="0"/>
              <w:left w:val="single" w:color="auto" w:sz="4" w:space="0"/>
              <w:bottom w:val="single" w:color="auto" w:sz="4" w:space="0"/>
              <w:right w:val="single" w:color="auto" w:sz="12" w:space="0"/>
            </w:tcBorders>
            <w:vAlign w:val="center"/>
          </w:tcPr>
          <w:p w14:paraId="4A912B6E">
            <w:pPr>
              <w:spacing w:line="240" w:lineRule="auto"/>
              <w:ind w:firstLine="0" w:firstLineChars="0"/>
              <w:rPr>
                <w:rFonts w:ascii="Times New Roman"/>
                <w:sz w:val="21"/>
                <w:szCs w:val="21"/>
                <w:highlight w:val="none"/>
              </w:rPr>
            </w:pPr>
            <w:r>
              <w:rPr>
                <w:rFonts w:hint="eastAsia" w:ascii="Times New Roman"/>
                <w:sz w:val="21"/>
                <w:szCs w:val="21"/>
                <w:highlight w:val="none"/>
              </w:rPr>
              <w:t>检验标准</w:t>
            </w:r>
          </w:p>
        </w:tc>
      </w:tr>
      <w:tr w14:paraId="154E2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12" w:space="0"/>
              <w:bottom w:val="single" w:color="auto" w:sz="4" w:space="0"/>
              <w:right w:val="single" w:color="auto" w:sz="4" w:space="0"/>
            </w:tcBorders>
            <w:vAlign w:val="center"/>
          </w:tcPr>
          <w:p w14:paraId="027E3716">
            <w:pPr>
              <w:spacing w:line="240" w:lineRule="auto"/>
              <w:ind w:firstLine="0" w:firstLineChars="0"/>
              <w:rPr>
                <w:rFonts w:ascii="Times New Roman"/>
                <w:sz w:val="21"/>
                <w:szCs w:val="21"/>
                <w:highlight w:val="none"/>
              </w:rPr>
            </w:pPr>
            <w:r>
              <w:rPr>
                <w:rFonts w:hint="eastAsia" w:ascii="Times New Roman"/>
                <w:sz w:val="21"/>
                <w:szCs w:val="21"/>
                <w:highlight w:val="none"/>
              </w:rPr>
              <w:t>1</w:t>
            </w:r>
          </w:p>
        </w:tc>
        <w:tc>
          <w:tcPr>
            <w:tcW w:w="2066" w:type="pct"/>
            <w:gridSpan w:val="2"/>
            <w:tcBorders>
              <w:top w:val="single" w:color="auto" w:sz="4" w:space="0"/>
              <w:left w:val="single" w:color="auto" w:sz="4" w:space="0"/>
              <w:bottom w:val="single" w:color="auto" w:sz="4" w:space="0"/>
              <w:right w:val="single" w:color="auto" w:sz="4" w:space="0"/>
            </w:tcBorders>
            <w:vAlign w:val="center"/>
          </w:tcPr>
          <w:p w14:paraId="64304C9A">
            <w:pPr>
              <w:spacing w:line="240" w:lineRule="auto"/>
              <w:ind w:firstLine="0" w:firstLineChars="0"/>
              <w:rPr>
                <w:rFonts w:ascii="Times New Roman"/>
                <w:sz w:val="21"/>
                <w:szCs w:val="21"/>
                <w:highlight w:val="none"/>
              </w:rPr>
            </w:pPr>
            <w:r>
              <w:rPr>
                <w:rFonts w:hint="eastAsia" w:ascii="Times New Roman"/>
                <w:sz w:val="21"/>
                <w:szCs w:val="21"/>
                <w:highlight w:val="none"/>
              </w:rPr>
              <w:t>Al</w:t>
            </w:r>
            <w:r>
              <w:rPr>
                <w:rFonts w:ascii="Times New Roman"/>
                <w:sz w:val="21"/>
                <w:szCs w:val="21"/>
                <w:highlight w:val="none"/>
                <w:vertAlign w:val="subscript"/>
              </w:rPr>
              <w:t>2</w:t>
            </w:r>
            <w:r>
              <w:rPr>
                <w:rFonts w:ascii="Times New Roman"/>
                <w:sz w:val="21"/>
                <w:szCs w:val="21"/>
                <w:highlight w:val="none"/>
              </w:rPr>
              <w:t>O</w:t>
            </w:r>
            <w:r>
              <w:rPr>
                <w:rFonts w:ascii="Times New Roman"/>
                <w:sz w:val="21"/>
                <w:szCs w:val="21"/>
                <w:highlight w:val="none"/>
                <w:vertAlign w:val="subscript"/>
              </w:rPr>
              <w:t>3</w:t>
            </w:r>
          </w:p>
        </w:tc>
        <w:tc>
          <w:tcPr>
            <w:tcW w:w="718" w:type="pct"/>
            <w:tcBorders>
              <w:top w:val="single" w:color="auto" w:sz="4" w:space="0"/>
              <w:left w:val="single" w:color="auto" w:sz="4" w:space="0"/>
              <w:bottom w:val="single" w:color="auto" w:sz="4" w:space="0"/>
              <w:right w:val="single" w:color="auto" w:sz="4" w:space="0"/>
            </w:tcBorders>
            <w:vAlign w:val="center"/>
          </w:tcPr>
          <w:p w14:paraId="6CE9B80D">
            <w:pPr>
              <w:spacing w:line="240" w:lineRule="auto"/>
              <w:ind w:firstLine="0" w:firstLineChars="0"/>
              <w:rPr>
                <w:rFonts w:ascii="Times New Roman"/>
                <w:sz w:val="21"/>
                <w:szCs w:val="21"/>
                <w:highlight w:val="none"/>
              </w:rPr>
            </w:pPr>
            <w:r>
              <w:rPr>
                <w:rFonts w:hint="eastAsia" w:ascii="Times New Roman"/>
                <w:sz w:val="21"/>
                <w:szCs w:val="21"/>
                <w:highlight w:val="none"/>
              </w:rPr>
              <w:t>％</w:t>
            </w:r>
          </w:p>
        </w:tc>
        <w:tc>
          <w:tcPr>
            <w:tcW w:w="768" w:type="pct"/>
            <w:tcBorders>
              <w:top w:val="single" w:color="auto" w:sz="4" w:space="0"/>
              <w:left w:val="single" w:color="auto" w:sz="4" w:space="0"/>
              <w:bottom w:val="single" w:color="auto" w:sz="4" w:space="0"/>
              <w:right w:val="single" w:color="auto" w:sz="4" w:space="0"/>
            </w:tcBorders>
            <w:vAlign w:val="center"/>
          </w:tcPr>
          <w:p w14:paraId="23D5F6B3">
            <w:pPr>
              <w:spacing w:line="240" w:lineRule="auto"/>
              <w:ind w:firstLine="0" w:firstLineChars="0"/>
              <w:rPr>
                <w:rFonts w:ascii="Times New Roman"/>
                <w:sz w:val="21"/>
                <w:szCs w:val="21"/>
                <w:highlight w:val="none"/>
              </w:rPr>
            </w:pPr>
            <w:r>
              <w:rPr>
                <w:rFonts w:hint="eastAsia" w:ascii="Times New Roman"/>
                <w:sz w:val="21"/>
                <w:szCs w:val="21"/>
                <w:highlight w:val="none"/>
              </w:rPr>
              <w:t>≥90</w:t>
            </w:r>
          </w:p>
        </w:tc>
        <w:tc>
          <w:tcPr>
            <w:tcW w:w="979" w:type="pct"/>
            <w:tcBorders>
              <w:top w:val="single" w:color="auto" w:sz="4" w:space="0"/>
              <w:left w:val="single" w:color="auto" w:sz="4" w:space="0"/>
              <w:bottom w:val="single" w:color="auto" w:sz="4" w:space="0"/>
              <w:right w:val="single" w:color="auto" w:sz="12" w:space="0"/>
            </w:tcBorders>
            <w:vAlign w:val="center"/>
          </w:tcPr>
          <w:p w14:paraId="0F18C0E9">
            <w:pPr>
              <w:spacing w:line="240" w:lineRule="auto"/>
              <w:ind w:firstLine="0" w:firstLineChars="0"/>
              <w:rPr>
                <w:rFonts w:ascii="Times New Roman"/>
                <w:sz w:val="21"/>
                <w:szCs w:val="21"/>
                <w:highlight w:val="none"/>
              </w:rPr>
            </w:pPr>
            <w:r>
              <w:rPr>
                <w:rFonts w:hint="eastAsia" w:ascii="Times New Roman"/>
                <w:sz w:val="21"/>
                <w:szCs w:val="21"/>
                <w:highlight w:val="none"/>
              </w:rPr>
              <w:t>GB/T</w:t>
            </w:r>
            <w:r>
              <w:rPr>
                <w:rFonts w:ascii="Times New Roman"/>
                <w:sz w:val="21"/>
                <w:szCs w:val="21"/>
                <w:highlight w:val="none"/>
              </w:rPr>
              <w:t>6900</w:t>
            </w:r>
          </w:p>
        </w:tc>
      </w:tr>
      <w:tr w14:paraId="17E1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12" w:space="0"/>
              <w:bottom w:val="single" w:color="auto" w:sz="4" w:space="0"/>
              <w:right w:val="single" w:color="auto" w:sz="4" w:space="0"/>
            </w:tcBorders>
            <w:vAlign w:val="center"/>
          </w:tcPr>
          <w:p w14:paraId="4982BCE3">
            <w:pPr>
              <w:spacing w:line="240" w:lineRule="auto"/>
              <w:ind w:firstLine="0" w:firstLineChars="0"/>
              <w:rPr>
                <w:rFonts w:ascii="Times New Roman"/>
                <w:sz w:val="21"/>
                <w:szCs w:val="21"/>
                <w:highlight w:val="none"/>
              </w:rPr>
            </w:pPr>
            <w:r>
              <w:rPr>
                <w:rFonts w:hint="eastAsia" w:ascii="Times New Roman"/>
                <w:sz w:val="21"/>
                <w:szCs w:val="21"/>
                <w:highlight w:val="none"/>
              </w:rPr>
              <w:t>2</w:t>
            </w:r>
          </w:p>
        </w:tc>
        <w:tc>
          <w:tcPr>
            <w:tcW w:w="2066" w:type="pct"/>
            <w:gridSpan w:val="2"/>
            <w:tcBorders>
              <w:top w:val="single" w:color="auto" w:sz="4" w:space="0"/>
              <w:left w:val="single" w:color="auto" w:sz="4" w:space="0"/>
              <w:bottom w:val="single" w:color="auto" w:sz="4" w:space="0"/>
              <w:right w:val="single" w:color="auto" w:sz="4" w:space="0"/>
            </w:tcBorders>
            <w:vAlign w:val="center"/>
          </w:tcPr>
          <w:p w14:paraId="5A7E17F7">
            <w:pPr>
              <w:spacing w:line="240" w:lineRule="auto"/>
              <w:ind w:firstLine="0" w:firstLineChars="0"/>
              <w:rPr>
                <w:rFonts w:ascii="Times New Roman"/>
                <w:sz w:val="21"/>
                <w:szCs w:val="21"/>
                <w:highlight w:val="none"/>
              </w:rPr>
            </w:pPr>
            <w:r>
              <w:rPr>
                <w:rFonts w:hint="eastAsia" w:ascii="Times New Roman"/>
                <w:sz w:val="21"/>
                <w:szCs w:val="21"/>
                <w:highlight w:val="none"/>
              </w:rPr>
              <w:t>体积密度</w:t>
            </w:r>
          </w:p>
        </w:tc>
        <w:tc>
          <w:tcPr>
            <w:tcW w:w="718" w:type="pct"/>
            <w:tcBorders>
              <w:top w:val="single" w:color="auto" w:sz="4" w:space="0"/>
              <w:left w:val="single" w:color="auto" w:sz="4" w:space="0"/>
              <w:bottom w:val="single" w:color="auto" w:sz="4" w:space="0"/>
              <w:right w:val="single" w:color="auto" w:sz="4" w:space="0"/>
            </w:tcBorders>
            <w:vAlign w:val="center"/>
          </w:tcPr>
          <w:p w14:paraId="3E7E513A">
            <w:pPr>
              <w:spacing w:line="240" w:lineRule="auto"/>
              <w:ind w:firstLine="0" w:firstLineChars="0"/>
              <w:rPr>
                <w:rFonts w:ascii="Times New Roman"/>
                <w:sz w:val="21"/>
                <w:szCs w:val="21"/>
                <w:highlight w:val="none"/>
              </w:rPr>
            </w:pPr>
            <w:r>
              <w:rPr>
                <w:rFonts w:hint="eastAsia" w:ascii="Times New Roman"/>
                <w:sz w:val="21"/>
                <w:szCs w:val="21"/>
                <w:highlight w:val="none"/>
              </w:rPr>
              <w:t>g/cm3</w:t>
            </w:r>
          </w:p>
        </w:tc>
        <w:tc>
          <w:tcPr>
            <w:tcW w:w="768" w:type="pct"/>
            <w:tcBorders>
              <w:top w:val="single" w:color="auto" w:sz="4" w:space="0"/>
              <w:left w:val="single" w:color="auto" w:sz="4" w:space="0"/>
              <w:bottom w:val="single" w:color="auto" w:sz="4" w:space="0"/>
              <w:right w:val="single" w:color="auto" w:sz="4" w:space="0"/>
            </w:tcBorders>
            <w:vAlign w:val="center"/>
          </w:tcPr>
          <w:p w14:paraId="312ACB62">
            <w:pPr>
              <w:spacing w:line="240" w:lineRule="auto"/>
              <w:ind w:firstLine="0" w:firstLineChars="0"/>
              <w:rPr>
                <w:rFonts w:ascii="Times New Roman"/>
                <w:sz w:val="21"/>
                <w:szCs w:val="21"/>
                <w:highlight w:val="none"/>
              </w:rPr>
            </w:pPr>
            <w:r>
              <w:rPr>
                <w:rFonts w:hint="eastAsia" w:ascii="Times New Roman"/>
                <w:sz w:val="21"/>
                <w:szCs w:val="21"/>
                <w:highlight w:val="none"/>
              </w:rPr>
              <w:t>≥2.6</w:t>
            </w:r>
          </w:p>
        </w:tc>
        <w:tc>
          <w:tcPr>
            <w:tcW w:w="979" w:type="pct"/>
            <w:tcBorders>
              <w:top w:val="single" w:color="auto" w:sz="4" w:space="0"/>
              <w:left w:val="single" w:color="auto" w:sz="4" w:space="0"/>
              <w:bottom w:val="single" w:color="auto" w:sz="4" w:space="0"/>
              <w:right w:val="single" w:color="auto" w:sz="12" w:space="0"/>
            </w:tcBorders>
            <w:vAlign w:val="center"/>
          </w:tcPr>
          <w:p w14:paraId="119966F6">
            <w:pPr>
              <w:spacing w:line="240" w:lineRule="auto"/>
              <w:ind w:firstLine="0" w:firstLineChars="0"/>
              <w:rPr>
                <w:rFonts w:ascii="Times New Roman"/>
                <w:sz w:val="21"/>
                <w:szCs w:val="21"/>
                <w:highlight w:val="none"/>
              </w:rPr>
            </w:pPr>
            <w:r>
              <w:rPr>
                <w:rFonts w:hint="eastAsia" w:ascii="Times New Roman"/>
                <w:sz w:val="21"/>
                <w:szCs w:val="21"/>
                <w:highlight w:val="none"/>
              </w:rPr>
              <w:t>GB/T2994</w:t>
            </w:r>
          </w:p>
        </w:tc>
      </w:tr>
      <w:tr w14:paraId="37159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12" w:space="0"/>
              <w:bottom w:val="single" w:color="auto" w:sz="4" w:space="0"/>
              <w:right w:val="single" w:color="auto" w:sz="4" w:space="0"/>
            </w:tcBorders>
            <w:vAlign w:val="center"/>
          </w:tcPr>
          <w:p w14:paraId="6776036C">
            <w:pPr>
              <w:spacing w:line="240" w:lineRule="auto"/>
              <w:ind w:firstLine="0" w:firstLineChars="0"/>
              <w:rPr>
                <w:rFonts w:ascii="Times New Roman"/>
                <w:sz w:val="21"/>
                <w:szCs w:val="21"/>
                <w:highlight w:val="none"/>
              </w:rPr>
            </w:pPr>
            <w:r>
              <w:rPr>
                <w:rFonts w:hint="eastAsia" w:ascii="Times New Roman"/>
                <w:sz w:val="21"/>
                <w:szCs w:val="21"/>
                <w:highlight w:val="none"/>
              </w:rPr>
              <w:t>3</w:t>
            </w:r>
          </w:p>
        </w:tc>
        <w:tc>
          <w:tcPr>
            <w:tcW w:w="2066" w:type="pct"/>
            <w:gridSpan w:val="2"/>
            <w:tcBorders>
              <w:top w:val="single" w:color="auto" w:sz="4" w:space="0"/>
              <w:left w:val="single" w:color="auto" w:sz="4" w:space="0"/>
              <w:bottom w:val="single" w:color="auto" w:sz="4" w:space="0"/>
              <w:right w:val="single" w:color="auto" w:sz="4" w:space="0"/>
            </w:tcBorders>
            <w:vAlign w:val="center"/>
          </w:tcPr>
          <w:p w14:paraId="133825D8">
            <w:pPr>
              <w:spacing w:line="240" w:lineRule="auto"/>
              <w:ind w:firstLine="0" w:firstLineChars="0"/>
              <w:rPr>
                <w:rFonts w:ascii="Times New Roman"/>
                <w:sz w:val="21"/>
                <w:szCs w:val="21"/>
                <w:highlight w:val="none"/>
              </w:rPr>
            </w:pPr>
            <w:r>
              <w:rPr>
                <w:rFonts w:hint="eastAsia" w:ascii="Times New Roman"/>
                <w:sz w:val="21"/>
                <w:szCs w:val="21"/>
                <w:highlight w:val="none"/>
              </w:rPr>
              <w:t>耐火度</w:t>
            </w:r>
          </w:p>
        </w:tc>
        <w:tc>
          <w:tcPr>
            <w:tcW w:w="718" w:type="pct"/>
            <w:tcBorders>
              <w:top w:val="single" w:color="auto" w:sz="4" w:space="0"/>
              <w:left w:val="single" w:color="auto" w:sz="4" w:space="0"/>
              <w:bottom w:val="single" w:color="auto" w:sz="4" w:space="0"/>
              <w:right w:val="single" w:color="auto" w:sz="4" w:space="0"/>
            </w:tcBorders>
            <w:vAlign w:val="center"/>
          </w:tcPr>
          <w:p w14:paraId="5F7A90A3">
            <w:pPr>
              <w:spacing w:line="240" w:lineRule="auto"/>
              <w:ind w:firstLine="0" w:firstLineChars="0"/>
              <w:rPr>
                <w:rFonts w:ascii="Times New Roman"/>
                <w:sz w:val="21"/>
                <w:szCs w:val="21"/>
                <w:highlight w:val="none"/>
              </w:rPr>
            </w:pPr>
            <w:r>
              <w:rPr>
                <w:rFonts w:hint="eastAsia" w:ascii="Times New Roman"/>
                <w:sz w:val="21"/>
                <w:szCs w:val="21"/>
                <w:highlight w:val="none"/>
              </w:rPr>
              <w:t>℃</w:t>
            </w:r>
          </w:p>
        </w:tc>
        <w:tc>
          <w:tcPr>
            <w:tcW w:w="768" w:type="pct"/>
            <w:tcBorders>
              <w:top w:val="single" w:color="auto" w:sz="4" w:space="0"/>
              <w:left w:val="single" w:color="auto" w:sz="4" w:space="0"/>
              <w:bottom w:val="single" w:color="auto" w:sz="4" w:space="0"/>
              <w:right w:val="single" w:color="auto" w:sz="4" w:space="0"/>
            </w:tcBorders>
            <w:vAlign w:val="center"/>
          </w:tcPr>
          <w:p w14:paraId="723D88B2">
            <w:pPr>
              <w:spacing w:line="240" w:lineRule="auto"/>
              <w:ind w:firstLine="0" w:firstLineChars="0"/>
              <w:rPr>
                <w:rFonts w:ascii="Times New Roman"/>
                <w:sz w:val="21"/>
                <w:szCs w:val="21"/>
                <w:highlight w:val="none"/>
              </w:rPr>
            </w:pPr>
            <w:r>
              <w:rPr>
                <w:rFonts w:hint="eastAsia" w:ascii="Times New Roman"/>
                <w:sz w:val="21"/>
                <w:szCs w:val="21"/>
                <w:highlight w:val="none"/>
              </w:rPr>
              <w:t>≥1790</w:t>
            </w:r>
          </w:p>
        </w:tc>
        <w:tc>
          <w:tcPr>
            <w:tcW w:w="979" w:type="pct"/>
            <w:tcBorders>
              <w:top w:val="single" w:color="auto" w:sz="4" w:space="0"/>
              <w:left w:val="single" w:color="auto" w:sz="4" w:space="0"/>
              <w:bottom w:val="single" w:color="auto" w:sz="4" w:space="0"/>
              <w:right w:val="single" w:color="auto" w:sz="12" w:space="0"/>
            </w:tcBorders>
            <w:vAlign w:val="center"/>
          </w:tcPr>
          <w:p w14:paraId="7135CFBB">
            <w:pPr>
              <w:spacing w:line="240" w:lineRule="auto"/>
              <w:ind w:firstLine="0" w:firstLineChars="0"/>
              <w:rPr>
                <w:rFonts w:ascii="Times New Roman"/>
                <w:sz w:val="21"/>
                <w:szCs w:val="21"/>
                <w:highlight w:val="none"/>
              </w:rPr>
            </w:pPr>
            <w:r>
              <w:rPr>
                <w:rFonts w:ascii="Times New Roman"/>
                <w:sz w:val="21"/>
                <w:szCs w:val="21"/>
                <w:highlight w:val="none"/>
              </w:rPr>
              <w:t>GB/T7322</w:t>
            </w:r>
          </w:p>
        </w:tc>
      </w:tr>
      <w:tr w14:paraId="74519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12" w:space="0"/>
              <w:bottom w:val="single" w:color="auto" w:sz="4" w:space="0"/>
              <w:right w:val="single" w:color="auto" w:sz="4" w:space="0"/>
            </w:tcBorders>
            <w:vAlign w:val="center"/>
          </w:tcPr>
          <w:p w14:paraId="6D5813CE">
            <w:pPr>
              <w:spacing w:line="240" w:lineRule="auto"/>
              <w:ind w:firstLine="0" w:firstLineChars="0"/>
              <w:rPr>
                <w:rFonts w:ascii="Times New Roman"/>
                <w:sz w:val="21"/>
                <w:szCs w:val="21"/>
                <w:highlight w:val="none"/>
              </w:rPr>
            </w:pPr>
            <w:r>
              <w:rPr>
                <w:rFonts w:hint="eastAsia" w:ascii="Times New Roman"/>
                <w:sz w:val="21"/>
                <w:szCs w:val="21"/>
                <w:highlight w:val="none"/>
              </w:rPr>
              <w:t>4</w:t>
            </w:r>
          </w:p>
        </w:tc>
        <w:tc>
          <w:tcPr>
            <w:tcW w:w="2066" w:type="pct"/>
            <w:gridSpan w:val="2"/>
            <w:tcBorders>
              <w:top w:val="single" w:color="auto" w:sz="4" w:space="0"/>
              <w:left w:val="single" w:color="auto" w:sz="4" w:space="0"/>
              <w:bottom w:val="single" w:color="auto" w:sz="4" w:space="0"/>
              <w:right w:val="single" w:color="auto" w:sz="4" w:space="0"/>
            </w:tcBorders>
            <w:vAlign w:val="center"/>
          </w:tcPr>
          <w:p w14:paraId="30032563">
            <w:pPr>
              <w:spacing w:line="240" w:lineRule="auto"/>
              <w:ind w:firstLine="0" w:firstLineChars="0"/>
              <w:rPr>
                <w:rFonts w:ascii="Times New Roman"/>
                <w:sz w:val="21"/>
                <w:szCs w:val="21"/>
                <w:highlight w:val="none"/>
              </w:rPr>
            </w:pPr>
            <w:r>
              <w:rPr>
                <w:rFonts w:hint="eastAsia" w:ascii="Times New Roman"/>
                <w:sz w:val="21"/>
                <w:szCs w:val="21"/>
                <w:highlight w:val="none"/>
              </w:rPr>
              <w:t>荷重软化开始温度(0.2 MPa，0.6％)</w:t>
            </w:r>
          </w:p>
        </w:tc>
        <w:tc>
          <w:tcPr>
            <w:tcW w:w="718" w:type="pct"/>
            <w:tcBorders>
              <w:top w:val="single" w:color="auto" w:sz="4" w:space="0"/>
              <w:left w:val="single" w:color="auto" w:sz="4" w:space="0"/>
              <w:bottom w:val="single" w:color="auto" w:sz="4" w:space="0"/>
              <w:right w:val="single" w:color="auto" w:sz="4" w:space="0"/>
            </w:tcBorders>
            <w:vAlign w:val="center"/>
          </w:tcPr>
          <w:p w14:paraId="039B8895">
            <w:pPr>
              <w:spacing w:line="240" w:lineRule="auto"/>
              <w:ind w:firstLine="0" w:firstLineChars="0"/>
              <w:rPr>
                <w:rFonts w:ascii="Times New Roman"/>
                <w:sz w:val="21"/>
                <w:szCs w:val="21"/>
                <w:highlight w:val="none"/>
              </w:rPr>
            </w:pPr>
            <w:r>
              <w:rPr>
                <w:rFonts w:hint="eastAsia" w:ascii="Times New Roman"/>
                <w:sz w:val="21"/>
                <w:szCs w:val="21"/>
                <w:highlight w:val="none"/>
              </w:rPr>
              <w:t>℃</w:t>
            </w:r>
          </w:p>
        </w:tc>
        <w:tc>
          <w:tcPr>
            <w:tcW w:w="768" w:type="pct"/>
            <w:tcBorders>
              <w:top w:val="single" w:color="auto" w:sz="4" w:space="0"/>
              <w:left w:val="single" w:color="auto" w:sz="4" w:space="0"/>
              <w:bottom w:val="single" w:color="auto" w:sz="4" w:space="0"/>
              <w:right w:val="single" w:color="auto" w:sz="4" w:space="0"/>
            </w:tcBorders>
            <w:vAlign w:val="center"/>
          </w:tcPr>
          <w:p w14:paraId="6F8F398F">
            <w:pPr>
              <w:spacing w:line="240" w:lineRule="auto"/>
              <w:ind w:firstLine="0" w:firstLineChars="0"/>
              <w:rPr>
                <w:rFonts w:ascii="Times New Roman"/>
                <w:sz w:val="21"/>
                <w:szCs w:val="21"/>
                <w:highlight w:val="none"/>
              </w:rPr>
            </w:pPr>
            <w:r>
              <w:rPr>
                <w:rFonts w:hint="eastAsia" w:ascii="Times New Roman"/>
                <w:sz w:val="21"/>
                <w:szCs w:val="21"/>
                <w:highlight w:val="none"/>
              </w:rPr>
              <w:t>≥</w:t>
            </w:r>
            <w:r>
              <w:rPr>
                <w:rFonts w:ascii="Times New Roman"/>
                <w:sz w:val="21"/>
                <w:szCs w:val="21"/>
                <w:highlight w:val="none"/>
              </w:rPr>
              <w:t>1</w:t>
            </w:r>
            <w:r>
              <w:rPr>
                <w:rFonts w:hint="eastAsia" w:ascii="Times New Roman"/>
                <w:sz w:val="21"/>
                <w:szCs w:val="21"/>
                <w:highlight w:val="none"/>
              </w:rPr>
              <w:t>70</w:t>
            </w:r>
            <w:r>
              <w:rPr>
                <w:rFonts w:ascii="Times New Roman"/>
                <w:sz w:val="21"/>
                <w:szCs w:val="21"/>
                <w:highlight w:val="none"/>
              </w:rPr>
              <w:t>0</w:t>
            </w:r>
          </w:p>
        </w:tc>
        <w:tc>
          <w:tcPr>
            <w:tcW w:w="979" w:type="pct"/>
            <w:tcBorders>
              <w:top w:val="single" w:color="auto" w:sz="4" w:space="0"/>
              <w:left w:val="single" w:color="auto" w:sz="4" w:space="0"/>
              <w:bottom w:val="single" w:color="auto" w:sz="4" w:space="0"/>
              <w:right w:val="single" w:color="auto" w:sz="12" w:space="0"/>
            </w:tcBorders>
            <w:vAlign w:val="center"/>
          </w:tcPr>
          <w:p w14:paraId="60570E8A">
            <w:pPr>
              <w:spacing w:line="240" w:lineRule="auto"/>
              <w:ind w:firstLine="0" w:firstLineChars="0"/>
              <w:rPr>
                <w:rFonts w:ascii="Times New Roman"/>
                <w:sz w:val="21"/>
                <w:szCs w:val="21"/>
                <w:highlight w:val="none"/>
              </w:rPr>
            </w:pPr>
            <w:r>
              <w:rPr>
                <w:rFonts w:hint="eastAsia" w:ascii="Times New Roman"/>
                <w:sz w:val="21"/>
                <w:szCs w:val="21"/>
                <w:highlight w:val="none"/>
              </w:rPr>
              <w:t>G</w:t>
            </w:r>
            <w:r>
              <w:rPr>
                <w:rFonts w:ascii="Times New Roman"/>
                <w:sz w:val="21"/>
                <w:szCs w:val="21"/>
                <w:highlight w:val="none"/>
              </w:rPr>
              <w:t>B/T22459.7</w:t>
            </w:r>
          </w:p>
        </w:tc>
      </w:tr>
      <w:tr w14:paraId="3A31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12" w:space="0"/>
              <w:bottom w:val="single" w:color="auto" w:sz="4" w:space="0"/>
              <w:right w:val="single" w:color="auto" w:sz="4" w:space="0"/>
            </w:tcBorders>
            <w:vAlign w:val="center"/>
          </w:tcPr>
          <w:p w14:paraId="2E00914B">
            <w:pPr>
              <w:spacing w:line="240" w:lineRule="auto"/>
              <w:ind w:firstLine="0" w:firstLineChars="0"/>
              <w:rPr>
                <w:rFonts w:ascii="Times New Roman"/>
                <w:sz w:val="21"/>
                <w:szCs w:val="21"/>
                <w:highlight w:val="none"/>
              </w:rPr>
            </w:pPr>
            <w:r>
              <w:rPr>
                <w:rFonts w:hint="eastAsia" w:ascii="Times New Roman"/>
                <w:sz w:val="21"/>
                <w:szCs w:val="21"/>
                <w:highlight w:val="none"/>
              </w:rPr>
              <w:t>5</w:t>
            </w:r>
          </w:p>
        </w:tc>
        <w:tc>
          <w:tcPr>
            <w:tcW w:w="2066" w:type="pct"/>
            <w:gridSpan w:val="2"/>
            <w:tcBorders>
              <w:top w:val="single" w:color="auto" w:sz="4" w:space="0"/>
              <w:left w:val="single" w:color="auto" w:sz="4" w:space="0"/>
              <w:bottom w:val="single" w:color="auto" w:sz="4" w:space="0"/>
              <w:right w:val="single" w:color="auto" w:sz="4" w:space="0"/>
            </w:tcBorders>
            <w:vAlign w:val="center"/>
          </w:tcPr>
          <w:p w14:paraId="14244D39">
            <w:pPr>
              <w:spacing w:line="240" w:lineRule="auto"/>
              <w:ind w:firstLine="0" w:firstLineChars="0"/>
              <w:rPr>
                <w:rFonts w:ascii="Times New Roman"/>
                <w:sz w:val="21"/>
                <w:szCs w:val="21"/>
                <w:highlight w:val="none"/>
              </w:rPr>
            </w:pPr>
            <w:r>
              <w:rPr>
                <w:rFonts w:hint="eastAsia" w:ascii="Times New Roman"/>
                <w:sz w:val="21"/>
                <w:szCs w:val="21"/>
                <w:highlight w:val="none"/>
              </w:rPr>
              <w:t>粘结抗折强度（1</w:t>
            </w:r>
            <w:r>
              <w:rPr>
                <w:rFonts w:ascii="Times New Roman"/>
                <w:sz w:val="21"/>
                <w:szCs w:val="21"/>
                <w:highlight w:val="none"/>
              </w:rPr>
              <w:t>1</w:t>
            </w:r>
            <w:r>
              <w:rPr>
                <w:rFonts w:hint="eastAsia" w:ascii="Times New Roman"/>
                <w:sz w:val="21"/>
                <w:szCs w:val="21"/>
                <w:highlight w:val="none"/>
              </w:rPr>
              <w:t>0℃×24h干燥后）</w:t>
            </w:r>
          </w:p>
        </w:tc>
        <w:tc>
          <w:tcPr>
            <w:tcW w:w="718" w:type="pct"/>
            <w:tcBorders>
              <w:top w:val="single" w:color="auto" w:sz="4" w:space="0"/>
              <w:left w:val="single" w:color="auto" w:sz="4" w:space="0"/>
              <w:bottom w:val="single" w:color="auto" w:sz="4" w:space="0"/>
              <w:right w:val="single" w:color="auto" w:sz="4" w:space="0"/>
            </w:tcBorders>
            <w:vAlign w:val="center"/>
          </w:tcPr>
          <w:p w14:paraId="7488AF8C">
            <w:pPr>
              <w:spacing w:line="240" w:lineRule="auto"/>
              <w:ind w:firstLine="0" w:firstLineChars="0"/>
              <w:rPr>
                <w:rFonts w:ascii="Times New Roman"/>
                <w:sz w:val="21"/>
                <w:szCs w:val="21"/>
                <w:highlight w:val="none"/>
              </w:rPr>
            </w:pPr>
            <w:r>
              <w:rPr>
                <w:rFonts w:hint="eastAsia" w:ascii="Times New Roman"/>
                <w:sz w:val="21"/>
                <w:szCs w:val="21"/>
                <w:highlight w:val="none"/>
              </w:rPr>
              <w:t>MPa</w:t>
            </w:r>
          </w:p>
        </w:tc>
        <w:tc>
          <w:tcPr>
            <w:tcW w:w="768" w:type="pct"/>
            <w:tcBorders>
              <w:top w:val="single" w:color="auto" w:sz="4" w:space="0"/>
              <w:left w:val="single" w:color="auto" w:sz="4" w:space="0"/>
              <w:bottom w:val="single" w:color="auto" w:sz="4" w:space="0"/>
              <w:right w:val="single" w:color="auto" w:sz="4" w:space="0"/>
            </w:tcBorders>
            <w:vAlign w:val="center"/>
          </w:tcPr>
          <w:p w14:paraId="70256CEF">
            <w:pPr>
              <w:spacing w:line="240" w:lineRule="auto"/>
              <w:ind w:firstLine="0" w:firstLineChars="0"/>
              <w:rPr>
                <w:rFonts w:ascii="Times New Roman"/>
                <w:sz w:val="21"/>
                <w:szCs w:val="21"/>
                <w:highlight w:val="none"/>
              </w:rPr>
            </w:pPr>
            <w:r>
              <w:rPr>
                <w:rFonts w:hint="eastAsia" w:ascii="Times New Roman"/>
                <w:sz w:val="21"/>
                <w:szCs w:val="21"/>
                <w:highlight w:val="none"/>
              </w:rPr>
              <w:t>≥5</w:t>
            </w:r>
          </w:p>
        </w:tc>
        <w:tc>
          <w:tcPr>
            <w:tcW w:w="979" w:type="pct"/>
            <w:tcBorders>
              <w:top w:val="single" w:color="auto" w:sz="4" w:space="0"/>
              <w:left w:val="single" w:color="auto" w:sz="4" w:space="0"/>
              <w:bottom w:val="single" w:color="auto" w:sz="4" w:space="0"/>
              <w:right w:val="single" w:color="auto" w:sz="12" w:space="0"/>
            </w:tcBorders>
            <w:vAlign w:val="center"/>
          </w:tcPr>
          <w:p w14:paraId="0553AF20">
            <w:pPr>
              <w:spacing w:line="240" w:lineRule="auto"/>
              <w:ind w:firstLine="0" w:firstLineChars="0"/>
              <w:rPr>
                <w:rFonts w:ascii="Times New Roman"/>
                <w:sz w:val="21"/>
                <w:szCs w:val="21"/>
                <w:highlight w:val="none"/>
              </w:rPr>
            </w:pPr>
            <w:r>
              <w:rPr>
                <w:rFonts w:hint="eastAsia" w:ascii="Times New Roman"/>
                <w:sz w:val="21"/>
                <w:szCs w:val="21"/>
                <w:highlight w:val="none"/>
              </w:rPr>
              <w:t>G</w:t>
            </w:r>
            <w:r>
              <w:rPr>
                <w:rFonts w:ascii="Times New Roman"/>
                <w:sz w:val="21"/>
                <w:szCs w:val="21"/>
                <w:highlight w:val="none"/>
              </w:rPr>
              <w:t>B/T22459.4</w:t>
            </w:r>
          </w:p>
        </w:tc>
      </w:tr>
      <w:tr w14:paraId="2B223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12" w:space="0"/>
              <w:bottom w:val="single" w:color="auto" w:sz="4" w:space="0"/>
              <w:right w:val="single" w:color="auto" w:sz="4" w:space="0"/>
            </w:tcBorders>
            <w:vAlign w:val="center"/>
          </w:tcPr>
          <w:p w14:paraId="01A291D0">
            <w:pPr>
              <w:spacing w:line="240" w:lineRule="auto"/>
              <w:ind w:firstLine="0" w:firstLineChars="0"/>
              <w:rPr>
                <w:rFonts w:ascii="Times New Roman"/>
                <w:sz w:val="21"/>
                <w:szCs w:val="21"/>
                <w:highlight w:val="none"/>
              </w:rPr>
            </w:pPr>
            <w:r>
              <w:rPr>
                <w:rFonts w:hint="eastAsia" w:ascii="Times New Roman"/>
                <w:sz w:val="21"/>
                <w:szCs w:val="21"/>
                <w:highlight w:val="none"/>
              </w:rPr>
              <w:t>6</w:t>
            </w:r>
          </w:p>
        </w:tc>
        <w:tc>
          <w:tcPr>
            <w:tcW w:w="2066" w:type="pct"/>
            <w:gridSpan w:val="2"/>
            <w:tcBorders>
              <w:top w:val="single" w:color="auto" w:sz="4" w:space="0"/>
              <w:left w:val="single" w:color="auto" w:sz="4" w:space="0"/>
              <w:bottom w:val="single" w:color="auto" w:sz="4" w:space="0"/>
              <w:right w:val="single" w:color="auto" w:sz="4" w:space="0"/>
            </w:tcBorders>
            <w:vAlign w:val="center"/>
          </w:tcPr>
          <w:p w14:paraId="7A27256C">
            <w:pPr>
              <w:spacing w:line="240" w:lineRule="auto"/>
              <w:ind w:firstLine="0" w:firstLineChars="0"/>
              <w:rPr>
                <w:rFonts w:ascii="Times New Roman"/>
                <w:sz w:val="21"/>
                <w:szCs w:val="21"/>
                <w:highlight w:val="none"/>
              </w:rPr>
            </w:pPr>
            <w:r>
              <w:rPr>
                <w:rFonts w:hint="eastAsia" w:ascii="Times New Roman"/>
                <w:sz w:val="21"/>
                <w:szCs w:val="21"/>
                <w:highlight w:val="none"/>
              </w:rPr>
              <w:t>粘结抗折强度（1</w:t>
            </w:r>
            <w:r>
              <w:rPr>
                <w:rFonts w:ascii="Times New Roman"/>
                <w:sz w:val="21"/>
                <w:szCs w:val="21"/>
                <w:highlight w:val="none"/>
              </w:rPr>
              <w:t>50</w:t>
            </w:r>
            <w:r>
              <w:rPr>
                <w:rFonts w:hint="eastAsia" w:ascii="Times New Roman"/>
                <w:sz w:val="21"/>
                <w:szCs w:val="21"/>
                <w:highlight w:val="none"/>
              </w:rPr>
              <w:t>0℃×</w:t>
            </w:r>
            <w:r>
              <w:rPr>
                <w:rFonts w:ascii="Times New Roman"/>
                <w:sz w:val="21"/>
                <w:szCs w:val="21"/>
                <w:highlight w:val="none"/>
              </w:rPr>
              <w:t>3</w:t>
            </w:r>
            <w:r>
              <w:rPr>
                <w:rFonts w:hint="eastAsia" w:ascii="Times New Roman"/>
                <w:sz w:val="21"/>
                <w:szCs w:val="21"/>
                <w:highlight w:val="none"/>
              </w:rPr>
              <w:t>h烧后）</w:t>
            </w:r>
          </w:p>
        </w:tc>
        <w:tc>
          <w:tcPr>
            <w:tcW w:w="718" w:type="pct"/>
            <w:tcBorders>
              <w:top w:val="single" w:color="auto" w:sz="4" w:space="0"/>
              <w:left w:val="single" w:color="auto" w:sz="4" w:space="0"/>
              <w:bottom w:val="single" w:color="auto" w:sz="4" w:space="0"/>
              <w:right w:val="single" w:color="auto" w:sz="4" w:space="0"/>
            </w:tcBorders>
            <w:vAlign w:val="center"/>
          </w:tcPr>
          <w:p w14:paraId="172268FB">
            <w:pPr>
              <w:spacing w:line="240" w:lineRule="auto"/>
              <w:ind w:firstLine="0" w:firstLineChars="0"/>
              <w:rPr>
                <w:rFonts w:ascii="Times New Roman"/>
                <w:sz w:val="21"/>
                <w:szCs w:val="21"/>
                <w:highlight w:val="none"/>
              </w:rPr>
            </w:pPr>
            <w:r>
              <w:rPr>
                <w:rFonts w:hint="eastAsia" w:ascii="Times New Roman"/>
                <w:sz w:val="21"/>
                <w:szCs w:val="21"/>
                <w:highlight w:val="none"/>
              </w:rPr>
              <w:t>MPa</w:t>
            </w:r>
          </w:p>
        </w:tc>
        <w:tc>
          <w:tcPr>
            <w:tcW w:w="768" w:type="pct"/>
            <w:tcBorders>
              <w:top w:val="single" w:color="auto" w:sz="4" w:space="0"/>
              <w:left w:val="single" w:color="auto" w:sz="4" w:space="0"/>
              <w:bottom w:val="single" w:color="auto" w:sz="4" w:space="0"/>
              <w:right w:val="single" w:color="auto" w:sz="4" w:space="0"/>
            </w:tcBorders>
            <w:vAlign w:val="center"/>
          </w:tcPr>
          <w:p w14:paraId="391DA4C8">
            <w:pPr>
              <w:spacing w:line="240" w:lineRule="auto"/>
              <w:ind w:firstLine="0" w:firstLineChars="0"/>
              <w:rPr>
                <w:rFonts w:ascii="Times New Roman"/>
                <w:sz w:val="21"/>
                <w:szCs w:val="21"/>
                <w:highlight w:val="none"/>
              </w:rPr>
            </w:pPr>
            <w:r>
              <w:rPr>
                <w:rFonts w:hint="eastAsia" w:ascii="Times New Roman"/>
                <w:sz w:val="21"/>
                <w:szCs w:val="21"/>
                <w:highlight w:val="none"/>
              </w:rPr>
              <w:t>≥10</w:t>
            </w:r>
          </w:p>
        </w:tc>
        <w:tc>
          <w:tcPr>
            <w:tcW w:w="979" w:type="pct"/>
            <w:tcBorders>
              <w:top w:val="single" w:color="auto" w:sz="4" w:space="0"/>
              <w:left w:val="single" w:color="auto" w:sz="4" w:space="0"/>
              <w:bottom w:val="single" w:color="auto" w:sz="4" w:space="0"/>
              <w:right w:val="single" w:color="auto" w:sz="12" w:space="0"/>
            </w:tcBorders>
            <w:vAlign w:val="center"/>
          </w:tcPr>
          <w:p w14:paraId="6695E2DD">
            <w:pPr>
              <w:spacing w:line="240" w:lineRule="auto"/>
              <w:ind w:firstLine="0" w:firstLineChars="0"/>
              <w:rPr>
                <w:rFonts w:ascii="Times New Roman"/>
                <w:sz w:val="21"/>
                <w:szCs w:val="21"/>
                <w:highlight w:val="none"/>
              </w:rPr>
            </w:pPr>
            <w:r>
              <w:rPr>
                <w:rFonts w:hint="eastAsia" w:ascii="Times New Roman"/>
                <w:sz w:val="21"/>
                <w:szCs w:val="21"/>
                <w:highlight w:val="none"/>
              </w:rPr>
              <w:t>G</w:t>
            </w:r>
            <w:r>
              <w:rPr>
                <w:rFonts w:ascii="Times New Roman"/>
                <w:sz w:val="21"/>
                <w:szCs w:val="21"/>
                <w:highlight w:val="none"/>
              </w:rPr>
              <w:t>B/T22459.4</w:t>
            </w:r>
          </w:p>
        </w:tc>
      </w:tr>
      <w:tr w14:paraId="71229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67" w:type="pct"/>
            <w:vMerge w:val="restart"/>
            <w:tcBorders>
              <w:top w:val="single" w:color="auto" w:sz="4" w:space="0"/>
              <w:left w:val="single" w:color="auto" w:sz="12" w:space="0"/>
              <w:bottom w:val="single" w:color="auto" w:sz="4" w:space="0"/>
              <w:right w:val="single" w:color="auto" w:sz="4" w:space="0"/>
            </w:tcBorders>
            <w:vAlign w:val="center"/>
          </w:tcPr>
          <w:p w14:paraId="5074636B">
            <w:pPr>
              <w:spacing w:line="240" w:lineRule="auto"/>
              <w:ind w:firstLine="0" w:firstLineChars="0"/>
              <w:rPr>
                <w:rFonts w:ascii="Times New Roman"/>
                <w:sz w:val="21"/>
                <w:szCs w:val="21"/>
                <w:highlight w:val="none"/>
              </w:rPr>
            </w:pPr>
            <w:r>
              <w:rPr>
                <w:rFonts w:hint="eastAsia" w:ascii="Times New Roman"/>
                <w:sz w:val="21"/>
                <w:szCs w:val="21"/>
                <w:highlight w:val="none"/>
              </w:rPr>
              <w:t>7</w:t>
            </w:r>
          </w:p>
        </w:tc>
        <w:tc>
          <w:tcPr>
            <w:tcW w:w="898" w:type="pct"/>
            <w:vMerge w:val="restart"/>
            <w:tcBorders>
              <w:top w:val="single" w:color="auto" w:sz="4" w:space="0"/>
              <w:left w:val="single" w:color="auto" w:sz="4" w:space="0"/>
              <w:bottom w:val="single" w:color="auto" w:sz="4" w:space="0"/>
              <w:right w:val="single" w:color="auto" w:sz="4" w:space="0"/>
            </w:tcBorders>
            <w:vAlign w:val="center"/>
          </w:tcPr>
          <w:p w14:paraId="6585A77F">
            <w:pPr>
              <w:spacing w:line="240" w:lineRule="auto"/>
              <w:ind w:firstLine="0" w:firstLineChars="0"/>
              <w:rPr>
                <w:rFonts w:ascii="Times New Roman"/>
                <w:sz w:val="21"/>
                <w:szCs w:val="21"/>
                <w:highlight w:val="none"/>
              </w:rPr>
            </w:pPr>
            <w:r>
              <w:rPr>
                <w:rFonts w:hint="eastAsia" w:ascii="Times New Roman"/>
                <w:sz w:val="21"/>
                <w:szCs w:val="21"/>
                <w:highlight w:val="none"/>
              </w:rPr>
              <w:t>粒度</w:t>
            </w:r>
          </w:p>
        </w:tc>
        <w:tc>
          <w:tcPr>
            <w:tcW w:w="1167" w:type="pct"/>
            <w:tcBorders>
              <w:top w:val="single" w:color="auto" w:sz="4" w:space="0"/>
              <w:left w:val="single" w:color="auto" w:sz="4" w:space="0"/>
              <w:bottom w:val="single" w:color="auto" w:sz="4" w:space="0"/>
              <w:right w:val="single" w:color="auto" w:sz="4" w:space="0"/>
            </w:tcBorders>
            <w:vAlign w:val="center"/>
          </w:tcPr>
          <w:p w14:paraId="710A7C56">
            <w:pPr>
              <w:spacing w:line="240" w:lineRule="auto"/>
              <w:ind w:firstLine="0" w:firstLineChars="0"/>
              <w:rPr>
                <w:rFonts w:ascii="Times New Roman"/>
                <w:sz w:val="21"/>
                <w:szCs w:val="21"/>
                <w:highlight w:val="none"/>
              </w:rPr>
            </w:pPr>
            <w:r>
              <w:rPr>
                <w:rFonts w:hint="eastAsia" w:ascii="Times New Roman"/>
                <w:sz w:val="21"/>
                <w:szCs w:val="21"/>
                <w:highlight w:val="none"/>
              </w:rPr>
              <w:t>＜1mm</w:t>
            </w:r>
          </w:p>
        </w:tc>
        <w:tc>
          <w:tcPr>
            <w:tcW w:w="718" w:type="pct"/>
            <w:tcBorders>
              <w:top w:val="single" w:color="auto" w:sz="4" w:space="0"/>
              <w:left w:val="single" w:color="auto" w:sz="4" w:space="0"/>
              <w:bottom w:val="single" w:color="auto" w:sz="4" w:space="0"/>
              <w:right w:val="single" w:color="auto" w:sz="4" w:space="0"/>
            </w:tcBorders>
            <w:vAlign w:val="center"/>
          </w:tcPr>
          <w:p w14:paraId="1ABEB3F3">
            <w:pPr>
              <w:spacing w:line="240" w:lineRule="auto"/>
              <w:ind w:firstLine="0" w:firstLineChars="0"/>
              <w:rPr>
                <w:rFonts w:ascii="Times New Roman"/>
                <w:sz w:val="21"/>
                <w:szCs w:val="21"/>
                <w:highlight w:val="none"/>
              </w:rPr>
            </w:pPr>
            <w:r>
              <w:rPr>
                <w:rFonts w:hint="eastAsia" w:ascii="Times New Roman"/>
                <w:sz w:val="21"/>
                <w:szCs w:val="21"/>
                <w:highlight w:val="none"/>
              </w:rPr>
              <w:t>％</w:t>
            </w:r>
          </w:p>
        </w:tc>
        <w:tc>
          <w:tcPr>
            <w:tcW w:w="768" w:type="pct"/>
            <w:tcBorders>
              <w:top w:val="single" w:color="auto" w:sz="4" w:space="0"/>
              <w:left w:val="single" w:color="auto" w:sz="4" w:space="0"/>
              <w:bottom w:val="single" w:color="auto" w:sz="4" w:space="0"/>
              <w:right w:val="single" w:color="auto" w:sz="4" w:space="0"/>
            </w:tcBorders>
            <w:vAlign w:val="center"/>
          </w:tcPr>
          <w:p w14:paraId="5A4A6BAE">
            <w:pPr>
              <w:spacing w:line="240" w:lineRule="auto"/>
              <w:ind w:firstLine="0" w:firstLineChars="0"/>
              <w:rPr>
                <w:rFonts w:ascii="Times New Roman"/>
                <w:sz w:val="21"/>
                <w:szCs w:val="21"/>
                <w:highlight w:val="none"/>
              </w:rPr>
            </w:pPr>
            <w:r>
              <w:rPr>
                <w:rFonts w:hint="eastAsia" w:ascii="Times New Roman"/>
                <w:sz w:val="21"/>
                <w:szCs w:val="21"/>
                <w:highlight w:val="none"/>
              </w:rPr>
              <w:t>1</w:t>
            </w:r>
            <w:r>
              <w:rPr>
                <w:rFonts w:ascii="Times New Roman"/>
                <w:sz w:val="21"/>
                <w:szCs w:val="21"/>
                <w:highlight w:val="none"/>
              </w:rPr>
              <w:t>00</w:t>
            </w:r>
          </w:p>
        </w:tc>
        <w:tc>
          <w:tcPr>
            <w:tcW w:w="979" w:type="pct"/>
            <w:tcBorders>
              <w:top w:val="single" w:color="auto" w:sz="4" w:space="0"/>
              <w:left w:val="single" w:color="auto" w:sz="4" w:space="0"/>
              <w:bottom w:val="single" w:color="auto" w:sz="4" w:space="0"/>
              <w:right w:val="single" w:color="auto" w:sz="12" w:space="0"/>
            </w:tcBorders>
          </w:tcPr>
          <w:p w14:paraId="191EC07E">
            <w:pPr>
              <w:spacing w:line="240" w:lineRule="auto"/>
              <w:ind w:firstLine="0" w:firstLineChars="0"/>
              <w:rPr>
                <w:rFonts w:ascii="Times New Roman"/>
                <w:sz w:val="21"/>
                <w:szCs w:val="21"/>
                <w:highlight w:val="none"/>
              </w:rPr>
            </w:pPr>
            <w:r>
              <w:rPr>
                <w:rFonts w:hint="eastAsia" w:ascii="Times New Roman"/>
                <w:sz w:val="21"/>
                <w:szCs w:val="21"/>
                <w:highlight w:val="none"/>
              </w:rPr>
              <w:t>G</w:t>
            </w:r>
            <w:r>
              <w:rPr>
                <w:rFonts w:ascii="Times New Roman"/>
                <w:sz w:val="21"/>
                <w:szCs w:val="21"/>
                <w:highlight w:val="none"/>
              </w:rPr>
              <w:t>B/T22459.5</w:t>
            </w:r>
          </w:p>
        </w:tc>
      </w:tr>
      <w:tr w14:paraId="12D6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Merge w:val="continue"/>
            <w:tcBorders>
              <w:top w:val="single" w:color="auto" w:sz="4" w:space="0"/>
              <w:left w:val="single" w:color="auto" w:sz="12" w:space="0"/>
              <w:bottom w:val="single" w:color="auto" w:sz="4" w:space="0"/>
              <w:right w:val="single" w:color="auto" w:sz="4" w:space="0"/>
            </w:tcBorders>
            <w:vAlign w:val="center"/>
          </w:tcPr>
          <w:p w14:paraId="04D982DA">
            <w:pPr>
              <w:spacing w:line="240" w:lineRule="auto"/>
              <w:ind w:firstLine="0" w:firstLineChars="0"/>
              <w:rPr>
                <w:rFonts w:ascii="Times New Roman"/>
                <w:sz w:val="21"/>
                <w:szCs w:val="21"/>
                <w:highlight w:val="none"/>
              </w:rPr>
            </w:pPr>
          </w:p>
        </w:tc>
        <w:tc>
          <w:tcPr>
            <w:tcW w:w="898" w:type="pct"/>
            <w:vMerge w:val="continue"/>
            <w:tcBorders>
              <w:top w:val="single" w:color="auto" w:sz="4" w:space="0"/>
              <w:left w:val="single" w:color="auto" w:sz="4" w:space="0"/>
              <w:bottom w:val="single" w:color="auto" w:sz="4" w:space="0"/>
              <w:right w:val="single" w:color="auto" w:sz="4" w:space="0"/>
            </w:tcBorders>
            <w:vAlign w:val="center"/>
          </w:tcPr>
          <w:p w14:paraId="173B198B">
            <w:pPr>
              <w:spacing w:line="240" w:lineRule="auto"/>
              <w:ind w:firstLine="0" w:firstLineChars="0"/>
              <w:rPr>
                <w:rFonts w:ascii="Times New Roman"/>
                <w:sz w:val="21"/>
                <w:szCs w:val="21"/>
                <w:highlight w:val="none"/>
              </w:rPr>
            </w:pPr>
          </w:p>
        </w:tc>
        <w:tc>
          <w:tcPr>
            <w:tcW w:w="1167" w:type="pct"/>
            <w:tcBorders>
              <w:top w:val="single" w:color="auto" w:sz="4" w:space="0"/>
              <w:left w:val="single" w:color="auto" w:sz="4" w:space="0"/>
              <w:bottom w:val="single" w:color="auto" w:sz="4" w:space="0"/>
              <w:right w:val="single" w:color="auto" w:sz="4" w:space="0"/>
            </w:tcBorders>
            <w:vAlign w:val="center"/>
          </w:tcPr>
          <w:p w14:paraId="20C10B97">
            <w:pPr>
              <w:spacing w:line="240" w:lineRule="auto"/>
              <w:ind w:firstLine="0" w:firstLineChars="0"/>
              <w:rPr>
                <w:rFonts w:ascii="Times New Roman"/>
                <w:sz w:val="21"/>
                <w:szCs w:val="21"/>
                <w:highlight w:val="none"/>
              </w:rPr>
            </w:pPr>
            <w:r>
              <w:rPr>
                <w:rFonts w:hint="eastAsia" w:ascii="Times New Roman"/>
                <w:sz w:val="21"/>
                <w:szCs w:val="21"/>
                <w:highlight w:val="none"/>
              </w:rPr>
              <w:t>0.5～1mm</w:t>
            </w:r>
          </w:p>
        </w:tc>
        <w:tc>
          <w:tcPr>
            <w:tcW w:w="718" w:type="pct"/>
            <w:tcBorders>
              <w:top w:val="single" w:color="auto" w:sz="4" w:space="0"/>
              <w:left w:val="single" w:color="auto" w:sz="4" w:space="0"/>
              <w:bottom w:val="single" w:color="auto" w:sz="4" w:space="0"/>
              <w:right w:val="single" w:color="auto" w:sz="4" w:space="0"/>
            </w:tcBorders>
            <w:vAlign w:val="center"/>
          </w:tcPr>
          <w:p w14:paraId="1F647940">
            <w:pPr>
              <w:spacing w:line="240" w:lineRule="auto"/>
              <w:ind w:firstLine="0" w:firstLineChars="0"/>
              <w:rPr>
                <w:rFonts w:ascii="Times New Roman"/>
                <w:sz w:val="21"/>
                <w:szCs w:val="21"/>
                <w:highlight w:val="none"/>
              </w:rPr>
            </w:pPr>
            <w:r>
              <w:rPr>
                <w:rFonts w:hint="eastAsia" w:ascii="Times New Roman"/>
                <w:sz w:val="21"/>
                <w:szCs w:val="21"/>
                <w:highlight w:val="none"/>
              </w:rPr>
              <w:t>％</w:t>
            </w:r>
          </w:p>
        </w:tc>
        <w:tc>
          <w:tcPr>
            <w:tcW w:w="768" w:type="pct"/>
            <w:tcBorders>
              <w:top w:val="single" w:color="auto" w:sz="4" w:space="0"/>
              <w:left w:val="single" w:color="auto" w:sz="4" w:space="0"/>
              <w:bottom w:val="single" w:color="auto" w:sz="4" w:space="0"/>
              <w:right w:val="single" w:color="auto" w:sz="4" w:space="0"/>
            </w:tcBorders>
            <w:vAlign w:val="center"/>
          </w:tcPr>
          <w:p w14:paraId="698479B6">
            <w:pPr>
              <w:spacing w:line="240" w:lineRule="auto"/>
              <w:ind w:firstLine="0" w:firstLineChars="0"/>
              <w:rPr>
                <w:rFonts w:ascii="Times New Roman"/>
                <w:sz w:val="21"/>
                <w:szCs w:val="21"/>
                <w:highlight w:val="none"/>
              </w:rPr>
            </w:pPr>
            <w:r>
              <w:rPr>
                <w:rFonts w:hint="eastAsia" w:ascii="Times New Roman"/>
                <w:sz w:val="21"/>
                <w:szCs w:val="21"/>
                <w:highlight w:val="none"/>
              </w:rPr>
              <w:t>≤1</w:t>
            </w:r>
            <w:r>
              <w:rPr>
                <w:rFonts w:ascii="Times New Roman"/>
                <w:sz w:val="21"/>
                <w:szCs w:val="21"/>
                <w:highlight w:val="none"/>
              </w:rPr>
              <w:t>.0</w:t>
            </w:r>
          </w:p>
        </w:tc>
        <w:tc>
          <w:tcPr>
            <w:tcW w:w="979" w:type="pct"/>
            <w:tcBorders>
              <w:top w:val="single" w:color="auto" w:sz="4" w:space="0"/>
              <w:left w:val="single" w:color="auto" w:sz="4" w:space="0"/>
              <w:bottom w:val="single" w:color="auto" w:sz="4" w:space="0"/>
              <w:right w:val="single" w:color="auto" w:sz="12" w:space="0"/>
            </w:tcBorders>
          </w:tcPr>
          <w:p w14:paraId="4D8E24AC">
            <w:pPr>
              <w:spacing w:line="240" w:lineRule="auto"/>
              <w:ind w:firstLine="0" w:firstLineChars="0"/>
              <w:rPr>
                <w:rFonts w:ascii="Times New Roman"/>
                <w:sz w:val="21"/>
                <w:szCs w:val="21"/>
                <w:highlight w:val="none"/>
              </w:rPr>
            </w:pPr>
            <w:r>
              <w:rPr>
                <w:rFonts w:hint="eastAsia" w:ascii="Times New Roman"/>
                <w:sz w:val="21"/>
                <w:szCs w:val="21"/>
                <w:highlight w:val="none"/>
              </w:rPr>
              <w:t>G</w:t>
            </w:r>
            <w:r>
              <w:rPr>
                <w:rFonts w:ascii="Times New Roman"/>
                <w:sz w:val="21"/>
                <w:szCs w:val="21"/>
                <w:highlight w:val="none"/>
              </w:rPr>
              <w:t>B/T22459.5</w:t>
            </w:r>
          </w:p>
        </w:tc>
      </w:tr>
      <w:tr w14:paraId="24DA9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Merge w:val="continue"/>
            <w:tcBorders>
              <w:top w:val="single" w:color="auto" w:sz="4" w:space="0"/>
              <w:left w:val="single" w:color="auto" w:sz="12" w:space="0"/>
              <w:bottom w:val="single" w:color="auto" w:sz="4" w:space="0"/>
              <w:right w:val="single" w:color="auto" w:sz="4" w:space="0"/>
            </w:tcBorders>
            <w:vAlign w:val="center"/>
          </w:tcPr>
          <w:p w14:paraId="3ED118F6">
            <w:pPr>
              <w:spacing w:line="240" w:lineRule="auto"/>
              <w:ind w:firstLine="0" w:firstLineChars="0"/>
              <w:rPr>
                <w:rFonts w:ascii="Times New Roman"/>
                <w:sz w:val="21"/>
                <w:szCs w:val="21"/>
                <w:highlight w:val="none"/>
              </w:rPr>
            </w:pPr>
          </w:p>
        </w:tc>
        <w:tc>
          <w:tcPr>
            <w:tcW w:w="898" w:type="pct"/>
            <w:vMerge w:val="continue"/>
            <w:tcBorders>
              <w:top w:val="single" w:color="auto" w:sz="4" w:space="0"/>
              <w:left w:val="single" w:color="auto" w:sz="4" w:space="0"/>
              <w:bottom w:val="single" w:color="auto" w:sz="4" w:space="0"/>
              <w:right w:val="single" w:color="auto" w:sz="4" w:space="0"/>
            </w:tcBorders>
            <w:vAlign w:val="center"/>
          </w:tcPr>
          <w:p w14:paraId="2A4489F2">
            <w:pPr>
              <w:spacing w:line="240" w:lineRule="auto"/>
              <w:ind w:firstLine="0" w:firstLineChars="0"/>
              <w:rPr>
                <w:rFonts w:ascii="Times New Roman"/>
                <w:sz w:val="21"/>
                <w:szCs w:val="21"/>
                <w:highlight w:val="none"/>
              </w:rPr>
            </w:pPr>
          </w:p>
        </w:tc>
        <w:tc>
          <w:tcPr>
            <w:tcW w:w="1167" w:type="pct"/>
            <w:tcBorders>
              <w:top w:val="single" w:color="auto" w:sz="4" w:space="0"/>
              <w:left w:val="single" w:color="auto" w:sz="4" w:space="0"/>
              <w:bottom w:val="single" w:color="auto" w:sz="4" w:space="0"/>
              <w:right w:val="single" w:color="auto" w:sz="4" w:space="0"/>
            </w:tcBorders>
            <w:vAlign w:val="center"/>
          </w:tcPr>
          <w:p w14:paraId="48F71020">
            <w:pPr>
              <w:spacing w:line="240" w:lineRule="auto"/>
              <w:ind w:firstLine="0" w:firstLineChars="0"/>
              <w:rPr>
                <w:rFonts w:ascii="Times New Roman"/>
                <w:sz w:val="21"/>
                <w:szCs w:val="21"/>
                <w:highlight w:val="none"/>
              </w:rPr>
            </w:pPr>
            <w:r>
              <w:rPr>
                <w:rFonts w:hint="eastAsia" w:ascii="Times New Roman"/>
                <w:sz w:val="21"/>
                <w:szCs w:val="21"/>
                <w:highlight w:val="none"/>
              </w:rPr>
              <w:t>&lt;0.076mm</w:t>
            </w:r>
          </w:p>
        </w:tc>
        <w:tc>
          <w:tcPr>
            <w:tcW w:w="718" w:type="pct"/>
            <w:tcBorders>
              <w:top w:val="single" w:color="auto" w:sz="4" w:space="0"/>
              <w:left w:val="single" w:color="auto" w:sz="4" w:space="0"/>
              <w:bottom w:val="single" w:color="auto" w:sz="4" w:space="0"/>
              <w:right w:val="single" w:color="auto" w:sz="4" w:space="0"/>
            </w:tcBorders>
            <w:vAlign w:val="center"/>
          </w:tcPr>
          <w:p w14:paraId="6EB40F6E">
            <w:pPr>
              <w:spacing w:line="240" w:lineRule="auto"/>
              <w:ind w:firstLine="0" w:firstLineChars="0"/>
              <w:rPr>
                <w:rFonts w:ascii="Times New Roman"/>
                <w:sz w:val="21"/>
                <w:szCs w:val="21"/>
                <w:highlight w:val="none"/>
              </w:rPr>
            </w:pPr>
            <w:r>
              <w:rPr>
                <w:rFonts w:hint="eastAsia" w:ascii="Times New Roman"/>
                <w:sz w:val="21"/>
                <w:szCs w:val="21"/>
                <w:highlight w:val="none"/>
              </w:rPr>
              <w:t>％</w:t>
            </w:r>
          </w:p>
        </w:tc>
        <w:tc>
          <w:tcPr>
            <w:tcW w:w="768" w:type="pct"/>
            <w:tcBorders>
              <w:top w:val="single" w:color="auto" w:sz="4" w:space="0"/>
              <w:left w:val="single" w:color="auto" w:sz="4" w:space="0"/>
              <w:bottom w:val="single" w:color="auto" w:sz="4" w:space="0"/>
              <w:right w:val="single" w:color="auto" w:sz="4" w:space="0"/>
            </w:tcBorders>
            <w:vAlign w:val="center"/>
          </w:tcPr>
          <w:p w14:paraId="5B5DD8F9">
            <w:pPr>
              <w:spacing w:line="240" w:lineRule="auto"/>
              <w:ind w:firstLine="0" w:firstLineChars="0"/>
              <w:rPr>
                <w:rFonts w:ascii="Times New Roman"/>
                <w:sz w:val="21"/>
                <w:szCs w:val="21"/>
                <w:highlight w:val="none"/>
              </w:rPr>
            </w:pPr>
            <w:r>
              <w:rPr>
                <w:rFonts w:hint="eastAsia" w:ascii="Times New Roman"/>
                <w:sz w:val="21"/>
                <w:szCs w:val="21"/>
                <w:highlight w:val="none"/>
              </w:rPr>
              <w:t>≥50</w:t>
            </w:r>
          </w:p>
        </w:tc>
        <w:tc>
          <w:tcPr>
            <w:tcW w:w="979" w:type="pct"/>
            <w:tcBorders>
              <w:top w:val="single" w:color="auto" w:sz="4" w:space="0"/>
              <w:left w:val="single" w:color="auto" w:sz="4" w:space="0"/>
              <w:bottom w:val="single" w:color="auto" w:sz="4" w:space="0"/>
              <w:right w:val="single" w:color="auto" w:sz="12" w:space="0"/>
            </w:tcBorders>
          </w:tcPr>
          <w:p w14:paraId="05DEDB17">
            <w:pPr>
              <w:spacing w:line="240" w:lineRule="auto"/>
              <w:ind w:firstLine="0" w:firstLineChars="0"/>
              <w:rPr>
                <w:rFonts w:ascii="Times New Roman"/>
                <w:sz w:val="21"/>
                <w:szCs w:val="21"/>
                <w:highlight w:val="none"/>
              </w:rPr>
            </w:pPr>
            <w:r>
              <w:rPr>
                <w:rFonts w:hint="eastAsia" w:ascii="Times New Roman"/>
                <w:sz w:val="21"/>
                <w:szCs w:val="21"/>
                <w:highlight w:val="none"/>
              </w:rPr>
              <w:t>G</w:t>
            </w:r>
            <w:r>
              <w:rPr>
                <w:rFonts w:ascii="Times New Roman"/>
                <w:sz w:val="21"/>
                <w:szCs w:val="21"/>
                <w:highlight w:val="none"/>
              </w:rPr>
              <w:t>B/T22459.5</w:t>
            </w:r>
          </w:p>
        </w:tc>
      </w:tr>
      <w:tr w14:paraId="46978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12" w:space="0"/>
              <w:bottom w:val="single" w:color="auto" w:sz="4" w:space="0"/>
              <w:right w:val="single" w:color="auto" w:sz="4" w:space="0"/>
            </w:tcBorders>
            <w:vAlign w:val="center"/>
          </w:tcPr>
          <w:p w14:paraId="5400E514">
            <w:pPr>
              <w:spacing w:line="240" w:lineRule="auto"/>
              <w:ind w:firstLine="0" w:firstLineChars="0"/>
              <w:rPr>
                <w:rFonts w:ascii="Times New Roman"/>
                <w:sz w:val="21"/>
                <w:szCs w:val="21"/>
                <w:highlight w:val="none"/>
              </w:rPr>
            </w:pPr>
            <w:r>
              <w:rPr>
                <w:rFonts w:hint="eastAsia" w:ascii="Times New Roman"/>
                <w:sz w:val="21"/>
                <w:szCs w:val="21"/>
                <w:highlight w:val="none"/>
              </w:rPr>
              <w:t>8</w:t>
            </w:r>
          </w:p>
        </w:tc>
        <w:tc>
          <w:tcPr>
            <w:tcW w:w="2066" w:type="pct"/>
            <w:gridSpan w:val="2"/>
            <w:tcBorders>
              <w:top w:val="single" w:color="auto" w:sz="4" w:space="0"/>
              <w:left w:val="single" w:color="auto" w:sz="4" w:space="0"/>
              <w:bottom w:val="single" w:color="auto" w:sz="4" w:space="0"/>
              <w:right w:val="single" w:color="auto" w:sz="4" w:space="0"/>
            </w:tcBorders>
            <w:vAlign w:val="center"/>
          </w:tcPr>
          <w:p w14:paraId="7B636C17">
            <w:pPr>
              <w:spacing w:line="240" w:lineRule="auto"/>
              <w:ind w:firstLine="0" w:firstLineChars="0"/>
              <w:rPr>
                <w:rFonts w:ascii="Times New Roman"/>
                <w:sz w:val="21"/>
                <w:szCs w:val="21"/>
                <w:highlight w:val="none"/>
              </w:rPr>
            </w:pPr>
            <w:r>
              <w:rPr>
                <w:rFonts w:hint="eastAsia" w:ascii="Times New Roman"/>
                <w:sz w:val="21"/>
                <w:szCs w:val="21"/>
                <w:highlight w:val="none"/>
              </w:rPr>
              <w:t>粘结时间</w:t>
            </w:r>
          </w:p>
        </w:tc>
        <w:tc>
          <w:tcPr>
            <w:tcW w:w="718" w:type="pct"/>
            <w:tcBorders>
              <w:top w:val="single" w:color="auto" w:sz="4" w:space="0"/>
              <w:left w:val="single" w:color="auto" w:sz="4" w:space="0"/>
              <w:bottom w:val="single" w:color="auto" w:sz="4" w:space="0"/>
              <w:right w:val="single" w:color="auto" w:sz="4" w:space="0"/>
            </w:tcBorders>
            <w:vAlign w:val="center"/>
          </w:tcPr>
          <w:p w14:paraId="32303AED">
            <w:pPr>
              <w:spacing w:line="240" w:lineRule="auto"/>
              <w:ind w:firstLine="0" w:firstLineChars="0"/>
              <w:rPr>
                <w:rFonts w:ascii="Times New Roman"/>
                <w:sz w:val="21"/>
                <w:szCs w:val="21"/>
                <w:highlight w:val="none"/>
              </w:rPr>
            </w:pPr>
            <w:r>
              <w:rPr>
                <w:rFonts w:ascii="Times New Roman"/>
                <w:sz w:val="21"/>
                <w:szCs w:val="21"/>
                <w:highlight w:val="none"/>
              </w:rPr>
              <w:t>m</w:t>
            </w:r>
            <w:r>
              <w:rPr>
                <w:rFonts w:hint="eastAsia" w:ascii="Times New Roman"/>
                <w:sz w:val="21"/>
                <w:szCs w:val="21"/>
                <w:highlight w:val="none"/>
              </w:rPr>
              <w:t>in</w:t>
            </w:r>
          </w:p>
        </w:tc>
        <w:tc>
          <w:tcPr>
            <w:tcW w:w="768" w:type="pct"/>
            <w:tcBorders>
              <w:top w:val="single" w:color="auto" w:sz="4" w:space="0"/>
              <w:left w:val="single" w:color="auto" w:sz="4" w:space="0"/>
              <w:bottom w:val="single" w:color="auto" w:sz="4" w:space="0"/>
              <w:right w:val="single" w:color="auto" w:sz="4" w:space="0"/>
            </w:tcBorders>
            <w:vAlign w:val="center"/>
          </w:tcPr>
          <w:p w14:paraId="7B0DDF2C">
            <w:pPr>
              <w:spacing w:line="240" w:lineRule="auto"/>
              <w:ind w:firstLine="0" w:firstLineChars="0"/>
              <w:rPr>
                <w:rFonts w:ascii="Times New Roman"/>
                <w:sz w:val="21"/>
                <w:szCs w:val="21"/>
                <w:highlight w:val="none"/>
              </w:rPr>
            </w:pPr>
            <w:r>
              <w:rPr>
                <w:rFonts w:ascii="Times New Roman"/>
                <w:sz w:val="21"/>
                <w:szCs w:val="21"/>
                <w:highlight w:val="none"/>
              </w:rPr>
              <w:t>1</w:t>
            </w:r>
            <w:r>
              <w:rPr>
                <w:rFonts w:hint="eastAsia" w:ascii="Times New Roman"/>
                <w:sz w:val="21"/>
                <w:szCs w:val="21"/>
                <w:highlight w:val="none"/>
              </w:rPr>
              <w:t>～2</w:t>
            </w:r>
          </w:p>
        </w:tc>
        <w:tc>
          <w:tcPr>
            <w:tcW w:w="979" w:type="pct"/>
            <w:tcBorders>
              <w:top w:val="single" w:color="auto" w:sz="4" w:space="0"/>
              <w:left w:val="single" w:color="auto" w:sz="4" w:space="0"/>
              <w:bottom w:val="single" w:color="auto" w:sz="4" w:space="0"/>
              <w:right w:val="single" w:color="auto" w:sz="12" w:space="0"/>
            </w:tcBorders>
            <w:vAlign w:val="center"/>
          </w:tcPr>
          <w:p w14:paraId="47C7268D">
            <w:pPr>
              <w:spacing w:line="240" w:lineRule="auto"/>
              <w:ind w:firstLine="0" w:firstLineChars="0"/>
              <w:rPr>
                <w:rFonts w:ascii="Times New Roman"/>
                <w:sz w:val="21"/>
                <w:szCs w:val="21"/>
                <w:highlight w:val="none"/>
              </w:rPr>
            </w:pPr>
            <w:r>
              <w:rPr>
                <w:rFonts w:hint="eastAsia" w:ascii="Times New Roman"/>
                <w:sz w:val="21"/>
                <w:szCs w:val="21"/>
                <w:highlight w:val="none"/>
              </w:rPr>
              <w:t>G</w:t>
            </w:r>
            <w:r>
              <w:rPr>
                <w:rFonts w:ascii="Times New Roman"/>
                <w:sz w:val="21"/>
                <w:szCs w:val="21"/>
                <w:highlight w:val="none"/>
              </w:rPr>
              <w:t>B/T22459.3</w:t>
            </w:r>
          </w:p>
        </w:tc>
      </w:tr>
      <w:tr w14:paraId="6C6A7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pct"/>
            <w:tcBorders>
              <w:top w:val="single" w:color="auto" w:sz="4" w:space="0"/>
              <w:left w:val="single" w:color="auto" w:sz="12" w:space="0"/>
              <w:bottom w:val="single" w:color="auto" w:sz="4" w:space="0"/>
              <w:right w:val="single" w:color="auto" w:sz="4" w:space="0"/>
            </w:tcBorders>
            <w:vAlign w:val="center"/>
          </w:tcPr>
          <w:p w14:paraId="1FF5F3E1">
            <w:pPr>
              <w:spacing w:line="240" w:lineRule="auto"/>
              <w:ind w:firstLine="0" w:firstLineChars="0"/>
              <w:rPr>
                <w:rFonts w:ascii="Times New Roman"/>
                <w:sz w:val="21"/>
                <w:szCs w:val="21"/>
                <w:highlight w:val="none"/>
              </w:rPr>
            </w:pPr>
            <w:r>
              <w:rPr>
                <w:rFonts w:hint="eastAsia" w:ascii="Times New Roman"/>
                <w:sz w:val="21"/>
                <w:szCs w:val="21"/>
                <w:highlight w:val="none"/>
              </w:rPr>
              <w:t>9</w:t>
            </w:r>
          </w:p>
        </w:tc>
        <w:tc>
          <w:tcPr>
            <w:tcW w:w="2066" w:type="pct"/>
            <w:gridSpan w:val="2"/>
            <w:tcBorders>
              <w:top w:val="single" w:color="auto" w:sz="4" w:space="0"/>
              <w:left w:val="single" w:color="auto" w:sz="4" w:space="0"/>
              <w:bottom w:val="single" w:color="auto" w:sz="4" w:space="0"/>
              <w:right w:val="single" w:color="auto" w:sz="4" w:space="0"/>
            </w:tcBorders>
            <w:vAlign w:val="center"/>
          </w:tcPr>
          <w:p w14:paraId="17E14C0E">
            <w:pPr>
              <w:spacing w:line="240" w:lineRule="auto"/>
              <w:ind w:firstLine="0" w:firstLineChars="0"/>
              <w:rPr>
                <w:rFonts w:ascii="Times New Roman"/>
                <w:sz w:val="21"/>
                <w:szCs w:val="21"/>
                <w:highlight w:val="none"/>
              </w:rPr>
            </w:pPr>
            <w:r>
              <w:rPr>
                <w:rFonts w:hint="eastAsia" w:ascii="Times New Roman"/>
                <w:sz w:val="21"/>
                <w:szCs w:val="21"/>
                <w:highlight w:val="none"/>
              </w:rPr>
              <w:t>重烧线变化率 1500℃×3h烧后</w:t>
            </w:r>
          </w:p>
        </w:tc>
        <w:tc>
          <w:tcPr>
            <w:tcW w:w="718" w:type="pct"/>
            <w:tcBorders>
              <w:top w:val="single" w:color="auto" w:sz="4" w:space="0"/>
              <w:left w:val="single" w:color="auto" w:sz="4" w:space="0"/>
              <w:bottom w:val="single" w:color="auto" w:sz="4" w:space="0"/>
              <w:right w:val="single" w:color="auto" w:sz="4" w:space="0"/>
            </w:tcBorders>
            <w:vAlign w:val="center"/>
          </w:tcPr>
          <w:p w14:paraId="305DC542">
            <w:pPr>
              <w:spacing w:line="240" w:lineRule="auto"/>
              <w:ind w:firstLine="0" w:firstLineChars="0"/>
              <w:rPr>
                <w:rFonts w:ascii="Times New Roman"/>
                <w:sz w:val="21"/>
                <w:szCs w:val="21"/>
                <w:highlight w:val="none"/>
              </w:rPr>
            </w:pPr>
            <w:r>
              <w:rPr>
                <w:rFonts w:hint="eastAsia" w:ascii="Times New Roman"/>
                <w:sz w:val="21"/>
                <w:szCs w:val="21"/>
                <w:highlight w:val="none"/>
              </w:rPr>
              <w:t>％</w:t>
            </w:r>
          </w:p>
        </w:tc>
        <w:tc>
          <w:tcPr>
            <w:tcW w:w="768" w:type="pct"/>
            <w:tcBorders>
              <w:top w:val="single" w:color="auto" w:sz="4" w:space="0"/>
              <w:left w:val="single" w:color="auto" w:sz="4" w:space="0"/>
              <w:bottom w:val="single" w:color="auto" w:sz="4" w:space="0"/>
              <w:right w:val="single" w:color="auto" w:sz="4" w:space="0"/>
            </w:tcBorders>
            <w:vAlign w:val="center"/>
          </w:tcPr>
          <w:p w14:paraId="3D036C01">
            <w:pPr>
              <w:spacing w:line="240" w:lineRule="auto"/>
              <w:ind w:firstLine="0" w:firstLineChars="0"/>
              <w:rPr>
                <w:rFonts w:ascii="Times New Roman"/>
                <w:sz w:val="21"/>
                <w:szCs w:val="21"/>
                <w:highlight w:val="none"/>
              </w:rPr>
            </w:pPr>
            <w:r>
              <w:rPr>
                <w:rFonts w:ascii="Times New Roman"/>
                <w:sz w:val="21"/>
                <w:szCs w:val="21"/>
                <w:highlight w:val="none"/>
              </w:rPr>
              <w:t>-</w:t>
            </w:r>
            <w:r>
              <w:rPr>
                <w:rFonts w:hint="eastAsia" w:ascii="Times New Roman"/>
                <w:sz w:val="21"/>
                <w:szCs w:val="21"/>
                <w:highlight w:val="none"/>
              </w:rPr>
              <w:t>0.5～</w:t>
            </w:r>
            <w:r>
              <w:rPr>
                <w:rFonts w:ascii="Times New Roman"/>
                <w:sz w:val="21"/>
                <w:szCs w:val="21"/>
                <w:highlight w:val="none"/>
              </w:rPr>
              <w:t>+</w:t>
            </w:r>
            <w:r>
              <w:rPr>
                <w:rFonts w:hint="eastAsia" w:ascii="Times New Roman"/>
                <w:sz w:val="21"/>
                <w:szCs w:val="21"/>
                <w:highlight w:val="none"/>
              </w:rPr>
              <w:t>0.5</w:t>
            </w:r>
          </w:p>
        </w:tc>
        <w:tc>
          <w:tcPr>
            <w:tcW w:w="979" w:type="pct"/>
            <w:tcBorders>
              <w:top w:val="single" w:color="auto" w:sz="4" w:space="0"/>
              <w:left w:val="single" w:color="auto" w:sz="4" w:space="0"/>
              <w:bottom w:val="single" w:color="auto" w:sz="4" w:space="0"/>
              <w:right w:val="single" w:color="auto" w:sz="12" w:space="0"/>
            </w:tcBorders>
            <w:vAlign w:val="center"/>
          </w:tcPr>
          <w:p w14:paraId="21F8CBE9">
            <w:pPr>
              <w:spacing w:line="240" w:lineRule="auto"/>
              <w:ind w:firstLine="0" w:firstLineChars="0"/>
              <w:rPr>
                <w:rFonts w:ascii="Times New Roman"/>
                <w:sz w:val="21"/>
                <w:szCs w:val="21"/>
                <w:highlight w:val="none"/>
              </w:rPr>
            </w:pPr>
            <w:r>
              <w:rPr>
                <w:rFonts w:hint="eastAsia" w:ascii="Times New Roman"/>
                <w:sz w:val="21"/>
                <w:szCs w:val="21"/>
                <w:highlight w:val="none"/>
              </w:rPr>
              <w:t>G</w:t>
            </w:r>
            <w:r>
              <w:rPr>
                <w:rFonts w:ascii="Times New Roman"/>
                <w:sz w:val="21"/>
                <w:szCs w:val="21"/>
                <w:highlight w:val="none"/>
              </w:rPr>
              <w:t>B/T22459.7</w:t>
            </w:r>
          </w:p>
        </w:tc>
      </w:tr>
      <w:tr w14:paraId="64BC4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3" w:type="pct"/>
            <w:gridSpan w:val="3"/>
            <w:tcBorders>
              <w:top w:val="single" w:color="auto" w:sz="4" w:space="0"/>
              <w:left w:val="single" w:color="auto" w:sz="12" w:space="0"/>
              <w:bottom w:val="single" w:color="auto" w:sz="12" w:space="0"/>
              <w:right w:val="single" w:color="auto" w:sz="4" w:space="0"/>
            </w:tcBorders>
            <w:vAlign w:val="center"/>
          </w:tcPr>
          <w:p w14:paraId="6452EB7C">
            <w:pPr>
              <w:spacing w:line="240" w:lineRule="auto"/>
              <w:ind w:firstLine="0" w:firstLineChars="0"/>
              <w:rPr>
                <w:rFonts w:ascii="Times New Roman"/>
                <w:sz w:val="21"/>
                <w:szCs w:val="21"/>
                <w:highlight w:val="none"/>
              </w:rPr>
            </w:pPr>
            <w:r>
              <w:rPr>
                <w:rFonts w:hint="eastAsia" w:ascii="Times New Roman"/>
                <w:bCs/>
                <w:sz w:val="21"/>
                <w:szCs w:val="21"/>
                <w:highlight w:val="none"/>
              </w:rPr>
              <w:t>使用部位</w:t>
            </w:r>
          </w:p>
        </w:tc>
        <w:tc>
          <w:tcPr>
            <w:tcW w:w="2466" w:type="pct"/>
            <w:gridSpan w:val="3"/>
            <w:tcBorders>
              <w:top w:val="single" w:color="auto" w:sz="4" w:space="0"/>
              <w:left w:val="single" w:color="auto" w:sz="4" w:space="0"/>
              <w:bottom w:val="single" w:color="auto" w:sz="12" w:space="0"/>
              <w:right w:val="single" w:color="auto" w:sz="12" w:space="0"/>
            </w:tcBorders>
            <w:vAlign w:val="center"/>
          </w:tcPr>
          <w:p w14:paraId="077A075E">
            <w:pPr>
              <w:spacing w:line="240" w:lineRule="auto"/>
              <w:ind w:firstLine="0" w:firstLineChars="0"/>
              <w:jc w:val="center"/>
              <w:rPr>
                <w:rFonts w:ascii="Times New Roman"/>
                <w:sz w:val="21"/>
                <w:szCs w:val="21"/>
                <w:highlight w:val="none"/>
              </w:rPr>
            </w:pPr>
            <w:r>
              <w:rPr>
                <w:rFonts w:hint="eastAsia" w:ascii="Times New Roman"/>
                <w:sz w:val="21"/>
                <w:szCs w:val="21"/>
                <w:highlight w:val="none"/>
              </w:rPr>
              <w:t>砌筑刚玉砖</w:t>
            </w:r>
          </w:p>
        </w:tc>
      </w:tr>
    </w:tbl>
    <w:p w14:paraId="4DC05351">
      <w:pPr>
        <w:numPr>
          <w:ilvl w:val="0"/>
          <w:numId w:val="16"/>
        </w:numPr>
        <w:ind w:left="480" w:leftChars="0" w:firstLine="0" w:firstLineChars="0"/>
        <w:rPr>
          <w:rFonts w:hint="eastAsia" w:ascii="宋体" w:hAnsi="宋体" w:eastAsia="宋体"/>
          <w:highlight w:val="none"/>
        </w:rPr>
      </w:pPr>
      <w:bookmarkStart w:id="319" w:name="_Toc2869"/>
      <w:r>
        <w:rPr>
          <w:rFonts w:hint="eastAsia" w:ascii="宋体" w:hAnsi="宋体" w:eastAsia="宋体"/>
          <w:highlight w:val="none"/>
        </w:rPr>
        <w:t>刚玉质捣打料（无水）</w:t>
      </w:r>
    </w:p>
    <w:tbl>
      <w:tblPr>
        <w:tblStyle w:val="6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1786"/>
        <w:gridCol w:w="2476"/>
        <w:gridCol w:w="1510"/>
        <w:gridCol w:w="1650"/>
      </w:tblGrid>
      <w:tr w14:paraId="4CF90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tcBorders>
              <w:top w:val="single" w:color="auto" w:sz="12" w:space="0"/>
              <w:left w:val="single" w:color="auto" w:sz="12" w:space="0"/>
              <w:bottom w:val="single" w:color="auto" w:sz="4" w:space="0"/>
              <w:right w:val="single" w:color="auto" w:sz="4" w:space="0"/>
            </w:tcBorders>
            <w:noWrap w:val="0"/>
            <w:vAlign w:val="center"/>
          </w:tcPr>
          <w:p w14:paraId="29C1154B">
            <w:pPr>
              <w:spacing w:line="240" w:lineRule="auto"/>
              <w:ind w:firstLine="0" w:firstLineChars="0"/>
              <w:rPr>
                <w:rFonts w:hint="eastAsia" w:ascii="Times New Roman" w:hAnsi="宋体" w:eastAsia="宋体"/>
                <w:sz w:val="21"/>
                <w:szCs w:val="21"/>
                <w:highlight w:val="none"/>
              </w:rPr>
            </w:pPr>
            <w:r>
              <w:rPr>
                <w:rFonts w:hint="eastAsia" w:ascii="Times New Roman" w:hAnsi="宋体" w:eastAsia="宋体"/>
                <w:sz w:val="21"/>
                <w:szCs w:val="21"/>
                <w:highlight w:val="none"/>
              </w:rPr>
              <w:t>序号</w:t>
            </w:r>
          </w:p>
        </w:tc>
        <w:tc>
          <w:tcPr>
            <w:tcW w:w="2501" w:type="pct"/>
            <w:gridSpan w:val="2"/>
            <w:tcBorders>
              <w:top w:val="single" w:color="auto" w:sz="12" w:space="0"/>
              <w:left w:val="single" w:color="auto" w:sz="4" w:space="0"/>
              <w:bottom w:val="single" w:color="auto" w:sz="4" w:space="0"/>
              <w:right w:val="single" w:color="auto" w:sz="4" w:space="0"/>
            </w:tcBorders>
            <w:noWrap w:val="0"/>
            <w:vAlign w:val="center"/>
          </w:tcPr>
          <w:p w14:paraId="3D7E50F3">
            <w:pPr>
              <w:spacing w:line="240" w:lineRule="auto"/>
              <w:ind w:firstLine="0" w:firstLineChars="0"/>
              <w:rPr>
                <w:rFonts w:hint="eastAsia" w:ascii="Times New Roman" w:hAnsi="宋体" w:eastAsia="宋体"/>
                <w:sz w:val="21"/>
                <w:szCs w:val="21"/>
                <w:highlight w:val="none"/>
              </w:rPr>
            </w:pPr>
            <w:r>
              <w:rPr>
                <w:rFonts w:hint="eastAsia" w:ascii="Times New Roman" w:hAnsi="宋体" w:eastAsia="宋体"/>
                <w:sz w:val="21"/>
                <w:szCs w:val="21"/>
                <w:highlight w:val="none"/>
              </w:rPr>
              <w:t>项目</w:t>
            </w:r>
          </w:p>
        </w:tc>
        <w:tc>
          <w:tcPr>
            <w:tcW w:w="886" w:type="pct"/>
            <w:tcBorders>
              <w:top w:val="single" w:color="auto" w:sz="12" w:space="0"/>
              <w:left w:val="single" w:color="auto" w:sz="4" w:space="0"/>
              <w:bottom w:val="single" w:color="auto" w:sz="4" w:space="0"/>
              <w:right w:val="single" w:color="auto" w:sz="4" w:space="0"/>
            </w:tcBorders>
            <w:noWrap w:val="0"/>
            <w:vAlign w:val="center"/>
          </w:tcPr>
          <w:p w14:paraId="6C548131">
            <w:pPr>
              <w:spacing w:line="240" w:lineRule="auto"/>
              <w:ind w:firstLine="0" w:firstLineChars="0"/>
              <w:rPr>
                <w:rFonts w:hint="eastAsia" w:ascii="Times New Roman" w:hAnsi="宋体" w:eastAsia="宋体"/>
                <w:sz w:val="21"/>
                <w:szCs w:val="21"/>
                <w:highlight w:val="none"/>
              </w:rPr>
            </w:pPr>
            <w:r>
              <w:rPr>
                <w:rFonts w:hint="eastAsia" w:ascii="Times New Roman" w:hAnsi="宋体" w:eastAsia="宋体"/>
                <w:sz w:val="21"/>
                <w:szCs w:val="21"/>
                <w:highlight w:val="none"/>
              </w:rPr>
              <w:t>单位</w:t>
            </w:r>
          </w:p>
        </w:tc>
        <w:tc>
          <w:tcPr>
            <w:tcW w:w="967" w:type="pct"/>
            <w:tcBorders>
              <w:top w:val="single" w:color="auto" w:sz="12" w:space="0"/>
              <w:left w:val="single" w:color="auto" w:sz="4" w:space="0"/>
              <w:bottom w:val="single" w:color="auto" w:sz="4" w:space="0"/>
              <w:right w:val="single" w:color="auto" w:sz="12" w:space="0"/>
            </w:tcBorders>
            <w:noWrap w:val="0"/>
            <w:vAlign w:val="center"/>
          </w:tcPr>
          <w:p w14:paraId="1F6FB7F8">
            <w:pPr>
              <w:spacing w:line="240" w:lineRule="auto"/>
              <w:ind w:firstLine="0" w:firstLineChars="0"/>
              <w:rPr>
                <w:rFonts w:hint="eastAsia" w:ascii="Times New Roman" w:hAnsi="宋体" w:eastAsia="宋体"/>
                <w:sz w:val="21"/>
                <w:szCs w:val="21"/>
                <w:highlight w:val="none"/>
              </w:rPr>
            </w:pPr>
            <w:r>
              <w:rPr>
                <w:rFonts w:hint="eastAsia" w:ascii="Times New Roman" w:hAnsi="宋体" w:eastAsia="宋体"/>
                <w:sz w:val="21"/>
                <w:szCs w:val="21"/>
                <w:highlight w:val="none"/>
              </w:rPr>
              <w:t>指标</w:t>
            </w:r>
          </w:p>
        </w:tc>
      </w:tr>
      <w:tr w14:paraId="07202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tcBorders>
              <w:top w:val="single" w:color="auto" w:sz="4" w:space="0"/>
              <w:left w:val="single" w:color="auto" w:sz="12" w:space="0"/>
              <w:bottom w:val="single" w:color="auto" w:sz="4" w:space="0"/>
              <w:right w:val="single" w:color="auto" w:sz="4" w:space="0"/>
            </w:tcBorders>
            <w:noWrap w:val="0"/>
            <w:vAlign w:val="center"/>
          </w:tcPr>
          <w:p w14:paraId="6A081C97">
            <w:pPr>
              <w:spacing w:line="240" w:lineRule="auto"/>
              <w:ind w:firstLine="0" w:firstLineChars="0"/>
              <w:rPr>
                <w:rFonts w:hint="eastAsia" w:ascii="Times New Roman" w:hAnsi="宋体" w:eastAsia="宋体"/>
                <w:sz w:val="21"/>
                <w:szCs w:val="21"/>
                <w:highlight w:val="none"/>
              </w:rPr>
            </w:pPr>
            <w:r>
              <w:rPr>
                <w:rFonts w:hint="eastAsia" w:ascii="Times New Roman" w:hAnsi="宋体" w:eastAsia="宋体"/>
                <w:sz w:val="21"/>
                <w:szCs w:val="21"/>
                <w:highlight w:val="none"/>
              </w:rPr>
              <w:t>1</w:t>
            </w:r>
          </w:p>
        </w:tc>
        <w:tc>
          <w:tcPr>
            <w:tcW w:w="2501" w:type="pct"/>
            <w:gridSpan w:val="2"/>
            <w:tcBorders>
              <w:top w:val="single" w:color="auto" w:sz="4" w:space="0"/>
              <w:left w:val="single" w:color="auto" w:sz="4" w:space="0"/>
              <w:bottom w:val="single" w:color="auto" w:sz="4" w:space="0"/>
              <w:right w:val="single" w:color="auto" w:sz="4" w:space="0"/>
            </w:tcBorders>
            <w:noWrap w:val="0"/>
            <w:vAlign w:val="center"/>
          </w:tcPr>
          <w:p w14:paraId="361781E3">
            <w:pPr>
              <w:spacing w:line="240" w:lineRule="auto"/>
              <w:ind w:firstLine="0" w:firstLineChars="0"/>
              <w:rPr>
                <w:rFonts w:hint="eastAsia" w:ascii="Times New Roman" w:hAnsi="宋体" w:eastAsia="宋体"/>
                <w:sz w:val="21"/>
                <w:szCs w:val="21"/>
                <w:highlight w:val="none"/>
              </w:rPr>
            </w:pPr>
            <w:r>
              <w:rPr>
                <w:rFonts w:hint="eastAsia" w:ascii="Times New Roman" w:hAnsi="宋体" w:eastAsia="宋体"/>
                <w:sz w:val="21"/>
                <w:szCs w:val="21"/>
                <w:highlight w:val="none"/>
              </w:rPr>
              <w:t>Al</w:t>
            </w:r>
            <w:r>
              <w:rPr>
                <w:rFonts w:hint="eastAsia" w:ascii="Times New Roman" w:hAnsi="宋体" w:eastAsia="宋体"/>
                <w:sz w:val="21"/>
                <w:szCs w:val="21"/>
                <w:highlight w:val="none"/>
                <w:vertAlign w:val="subscript"/>
              </w:rPr>
              <w:t>2</w:t>
            </w:r>
            <w:r>
              <w:rPr>
                <w:rFonts w:hint="eastAsia" w:ascii="Times New Roman" w:hAnsi="宋体" w:eastAsia="宋体"/>
                <w:sz w:val="21"/>
                <w:szCs w:val="21"/>
                <w:highlight w:val="none"/>
              </w:rPr>
              <w:t>O</w:t>
            </w:r>
            <w:r>
              <w:rPr>
                <w:rFonts w:hint="eastAsia" w:ascii="Times New Roman" w:hAnsi="宋体" w:eastAsia="宋体"/>
                <w:sz w:val="21"/>
                <w:szCs w:val="21"/>
                <w:highlight w:val="none"/>
                <w:vertAlign w:val="subscript"/>
              </w:rPr>
              <w:t>3</w:t>
            </w:r>
          </w:p>
        </w:tc>
        <w:tc>
          <w:tcPr>
            <w:tcW w:w="886" w:type="pct"/>
            <w:tcBorders>
              <w:top w:val="single" w:color="auto" w:sz="4" w:space="0"/>
              <w:left w:val="single" w:color="auto" w:sz="4" w:space="0"/>
              <w:bottom w:val="single" w:color="auto" w:sz="4" w:space="0"/>
              <w:right w:val="single" w:color="auto" w:sz="4" w:space="0"/>
            </w:tcBorders>
            <w:noWrap w:val="0"/>
            <w:vAlign w:val="center"/>
          </w:tcPr>
          <w:p w14:paraId="7AD1A7EE">
            <w:pPr>
              <w:spacing w:line="240" w:lineRule="auto"/>
              <w:ind w:firstLine="0" w:firstLineChars="0"/>
              <w:rPr>
                <w:rFonts w:hint="eastAsia" w:ascii="Times New Roman" w:hAnsi="宋体" w:eastAsia="宋体"/>
                <w:sz w:val="21"/>
                <w:szCs w:val="21"/>
                <w:highlight w:val="none"/>
              </w:rPr>
            </w:pPr>
            <w:r>
              <w:rPr>
                <w:rFonts w:hint="eastAsia" w:ascii="Times New Roman" w:hAnsi="宋体" w:eastAsia="宋体"/>
                <w:sz w:val="21"/>
                <w:szCs w:val="21"/>
                <w:highlight w:val="none"/>
              </w:rPr>
              <w:t>%</w:t>
            </w:r>
          </w:p>
        </w:tc>
        <w:tc>
          <w:tcPr>
            <w:tcW w:w="967" w:type="pct"/>
            <w:tcBorders>
              <w:top w:val="single" w:color="auto" w:sz="4" w:space="0"/>
              <w:left w:val="single" w:color="auto" w:sz="4" w:space="0"/>
              <w:bottom w:val="single" w:color="auto" w:sz="4" w:space="0"/>
              <w:right w:val="single" w:color="auto" w:sz="12" w:space="0"/>
            </w:tcBorders>
            <w:noWrap w:val="0"/>
            <w:vAlign w:val="center"/>
          </w:tcPr>
          <w:p w14:paraId="79B7B766">
            <w:pPr>
              <w:spacing w:line="240" w:lineRule="auto"/>
              <w:ind w:firstLine="0" w:firstLineChars="0"/>
              <w:rPr>
                <w:rFonts w:hint="eastAsia" w:ascii="Times New Roman" w:hAnsi="宋体" w:eastAsia="宋体"/>
                <w:sz w:val="21"/>
                <w:szCs w:val="21"/>
                <w:highlight w:val="none"/>
              </w:rPr>
            </w:pPr>
            <w:r>
              <w:rPr>
                <w:rFonts w:hint="eastAsia" w:ascii="Times New Roman" w:hAnsi="宋体" w:eastAsia="宋体"/>
                <w:sz w:val="21"/>
                <w:szCs w:val="21"/>
                <w:highlight w:val="none"/>
              </w:rPr>
              <w:t>≥80</w:t>
            </w:r>
          </w:p>
        </w:tc>
      </w:tr>
      <w:tr w14:paraId="20B7E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tcBorders>
              <w:top w:val="single" w:color="auto" w:sz="4" w:space="0"/>
              <w:left w:val="single" w:color="auto" w:sz="12" w:space="0"/>
              <w:bottom w:val="single" w:color="auto" w:sz="4" w:space="0"/>
              <w:right w:val="single" w:color="auto" w:sz="4" w:space="0"/>
            </w:tcBorders>
            <w:noWrap w:val="0"/>
            <w:vAlign w:val="center"/>
          </w:tcPr>
          <w:p w14:paraId="526F599A">
            <w:pPr>
              <w:spacing w:line="240" w:lineRule="auto"/>
              <w:ind w:firstLine="0" w:firstLineChars="0"/>
              <w:rPr>
                <w:rFonts w:hint="eastAsia" w:ascii="Times New Roman" w:hAnsi="宋体" w:eastAsia="宋体"/>
                <w:sz w:val="21"/>
                <w:szCs w:val="21"/>
                <w:highlight w:val="none"/>
              </w:rPr>
            </w:pPr>
            <w:r>
              <w:rPr>
                <w:rFonts w:hint="eastAsia" w:ascii="Times New Roman" w:hAnsi="宋体" w:eastAsia="宋体"/>
                <w:sz w:val="21"/>
                <w:szCs w:val="21"/>
                <w:highlight w:val="none"/>
              </w:rPr>
              <w:t>2</w:t>
            </w:r>
          </w:p>
        </w:tc>
        <w:tc>
          <w:tcPr>
            <w:tcW w:w="2501" w:type="pct"/>
            <w:gridSpan w:val="2"/>
            <w:tcBorders>
              <w:top w:val="single" w:color="auto" w:sz="4" w:space="0"/>
              <w:left w:val="single" w:color="auto" w:sz="4" w:space="0"/>
              <w:bottom w:val="single" w:color="auto" w:sz="4" w:space="0"/>
              <w:right w:val="single" w:color="auto" w:sz="4" w:space="0"/>
            </w:tcBorders>
            <w:noWrap w:val="0"/>
            <w:vAlign w:val="center"/>
          </w:tcPr>
          <w:p w14:paraId="40EA1CA5">
            <w:pPr>
              <w:spacing w:line="240" w:lineRule="auto"/>
              <w:ind w:firstLine="0" w:firstLineChars="0"/>
              <w:rPr>
                <w:rFonts w:hint="eastAsia" w:ascii="Times New Roman" w:hAnsi="宋体" w:eastAsia="宋体"/>
                <w:sz w:val="21"/>
                <w:szCs w:val="21"/>
                <w:highlight w:val="none"/>
              </w:rPr>
            </w:pPr>
            <w:r>
              <w:rPr>
                <w:rFonts w:hint="eastAsia" w:ascii="Times New Roman" w:hAnsi="宋体" w:eastAsia="宋体"/>
                <w:sz w:val="21"/>
                <w:szCs w:val="21"/>
                <w:highlight w:val="none"/>
              </w:rPr>
              <w:t>耐火度</w:t>
            </w:r>
          </w:p>
        </w:tc>
        <w:tc>
          <w:tcPr>
            <w:tcW w:w="886" w:type="pct"/>
            <w:tcBorders>
              <w:top w:val="single" w:color="auto" w:sz="4" w:space="0"/>
              <w:left w:val="single" w:color="auto" w:sz="4" w:space="0"/>
              <w:bottom w:val="single" w:color="auto" w:sz="4" w:space="0"/>
              <w:right w:val="single" w:color="auto" w:sz="4" w:space="0"/>
            </w:tcBorders>
            <w:noWrap w:val="0"/>
            <w:vAlign w:val="center"/>
          </w:tcPr>
          <w:p w14:paraId="4989B82B">
            <w:pPr>
              <w:spacing w:line="240" w:lineRule="auto"/>
              <w:ind w:firstLine="0" w:firstLineChars="0"/>
              <w:rPr>
                <w:rFonts w:hint="eastAsia" w:ascii="Times New Roman" w:hAnsi="宋体" w:eastAsia="宋体"/>
                <w:sz w:val="21"/>
                <w:szCs w:val="21"/>
                <w:highlight w:val="none"/>
              </w:rPr>
            </w:pPr>
            <w:r>
              <w:rPr>
                <w:rFonts w:hint="eastAsia" w:ascii="Times New Roman" w:hAnsi="宋体" w:eastAsia="宋体"/>
                <w:sz w:val="21"/>
                <w:szCs w:val="21"/>
                <w:highlight w:val="none"/>
              </w:rPr>
              <w:t>℃</w:t>
            </w:r>
          </w:p>
        </w:tc>
        <w:tc>
          <w:tcPr>
            <w:tcW w:w="967" w:type="pct"/>
            <w:tcBorders>
              <w:top w:val="single" w:color="auto" w:sz="4" w:space="0"/>
              <w:left w:val="single" w:color="auto" w:sz="4" w:space="0"/>
              <w:bottom w:val="single" w:color="auto" w:sz="4" w:space="0"/>
              <w:right w:val="single" w:color="auto" w:sz="12" w:space="0"/>
            </w:tcBorders>
            <w:noWrap w:val="0"/>
            <w:vAlign w:val="center"/>
          </w:tcPr>
          <w:p w14:paraId="0C32322F">
            <w:pPr>
              <w:spacing w:line="240" w:lineRule="auto"/>
              <w:ind w:firstLine="0" w:firstLineChars="0"/>
              <w:rPr>
                <w:rFonts w:hint="eastAsia" w:ascii="Times New Roman" w:hAnsi="宋体" w:eastAsia="宋体"/>
                <w:sz w:val="21"/>
                <w:szCs w:val="21"/>
                <w:highlight w:val="none"/>
              </w:rPr>
            </w:pPr>
            <w:r>
              <w:rPr>
                <w:rFonts w:hint="eastAsia" w:ascii="Times New Roman" w:hAnsi="宋体" w:eastAsia="宋体"/>
                <w:sz w:val="21"/>
                <w:szCs w:val="21"/>
                <w:highlight w:val="none"/>
              </w:rPr>
              <w:t>≥1790</w:t>
            </w:r>
          </w:p>
        </w:tc>
      </w:tr>
      <w:tr w14:paraId="38913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vMerge w:val="restart"/>
            <w:tcBorders>
              <w:top w:val="single" w:color="auto" w:sz="4" w:space="0"/>
              <w:left w:val="single" w:color="auto" w:sz="12" w:space="0"/>
              <w:bottom w:val="single" w:color="auto" w:sz="4" w:space="0"/>
              <w:right w:val="single" w:color="auto" w:sz="4" w:space="0"/>
            </w:tcBorders>
            <w:noWrap w:val="0"/>
            <w:vAlign w:val="center"/>
          </w:tcPr>
          <w:p w14:paraId="6052DB37">
            <w:pPr>
              <w:spacing w:line="240" w:lineRule="auto"/>
              <w:ind w:firstLine="0" w:firstLineChars="0"/>
              <w:rPr>
                <w:rFonts w:hint="eastAsia" w:ascii="Times New Roman" w:hAnsi="宋体" w:eastAsia="宋体"/>
                <w:sz w:val="21"/>
                <w:szCs w:val="21"/>
                <w:highlight w:val="none"/>
              </w:rPr>
            </w:pPr>
            <w:r>
              <w:rPr>
                <w:rFonts w:hint="eastAsia" w:ascii="Times New Roman" w:hAnsi="宋体" w:eastAsia="宋体"/>
                <w:sz w:val="21"/>
                <w:szCs w:val="21"/>
                <w:highlight w:val="none"/>
              </w:rPr>
              <w:t>3</w:t>
            </w:r>
          </w:p>
        </w:tc>
        <w:tc>
          <w:tcPr>
            <w:tcW w:w="1048" w:type="pct"/>
            <w:vMerge w:val="restart"/>
            <w:tcBorders>
              <w:top w:val="single" w:color="auto" w:sz="4" w:space="0"/>
              <w:left w:val="single" w:color="auto" w:sz="4" w:space="0"/>
              <w:bottom w:val="single" w:color="auto" w:sz="4" w:space="0"/>
              <w:right w:val="single" w:color="auto" w:sz="4" w:space="0"/>
            </w:tcBorders>
            <w:noWrap w:val="0"/>
            <w:vAlign w:val="center"/>
          </w:tcPr>
          <w:p w14:paraId="7C8FCBB4">
            <w:pPr>
              <w:spacing w:line="240" w:lineRule="auto"/>
              <w:ind w:firstLine="0" w:firstLineChars="0"/>
              <w:rPr>
                <w:rFonts w:hint="eastAsia" w:ascii="Times New Roman" w:hAnsi="宋体" w:eastAsia="宋体"/>
                <w:sz w:val="21"/>
                <w:szCs w:val="21"/>
                <w:highlight w:val="none"/>
              </w:rPr>
            </w:pPr>
            <w:r>
              <w:rPr>
                <w:rFonts w:hint="eastAsia" w:ascii="Times New Roman" w:hAnsi="宋体" w:eastAsia="宋体"/>
                <w:sz w:val="21"/>
                <w:szCs w:val="21"/>
                <w:highlight w:val="none"/>
              </w:rPr>
              <w:t>耐压强度</w:t>
            </w:r>
          </w:p>
        </w:tc>
        <w:tc>
          <w:tcPr>
            <w:tcW w:w="1453" w:type="pct"/>
            <w:tcBorders>
              <w:top w:val="single" w:color="auto" w:sz="4" w:space="0"/>
              <w:left w:val="single" w:color="auto" w:sz="4" w:space="0"/>
              <w:bottom w:val="single" w:color="auto" w:sz="4" w:space="0"/>
              <w:right w:val="single" w:color="auto" w:sz="4" w:space="0"/>
            </w:tcBorders>
            <w:noWrap w:val="0"/>
            <w:vAlign w:val="center"/>
          </w:tcPr>
          <w:p w14:paraId="5AA476F2">
            <w:pPr>
              <w:spacing w:line="240" w:lineRule="auto"/>
              <w:ind w:firstLine="0" w:firstLineChars="0"/>
              <w:rPr>
                <w:rFonts w:hint="eastAsia" w:ascii="Times New Roman" w:hAnsi="宋体" w:eastAsia="宋体"/>
                <w:sz w:val="21"/>
                <w:szCs w:val="21"/>
                <w:highlight w:val="none"/>
              </w:rPr>
            </w:pPr>
            <w:r>
              <w:rPr>
                <w:rFonts w:hint="eastAsia" w:ascii="Times New Roman" w:hAnsi="宋体" w:eastAsia="宋体"/>
                <w:sz w:val="21"/>
                <w:szCs w:val="21"/>
                <w:highlight w:val="none"/>
              </w:rPr>
              <w:t xml:space="preserve">200℃X24h </w:t>
            </w:r>
          </w:p>
        </w:tc>
        <w:tc>
          <w:tcPr>
            <w:tcW w:w="886" w:type="pct"/>
            <w:vMerge w:val="restart"/>
            <w:tcBorders>
              <w:top w:val="single" w:color="auto" w:sz="4" w:space="0"/>
              <w:left w:val="single" w:color="auto" w:sz="4" w:space="0"/>
              <w:bottom w:val="single" w:color="auto" w:sz="4" w:space="0"/>
              <w:right w:val="single" w:color="auto" w:sz="4" w:space="0"/>
            </w:tcBorders>
            <w:noWrap w:val="0"/>
            <w:vAlign w:val="center"/>
          </w:tcPr>
          <w:p w14:paraId="7B1CD447">
            <w:pPr>
              <w:spacing w:line="240" w:lineRule="auto"/>
              <w:ind w:firstLine="0" w:firstLineChars="0"/>
              <w:rPr>
                <w:rFonts w:hint="eastAsia" w:ascii="Times New Roman" w:hAnsi="宋体" w:eastAsia="宋体"/>
                <w:sz w:val="21"/>
                <w:szCs w:val="21"/>
                <w:highlight w:val="none"/>
              </w:rPr>
            </w:pPr>
            <w:r>
              <w:rPr>
                <w:rFonts w:hint="eastAsia" w:ascii="Times New Roman" w:hAnsi="宋体" w:eastAsia="宋体"/>
                <w:sz w:val="21"/>
                <w:szCs w:val="21"/>
                <w:highlight w:val="none"/>
              </w:rPr>
              <w:t>MPa</w:t>
            </w:r>
          </w:p>
        </w:tc>
        <w:tc>
          <w:tcPr>
            <w:tcW w:w="967" w:type="pct"/>
            <w:tcBorders>
              <w:top w:val="single" w:color="auto" w:sz="4" w:space="0"/>
              <w:left w:val="single" w:color="auto" w:sz="4" w:space="0"/>
              <w:bottom w:val="single" w:color="auto" w:sz="4" w:space="0"/>
              <w:right w:val="single" w:color="auto" w:sz="12" w:space="0"/>
            </w:tcBorders>
            <w:noWrap w:val="0"/>
            <w:vAlign w:val="center"/>
          </w:tcPr>
          <w:p w14:paraId="2BCF7D26">
            <w:pPr>
              <w:spacing w:line="240" w:lineRule="auto"/>
              <w:ind w:firstLine="0" w:firstLineChars="0"/>
              <w:rPr>
                <w:rFonts w:hint="eastAsia" w:ascii="Times New Roman" w:hAnsi="宋体" w:eastAsia="宋体"/>
                <w:sz w:val="21"/>
                <w:szCs w:val="21"/>
                <w:highlight w:val="none"/>
              </w:rPr>
            </w:pPr>
            <w:r>
              <w:rPr>
                <w:rFonts w:hint="eastAsia" w:ascii="Times New Roman" w:hAnsi="宋体" w:eastAsia="宋体"/>
                <w:sz w:val="21"/>
                <w:szCs w:val="21"/>
                <w:highlight w:val="none"/>
              </w:rPr>
              <w:t>≥50</w:t>
            </w:r>
          </w:p>
        </w:tc>
      </w:tr>
      <w:tr w14:paraId="3013C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44" w:type="pct"/>
            <w:vMerge w:val="continue"/>
            <w:tcBorders>
              <w:top w:val="single" w:color="auto" w:sz="4" w:space="0"/>
              <w:left w:val="single" w:color="auto" w:sz="12" w:space="0"/>
              <w:bottom w:val="single" w:color="auto" w:sz="4" w:space="0"/>
              <w:right w:val="single" w:color="auto" w:sz="4" w:space="0"/>
            </w:tcBorders>
            <w:noWrap w:val="0"/>
            <w:vAlign w:val="center"/>
          </w:tcPr>
          <w:p w14:paraId="3B72DCA2">
            <w:pPr>
              <w:spacing w:line="240" w:lineRule="auto"/>
              <w:ind w:firstLine="0" w:firstLineChars="0"/>
              <w:rPr>
                <w:rFonts w:hint="eastAsia" w:ascii="Times New Roman" w:hAnsi="宋体" w:eastAsia="宋体"/>
                <w:sz w:val="21"/>
                <w:szCs w:val="21"/>
                <w:highlight w:val="none"/>
              </w:rPr>
            </w:pPr>
          </w:p>
        </w:tc>
        <w:tc>
          <w:tcPr>
            <w:tcW w:w="1048" w:type="pct"/>
            <w:vMerge w:val="continue"/>
            <w:tcBorders>
              <w:top w:val="single" w:color="auto" w:sz="4" w:space="0"/>
              <w:left w:val="single" w:color="auto" w:sz="4" w:space="0"/>
              <w:bottom w:val="single" w:color="auto" w:sz="4" w:space="0"/>
              <w:right w:val="single" w:color="auto" w:sz="4" w:space="0"/>
            </w:tcBorders>
            <w:noWrap w:val="0"/>
            <w:vAlign w:val="center"/>
          </w:tcPr>
          <w:p w14:paraId="2D6DDAB1">
            <w:pPr>
              <w:spacing w:line="240" w:lineRule="auto"/>
              <w:ind w:firstLine="0" w:firstLineChars="0"/>
              <w:rPr>
                <w:rFonts w:hint="eastAsia" w:ascii="Times New Roman" w:hAnsi="宋体" w:eastAsia="宋体"/>
                <w:sz w:val="21"/>
                <w:szCs w:val="21"/>
                <w:highlight w:val="none"/>
              </w:rPr>
            </w:pPr>
          </w:p>
        </w:tc>
        <w:tc>
          <w:tcPr>
            <w:tcW w:w="1453" w:type="pct"/>
            <w:tcBorders>
              <w:top w:val="single" w:color="auto" w:sz="4" w:space="0"/>
              <w:left w:val="single" w:color="auto" w:sz="4" w:space="0"/>
              <w:bottom w:val="single" w:color="auto" w:sz="4" w:space="0"/>
              <w:right w:val="single" w:color="auto" w:sz="4" w:space="0"/>
            </w:tcBorders>
            <w:noWrap w:val="0"/>
            <w:vAlign w:val="center"/>
          </w:tcPr>
          <w:p w14:paraId="1ED5E404">
            <w:pPr>
              <w:spacing w:line="240" w:lineRule="auto"/>
              <w:ind w:firstLine="0" w:firstLineChars="0"/>
              <w:rPr>
                <w:rFonts w:hint="eastAsia" w:ascii="Times New Roman" w:hAnsi="宋体" w:eastAsia="宋体"/>
                <w:sz w:val="21"/>
                <w:szCs w:val="21"/>
                <w:highlight w:val="none"/>
              </w:rPr>
            </w:pPr>
            <w:r>
              <w:rPr>
                <w:rFonts w:hint="eastAsia" w:ascii="Times New Roman" w:hAnsi="宋体" w:eastAsia="宋体"/>
                <w:sz w:val="21"/>
                <w:szCs w:val="21"/>
                <w:highlight w:val="none"/>
              </w:rPr>
              <w:t>1400℃X3h</w:t>
            </w:r>
          </w:p>
        </w:tc>
        <w:tc>
          <w:tcPr>
            <w:tcW w:w="886" w:type="pct"/>
            <w:vMerge w:val="continue"/>
            <w:tcBorders>
              <w:top w:val="single" w:color="auto" w:sz="4" w:space="0"/>
              <w:left w:val="single" w:color="auto" w:sz="4" w:space="0"/>
              <w:bottom w:val="single" w:color="auto" w:sz="4" w:space="0"/>
              <w:right w:val="single" w:color="auto" w:sz="4" w:space="0"/>
            </w:tcBorders>
            <w:noWrap w:val="0"/>
            <w:vAlign w:val="center"/>
          </w:tcPr>
          <w:p w14:paraId="0737EABA">
            <w:pPr>
              <w:spacing w:line="240" w:lineRule="auto"/>
              <w:ind w:firstLine="0" w:firstLineChars="0"/>
              <w:rPr>
                <w:rFonts w:hint="eastAsia" w:ascii="Times New Roman" w:hAnsi="宋体" w:eastAsia="宋体"/>
                <w:sz w:val="21"/>
                <w:szCs w:val="21"/>
                <w:highlight w:val="none"/>
              </w:rPr>
            </w:pPr>
          </w:p>
        </w:tc>
        <w:tc>
          <w:tcPr>
            <w:tcW w:w="967" w:type="pct"/>
            <w:tcBorders>
              <w:top w:val="single" w:color="auto" w:sz="4" w:space="0"/>
              <w:left w:val="single" w:color="auto" w:sz="4" w:space="0"/>
              <w:bottom w:val="single" w:color="auto" w:sz="4" w:space="0"/>
              <w:right w:val="single" w:color="auto" w:sz="12" w:space="0"/>
            </w:tcBorders>
            <w:noWrap w:val="0"/>
            <w:vAlign w:val="center"/>
          </w:tcPr>
          <w:p w14:paraId="3E787731">
            <w:pPr>
              <w:spacing w:line="240" w:lineRule="auto"/>
              <w:ind w:firstLine="0" w:firstLineChars="0"/>
              <w:rPr>
                <w:rFonts w:hint="eastAsia" w:ascii="Times New Roman" w:hAnsi="宋体" w:eastAsia="宋体"/>
                <w:sz w:val="21"/>
                <w:szCs w:val="21"/>
                <w:highlight w:val="none"/>
              </w:rPr>
            </w:pPr>
            <w:r>
              <w:rPr>
                <w:rFonts w:hint="eastAsia" w:ascii="Times New Roman" w:hAnsi="宋体" w:eastAsia="宋体"/>
                <w:sz w:val="21"/>
                <w:szCs w:val="21"/>
                <w:highlight w:val="none"/>
              </w:rPr>
              <w:t>≥70</w:t>
            </w:r>
          </w:p>
        </w:tc>
      </w:tr>
      <w:tr w14:paraId="04BDB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44" w:type="pct"/>
            <w:vMerge w:val="restart"/>
            <w:tcBorders>
              <w:top w:val="single" w:color="auto" w:sz="4" w:space="0"/>
              <w:left w:val="single" w:color="auto" w:sz="12" w:space="0"/>
              <w:bottom w:val="single" w:color="auto" w:sz="4" w:space="0"/>
              <w:right w:val="single" w:color="auto" w:sz="4" w:space="0"/>
            </w:tcBorders>
            <w:noWrap w:val="0"/>
            <w:vAlign w:val="center"/>
          </w:tcPr>
          <w:p w14:paraId="6077AE59">
            <w:pPr>
              <w:spacing w:line="240" w:lineRule="auto"/>
              <w:ind w:firstLine="0" w:firstLineChars="0"/>
              <w:rPr>
                <w:rFonts w:hint="eastAsia" w:ascii="Times New Roman" w:hAnsi="宋体" w:eastAsia="宋体"/>
                <w:sz w:val="21"/>
                <w:szCs w:val="21"/>
                <w:highlight w:val="none"/>
              </w:rPr>
            </w:pPr>
            <w:r>
              <w:rPr>
                <w:rFonts w:hint="eastAsia" w:ascii="Times New Roman" w:hAnsi="宋体" w:eastAsia="宋体"/>
                <w:sz w:val="21"/>
                <w:szCs w:val="21"/>
                <w:highlight w:val="none"/>
              </w:rPr>
              <w:t>4</w:t>
            </w:r>
          </w:p>
        </w:tc>
        <w:tc>
          <w:tcPr>
            <w:tcW w:w="1048" w:type="pct"/>
            <w:vMerge w:val="restart"/>
            <w:tcBorders>
              <w:top w:val="single" w:color="auto" w:sz="4" w:space="0"/>
              <w:left w:val="single" w:color="auto" w:sz="4" w:space="0"/>
              <w:bottom w:val="single" w:color="auto" w:sz="4" w:space="0"/>
              <w:right w:val="single" w:color="auto" w:sz="4" w:space="0"/>
            </w:tcBorders>
            <w:noWrap w:val="0"/>
            <w:vAlign w:val="center"/>
          </w:tcPr>
          <w:p w14:paraId="11A72EC5">
            <w:pPr>
              <w:spacing w:line="240" w:lineRule="auto"/>
              <w:ind w:firstLine="0" w:firstLineChars="0"/>
              <w:rPr>
                <w:rFonts w:hint="eastAsia" w:ascii="Times New Roman" w:hAnsi="宋体" w:eastAsia="宋体"/>
                <w:sz w:val="21"/>
                <w:szCs w:val="21"/>
                <w:highlight w:val="none"/>
              </w:rPr>
            </w:pPr>
            <w:r>
              <w:rPr>
                <w:rFonts w:hint="eastAsia" w:ascii="Times New Roman" w:hAnsi="宋体" w:eastAsia="宋体"/>
                <w:sz w:val="21"/>
                <w:szCs w:val="21"/>
                <w:highlight w:val="none"/>
              </w:rPr>
              <w:t>抗折强度</w:t>
            </w:r>
          </w:p>
        </w:tc>
        <w:tc>
          <w:tcPr>
            <w:tcW w:w="1453" w:type="pct"/>
            <w:tcBorders>
              <w:top w:val="single" w:color="auto" w:sz="4" w:space="0"/>
              <w:left w:val="single" w:color="auto" w:sz="4" w:space="0"/>
              <w:bottom w:val="single" w:color="auto" w:sz="4" w:space="0"/>
              <w:right w:val="single" w:color="auto" w:sz="4" w:space="0"/>
            </w:tcBorders>
            <w:noWrap w:val="0"/>
            <w:vAlign w:val="center"/>
          </w:tcPr>
          <w:p w14:paraId="22013DD5">
            <w:pPr>
              <w:spacing w:line="240" w:lineRule="auto"/>
              <w:ind w:firstLine="0" w:firstLineChars="0"/>
              <w:rPr>
                <w:rFonts w:hint="eastAsia" w:ascii="Times New Roman" w:hAnsi="宋体" w:eastAsia="宋体"/>
                <w:sz w:val="21"/>
                <w:szCs w:val="21"/>
                <w:highlight w:val="none"/>
              </w:rPr>
            </w:pPr>
            <w:r>
              <w:rPr>
                <w:rFonts w:hint="eastAsia" w:ascii="Times New Roman" w:hAnsi="宋体" w:eastAsia="宋体"/>
                <w:sz w:val="21"/>
                <w:szCs w:val="21"/>
                <w:highlight w:val="none"/>
              </w:rPr>
              <w:t xml:space="preserve">200℃X24h </w:t>
            </w:r>
          </w:p>
        </w:tc>
        <w:tc>
          <w:tcPr>
            <w:tcW w:w="886" w:type="pct"/>
            <w:vMerge w:val="restart"/>
            <w:tcBorders>
              <w:top w:val="single" w:color="auto" w:sz="4" w:space="0"/>
              <w:left w:val="single" w:color="auto" w:sz="4" w:space="0"/>
              <w:bottom w:val="single" w:color="auto" w:sz="4" w:space="0"/>
              <w:right w:val="single" w:color="auto" w:sz="4" w:space="0"/>
            </w:tcBorders>
            <w:noWrap w:val="0"/>
            <w:vAlign w:val="center"/>
          </w:tcPr>
          <w:p w14:paraId="6FFE0E12">
            <w:pPr>
              <w:spacing w:line="240" w:lineRule="auto"/>
              <w:ind w:firstLine="0" w:firstLineChars="0"/>
              <w:rPr>
                <w:rFonts w:hint="eastAsia" w:ascii="Times New Roman" w:hAnsi="宋体" w:eastAsia="宋体"/>
                <w:sz w:val="21"/>
                <w:szCs w:val="21"/>
                <w:highlight w:val="none"/>
              </w:rPr>
            </w:pPr>
            <w:r>
              <w:rPr>
                <w:rFonts w:hint="eastAsia" w:ascii="Times New Roman" w:hAnsi="宋体" w:eastAsia="宋体"/>
                <w:sz w:val="21"/>
                <w:szCs w:val="21"/>
                <w:highlight w:val="none"/>
              </w:rPr>
              <w:t>MPa</w:t>
            </w:r>
          </w:p>
        </w:tc>
        <w:tc>
          <w:tcPr>
            <w:tcW w:w="967" w:type="pct"/>
            <w:tcBorders>
              <w:top w:val="single" w:color="auto" w:sz="4" w:space="0"/>
              <w:left w:val="single" w:color="auto" w:sz="4" w:space="0"/>
              <w:bottom w:val="single" w:color="auto" w:sz="4" w:space="0"/>
              <w:right w:val="single" w:color="auto" w:sz="12" w:space="0"/>
            </w:tcBorders>
            <w:noWrap w:val="0"/>
            <w:vAlign w:val="center"/>
          </w:tcPr>
          <w:p w14:paraId="328FB836">
            <w:pPr>
              <w:spacing w:line="240" w:lineRule="auto"/>
              <w:ind w:firstLine="0" w:firstLineChars="0"/>
              <w:rPr>
                <w:rFonts w:hint="eastAsia" w:ascii="Times New Roman" w:hAnsi="宋体" w:eastAsia="宋体"/>
                <w:sz w:val="21"/>
                <w:szCs w:val="21"/>
                <w:highlight w:val="none"/>
              </w:rPr>
            </w:pPr>
            <w:r>
              <w:rPr>
                <w:rFonts w:hint="eastAsia" w:ascii="Times New Roman" w:hAnsi="宋体" w:eastAsia="宋体"/>
                <w:sz w:val="21"/>
                <w:szCs w:val="21"/>
                <w:highlight w:val="none"/>
              </w:rPr>
              <w:t>≥5</w:t>
            </w:r>
          </w:p>
        </w:tc>
      </w:tr>
      <w:tr w14:paraId="5FA4C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44" w:type="pct"/>
            <w:vMerge w:val="continue"/>
            <w:tcBorders>
              <w:top w:val="single" w:color="auto" w:sz="4" w:space="0"/>
              <w:left w:val="single" w:color="auto" w:sz="12" w:space="0"/>
              <w:bottom w:val="single" w:color="auto" w:sz="4" w:space="0"/>
              <w:right w:val="single" w:color="auto" w:sz="4" w:space="0"/>
            </w:tcBorders>
            <w:noWrap w:val="0"/>
            <w:vAlign w:val="center"/>
          </w:tcPr>
          <w:p w14:paraId="167B25BC">
            <w:pPr>
              <w:spacing w:line="240" w:lineRule="auto"/>
              <w:ind w:firstLine="0" w:firstLineChars="0"/>
              <w:rPr>
                <w:rFonts w:hint="eastAsia" w:ascii="Times New Roman" w:hAnsi="宋体" w:eastAsia="宋体"/>
                <w:sz w:val="21"/>
                <w:szCs w:val="21"/>
                <w:highlight w:val="none"/>
              </w:rPr>
            </w:pPr>
          </w:p>
        </w:tc>
        <w:tc>
          <w:tcPr>
            <w:tcW w:w="1048" w:type="pct"/>
            <w:vMerge w:val="continue"/>
            <w:tcBorders>
              <w:top w:val="single" w:color="auto" w:sz="4" w:space="0"/>
              <w:left w:val="single" w:color="auto" w:sz="4" w:space="0"/>
              <w:bottom w:val="single" w:color="auto" w:sz="4" w:space="0"/>
              <w:right w:val="single" w:color="auto" w:sz="4" w:space="0"/>
            </w:tcBorders>
            <w:noWrap w:val="0"/>
            <w:vAlign w:val="center"/>
          </w:tcPr>
          <w:p w14:paraId="4B1EF72D">
            <w:pPr>
              <w:spacing w:line="240" w:lineRule="auto"/>
              <w:ind w:firstLine="0" w:firstLineChars="0"/>
              <w:rPr>
                <w:rFonts w:hint="eastAsia" w:ascii="Times New Roman" w:hAnsi="宋体" w:eastAsia="宋体"/>
                <w:sz w:val="21"/>
                <w:szCs w:val="21"/>
                <w:highlight w:val="none"/>
              </w:rPr>
            </w:pPr>
          </w:p>
        </w:tc>
        <w:tc>
          <w:tcPr>
            <w:tcW w:w="1453" w:type="pct"/>
            <w:tcBorders>
              <w:top w:val="single" w:color="auto" w:sz="4" w:space="0"/>
              <w:left w:val="single" w:color="auto" w:sz="4" w:space="0"/>
              <w:bottom w:val="single" w:color="auto" w:sz="4" w:space="0"/>
              <w:right w:val="single" w:color="auto" w:sz="4" w:space="0"/>
            </w:tcBorders>
            <w:noWrap w:val="0"/>
            <w:vAlign w:val="center"/>
          </w:tcPr>
          <w:p w14:paraId="252BC274">
            <w:pPr>
              <w:spacing w:line="240" w:lineRule="auto"/>
              <w:ind w:firstLine="0" w:firstLineChars="0"/>
              <w:rPr>
                <w:rFonts w:hint="eastAsia" w:ascii="Times New Roman" w:hAnsi="宋体" w:eastAsia="宋体"/>
                <w:sz w:val="21"/>
                <w:szCs w:val="21"/>
                <w:highlight w:val="none"/>
              </w:rPr>
            </w:pPr>
            <w:r>
              <w:rPr>
                <w:rFonts w:hint="eastAsia" w:ascii="Times New Roman" w:hAnsi="宋体" w:eastAsia="宋体"/>
                <w:sz w:val="21"/>
                <w:szCs w:val="21"/>
                <w:highlight w:val="none"/>
              </w:rPr>
              <w:t>1400℃X3h</w:t>
            </w:r>
          </w:p>
        </w:tc>
        <w:tc>
          <w:tcPr>
            <w:tcW w:w="886" w:type="pct"/>
            <w:vMerge w:val="continue"/>
            <w:tcBorders>
              <w:top w:val="single" w:color="auto" w:sz="4" w:space="0"/>
              <w:left w:val="single" w:color="auto" w:sz="4" w:space="0"/>
              <w:bottom w:val="single" w:color="auto" w:sz="4" w:space="0"/>
              <w:right w:val="single" w:color="auto" w:sz="4" w:space="0"/>
            </w:tcBorders>
            <w:noWrap w:val="0"/>
            <w:vAlign w:val="center"/>
          </w:tcPr>
          <w:p w14:paraId="7882B47A">
            <w:pPr>
              <w:spacing w:line="240" w:lineRule="auto"/>
              <w:ind w:firstLine="0" w:firstLineChars="0"/>
              <w:rPr>
                <w:rFonts w:hint="eastAsia" w:ascii="Times New Roman" w:hAnsi="宋体" w:eastAsia="宋体"/>
                <w:sz w:val="21"/>
                <w:szCs w:val="21"/>
                <w:highlight w:val="none"/>
              </w:rPr>
            </w:pPr>
          </w:p>
        </w:tc>
        <w:tc>
          <w:tcPr>
            <w:tcW w:w="967" w:type="pct"/>
            <w:tcBorders>
              <w:top w:val="single" w:color="auto" w:sz="4" w:space="0"/>
              <w:left w:val="single" w:color="auto" w:sz="4" w:space="0"/>
              <w:bottom w:val="single" w:color="auto" w:sz="4" w:space="0"/>
              <w:right w:val="single" w:color="auto" w:sz="12" w:space="0"/>
            </w:tcBorders>
            <w:noWrap w:val="0"/>
            <w:vAlign w:val="center"/>
          </w:tcPr>
          <w:p w14:paraId="74351527">
            <w:pPr>
              <w:spacing w:line="240" w:lineRule="auto"/>
              <w:ind w:firstLine="0" w:firstLineChars="0"/>
              <w:rPr>
                <w:rFonts w:hint="eastAsia" w:ascii="Times New Roman" w:hAnsi="宋体" w:eastAsia="宋体"/>
                <w:sz w:val="21"/>
                <w:szCs w:val="21"/>
                <w:highlight w:val="none"/>
              </w:rPr>
            </w:pPr>
            <w:r>
              <w:rPr>
                <w:rFonts w:hint="eastAsia" w:ascii="Times New Roman" w:hAnsi="宋体" w:eastAsia="宋体"/>
                <w:sz w:val="21"/>
                <w:szCs w:val="21"/>
                <w:highlight w:val="none"/>
              </w:rPr>
              <w:t>≥10</w:t>
            </w:r>
          </w:p>
        </w:tc>
      </w:tr>
      <w:tr w14:paraId="4714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tcBorders>
              <w:top w:val="single" w:color="auto" w:sz="4" w:space="0"/>
              <w:left w:val="single" w:color="auto" w:sz="12" w:space="0"/>
              <w:bottom w:val="single" w:color="auto" w:sz="4" w:space="0"/>
              <w:right w:val="single" w:color="auto" w:sz="4" w:space="0"/>
            </w:tcBorders>
            <w:noWrap w:val="0"/>
            <w:vAlign w:val="center"/>
          </w:tcPr>
          <w:p w14:paraId="00CF2269">
            <w:pPr>
              <w:spacing w:line="240" w:lineRule="auto"/>
              <w:ind w:firstLine="0" w:firstLineChars="0"/>
              <w:rPr>
                <w:rFonts w:hint="eastAsia" w:ascii="Times New Roman" w:hAnsi="宋体" w:eastAsia="宋体"/>
                <w:sz w:val="21"/>
                <w:szCs w:val="21"/>
                <w:highlight w:val="none"/>
              </w:rPr>
            </w:pPr>
            <w:r>
              <w:rPr>
                <w:rFonts w:hint="eastAsia" w:ascii="Times New Roman" w:hAnsi="宋体" w:eastAsia="宋体"/>
                <w:sz w:val="21"/>
                <w:szCs w:val="21"/>
                <w:highlight w:val="none"/>
              </w:rPr>
              <w:t>5</w:t>
            </w:r>
          </w:p>
        </w:tc>
        <w:tc>
          <w:tcPr>
            <w:tcW w:w="2501" w:type="pct"/>
            <w:gridSpan w:val="2"/>
            <w:tcBorders>
              <w:top w:val="single" w:color="auto" w:sz="4" w:space="0"/>
              <w:left w:val="single" w:color="auto" w:sz="4" w:space="0"/>
              <w:bottom w:val="single" w:color="auto" w:sz="4" w:space="0"/>
              <w:right w:val="single" w:color="auto" w:sz="4" w:space="0"/>
            </w:tcBorders>
            <w:noWrap w:val="0"/>
            <w:vAlign w:val="center"/>
          </w:tcPr>
          <w:p w14:paraId="688927ED">
            <w:pPr>
              <w:spacing w:line="240" w:lineRule="auto"/>
              <w:ind w:firstLine="0" w:firstLineChars="0"/>
              <w:rPr>
                <w:rFonts w:hint="eastAsia" w:ascii="Times New Roman" w:hAnsi="宋体" w:eastAsia="宋体"/>
                <w:sz w:val="21"/>
                <w:szCs w:val="21"/>
                <w:highlight w:val="none"/>
              </w:rPr>
            </w:pPr>
            <w:r>
              <w:rPr>
                <w:rFonts w:hint="eastAsia" w:ascii="Times New Roman" w:hAnsi="宋体" w:eastAsia="宋体"/>
                <w:sz w:val="21"/>
                <w:szCs w:val="21"/>
                <w:highlight w:val="none"/>
              </w:rPr>
              <w:t>体积密度(200℃X24h)</w:t>
            </w:r>
          </w:p>
        </w:tc>
        <w:tc>
          <w:tcPr>
            <w:tcW w:w="886" w:type="pct"/>
            <w:tcBorders>
              <w:top w:val="single" w:color="auto" w:sz="4" w:space="0"/>
              <w:left w:val="single" w:color="auto" w:sz="4" w:space="0"/>
              <w:bottom w:val="single" w:color="auto" w:sz="4" w:space="0"/>
              <w:right w:val="single" w:color="auto" w:sz="4" w:space="0"/>
            </w:tcBorders>
            <w:noWrap w:val="0"/>
            <w:vAlign w:val="center"/>
          </w:tcPr>
          <w:p w14:paraId="1DBC6DD5">
            <w:pPr>
              <w:spacing w:line="240" w:lineRule="auto"/>
              <w:ind w:firstLine="0" w:firstLineChars="0"/>
              <w:rPr>
                <w:rFonts w:hint="eastAsia" w:ascii="Times New Roman" w:hAnsi="宋体" w:eastAsia="宋体"/>
                <w:sz w:val="21"/>
                <w:szCs w:val="21"/>
                <w:highlight w:val="none"/>
              </w:rPr>
            </w:pPr>
            <w:r>
              <w:rPr>
                <w:rFonts w:hint="eastAsia" w:ascii="Times New Roman" w:hAnsi="宋体" w:eastAsia="宋体"/>
                <w:sz w:val="21"/>
                <w:szCs w:val="21"/>
                <w:highlight w:val="none"/>
              </w:rPr>
              <w:t>g/cm</w:t>
            </w:r>
            <w:r>
              <w:rPr>
                <w:rFonts w:hint="eastAsia" w:ascii="Times New Roman" w:hAnsi="宋体" w:eastAsia="宋体"/>
                <w:sz w:val="21"/>
                <w:szCs w:val="21"/>
                <w:highlight w:val="none"/>
                <w:vertAlign w:val="superscript"/>
              </w:rPr>
              <w:t>3</w:t>
            </w:r>
          </w:p>
        </w:tc>
        <w:tc>
          <w:tcPr>
            <w:tcW w:w="967" w:type="pct"/>
            <w:tcBorders>
              <w:top w:val="single" w:color="auto" w:sz="4" w:space="0"/>
              <w:left w:val="single" w:color="auto" w:sz="4" w:space="0"/>
              <w:bottom w:val="single" w:color="auto" w:sz="4" w:space="0"/>
              <w:right w:val="single" w:color="auto" w:sz="12" w:space="0"/>
            </w:tcBorders>
            <w:noWrap w:val="0"/>
            <w:vAlign w:val="center"/>
          </w:tcPr>
          <w:p w14:paraId="1347991A">
            <w:pPr>
              <w:spacing w:line="240" w:lineRule="auto"/>
              <w:ind w:firstLine="0" w:firstLineChars="0"/>
              <w:rPr>
                <w:rFonts w:hint="eastAsia" w:ascii="Times New Roman" w:hAnsi="宋体" w:eastAsia="宋体"/>
                <w:sz w:val="21"/>
                <w:szCs w:val="21"/>
                <w:highlight w:val="none"/>
              </w:rPr>
            </w:pPr>
            <w:r>
              <w:rPr>
                <w:rFonts w:hint="eastAsia" w:ascii="Times New Roman" w:hAnsi="宋体" w:eastAsia="宋体"/>
                <w:sz w:val="21"/>
                <w:szCs w:val="21"/>
                <w:highlight w:val="none"/>
              </w:rPr>
              <w:t>≥2.85</w:t>
            </w:r>
          </w:p>
        </w:tc>
      </w:tr>
      <w:tr w14:paraId="249FF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45" w:type="pct"/>
            <w:gridSpan w:val="3"/>
            <w:tcBorders>
              <w:top w:val="single" w:color="auto" w:sz="4" w:space="0"/>
              <w:left w:val="single" w:color="auto" w:sz="12" w:space="0"/>
              <w:bottom w:val="single" w:color="auto" w:sz="12" w:space="0"/>
              <w:right w:val="single" w:color="auto" w:sz="4" w:space="0"/>
            </w:tcBorders>
            <w:noWrap w:val="0"/>
            <w:vAlign w:val="center"/>
          </w:tcPr>
          <w:p w14:paraId="619D65A0">
            <w:pPr>
              <w:spacing w:line="240" w:lineRule="auto"/>
              <w:ind w:firstLine="0" w:firstLineChars="0"/>
              <w:rPr>
                <w:rFonts w:hint="eastAsia" w:ascii="Times New Roman" w:hAnsi="宋体" w:eastAsia="宋体"/>
                <w:sz w:val="21"/>
                <w:szCs w:val="21"/>
                <w:highlight w:val="none"/>
              </w:rPr>
            </w:pPr>
            <w:r>
              <w:rPr>
                <w:rFonts w:hint="eastAsia" w:ascii="Times New Roman"/>
                <w:bCs/>
                <w:sz w:val="21"/>
                <w:szCs w:val="21"/>
                <w:highlight w:val="none"/>
              </w:rPr>
              <w:t>使用部位</w:t>
            </w:r>
          </w:p>
        </w:tc>
        <w:tc>
          <w:tcPr>
            <w:tcW w:w="1854" w:type="pct"/>
            <w:gridSpan w:val="2"/>
            <w:tcBorders>
              <w:top w:val="single" w:color="auto" w:sz="4" w:space="0"/>
              <w:left w:val="single" w:color="auto" w:sz="4" w:space="0"/>
              <w:bottom w:val="single" w:color="auto" w:sz="12" w:space="0"/>
              <w:right w:val="single" w:color="auto" w:sz="12" w:space="0"/>
            </w:tcBorders>
            <w:noWrap w:val="0"/>
            <w:vAlign w:val="center"/>
          </w:tcPr>
          <w:p w14:paraId="2BECE990">
            <w:pPr>
              <w:spacing w:line="240" w:lineRule="auto"/>
              <w:ind w:firstLine="0" w:firstLineChars="0"/>
              <w:rPr>
                <w:rFonts w:hint="eastAsia" w:ascii="Times New Roman" w:hAnsi="宋体" w:eastAsia="宋体"/>
                <w:sz w:val="21"/>
                <w:szCs w:val="21"/>
                <w:highlight w:val="none"/>
              </w:rPr>
            </w:pPr>
            <w:r>
              <w:rPr>
                <w:rFonts w:hint="eastAsia" w:ascii="宋体" w:hAnsi="宋体"/>
                <w:szCs w:val="24"/>
                <w:highlight w:val="none"/>
              </w:rPr>
              <w:t>风口组合砖与冷却壁之间的宽缝，陶瓷垫与炭砖之间宽缝</w:t>
            </w:r>
          </w:p>
        </w:tc>
      </w:tr>
    </w:tbl>
    <w:p w14:paraId="1FF333A3">
      <w:pPr>
        <w:numPr>
          <w:ilvl w:val="0"/>
          <w:numId w:val="16"/>
        </w:numPr>
        <w:ind w:left="480" w:leftChars="0" w:firstLine="0" w:firstLineChars="0"/>
        <w:rPr>
          <w:highlight w:val="none"/>
        </w:rPr>
      </w:pPr>
      <w:r>
        <w:rPr>
          <w:rFonts w:hint="eastAsia"/>
          <w:highlight w:val="none"/>
        </w:rPr>
        <w:t>粘土质自流浇注料</w:t>
      </w:r>
      <w:bookmarkEnd w:id="319"/>
    </w:p>
    <w:tbl>
      <w:tblPr>
        <w:tblStyle w:val="6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108" w:type="dxa"/>
          <w:bottom w:w="57" w:type="dxa"/>
          <w:right w:w="108" w:type="dxa"/>
        </w:tblCellMar>
      </w:tblPr>
      <w:tblGrid>
        <w:gridCol w:w="1934"/>
        <w:gridCol w:w="1936"/>
        <w:gridCol w:w="2081"/>
        <w:gridCol w:w="2571"/>
      </w:tblGrid>
      <w:tr w14:paraId="17A36A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0" w:hRule="atLeast"/>
        </w:trPr>
        <w:tc>
          <w:tcPr>
            <w:tcW w:w="3870" w:type="dxa"/>
            <w:gridSpan w:val="2"/>
            <w:vAlign w:val="center"/>
          </w:tcPr>
          <w:p w14:paraId="7603859D">
            <w:pPr>
              <w:spacing w:line="240" w:lineRule="auto"/>
              <w:ind w:firstLine="0" w:firstLineChars="0"/>
              <w:jc w:val="center"/>
              <w:rPr>
                <w:highlight w:val="none"/>
              </w:rPr>
            </w:pPr>
            <w:r>
              <w:rPr>
                <w:highlight w:val="none"/>
              </w:rPr>
              <w:t>项目</w:t>
            </w:r>
          </w:p>
        </w:tc>
        <w:tc>
          <w:tcPr>
            <w:tcW w:w="2081" w:type="dxa"/>
            <w:vAlign w:val="center"/>
          </w:tcPr>
          <w:p w14:paraId="2ABB7A31">
            <w:pPr>
              <w:spacing w:line="240" w:lineRule="auto"/>
              <w:ind w:firstLine="0" w:firstLineChars="0"/>
              <w:jc w:val="center"/>
              <w:rPr>
                <w:highlight w:val="none"/>
              </w:rPr>
            </w:pPr>
            <w:r>
              <w:rPr>
                <w:highlight w:val="none"/>
              </w:rPr>
              <w:t>单位</w:t>
            </w:r>
          </w:p>
        </w:tc>
        <w:tc>
          <w:tcPr>
            <w:tcW w:w="2571" w:type="dxa"/>
            <w:vAlign w:val="center"/>
          </w:tcPr>
          <w:p w14:paraId="1A2AFFF1">
            <w:pPr>
              <w:spacing w:line="240" w:lineRule="auto"/>
              <w:ind w:firstLine="0" w:firstLineChars="0"/>
              <w:jc w:val="center"/>
              <w:rPr>
                <w:highlight w:val="none"/>
              </w:rPr>
            </w:pPr>
            <w:r>
              <w:rPr>
                <w:highlight w:val="none"/>
              </w:rPr>
              <w:t>指标</w:t>
            </w:r>
          </w:p>
        </w:tc>
      </w:tr>
      <w:tr w14:paraId="43B46F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0" w:hRule="atLeast"/>
        </w:trPr>
        <w:tc>
          <w:tcPr>
            <w:tcW w:w="3870" w:type="dxa"/>
            <w:gridSpan w:val="2"/>
            <w:vAlign w:val="center"/>
          </w:tcPr>
          <w:p w14:paraId="4F6457A2">
            <w:pPr>
              <w:spacing w:line="240" w:lineRule="auto"/>
              <w:ind w:firstLine="0" w:firstLineChars="0"/>
              <w:rPr>
                <w:highlight w:val="none"/>
              </w:rPr>
            </w:pPr>
            <w:r>
              <w:rPr>
                <w:highlight w:val="none"/>
              </w:rPr>
              <w:t>Al</w:t>
            </w:r>
            <w:r>
              <w:rPr>
                <w:highlight w:val="none"/>
                <w:vertAlign w:val="subscript"/>
              </w:rPr>
              <w:t>2</w:t>
            </w:r>
            <w:r>
              <w:rPr>
                <w:highlight w:val="none"/>
              </w:rPr>
              <w:t>O</w:t>
            </w:r>
            <w:r>
              <w:rPr>
                <w:highlight w:val="none"/>
                <w:vertAlign w:val="subscript"/>
              </w:rPr>
              <w:t>3</w:t>
            </w:r>
          </w:p>
        </w:tc>
        <w:tc>
          <w:tcPr>
            <w:tcW w:w="2081" w:type="dxa"/>
            <w:vAlign w:val="center"/>
          </w:tcPr>
          <w:p w14:paraId="10B83EEC">
            <w:pPr>
              <w:spacing w:line="240" w:lineRule="auto"/>
              <w:ind w:firstLine="0" w:firstLineChars="0"/>
              <w:jc w:val="center"/>
              <w:rPr>
                <w:highlight w:val="none"/>
              </w:rPr>
            </w:pPr>
            <w:r>
              <w:rPr>
                <w:highlight w:val="none"/>
              </w:rPr>
              <w:t>%</w:t>
            </w:r>
          </w:p>
        </w:tc>
        <w:tc>
          <w:tcPr>
            <w:tcW w:w="2571" w:type="dxa"/>
            <w:vAlign w:val="center"/>
          </w:tcPr>
          <w:p w14:paraId="605799CA">
            <w:pPr>
              <w:spacing w:line="240" w:lineRule="auto"/>
              <w:ind w:firstLine="0" w:firstLineChars="0"/>
              <w:jc w:val="center"/>
              <w:rPr>
                <w:highlight w:val="none"/>
              </w:rPr>
            </w:pPr>
            <w:r>
              <w:rPr>
                <w:highlight w:val="none"/>
              </w:rPr>
              <w:t>≥45</w:t>
            </w:r>
          </w:p>
        </w:tc>
      </w:tr>
      <w:tr w14:paraId="220142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0" w:hRule="atLeast"/>
        </w:trPr>
        <w:tc>
          <w:tcPr>
            <w:tcW w:w="3870" w:type="dxa"/>
            <w:gridSpan w:val="2"/>
            <w:vAlign w:val="center"/>
          </w:tcPr>
          <w:p w14:paraId="5111CE5C">
            <w:pPr>
              <w:spacing w:line="240" w:lineRule="auto"/>
              <w:ind w:firstLine="0" w:firstLineChars="0"/>
              <w:rPr>
                <w:highlight w:val="none"/>
              </w:rPr>
            </w:pPr>
            <w:r>
              <w:rPr>
                <w:highlight w:val="none"/>
              </w:rPr>
              <w:t>耐火度</w:t>
            </w:r>
          </w:p>
        </w:tc>
        <w:tc>
          <w:tcPr>
            <w:tcW w:w="2081" w:type="dxa"/>
            <w:vAlign w:val="center"/>
          </w:tcPr>
          <w:p w14:paraId="316C78FC">
            <w:pPr>
              <w:spacing w:line="240" w:lineRule="auto"/>
              <w:ind w:firstLine="0" w:firstLineChars="0"/>
              <w:jc w:val="center"/>
              <w:rPr>
                <w:highlight w:val="none"/>
              </w:rPr>
            </w:pPr>
            <w:r>
              <w:rPr>
                <w:rFonts w:hint="eastAsia" w:cs="宋体"/>
                <w:highlight w:val="none"/>
              </w:rPr>
              <w:t>℃</w:t>
            </w:r>
          </w:p>
        </w:tc>
        <w:tc>
          <w:tcPr>
            <w:tcW w:w="2571" w:type="dxa"/>
            <w:vAlign w:val="center"/>
          </w:tcPr>
          <w:p w14:paraId="6806D0BF">
            <w:pPr>
              <w:spacing w:line="240" w:lineRule="auto"/>
              <w:ind w:firstLine="0" w:firstLineChars="0"/>
              <w:jc w:val="center"/>
              <w:rPr>
                <w:highlight w:val="none"/>
              </w:rPr>
            </w:pPr>
            <w:r>
              <w:rPr>
                <w:highlight w:val="none"/>
              </w:rPr>
              <w:t>≥1700</w:t>
            </w:r>
          </w:p>
        </w:tc>
      </w:tr>
      <w:tr w14:paraId="6CE7C3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0" w:hRule="atLeast"/>
        </w:trPr>
        <w:tc>
          <w:tcPr>
            <w:tcW w:w="3870" w:type="dxa"/>
            <w:gridSpan w:val="2"/>
            <w:vAlign w:val="center"/>
          </w:tcPr>
          <w:p w14:paraId="6527B3AC">
            <w:pPr>
              <w:spacing w:line="240" w:lineRule="auto"/>
              <w:ind w:firstLine="0" w:firstLineChars="0"/>
              <w:rPr>
                <w:highlight w:val="none"/>
              </w:rPr>
            </w:pPr>
            <w:r>
              <w:rPr>
                <w:highlight w:val="none"/>
              </w:rPr>
              <w:t>体积密度</w:t>
            </w:r>
          </w:p>
        </w:tc>
        <w:tc>
          <w:tcPr>
            <w:tcW w:w="2081" w:type="dxa"/>
            <w:vAlign w:val="center"/>
          </w:tcPr>
          <w:p w14:paraId="450502AD">
            <w:pPr>
              <w:spacing w:line="240" w:lineRule="auto"/>
              <w:ind w:firstLine="0" w:firstLineChars="0"/>
              <w:jc w:val="center"/>
              <w:rPr>
                <w:highlight w:val="none"/>
              </w:rPr>
            </w:pPr>
            <w:r>
              <w:rPr>
                <w:highlight w:val="none"/>
              </w:rPr>
              <w:t>g/cm</w:t>
            </w:r>
            <w:r>
              <w:rPr>
                <w:highlight w:val="none"/>
                <w:vertAlign w:val="superscript"/>
              </w:rPr>
              <w:t>3</w:t>
            </w:r>
          </w:p>
        </w:tc>
        <w:tc>
          <w:tcPr>
            <w:tcW w:w="2571" w:type="dxa"/>
            <w:vAlign w:val="center"/>
          </w:tcPr>
          <w:p w14:paraId="325F2840">
            <w:pPr>
              <w:spacing w:line="240" w:lineRule="auto"/>
              <w:ind w:firstLine="0" w:firstLineChars="0"/>
              <w:jc w:val="center"/>
              <w:rPr>
                <w:highlight w:val="none"/>
              </w:rPr>
            </w:pPr>
            <w:r>
              <w:rPr>
                <w:highlight w:val="none"/>
              </w:rPr>
              <w:t>≥2.0</w:t>
            </w:r>
          </w:p>
        </w:tc>
      </w:tr>
      <w:tr w14:paraId="074223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0" w:hRule="atLeast"/>
        </w:trPr>
        <w:tc>
          <w:tcPr>
            <w:tcW w:w="1934" w:type="dxa"/>
            <w:vMerge w:val="restart"/>
            <w:vAlign w:val="center"/>
          </w:tcPr>
          <w:p w14:paraId="3B0FD780">
            <w:pPr>
              <w:spacing w:line="240" w:lineRule="auto"/>
              <w:ind w:firstLine="0" w:firstLineChars="0"/>
              <w:rPr>
                <w:highlight w:val="none"/>
              </w:rPr>
            </w:pPr>
            <w:r>
              <w:rPr>
                <w:highlight w:val="none"/>
              </w:rPr>
              <w:t>耐压强度</w:t>
            </w:r>
          </w:p>
        </w:tc>
        <w:tc>
          <w:tcPr>
            <w:tcW w:w="1936" w:type="dxa"/>
            <w:vAlign w:val="center"/>
          </w:tcPr>
          <w:p w14:paraId="0C746D80">
            <w:pPr>
              <w:spacing w:line="240" w:lineRule="auto"/>
              <w:ind w:firstLine="0" w:firstLineChars="0"/>
              <w:rPr>
                <w:highlight w:val="none"/>
              </w:rPr>
            </w:pPr>
            <w:r>
              <w:rPr>
                <w:highlight w:val="none"/>
              </w:rPr>
              <w:t>110</w:t>
            </w:r>
            <w:r>
              <w:rPr>
                <w:rFonts w:hint="eastAsia" w:cs="宋体"/>
                <w:highlight w:val="none"/>
              </w:rPr>
              <w:t>℃</w:t>
            </w:r>
            <w:r>
              <w:rPr>
                <w:rFonts w:hint="eastAsia"/>
                <w:highlight w:val="none"/>
              </w:rPr>
              <w:t>x24h</w:t>
            </w:r>
          </w:p>
        </w:tc>
        <w:tc>
          <w:tcPr>
            <w:tcW w:w="2081" w:type="dxa"/>
            <w:vAlign w:val="center"/>
          </w:tcPr>
          <w:p w14:paraId="033D573F">
            <w:pPr>
              <w:spacing w:line="240" w:lineRule="auto"/>
              <w:ind w:firstLine="0" w:firstLineChars="0"/>
              <w:jc w:val="center"/>
              <w:rPr>
                <w:highlight w:val="none"/>
              </w:rPr>
            </w:pPr>
            <w:r>
              <w:rPr>
                <w:highlight w:val="none"/>
              </w:rPr>
              <w:t>MPa</w:t>
            </w:r>
          </w:p>
        </w:tc>
        <w:tc>
          <w:tcPr>
            <w:tcW w:w="2571" w:type="dxa"/>
            <w:vAlign w:val="center"/>
          </w:tcPr>
          <w:p w14:paraId="32F7FCC0">
            <w:pPr>
              <w:spacing w:line="240" w:lineRule="auto"/>
              <w:ind w:firstLine="0" w:firstLineChars="0"/>
              <w:jc w:val="center"/>
              <w:rPr>
                <w:highlight w:val="none"/>
              </w:rPr>
            </w:pPr>
            <w:r>
              <w:rPr>
                <w:highlight w:val="none"/>
              </w:rPr>
              <w:t>≥20</w:t>
            </w:r>
          </w:p>
        </w:tc>
      </w:tr>
      <w:tr w14:paraId="4B1436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0" w:hRule="atLeast"/>
        </w:trPr>
        <w:tc>
          <w:tcPr>
            <w:tcW w:w="1934" w:type="dxa"/>
            <w:vMerge w:val="continue"/>
            <w:vAlign w:val="center"/>
          </w:tcPr>
          <w:p w14:paraId="1DF207AC">
            <w:pPr>
              <w:spacing w:line="240" w:lineRule="auto"/>
              <w:ind w:firstLine="0" w:firstLineChars="0"/>
              <w:rPr>
                <w:highlight w:val="none"/>
              </w:rPr>
            </w:pPr>
          </w:p>
        </w:tc>
        <w:tc>
          <w:tcPr>
            <w:tcW w:w="1936" w:type="dxa"/>
            <w:vAlign w:val="center"/>
          </w:tcPr>
          <w:p w14:paraId="1886936F">
            <w:pPr>
              <w:spacing w:line="240" w:lineRule="auto"/>
              <w:ind w:firstLine="0" w:firstLineChars="0"/>
              <w:rPr>
                <w:highlight w:val="none"/>
              </w:rPr>
            </w:pPr>
            <w:r>
              <w:rPr>
                <w:highlight w:val="none"/>
              </w:rPr>
              <w:t>1000</w:t>
            </w:r>
            <w:r>
              <w:rPr>
                <w:rFonts w:hint="eastAsia" w:cs="宋体"/>
                <w:highlight w:val="none"/>
              </w:rPr>
              <w:t>℃</w:t>
            </w:r>
            <w:r>
              <w:rPr>
                <w:rFonts w:hint="eastAsia"/>
                <w:highlight w:val="none"/>
              </w:rPr>
              <w:t>x3h</w:t>
            </w:r>
          </w:p>
        </w:tc>
        <w:tc>
          <w:tcPr>
            <w:tcW w:w="2081" w:type="dxa"/>
            <w:vAlign w:val="center"/>
          </w:tcPr>
          <w:p w14:paraId="08CA9CB6">
            <w:pPr>
              <w:spacing w:line="240" w:lineRule="auto"/>
              <w:ind w:firstLine="0" w:firstLineChars="0"/>
              <w:jc w:val="center"/>
              <w:rPr>
                <w:highlight w:val="none"/>
              </w:rPr>
            </w:pPr>
            <w:r>
              <w:rPr>
                <w:highlight w:val="none"/>
              </w:rPr>
              <w:t>MPa</w:t>
            </w:r>
          </w:p>
        </w:tc>
        <w:tc>
          <w:tcPr>
            <w:tcW w:w="2571" w:type="dxa"/>
            <w:vAlign w:val="center"/>
          </w:tcPr>
          <w:p w14:paraId="77DE5583">
            <w:pPr>
              <w:spacing w:line="240" w:lineRule="auto"/>
              <w:ind w:firstLine="0" w:firstLineChars="0"/>
              <w:jc w:val="center"/>
              <w:rPr>
                <w:highlight w:val="none"/>
              </w:rPr>
            </w:pPr>
            <w:r>
              <w:rPr>
                <w:highlight w:val="none"/>
              </w:rPr>
              <w:t>≥30</w:t>
            </w:r>
          </w:p>
        </w:tc>
      </w:tr>
      <w:tr w14:paraId="60E8CE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0" w:hRule="atLeast"/>
        </w:trPr>
        <w:tc>
          <w:tcPr>
            <w:tcW w:w="1934" w:type="dxa"/>
            <w:vMerge w:val="restart"/>
            <w:vAlign w:val="center"/>
          </w:tcPr>
          <w:p w14:paraId="383F9779">
            <w:pPr>
              <w:spacing w:line="240" w:lineRule="auto"/>
              <w:ind w:firstLine="0" w:firstLineChars="0"/>
              <w:rPr>
                <w:highlight w:val="none"/>
              </w:rPr>
            </w:pPr>
            <w:r>
              <w:rPr>
                <w:rFonts w:hint="eastAsia"/>
                <w:highlight w:val="none"/>
              </w:rPr>
              <w:t>抗折</w:t>
            </w:r>
            <w:r>
              <w:rPr>
                <w:highlight w:val="none"/>
              </w:rPr>
              <w:t>强度</w:t>
            </w:r>
          </w:p>
        </w:tc>
        <w:tc>
          <w:tcPr>
            <w:tcW w:w="1936" w:type="dxa"/>
            <w:vAlign w:val="center"/>
          </w:tcPr>
          <w:p w14:paraId="471E6317">
            <w:pPr>
              <w:spacing w:line="240" w:lineRule="auto"/>
              <w:ind w:firstLine="0" w:firstLineChars="0"/>
              <w:rPr>
                <w:highlight w:val="none"/>
              </w:rPr>
            </w:pPr>
            <w:r>
              <w:rPr>
                <w:highlight w:val="none"/>
              </w:rPr>
              <w:t>110</w:t>
            </w:r>
            <w:r>
              <w:rPr>
                <w:rFonts w:hint="eastAsia" w:cs="宋体"/>
                <w:highlight w:val="none"/>
              </w:rPr>
              <w:t>℃</w:t>
            </w:r>
            <w:r>
              <w:rPr>
                <w:rFonts w:hint="eastAsia"/>
                <w:highlight w:val="none"/>
              </w:rPr>
              <w:t>x24h</w:t>
            </w:r>
          </w:p>
        </w:tc>
        <w:tc>
          <w:tcPr>
            <w:tcW w:w="2081" w:type="dxa"/>
            <w:vAlign w:val="center"/>
          </w:tcPr>
          <w:p w14:paraId="6FBB706C">
            <w:pPr>
              <w:spacing w:line="240" w:lineRule="auto"/>
              <w:ind w:firstLine="0" w:firstLineChars="0"/>
              <w:jc w:val="center"/>
              <w:rPr>
                <w:highlight w:val="none"/>
              </w:rPr>
            </w:pPr>
            <w:r>
              <w:rPr>
                <w:highlight w:val="none"/>
              </w:rPr>
              <w:t>MPa</w:t>
            </w:r>
          </w:p>
        </w:tc>
        <w:tc>
          <w:tcPr>
            <w:tcW w:w="2571" w:type="dxa"/>
            <w:vAlign w:val="center"/>
          </w:tcPr>
          <w:p w14:paraId="04FF6134">
            <w:pPr>
              <w:spacing w:line="240" w:lineRule="auto"/>
              <w:ind w:firstLine="0" w:firstLineChars="0"/>
              <w:jc w:val="center"/>
              <w:rPr>
                <w:highlight w:val="none"/>
              </w:rPr>
            </w:pPr>
            <w:r>
              <w:rPr>
                <w:highlight w:val="none"/>
              </w:rPr>
              <w:t>≥3</w:t>
            </w:r>
          </w:p>
        </w:tc>
      </w:tr>
      <w:tr w14:paraId="61A12D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0" w:hRule="atLeast"/>
        </w:trPr>
        <w:tc>
          <w:tcPr>
            <w:tcW w:w="1934" w:type="dxa"/>
            <w:vMerge w:val="continue"/>
            <w:vAlign w:val="center"/>
          </w:tcPr>
          <w:p w14:paraId="7C6912F3">
            <w:pPr>
              <w:spacing w:line="240" w:lineRule="auto"/>
              <w:ind w:firstLine="0" w:firstLineChars="0"/>
              <w:rPr>
                <w:highlight w:val="none"/>
              </w:rPr>
            </w:pPr>
          </w:p>
        </w:tc>
        <w:tc>
          <w:tcPr>
            <w:tcW w:w="1936" w:type="dxa"/>
            <w:vAlign w:val="center"/>
          </w:tcPr>
          <w:p w14:paraId="593DB088">
            <w:pPr>
              <w:spacing w:line="240" w:lineRule="auto"/>
              <w:ind w:firstLine="0" w:firstLineChars="0"/>
              <w:rPr>
                <w:highlight w:val="none"/>
              </w:rPr>
            </w:pPr>
            <w:r>
              <w:rPr>
                <w:highlight w:val="none"/>
              </w:rPr>
              <w:t>1000</w:t>
            </w:r>
            <w:r>
              <w:rPr>
                <w:rFonts w:hint="eastAsia" w:cs="宋体"/>
                <w:highlight w:val="none"/>
              </w:rPr>
              <w:t>℃</w:t>
            </w:r>
            <w:r>
              <w:rPr>
                <w:rFonts w:hint="eastAsia"/>
                <w:highlight w:val="none"/>
              </w:rPr>
              <w:t>x3h</w:t>
            </w:r>
          </w:p>
        </w:tc>
        <w:tc>
          <w:tcPr>
            <w:tcW w:w="2081" w:type="dxa"/>
            <w:vAlign w:val="center"/>
          </w:tcPr>
          <w:p w14:paraId="28CB8903">
            <w:pPr>
              <w:spacing w:line="240" w:lineRule="auto"/>
              <w:ind w:firstLine="0" w:firstLineChars="0"/>
              <w:jc w:val="center"/>
              <w:rPr>
                <w:highlight w:val="none"/>
              </w:rPr>
            </w:pPr>
            <w:r>
              <w:rPr>
                <w:highlight w:val="none"/>
              </w:rPr>
              <w:t>MPa</w:t>
            </w:r>
          </w:p>
        </w:tc>
        <w:tc>
          <w:tcPr>
            <w:tcW w:w="2571" w:type="dxa"/>
            <w:vAlign w:val="center"/>
          </w:tcPr>
          <w:p w14:paraId="2B38D7FD">
            <w:pPr>
              <w:spacing w:line="240" w:lineRule="auto"/>
              <w:ind w:firstLine="0" w:firstLineChars="0"/>
              <w:jc w:val="center"/>
              <w:rPr>
                <w:highlight w:val="none"/>
              </w:rPr>
            </w:pPr>
            <w:r>
              <w:rPr>
                <w:highlight w:val="none"/>
              </w:rPr>
              <w:t>≥7</w:t>
            </w:r>
          </w:p>
        </w:tc>
      </w:tr>
      <w:tr w14:paraId="1BA342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0" w:hRule="atLeast"/>
        </w:trPr>
        <w:tc>
          <w:tcPr>
            <w:tcW w:w="3870" w:type="dxa"/>
            <w:gridSpan w:val="2"/>
            <w:vAlign w:val="center"/>
          </w:tcPr>
          <w:p w14:paraId="4A0F0E97">
            <w:pPr>
              <w:spacing w:line="240" w:lineRule="auto"/>
              <w:ind w:firstLine="0" w:firstLineChars="0"/>
              <w:rPr>
                <w:highlight w:val="none"/>
              </w:rPr>
            </w:pPr>
            <w:r>
              <w:rPr>
                <w:highlight w:val="none"/>
              </w:rPr>
              <w:t>加热永久线变化率（1000</w:t>
            </w:r>
            <w:r>
              <w:rPr>
                <w:rFonts w:hint="eastAsia" w:cs="宋体"/>
                <w:highlight w:val="none"/>
              </w:rPr>
              <w:t>℃</w:t>
            </w:r>
            <w:r>
              <w:rPr>
                <w:highlight w:val="none"/>
              </w:rPr>
              <w:t>×3h）</w:t>
            </w:r>
          </w:p>
        </w:tc>
        <w:tc>
          <w:tcPr>
            <w:tcW w:w="2081" w:type="dxa"/>
            <w:vAlign w:val="center"/>
          </w:tcPr>
          <w:p w14:paraId="7E3FF49A">
            <w:pPr>
              <w:spacing w:line="240" w:lineRule="auto"/>
              <w:ind w:firstLine="0" w:firstLineChars="0"/>
              <w:jc w:val="center"/>
              <w:rPr>
                <w:highlight w:val="none"/>
              </w:rPr>
            </w:pPr>
            <w:r>
              <w:rPr>
                <w:highlight w:val="none"/>
              </w:rPr>
              <w:t>%</w:t>
            </w:r>
          </w:p>
        </w:tc>
        <w:tc>
          <w:tcPr>
            <w:tcW w:w="2571" w:type="dxa"/>
            <w:vAlign w:val="center"/>
          </w:tcPr>
          <w:p w14:paraId="4E3F852D">
            <w:pPr>
              <w:spacing w:line="240" w:lineRule="auto"/>
              <w:ind w:firstLine="0" w:firstLineChars="0"/>
              <w:jc w:val="center"/>
              <w:rPr>
                <w:highlight w:val="none"/>
              </w:rPr>
            </w:pPr>
            <w:r>
              <w:rPr>
                <w:kern w:val="0"/>
                <w:highlight w:val="none"/>
              </w:rPr>
              <w:t>±0.5</w:t>
            </w:r>
          </w:p>
        </w:tc>
      </w:tr>
      <w:tr w14:paraId="12A558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0" w:hRule="atLeast"/>
        </w:trPr>
        <w:tc>
          <w:tcPr>
            <w:tcW w:w="3870" w:type="dxa"/>
            <w:gridSpan w:val="2"/>
            <w:vAlign w:val="center"/>
          </w:tcPr>
          <w:p w14:paraId="0CFC1AE0">
            <w:pPr>
              <w:spacing w:line="240" w:lineRule="auto"/>
              <w:ind w:firstLine="0" w:firstLineChars="0"/>
              <w:rPr>
                <w:highlight w:val="none"/>
              </w:rPr>
            </w:pPr>
            <w:r>
              <w:rPr>
                <w:highlight w:val="none"/>
              </w:rPr>
              <w:t>使用部位</w:t>
            </w:r>
          </w:p>
        </w:tc>
        <w:tc>
          <w:tcPr>
            <w:tcW w:w="4652" w:type="dxa"/>
            <w:gridSpan w:val="2"/>
            <w:vAlign w:val="center"/>
          </w:tcPr>
          <w:p w14:paraId="7EBB164E">
            <w:pPr>
              <w:spacing w:line="240" w:lineRule="auto"/>
              <w:ind w:firstLine="0" w:firstLineChars="0"/>
              <w:rPr>
                <w:kern w:val="0"/>
                <w:highlight w:val="none"/>
              </w:rPr>
            </w:pPr>
            <w:r>
              <w:rPr>
                <w:rFonts w:hint="eastAsia"/>
                <w:szCs w:val="28"/>
                <w:highlight w:val="none"/>
              </w:rPr>
              <w:t>炉喉钢砖与炉壳之间间隙</w:t>
            </w:r>
          </w:p>
        </w:tc>
      </w:tr>
    </w:tbl>
    <w:p w14:paraId="4F4341D7">
      <w:pPr>
        <w:numPr>
          <w:ilvl w:val="0"/>
          <w:numId w:val="16"/>
        </w:numPr>
        <w:ind w:left="480" w:leftChars="0" w:firstLine="0" w:firstLineChars="0"/>
        <w:rPr>
          <w:highlight w:val="none"/>
        </w:rPr>
      </w:pPr>
      <w:bookmarkStart w:id="320" w:name="_Toc31645"/>
      <w:r>
        <w:rPr>
          <w:rFonts w:hint="eastAsia"/>
          <w:highlight w:val="none"/>
        </w:rPr>
        <w:t>高铝质自流耐火浇注料SF90</w:t>
      </w:r>
      <w:bookmarkEnd w:id="320"/>
    </w:p>
    <w:tbl>
      <w:tblPr>
        <w:tblStyle w:val="6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108" w:type="dxa"/>
          <w:bottom w:w="57" w:type="dxa"/>
          <w:right w:w="108" w:type="dxa"/>
        </w:tblCellMar>
      </w:tblPr>
      <w:tblGrid>
        <w:gridCol w:w="1897"/>
        <w:gridCol w:w="2178"/>
        <w:gridCol w:w="1643"/>
        <w:gridCol w:w="2804"/>
      </w:tblGrid>
      <w:tr w14:paraId="7E5481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blHeader/>
        </w:trPr>
        <w:tc>
          <w:tcPr>
            <w:tcW w:w="4075" w:type="dxa"/>
            <w:gridSpan w:val="2"/>
            <w:vAlign w:val="center"/>
          </w:tcPr>
          <w:p w14:paraId="6DBEE5C3">
            <w:pPr>
              <w:spacing w:line="240" w:lineRule="auto"/>
              <w:ind w:firstLine="0" w:firstLineChars="0"/>
              <w:jc w:val="center"/>
              <w:rPr>
                <w:rFonts w:ascii="Times New Roman"/>
                <w:sz w:val="21"/>
                <w:szCs w:val="21"/>
                <w:highlight w:val="none"/>
              </w:rPr>
            </w:pPr>
            <w:r>
              <w:rPr>
                <w:rFonts w:ascii="Times New Roman"/>
                <w:sz w:val="21"/>
                <w:szCs w:val="21"/>
                <w:highlight w:val="none"/>
              </w:rPr>
              <w:t>项目</w:t>
            </w:r>
          </w:p>
        </w:tc>
        <w:tc>
          <w:tcPr>
            <w:tcW w:w="1643" w:type="dxa"/>
            <w:vAlign w:val="center"/>
          </w:tcPr>
          <w:p w14:paraId="5DCC1B85">
            <w:pPr>
              <w:spacing w:line="240" w:lineRule="auto"/>
              <w:ind w:firstLine="0" w:firstLineChars="0"/>
              <w:jc w:val="center"/>
              <w:rPr>
                <w:rFonts w:ascii="Times New Roman"/>
                <w:sz w:val="21"/>
                <w:szCs w:val="21"/>
                <w:highlight w:val="none"/>
              </w:rPr>
            </w:pPr>
            <w:r>
              <w:rPr>
                <w:rFonts w:ascii="Times New Roman"/>
                <w:sz w:val="21"/>
                <w:szCs w:val="21"/>
                <w:highlight w:val="none"/>
              </w:rPr>
              <w:t>单位</w:t>
            </w:r>
          </w:p>
        </w:tc>
        <w:tc>
          <w:tcPr>
            <w:tcW w:w="2804" w:type="dxa"/>
            <w:vAlign w:val="center"/>
          </w:tcPr>
          <w:p w14:paraId="31A4912D">
            <w:pPr>
              <w:spacing w:line="240" w:lineRule="auto"/>
              <w:ind w:firstLine="0" w:firstLineChars="0"/>
              <w:jc w:val="center"/>
              <w:rPr>
                <w:rFonts w:ascii="Times New Roman"/>
                <w:sz w:val="21"/>
                <w:szCs w:val="21"/>
                <w:highlight w:val="none"/>
              </w:rPr>
            </w:pPr>
            <w:r>
              <w:rPr>
                <w:rFonts w:ascii="Times New Roman"/>
                <w:sz w:val="21"/>
                <w:szCs w:val="21"/>
                <w:highlight w:val="none"/>
              </w:rPr>
              <w:t>指标</w:t>
            </w:r>
          </w:p>
        </w:tc>
      </w:tr>
      <w:tr w14:paraId="6556DA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rPr>
        <w:tc>
          <w:tcPr>
            <w:tcW w:w="4075" w:type="dxa"/>
            <w:gridSpan w:val="2"/>
            <w:vAlign w:val="center"/>
          </w:tcPr>
          <w:p w14:paraId="589BC4DC">
            <w:pPr>
              <w:spacing w:line="240" w:lineRule="auto"/>
              <w:ind w:firstLine="0" w:firstLineChars="0"/>
              <w:rPr>
                <w:rFonts w:ascii="Times New Roman"/>
                <w:sz w:val="21"/>
                <w:szCs w:val="21"/>
                <w:highlight w:val="none"/>
              </w:rPr>
            </w:pPr>
            <w:r>
              <w:rPr>
                <w:rFonts w:ascii="Times New Roman"/>
                <w:sz w:val="21"/>
                <w:szCs w:val="21"/>
                <w:highlight w:val="none"/>
              </w:rPr>
              <w:t>Al</w:t>
            </w:r>
            <w:r>
              <w:rPr>
                <w:rFonts w:ascii="Times New Roman"/>
                <w:sz w:val="21"/>
                <w:szCs w:val="21"/>
                <w:highlight w:val="none"/>
                <w:vertAlign w:val="subscript"/>
              </w:rPr>
              <w:t>2</w:t>
            </w:r>
            <w:r>
              <w:rPr>
                <w:rFonts w:ascii="Times New Roman"/>
                <w:sz w:val="21"/>
                <w:szCs w:val="21"/>
                <w:highlight w:val="none"/>
              </w:rPr>
              <w:t>O</w:t>
            </w:r>
            <w:r>
              <w:rPr>
                <w:rFonts w:ascii="Times New Roman"/>
                <w:sz w:val="21"/>
                <w:szCs w:val="21"/>
                <w:highlight w:val="none"/>
                <w:vertAlign w:val="subscript"/>
              </w:rPr>
              <w:t>3</w:t>
            </w:r>
          </w:p>
        </w:tc>
        <w:tc>
          <w:tcPr>
            <w:tcW w:w="1643" w:type="dxa"/>
            <w:vAlign w:val="center"/>
          </w:tcPr>
          <w:p w14:paraId="44A95BDF">
            <w:pPr>
              <w:spacing w:line="240" w:lineRule="auto"/>
              <w:ind w:firstLine="0" w:firstLineChars="0"/>
              <w:jc w:val="center"/>
              <w:rPr>
                <w:rFonts w:ascii="Times New Roman"/>
                <w:sz w:val="21"/>
                <w:szCs w:val="21"/>
                <w:highlight w:val="none"/>
              </w:rPr>
            </w:pPr>
            <w:r>
              <w:rPr>
                <w:rFonts w:ascii="Times New Roman"/>
                <w:sz w:val="21"/>
                <w:szCs w:val="21"/>
                <w:highlight w:val="none"/>
              </w:rPr>
              <w:t>%</w:t>
            </w:r>
          </w:p>
        </w:tc>
        <w:tc>
          <w:tcPr>
            <w:tcW w:w="2804" w:type="dxa"/>
            <w:vAlign w:val="center"/>
          </w:tcPr>
          <w:p w14:paraId="3EDA07B0">
            <w:pPr>
              <w:spacing w:line="240" w:lineRule="auto"/>
              <w:ind w:firstLine="0" w:firstLineChars="0"/>
              <w:jc w:val="center"/>
              <w:rPr>
                <w:rFonts w:ascii="Times New Roman"/>
                <w:sz w:val="21"/>
                <w:szCs w:val="21"/>
                <w:highlight w:val="none"/>
              </w:rPr>
            </w:pPr>
            <w:r>
              <w:rPr>
                <w:rFonts w:ascii="Times New Roman"/>
                <w:sz w:val="21"/>
                <w:szCs w:val="21"/>
                <w:highlight w:val="none"/>
              </w:rPr>
              <w:t>≥</w:t>
            </w:r>
            <w:r>
              <w:rPr>
                <w:rFonts w:hint="eastAsia" w:ascii="Times New Roman"/>
                <w:sz w:val="21"/>
                <w:szCs w:val="21"/>
                <w:highlight w:val="none"/>
              </w:rPr>
              <w:t>92</w:t>
            </w:r>
          </w:p>
        </w:tc>
      </w:tr>
      <w:tr w14:paraId="171300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rHeight w:val="428" w:hRule="atLeast"/>
        </w:trPr>
        <w:tc>
          <w:tcPr>
            <w:tcW w:w="4075" w:type="dxa"/>
            <w:gridSpan w:val="2"/>
            <w:vAlign w:val="center"/>
          </w:tcPr>
          <w:p w14:paraId="4A333A70">
            <w:pPr>
              <w:spacing w:line="240" w:lineRule="auto"/>
              <w:ind w:firstLine="0" w:firstLineChars="0"/>
              <w:rPr>
                <w:rFonts w:ascii="Times New Roman"/>
                <w:sz w:val="21"/>
                <w:szCs w:val="21"/>
                <w:highlight w:val="none"/>
              </w:rPr>
            </w:pPr>
            <w:r>
              <w:rPr>
                <w:rFonts w:ascii="Times New Roman"/>
                <w:sz w:val="21"/>
                <w:szCs w:val="21"/>
                <w:highlight w:val="none"/>
              </w:rPr>
              <w:t>体积密度110</w:t>
            </w:r>
            <w:r>
              <w:rPr>
                <w:rFonts w:hint="eastAsia" w:cs="宋体"/>
                <w:sz w:val="21"/>
                <w:szCs w:val="21"/>
                <w:highlight w:val="none"/>
              </w:rPr>
              <w:t>℃</w:t>
            </w:r>
            <w:r>
              <w:rPr>
                <w:rFonts w:ascii="Times New Roman"/>
                <w:sz w:val="21"/>
                <w:szCs w:val="21"/>
                <w:highlight w:val="none"/>
              </w:rPr>
              <w:t>×24h烘后</w:t>
            </w:r>
          </w:p>
        </w:tc>
        <w:tc>
          <w:tcPr>
            <w:tcW w:w="1643" w:type="dxa"/>
            <w:vAlign w:val="center"/>
          </w:tcPr>
          <w:p w14:paraId="2E01D8A1">
            <w:pPr>
              <w:spacing w:line="240" w:lineRule="auto"/>
              <w:ind w:firstLine="0" w:firstLineChars="0"/>
              <w:jc w:val="center"/>
              <w:rPr>
                <w:rFonts w:ascii="Times New Roman"/>
                <w:sz w:val="21"/>
                <w:szCs w:val="21"/>
                <w:highlight w:val="none"/>
              </w:rPr>
            </w:pPr>
            <w:r>
              <w:rPr>
                <w:rFonts w:ascii="Times New Roman"/>
                <w:sz w:val="21"/>
                <w:szCs w:val="21"/>
                <w:highlight w:val="none"/>
              </w:rPr>
              <w:t>g/cm</w:t>
            </w:r>
            <w:r>
              <w:rPr>
                <w:rFonts w:ascii="Times New Roman"/>
                <w:sz w:val="21"/>
                <w:szCs w:val="21"/>
                <w:highlight w:val="none"/>
                <w:vertAlign w:val="superscript"/>
              </w:rPr>
              <w:t>3</w:t>
            </w:r>
          </w:p>
        </w:tc>
        <w:tc>
          <w:tcPr>
            <w:tcW w:w="2804" w:type="dxa"/>
            <w:vAlign w:val="center"/>
          </w:tcPr>
          <w:p w14:paraId="6CE0D886">
            <w:pPr>
              <w:spacing w:line="240" w:lineRule="auto"/>
              <w:ind w:firstLine="0" w:firstLineChars="0"/>
              <w:jc w:val="center"/>
              <w:rPr>
                <w:rFonts w:ascii="Times New Roman"/>
                <w:sz w:val="21"/>
                <w:szCs w:val="21"/>
                <w:highlight w:val="none"/>
              </w:rPr>
            </w:pPr>
            <w:r>
              <w:rPr>
                <w:rFonts w:ascii="Times New Roman"/>
                <w:sz w:val="21"/>
                <w:szCs w:val="21"/>
                <w:highlight w:val="none"/>
              </w:rPr>
              <w:t>≥</w:t>
            </w:r>
            <w:r>
              <w:rPr>
                <w:rFonts w:hint="eastAsia" w:ascii="Times New Roman"/>
                <w:sz w:val="21"/>
                <w:szCs w:val="21"/>
                <w:highlight w:val="none"/>
              </w:rPr>
              <w:t>3.05</w:t>
            </w:r>
          </w:p>
        </w:tc>
      </w:tr>
      <w:tr w14:paraId="059186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rPr>
        <w:tc>
          <w:tcPr>
            <w:tcW w:w="1897" w:type="dxa"/>
            <w:vMerge w:val="restart"/>
            <w:vAlign w:val="center"/>
          </w:tcPr>
          <w:p w14:paraId="7A9E4E25">
            <w:pPr>
              <w:spacing w:line="240" w:lineRule="auto"/>
              <w:ind w:firstLine="0" w:firstLineChars="0"/>
              <w:rPr>
                <w:rFonts w:ascii="Times New Roman"/>
                <w:sz w:val="21"/>
                <w:szCs w:val="21"/>
                <w:highlight w:val="none"/>
              </w:rPr>
            </w:pPr>
            <w:r>
              <w:rPr>
                <w:rFonts w:ascii="Times New Roman"/>
                <w:sz w:val="21"/>
                <w:szCs w:val="21"/>
                <w:highlight w:val="none"/>
              </w:rPr>
              <w:t>常温抗压强度</w:t>
            </w:r>
          </w:p>
        </w:tc>
        <w:tc>
          <w:tcPr>
            <w:tcW w:w="2178" w:type="dxa"/>
            <w:vAlign w:val="center"/>
          </w:tcPr>
          <w:p w14:paraId="76FD4AE7">
            <w:pPr>
              <w:spacing w:line="240" w:lineRule="auto"/>
              <w:ind w:firstLine="0" w:firstLineChars="0"/>
              <w:rPr>
                <w:rFonts w:ascii="Times New Roman"/>
                <w:sz w:val="21"/>
                <w:szCs w:val="21"/>
                <w:highlight w:val="none"/>
              </w:rPr>
            </w:pPr>
            <w:r>
              <w:rPr>
                <w:rFonts w:ascii="Times New Roman"/>
                <w:sz w:val="21"/>
                <w:szCs w:val="21"/>
                <w:highlight w:val="none"/>
              </w:rPr>
              <w:t>110</w:t>
            </w:r>
            <w:r>
              <w:rPr>
                <w:rFonts w:hint="eastAsia" w:cs="宋体"/>
                <w:sz w:val="21"/>
                <w:szCs w:val="21"/>
                <w:highlight w:val="none"/>
              </w:rPr>
              <w:t>℃</w:t>
            </w:r>
            <w:r>
              <w:rPr>
                <w:rFonts w:ascii="Times New Roman"/>
                <w:sz w:val="21"/>
                <w:szCs w:val="21"/>
                <w:highlight w:val="none"/>
              </w:rPr>
              <w:t>×24h烘后</w:t>
            </w:r>
          </w:p>
        </w:tc>
        <w:tc>
          <w:tcPr>
            <w:tcW w:w="1643" w:type="dxa"/>
            <w:vAlign w:val="center"/>
          </w:tcPr>
          <w:p w14:paraId="74697EFE">
            <w:pPr>
              <w:spacing w:line="240" w:lineRule="auto"/>
              <w:ind w:firstLine="0" w:firstLineChars="0"/>
              <w:jc w:val="center"/>
              <w:rPr>
                <w:rFonts w:ascii="Times New Roman"/>
                <w:sz w:val="21"/>
                <w:szCs w:val="21"/>
                <w:highlight w:val="none"/>
              </w:rPr>
            </w:pPr>
            <w:r>
              <w:rPr>
                <w:rFonts w:ascii="Times New Roman"/>
                <w:sz w:val="21"/>
                <w:szCs w:val="21"/>
                <w:highlight w:val="none"/>
              </w:rPr>
              <w:t>MPa</w:t>
            </w:r>
          </w:p>
        </w:tc>
        <w:tc>
          <w:tcPr>
            <w:tcW w:w="2804" w:type="dxa"/>
            <w:vAlign w:val="center"/>
          </w:tcPr>
          <w:p w14:paraId="66E4AFB1">
            <w:pPr>
              <w:spacing w:line="240" w:lineRule="auto"/>
              <w:ind w:firstLine="0" w:firstLineChars="0"/>
              <w:jc w:val="center"/>
              <w:rPr>
                <w:rFonts w:ascii="Times New Roman"/>
                <w:sz w:val="21"/>
                <w:szCs w:val="21"/>
                <w:highlight w:val="none"/>
              </w:rPr>
            </w:pPr>
            <w:r>
              <w:rPr>
                <w:rFonts w:ascii="Times New Roman"/>
                <w:sz w:val="21"/>
                <w:szCs w:val="21"/>
                <w:highlight w:val="none"/>
              </w:rPr>
              <w:t>≥</w:t>
            </w:r>
            <w:r>
              <w:rPr>
                <w:rFonts w:hint="eastAsia" w:ascii="Times New Roman"/>
                <w:sz w:val="21"/>
                <w:szCs w:val="21"/>
                <w:highlight w:val="none"/>
              </w:rPr>
              <w:t>35</w:t>
            </w:r>
          </w:p>
        </w:tc>
      </w:tr>
      <w:tr w14:paraId="14E2AF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rPr>
        <w:tc>
          <w:tcPr>
            <w:tcW w:w="1897" w:type="dxa"/>
            <w:vMerge w:val="continue"/>
            <w:vAlign w:val="center"/>
          </w:tcPr>
          <w:p w14:paraId="0B1F5DC1">
            <w:pPr>
              <w:spacing w:line="240" w:lineRule="auto"/>
              <w:ind w:firstLine="0" w:firstLineChars="0"/>
              <w:rPr>
                <w:rFonts w:ascii="Times New Roman"/>
                <w:sz w:val="21"/>
                <w:szCs w:val="21"/>
                <w:highlight w:val="none"/>
              </w:rPr>
            </w:pPr>
          </w:p>
        </w:tc>
        <w:tc>
          <w:tcPr>
            <w:tcW w:w="2178" w:type="dxa"/>
            <w:vAlign w:val="center"/>
          </w:tcPr>
          <w:p w14:paraId="5CE5452B">
            <w:pPr>
              <w:spacing w:line="240" w:lineRule="auto"/>
              <w:ind w:firstLine="0" w:firstLineChars="0"/>
              <w:rPr>
                <w:rFonts w:ascii="Times New Roman"/>
                <w:sz w:val="21"/>
                <w:szCs w:val="21"/>
                <w:highlight w:val="none"/>
              </w:rPr>
            </w:pPr>
            <w:r>
              <w:rPr>
                <w:rFonts w:ascii="Times New Roman"/>
                <w:sz w:val="21"/>
                <w:szCs w:val="21"/>
                <w:highlight w:val="none"/>
              </w:rPr>
              <w:t>1</w:t>
            </w:r>
            <w:r>
              <w:rPr>
                <w:rFonts w:hint="eastAsia" w:ascii="Times New Roman"/>
                <w:sz w:val="21"/>
                <w:szCs w:val="21"/>
                <w:highlight w:val="none"/>
              </w:rPr>
              <w:t>50</w:t>
            </w:r>
            <w:r>
              <w:rPr>
                <w:rFonts w:ascii="Times New Roman"/>
                <w:sz w:val="21"/>
                <w:szCs w:val="21"/>
                <w:highlight w:val="none"/>
              </w:rPr>
              <w:t>0</w:t>
            </w:r>
            <w:r>
              <w:rPr>
                <w:rFonts w:hint="eastAsia" w:cs="宋体"/>
                <w:sz w:val="21"/>
                <w:szCs w:val="21"/>
                <w:highlight w:val="none"/>
              </w:rPr>
              <w:t>℃</w:t>
            </w:r>
            <w:r>
              <w:rPr>
                <w:rFonts w:ascii="Times New Roman"/>
                <w:sz w:val="21"/>
                <w:szCs w:val="21"/>
                <w:highlight w:val="none"/>
              </w:rPr>
              <w:t>×3h烘后</w:t>
            </w:r>
          </w:p>
        </w:tc>
        <w:tc>
          <w:tcPr>
            <w:tcW w:w="1643" w:type="dxa"/>
            <w:vAlign w:val="center"/>
          </w:tcPr>
          <w:p w14:paraId="48E60FA0">
            <w:pPr>
              <w:spacing w:line="240" w:lineRule="auto"/>
              <w:ind w:firstLine="0" w:firstLineChars="0"/>
              <w:jc w:val="center"/>
              <w:rPr>
                <w:rFonts w:ascii="Times New Roman"/>
                <w:sz w:val="21"/>
                <w:szCs w:val="21"/>
                <w:highlight w:val="none"/>
              </w:rPr>
            </w:pPr>
            <w:r>
              <w:rPr>
                <w:rFonts w:ascii="Times New Roman"/>
                <w:sz w:val="21"/>
                <w:szCs w:val="21"/>
                <w:highlight w:val="none"/>
              </w:rPr>
              <w:t>MPa</w:t>
            </w:r>
          </w:p>
        </w:tc>
        <w:tc>
          <w:tcPr>
            <w:tcW w:w="2804" w:type="dxa"/>
            <w:vAlign w:val="center"/>
          </w:tcPr>
          <w:p w14:paraId="630F9CC7">
            <w:pPr>
              <w:spacing w:line="240" w:lineRule="auto"/>
              <w:ind w:firstLine="0" w:firstLineChars="0"/>
              <w:jc w:val="center"/>
              <w:rPr>
                <w:rFonts w:ascii="Times New Roman"/>
                <w:sz w:val="21"/>
                <w:szCs w:val="21"/>
                <w:highlight w:val="none"/>
              </w:rPr>
            </w:pPr>
            <w:r>
              <w:rPr>
                <w:rFonts w:ascii="Times New Roman"/>
                <w:sz w:val="21"/>
                <w:szCs w:val="21"/>
                <w:highlight w:val="none"/>
              </w:rPr>
              <w:t>≥</w:t>
            </w:r>
            <w:r>
              <w:rPr>
                <w:rFonts w:hint="eastAsia" w:ascii="Times New Roman"/>
                <w:sz w:val="21"/>
                <w:szCs w:val="21"/>
                <w:highlight w:val="none"/>
              </w:rPr>
              <w:t>9</w:t>
            </w:r>
            <w:r>
              <w:rPr>
                <w:rFonts w:ascii="Times New Roman"/>
                <w:sz w:val="21"/>
                <w:szCs w:val="21"/>
                <w:highlight w:val="none"/>
              </w:rPr>
              <w:t>0</w:t>
            </w:r>
          </w:p>
        </w:tc>
      </w:tr>
      <w:tr w14:paraId="3FC449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rPr>
        <w:tc>
          <w:tcPr>
            <w:tcW w:w="1897" w:type="dxa"/>
            <w:vMerge w:val="restart"/>
            <w:vAlign w:val="center"/>
          </w:tcPr>
          <w:p w14:paraId="246DC81D">
            <w:pPr>
              <w:spacing w:line="240" w:lineRule="auto"/>
              <w:ind w:firstLine="0" w:firstLineChars="0"/>
              <w:rPr>
                <w:rFonts w:ascii="Times New Roman"/>
                <w:sz w:val="21"/>
                <w:szCs w:val="21"/>
                <w:highlight w:val="none"/>
              </w:rPr>
            </w:pPr>
            <w:r>
              <w:rPr>
                <w:rFonts w:ascii="Times New Roman"/>
                <w:sz w:val="21"/>
                <w:szCs w:val="21"/>
                <w:highlight w:val="none"/>
              </w:rPr>
              <w:t>常温抗折强度</w:t>
            </w:r>
          </w:p>
        </w:tc>
        <w:tc>
          <w:tcPr>
            <w:tcW w:w="2178" w:type="dxa"/>
            <w:vAlign w:val="center"/>
          </w:tcPr>
          <w:p w14:paraId="64B49B8A">
            <w:pPr>
              <w:spacing w:line="240" w:lineRule="auto"/>
              <w:ind w:firstLine="0" w:firstLineChars="0"/>
              <w:rPr>
                <w:rFonts w:ascii="Times New Roman"/>
                <w:sz w:val="21"/>
                <w:szCs w:val="21"/>
                <w:highlight w:val="none"/>
              </w:rPr>
            </w:pPr>
            <w:r>
              <w:rPr>
                <w:rFonts w:ascii="Times New Roman"/>
                <w:sz w:val="21"/>
                <w:szCs w:val="21"/>
                <w:highlight w:val="none"/>
              </w:rPr>
              <w:t>110</w:t>
            </w:r>
            <w:r>
              <w:rPr>
                <w:rFonts w:hint="eastAsia" w:cs="宋体"/>
                <w:sz w:val="21"/>
                <w:szCs w:val="21"/>
                <w:highlight w:val="none"/>
              </w:rPr>
              <w:t>℃</w:t>
            </w:r>
            <w:r>
              <w:rPr>
                <w:rFonts w:ascii="Times New Roman"/>
                <w:sz w:val="21"/>
                <w:szCs w:val="21"/>
                <w:highlight w:val="none"/>
              </w:rPr>
              <w:t>×24h烘后</w:t>
            </w:r>
          </w:p>
        </w:tc>
        <w:tc>
          <w:tcPr>
            <w:tcW w:w="1643" w:type="dxa"/>
            <w:vAlign w:val="center"/>
          </w:tcPr>
          <w:p w14:paraId="6FE8FD76">
            <w:pPr>
              <w:spacing w:line="240" w:lineRule="auto"/>
              <w:ind w:firstLine="0" w:firstLineChars="0"/>
              <w:jc w:val="center"/>
              <w:rPr>
                <w:rFonts w:ascii="Times New Roman"/>
                <w:sz w:val="21"/>
                <w:szCs w:val="21"/>
                <w:highlight w:val="none"/>
              </w:rPr>
            </w:pPr>
            <w:r>
              <w:rPr>
                <w:rFonts w:ascii="Times New Roman"/>
                <w:sz w:val="21"/>
                <w:szCs w:val="21"/>
                <w:highlight w:val="none"/>
              </w:rPr>
              <w:t>MPa</w:t>
            </w:r>
          </w:p>
        </w:tc>
        <w:tc>
          <w:tcPr>
            <w:tcW w:w="2804" w:type="dxa"/>
            <w:vAlign w:val="center"/>
          </w:tcPr>
          <w:p w14:paraId="5DD45F53">
            <w:pPr>
              <w:spacing w:line="240" w:lineRule="auto"/>
              <w:ind w:firstLine="0" w:firstLineChars="0"/>
              <w:jc w:val="center"/>
              <w:rPr>
                <w:rFonts w:ascii="Times New Roman"/>
                <w:sz w:val="21"/>
                <w:szCs w:val="21"/>
                <w:highlight w:val="none"/>
              </w:rPr>
            </w:pPr>
            <w:r>
              <w:rPr>
                <w:rFonts w:ascii="Times New Roman"/>
                <w:sz w:val="21"/>
                <w:szCs w:val="21"/>
                <w:highlight w:val="none"/>
              </w:rPr>
              <w:t>≥</w:t>
            </w:r>
            <w:r>
              <w:rPr>
                <w:rFonts w:hint="eastAsia" w:ascii="Times New Roman"/>
                <w:sz w:val="21"/>
                <w:szCs w:val="21"/>
                <w:highlight w:val="none"/>
              </w:rPr>
              <w:t>6</w:t>
            </w:r>
          </w:p>
        </w:tc>
      </w:tr>
      <w:tr w14:paraId="390B38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rPr>
        <w:tc>
          <w:tcPr>
            <w:tcW w:w="1897" w:type="dxa"/>
            <w:vMerge w:val="continue"/>
            <w:vAlign w:val="center"/>
          </w:tcPr>
          <w:p w14:paraId="4FE3B010">
            <w:pPr>
              <w:spacing w:line="240" w:lineRule="auto"/>
              <w:ind w:firstLine="0" w:firstLineChars="0"/>
              <w:rPr>
                <w:rFonts w:ascii="Times New Roman"/>
                <w:sz w:val="21"/>
                <w:szCs w:val="21"/>
                <w:highlight w:val="none"/>
              </w:rPr>
            </w:pPr>
          </w:p>
        </w:tc>
        <w:tc>
          <w:tcPr>
            <w:tcW w:w="2178" w:type="dxa"/>
            <w:vAlign w:val="center"/>
          </w:tcPr>
          <w:p w14:paraId="375B5851">
            <w:pPr>
              <w:spacing w:line="240" w:lineRule="auto"/>
              <w:ind w:firstLine="0" w:firstLineChars="0"/>
              <w:rPr>
                <w:rFonts w:ascii="Times New Roman"/>
                <w:sz w:val="21"/>
                <w:szCs w:val="21"/>
                <w:highlight w:val="none"/>
              </w:rPr>
            </w:pPr>
            <w:r>
              <w:rPr>
                <w:rFonts w:ascii="Times New Roman"/>
                <w:sz w:val="21"/>
                <w:szCs w:val="21"/>
                <w:highlight w:val="none"/>
              </w:rPr>
              <w:t>1</w:t>
            </w:r>
            <w:r>
              <w:rPr>
                <w:rFonts w:hint="eastAsia" w:ascii="Times New Roman"/>
                <w:sz w:val="21"/>
                <w:szCs w:val="21"/>
                <w:highlight w:val="none"/>
              </w:rPr>
              <w:t>50</w:t>
            </w:r>
            <w:r>
              <w:rPr>
                <w:rFonts w:ascii="Times New Roman"/>
                <w:sz w:val="21"/>
                <w:szCs w:val="21"/>
                <w:highlight w:val="none"/>
              </w:rPr>
              <w:t>0</w:t>
            </w:r>
            <w:r>
              <w:rPr>
                <w:rFonts w:hint="eastAsia" w:cs="宋体"/>
                <w:sz w:val="21"/>
                <w:szCs w:val="21"/>
                <w:highlight w:val="none"/>
              </w:rPr>
              <w:t>℃</w:t>
            </w:r>
            <w:r>
              <w:rPr>
                <w:rFonts w:ascii="Times New Roman"/>
                <w:sz w:val="21"/>
                <w:szCs w:val="21"/>
                <w:highlight w:val="none"/>
              </w:rPr>
              <w:t>×3h烘后</w:t>
            </w:r>
          </w:p>
        </w:tc>
        <w:tc>
          <w:tcPr>
            <w:tcW w:w="1643" w:type="dxa"/>
            <w:vAlign w:val="center"/>
          </w:tcPr>
          <w:p w14:paraId="3B96D834">
            <w:pPr>
              <w:spacing w:line="240" w:lineRule="auto"/>
              <w:ind w:firstLine="0" w:firstLineChars="0"/>
              <w:jc w:val="center"/>
              <w:rPr>
                <w:rFonts w:ascii="Times New Roman"/>
                <w:sz w:val="21"/>
                <w:szCs w:val="21"/>
                <w:highlight w:val="none"/>
              </w:rPr>
            </w:pPr>
            <w:r>
              <w:rPr>
                <w:rFonts w:ascii="Times New Roman"/>
                <w:sz w:val="21"/>
                <w:szCs w:val="21"/>
                <w:highlight w:val="none"/>
              </w:rPr>
              <w:t>MPa</w:t>
            </w:r>
          </w:p>
        </w:tc>
        <w:tc>
          <w:tcPr>
            <w:tcW w:w="2804" w:type="dxa"/>
            <w:vAlign w:val="center"/>
          </w:tcPr>
          <w:p w14:paraId="4488E3D3">
            <w:pPr>
              <w:spacing w:line="240" w:lineRule="auto"/>
              <w:ind w:firstLine="0" w:firstLineChars="0"/>
              <w:jc w:val="center"/>
              <w:rPr>
                <w:rFonts w:ascii="Times New Roman"/>
                <w:sz w:val="21"/>
                <w:szCs w:val="21"/>
                <w:highlight w:val="none"/>
              </w:rPr>
            </w:pPr>
            <w:r>
              <w:rPr>
                <w:rFonts w:ascii="Times New Roman"/>
                <w:sz w:val="21"/>
                <w:szCs w:val="21"/>
                <w:highlight w:val="none"/>
              </w:rPr>
              <w:t>≥</w:t>
            </w:r>
            <w:r>
              <w:rPr>
                <w:rFonts w:hint="eastAsia" w:ascii="Times New Roman"/>
                <w:sz w:val="21"/>
                <w:szCs w:val="21"/>
                <w:highlight w:val="none"/>
              </w:rPr>
              <w:t>12</w:t>
            </w:r>
          </w:p>
        </w:tc>
      </w:tr>
      <w:tr w14:paraId="425E54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rPr>
        <w:tc>
          <w:tcPr>
            <w:tcW w:w="1897" w:type="dxa"/>
            <w:vMerge w:val="restart"/>
            <w:vAlign w:val="center"/>
          </w:tcPr>
          <w:p w14:paraId="3A6F9584">
            <w:pPr>
              <w:spacing w:line="240" w:lineRule="auto"/>
              <w:ind w:firstLine="0" w:firstLineChars="0"/>
              <w:rPr>
                <w:rFonts w:ascii="Times New Roman"/>
                <w:sz w:val="21"/>
                <w:szCs w:val="21"/>
                <w:highlight w:val="none"/>
              </w:rPr>
            </w:pPr>
            <w:r>
              <w:rPr>
                <w:rFonts w:ascii="Times New Roman"/>
                <w:sz w:val="21"/>
                <w:szCs w:val="21"/>
                <w:highlight w:val="none"/>
              </w:rPr>
              <w:t>加热永久线变化</w:t>
            </w:r>
          </w:p>
        </w:tc>
        <w:tc>
          <w:tcPr>
            <w:tcW w:w="2178" w:type="dxa"/>
            <w:vAlign w:val="center"/>
          </w:tcPr>
          <w:p w14:paraId="4364E7B7">
            <w:pPr>
              <w:spacing w:line="240" w:lineRule="auto"/>
              <w:ind w:firstLine="0" w:firstLineChars="0"/>
              <w:rPr>
                <w:rFonts w:ascii="Times New Roman"/>
                <w:sz w:val="21"/>
                <w:szCs w:val="21"/>
                <w:highlight w:val="none"/>
              </w:rPr>
            </w:pPr>
            <w:r>
              <w:rPr>
                <w:rFonts w:ascii="Times New Roman"/>
                <w:sz w:val="21"/>
                <w:szCs w:val="21"/>
                <w:highlight w:val="none"/>
              </w:rPr>
              <w:t>110</w:t>
            </w:r>
            <w:r>
              <w:rPr>
                <w:rFonts w:hint="eastAsia" w:cs="宋体"/>
                <w:sz w:val="21"/>
                <w:szCs w:val="21"/>
                <w:highlight w:val="none"/>
              </w:rPr>
              <w:t>℃</w:t>
            </w:r>
            <w:r>
              <w:rPr>
                <w:rFonts w:ascii="Times New Roman"/>
                <w:sz w:val="21"/>
                <w:szCs w:val="21"/>
                <w:highlight w:val="none"/>
              </w:rPr>
              <w:t>×24h烘后</w:t>
            </w:r>
          </w:p>
        </w:tc>
        <w:tc>
          <w:tcPr>
            <w:tcW w:w="1643" w:type="dxa"/>
            <w:vAlign w:val="center"/>
          </w:tcPr>
          <w:p w14:paraId="69F0F37E">
            <w:pPr>
              <w:spacing w:line="240" w:lineRule="auto"/>
              <w:ind w:firstLine="0" w:firstLineChars="0"/>
              <w:jc w:val="center"/>
              <w:rPr>
                <w:rFonts w:ascii="Times New Roman"/>
                <w:sz w:val="21"/>
                <w:szCs w:val="21"/>
                <w:highlight w:val="none"/>
              </w:rPr>
            </w:pPr>
            <w:r>
              <w:rPr>
                <w:rFonts w:ascii="Times New Roman"/>
                <w:sz w:val="21"/>
                <w:szCs w:val="21"/>
                <w:highlight w:val="none"/>
              </w:rPr>
              <w:t>%</w:t>
            </w:r>
          </w:p>
        </w:tc>
        <w:tc>
          <w:tcPr>
            <w:tcW w:w="2804" w:type="dxa"/>
            <w:vAlign w:val="center"/>
          </w:tcPr>
          <w:p w14:paraId="02BC3ED4">
            <w:pPr>
              <w:spacing w:line="240" w:lineRule="auto"/>
              <w:ind w:firstLine="0" w:firstLineChars="0"/>
              <w:jc w:val="center"/>
              <w:rPr>
                <w:rFonts w:ascii="Times New Roman"/>
                <w:sz w:val="21"/>
                <w:szCs w:val="21"/>
                <w:highlight w:val="none"/>
              </w:rPr>
            </w:pPr>
            <w:r>
              <w:rPr>
                <w:rFonts w:ascii="Times New Roman"/>
                <w:sz w:val="21"/>
                <w:szCs w:val="21"/>
                <w:highlight w:val="none"/>
              </w:rPr>
              <w:t>±0.2</w:t>
            </w:r>
          </w:p>
        </w:tc>
      </w:tr>
      <w:tr w14:paraId="36B1FA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rPr>
        <w:tc>
          <w:tcPr>
            <w:tcW w:w="1897" w:type="dxa"/>
            <w:vMerge w:val="continue"/>
            <w:vAlign w:val="center"/>
          </w:tcPr>
          <w:p w14:paraId="6CEF0301">
            <w:pPr>
              <w:spacing w:line="240" w:lineRule="auto"/>
              <w:ind w:firstLine="0" w:firstLineChars="0"/>
              <w:rPr>
                <w:rFonts w:ascii="Times New Roman"/>
                <w:sz w:val="21"/>
                <w:szCs w:val="21"/>
                <w:highlight w:val="none"/>
              </w:rPr>
            </w:pPr>
          </w:p>
        </w:tc>
        <w:tc>
          <w:tcPr>
            <w:tcW w:w="2178" w:type="dxa"/>
            <w:vAlign w:val="center"/>
          </w:tcPr>
          <w:p w14:paraId="0AD7FF86">
            <w:pPr>
              <w:spacing w:line="240" w:lineRule="auto"/>
              <w:ind w:firstLine="0" w:firstLineChars="0"/>
              <w:rPr>
                <w:rFonts w:ascii="Times New Roman"/>
                <w:sz w:val="21"/>
                <w:szCs w:val="21"/>
                <w:highlight w:val="none"/>
              </w:rPr>
            </w:pPr>
            <w:r>
              <w:rPr>
                <w:rFonts w:ascii="Times New Roman"/>
                <w:sz w:val="21"/>
                <w:szCs w:val="21"/>
                <w:highlight w:val="none"/>
              </w:rPr>
              <w:t>1350</w:t>
            </w:r>
            <w:r>
              <w:rPr>
                <w:rFonts w:hint="eastAsia" w:cs="宋体"/>
                <w:sz w:val="21"/>
                <w:szCs w:val="21"/>
                <w:highlight w:val="none"/>
              </w:rPr>
              <w:t>℃</w:t>
            </w:r>
            <w:r>
              <w:rPr>
                <w:rFonts w:ascii="Times New Roman"/>
                <w:sz w:val="21"/>
                <w:szCs w:val="21"/>
                <w:highlight w:val="none"/>
              </w:rPr>
              <w:t>×3h烘后</w:t>
            </w:r>
          </w:p>
        </w:tc>
        <w:tc>
          <w:tcPr>
            <w:tcW w:w="1643" w:type="dxa"/>
            <w:vAlign w:val="center"/>
          </w:tcPr>
          <w:p w14:paraId="7C95B130">
            <w:pPr>
              <w:spacing w:line="240" w:lineRule="auto"/>
              <w:ind w:firstLine="0" w:firstLineChars="0"/>
              <w:jc w:val="center"/>
              <w:rPr>
                <w:rFonts w:ascii="Times New Roman"/>
                <w:sz w:val="21"/>
                <w:szCs w:val="21"/>
                <w:highlight w:val="none"/>
              </w:rPr>
            </w:pPr>
            <w:r>
              <w:rPr>
                <w:rFonts w:ascii="Times New Roman"/>
                <w:sz w:val="21"/>
                <w:szCs w:val="21"/>
                <w:highlight w:val="none"/>
              </w:rPr>
              <w:t>%</w:t>
            </w:r>
          </w:p>
        </w:tc>
        <w:tc>
          <w:tcPr>
            <w:tcW w:w="2804" w:type="dxa"/>
            <w:vAlign w:val="center"/>
          </w:tcPr>
          <w:p w14:paraId="3A92B019">
            <w:pPr>
              <w:spacing w:line="240" w:lineRule="auto"/>
              <w:ind w:firstLine="0" w:firstLineChars="0"/>
              <w:jc w:val="center"/>
              <w:rPr>
                <w:rFonts w:ascii="Times New Roman"/>
                <w:sz w:val="21"/>
                <w:szCs w:val="21"/>
                <w:highlight w:val="none"/>
              </w:rPr>
            </w:pPr>
            <w:r>
              <w:rPr>
                <w:rFonts w:ascii="Times New Roman"/>
                <w:sz w:val="21"/>
                <w:szCs w:val="21"/>
                <w:highlight w:val="none"/>
              </w:rPr>
              <w:t>±0.5</w:t>
            </w:r>
          </w:p>
        </w:tc>
      </w:tr>
      <w:tr w14:paraId="60D698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rPr>
        <w:tc>
          <w:tcPr>
            <w:tcW w:w="4075" w:type="dxa"/>
            <w:gridSpan w:val="2"/>
            <w:vAlign w:val="center"/>
          </w:tcPr>
          <w:p w14:paraId="1B75B022">
            <w:pPr>
              <w:spacing w:line="240" w:lineRule="auto"/>
              <w:ind w:firstLine="0" w:firstLineChars="0"/>
              <w:rPr>
                <w:rFonts w:ascii="Times New Roman"/>
                <w:spacing w:val="-3"/>
                <w:sz w:val="21"/>
                <w:szCs w:val="21"/>
                <w:highlight w:val="none"/>
              </w:rPr>
            </w:pPr>
            <w:r>
              <w:rPr>
                <w:rFonts w:ascii="Times New Roman"/>
                <w:sz w:val="21"/>
                <w:szCs w:val="21"/>
                <w:highlight w:val="none"/>
              </w:rPr>
              <w:t>自流值/mm</w:t>
            </w:r>
          </w:p>
        </w:tc>
        <w:tc>
          <w:tcPr>
            <w:tcW w:w="4447" w:type="dxa"/>
            <w:gridSpan w:val="2"/>
            <w:vAlign w:val="center"/>
          </w:tcPr>
          <w:p w14:paraId="0FE1371C">
            <w:pPr>
              <w:spacing w:line="240" w:lineRule="auto"/>
              <w:ind w:firstLine="0" w:firstLineChars="0"/>
              <w:rPr>
                <w:rFonts w:ascii="Times New Roman"/>
                <w:sz w:val="21"/>
                <w:szCs w:val="21"/>
                <w:highlight w:val="none"/>
              </w:rPr>
            </w:pPr>
            <w:r>
              <w:rPr>
                <w:rFonts w:ascii="Times New Roman"/>
                <w:sz w:val="21"/>
                <w:szCs w:val="21"/>
                <w:highlight w:val="none"/>
              </w:rPr>
              <w:t>170～210（自流法）；200～220（跳桌法）</w:t>
            </w:r>
          </w:p>
        </w:tc>
      </w:tr>
      <w:tr w14:paraId="281C65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cantSplit/>
        </w:trPr>
        <w:tc>
          <w:tcPr>
            <w:tcW w:w="4075" w:type="dxa"/>
            <w:gridSpan w:val="2"/>
            <w:vAlign w:val="center"/>
          </w:tcPr>
          <w:p w14:paraId="35342234">
            <w:pPr>
              <w:spacing w:line="240" w:lineRule="auto"/>
              <w:ind w:firstLine="0" w:firstLineChars="0"/>
              <w:rPr>
                <w:rFonts w:ascii="Times New Roman"/>
                <w:sz w:val="21"/>
                <w:szCs w:val="21"/>
                <w:highlight w:val="none"/>
              </w:rPr>
            </w:pPr>
            <w:r>
              <w:rPr>
                <w:rFonts w:hint="eastAsia" w:ascii="Times New Roman"/>
                <w:bCs/>
                <w:sz w:val="21"/>
                <w:szCs w:val="21"/>
                <w:highlight w:val="none"/>
              </w:rPr>
              <w:t>使用部位</w:t>
            </w:r>
          </w:p>
        </w:tc>
        <w:tc>
          <w:tcPr>
            <w:tcW w:w="4447" w:type="dxa"/>
            <w:gridSpan w:val="2"/>
            <w:vAlign w:val="center"/>
          </w:tcPr>
          <w:p w14:paraId="7569FEC9">
            <w:pPr>
              <w:spacing w:line="240" w:lineRule="auto"/>
              <w:ind w:firstLine="0" w:firstLineChars="0"/>
              <w:rPr>
                <w:rFonts w:ascii="Times New Roman"/>
                <w:sz w:val="21"/>
                <w:szCs w:val="21"/>
                <w:highlight w:val="none"/>
              </w:rPr>
            </w:pPr>
            <w:r>
              <w:rPr>
                <w:rFonts w:hint="eastAsia" w:ascii="Times New Roman"/>
                <w:sz w:val="21"/>
                <w:szCs w:val="21"/>
                <w:highlight w:val="none"/>
              </w:rPr>
              <w:t>风口组合与风口套之间上半圆</w:t>
            </w:r>
          </w:p>
        </w:tc>
      </w:tr>
    </w:tbl>
    <w:p w14:paraId="6152500A">
      <w:pPr>
        <w:numPr>
          <w:ilvl w:val="0"/>
          <w:numId w:val="16"/>
        </w:numPr>
        <w:ind w:left="480" w:leftChars="0" w:firstLine="0" w:firstLineChars="0"/>
        <w:rPr>
          <w:highlight w:val="none"/>
        </w:rPr>
      </w:pPr>
      <w:bookmarkStart w:id="321" w:name="_Toc18765"/>
      <w:r>
        <w:rPr>
          <w:rFonts w:hint="eastAsia"/>
          <w:highlight w:val="none"/>
        </w:rPr>
        <w:t>硅溶胶结合莫来石浇注料</w:t>
      </w:r>
      <w:bookmarkEnd w:id="321"/>
      <w:r>
        <w:rPr>
          <w:rFonts w:hint="eastAsia"/>
          <w:highlight w:val="none"/>
        </w:rPr>
        <w:t xml:space="preserve">   </w:t>
      </w:r>
    </w:p>
    <w:tbl>
      <w:tblPr>
        <w:tblStyle w:val="6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0"/>
        <w:gridCol w:w="1896"/>
        <w:gridCol w:w="1234"/>
        <w:gridCol w:w="1054"/>
        <w:gridCol w:w="1413"/>
        <w:gridCol w:w="1995"/>
      </w:tblGrid>
      <w:tr w14:paraId="6BB863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826" w:type="dxa"/>
            <w:gridSpan w:val="2"/>
            <w:vAlign w:val="center"/>
          </w:tcPr>
          <w:p w14:paraId="5B54564A">
            <w:pPr>
              <w:spacing w:line="240" w:lineRule="auto"/>
              <w:ind w:firstLine="0" w:firstLineChars="0"/>
              <w:rPr>
                <w:rFonts w:ascii="Times New Roman"/>
                <w:sz w:val="21"/>
                <w:szCs w:val="21"/>
                <w:highlight w:val="none"/>
              </w:rPr>
            </w:pPr>
            <w:r>
              <w:rPr>
                <w:rFonts w:hint="eastAsia" w:ascii="Times New Roman"/>
                <w:sz w:val="21"/>
                <w:szCs w:val="21"/>
                <w:highlight w:val="none"/>
              </w:rPr>
              <w:t>项目</w:t>
            </w:r>
          </w:p>
        </w:tc>
        <w:tc>
          <w:tcPr>
            <w:tcW w:w="1234" w:type="dxa"/>
            <w:vAlign w:val="center"/>
          </w:tcPr>
          <w:p w14:paraId="64180332">
            <w:pPr>
              <w:spacing w:line="240" w:lineRule="auto"/>
              <w:ind w:firstLine="0" w:firstLineChars="0"/>
              <w:rPr>
                <w:rFonts w:ascii="Times New Roman"/>
                <w:sz w:val="21"/>
                <w:szCs w:val="21"/>
                <w:highlight w:val="none"/>
              </w:rPr>
            </w:pPr>
            <w:r>
              <w:rPr>
                <w:rFonts w:hint="eastAsia" w:ascii="Times New Roman"/>
                <w:sz w:val="21"/>
                <w:szCs w:val="21"/>
                <w:highlight w:val="none"/>
              </w:rPr>
              <w:t>单位</w:t>
            </w:r>
          </w:p>
        </w:tc>
        <w:tc>
          <w:tcPr>
            <w:tcW w:w="1054" w:type="dxa"/>
            <w:vAlign w:val="center"/>
          </w:tcPr>
          <w:p w14:paraId="70D5A645">
            <w:pPr>
              <w:spacing w:line="240" w:lineRule="auto"/>
              <w:ind w:firstLine="0" w:firstLineChars="0"/>
              <w:rPr>
                <w:rFonts w:ascii="Times New Roman"/>
                <w:sz w:val="21"/>
                <w:szCs w:val="21"/>
                <w:highlight w:val="none"/>
              </w:rPr>
            </w:pPr>
            <w:r>
              <w:rPr>
                <w:rFonts w:hint="eastAsia" w:ascii="Times New Roman"/>
                <w:sz w:val="21"/>
                <w:szCs w:val="21"/>
                <w:highlight w:val="none"/>
              </w:rPr>
              <w:t>指标</w:t>
            </w:r>
          </w:p>
        </w:tc>
        <w:tc>
          <w:tcPr>
            <w:tcW w:w="1413" w:type="dxa"/>
            <w:vAlign w:val="center"/>
          </w:tcPr>
          <w:p w14:paraId="6DF84FCA">
            <w:pPr>
              <w:spacing w:line="240" w:lineRule="auto"/>
              <w:ind w:firstLine="0" w:firstLineChars="0"/>
              <w:rPr>
                <w:rFonts w:ascii="Times New Roman"/>
                <w:sz w:val="21"/>
                <w:szCs w:val="21"/>
                <w:highlight w:val="none"/>
              </w:rPr>
            </w:pPr>
            <w:r>
              <w:rPr>
                <w:rFonts w:hint="eastAsia" w:ascii="Times New Roman"/>
                <w:sz w:val="21"/>
                <w:szCs w:val="21"/>
                <w:highlight w:val="none"/>
              </w:rPr>
              <w:t>保证值</w:t>
            </w:r>
          </w:p>
        </w:tc>
        <w:tc>
          <w:tcPr>
            <w:tcW w:w="1995" w:type="dxa"/>
            <w:vAlign w:val="center"/>
          </w:tcPr>
          <w:p w14:paraId="43EFADFA">
            <w:pPr>
              <w:spacing w:line="240" w:lineRule="auto"/>
              <w:ind w:firstLine="0" w:firstLineChars="0"/>
              <w:rPr>
                <w:rFonts w:ascii="Times New Roman"/>
                <w:sz w:val="21"/>
                <w:szCs w:val="21"/>
                <w:highlight w:val="none"/>
              </w:rPr>
            </w:pPr>
            <w:r>
              <w:rPr>
                <w:rFonts w:hint="eastAsia" w:ascii="Times New Roman"/>
                <w:sz w:val="21"/>
                <w:szCs w:val="21"/>
                <w:highlight w:val="none"/>
              </w:rPr>
              <w:t>检验标准</w:t>
            </w:r>
          </w:p>
        </w:tc>
      </w:tr>
      <w:tr w14:paraId="360C9E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0" w:type="dxa"/>
            <w:vMerge w:val="restart"/>
            <w:vAlign w:val="center"/>
          </w:tcPr>
          <w:p w14:paraId="76DF237F">
            <w:pPr>
              <w:spacing w:line="240" w:lineRule="auto"/>
              <w:ind w:firstLine="0" w:firstLineChars="0"/>
              <w:rPr>
                <w:rFonts w:ascii="Times New Roman"/>
                <w:sz w:val="21"/>
                <w:szCs w:val="21"/>
                <w:highlight w:val="none"/>
              </w:rPr>
            </w:pPr>
            <w:r>
              <w:rPr>
                <w:rFonts w:hint="eastAsia" w:ascii="Times New Roman"/>
                <w:sz w:val="21"/>
                <w:szCs w:val="21"/>
                <w:highlight w:val="none"/>
              </w:rPr>
              <w:t>化学成分</w:t>
            </w:r>
          </w:p>
        </w:tc>
        <w:tc>
          <w:tcPr>
            <w:tcW w:w="1896" w:type="dxa"/>
            <w:vAlign w:val="center"/>
          </w:tcPr>
          <w:p w14:paraId="44E63297">
            <w:pPr>
              <w:spacing w:line="240" w:lineRule="auto"/>
              <w:ind w:firstLine="0" w:firstLineChars="0"/>
              <w:rPr>
                <w:rFonts w:ascii="Times New Roman"/>
                <w:sz w:val="21"/>
                <w:szCs w:val="21"/>
                <w:highlight w:val="none"/>
              </w:rPr>
            </w:pPr>
            <w:r>
              <w:rPr>
                <w:rFonts w:hint="eastAsia" w:ascii="Times New Roman"/>
                <w:sz w:val="21"/>
                <w:szCs w:val="21"/>
                <w:highlight w:val="none"/>
              </w:rPr>
              <w:t>Al</w:t>
            </w:r>
            <w:r>
              <w:rPr>
                <w:rFonts w:hint="eastAsia" w:ascii="Times New Roman"/>
                <w:sz w:val="21"/>
                <w:szCs w:val="21"/>
                <w:highlight w:val="none"/>
                <w:vertAlign w:val="subscript"/>
              </w:rPr>
              <w:t>2</w:t>
            </w:r>
            <w:r>
              <w:rPr>
                <w:rFonts w:hint="eastAsia" w:ascii="Times New Roman"/>
                <w:sz w:val="21"/>
                <w:szCs w:val="21"/>
                <w:highlight w:val="none"/>
              </w:rPr>
              <w:t>O</w:t>
            </w:r>
            <w:r>
              <w:rPr>
                <w:rFonts w:hint="eastAsia" w:ascii="Times New Roman"/>
                <w:sz w:val="21"/>
                <w:szCs w:val="21"/>
                <w:highlight w:val="none"/>
                <w:vertAlign w:val="subscript"/>
              </w:rPr>
              <w:t>3</w:t>
            </w:r>
          </w:p>
        </w:tc>
        <w:tc>
          <w:tcPr>
            <w:tcW w:w="1234" w:type="dxa"/>
            <w:vAlign w:val="center"/>
          </w:tcPr>
          <w:p w14:paraId="386D055A">
            <w:pPr>
              <w:spacing w:line="240" w:lineRule="auto"/>
              <w:ind w:firstLine="0" w:firstLineChars="0"/>
              <w:rPr>
                <w:rFonts w:ascii="Times New Roman"/>
                <w:sz w:val="21"/>
                <w:szCs w:val="21"/>
                <w:highlight w:val="none"/>
              </w:rPr>
            </w:pPr>
            <w:r>
              <w:rPr>
                <w:rFonts w:hint="eastAsia" w:ascii="Times New Roman"/>
                <w:sz w:val="21"/>
                <w:szCs w:val="21"/>
                <w:highlight w:val="none"/>
              </w:rPr>
              <w:t>%</w:t>
            </w:r>
          </w:p>
        </w:tc>
        <w:tc>
          <w:tcPr>
            <w:tcW w:w="1054" w:type="dxa"/>
            <w:vAlign w:val="center"/>
          </w:tcPr>
          <w:p w14:paraId="071A799A">
            <w:pPr>
              <w:spacing w:line="240" w:lineRule="auto"/>
              <w:ind w:firstLine="0" w:firstLineChars="0"/>
              <w:rPr>
                <w:rFonts w:ascii="Times New Roman"/>
                <w:sz w:val="21"/>
                <w:szCs w:val="21"/>
                <w:highlight w:val="none"/>
              </w:rPr>
            </w:pPr>
            <w:r>
              <w:rPr>
                <w:rFonts w:hint="eastAsia" w:ascii="Times New Roman"/>
                <w:sz w:val="21"/>
                <w:szCs w:val="21"/>
                <w:highlight w:val="none"/>
              </w:rPr>
              <w:t>≥55.0</w:t>
            </w:r>
          </w:p>
        </w:tc>
        <w:tc>
          <w:tcPr>
            <w:tcW w:w="1413" w:type="dxa"/>
            <w:vAlign w:val="center"/>
          </w:tcPr>
          <w:p w14:paraId="4112EB20">
            <w:pPr>
              <w:spacing w:line="240" w:lineRule="auto"/>
              <w:ind w:firstLine="0" w:firstLineChars="0"/>
              <w:rPr>
                <w:rFonts w:ascii="Times New Roman"/>
                <w:sz w:val="21"/>
                <w:szCs w:val="21"/>
                <w:highlight w:val="none"/>
              </w:rPr>
            </w:pPr>
            <w:r>
              <w:rPr>
                <w:rFonts w:hint="eastAsia" w:ascii="Times New Roman"/>
                <w:sz w:val="21"/>
                <w:szCs w:val="21"/>
                <w:highlight w:val="none"/>
              </w:rPr>
              <w:t>55(s)</w:t>
            </w:r>
          </w:p>
        </w:tc>
        <w:tc>
          <w:tcPr>
            <w:tcW w:w="1995" w:type="dxa"/>
            <w:vMerge w:val="restart"/>
            <w:vAlign w:val="center"/>
          </w:tcPr>
          <w:p w14:paraId="46A5AA70">
            <w:pPr>
              <w:spacing w:line="240" w:lineRule="auto"/>
              <w:ind w:firstLine="0" w:firstLineChars="0"/>
              <w:rPr>
                <w:rFonts w:ascii="Times New Roman"/>
                <w:sz w:val="21"/>
                <w:szCs w:val="21"/>
                <w:highlight w:val="none"/>
              </w:rPr>
            </w:pPr>
            <w:r>
              <w:rPr>
                <w:rFonts w:hint="eastAsia" w:ascii="Times New Roman"/>
                <w:sz w:val="21"/>
                <w:szCs w:val="21"/>
                <w:highlight w:val="none"/>
              </w:rPr>
              <w:t>GB/T16555</w:t>
            </w:r>
          </w:p>
        </w:tc>
      </w:tr>
      <w:tr w14:paraId="3C3084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0" w:type="dxa"/>
            <w:vMerge w:val="continue"/>
            <w:vAlign w:val="center"/>
          </w:tcPr>
          <w:p w14:paraId="43BC4F3C">
            <w:pPr>
              <w:spacing w:line="240" w:lineRule="auto"/>
              <w:ind w:firstLine="0" w:firstLineChars="0"/>
              <w:rPr>
                <w:rFonts w:ascii="Times New Roman"/>
                <w:sz w:val="21"/>
                <w:szCs w:val="21"/>
                <w:highlight w:val="none"/>
              </w:rPr>
            </w:pPr>
          </w:p>
        </w:tc>
        <w:tc>
          <w:tcPr>
            <w:tcW w:w="1896" w:type="dxa"/>
            <w:vAlign w:val="center"/>
          </w:tcPr>
          <w:p w14:paraId="09E9C372">
            <w:pPr>
              <w:spacing w:line="240" w:lineRule="auto"/>
              <w:ind w:firstLine="0" w:firstLineChars="0"/>
              <w:rPr>
                <w:rFonts w:ascii="Times New Roman"/>
                <w:sz w:val="21"/>
                <w:szCs w:val="21"/>
                <w:highlight w:val="none"/>
              </w:rPr>
            </w:pPr>
            <w:r>
              <w:rPr>
                <w:rFonts w:hint="eastAsia" w:ascii="Times New Roman"/>
                <w:sz w:val="21"/>
                <w:szCs w:val="21"/>
                <w:highlight w:val="none"/>
              </w:rPr>
              <w:t>SiO</w:t>
            </w:r>
            <w:r>
              <w:rPr>
                <w:rFonts w:hint="eastAsia" w:ascii="Times New Roman"/>
                <w:sz w:val="21"/>
                <w:szCs w:val="21"/>
                <w:highlight w:val="none"/>
                <w:vertAlign w:val="subscript"/>
              </w:rPr>
              <w:t>2</w:t>
            </w:r>
          </w:p>
        </w:tc>
        <w:tc>
          <w:tcPr>
            <w:tcW w:w="1234" w:type="dxa"/>
            <w:vAlign w:val="center"/>
          </w:tcPr>
          <w:p w14:paraId="16F1E1FF">
            <w:pPr>
              <w:spacing w:line="240" w:lineRule="auto"/>
              <w:ind w:firstLine="0" w:firstLineChars="0"/>
              <w:rPr>
                <w:rFonts w:ascii="Times New Roman"/>
                <w:sz w:val="21"/>
                <w:szCs w:val="21"/>
                <w:highlight w:val="none"/>
              </w:rPr>
            </w:pPr>
            <w:r>
              <w:rPr>
                <w:rFonts w:hint="eastAsia" w:ascii="Times New Roman"/>
                <w:sz w:val="21"/>
                <w:szCs w:val="21"/>
                <w:highlight w:val="none"/>
              </w:rPr>
              <w:t>%</w:t>
            </w:r>
          </w:p>
        </w:tc>
        <w:tc>
          <w:tcPr>
            <w:tcW w:w="1054" w:type="dxa"/>
            <w:vAlign w:val="center"/>
          </w:tcPr>
          <w:p w14:paraId="5CB7F5B9">
            <w:pPr>
              <w:spacing w:line="240" w:lineRule="auto"/>
              <w:ind w:firstLine="0" w:firstLineChars="0"/>
              <w:rPr>
                <w:rFonts w:ascii="Times New Roman"/>
                <w:sz w:val="21"/>
                <w:szCs w:val="21"/>
                <w:highlight w:val="none"/>
              </w:rPr>
            </w:pPr>
            <w:r>
              <w:rPr>
                <w:rFonts w:hint="eastAsia" w:ascii="Times New Roman"/>
                <w:sz w:val="21"/>
                <w:szCs w:val="21"/>
                <w:highlight w:val="none"/>
              </w:rPr>
              <w:t>≤40.0</w:t>
            </w:r>
          </w:p>
        </w:tc>
        <w:tc>
          <w:tcPr>
            <w:tcW w:w="1413" w:type="dxa"/>
            <w:vAlign w:val="center"/>
          </w:tcPr>
          <w:p w14:paraId="5FB6841A">
            <w:pPr>
              <w:spacing w:line="240" w:lineRule="auto"/>
              <w:ind w:firstLine="0" w:firstLineChars="0"/>
              <w:rPr>
                <w:rFonts w:ascii="Times New Roman"/>
                <w:sz w:val="21"/>
                <w:szCs w:val="21"/>
                <w:highlight w:val="none"/>
              </w:rPr>
            </w:pPr>
            <w:r>
              <w:rPr>
                <w:rFonts w:hint="eastAsia" w:ascii="Times New Roman"/>
                <w:sz w:val="21"/>
                <w:szCs w:val="21"/>
                <w:highlight w:val="none"/>
              </w:rPr>
              <w:t>40(i)</w:t>
            </w:r>
          </w:p>
        </w:tc>
        <w:tc>
          <w:tcPr>
            <w:tcW w:w="1995" w:type="dxa"/>
            <w:vMerge w:val="continue"/>
            <w:vAlign w:val="center"/>
          </w:tcPr>
          <w:p w14:paraId="48C5A96B">
            <w:pPr>
              <w:spacing w:line="240" w:lineRule="auto"/>
              <w:ind w:firstLine="0" w:firstLineChars="0"/>
              <w:rPr>
                <w:rFonts w:ascii="Times New Roman"/>
                <w:sz w:val="21"/>
                <w:szCs w:val="21"/>
                <w:highlight w:val="none"/>
              </w:rPr>
            </w:pPr>
          </w:p>
        </w:tc>
      </w:tr>
      <w:tr w14:paraId="382B53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0" w:type="dxa"/>
            <w:vMerge w:val="continue"/>
            <w:vAlign w:val="center"/>
          </w:tcPr>
          <w:p w14:paraId="03889D06">
            <w:pPr>
              <w:spacing w:line="240" w:lineRule="auto"/>
              <w:ind w:firstLine="0" w:firstLineChars="0"/>
              <w:rPr>
                <w:rFonts w:ascii="Times New Roman"/>
                <w:sz w:val="21"/>
                <w:szCs w:val="21"/>
                <w:highlight w:val="none"/>
              </w:rPr>
            </w:pPr>
          </w:p>
        </w:tc>
        <w:tc>
          <w:tcPr>
            <w:tcW w:w="1896" w:type="dxa"/>
            <w:vAlign w:val="center"/>
          </w:tcPr>
          <w:p w14:paraId="182EDFA7">
            <w:pPr>
              <w:spacing w:line="240" w:lineRule="auto"/>
              <w:ind w:firstLine="0" w:firstLineChars="0"/>
              <w:rPr>
                <w:rFonts w:ascii="Times New Roman"/>
                <w:sz w:val="21"/>
                <w:szCs w:val="21"/>
                <w:highlight w:val="none"/>
              </w:rPr>
            </w:pPr>
            <w:r>
              <w:rPr>
                <w:rFonts w:hint="eastAsia" w:ascii="Times New Roman"/>
                <w:sz w:val="21"/>
                <w:szCs w:val="21"/>
                <w:highlight w:val="none"/>
              </w:rPr>
              <w:t>Fe</w:t>
            </w:r>
            <w:r>
              <w:rPr>
                <w:rFonts w:hint="eastAsia" w:ascii="Times New Roman"/>
                <w:sz w:val="21"/>
                <w:szCs w:val="21"/>
                <w:highlight w:val="none"/>
                <w:vertAlign w:val="subscript"/>
              </w:rPr>
              <w:t>2</w:t>
            </w:r>
            <w:r>
              <w:rPr>
                <w:rFonts w:hint="eastAsia" w:ascii="Times New Roman"/>
                <w:sz w:val="21"/>
                <w:szCs w:val="21"/>
                <w:highlight w:val="none"/>
              </w:rPr>
              <w:t>O</w:t>
            </w:r>
            <w:r>
              <w:rPr>
                <w:rFonts w:hint="eastAsia" w:ascii="Times New Roman"/>
                <w:sz w:val="21"/>
                <w:szCs w:val="21"/>
                <w:highlight w:val="none"/>
                <w:vertAlign w:val="subscript"/>
              </w:rPr>
              <w:t>3</w:t>
            </w:r>
          </w:p>
        </w:tc>
        <w:tc>
          <w:tcPr>
            <w:tcW w:w="1234" w:type="dxa"/>
            <w:vAlign w:val="center"/>
          </w:tcPr>
          <w:p w14:paraId="15AFD915">
            <w:pPr>
              <w:spacing w:line="240" w:lineRule="auto"/>
              <w:ind w:firstLine="0" w:firstLineChars="0"/>
              <w:rPr>
                <w:rFonts w:ascii="Times New Roman"/>
                <w:sz w:val="21"/>
                <w:szCs w:val="21"/>
                <w:highlight w:val="none"/>
              </w:rPr>
            </w:pPr>
            <w:r>
              <w:rPr>
                <w:rFonts w:hint="eastAsia" w:ascii="Times New Roman"/>
                <w:sz w:val="21"/>
                <w:szCs w:val="21"/>
                <w:highlight w:val="none"/>
              </w:rPr>
              <w:t>%</w:t>
            </w:r>
          </w:p>
        </w:tc>
        <w:tc>
          <w:tcPr>
            <w:tcW w:w="1054" w:type="dxa"/>
            <w:vAlign w:val="center"/>
          </w:tcPr>
          <w:p w14:paraId="721AE68F">
            <w:pPr>
              <w:spacing w:line="240" w:lineRule="auto"/>
              <w:ind w:firstLine="0" w:firstLineChars="0"/>
              <w:rPr>
                <w:rFonts w:ascii="Times New Roman"/>
                <w:sz w:val="21"/>
                <w:szCs w:val="21"/>
                <w:highlight w:val="none"/>
              </w:rPr>
            </w:pPr>
            <w:r>
              <w:rPr>
                <w:rFonts w:hint="eastAsia" w:ascii="Times New Roman"/>
                <w:sz w:val="21"/>
                <w:szCs w:val="21"/>
                <w:highlight w:val="none"/>
              </w:rPr>
              <w:t>≤1.7</w:t>
            </w:r>
          </w:p>
        </w:tc>
        <w:tc>
          <w:tcPr>
            <w:tcW w:w="1413" w:type="dxa"/>
            <w:vAlign w:val="center"/>
          </w:tcPr>
          <w:p w14:paraId="44A9764E">
            <w:pPr>
              <w:spacing w:line="240" w:lineRule="auto"/>
              <w:ind w:firstLine="0" w:firstLineChars="0"/>
              <w:rPr>
                <w:rFonts w:ascii="Times New Roman"/>
                <w:sz w:val="21"/>
                <w:szCs w:val="21"/>
                <w:highlight w:val="none"/>
              </w:rPr>
            </w:pPr>
            <w:r>
              <w:rPr>
                <w:rFonts w:hint="eastAsia" w:ascii="Times New Roman"/>
                <w:sz w:val="21"/>
                <w:szCs w:val="21"/>
                <w:highlight w:val="none"/>
              </w:rPr>
              <w:t>1.7(i)</w:t>
            </w:r>
          </w:p>
        </w:tc>
        <w:tc>
          <w:tcPr>
            <w:tcW w:w="1995" w:type="dxa"/>
            <w:vMerge w:val="continue"/>
            <w:vAlign w:val="center"/>
          </w:tcPr>
          <w:p w14:paraId="45E05DE1">
            <w:pPr>
              <w:spacing w:line="240" w:lineRule="auto"/>
              <w:ind w:firstLine="0" w:firstLineChars="0"/>
              <w:rPr>
                <w:rFonts w:ascii="Times New Roman"/>
                <w:sz w:val="21"/>
                <w:szCs w:val="21"/>
                <w:highlight w:val="none"/>
              </w:rPr>
            </w:pPr>
          </w:p>
        </w:tc>
      </w:tr>
      <w:tr w14:paraId="15F9EE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930" w:type="dxa"/>
            <w:vAlign w:val="center"/>
          </w:tcPr>
          <w:p w14:paraId="1C5D37BD">
            <w:pPr>
              <w:spacing w:line="240" w:lineRule="auto"/>
              <w:ind w:firstLine="0" w:firstLineChars="0"/>
              <w:rPr>
                <w:rFonts w:ascii="Times New Roman"/>
                <w:sz w:val="21"/>
                <w:szCs w:val="21"/>
                <w:highlight w:val="none"/>
              </w:rPr>
            </w:pPr>
            <w:r>
              <w:rPr>
                <w:rFonts w:hint="eastAsia" w:ascii="Times New Roman"/>
                <w:sz w:val="21"/>
                <w:szCs w:val="21"/>
                <w:highlight w:val="none"/>
              </w:rPr>
              <w:t>体积密度</w:t>
            </w:r>
          </w:p>
        </w:tc>
        <w:tc>
          <w:tcPr>
            <w:tcW w:w="1896" w:type="dxa"/>
            <w:vAlign w:val="center"/>
          </w:tcPr>
          <w:p w14:paraId="5E87C1CF">
            <w:pPr>
              <w:spacing w:line="240" w:lineRule="auto"/>
              <w:ind w:firstLine="0" w:firstLineChars="0"/>
              <w:rPr>
                <w:rFonts w:ascii="Times New Roman"/>
                <w:sz w:val="21"/>
                <w:szCs w:val="21"/>
                <w:highlight w:val="none"/>
              </w:rPr>
            </w:pPr>
            <w:r>
              <w:rPr>
                <w:rFonts w:hint="eastAsia" w:ascii="Times New Roman"/>
                <w:sz w:val="21"/>
                <w:szCs w:val="21"/>
                <w:highlight w:val="none"/>
                <w:lang w:val="pt-BR"/>
              </w:rPr>
              <w:t>110</w:t>
            </w:r>
            <w:r>
              <w:rPr>
                <w:rFonts w:hint="eastAsia" w:ascii="Times New Roman"/>
                <w:sz w:val="21"/>
                <w:szCs w:val="21"/>
                <w:highlight w:val="none"/>
              </w:rPr>
              <w:t>℃×24h</w:t>
            </w:r>
          </w:p>
        </w:tc>
        <w:tc>
          <w:tcPr>
            <w:tcW w:w="1234" w:type="dxa"/>
            <w:vAlign w:val="center"/>
          </w:tcPr>
          <w:p w14:paraId="1B985EE0">
            <w:pPr>
              <w:spacing w:line="240" w:lineRule="auto"/>
              <w:ind w:firstLine="0" w:firstLineChars="0"/>
              <w:rPr>
                <w:rFonts w:ascii="Times New Roman"/>
                <w:sz w:val="21"/>
                <w:szCs w:val="21"/>
                <w:highlight w:val="none"/>
              </w:rPr>
            </w:pPr>
            <w:r>
              <w:rPr>
                <w:rFonts w:hint="eastAsia" w:ascii="Times New Roman"/>
                <w:sz w:val="21"/>
                <w:szCs w:val="21"/>
                <w:highlight w:val="none"/>
              </w:rPr>
              <w:t>g/cm3</w:t>
            </w:r>
          </w:p>
        </w:tc>
        <w:tc>
          <w:tcPr>
            <w:tcW w:w="1054" w:type="dxa"/>
            <w:vAlign w:val="center"/>
          </w:tcPr>
          <w:p w14:paraId="4CD8D930">
            <w:pPr>
              <w:spacing w:line="240" w:lineRule="auto"/>
              <w:ind w:firstLine="0" w:firstLineChars="0"/>
              <w:rPr>
                <w:rFonts w:ascii="Times New Roman"/>
                <w:sz w:val="21"/>
                <w:szCs w:val="21"/>
                <w:highlight w:val="none"/>
              </w:rPr>
            </w:pPr>
            <w:r>
              <w:rPr>
                <w:rFonts w:hint="eastAsia" w:ascii="Times New Roman"/>
                <w:sz w:val="21"/>
                <w:szCs w:val="21"/>
                <w:highlight w:val="none"/>
              </w:rPr>
              <w:t>≥2.3</w:t>
            </w:r>
          </w:p>
        </w:tc>
        <w:tc>
          <w:tcPr>
            <w:tcW w:w="1413" w:type="dxa"/>
            <w:vAlign w:val="center"/>
          </w:tcPr>
          <w:p w14:paraId="283FA3E1">
            <w:pPr>
              <w:spacing w:line="240" w:lineRule="auto"/>
              <w:ind w:firstLine="0" w:firstLineChars="0"/>
              <w:rPr>
                <w:rFonts w:ascii="Times New Roman"/>
                <w:sz w:val="21"/>
                <w:szCs w:val="21"/>
                <w:highlight w:val="none"/>
              </w:rPr>
            </w:pPr>
          </w:p>
        </w:tc>
        <w:tc>
          <w:tcPr>
            <w:tcW w:w="1995" w:type="dxa"/>
            <w:vAlign w:val="center"/>
          </w:tcPr>
          <w:p w14:paraId="29CFBBDD">
            <w:pPr>
              <w:spacing w:line="240" w:lineRule="auto"/>
              <w:ind w:firstLine="0" w:firstLineChars="0"/>
              <w:rPr>
                <w:rFonts w:ascii="Times New Roman"/>
                <w:sz w:val="21"/>
                <w:szCs w:val="21"/>
                <w:highlight w:val="none"/>
              </w:rPr>
            </w:pPr>
            <w:r>
              <w:rPr>
                <w:rFonts w:hint="eastAsia" w:ascii="Times New Roman"/>
                <w:sz w:val="21"/>
                <w:szCs w:val="21"/>
                <w:highlight w:val="none"/>
              </w:rPr>
              <w:t>YB/T5200</w:t>
            </w:r>
          </w:p>
        </w:tc>
      </w:tr>
      <w:tr w14:paraId="53DE0A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0" w:type="dxa"/>
            <w:vMerge w:val="restart"/>
            <w:vAlign w:val="center"/>
          </w:tcPr>
          <w:p w14:paraId="539C57B9">
            <w:pPr>
              <w:spacing w:line="240" w:lineRule="auto"/>
              <w:ind w:firstLine="0" w:firstLineChars="0"/>
              <w:rPr>
                <w:rFonts w:ascii="Times New Roman"/>
                <w:sz w:val="21"/>
                <w:szCs w:val="21"/>
                <w:highlight w:val="none"/>
                <w:lang w:val="pt-BR"/>
              </w:rPr>
            </w:pPr>
            <w:r>
              <w:rPr>
                <w:rFonts w:hint="eastAsia" w:ascii="Times New Roman"/>
                <w:sz w:val="21"/>
                <w:szCs w:val="21"/>
                <w:highlight w:val="none"/>
                <w:lang w:val="pt-BR"/>
              </w:rPr>
              <w:t>耐压强度</w:t>
            </w:r>
          </w:p>
        </w:tc>
        <w:tc>
          <w:tcPr>
            <w:tcW w:w="1896" w:type="dxa"/>
            <w:vAlign w:val="center"/>
          </w:tcPr>
          <w:p w14:paraId="228F12C5">
            <w:pPr>
              <w:spacing w:line="240" w:lineRule="auto"/>
              <w:ind w:firstLine="0" w:firstLineChars="0"/>
              <w:rPr>
                <w:rFonts w:ascii="Times New Roman"/>
                <w:sz w:val="21"/>
                <w:szCs w:val="21"/>
                <w:highlight w:val="none"/>
              </w:rPr>
            </w:pPr>
            <w:r>
              <w:rPr>
                <w:rFonts w:hint="eastAsia" w:ascii="Times New Roman"/>
                <w:sz w:val="21"/>
                <w:szCs w:val="21"/>
                <w:highlight w:val="none"/>
                <w:lang w:val="pt-BR"/>
              </w:rPr>
              <w:t>110</w:t>
            </w:r>
            <w:r>
              <w:rPr>
                <w:rFonts w:hint="eastAsia" w:ascii="Times New Roman"/>
                <w:sz w:val="21"/>
                <w:szCs w:val="21"/>
                <w:highlight w:val="none"/>
              </w:rPr>
              <w:t>℃×24h</w:t>
            </w:r>
          </w:p>
        </w:tc>
        <w:tc>
          <w:tcPr>
            <w:tcW w:w="1234" w:type="dxa"/>
            <w:vAlign w:val="center"/>
          </w:tcPr>
          <w:p w14:paraId="15D1C74A">
            <w:pPr>
              <w:spacing w:line="240" w:lineRule="auto"/>
              <w:ind w:firstLine="0" w:firstLineChars="0"/>
              <w:rPr>
                <w:rFonts w:ascii="Times New Roman"/>
                <w:sz w:val="21"/>
                <w:szCs w:val="21"/>
                <w:highlight w:val="none"/>
              </w:rPr>
            </w:pPr>
            <w:r>
              <w:rPr>
                <w:rFonts w:hint="eastAsia" w:ascii="Times New Roman"/>
                <w:sz w:val="21"/>
                <w:szCs w:val="21"/>
                <w:highlight w:val="none"/>
              </w:rPr>
              <w:t>MPa</w:t>
            </w:r>
          </w:p>
        </w:tc>
        <w:tc>
          <w:tcPr>
            <w:tcW w:w="1054" w:type="dxa"/>
            <w:vAlign w:val="center"/>
          </w:tcPr>
          <w:p w14:paraId="051E667B">
            <w:pPr>
              <w:spacing w:line="240" w:lineRule="auto"/>
              <w:ind w:firstLine="0" w:firstLineChars="0"/>
              <w:rPr>
                <w:rFonts w:ascii="Times New Roman"/>
                <w:sz w:val="21"/>
                <w:szCs w:val="21"/>
                <w:highlight w:val="none"/>
              </w:rPr>
            </w:pPr>
            <w:r>
              <w:rPr>
                <w:rFonts w:hint="eastAsia" w:ascii="Times New Roman"/>
                <w:sz w:val="21"/>
                <w:szCs w:val="21"/>
                <w:highlight w:val="none"/>
              </w:rPr>
              <w:t>≥12.0</w:t>
            </w:r>
          </w:p>
        </w:tc>
        <w:tc>
          <w:tcPr>
            <w:tcW w:w="1413" w:type="dxa"/>
            <w:vAlign w:val="center"/>
          </w:tcPr>
          <w:p w14:paraId="4EE10A9E">
            <w:pPr>
              <w:spacing w:line="240" w:lineRule="auto"/>
              <w:ind w:firstLine="0" w:firstLineChars="0"/>
              <w:rPr>
                <w:rFonts w:ascii="Times New Roman"/>
                <w:sz w:val="21"/>
                <w:szCs w:val="21"/>
                <w:highlight w:val="none"/>
              </w:rPr>
            </w:pPr>
            <w:r>
              <w:rPr>
                <w:rFonts w:hint="eastAsia" w:ascii="Times New Roman"/>
                <w:sz w:val="21"/>
                <w:szCs w:val="21"/>
                <w:highlight w:val="none"/>
              </w:rPr>
              <w:t>12(s)</w:t>
            </w:r>
          </w:p>
        </w:tc>
        <w:tc>
          <w:tcPr>
            <w:tcW w:w="1995" w:type="dxa"/>
            <w:vMerge w:val="restart"/>
            <w:vAlign w:val="center"/>
          </w:tcPr>
          <w:p w14:paraId="5292DA7F">
            <w:pPr>
              <w:spacing w:line="240" w:lineRule="auto"/>
              <w:ind w:firstLine="0" w:firstLineChars="0"/>
              <w:rPr>
                <w:rFonts w:ascii="Times New Roman"/>
                <w:sz w:val="21"/>
                <w:szCs w:val="21"/>
                <w:highlight w:val="none"/>
                <w:lang w:val="pt-BR"/>
              </w:rPr>
            </w:pPr>
            <w:r>
              <w:rPr>
                <w:rFonts w:hint="eastAsia" w:ascii="Times New Roman"/>
                <w:sz w:val="21"/>
                <w:szCs w:val="21"/>
                <w:highlight w:val="none"/>
                <w:lang w:val="pt-BR"/>
              </w:rPr>
              <w:t>GB/T 5072</w:t>
            </w:r>
          </w:p>
        </w:tc>
      </w:tr>
      <w:tr w14:paraId="301E58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0" w:type="dxa"/>
            <w:vMerge w:val="continue"/>
            <w:vAlign w:val="center"/>
          </w:tcPr>
          <w:p w14:paraId="6677BC8A">
            <w:pPr>
              <w:spacing w:line="240" w:lineRule="auto"/>
              <w:ind w:firstLine="0" w:firstLineChars="0"/>
              <w:rPr>
                <w:rFonts w:ascii="Times New Roman"/>
                <w:sz w:val="21"/>
                <w:szCs w:val="21"/>
                <w:highlight w:val="none"/>
                <w:lang w:val="pt-BR"/>
              </w:rPr>
            </w:pPr>
          </w:p>
        </w:tc>
        <w:tc>
          <w:tcPr>
            <w:tcW w:w="1896" w:type="dxa"/>
            <w:vAlign w:val="center"/>
          </w:tcPr>
          <w:p w14:paraId="1F2220A3">
            <w:pPr>
              <w:spacing w:line="240" w:lineRule="auto"/>
              <w:ind w:firstLine="0" w:firstLineChars="0"/>
              <w:rPr>
                <w:rFonts w:ascii="Times New Roman"/>
                <w:sz w:val="21"/>
                <w:szCs w:val="21"/>
                <w:highlight w:val="none"/>
              </w:rPr>
            </w:pPr>
            <w:r>
              <w:rPr>
                <w:rFonts w:hint="eastAsia" w:ascii="Times New Roman"/>
                <w:sz w:val="21"/>
                <w:szCs w:val="21"/>
                <w:highlight w:val="none"/>
              </w:rPr>
              <w:t>815℃×3h</w:t>
            </w:r>
          </w:p>
        </w:tc>
        <w:tc>
          <w:tcPr>
            <w:tcW w:w="1234" w:type="dxa"/>
            <w:vAlign w:val="center"/>
          </w:tcPr>
          <w:p w14:paraId="3F1A722C">
            <w:pPr>
              <w:spacing w:line="240" w:lineRule="auto"/>
              <w:ind w:firstLine="0" w:firstLineChars="0"/>
              <w:rPr>
                <w:rFonts w:ascii="Times New Roman"/>
                <w:sz w:val="21"/>
                <w:szCs w:val="21"/>
                <w:highlight w:val="none"/>
              </w:rPr>
            </w:pPr>
            <w:r>
              <w:rPr>
                <w:rFonts w:hint="eastAsia" w:ascii="Times New Roman"/>
                <w:sz w:val="21"/>
                <w:szCs w:val="21"/>
                <w:highlight w:val="none"/>
              </w:rPr>
              <w:t>MPa</w:t>
            </w:r>
          </w:p>
        </w:tc>
        <w:tc>
          <w:tcPr>
            <w:tcW w:w="1054" w:type="dxa"/>
            <w:vAlign w:val="center"/>
          </w:tcPr>
          <w:p w14:paraId="08F0E52E">
            <w:pPr>
              <w:spacing w:line="240" w:lineRule="auto"/>
              <w:ind w:firstLine="0" w:firstLineChars="0"/>
              <w:rPr>
                <w:rFonts w:ascii="Times New Roman"/>
                <w:sz w:val="21"/>
                <w:szCs w:val="21"/>
                <w:highlight w:val="none"/>
              </w:rPr>
            </w:pPr>
            <w:r>
              <w:rPr>
                <w:rFonts w:hint="eastAsia" w:ascii="Times New Roman"/>
                <w:sz w:val="21"/>
                <w:szCs w:val="21"/>
                <w:highlight w:val="none"/>
              </w:rPr>
              <w:t>≥30.0</w:t>
            </w:r>
          </w:p>
        </w:tc>
        <w:tc>
          <w:tcPr>
            <w:tcW w:w="1413" w:type="dxa"/>
            <w:vAlign w:val="center"/>
          </w:tcPr>
          <w:p w14:paraId="7458CD2C">
            <w:pPr>
              <w:spacing w:line="240" w:lineRule="auto"/>
              <w:ind w:firstLine="0" w:firstLineChars="0"/>
              <w:rPr>
                <w:rFonts w:ascii="Times New Roman"/>
                <w:sz w:val="21"/>
                <w:szCs w:val="21"/>
                <w:highlight w:val="none"/>
              </w:rPr>
            </w:pPr>
            <w:r>
              <w:rPr>
                <w:rFonts w:hint="eastAsia" w:ascii="Times New Roman"/>
                <w:sz w:val="21"/>
                <w:szCs w:val="21"/>
                <w:highlight w:val="none"/>
              </w:rPr>
              <w:t>40(s)</w:t>
            </w:r>
          </w:p>
        </w:tc>
        <w:tc>
          <w:tcPr>
            <w:tcW w:w="1995" w:type="dxa"/>
            <w:vMerge w:val="continue"/>
            <w:vAlign w:val="center"/>
          </w:tcPr>
          <w:p w14:paraId="717D2F51">
            <w:pPr>
              <w:spacing w:line="240" w:lineRule="auto"/>
              <w:ind w:firstLine="0" w:firstLineChars="0"/>
              <w:rPr>
                <w:rFonts w:ascii="Times New Roman"/>
                <w:sz w:val="21"/>
                <w:szCs w:val="21"/>
                <w:highlight w:val="none"/>
                <w:lang w:val="pt-BR"/>
              </w:rPr>
            </w:pPr>
          </w:p>
        </w:tc>
      </w:tr>
      <w:tr w14:paraId="2ECFFE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930" w:type="dxa"/>
            <w:vMerge w:val="continue"/>
            <w:vAlign w:val="center"/>
          </w:tcPr>
          <w:p w14:paraId="66F6FA97">
            <w:pPr>
              <w:spacing w:line="240" w:lineRule="auto"/>
              <w:ind w:firstLine="0" w:firstLineChars="0"/>
              <w:rPr>
                <w:rFonts w:ascii="Times New Roman"/>
                <w:sz w:val="21"/>
                <w:szCs w:val="21"/>
                <w:highlight w:val="none"/>
                <w:lang w:val="pt-BR"/>
              </w:rPr>
            </w:pPr>
          </w:p>
        </w:tc>
        <w:tc>
          <w:tcPr>
            <w:tcW w:w="1896" w:type="dxa"/>
            <w:vAlign w:val="center"/>
          </w:tcPr>
          <w:p w14:paraId="3F4DDF42">
            <w:pPr>
              <w:spacing w:line="240" w:lineRule="auto"/>
              <w:ind w:firstLine="0" w:firstLineChars="0"/>
              <w:rPr>
                <w:rFonts w:ascii="Times New Roman"/>
                <w:sz w:val="21"/>
                <w:szCs w:val="21"/>
                <w:highlight w:val="none"/>
                <w:lang w:val="pt-BR"/>
              </w:rPr>
            </w:pPr>
            <w:r>
              <w:rPr>
                <w:rFonts w:hint="eastAsia" w:ascii="Times New Roman"/>
                <w:sz w:val="21"/>
                <w:szCs w:val="21"/>
                <w:highlight w:val="none"/>
              </w:rPr>
              <w:t>1200℃×3h</w:t>
            </w:r>
          </w:p>
        </w:tc>
        <w:tc>
          <w:tcPr>
            <w:tcW w:w="1234" w:type="dxa"/>
            <w:vAlign w:val="center"/>
          </w:tcPr>
          <w:p w14:paraId="7601B52A">
            <w:pPr>
              <w:spacing w:line="240" w:lineRule="auto"/>
              <w:ind w:firstLine="0" w:firstLineChars="0"/>
              <w:rPr>
                <w:rFonts w:ascii="Times New Roman"/>
                <w:sz w:val="21"/>
                <w:szCs w:val="21"/>
                <w:highlight w:val="none"/>
              </w:rPr>
            </w:pPr>
            <w:r>
              <w:rPr>
                <w:rFonts w:hint="eastAsia" w:ascii="Times New Roman"/>
                <w:sz w:val="21"/>
                <w:szCs w:val="21"/>
                <w:highlight w:val="none"/>
              </w:rPr>
              <w:t>MPa</w:t>
            </w:r>
          </w:p>
        </w:tc>
        <w:tc>
          <w:tcPr>
            <w:tcW w:w="1054" w:type="dxa"/>
            <w:vAlign w:val="center"/>
          </w:tcPr>
          <w:p w14:paraId="3AA03F33">
            <w:pPr>
              <w:spacing w:line="240" w:lineRule="auto"/>
              <w:ind w:firstLine="0" w:firstLineChars="0"/>
              <w:rPr>
                <w:rFonts w:ascii="Times New Roman"/>
                <w:sz w:val="21"/>
                <w:szCs w:val="21"/>
                <w:highlight w:val="none"/>
              </w:rPr>
            </w:pPr>
            <w:r>
              <w:rPr>
                <w:rFonts w:hint="eastAsia" w:ascii="Times New Roman"/>
                <w:sz w:val="21"/>
                <w:szCs w:val="21"/>
                <w:highlight w:val="none"/>
              </w:rPr>
              <w:t>≥50.0</w:t>
            </w:r>
          </w:p>
        </w:tc>
        <w:tc>
          <w:tcPr>
            <w:tcW w:w="1413" w:type="dxa"/>
            <w:vAlign w:val="center"/>
          </w:tcPr>
          <w:p w14:paraId="4E833534">
            <w:pPr>
              <w:spacing w:line="240" w:lineRule="auto"/>
              <w:ind w:firstLine="0" w:firstLineChars="0"/>
              <w:rPr>
                <w:rFonts w:ascii="Times New Roman"/>
                <w:sz w:val="21"/>
                <w:szCs w:val="21"/>
                <w:highlight w:val="none"/>
              </w:rPr>
            </w:pPr>
            <w:r>
              <w:rPr>
                <w:rFonts w:hint="eastAsia" w:ascii="Times New Roman"/>
                <w:sz w:val="21"/>
                <w:szCs w:val="21"/>
                <w:highlight w:val="none"/>
              </w:rPr>
              <w:t>65(s)</w:t>
            </w:r>
          </w:p>
        </w:tc>
        <w:tc>
          <w:tcPr>
            <w:tcW w:w="1995" w:type="dxa"/>
            <w:vMerge w:val="continue"/>
            <w:vAlign w:val="center"/>
          </w:tcPr>
          <w:p w14:paraId="0C0A7E1D">
            <w:pPr>
              <w:spacing w:line="240" w:lineRule="auto"/>
              <w:ind w:firstLine="0" w:firstLineChars="0"/>
              <w:rPr>
                <w:rFonts w:ascii="Times New Roman"/>
                <w:sz w:val="21"/>
                <w:szCs w:val="21"/>
                <w:highlight w:val="none"/>
                <w:lang w:val="pt-BR"/>
              </w:rPr>
            </w:pPr>
          </w:p>
        </w:tc>
      </w:tr>
      <w:tr w14:paraId="16740A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0" w:type="dxa"/>
            <w:vMerge w:val="restart"/>
            <w:vAlign w:val="center"/>
          </w:tcPr>
          <w:p w14:paraId="733340B5">
            <w:pPr>
              <w:spacing w:line="240" w:lineRule="auto"/>
              <w:ind w:firstLine="0" w:firstLineChars="0"/>
              <w:rPr>
                <w:rFonts w:ascii="Times New Roman"/>
                <w:sz w:val="21"/>
                <w:szCs w:val="21"/>
                <w:highlight w:val="none"/>
                <w:lang w:val="pt-BR"/>
              </w:rPr>
            </w:pPr>
            <w:r>
              <w:rPr>
                <w:rFonts w:hint="eastAsia" w:ascii="Times New Roman"/>
                <w:sz w:val="21"/>
                <w:szCs w:val="21"/>
                <w:highlight w:val="none"/>
                <w:lang w:val="pt-BR"/>
              </w:rPr>
              <w:t>抗折强度</w:t>
            </w:r>
          </w:p>
        </w:tc>
        <w:tc>
          <w:tcPr>
            <w:tcW w:w="1896" w:type="dxa"/>
            <w:vAlign w:val="center"/>
          </w:tcPr>
          <w:p w14:paraId="650AE65B">
            <w:pPr>
              <w:spacing w:line="240" w:lineRule="auto"/>
              <w:ind w:firstLine="0" w:firstLineChars="0"/>
              <w:rPr>
                <w:rFonts w:ascii="Times New Roman"/>
                <w:sz w:val="21"/>
                <w:szCs w:val="21"/>
                <w:highlight w:val="none"/>
              </w:rPr>
            </w:pPr>
            <w:r>
              <w:rPr>
                <w:rFonts w:hint="eastAsia" w:ascii="Times New Roman"/>
                <w:sz w:val="21"/>
                <w:szCs w:val="21"/>
                <w:highlight w:val="none"/>
                <w:lang w:val="pt-BR"/>
              </w:rPr>
              <w:t>110</w:t>
            </w:r>
            <w:r>
              <w:rPr>
                <w:rFonts w:hint="eastAsia" w:ascii="Times New Roman"/>
                <w:sz w:val="21"/>
                <w:szCs w:val="21"/>
                <w:highlight w:val="none"/>
              </w:rPr>
              <w:t>℃×24h</w:t>
            </w:r>
          </w:p>
        </w:tc>
        <w:tc>
          <w:tcPr>
            <w:tcW w:w="1234" w:type="dxa"/>
            <w:vAlign w:val="center"/>
          </w:tcPr>
          <w:p w14:paraId="1F27BD4D">
            <w:pPr>
              <w:spacing w:line="240" w:lineRule="auto"/>
              <w:ind w:firstLine="0" w:firstLineChars="0"/>
              <w:rPr>
                <w:rFonts w:ascii="Times New Roman"/>
                <w:sz w:val="21"/>
                <w:szCs w:val="21"/>
                <w:highlight w:val="none"/>
              </w:rPr>
            </w:pPr>
            <w:r>
              <w:rPr>
                <w:rFonts w:hint="eastAsia" w:ascii="Times New Roman"/>
                <w:sz w:val="21"/>
                <w:szCs w:val="21"/>
                <w:highlight w:val="none"/>
              </w:rPr>
              <w:t>MPa</w:t>
            </w:r>
          </w:p>
        </w:tc>
        <w:tc>
          <w:tcPr>
            <w:tcW w:w="1054" w:type="dxa"/>
            <w:vAlign w:val="center"/>
          </w:tcPr>
          <w:p w14:paraId="5E9F6D2D">
            <w:pPr>
              <w:spacing w:line="240" w:lineRule="auto"/>
              <w:ind w:firstLine="0" w:firstLineChars="0"/>
              <w:rPr>
                <w:rFonts w:ascii="Times New Roman"/>
                <w:sz w:val="21"/>
                <w:szCs w:val="21"/>
                <w:highlight w:val="none"/>
              </w:rPr>
            </w:pPr>
            <w:r>
              <w:rPr>
                <w:rFonts w:hint="eastAsia" w:ascii="Times New Roman"/>
                <w:sz w:val="21"/>
                <w:szCs w:val="21"/>
                <w:highlight w:val="none"/>
              </w:rPr>
              <w:t>≥2.5</w:t>
            </w:r>
          </w:p>
        </w:tc>
        <w:tc>
          <w:tcPr>
            <w:tcW w:w="1413" w:type="dxa"/>
            <w:vAlign w:val="center"/>
          </w:tcPr>
          <w:p w14:paraId="2FD89E1C">
            <w:pPr>
              <w:spacing w:line="240" w:lineRule="auto"/>
              <w:ind w:firstLine="0" w:firstLineChars="0"/>
              <w:rPr>
                <w:rFonts w:ascii="Times New Roman"/>
                <w:sz w:val="21"/>
                <w:szCs w:val="21"/>
                <w:highlight w:val="none"/>
              </w:rPr>
            </w:pPr>
            <w:r>
              <w:rPr>
                <w:rFonts w:hint="eastAsia" w:ascii="Times New Roman"/>
                <w:sz w:val="21"/>
                <w:szCs w:val="21"/>
                <w:highlight w:val="none"/>
              </w:rPr>
              <w:t>2.5</w:t>
            </w:r>
          </w:p>
        </w:tc>
        <w:tc>
          <w:tcPr>
            <w:tcW w:w="1995" w:type="dxa"/>
            <w:vMerge w:val="restart"/>
            <w:vAlign w:val="center"/>
          </w:tcPr>
          <w:p w14:paraId="443507D2">
            <w:pPr>
              <w:spacing w:line="240" w:lineRule="auto"/>
              <w:ind w:firstLine="0" w:firstLineChars="0"/>
              <w:rPr>
                <w:rFonts w:ascii="Times New Roman"/>
                <w:sz w:val="21"/>
                <w:szCs w:val="21"/>
                <w:highlight w:val="none"/>
                <w:lang w:val="pt-BR"/>
              </w:rPr>
            </w:pPr>
            <w:r>
              <w:rPr>
                <w:rFonts w:hint="eastAsia" w:ascii="Times New Roman"/>
                <w:sz w:val="21"/>
                <w:szCs w:val="21"/>
                <w:highlight w:val="none"/>
                <w:lang w:val="pt-BR"/>
              </w:rPr>
              <w:t>GB/T 3001</w:t>
            </w:r>
          </w:p>
        </w:tc>
      </w:tr>
      <w:tr w14:paraId="1D2138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0" w:type="dxa"/>
            <w:vMerge w:val="continue"/>
            <w:vAlign w:val="center"/>
          </w:tcPr>
          <w:p w14:paraId="1AAD0524">
            <w:pPr>
              <w:spacing w:line="240" w:lineRule="auto"/>
              <w:ind w:firstLine="0" w:firstLineChars="0"/>
              <w:rPr>
                <w:rFonts w:ascii="Times New Roman"/>
                <w:sz w:val="21"/>
                <w:szCs w:val="21"/>
                <w:highlight w:val="none"/>
                <w:lang w:val="pt-BR"/>
              </w:rPr>
            </w:pPr>
          </w:p>
        </w:tc>
        <w:tc>
          <w:tcPr>
            <w:tcW w:w="1896" w:type="dxa"/>
            <w:vAlign w:val="center"/>
          </w:tcPr>
          <w:p w14:paraId="31889B08">
            <w:pPr>
              <w:spacing w:line="240" w:lineRule="auto"/>
              <w:ind w:firstLine="0" w:firstLineChars="0"/>
              <w:rPr>
                <w:rFonts w:ascii="Times New Roman"/>
                <w:sz w:val="21"/>
                <w:szCs w:val="21"/>
                <w:highlight w:val="none"/>
              </w:rPr>
            </w:pPr>
            <w:r>
              <w:rPr>
                <w:rFonts w:hint="eastAsia" w:ascii="Times New Roman"/>
                <w:sz w:val="21"/>
                <w:szCs w:val="21"/>
                <w:highlight w:val="none"/>
              </w:rPr>
              <w:t>815℃×3h</w:t>
            </w:r>
          </w:p>
        </w:tc>
        <w:tc>
          <w:tcPr>
            <w:tcW w:w="1234" w:type="dxa"/>
            <w:vAlign w:val="center"/>
          </w:tcPr>
          <w:p w14:paraId="01C457C7">
            <w:pPr>
              <w:spacing w:line="240" w:lineRule="auto"/>
              <w:ind w:firstLine="0" w:firstLineChars="0"/>
              <w:rPr>
                <w:rFonts w:ascii="Times New Roman"/>
                <w:sz w:val="21"/>
                <w:szCs w:val="21"/>
                <w:highlight w:val="none"/>
              </w:rPr>
            </w:pPr>
            <w:r>
              <w:rPr>
                <w:rFonts w:hint="eastAsia" w:ascii="Times New Roman"/>
                <w:sz w:val="21"/>
                <w:szCs w:val="21"/>
                <w:highlight w:val="none"/>
              </w:rPr>
              <w:t>MPa</w:t>
            </w:r>
          </w:p>
        </w:tc>
        <w:tc>
          <w:tcPr>
            <w:tcW w:w="1054" w:type="dxa"/>
            <w:vAlign w:val="center"/>
          </w:tcPr>
          <w:p w14:paraId="46B24A74">
            <w:pPr>
              <w:spacing w:line="240" w:lineRule="auto"/>
              <w:ind w:firstLine="0" w:firstLineChars="0"/>
              <w:rPr>
                <w:rFonts w:ascii="Times New Roman"/>
                <w:sz w:val="21"/>
                <w:szCs w:val="21"/>
                <w:highlight w:val="none"/>
              </w:rPr>
            </w:pPr>
            <w:r>
              <w:rPr>
                <w:rFonts w:hint="eastAsia" w:ascii="Times New Roman"/>
                <w:sz w:val="21"/>
                <w:szCs w:val="21"/>
                <w:highlight w:val="none"/>
              </w:rPr>
              <w:t>≥5</w:t>
            </w:r>
          </w:p>
        </w:tc>
        <w:tc>
          <w:tcPr>
            <w:tcW w:w="1413" w:type="dxa"/>
            <w:vAlign w:val="center"/>
          </w:tcPr>
          <w:p w14:paraId="08B4FF54">
            <w:pPr>
              <w:spacing w:line="240" w:lineRule="auto"/>
              <w:ind w:firstLine="0" w:firstLineChars="0"/>
              <w:rPr>
                <w:rFonts w:ascii="Times New Roman"/>
                <w:sz w:val="21"/>
                <w:szCs w:val="21"/>
                <w:highlight w:val="none"/>
              </w:rPr>
            </w:pPr>
            <w:r>
              <w:rPr>
                <w:rFonts w:hint="eastAsia" w:ascii="Times New Roman"/>
                <w:sz w:val="21"/>
                <w:szCs w:val="21"/>
                <w:highlight w:val="none"/>
              </w:rPr>
              <w:t>5</w:t>
            </w:r>
          </w:p>
        </w:tc>
        <w:tc>
          <w:tcPr>
            <w:tcW w:w="1995" w:type="dxa"/>
            <w:vMerge w:val="continue"/>
            <w:vAlign w:val="center"/>
          </w:tcPr>
          <w:p w14:paraId="33724494">
            <w:pPr>
              <w:spacing w:line="240" w:lineRule="auto"/>
              <w:ind w:firstLine="0" w:firstLineChars="0"/>
              <w:rPr>
                <w:rFonts w:ascii="Times New Roman"/>
                <w:sz w:val="21"/>
                <w:szCs w:val="21"/>
                <w:highlight w:val="none"/>
                <w:lang w:val="pt-BR"/>
              </w:rPr>
            </w:pPr>
          </w:p>
        </w:tc>
      </w:tr>
      <w:tr w14:paraId="2D55AC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0" w:type="dxa"/>
            <w:vMerge w:val="continue"/>
            <w:vAlign w:val="center"/>
          </w:tcPr>
          <w:p w14:paraId="7536EA33">
            <w:pPr>
              <w:spacing w:line="240" w:lineRule="auto"/>
              <w:ind w:firstLine="0" w:firstLineChars="0"/>
              <w:rPr>
                <w:rFonts w:ascii="Times New Roman"/>
                <w:sz w:val="21"/>
                <w:szCs w:val="21"/>
                <w:highlight w:val="none"/>
                <w:lang w:val="pt-BR"/>
              </w:rPr>
            </w:pPr>
          </w:p>
        </w:tc>
        <w:tc>
          <w:tcPr>
            <w:tcW w:w="1896" w:type="dxa"/>
            <w:vAlign w:val="center"/>
          </w:tcPr>
          <w:p w14:paraId="5BA3E69A">
            <w:pPr>
              <w:spacing w:line="240" w:lineRule="auto"/>
              <w:ind w:firstLine="0" w:firstLineChars="0"/>
              <w:rPr>
                <w:rFonts w:ascii="Times New Roman"/>
                <w:sz w:val="21"/>
                <w:szCs w:val="21"/>
                <w:highlight w:val="none"/>
              </w:rPr>
            </w:pPr>
            <w:r>
              <w:rPr>
                <w:rFonts w:hint="eastAsia" w:ascii="Times New Roman"/>
                <w:sz w:val="21"/>
                <w:szCs w:val="21"/>
                <w:highlight w:val="none"/>
              </w:rPr>
              <w:t>1200℃×3h</w:t>
            </w:r>
          </w:p>
        </w:tc>
        <w:tc>
          <w:tcPr>
            <w:tcW w:w="1234" w:type="dxa"/>
            <w:vAlign w:val="center"/>
          </w:tcPr>
          <w:p w14:paraId="69EF19C7">
            <w:pPr>
              <w:spacing w:line="240" w:lineRule="auto"/>
              <w:ind w:firstLine="0" w:firstLineChars="0"/>
              <w:rPr>
                <w:rFonts w:ascii="Times New Roman"/>
                <w:sz w:val="21"/>
                <w:szCs w:val="21"/>
                <w:highlight w:val="none"/>
              </w:rPr>
            </w:pPr>
            <w:r>
              <w:rPr>
                <w:rFonts w:hint="eastAsia" w:ascii="Times New Roman"/>
                <w:sz w:val="21"/>
                <w:szCs w:val="21"/>
                <w:highlight w:val="none"/>
              </w:rPr>
              <w:t>MPa</w:t>
            </w:r>
          </w:p>
        </w:tc>
        <w:tc>
          <w:tcPr>
            <w:tcW w:w="1054" w:type="dxa"/>
            <w:vAlign w:val="center"/>
          </w:tcPr>
          <w:p w14:paraId="3C603ED3">
            <w:pPr>
              <w:spacing w:line="240" w:lineRule="auto"/>
              <w:ind w:firstLine="0" w:firstLineChars="0"/>
              <w:rPr>
                <w:rFonts w:ascii="Times New Roman"/>
                <w:sz w:val="21"/>
                <w:szCs w:val="21"/>
                <w:highlight w:val="none"/>
              </w:rPr>
            </w:pPr>
            <w:r>
              <w:rPr>
                <w:rFonts w:hint="eastAsia" w:ascii="Times New Roman"/>
                <w:sz w:val="21"/>
                <w:szCs w:val="21"/>
                <w:highlight w:val="none"/>
              </w:rPr>
              <w:t>≥10</w:t>
            </w:r>
          </w:p>
        </w:tc>
        <w:tc>
          <w:tcPr>
            <w:tcW w:w="1413" w:type="dxa"/>
            <w:vAlign w:val="center"/>
          </w:tcPr>
          <w:p w14:paraId="270EC67F">
            <w:pPr>
              <w:spacing w:line="240" w:lineRule="auto"/>
              <w:ind w:firstLine="0" w:firstLineChars="0"/>
              <w:rPr>
                <w:rFonts w:ascii="Times New Roman"/>
                <w:sz w:val="21"/>
                <w:szCs w:val="21"/>
                <w:highlight w:val="none"/>
              </w:rPr>
            </w:pPr>
            <w:r>
              <w:rPr>
                <w:rFonts w:hint="eastAsia" w:ascii="Times New Roman"/>
                <w:sz w:val="21"/>
                <w:szCs w:val="21"/>
                <w:highlight w:val="none"/>
              </w:rPr>
              <w:t>10</w:t>
            </w:r>
          </w:p>
        </w:tc>
        <w:tc>
          <w:tcPr>
            <w:tcW w:w="1995" w:type="dxa"/>
            <w:vMerge w:val="continue"/>
            <w:vAlign w:val="center"/>
          </w:tcPr>
          <w:p w14:paraId="2954AADA">
            <w:pPr>
              <w:spacing w:line="240" w:lineRule="auto"/>
              <w:ind w:firstLine="0" w:firstLineChars="0"/>
              <w:rPr>
                <w:rFonts w:ascii="Times New Roman"/>
                <w:sz w:val="21"/>
                <w:szCs w:val="21"/>
                <w:highlight w:val="none"/>
                <w:lang w:val="pt-BR"/>
              </w:rPr>
            </w:pPr>
          </w:p>
        </w:tc>
      </w:tr>
      <w:tr w14:paraId="6BADAF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0" w:type="dxa"/>
            <w:vMerge w:val="restart"/>
            <w:vAlign w:val="center"/>
          </w:tcPr>
          <w:p w14:paraId="34B01A4F">
            <w:pPr>
              <w:spacing w:line="240" w:lineRule="auto"/>
              <w:ind w:firstLine="0" w:firstLineChars="0"/>
              <w:rPr>
                <w:rFonts w:ascii="Times New Roman"/>
                <w:sz w:val="21"/>
                <w:szCs w:val="21"/>
                <w:highlight w:val="none"/>
                <w:lang w:val="pt-BR"/>
              </w:rPr>
            </w:pPr>
            <w:r>
              <w:rPr>
                <w:rFonts w:hint="eastAsia" w:ascii="Times New Roman"/>
                <w:sz w:val="21"/>
                <w:szCs w:val="21"/>
                <w:highlight w:val="none"/>
                <w:lang w:val="pt-BR"/>
              </w:rPr>
              <w:t>线变化率</w:t>
            </w:r>
          </w:p>
        </w:tc>
        <w:tc>
          <w:tcPr>
            <w:tcW w:w="1896" w:type="dxa"/>
            <w:vAlign w:val="center"/>
          </w:tcPr>
          <w:p w14:paraId="713A963E">
            <w:pPr>
              <w:spacing w:line="240" w:lineRule="auto"/>
              <w:ind w:firstLine="0" w:firstLineChars="0"/>
              <w:rPr>
                <w:rFonts w:ascii="Times New Roman"/>
                <w:sz w:val="21"/>
                <w:szCs w:val="21"/>
                <w:highlight w:val="none"/>
                <w:lang w:val="pt-BR"/>
              </w:rPr>
            </w:pPr>
            <w:r>
              <w:rPr>
                <w:rFonts w:hint="eastAsia" w:ascii="Times New Roman"/>
                <w:sz w:val="21"/>
                <w:szCs w:val="21"/>
                <w:highlight w:val="none"/>
              </w:rPr>
              <w:t>850℃×3h</w:t>
            </w:r>
          </w:p>
        </w:tc>
        <w:tc>
          <w:tcPr>
            <w:tcW w:w="1234" w:type="dxa"/>
            <w:vAlign w:val="center"/>
          </w:tcPr>
          <w:p w14:paraId="6A2E4AFD">
            <w:pPr>
              <w:spacing w:line="240" w:lineRule="auto"/>
              <w:ind w:firstLine="0" w:firstLineChars="0"/>
              <w:rPr>
                <w:rFonts w:ascii="Times New Roman"/>
                <w:sz w:val="21"/>
                <w:szCs w:val="21"/>
                <w:highlight w:val="none"/>
              </w:rPr>
            </w:pPr>
            <w:r>
              <w:rPr>
                <w:rFonts w:hint="eastAsia" w:ascii="Times New Roman"/>
                <w:sz w:val="21"/>
                <w:szCs w:val="21"/>
                <w:highlight w:val="none"/>
              </w:rPr>
              <w:t>%</w:t>
            </w:r>
          </w:p>
        </w:tc>
        <w:tc>
          <w:tcPr>
            <w:tcW w:w="1054" w:type="dxa"/>
            <w:vAlign w:val="center"/>
          </w:tcPr>
          <w:p w14:paraId="235C119D">
            <w:pPr>
              <w:spacing w:line="240" w:lineRule="auto"/>
              <w:ind w:firstLine="0" w:firstLineChars="0"/>
              <w:rPr>
                <w:rFonts w:ascii="Times New Roman"/>
                <w:sz w:val="21"/>
                <w:szCs w:val="21"/>
                <w:highlight w:val="none"/>
              </w:rPr>
            </w:pPr>
            <w:r>
              <w:rPr>
                <w:rFonts w:hint="eastAsia" w:ascii="Times New Roman"/>
                <w:sz w:val="21"/>
                <w:szCs w:val="21"/>
                <w:highlight w:val="none"/>
              </w:rPr>
              <w:t>0～+0.5</w:t>
            </w:r>
          </w:p>
        </w:tc>
        <w:tc>
          <w:tcPr>
            <w:tcW w:w="1413" w:type="dxa"/>
            <w:vAlign w:val="center"/>
          </w:tcPr>
          <w:p w14:paraId="5DA53D68">
            <w:pPr>
              <w:spacing w:line="240" w:lineRule="auto"/>
              <w:ind w:firstLine="0" w:firstLineChars="0"/>
              <w:rPr>
                <w:rFonts w:ascii="Times New Roman"/>
                <w:sz w:val="21"/>
                <w:szCs w:val="21"/>
                <w:highlight w:val="none"/>
              </w:rPr>
            </w:pPr>
          </w:p>
        </w:tc>
        <w:tc>
          <w:tcPr>
            <w:tcW w:w="1995" w:type="dxa"/>
            <w:vAlign w:val="center"/>
          </w:tcPr>
          <w:p w14:paraId="3FBDCDD9">
            <w:pPr>
              <w:spacing w:line="240" w:lineRule="auto"/>
              <w:ind w:firstLine="0" w:firstLineChars="0"/>
              <w:rPr>
                <w:rFonts w:ascii="Times New Roman"/>
                <w:sz w:val="21"/>
                <w:szCs w:val="21"/>
                <w:highlight w:val="none"/>
              </w:rPr>
            </w:pPr>
            <w:r>
              <w:rPr>
                <w:rFonts w:hint="eastAsia" w:ascii="Times New Roman"/>
                <w:sz w:val="21"/>
                <w:szCs w:val="21"/>
                <w:highlight w:val="none"/>
              </w:rPr>
              <w:t>GB/T5988</w:t>
            </w:r>
          </w:p>
        </w:tc>
      </w:tr>
      <w:tr w14:paraId="314B86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0" w:type="dxa"/>
            <w:vMerge w:val="continue"/>
            <w:vAlign w:val="center"/>
          </w:tcPr>
          <w:p w14:paraId="16078FFA">
            <w:pPr>
              <w:spacing w:line="240" w:lineRule="auto"/>
              <w:ind w:firstLine="0" w:firstLineChars="0"/>
              <w:rPr>
                <w:rFonts w:ascii="Times New Roman"/>
                <w:sz w:val="21"/>
                <w:szCs w:val="21"/>
                <w:highlight w:val="none"/>
                <w:lang w:val="pt-BR"/>
              </w:rPr>
            </w:pPr>
          </w:p>
        </w:tc>
        <w:tc>
          <w:tcPr>
            <w:tcW w:w="1896" w:type="dxa"/>
            <w:vAlign w:val="center"/>
          </w:tcPr>
          <w:p w14:paraId="5917ED9D">
            <w:pPr>
              <w:spacing w:line="240" w:lineRule="auto"/>
              <w:ind w:firstLine="0" w:firstLineChars="0"/>
              <w:rPr>
                <w:rFonts w:ascii="Times New Roman"/>
                <w:sz w:val="21"/>
                <w:szCs w:val="21"/>
                <w:highlight w:val="none"/>
                <w:lang w:val="pt-BR"/>
              </w:rPr>
            </w:pPr>
            <w:r>
              <w:rPr>
                <w:rFonts w:hint="eastAsia" w:ascii="Times New Roman"/>
                <w:sz w:val="21"/>
                <w:szCs w:val="21"/>
                <w:highlight w:val="none"/>
                <w:lang w:val="pt-BR"/>
              </w:rPr>
              <w:t>1</w:t>
            </w:r>
            <w:r>
              <w:rPr>
                <w:rFonts w:hint="eastAsia" w:ascii="Times New Roman"/>
                <w:sz w:val="21"/>
                <w:szCs w:val="21"/>
                <w:highlight w:val="none"/>
              </w:rPr>
              <w:t>350℃×3h</w:t>
            </w:r>
          </w:p>
        </w:tc>
        <w:tc>
          <w:tcPr>
            <w:tcW w:w="1234" w:type="dxa"/>
            <w:vAlign w:val="center"/>
          </w:tcPr>
          <w:p w14:paraId="54BD06C0">
            <w:pPr>
              <w:spacing w:line="240" w:lineRule="auto"/>
              <w:ind w:firstLine="0" w:firstLineChars="0"/>
              <w:rPr>
                <w:rFonts w:ascii="Times New Roman"/>
                <w:sz w:val="21"/>
                <w:szCs w:val="21"/>
                <w:highlight w:val="none"/>
              </w:rPr>
            </w:pPr>
            <w:r>
              <w:rPr>
                <w:rFonts w:hint="eastAsia" w:ascii="Times New Roman"/>
                <w:sz w:val="21"/>
                <w:szCs w:val="21"/>
                <w:highlight w:val="none"/>
              </w:rPr>
              <w:t>%</w:t>
            </w:r>
          </w:p>
        </w:tc>
        <w:tc>
          <w:tcPr>
            <w:tcW w:w="1054" w:type="dxa"/>
            <w:vAlign w:val="center"/>
          </w:tcPr>
          <w:p w14:paraId="7B1DBDA9">
            <w:pPr>
              <w:spacing w:line="240" w:lineRule="auto"/>
              <w:ind w:firstLine="0" w:firstLineChars="0"/>
              <w:rPr>
                <w:rFonts w:ascii="Times New Roman"/>
                <w:sz w:val="21"/>
                <w:szCs w:val="21"/>
                <w:highlight w:val="none"/>
              </w:rPr>
            </w:pPr>
            <w:r>
              <w:rPr>
                <w:rFonts w:hint="eastAsia" w:ascii="Times New Roman"/>
                <w:sz w:val="21"/>
                <w:szCs w:val="21"/>
                <w:highlight w:val="none"/>
              </w:rPr>
              <w:t>0～+0.5</w:t>
            </w:r>
          </w:p>
        </w:tc>
        <w:tc>
          <w:tcPr>
            <w:tcW w:w="1413" w:type="dxa"/>
            <w:vAlign w:val="center"/>
          </w:tcPr>
          <w:p w14:paraId="0374C649">
            <w:pPr>
              <w:spacing w:line="240" w:lineRule="auto"/>
              <w:ind w:firstLine="0" w:firstLineChars="0"/>
              <w:rPr>
                <w:rFonts w:ascii="Times New Roman"/>
                <w:sz w:val="21"/>
                <w:szCs w:val="21"/>
                <w:highlight w:val="none"/>
              </w:rPr>
            </w:pPr>
          </w:p>
        </w:tc>
        <w:tc>
          <w:tcPr>
            <w:tcW w:w="1995" w:type="dxa"/>
            <w:vAlign w:val="center"/>
          </w:tcPr>
          <w:p w14:paraId="5619FE9F">
            <w:pPr>
              <w:spacing w:line="240" w:lineRule="auto"/>
              <w:ind w:firstLine="0" w:firstLineChars="0"/>
              <w:rPr>
                <w:rFonts w:ascii="Times New Roman"/>
                <w:sz w:val="21"/>
                <w:szCs w:val="21"/>
                <w:highlight w:val="none"/>
              </w:rPr>
            </w:pPr>
            <w:r>
              <w:rPr>
                <w:rFonts w:hint="eastAsia" w:ascii="Times New Roman"/>
                <w:sz w:val="21"/>
                <w:szCs w:val="21"/>
                <w:highlight w:val="none"/>
              </w:rPr>
              <w:t>GB/T5988</w:t>
            </w:r>
          </w:p>
        </w:tc>
      </w:tr>
      <w:tr w14:paraId="5F0C76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826" w:type="dxa"/>
            <w:gridSpan w:val="2"/>
            <w:vAlign w:val="center"/>
          </w:tcPr>
          <w:p w14:paraId="336C2192">
            <w:pPr>
              <w:spacing w:line="240" w:lineRule="auto"/>
              <w:ind w:firstLine="0" w:firstLineChars="0"/>
              <w:rPr>
                <w:rFonts w:ascii="Times New Roman"/>
                <w:sz w:val="21"/>
                <w:szCs w:val="21"/>
                <w:highlight w:val="none"/>
              </w:rPr>
            </w:pPr>
            <w:r>
              <w:rPr>
                <w:rFonts w:hint="eastAsia" w:ascii="Times New Roman"/>
                <w:sz w:val="21"/>
                <w:szCs w:val="21"/>
                <w:highlight w:val="none"/>
              </w:rPr>
              <w:t>使用部位</w:t>
            </w:r>
          </w:p>
        </w:tc>
        <w:tc>
          <w:tcPr>
            <w:tcW w:w="5696" w:type="dxa"/>
            <w:gridSpan w:val="4"/>
            <w:vAlign w:val="center"/>
          </w:tcPr>
          <w:p w14:paraId="43C4A4C7">
            <w:pPr>
              <w:spacing w:line="240" w:lineRule="auto"/>
              <w:ind w:firstLine="0" w:firstLineChars="0"/>
              <w:rPr>
                <w:rFonts w:ascii="Times New Roman"/>
                <w:sz w:val="21"/>
                <w:szCs w:val="21"/>
                <w:highlight w:val="none"/>
              </w:rPr>
            </w:pPr>
            <w:r>
              <w:rPr>
                <w:rFonts w:hint="eastAsia" w:ascii="Times New Roman"/>
                <w:sz w:val="21"/>
                <w:szCs w:val="21"/>
                <w:highlight w:val="none"/>
              </w:rPr>
              <w:t>高炉冷却壁与炉壳之间缝隙</w:t>
            </w:r>
          </w:p>
        </w:tc>
      </w:tr>
    </w:tbl>
    <w:p w14:paraId="01CDB265">
      <w:pPr>
        <w:numPr>
          <w:ilvl w:val="0"/>
          <w:numId w:val="16"/>
        </w:numPr>
        <w:ind w:left="480" w:leftChars="0" w:firstLine="0" w:firstLineChars="0"/>
        <w:rPr>
          <w:highlight w:val="none"/>
        </w:rPr>
      </w:pPr>
      <w:bookmarkStart w:id="322" w:name="_Toc20715"/>
      <w:r>
        <w:rPr>
          <w:highlight w:val="none"/>
        </w:rPr>
        <w:t>耐火喷涂料</w:t>
      </w:r>
      <w:bookmarkEnd w:id="322"/>
      <w:r>
        <w:rPr>
          <w:rFonts w:hint="eastAsia"/>
          <w:highlight w:val="none"/>
        </w:rPr>
        <w:t>（与原喷涂料指标一致）</w:t>
      </w:r>
    </w:p>
    <w:tbl>
      <w:tblPr>
        <w:tblStyle w:val="6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3474"/>
        <w:gridCol w:w="1764"/>
        <w:gridCol w:w="2236"/>
      </w:tblGrid>
      <w:tr w14:paraId="289B10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3" w:type="pct"/>
            <w:tcBorders>
              <w:tl2br w:val="nil"/>
              <w:tr2bl w:val="nil"/>
            </w:tcBorders>
          </w:tcPr>
          <w:p w14:paraId="2CB05BF1">
            <w:pPr>
              <w:adjustRightInd w:val="0"/>
              <w:spacing w:line="360" w:lineRule="exact"/>
              <w:ind w:firstLine="0" w:firstLineChars="0"/>
              <w:jc w:val="center"/>
              <w:textAlignment w:val="baseline"/>
              <w:rPr>
                <w:rFonts w:ascii="Times New Roman" w:hAnsi="Times New Roman" w:cs="Times New Roman"/>
                <w:kern w:val="0"/>
                <w:highlight w:val="none"/>
              </w:rPr>
            </w:pPr>
            <w:r>
              <w:rPr>
                <w:rFonts w:ascii="Times New Roman" w:cs="Times New Roman"/>
                <w:kern w:val="0"/>
                <w:highlight w:val="none"/>
              </w:rPr>
              <w:t>序号</w:t>
            </w:r>
          </w:p>
        </w:tc>
        <w:tc>
          <w:tcPr>
            <w:tcW w:w="2038" w:type="pct"/>
            <w:tcBorders>
              <w:tl2br w:val="nil"/>
              <w:tr2bl w:val="nil"/>
            </w:tcBorders>
          </w:tcPr>
          <w:p w14:paraId="74893CF1">
            <w:pPr>
              <w:adjustRightInd w:val="0"/>
              <w:spacing w:line="360" w:lineRule="exact"/>
              <w:ind w:firstLine="0" w:firstLineChars="0"/>
              <w:jc w:val="center"/>
              <w:textAlignment w:val="baseline"/>
              <w:rPr>
                <w:rFonts w:ascii="Times New Roman" w:hAnsi="Times New Roman" w:cs="Times New Roman"/>
                <w:kern w:val="0"/>
                <w:highlight w:val="none"/>
              </w:rPr>
            </w:pPr>
            <w:r>
              <w:rPr>
                <w:rFonts w:ascii="Times New Roman" w:cs="Times New Roman"/>
                <w:kern w:val="0"/>
                <w:highlight w:val="none"/>
              </w:rPr>
              <w:t>项目</w:t>
            </w:r>
          </w:p>
        </w:tc>
        <w:tc>
          <w:tcPr>
            <w:tcW w:w="1035" w:type="pct"/>
            <w:tcBorders>
              <w:tl2br w:val="nil"/>
              <w:tr2bl w:val="nil"/>
            </w:tcBorders>
          </w:tcPr>
          <w:p w14:paraId="06D9B6CD">
            <w:pPr>
              <w:adjustRightInd w:val="0"/>
              <w:spacing w:line="360" w:lineRule="exact"/>
              <w:ind w:firstLine="0" w:firstLineChars="0"/>
              <w:jc w:val="center"/>
              <w:textAlignment w:val="baseline"/>
              <w:rPr>
                <w:rFonts w:ascii="Times New Roman" w:hAnsi="Times New Roman" w:cs="Times New Roman"/>
                <w:kern w:val="0"/>
                <w:highlight w:val="none"/>
              </w:rPr>
            </w:pPr>
            <w:r>
              <w:rPr>
                <w:rFonts w:ascii="Times New Roman" w:cs="Times New Roman"/>
                <w:kern w:val="0"/>
                <w:highlight w:val="none"/>
              </w:rPr>
              <w:t>单位</w:t>
            </w:r>
          </w:p>
        </w:tc>
        <w:tc>
          <w:tcPr>
            <w:tcW w:w="1311" w:type="pct"/>
            <w:tcBorders>
              <w:tl2br w:val="nil"/>
              <w:tr2bl w:val="nil"/>
            </w:tcBorders>
          </w:tcPr>
          <w:p w14:paraId="43DB2654">
            <w:pPr>
              <w:adjustRightInd w:val="0"/>
              <w:spacing w:line="360" w:lineRule="exact"/>
              <w:ind w:firstLine="0" w:firstLineChars="0"/>
              <w:jc w:val="center"/>
              <w:textAlignment w:val="baseline"/>
              <w:rPr>
                <w:rFonts w:ascii="Times New Roman" w:hAnsi="Times New Roman" w:cs="Times New Roman"/>
                <w:kern w:val="0"/>
                <w:highlight w:val="none"/>
              </w:rPr>
            </w:pPr>
            <w:r>
              <w:rPr>
                <w:rFonts w:ascii="Times New Roman" w:cs="Times New Roman"/>
                <w:kern w:val="0"/>
                <w:highlight w:val="none"/>
              </w:rPr>
              <w:t>指标</w:t>
            </w:r>
          </w:p>
        </w:tc>
      </w:tr>
      <w:tr w14:paraId="466FEC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3" w:type="pct"/>
            <w:tcBorders>
              <w:tl2br w:val="nil"/>
              <w:tr2bl w:val="nil"/>
            </w:tcBorders>
          </w:tcPr>
          <w:p w14:paraId="2D1799FF">
            <w:pPr>
              <w:adjustRightInd w:val="0"/>
              <w:spacing w:line="360" w:lineRule="exact"/>
              <w:ind w:firstLine="0" w:firstLineChars="0"/>
              <w:jc w:val="center"/>
              <w:textAlignment w:val="baseline"/>
              <w:rPr>
                <w:rFonts w:ascii="Times New Roman" w:hAnsi="Times New Roman" w:cs="Times New Roman"/>
                <w:kern w:val="0"/>
                <w:highlight w:val="none"/>
              </w:rPr>
            </w:pPr>
            <w:r>
              <w:rPr>
                <w:rFonts w:ascii="Times New Roman" w:hAnsi="Times New Roman" w:cs="Times New Roman"/>
                <w:kern w:val="0"/>
                <w:highlight w:val="none"/>
              </w:rPr>
              <w:t>1</w:t>
            </w:r>
          </w:p>
        </w:tc>
        <w:tc>
          <w:tcPr>
            <w:tcW w:w="2038" w:type="pct"/>
            <w:tcBorders>
              <w:tl2br w:val="nil"/>
              <w:tr2bl w:val="nil"/>
            </w:tcBorders>
          </w:tcPr>
          <w:p w14:paraId="43523FBC">
            <w:pPr>
              <w:adjustRightInd w:val="0"/>
              <w:spacing w:line="360" w:lineRule="exact"/>
              <w:ind w:firstLine="0" w:firstLineChars="0"/>
              <w:jc w:val="center"/>
              <w:textAlignment w:val="baseline"/>
              <w:rPr>
                <w:rFonts w:ascii="Times New Roman" w:hAnsi="Times New Roman" w:cs="Times New Roman"/>
                <w:kern w:val="0"/>
                <w:highlight w:val="none"/>
              </w:rPr>
            </w:pPr>
            <w:r>
              <w:rPr>
                <w:rFonts w:ascii="Times New Roman" w:cs="Times New Roman"/>
                <w:kern w:val="0"/>
                <w:highlight w:val="none"/>
              </w:rPr>
              <w:t>体积密度（干燥至</w:t>
            </w:r>
            <w:r>
              <w:rPr>
                <w:rFonts w:ascii="Times New Roman" w:hAnsi="Times New Roman" w:cs="Times New Roman"/>
                <w:kern w:val="0"/>
                <w:highlight w:val="none"/>
              </w:rPr>
              <w:t>110</w:t>
            </w:r>
            <w:r>
              <w:rPr>
                <w:rFonts w:ascii="Times New Roman" w:cs="Times New Roman"/>
                <w:kern w:val="0"/>
                <w:highlight w:val="none"/>
              </w:rPr>
              <w:t>℃）</w:t>
            </w:r>
          </w:p>
        </w:tc>
        <w:tc>
          <w:tcPr>
            <w:tcW w:w="1035" w:type="pct"/>
            <w:tcBorders>
              <w:tl2br w:val="nil"/>
              <w:tr2bl w:val="nil"/>
            </w:tcBorders>
          </w:tcPr>
          <w:p w14:paraId="40898C94">
            <w:pPr>
              <w:adjustRightInd w:val="0"/>
              <w:spacing w:line="360" w:lineRule="exact"/>
              <w:ind w:firstLine="0" w:firstLineChars="0"/>
              <w:jc w:val="center"/>
              <w:textAlignment w:val="baseline"/>
              <w:rPr>
                <w:rFonts w:ascii="Times New Roman" w:hAnsi="Times New Roman" w:cs="Times New Roman"/>
                <w:kern w:val="0"/>
                <w:highlight w:val="none"/>
                <w:vertAlign w:val="superscript"/>
              </w:rPr>
            </w:pPr>
            <w:r>
              <w:rPr>
                <w:rFonts w:ascii="Times New Roman" w:hAnsi="Times New Roman" w:cs="Times New Roman"/>
                <w:kern w:val="0"/>
                <w:highlight w:val="none"/>
              </w:rPr>
              <w:t>g/cm</w:t>
            </w:r>
            <w:r>
              <w:rPr>
                <w:rFonts w:ascii="Times New Roman" w:hAnsi="Times New Roman" w:cs="Times New Roman"/>
                <w:kern w:val="0"/>
                <w:highlight w:val="none"/>
                <w:vertAlign w:val="superscript"/>
              </w:rPr>
              <w:t>3</w:t>
            </w:r>
          </w:p>
        </w:tc>
        <w:tc>
          <w:tcPr>
            <w:tcW w:w="1311" w:type="pct"/>
            <w:tcBorders>
              <w:tl2br w:val="nil"/>
              <w:tr2bl w:val="nil"/>
            </w:tcBorders>
          </w:tcPr>
          <w:p w14:paraId="2F37D875">
            <w:pPr>
              <w:adjustRightInd w:val="0"/>
              <w:spacing w:line="360" w:lineRule="exact"/>
              <w:ind w:firstLine="0" w:firstLineChars="0"/>
              <w:jc w:val="center"/>
              <w:textAlignment w:val="baseline"/>
              <w:rPr>
                <w:rFonts w:ascii="Times New Roman" w:hAnsi="Times New Roman" w:cs="Times New Roman"/>
                <w:kern w:val="0"/>
                <w:highlight w:val="none"/>
              </w:rPr>
            </w:pPr>
            <w:r>
              <w:rPr>
                <w:rFonts w:ascii="Times New Roman" w:hAnsi="Times New Roman" w:cs="Times New Roman"/>
                <w:kern w:val="0"/>
                <w:highlight w:val="none"/>
              </w:rPr>
              <w:t>≥1.9</w:t>
            </w:r>
          </w:p>
        </w:tc>
      </w:tr>
      <w:tr w14:paraId="1C62AF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3" w:type="pct"/>
            <w:tcBorders>
              <w:tl2br w:val="nil"/>
              <w:tr2bl w:val="nil"/>
            </w:tcBorders>
          </w:tcPr>
          <w:p w14:paraId="1D53C303">
            <w:pPr>
              <w:adjustRightInd w:val="0"/>
              <w:spacing w:line="360" w:lineRule="exact"/>
              <w:ind w:firstLine="0" w:firstLineChars="0"/>
              <w:jc w:val="center"/>
              <w:textAlignment w:val="baseline"/>
              <w:rPr>
                <w:rFonts w:ascii="Times New Roman" w:hAnsi="Times New Roman" w:cs="Times New Roman"/>
                <w:kern w:val="0"/>
                <w:highlight w:val="none"/>
              </w:rPr>
            </w:pPr>
            <w:r>
              <w:rPr>
                <w:rFonts w:ascii="Times New Roman" w:hAnsi="Times New Roman" w:cs="Times New Roman"/>
                <w:kern w:val="0"/>
                <w:highlight w:val="none"/>
              </w:rPr>
              <w:t xml:space="preserve">2 </w:t>
            </w:r>
          </w:p>
        </w:tc>
        <w:tc>
          <w:tcPr>
            <w:tcW w:w="2038" w:type="pct"/>
            <w:tcBorders>
              <w:tl2br w:val="nil"/>
              <w:tr2bl w:val="nil"/>
            </w:tcBorders>
          </w:tcPr>
          <w:p w14:paraId="7D7ED2A6">
            <w:pPr>
              <w:keepNext/>
              <w:adjustRightInd w:val="0"/>
              <w:spacing w:line="360" w:lineRule="exact"/>
              <w:jc w:val="center"/>
              <w:textAlignment w:val="baseline"/>
              <w:outlineLvl w:val="0"/>
              <w:rPr>
                <w:rFonts w:ascii="Times New Roman" w:hAnsi="Times New Roman" w:cs="Times New Roman"/>
                <w:highlight w:val="none"/>
                <w:vertAlign w:val="subscript"/>
              </w:rPr>
            </w:pPr>
            <w:r>
              <w:rPr>
                <w:rFonts w:ascii="Times New Roman" w:hAnsi="Times New Roman" w:cs="Times New Roman"/>
                <w:highlight w:val="none"/>
              </w:rPr>
              <w:t>Al</w:t>
            </w:r>
            <w:r>
              <w:rPr>
                <w:rFonts w:ascii="Times New Roman" w:hAnsi="Times New Roman" w:cs="Times New Roman"/>
                <w:highlight w:val="none"/>
                <w:vertAlign w:val="subscript"/>
              </w:rPr>
              <w:t>2</w:t>
            </w:r>
            <w:r>
              <w:rPr>
                <w:rFonts w:ascii="Times New Roman" w:hAnsi="Times New Roman" w:cs="Times New Roman"/>
                <w:highlight w:val="none"/>
              </w:rPr>
              <w:t>O</w:t>
            </w:r>
            <w:r>
              <w:rPr>
                <w:rFonts w:ascii="Times New Roman" w:hAnsi="Times New Roman" w:cs="Times New Roman"/>
                <w:highlight w:val="none"/>
                <w:vertAlign w:val="subscript"/>
              </w:rPr>
              <w:t>3</w:t>
            </w:r>
          </w:p>
        </w:tc>
        <w:tc>
          <w:tcPr>
            <w:tcW w:w="1035" w:type="pct"/>
            <w:tcBorders>
              <w:tl2br w:val="nil"/>
              <w:tr2bl w:val="nil"/>
            </w:tcBorders>
          </w:tcPr>
          <w:p w14:paraId="69A9B489">
            <w:pPr>
              <w:adjustRightInd w:val="0"/>
              <w:spacing w:line="360" w:lineRule="exact"/>
              <w:ind w:firstLine="0" w:firstLineChars="0"/>
              <w:jc w:val="center"/>
              <w:textAlignment w:val="baseline"/>
              <w:rPr>
                <w:rFonts w:ascii="Times New Roman" w:hAnsi="Times New Roman" w:cs="Times New Roman"/>
                <w:kern w:val="0"/>
                <w:highlight w:val="none"/>
              </w:rPr>
            </w:pPr>
            <w:r>
              <w:rPr>
                <w:rFonts w:ascii="Times New Roman" w:hAnsi="Times New Roman" w:cs="Times New Roman"/>
                <w:kern w:val="0"/>
                <w:highlight w:val="none"/>
              </w:rPr>
              <w:t>%</w:t>
            </w:r>
          </w:p>
        </w:tc>
        <w:tc>
          <w:tcPr>
            <w:tcW w:w="1311" w:type="pct"/>
            <w:tcBorders>
              <w:tl2br w:val="nil"/>
              <w:tr2bl w:val="nil"/>
            </w:tcBorders>
          </w:tcPr>
          <w:p w14:paraId="78EE5FA2">
            <w:pPr>
              <w:adjustRightInd w:val="0"/>
              <w:spacing w:line="360" w:lineRule="exact"/>
              <w:ind w:firstLine="0" w:firstLineChars="0"/>
              <w:jc w:val="center"/>
              <w:textAlignment w:val="baseline"/>
              <w:rPr>
                <w:rFonts w:ascii="Times New Roman" w:hAnsi="Times New Roman" w:cs="Times New Roman"/>
                <w:kern w:val="0"/>
                <w:highlight w:val="none"/>
              </w:rPr>
            </w:pPr>
            <w:r>
              <w:rPr>
                <w:rFonts w:ascii="Times New Roman" w:cs="Times New Roman"/>
                <w:kern w:val="0"/>
                <w:highlight w:val="none"/>
              </w:rPr>
              <w:t>＞</w:t>
            </w:r>
            <w:r>
              <w:rPr>
                <w:rFonts w:ascii="Times New Roman" w:hAnsi="Times New Roman" w:cs="Times New Roman"/>
                <w:kern w:val="0"/>
                <w:highlight w:val="none"/>
              </w:rPr>
              <w:t>40</w:t>
            </w:r>
          </w:p>
        </w:tc>
      </w:tr>
      <w:tr w14:paraId="720B64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3" w:type="pct"/>
            <w:tcBorders>
              <w:tl2br w:val="nil"/>
              <w:tr2bl w:val="nil"/>
            </w:tcBorders>
          </w:tcPr>
          <w:p w14:paraId="0BF77E9E">
            <w:pPr>
              <w:adjustRightInd w:val="0"/>
              <w:spacing w:line="360" w:lineRule="exact"/>
              <w:ind w:firstLine="0" w:firstLineChars="0"/>
              <w:jc w:val="center"/>
              <w:textAlignment w:val="baseline"/>
              <w:rPr>
                <w:rFonts w:ascii="Times New Roman" w:hAnsi="Times New Roman" w:cs="Times New Roman"/>
                <w:kern w:val="0"/>
                <w:highlight w:val="none"/>
              </w:rPr>
            </w:pPr>
            <w:r>
              <w:rPr>
                <w:rFonts w:ascii="Times New Roman" w:hAnsi="Times New Roman" w:cs="Times New Roman"/>
                <w:kern w:val="0"/>
                <w:highlight w:val="none"/>
              </w:rPr>
              <w:t>3</w:t>
            </w:r>
          </w:p>
        </w:tc>
        <w:tc>
          <w:tcPr>
            <w:tcW w:w="2038" w:type="pct"/>
            <w:tcBorders>
              <w:tl2br w:val="nil"/>
              <w:tr2bl w:val="nil"/>
            </w:tcBorders>
          </w:tcPr>
          <w:p w14:paraId="39F8C1D8">
            <w:pPr>
              <w:adjustRightInd w:val="0"/>
              <w:spacing w:line="360" w:lineRule="exact"/>
              <w:ind w:firstLine="0" w:firstLineChars="0"/>
              <w:jc w:val="center"/>
              <w:textAlignment w:val="baseline"/>
              <w:rPr>
                <w:rFonts w:ascii="Times New Roman" w:hAnsi="Times New Roman" w:cs="Times New Roman"/>
                <w:kern w:val="0"/>
                <w:highlight w:val="none"/>
                <w:vertAlign w:val="subscript"/>
              </w:rPr>
            </w:pPr>
            <w:r>
              <w:rPr>
                <w:rFonts w:ascii="Times New Roman" w:hAnsi="Times New Roman" w:cs="Times New Roman"/>
                <w:kern w:val="0"/>
                <w:highlight w:val="none"/>
              </w:rPr>
              <w:t>SiO</w:t>
            </w:r>
            <w:r>
              <w:rPr>
                <w:rFonts w:ascii="Times New Roman" w:hAnsi="Times New Roman" w:cs="Times New Roman"/>
                <w:kern w:val="0"/>
                <w:highlight w:val="none"/>
                <w:vertAlign w:val="subscript"/>
              </w:rPr>
              <w:t>2</w:t>
            </w:r>
          </w:p>
        </w:tc>
        <w:tc>
          <w:tcPr>
            <w:tcW w:w="1035" w:type="pct"/>
            <w:tcBorders>
              <w:tl2br w:val="nil"/>
              <w:tr2bl w:val="nil"/>
            </w:tcBorders>
          </w:tcPr>
          <w:p w14:paraId="0861959A">
            <w:pPr>
              <w:adjustRightInd w:val="0"/>
              <w:spacing w:line="360" w:lineRule="exact"/>
              <w:ind w:firstLine="0" w:firstLineChars="0"/>
              <w:jc w:val="center"/>
              <w:textAlignment w:val="baseline"/>
              <w:rPr>
                <w:rFonts w:ascii="Times New Roman" w:hAnsi="Times New Roman" w:cs="Times New Roman"/>
                <w:kern w:val="0"/>
                <w:highlight w:val="none"/>
              </w:rPr>
            </w:pPr>
            <w:r>
              <w:rPr>
                <w:rFonts w:ascii="Times New Roman" w:hAnsi="Times New Roman" w:cs="Times New Roman"/>
                <w:kern w:val="0"/>
                <w:highlight w:val="none"/>
              </w:rPr>
              <w:t>%</w:t>
            </w:r>
          </w:p>
        </w:tc>
        <w:tc>
          <w:tcPr>
            <w:tcW w:w="1311" w:type="pct"/>
            <w:tcBorders>
              <w:tl2br w:val="nil"/>
              <w:tr2bl w:val="nil"/>
            </w:tcBorders>
          </w:tcPr>
          <w:p w14:paraId="1312E7ED">
            <w:pPr>
              <w:adjustRightInd w:val="0"/>
              <w:spacing w:line="360" w:lineRule="exact"/>
              <w:ind w:firstLine="0" w:firstLineChars="0"/>
              <w:jc w:val="center"/>
              <w:textAlignment w:val="baseline"/>
              <w:rPr>
                <w:rFonts w:ascii="Times New Roman" w:hAnsi="Times New Roman" w:cs="Times New Roman"/>
                <w:kern w:val="0"/>
                <w:highlight w:val="none"/>
              </w:rPr>
            </w:pPr>
            <w:r>
              <w:rPr>
                <w:rFonts w:ascii="Times New Roman" w:cs="Times New Roman"/>
                <w:kern w:val="0"/>
                <w:highlight w:val="none"/>
              </w:rPr>
              <w:t>＜</w:t>
            </w:r>
            <w:r>
              <w:rPr>
                <w:rFonts w:ascii="Times New Roman" w:hAnsi="Times New Roman" w:cs="Times New Roman"/>
                <w:kern w:val="0"/>
                <w:highlight w:val="none"/>
              </w:rPr>
              <w:t>42</w:t>
            </w:r>
          </w:p>
        </w:tc>
      </w:tr>
      <w:tr w14:paraId="4B046B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3" w:type="pct"/>
            <w:tcBorders>
              <w:tl2br w:val="nil"/>
              <w:tr2bl w:val="nil"/>
            </w:tcBorders>
          </w:tcPr>
          <w:p w14:paraId="1CF19B95">
            <w:pPr>
              <w:adjustRightInd w:val="0"/>
              <w:spacing w:line="360" w:lineRule="exact"/>
              <w:ind w:firstLine="0" w:firstLineChars="0"/>
              <w:jc w:val="center"/>
              <w:textAlignment w:val="baseline"/>
              <w:rPr>
                <w:rFonts w:ascii="Times New Roman" w:hAnsi="Times New Roman" w:cs="Times New Roman"/>
                <w:kern w:val="0"/>
                <w:highlight w:val="none"/>
              </w:rPr>
            </w:pPr>
            <w:r>
              <w:rPr>
                <w:rFonts w:ascii="Times New Roman" w:hAnsi="Times New Roman" w:cs="Times New Roman"/>
                <w:kern w:val="0"/>
                <w:highlight w:val="none"/>
              </w:rPr>
              <w:t>4</w:t>
            </w:r>
          </w:p>
        </w:tc>
        <w:tc>
          <w:tcPr>
            <w:tcW w:w="2038" w:type="pct"/>
            <w:tcBorders>
              <w:tl2br w:val="nil"/>
              <w:tr2bl w:val="nil"/>
            </w:tcBorders>
          </w:tcPr>
          <w:p w14:paraId="2EA4DCD4">
            <w:pPr>
              <w:adjustRightInd w:val="0"/>
              <w:spacing w:line="360" w:lineRule="exact"/>
              <w:ind w:firstLine="0" w:firstLineChars="0"/>
              <w:jc w:val="center"/>
              <w:textAlignment w:val="baseline"/>
              <w:rPr>
                <w:rFonts w:ascii="Times New Roman" w:hAnsi="Times New Roman" w:cs="Times New Roman"/>
                <w:kern w:val="0"/>
                <w:highlight w:val="none"/>
              </w:rPr>
            </w:pPr>
            <w:r>
              <w:rPr>
                <w:rFonts w:ascii="Times New Roman" w:cs="Times New Roman"/>
                <w:kern w:val="0"/>
                <w:highlight w:val="none"/>
              </w:rPr>
              <w:t>抗折强度</w:t>
            </w:r>
          </w:p>
        </w:tc>
        <w:tc>
          <w:tcPr>
            <w:tcW w:w="1035" w:type="pct"/>
            <w:tcBorders>
              <w:tl2br w:val="nil"/>
              <w:tr2bl w:val="nil"/>
            </w:tcBorders>
          </w:tcPr>
          <w:p w14:paraId="7A635315">
            <w:pPr>
              <w:adjustRightInd w:val="0"/>
              <w:spacing w:line="360" w:lineRule="exact"/>
              <w:ind w:firstLine="0" w:firstLineChars="0"/>
              <w:jc w:val="center"/>
              <w:textAlignment w:val="baseline"/>
              <w:rPr>
                <w:rFonts w:ascii="Times New Roman" w:hAnsi="Times New Roman" w:cs="Times New Roman"/>
                <w:kern w:val="0"/>
                <w:highlight w:val="none"/>
              </w:rPr>
            </w:pPr>
            <w:r>
              <w:rPr>
                <w:rFonts w:ascii="Times New Roman" w:hAnsi="Times New Roman" w:cs="Times New Roman"/>
                <w:kern w:val="0"/>
                <w:highlight w:val="none"/>
              </w:rPr>
              <w:t>MPa</w:t>
            </w:r>
          </w:p>
        </w:tc>
        <w:tc>
          <w:tcPr>
            <w:tcW w:w="1311" w:type="pct"/>
            <w:tcBorders>
              <w:tl2br w:val="nil"/>
              <w:tr2bl w:val="nil"/>
            </w:tcBorders>
          </w:tcPr>
          <w:p w14:paraId="0803DFA1">
            <w:pPr>
              <w:adjustRightInd w:val="0"/>
              <w:spacing w:line="360" w:lineRule="exact"/>
              <w:ind w:firstLine="0" w:firstLineChars="0"/>
              <w:jc w:val="center"/>
              <w:textAlignment w:val="baseline"/>
              <w:rPr>
                <w:rFonts w:ascii="Times New Roman" w:hAnsi="Times New Roman" w:cs="Times New Roman"/>
                <w:kern w:val="0"/>
                <w:highlight w:val="none"/>
              </w:rPr>
            </w:pPr>
          </w:p>
        </w:tc>
      </w:tr>
      <w:tr w14:paraId="26408F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3" w:type="pct"/>
            <w:tcBorders>
              <w:tl2br w:val="nil"/>
              <w:tr2bl w:val="nil"/>
            </w:tcBorders>
          </w:tcPr>
          <w:p w14:paraId="68B9AFC9">
            <w:pPr>
              <w:adjustRightInd w:val="0"/>
              <w:spacing w:line="360" w:lineRule="exact"/>
              <w:ind w:firstLine="0" w:firstLineChars="0"/>
              <w:jc w:val="center"/>
              <w:textAlignment w:val="baseline"/>
              <w:rPr>
                <w:rFonts w:ascii="Times New Roman" w:hAnsi="Times New Roman" w:cs="Times New Roman"/>
                <w:kern w:val="0"/>
                <w:highlight w:val="none"/>
              </w:rPr>
            </w:pPr>
          </w:p>
        </w:tc>
        <w:tc>
          <w:tcPr>
            <w:tcW w:w="2038" w:type="pct"/>
            <w:tcBorders>
              <w:tl2br w:val="nil"/>
              <w:tr2bl w:val="nil"/>
            </w:tcBorders>
          </w:tcPr>
          <w:p w14:paraId="2F6236E3">
            <w:pPr>
              <w:adjustRightInd w:val="0"/>
              <w:spacing w:line="360" w:lineRule="exact"/>
              <w:ind w:firstLine="0" w:firstLineChars="0"/>
              <w:jc w:val="center"/>
              <w:textAlignment w:val="baseline"/>
              <w:rPr>
                <w:rFonts w:ascii="Times New Roman" w:hAnsi="Times New Roman" w:cs="Times New Roman"/>
                <w:kern w:val="0"/>
                <w:highlight w:val="none"/>
              </w:rPr>
            </w:pPr>
            <w:r>
              <w:rPr>
                <w:rFonts w:ascii="Times New Roman" w:hAnsi="Times New Roman" w:cs="Times New Roman"/>
                <w:kern w:val="0"/>
                <w:highlight w:val="none"/>
              </w:rPr>
              <w:t>110</w:t>
            </w:r>
            <w:r>
              <w:rPr>
                <w:rFonts w:ascii="Times New Roman" w:cs="Times New Roman"/>
                <w:kern w:val="0"/>
                <w:highlight w:val="none"/>
              </w:rPr>
              <w:t>℃</w:t>
            </w:r>
            <w:r>
              <w:rPr>
                <w:rFonts w:hint="eastAsia" w:ascii="Times New Roman" w:cs="Times New Roman"/>
                <w:kern w:val="0"/>
                <w:highlight w:val="none"/>
              </w:rPr>
              <w:t>x24h</w:t>
            </w:r>
          </w:p>
        </w:tc>
        <w:tc>
          <w:tcPr>
            <w:tcW w:w="1035" w:type="pct"/>
            <w:tcBorders>
              <w:tl2br w:val="nil"/>
              <w:tr2bl w:val="nil"/>
            </w:tcBorders>
          </w:tcPr>
          <w:p w14:paraId="188E1650">
            <w:pPr>
              <w:adjustRightInd w:val="0"/>
              <w:spacing w:line="360" w:lineRule="exact"/>
              <w:ind w:firstLine="0" w:firstLineChars="0"/>
              <w:jc w:val="center"/>
              <w:textAlignment w:val="baseline"/>
              <w:rPr>
                <w:rFonts w:ascii="Times New Roman" w:hAnsi="Times New Roman" w:cs="Times New Roman"/>
                <w:kern w:val="0"/>
                <w:highlight w:val="none"/>
                <w:vertAlign w:val="superscript"/>
              </w:rPr>
            </w:pPr>
          </w:p>
        </w:tc>
        <w:tc>
          <w:tcPr>
            <w:tcW w:w="1311" w:type="pct"/>
            <w:tcBorders>
              <w:tl2br w:val="nil"/>
              <w:tr2bl w:val="nil"/>
            </w:tcBorders>
          </w:tcPr>
          <w:p w14:paraId="16D003D9">
            <w:pPr>
              <w:adjustRightInd w:val="0"/>
              <w:spacing w:line="360" w:lineRule="exact"/>
              <w:ind w:firstLine="0" w:firstLineChars="0"/>
              <w:jc w:val="center"/>
              <w:textAlignment w:val="baseline"/>
              <w:rPr>
                <w:rFonts w:ascii="Times New Roman" w:hAnsi="Times New Roman" w:cs="Times New Roman"/>
                <w:kern w:val="0"/>
                <w:highlight w:val="none"/>
              </w:rPr>
            </w:pPr>
            <w:r>
              <w:rPr>
                <w:rFonts w:ascii="Times New Roman" w:cs="Times New Roman"/>
                <w:kern w:val="0"/>
                <w:highlight w:val="none"/>
              </w:rPr>
              <w:t>＞</w:t>
            </w:r>
            <w:r>
              <w:rPr>
                <w:rFonts w:ascii="Times New Roman" w:hAnsi="Times New Roman" w:cs="Times New Roman"/>
                <w:kern w:val="0"/>
                <w:highlight w:val="none"/>
              </w:rPr>
              <w:t>4.0</w:t>
            </w:r>
          </w:p>
        </w:tc>
      </w:tr>
      <w:tr w14:paraId="69D071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3" w:type="pct"/>
            <w:tcBorders>
              <w:tl2br w:val="nil"/>
              <w:tr2bl w:val="nil"/>
            </w:tcBorders>
          </w:tcPr>
          <w:p w14:paraId="01EFA8CC">
            <w:pPr>
              <w:adjustRightInd w:val="0"/>
              <w:spacing w:line="360" w:lineRule="exact"/>
              <w:ind w:firstLine="0" w:firstLineChars="0"/>
              <w:jc w:val="center"/>
              <w:textAlignment w:val="baseline"/>
              <w:rPr>
                <w:rFonts w:ascii="Times New Roman" w:hAnsi="Times New Roman" w:cs="Times New Roman"/>
                <w:kern w:val="0"/>
                <w:highlight w:val="none"/>
              </w:rPr>
            </w:pPr>
          </w:p>
        </w:tc>
        <w:tc>
          <w:tcPr>
            <w:tcW w:w="2038" w:type="pct"/>
            <w:tcBorders>
              <w:tl2br w:val="nil"/>
              <w:tr2bl w:val="nil"/>
            </w:tcBorders>
          </w:tcPr>
          <w:p w14:paraId="530526E4">
            <w:pPr>
              <w:adjustRightInd w:val="0"/>
              <w:spacing w:line="360" w:lineRule="exact"/>
              <w:ind w:firstLine="0" w:firstLineChars="0"/>
              <w:jc w:val="center"/>
              <w:textAlignment w:val="baseline"/>
              <w:rPr>
                <w:rFonts w:ascii="Times New Roman" w:hAnsi="Times New Roman" w:cs="Times New Roman"/>
                <w:kern w:val="0"/>
                <w:highlight w:val="none"/>
              </w:rPr>
            </w:pPr>
            <w:r>
              <w:rPr>
                <w:rFonts w:ascii="Times New Roman" w:hAnsi="Times New Roman" w:cs="Times New Roman"/>
                <w:kern w:val="0"/>
                <w:highlight w:val="none"/>
              </w:rPr>
              <w:t>1000</w:t>
            </w:r>
            <w:r>
              <w:rPr>
                <w:rFonts w:ascii="Times New Roman" w:cs="Times New Roman"/>
                <w:kern w:val="0"/>
                <w:highlight w:val="none"/>
              </w:rPr>
              <w:t>℃</w:t>
            </w:r>
            <w:r>
              <w:rPr>
                <w:rFonts w:hint="eastAsia" w:ascii="Times New Roman" w:cs="Times New Roman"/>
                <w:kern w:val="0"/>
                <w:highlight w:val="none"/>
              </w:rPr>
              <w:t>x3h</w:t>
            </w:r>
          </w:p>
        </w:tc>
        <w:tc>
          <w:tcPr>
            <w:tcW w:w="1035" w:type="pct"/>
            <w:tcBorders>
              <w:tl2br w:val="nil"/>
              <w:tr2bl w:val="nil"/>
            </w:tcBorders>
          </w:tcPr>
          <w:p w14:paraId="2FD18887">
            <w:pPr>
              <w:adjustRightInd w:val="0"/>
              <w:spacing w:line="360" w:lineRule="exact"/>
              <w:ind w:firstLine="0" w:firstLineChars="0"/>
              <w:jc w:val="center"/>
              <w:textAlignment w:val="baseline"/>
              <w:rPr>
                <w:rFonts w:ascii="Times New Roman" w:hAnsi="Times New Roman" w:cs="Times New Roman"/>
                <w:kern w:val="0"/>
                <w:highlight w:val="none"/>
                <w:vertAlign w:val="superscript"/>
              </w:rPr>
            </w:pPr>
          </w:p>
        </w:tc>
        <w:tc>
          <w:tcPr>
            <w:tcW w:w="1311" w:type="pct"/>
            <w:tcBorders>
              <w:tl2br w:val="nil"/>
              <w:tr2bl w:val="nil"/>
            </w:tcBorders>
          </w:tcPr>
          <w:p w14:paraId="4CE4BFD9">
            <w:pPr>
              <w:adjustRightInd w:val="0"/>
              <w:spacing w:line="360" w:lineRule="exact"/>
              <w:ind w:firstLine="0" w:firstLineChars="0"/>
              <w:jc w:val="center"/>
              <w:textAlignment w:val="baseline"/>
              <w:rPr>
                <w:rFonts w:ascii="Times New Roman" w:hAnsi="Times New Roman" w:cs="Times New Roman"/>
                <w:kern w:val="0"/>
                <w:highlight w:val="none"/>
              </w:rPr>
            </w:pPr>
            <w:r>
              <w:rPr>
                <w:rFonts w:ascii="Times New Roman" w:cs="Times New Roman"/>
                <w:kern w:val="0"/>
                <w:highlight w:val="none"/>
              </w:rPr>
              <w:t>＞</w:t>
            </w:r>
            <w:r>
              <w:rPr>
                <w:rFonts w:ascii="Times New Roman" w:hAnsi="Times New Roman" w:cs="Times New Roman"/>
                <w:kern w:val="0"/>
                <w:highlight w:val="none"/>
              </w:rPr>
              <w:t>2.5</w:t>
            </w:r>
          </w:p>
        </w:tc>
      </w:tr>
      <w:tr w14:paraId="44BF8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3" w:type="pct"/>
            <w:tcBorders>
              <w:tl2br w:val="nil"/>
              <w:tr2bl w:val="nil"/>
            </w:tcBorders>
          </w:tcPr>
          <w:p w14:paraId="0901251B">
            <w:pPr>
              <w:adjustRightInd w:val="0"/>
              <w:spacing w:line="360" w:lineRule="exact"/>
              <w:ind w:firstLine="0" w:firstLineChars="0"/>
              <w:jc w:val="center"/>
              <w:textAlignment w:val="baseline"/>
              <w:rPr>
                <w:rFonts w:ascii="Times New Roman" w:hAnsi="Times New Roman" w:cs="Times New Roman"/>
                <w:kern w:val="0"/>
                <w:highlight w:val="none"/>
              </w:rPr>
            </w:pPr>
          </w:p>
        </w:tc>
        <w:tc>
          <w:tcPr>
            <w:tcW w:w="2038" w:type="pct"/>
            <w:tcBorders>
              <w:tl2br w:val="nil"/>
              <w:tr2bl w:val="nil"/>
            </w:tcBorders>
          </w:tcPr>
          <w:p w14:paraId="27040F41">
            <w:pPr>
              <w:adjustRightInd w:val="0"/>
              <w:spacing w:line="360" w:lineRule="exact"/>
              <w:ind w:firstLine="0" w:firstLineChars="0"/>
              <w:jc w:val="center"/>
              <w:textAlignment w:val="baseline"/>
              <w:rPr>
                <w:rFonts w:ascii="Times New Roman" w:hAnsi="Times New Roman" w:cs="Times New Roman"/>
                <w:kern w:val="0"/>
                <w:highlight w:val="none"/>
              </w:rPr>
            </w:pPr>
            <w:r>
              <w:rPr>
                <w:rFonts w:ascii="Times New Roman" w:hAnsi="Times New Roman" w:cs="Times New Roman"/>
                <w:kern w:val="0"/>
                <w:highlight w:val="none"/>
              </w:rPr>
              <w:t>1300</w:t>
            </w:r>
            <w:r>
              <w:rPr>
                <w:rFonts w:ascii="Times New Roman" w:cs="Times New Roman"/>
                <w:kern w:val="0"/>
                <w:highlight w:val="none"/>
              </w:rPr>
              <w:t>℃</w:t>
            </w:r>
            <w:r>
              <w:rPr>
                <w:rFonts w:hint="eastAsia" w:ascii="Times New Roman" w:cs="Times New Roman"/>
                <w:kern w:val="0"/>
                <w:highlight w:val="none"/>
              </w:rPr>
              <w:t>x3h</w:t>
            </w:r>
          </w:p>
        </w:tc>
        <w:tc>
          <w:tcPr>
            <w:tcW w:w="1035" w:type="pct"/>
            <w:tcBorders>
              <w:tl2br w:val="nil"/>
              <w:tr2bl w:val="nil"/>
            </w:tcBorders>
          </w:tcPr>
          <w:p w14:paraId="0FF4EF36">
            <w:pPr>
              <w:adjustRightInd w:val="0"/>
              <w:spacing w:line="360" w:lineRule="exact"/>
              <w:ind w:firstLine="0" w:firstLineChars="0"/>
              <w:jc w:val="center"/>
              <w:textAlignment w:val="baseline"/>
              <w:rPr>
                <w:rFonts w:ascii="Times New Roman" w:hAnsi="Times New Roman" w:cs="Times New Roman"/>
                <w:kern w:val="0"/>
                <w:highlight w:val="none"/>
                <w:vertAlign w:val="superscript"/>
              </w:rPr>
            </w:pPr>
          </w:p>
        </w:tc>
        <w:tc>
          <w:tcPr>
            <w:tcW w:w="1311" w:type="pct"/>
            <w:tcBorders>
              <w:tl2br w:val="nil"/>
              <w:tr2bl w:val="nil"/>
            </w:tcBorders>
          </w:tcPr>
          <w:p w14:paraId="3DA7AFFE">
            <w:pPr>
              <w:adjustRightInd w:val="0"/>
              <w:spacing w:line="360" w:lineRule="exact"/>
              <w:ind w:firstLine="0" w:firstLineChars="0"/>
              <w:jc w:val="center"/>
              <w:textAlignment w:val="baseline"/>
              <w:rPr>
                <w:rFonts w:ascii="Times New Roman" w:hAnsi="Times New Roman" w:cs="Times New Roman"/>
                <w:kern w:val="0"/>
                <w:highlight w:val="none"/>
              </w:rPr>
            </w:pPr>
            <w:r>
              <w:rPr>
                <w:rFonts w:ascii="Times New Roman" w:cs="Times New Roman"/>
                <w:kern w:val="0"/>
                <w:highlight w:val="none"/>
              </w:rPr>
              <w:t>＞</w:t>
            </w:r>
            <w:r>
              <w:rPr>
                <w:rFonts w:ascii="Times New Roman" w:hAnsi="Times New Roman" w:cs="Times New Roman"/>
                <w:kern w:val="0"/>
                <w:highlight w:val="none"/>
              </w:rPr>
              <w:t>5.0</w:t>
            </w:r>
          </w:p>
        </w:tc>
      </w:tr>
      <w:tr w14:paraId="49D734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3" w:type="pct"/>
            <w:tcBorders>
              <w:tl2br w:val="nil"/>
              <w:tr2bl w:val="nil"/>
            </w:tcBorders>
          </w:tcPr>
          <w:p w14:paraId="35DB49F0">
            <w:pPr>
              <w:adjustRightInd w:val="0"/>
              <w:spacing w:line="360" w:lineRule="exact"/>
              <w:ind w:firstLine="0" w:firstLineChars="0"/>
              <w:jc w:val="center"/>
              <w:textAlignment w:val="baseline"/>
              <w:rPr>
                <w:rFonts w:ascii="Times New Roman" w:hAnsi="Times New Roman" w:cs="Times New Roman"/>
                <w:kern w:val="0"/>
                <w:highlight w:val="none"/>
              </w:rPr>
            </w:pPr>
            <w:r>
              <w:rPr>
                <w:rFonts w:ascii="Times New Roman" w:hAnsi="Times New Roman" w:cs="Times New Roman"/>
                <w:kern w:val="0"/>
                <w:highlight w:val="none"/>
              </w:rPr>
              <w:t>5</w:t>
            </w:r>
          </w:p>
        </w:tc>
        <w:tc>
          <w:tcPr>
            <w:tcW w:w="2038" w:type="pct"/>
            <w:tcBorders>
              <w:tl2br w:val="nil"/>
              <w:tr2bl w:val="nil"/>
            </w:tcBorders>
          </w:tcPr>
          <w:p w14:paraId="63389971">
            <w:pPr>
              <w:adjustRightInd w:val="0"/>
              <w:spacing w:line="360" w:lineRule="exact"/>
              <w:ind w:firstLine="0" w:firstLineChars="0"/>
              <w:jc w:val="center"/>
              <w:textAlignment w:val="baseline"/>
              <w:rPr>
                <w:rFonts w:ascii="Times New Roman" w:hAnsi="Times New Roman" w:cs="Times New Roman"/>
                <w:kern w:val="0"/>
                <w:highlight w:val="none"/>
              </w:rPr>
            </w:pPr>
            <w:r>
              <w:rPr>
                <w:rFonts w:ascii="Times New Roman" w:cs="Times New Roman"/>
                <w:kern w:val="0"/>
                <w:highlight w:val="none"/>
              </w:rPr>
              <w:t>残余线变化</w:t>
            </w:r>
          </w:p>
        </w:tc>
        <w:tc>
          <w:tcPr>
            <w:tcW w:w="1035" w:type="pct"/>
            <w:tcBorders>
              <w:tl2br w:val="nil"/>
              <w:tr2bl w:val="nil"/>
            </w:tcBorders>
          </w:tcPr>
          <w:p w14:paraId="70349DA5">
            <w:pPr>
              <w:adjustRightInd w:val="0"/>
              <w:spacing w:line="360" w:lineRule="exact"/>
              <w:ind w:firstLine="0" w:firstLineChars="0"/>
              <w:jc w:val="center"/>
              <w:textAlignment w:val="baseline"/>
              <w:rPr>
                <w:rFonts w:ascii="Times New Roman" w:hAnsi="Times New Roman" w:cs="Times New Roman"/>
                <w:kern w:val="0"/>
                <w:highlight w:val="none"/>
              </w:rPr>
            </w:pPr>
            <w:r>
              <w:rPr>
                <w:rFonts w:ascii="Times New Roman" w:hAnsi="Times New Roman" w:cs="Times New Roman"/>
                <w:kern w:val="0"/>
                <w:highlight w:val="none"/>
              </w:rPr>
              <w:t>%</w:t>
            </w:r>
          </w:p>
        </w:tc>
        <w:tc>
          <w:tcPr>
            <w:tcW w:w="1311" w:type="pct"/>
            <w:tcBorders>
              <w:tl2br w:val="nil"/>
              <w:tr2bl w:val="nil"/>
            </w:tcBorders>
          </w:tcPr>
          <w:p w14:paraId="170CE553">
            <w:pPr>
              <w:adjustRightInd w:val="0"/>
              <w:spacing w:line="360" w:lineRule="exact"/>
              <w:ind w:firstLine="0" w:firstLineChars="0"/>
              <w:jc w:val="center"/>
              <w:textAlignment w:val="baseline"/>
              <w:rPr>
                <w:rFonts w:ascii="Times New Roman" w:hAnsi="Times New Roman" w:cs="Times New Roman"/>
                <w:kern w:val="0"/>
                <w:highlight w:val="none"/>
              </w:rPr>
            </w:pPr>
          </w:p>
        </w:tc>
      </w:tr>
      <w:tr w14:paraId="19F65B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3" w:type="pct"/>
            <w:tcBorders>
              <w:tl2br w:val="nil"/>
              <w:tr2bl w:val="nil"/>
            </w:tcBorders>
          </w:tcPr>
          <w:p w14:paraId="52DDDB02">
            <w:pPr>
              <w:adjustRightInd w:val="0"/>
              <w:spacing w:line="360" w:lineRule="exact"/>
              <w:ind w:firstLine="0" w:firstLineChars="0"/>
              <w:jc w:val="center"/>
              <w:textAlignment w:val="baseline"/>
              <w:rPr>
                <w:rFonts w:ascii="Times New Roman" w:hAnsi="Times New Roman" w:cs="Times New Roman"/>
                <w:kern w:val="0"/>
                <w:highlight w:val="none"/>
              </w:rPr>
            </w:pPr>
          </w:p>
        </w:tc>
        <w:tc>
          <w:tcPr>
            <w:tcW w:w="2038" w:type="pct"/>
            <w:tcBorders>
              <w:tl2br w:val="nil"/>
              <w:tr2bl w:val="nil"/>
            </w:tcBorders>
          </w:tcPr>
          <w:p w14:paraId="24D75662">
            <w:pPr>
              <w:adjustRightInd w:val="0"/>
              <w:spacing w:line="360" w:lineRule="exact"/>
              <w:ind w:firstLine="0" w:firstLineChars="0"/>
              <w:jc w:val="center"/>
              <w:textAlignment w:val="baseline"/>
              <w:rPr>
                <w:rFonts w:ascii="Times New Roman" w:hAnsi="Times New Roman" w:cs="Times New Roman"/>
                <w:kern w:val="0"/>
                <w:highlight w:val="none"/>
              </w:rPr>
            </w:pPr>
            <w:r>
              <w:rPr>
                <w:rFonts w:ascii="Times New Roman" w:hAnsi="Times New Roman" w:cs="Times New Roman"/>
                <w:kern w:val="0"/>
                <w:highlight w:val="none"/>
              </w:rPr>
              <w:t>110</w:t>
            </w:r>
            <w:r>
              <w:rPr>
                <w:rFonts w:ascii="Times New Roman" w:cs="Times New Roman"/>
                <w:kern w:val="0"/>
                <w:highlight w:val="none"/>
              </w:rPr>
              <w:t>℃</w:t>
            </w:r>
            <w:r>
              <w:rPr>
                <w:rFonts w:hint="eastAsia" w:ascii="Times New Roman" w:cs="Times New Roman"/>
                <w:kern w:val="0"/>
                <w:highlight w:val="none"/>
              </w:rPr>
              <w:t>x24h</w:t>
            </w:r>
          </w:p>
        </w:tc>
        <w:tc>
          <w:tcPr>
            <w:tcW w:w="1035" w:type="pct"/>
            <w:tcBorders>
              <w:tl2br w:val="nil"/>
              <w:tr2bl w:val="nil"/>
            </w:tcBorders>
          </w:tcPr>
          <w:p w14:paraId="0772722A">
            <w:pPr>
              <w:adjustRightInd w:val="0"/>
              <w:spacing w:line="360" w:lineRule="exact"/>
              <w:ind w:firstLine="0" w:firstLineChars="0"/>
              <w:jc w:val="center"/>
              <w:textAlignment w:val="baseline"/>
              <w:rPr>
                <w:rFonts w:ascii="Times New Roman" w:hAnsi="Times New Roman" w:cs="Times New Roman"/>
                <w:kern w:val="0"/>
                <w:highlight w:val="none"/>
              </w:rPr>
            </w:pPr>
          </w:p>
        </w:tc>
        <w:tc>
          <w:tcPr>
            <w:tcW w:w="1311" w:type="pct"/>
            <w:tcBorders>
              <w:tl2br w:val="nil"/>
              <w:tr2bl w:val="nil"/>
            </w:tcBorders>
          </w:tcPr>
          <w:p w14:paraId="1251D8AA">
            <w:pPr>
              <w:adjustRightInd w:val="0"/>
              <w:spacing w:line="360" w:lineRule="exact"/>
              <w:ind w:firstLine="0" w:firstLineChars="0"/>
              <w:jc w:val="center"/>
              <w:textAlignment w:val="baseline"/>
              <w:rPr>
                <w:rFonts w:ascii="Times New Roman" w:hAnsi="Times New Roman" w:cs="Times New Roman"/>
                <w:kern w:val="0"/>
                <w:highlight w:val="none"/>
              </w:rPr>
            </w:pPr>
            <w:r>
              <w:rPr>
                <w:rFonts w:ascii="Times New Roman" w:hAnsi="Times New Roman" w:cs="Times New Roman"/>
                <w:kern w:val="0"/>
                <w:highlight w:val="none"/>
              </w:rPr>
              <w:t>-0.2~0</w:t>
            </w:r>
          </w:p>
        </w:tc>
      </w:tr>
      <w:tr w14:paraId="354B59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3" w:type="pct"/>
            <w:tcBorders>
              <w:tl2br w:val="nil"/>
              <w:tr2bl w:val="nil"/>
            </w:tcBorders>
          </w:tcPr>
          <w:p w14:paraId="6114FDAA">
            <w:pPr>
              <w:adjustRightInd w:val="0"/>
              <w:spacing w:line="360" w:lineRule="exact"/>
              <w:ind w:firstLine="0" w:firstLineChars="0"/>
              <w:jc w:val="center"/>
              <w:textAlignment w:val="baseline"/>
              <w:rPr>
                <w:rFonts w:ascii="Times New Roman" w:hAnsi="Times New Roman" w:cs="Times New Roman"/>
                <w:kern w:val="0"/>
                <w:highlight w:val="none"/>
              </w:rPr>
            </w:pPr>
            <w:r>
              <w:rPr>
                <w:rFonts w:ascii="Times New Roman" w:hAnsi="Times New Roman" w:cs="Times New Roman"/>
                <w:kern w:val="0"/>
                <w:highlight w:val="none"/>
              </w:rPr>
              <w:t xml:space="preserve"> </w:t>
            </w:r>
          </w:p>
        </w:tc>
        <w:tc>
          <w:tcPr>
            <w:tcW w:w="2038" w:type="pct"/>
            <w:tcBorders>
              <w:tl2br w:val="nil"/>
              <w:tr2bl w:val="nil"/>
            </w:tcBorders>
          </w:tcPr>
          <w:p w14:paraId="4E745FD0">
            <w:pPr>
              <w:adjustRightInd w:val="0"/>
              <w:spacing w:line="360" w:lineRule="exact"/>
              <w:ind w:firstLine="0" w:firstLineChars="0"/>
              <w:jc w:val="center"/>
              <w:textAlignment w:val="baseline"/>
              <w:rPr>
                <w:rFonts w:ascii="Times New Roman" w:hAnsi="Times New Roman" w:cs="Times New Roman"/>
                <w:kern w:val="0"/>
                <w:highlight w:val="none"/>
              </w:rPr>
            </w:pPr>
            <w:r>
              <w:rPr>
                <w:rFonts w:ascii="Times New Roman" w:hAnsi="Times New Roman" w:cs="Times New Roman"/>
                <w:kern w:val="0"/>
                <w:highlight w:val="none"/>
              </w:rPr>
              <w:t>1000</w:t>
            </w:r>
            <w:r>
              <w:rPr>
                <w:rFonts w:ascii="Times New Roman" w:cs="Times New Roman"/>
                <w:kern w:val="0"/>
                <w:highlight w:val="none"/>
              </w:rPr>
              <w:t>℃</w:t>
            </w:r>
            <w:r>
              <w:rPr>
                <w:rFonts w:hint="eastAsia" w:ascii="Times New Roman" w:cs="Times New Roman"/>
                <w:kern w:val="0"/>
                <w:highlight w:val="none"/>
              </w:rPr>
              <w:t>x3h</w:t>
            </w:r>
          </w:p>
        </w:tc>
        <w:tc>
          <w:tcPr>
            <w:tcW w:w="1035" w:type="pct"/>
            <w:tcBorders>
              <w:tl2br w:val="nil"/>
              <w:tr2bl w:val="nil"/>
            </w:tcBorders>
          </w:tcPr>
          <w:p w14:paraId="4806E431">
            <w:pPr>
              <w:adjustRightInd w:val="0"/>
              <w:spacing w:line="360" w:lineRule="exact"/>
              <w:ind w:firstLine="0" w:firstLineChars="0"/>
              <w:jc w:val="center"/>
              <w:textAlignment w:val="baseline"/>
              <w:rPr>
                <w:rFonts w:ascii="Times New Roman" w:hAnsi="Times New Roman" w:cs="Times New Roman"/>
                <w:kern w:val="0"/>
                <w:highlight w:val="none"/>
              </w:rPr>
            </w:pPr>
          </w:p>
        </w:tc>
        <w:tc>
          <w:tcPr>
            <w:tcW w:w="1311" w:type="pct"/>
            <w:tcBorders>
              <w:tl2br w:val="nil"/>
              <w:tr2bl w:val="nil"/>
            </w:tcBorders>
          </w:tcPr>
          <w:p w14:paraId="15E605AB">
            <w:pPr>
              <w:adjustRightInd w:val="0"/>
              <w:spacing w:line="360" w:lineRule="exact"/>
              <w:ind w:firstLine="0" w:firstLineChars="0"/>
              <w:jc w:val="center"/>
              <w:textAlignment w:val="baseline"/>
              <w:rPr>
                <w:rFonts w:ascii="Times New Roman" w:hAnsi="Times New Roman" w:cs="Times New Roman"/>
                <w:kern w:val="0"/>
                <w:highlight w:val="none"/>
              </w:rPr>
            </w:pPr>
            <w:r>
              <w:rPr>
                <w:rFonts w:ascii="Times New Roman" w:hAnsi="Times New Roman" w:cs="Times New Roman"/>
                <w:kern w:val="0"/>
                <w:highlight w:val="none"/>
              </w:rPr>
              <w:t>-1.0~0</w:t>
            </w:r>
          </w:p>
        </w:tc>
      </w:tr>
      <w:tr w14:paraId="571D59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3" w:type="pct"/>
            <w:tcBorders>
              <w:tl2br w:val="nil"/>
              <w:tr2bl w:val="nil"/>
            </w:tcBorders>
          </w:tcPr>
          <w:p w14:paraId="12C03500">
            <w:pPr>
              <w:adjustRightInd w:val="0"/>
              <w:spacing w:line="360" w:lineRule="exact"/>
              <w:ind w:firstLine="0" w:firstLineChars="0"/>
              <w:jc w:val="center"/>
              <w:textAlignment w:val="baseline"/>
              <w:rPr>
                <w:rFonts w:ascii="Times New Roman" w:hAnsi="Times New Roman" w:cs="Times New Roman"/>
                <w:kern w:val="0"/>
                <w:highlight w:val="none"/>
              </w:rPr>
            </w:pPr>
          </w:p>
        </w:tc>
        <w:tc>
          <w:tcPr>
            <w:tcW w:w="2038" w:type="pct"/>
            <w:tcBorders>
              <w:tl2br w:val="nil"/>
              <w:tr2bl w:val="nil"/>
            </w:tcBorders>
          </w:tcPr>
          <w:p w14:paraId="37367AB3">
            <w:pPr>
              <w:adjustRightInd w:val="0"/>
              <w:spacing w:line="360" w:lineRule="exact"/>
              <w:ind w:firstLine="0" w:firstLineChars="0"/>
              <w:jc w:val="center"/>
              <w:textAlignment w:val="baseline"/>
              <w:rPr>
                <w:rFonts w:ascii="Times New Roman" w:hAnsi="Times New Roman" w:cs="Times New Roman"/>
                <w:kern w:val="0"/>
                <w:highlight w:val="none"/>
              </w:rPr>
            </w:pPr>
            <w:r>
              <w:rPr>
                <w:rFonts w:ascii="Times New Roman" w:hAnsi="Times New Roman" w:cs="Times New Roman"/>
                <w:kern w:val="0"/>
                <w:highlight w:val="none"/>
              </w:rPr>
              <w:t>1300</w:t>
            </w:r>
            <w:r>
              <w:rPr>
                <w:rFonts w:ascii="Times New Roman" w:cs="Times New Roman"/>
                <w:kern w:val="0"/>
                <w:highlight w:val="none"/>
              </w:rPr>
              <w:t>℃</w:t>
            </w:r>
            <w:r>
              <w:rPr>
                <w:rFonts w:hint="eastAsia" w:ascii="Times New Roman" w:cs="Times New Roman"/>
                <w:kern w:val="0"/>
                <w:highlight w:val="none"/>
              </w:rPr>
              <w:t>x3h</w:t>
            </w:r>
          </w:p>
        </w:tc>
        <w:tc>
          <w:tcPr>
            <w:tcW w:w="1035" w:type="pct"/>
            <w:tcBorders>
              <w:tl2br w:val="nil"/>
              <w:tr2bl w:val="nil"/>
            </w:tcBorders>
          </w:tcPr>
          <w:p w14:paraId="24F3261B">
            <w:pPr>
              <w:adjustRightInd w:val="0"/>
              <w:spacing w:line="360" w:lineRule="exact"/>
              <w:ind w:firstLine="0" w:firstLineChars="0"/>
              <w:jc w:val="center"/>
              <w:textAlignment w:val="baseline"/>
              <w:rPr>
                <w:rFonts w:ascii="Times New Roman" w:hAnsi="Times New Roman" w:cs="Times New Roman"/>
                <w:kern w:val="0"/>
                <w:highlight w:val="none"/>
              </w:rPr>
            </w:pPr>
          </w:p>
        </w:tc>
        <w:tc>
          <w:tcPr>
            <w:tcW w:w="1311" w:type="pct"/>
            <w:tcBorders>
              <w:tl2br w:val="nil"/>
              <w:tr2bl w:val="nil"/>
            </w:tcBorders>
          </w:tcPr>
          <w:p w14:paraId="5D53E830">
            <w:pPr>
              <w:adjustRightInd w:val="0"/>
              <w:spacing w:line="360" w:lineRule="exact"/>
              <w:ind w:firstLine="0" w:firstLineChars="0"/>
              <w:jc w:val="center"/>
              <w:textAlignment w:val="baseline"/>
              <w:rPr>
                <w:rFonts w:ascii="Times New Roman" w:hAnsi="Times New Roman" w:cs="Times New Roman"/>
                <w:kern w:val="0"/>
                <w:highlight w:val="none"/>
              </w:rPr>
            </w:pPr>
            <w:r>
              <w:rPr>
                <w:rFonts w:ascii="Times New Roman" w:hAnsi="Times New Roman" w:cs="Times New Roman"/>
                <w:kern w:val="0"/>
                <w:highlight w:val="none"/>
              </w:rPr>
              <w:t>-1.8~0</w:t>
            </w:r>
          </w:p>
        </w:tc>
      </w:tr>
      <w:tr w14:paraId="2C7769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3" w:type="pct"/>
            <w:tcBorders>
              <w:tl2br w:val="nil"/>
              <w:tr2bl w:val="nil"/>
            </w:tcBorders>
          </w:tcPr>
          <w:p w14:paraId="690A3516">
            <w:pPr>
              <w:adjustRightInd w:val="0"/>
              <w:spacing w:line="360" w:lineRule="exact"/>
              <w:ind w:firstLine="0" w:firstLineChars="0"/>
              <w:jc w:val="center"/>
              <w:textAlignment w:val="baseline"/>
              <w:rPr>
                <w:rFonts w:ascii="Times New Roman" w:hAnsi="Times New Roman" w:cs="Times New Roman"/>
                <w:kern w:val="0"/>
                <w:highlight w:val="none"/>
              </w:rPr>
            </w:pPr>
          </w:p>
        </w:tc>
        <w:tc>
          <w:tcPr>
            <w:tcW w:w="2038" w:type="pct"/>
            <w:tcBorders>
              <w:tl2br w:val="nil"/>
              <w:tr2bl w:val="nil"/>
            </w:tcBorders>
          </w:tcPr>
          <w:p w14:paraId="580B3952">
            <w:pPr>
              <w:adjustRightInd w:val="0"/>
              <w:spacing w:line="360" w:lineRule="exact"/>
              <w:ind w:firstLine="0" w:firstLineChars="0"/>
              <w:jc w:val="center"/>
              <w:textAlignment w:val="baseline"/>
              <w:rPr>
                <w:rFonts w:ascii="Times New Roman" w:hAnsi="Times New Roman" w:cs="Times New Roman"/>
                <w:kern w:val="0"/>
                <w:highlight w:val="none"/>
              </w:rPr>
            </w:pPr>
            <w:r>
              <w:rPr>
                <w:rFonts w:hint="eastAsia" w:ascii="Times New Roman" w:hAnsi="Times New Roman" w:cs="Times New Roman"/>
                <w:kern w:val="0"/>
                <w:highlight w:val="none"/>
              </w:rPr>
              <w:t>使用部位</w:t>
            </w:r>
          </w:p>
        </w:tc>
        <w:tc>
          <w:tcPr>
            <w:tcW w:w="2347" w:type="pct"/>
            <w:gridSpan w:val="2"/>
            <w:tcBorders>
              <w:tl2br w:val="nil"/>
              <w:tr2bl w:val="nil"/>
            </w:tcBorders>
          </w:tcPr>
          <w:p w14:paraId="5E564FC2">
            <w:pPr>
              <w:adjustRightInd w:val="0"/>
              <w:spacing w:line="360" w:lineRule="exact"/>
              <w:ind w:firstLine="0" w:firstLineChars="0"/>
              <w:jc w:val="center"/>
              <w:textAlignment w:val="baseline"/>
              <w:rPr>
                <w:rFonts w:ascii="Times New Roman" w:hAnsi="Times New Roman" w:cs="Times New Roman"/>
                <w:kern w:val="0"/>
                <w:highlight w:val="none"/>
              </w:rPr>
            </w:pPr>
            <w:r>
              <w:rPr>
                <w:rFonts w:hint="eastAsia" w:ascii="Times New Roman" w:hAnsi="Times New Roman" w:cs="Times New Roman"/>
                <w:sz w:val="21"/>
                <w:szCs w:val="21"/>
                <w:highlight w:val="none"/>
              </w:rPr>
              <w:t>炉顶煤气封罩喷涂修复</w:t>
            </w:r>
          </w:p>
        </w:tc>
      </w:tr>
    </w:tbl>
    <w:p w14:paraId="3DCCA955">
      <w:pPr>
        <w:numPr>
          <w:ilvl w:val="0"/>
          <w:numId w:val="16"/>
        </w:numPr>
        <w:ind w:left="480" w:leftChars="0" w:firstLine="0" w:firstLineChars="0"/>
        <w:rPr>
          <w:highlight w:val="none"/>
        </w:rPr>
      </w:pPr>
      <w:bookmarkStart w:id="323" w:name="_Toc21343"/>
      <w:r>
        <w:rPr>
          <w:highlight w:val="none"/>
        </w:rPr>
        <w:t>碳化硅捣打料</w:t>
      </w:r>
      <w:bookmarkEnd w:id="323"/>
    </w:p>
    <w:tbl>
      <w:tblPr>
        <w:tblStyle w:val="6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108" w:type="dxa"/>
          <w:bottom w:w="28" w:type="dxa"/>
          <w:right w:w="108" w:type="dxa"/>
        </w:tblCellMar>
      </w:tblPr>
      <w:tblGrid>
        <w:gridCol w:w="3637"/>
        <w:gridCol w:w="1699"/>
        <w:gridCol w:w="3183"/>
      </w:tblGrid>
      <w:tr w14:paraId="7ACEAD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blHeader/>
        </w:trPr>
        <w:tc>
          <w:tcPr>
            <w:tcW w:w="3637" w:type="dxa"/>
            <w:vAlign w:val="center"/>
          </w:tcPr>
          <w:p w14:paraId="50DF0F05">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项目</w:t>
            </w:r>
          </w:p>
        </w:tc>
        <w:tc>
          <w:tcPr>
            <w:tcW w:w="1699" w:type="dxa"/>
            <w:vAlign w:val="center"/>
          </w:tcPr>
          <w:p w14:paraId="0620598C">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单位</w:t>
            </w:r>
          </w:p>
        </w:tc>
        <w:tc>
          <w:tcPr>
            <w:tcW w:w="3183" w:type="dxa"/>
            <w:vAlign w:val="center"/>
          </w:tcPr>
          <w:p w14:paraId="5A2F69D3">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指标</w:t>
            </w:r>
          </w:p>
        </w:tc>
      </w:tr>
      <w:tr w14:paraId="6988C1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c>
          <w:tcPr>
            <w:tcW w:w="3637" w:type="dxa"/>
            <w:vAlign w:val="center"/>
          </w:tcPr>
          <w:p w14:paraId="44C117F7">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体积密度</w:t>
            </w:r>
          </w:p>
        </w:tc>
        <w:tc>
          <w:tcPr>
            <w:tcW w:w="1699" w:type="dxa"/>
            <w:vAlign w:val="center"/>
          </w:tcPr>
          <w:p w14:paraId="02BD1626">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g/cm</w:t>
            </w:r>
            <w:r>
              <w:rPr>
                <w:rFonts w:hint="eastAsia" w:ascii="Times New Roman" w:hAnsi="Times New Roman" w:cs="Times New Roman"/>
                <w:sz w:val="21"/>
                <w:szCs w:val="21"/>
                <w:highlight w:val="none"/>
                <w:vertAlign w:val="superscript"/>
              </w:rPr>
              <w:t>3</w:t>
            </w:r>
          </w:p>
        </w:tc>
        <w:tc>
          <w:tcPr>
            <w:tcW w:w="3183" w:type="dxa"/>
            <w:vAlign w:val="center"/>
          </w:tcPr>
          <w:p w14:paraId="53CFB818">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≥2.4</w:t>
            </w:r>
          </w:p>
        </w:tc>
      </w:tr>
      <w:tr w14:paraId="329F24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c>
          <w:tcPr>
            <w:tcW w:w="3637" w:type="dxa"/>
            <w:vAlign w:val="center"/>
          </w:tcPr>
          <w:p w14:paraId="390926CD">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SiC</w:t>
            </w:r>
          </w:p>
        </w:tc>
        <w:tc>
          <w:tcPr>
            <w:tcW w:w="1699" w:type="dxa"/>
            <w:vAlign w:val="center"/>
          </w:tcPr>
          <w:p w14:paraId="382D8B70">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w:t>
            </w:r>
          </w:p>
        </w:tc>
        <w:tc>
          <w:tcPr>
            <w:tcW w:w="3183" w:type="dxa"/>
            <w:vAlign w:val="center"/>
          </w:tcPr>
          <w:p w14:paraId="1BE50E71">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≥75</w:t>
            </w:r>
          </w:p>
        </w:tc>
      </w:tr>
      <w:tr w14:paraId="13F567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c>
          <w:tcPr>
            <w:tcW w:w="3637" w:type="dxa"/>
            <w:vAlign w:val="center"/>
          </w:tcPr>
          <w:p w14:paraId="3B5AD23D">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Fe</w:t>
            </w:r>
            <w:r>
              <w:rPr>
                <w:rFonts w:hint="eastAsia" w:ascii="Times New Roman" w:hAnsi="Times New Roman" w:cs="Times New Roman"/>
                <w:sz w:val="21"/>
                <w:szCs w:val="21"/>
                <w:highlight w:val="none"/>
                <w:vertAlign w:val="subscript"/>
              </w:rPr>
              <w:t>2</w:t>
            </w:r>
            <w:r>
              <w:rPr>
                <w:rFonts w:hint="eastAsia" w:ascii="Times New Roman" w:hAnsi="Times New Roman" w:cs="Times New Roman"/>
                <w:sz w:val="21"/>
                <w:szCs w:val="21"/>
                <w:highlight w:val="none"/>
              </w:rPr>
              <w:t>O</w:t>
            </w:r>
            <w:r>
              <w:rPr>
                <w:rFonts w:hint="eastAsia" w:ascii="Times New Roman" w:hAnsi="Times New Roman" w:cs="Times New Roman"/>
                <w:sz w:val="21"/>
                <w:szCs w:val="21"/>
                <w:highlight w:val="none"/>
                <w:vertAlign w:val="subscript"/>
              </w:rPr>
              <w:t>3</w:t>
            </w:r>
          </w:p>
        </w:tc>
        <w:tc>
          <w:tcPr>
            <w:tcW w:w="1699" w:type="dxa"/>
            <w:vAlign w:val="center"/>
          </w:tcPr>
          <w:p w14:paraId="6C7C1832">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w:t>
            </w:r>
          </w:p>
        </w:tc>
        <w:tc>
          <w:tcPr>
            <w:tcW w:w="3183" w:type="dxa"/>
            <w:vAlign w:val="center"/>
          </w:tcPr>
          <w:p w14:paraId="76082E41">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≤1.5</w:t>
            </w:r>
          </w:p>
        </w:tc>
      </w:tr>
      <w:tr w14:paraId="05E41E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c>
          <w:tcPr>
            <w:tcW w:w="3637" w:type="dxa"/>
            <w:vAlign w:val="center"/>
          </w:tcPr>
          <w:p w14:paraId="4A1D2D47">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C</w:t>
            </w:r>
          </w:p>
        </w:tc>
        <w:tc>
          <w:tcPr>
            <w:tcW w:w="1699" w:type="dxa"/>
            <w:vAlign w:val="center"/>
          </w:tcPr>
          <w:p w14:paraId="6AF48AFD">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w:t>
            </w:r>
          </w:p>
        </w:tc>
        <w:tc>
          <w:tcPr>
            <w:tcW w:w="3183" w:type="dxa"/>
            <w:vAlign w:val="center"/>
          </w:tcPr>
          <w:p w14:paraId="4D215C10">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≤5</w:t>
            </w:r>
          </w:p>
        </w:tc>
      </w:tr>
      <w:tr w14:paraId="1F332B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c>
          <w:tcPr>
            <w:tcW w:w="3637" w:type="dxa"/>
            <w:vAlign w:val="center"/>
          </w:tcPr>
          <w:p w14:paraId="30B83434">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导热系数（200℃）</w:t>
            </w:r>
          </w:p>
        </w:tc>
        <w:tc>
          <w:tcPr>
            <w:tcW w:w="1699" w:type="dxa"/>
            <w:vAlign w:val="center"/>
          </w:tcPr>
          <w:p w14:paraId="6625E88D">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W/(m·k)</w:t>
            </w:r>
          </w:p>
        </w:tc>
        <w:tc>
          <w:tcPr>
            <w:tcW w:w="3183" w:type="dxa"/>
            <w:vAlign w:val="center"/>
          </w:tcPr>
          <w:p w14:paraId="4D067C38">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≥6</w:t>
            </w:r>
          </w:p>
        </w:tc>
      </w:tr>
      <w:tr w14:paraId="4E3ECD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c>
          <w:tcPr>
            <w:tcW w:w="3637" w:type="dxa"/>
            <w:vAlign w:val="center"/>
          </w:tcPr>
          <w:p w14:paraId="6E56691B">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200℃×24h抗折强度</w:t>
            </w:r>
          </w:p>
        </w:tc>
        <w:tc>
          <w:tcPr>
            <w:tcW w:w="1699" w:type="dxa"/>
            <w:vAlign w:val="center"/>
          </w:tcPr>
          <w:p w14:paraId="5A0D261D">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MPa</w:t>
            </w:r>
          </w:p>
        </w:tc>
        <w:tc>
          <w:tcPr>
            <w:tcW w:w="3183" w:type="dxa"/>
            <w:vAlign w:val="center"/>
          </w:tcPr>
          <w:p w14:paraId="7434C17C">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≥5</w:t>
            </w:r>
          </w:p>
        </w:tc>
      </w:tr>
      <w:tr w14:paraId="0F6396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c>
          <w:tcPr>
            <w:tcW w:w="3637" w:type="dxa"/>
            <w:vAlign w:val="center"/>
          </w:tcPr>
          <w:p w14:paraId="3A07FE43">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1000℃×3h抗折强度</w:t>
            </w:r>
          </w:p>
        </w:tc>
        <w:tc>
          <w:tcPr>
            <w:tcW w:w="1699" w:type="dxa"/>
            <w:vAlign w:val="center"/>
          </w:tcPr>
          <w:p w14:paraId="35178CB2">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MPa</w:t>
            </w:r>
          </w:p>
        </w:tc>
        <w:tc>
          <w:tcPr>
            <w:tcW w:w="3183" w:type="dxa"/>
            <w:vAlign w:val="center"/>
          </w:tcPr>
          <w:p w14:paraId="62D86687">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≥15</w:t>
            </w:r>
          </w:p>
        </w:tc>
      </w:tr>
      <w:tr w14:paraId="51E5A0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c>
          <w:tcPr>
            <w:tcW w:w="3637" w:type="dxa"/>
            <w:vAlign w:val="center"/>
          </w:tcPr>
          <w:p w14:paraId="7F7527A8">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烧后线变化率（1500℃×3h）</w:t>
            </w:r>
          </w:p>
        </w:tc>
        <w:tc>
          <w:tcPr>
            <w:tcW w:w="1699" w:type="dxa"/>
            <w:vAlign w:val="center"/>
          </w:tcPr>
          <w:p w14:paraId="3B1F78D7">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w:t>
            </w:r>
          </w:p>
        </w:tc>
        <w:tc>
          <w:tcPr>
            <w:tcW w:w="3183" w:type="dxa"/>
            <w:vAlign w:val="center"/>
          </w:tcPr>
          <w:p w14:paraId="0ECA307E">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±1.0</w:t>
            </w:r>
          </w:p>
        </w:tc>
      </w:tr>
      <w:tr w14:paraId="1349E6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c>
          <w:tcPr>
            <w:tcW w:w="3637" w:type="dxa"/>
            <w:vAlign w:val="center"/>
          </w:tcPr>
          <w:p w14:paraId="5C0A9ECF">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耐压强度（200℃×24h）</w:t>
            </w:r>
          </w:p>
        </w:tc>
        <w:tc>
          <w:tcPr>
            <w:tcW w:w="1699" w:type="dxa"/>
            <w:vAlign w:val="center"/>
          </w:tcPr>
          <w:p w14:paraId="37A0BA25">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MPa</w:t>
            </w:r>
          </w:p>
        </w:tc>
        <w:tc>
          <w:tcPr>
            <w:tcW w:w="3183" w:type="dxa"/>
            <w:vAlign w:val="center"/>
          </w:tcPr>
          <w:p w14:paraId="16AE8080">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≥40</w:t>
            </w:r>
          </w:p>
        </w:tc>
      </w:tr>
      <w:tr w14:paraId="6E4BCE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c>
          <w:tcPr>
            <w:tcW w:w="3637" w:type="dxa"/>
            <w:vAlign w:val="center"/>
          </w:tcPr>
          <w:p w14:paraId="56B30DEE">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使用部位</w:t>
            </w:r>
          </w:p>
        </w:tc>
        <w:tc>
          <w:tcPr>
            <w:tcW w:w="4882" w:type="dxa"/>
            <w:gridSpan w:val="2"/>
            <w:vAlign w:val="center"/>
          </w:tcPr>
          <w:p w14:paraId="39ED84ED">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冷却壁之间的横缝和竖缝的耐材部分</w:t>
            </w:r>
          </w:p>
        </w:tc>
      </w:tr>
    </w:tbl>
    <w:p w14:paraId="7980C570">
      <w:pPr>
        <w:numPr>
          <w:ilvl w:val="0"/>
          <w:numId w:val="16"/>
        </w:numPr>
        <w:ind w:left="480" w:leftChars="0" w:firstLine="0" w:firstLineChars="0"/>
        <w:rPr>
          <w:highlight w:val="none"/>
        </w:rPr>
      </w:pPr>
      <w:bookmarkStart w:id="324" w:name="_Toc32394"/>
      <w:r>
        <w:rPr>
          <w:highlight w:val="none"/>
        </w:rPr>
        <w:t>耐火缓冲泥浆</w:t>
      </w:r>
      <w:bookmarkEnd w:id="324"/>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530"/>
        <w:gridCol w:w="2348"/>
        <w:gridCol w:w="1459"/>
        <w:gridCol w:w="2081"/>
      </w:tblGrid>
      <w:tr w14:paraId="33C72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blHeader/>
          <w:jc w:val="center"/>
        </w:trPr>
        <w:tc>
          <w:tcPr>
            <w:tcW w:w="1101" w:type="dxa"/>
            <w:tcBorders>
              <w:top w:val="single" w:color="auto" w:sz="12" w:space="0"/>
              <w:left w:val="single" w:color="auto" w:sz="12" w:space="0"/>
            </w:tcBorders>
            <w:vAlign w:val="center"/>
          </w:tcPr>
          <w:p w14:paraId="139E0C56">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序 号</w:t>
            </w:r>
          </w:p>
        </w:tc>
        <w:tc>
          <w:tcPr>
            <w:tcW w:w="3878" w:type="dxa"/>
            <w:gridSpan w:val="2"/>
            <w:tcBorders>
              <w:top w:val="single" w:color="auto" w:sz="12" w:space="0"/>
            </w:tcBorders>
            <w:vAlign w:val="center"/>
          </w:tcPr>
          <w:p w14:paraId="05C212C8">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项    目</w:t>
            </w:r>
          </w:p>
        </w:tc>
        <w:tc>
          <w:tcPr>
            <w:tcW w:w="1459" w:type="dxa"/>
            <w:tcBorders>
              <w:top w:val="single" w:color="auto" w:sz="12" w:space="0"/>
            </w:tcBorders>
            <w:vAlign w:val="center"/>
          </w:tcPr>
          <w:p w14:paraId="1040F734">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单 位</w:t>
            </w:r>
          </w:p>
        </w:tc>
        <w:tc>
          <w:tcPr>
            <w:tcW w:w="2081" w:type="dxa"/>
            <w:tcBorders>
              <w:top w:val="single" w:color="auto" w:sz="12" w:space="0"/>
              <w:right w:val="single" w:color="auto" w:sz="12" w:space="0"/>
            </w:tcBorders>
            <w:vAlign w:val="center"/>
          </w:tcPr>
          <w:p w14:paraId="25C14B05">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指 标</w:t>
            </w:r>
          </w:p>
        </w:tc>
      </w:tr>
      <w:tr w14:paraId="62289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01" w:type="dxa"/>
            <w:tcBorders>
              <w:left w:val="single" w:color="auto" w:sz="12" w:space="0"/>
            </w:tcBorders>
            <w:vAlign w:val="center"/>
          </w:tcPr>
          <w:p w14:paraId="3FE7159F">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1</w:t>
            </w:r>
          </w:p>
        </w:tc>
        <w:tc>
          <w:tcPr>
            <w:tcW w:w="3878" w:type="dxa"/>
            <w:gridSpan w:val="2"/>
            <w:vAlign w:val="center"/>
          </w:tcPr>
          <w:p w14:paraId="03AD483A">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Al</w:t>
            </w:r>
            <w:r>
              <w:rPr>
                <w:rFonts w:hint="eastAsia" w:ascii="Times New Roman" w:hAnsi="Times New Roman" w:cs="Times New Roman"/>
                <w:sz w:val="21"/>
                <w:szCs w:val="21"/>
                <w:highlight w:val="none"/>
                <w:vertAlign w:val="subscript"/>
              </w:rPr>
              <w:t>2</w:t>
            </w:r>
            <w:r>
              <w:rPr>
                <w:rFonts w:hint="eastAsia" w:ascii="Times New Roman" w:hAnsi="Times New Roman" w:cs="Times New Roman"/>
                <w:sz w:val="21"/>
                <w:szCs w:val="21"/>
                <w:highlight w:val="none"/>
              </w:rPr>
              <w:t>O</w:t>
            </w:r>
            <w:r>
              <w:rPr>
                <w:rFonts w:hint="eastAsia" w:ascii="Times New Roman" w:hAnsi="Times New Roman" w:cs="Times New Roman"/>
                <w:sz w:val="21"/>
                <w:szCs w:val="21"/>
                <w:highlight w:val="none"/>
                <w:vertAlign w:val="subscript"/>
              </w:rPr>
              <w:t>3</w:t>
            </w:r>
          </w:p>
        </w:tc>
        <w:tc>
          <w:tcPr>
            <w:tcW w:w="1459" w:type="dxa"/>
            <w:vAlign w:val="center"/>
          </w:tcPr>
          <w:p w14:paraId="04A56600">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w:t>
            </w:r>
          </w:p>
        </w:tc>
        <w:tc>
          <w:tcPr>
            <w:tcW w:w="2081" w:type="dxa"/>
            <w:tcBorders>
              <w:right w:val="single" w:color="auto" w:sz="12" w:space="0"/>
            </w:tcBorders>
            <w:vAlign w:val="center"/>
          </w:tcPr>
          <w:p w14:paraId="34F9D9FB">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≥70</w:t>
            </w:r>
          </w:p>
        </w:tc>
      </w:tr>
      <w:tr w14:paraId="29C13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01" w:type="dxa"/>
            <w:tcBorders>
              <w:left w:val="single" w:color="auto" w:sz="12" w:space="0"/>
            </w:tcBorders>
            <w:vAlign w:val="center"/>
          </w:tcPr>
          <w:p w14:paraId="561C377F">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2</w:t>
            </w:r>
          </w:p>
        </w:tc>
        <w:tc>
          <w:tcPr>
            <w:tcW w:w="3878" w:type="dxa"/>
            <w:gridSpan w:val="2"/>
            <w:vAlign w:val="center"/>
          </w:tcPr>
          <w:p w14:paraId="5C1D04C9">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Fe</w:t>
            </w:r>
            <w:r>
              <w:rPr>
                <w:rFonts w:hint="eastAsia" w:ascii="Times New Roman" w:hAnsi="Times New Roman" w:cs="Times New Roman"/>
                <w:sz w:val="21"/>
                <w:szCs w:val="21"/>
                <w:highlight w:val="none"/>
                <w:vertAlign w:val="subscript"/>
              </w:rPr>
              <w:t>2</w:t>
            </w:r>
            <w:r>
              <w:rPr>
                <w:rFonts w:hint="eastAsia" w:ascii="Times New Roman" w:hAnsi="Times New Roman" w:cs="Times New Roman"/>
                <w:sz w:val="21"/>
                <w:szCs w:val="21"/>
                <w:highlight w:val="none"/>
              </w:rPr>
              <w:t>O</w:t>
            </w:r>
            <w:r>
              <w:rPr>
                <w:rFonts w:hint="eastAsia" w:ascii="Times New Roman" w:hAnsi="Times New Roman" w:cs="Times New Roman"/>
                <w:sz w:val="21"/>
                <w:szCs w:val="21"/>
                <w:highlight w:val="none"/>
                <w:vertAlign w:val="subscript"/>
              </w:rPr>
              <w:t>3</w:t>
            </w:r>
          </w:p>
        </w:tc>
        <w:tc>
          <w:tcPr>
            <w:tcW w:w="1459" w:type="dxa"/>
            <w:vAlign w:val="center"/>
          </w:tcPr>
          <w:p w14:paraId="0E11A578">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w:t>
            </w:r>
          </w:p>
        </w:tc>
        <w:tc>
          <w:tcPr>
            <w:tcW w:w="2081" w:type="dxa"/>
            <w:tcBorders>
              <w:right w:val="single" w:color="auto" w:sz="12" w:space="0"/>
            </w:tcBorders>
            <w:vAlign w:val="center"/>
          </w:tcPr>
          <w:p w14:paraId="10DF41E8">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&lt;1.2</w:t>
            </w:r>
          </w:p>
        </w:tc>
      </w:tr>
      <w:tr w14:paraId="52B0F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01" w:type="dxa"/>
            <w:tcBorders>
              <w:left w:val="single" w:color="auto" w:sz="12" w:space="0"/>
            </w:tcBorders>
            <w:vAlign w:val="center"/>
          </w:tcPr>
          <w:p w14:paraId="52338380">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3</w:t>
            </w:r>
          </w:p>
        </w:tc>
        <w:tc>
          <w:tcPr>
            <w:tcW w:w="3878" w:type="dxa"/>
            <w:gridSpan w:val="2"/>
            <w:vAlign w:val="center"/>
          </w:tcPr>
          <w:p w14:paraId="6A4C6AA0">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体积密度</w:t>
            </w:r>
          </w:p>
        </w:tc>
        <w:tc>
          <w:tcPr>
            <w:tcW w:w="1459" w:type="dxa"/>
            <w:vAlign w:val="center"/>
          </w:tcPr>
          <w:p w14:paraId="4EC36D20">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g/cm</w:t>
            </w:r>
            <w:r>
              <w:rPr>
                <w:rFonts w:hint="eastAsia" w:ascii="Times New Roman" w:hAnsi="Times New Roman" w:cs="Times New Roman"/>
                <w:sz w:val="21"/>
                <w:szCs w:val="21"/>
                <w:highlight w:val="none"/>
                <w:vertAlign w:val="superscript"/>
              </w:rPr>
              <w:t>3</w:t>
            </w:r>
          </w:p>
        </w:tc>
        <w:tc>
          <w:tcPr>
            <w:tcW w:w="2081" w:type="dxa"/>
            <w:tcBorders>
              <w:right w:val="single" w:color="auto" w:sz="12" w:space="0"/>
            </w:tcBorders>
            <w:vAlign w:val="center"/>
          </w:tcPr>
          <w:p w14:paraId="664D3E14">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≥1.8</w:t>
            </w:r>
          </w:p>
        </w:tc>
      </w:tr>
      <w:tr w14:paraId="2AEBC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01" w:type="dxa"/>
            <w:tcBorders>
              <w:left w:val="single" w:color="auto" w:sz="12" w:space="0"/>
            </w:tcBorders>
            <w:vAlign w:val="center"/>
          </w:tcPr>
          <w:p w14:paraId="5157CAAF">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4</w:t>
            </w:r>
          </w:p>
        </w:tc>
        <w:tc>
          <w:tcPr>
            <w:tcW w:w="3878" w:type="dxa"/>
            <w:gridSpan w:val="2"/>
            <w:vAlign w:val="center"/>
          </w:tcPr>
          <w:p w14:paraId="70A1D3CC">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稠度</w:t>
            </w:r>
          </w:p>
        </w:tc>
        <w:tc>
          <w:tcPr>
            <w:tcW w:w="1459" w:type="dxa"/>
            <w:vAlign w:val="center"/>
          </w:tcPr>
          <w:p w14:paraId="3A471450">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w:t>
            </w:r>
          </w:p>
        </w:tc>
        <w:tc>
          <w:tcPr>
            <w:tcW w:w="2081" w:type="dxa"/>
            <w:tcBorders>
              <w:right w:val="single" w:color="auto" w:sz="12" w:space="0"/>
            </w:tcBorders>
            <w:vAlign w:val="center"/>
          </w:tcPr>
          <w:p w14:paraId="3B46161C">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≯240</w:t>
            </w:r>
          </w:p>
        </w:tc>
      </w:tr>
      <w:tr w14:paraId="3B705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01" w:type="dxa"/>
            <w:tcBorders>
              <w:left w:val="single" w:color="auto" w:sz="12" w:space="0"/>
            </w:tcBorders>
            <w:vAlign w:val="center"/>
          </w:tcPr>
          <w:p w14:paraId="658311C6">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5</w:t>
            </w:r>
          </w:p>
        </w:tc>
        <w:tc>
          <w:tcPr>
            <w:tcW w:w="3878" w:type="dxa"/>
            <w:gridSpan w:val="2"/>
            <w:vAlign w:val="center"/>
          </w:tcPr>
          <w:p w14:paraId="145C6329">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耐火度</w:t>
            </w:r>
          </w:p>
        </w:tc>
        <w:tc>
          <w:tcPr>
            <w:tcW w:w="1459" w:type="dxa"/>
            <w:vAlign w:val="center"/>
          </w:tcPr>
          <w:p w14:paraId="283D6ADC">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w:t>
            </w:r>
          </w:p>
        </w:tc>
        <w:tc>
          <w:tcPr>
            <w:tcW w:w="2081" w:type="dxa"/>
            <w:tcBorders>
              <w:right w:val="single" w:color="auto" w:sz="12" w:space="0"/>
            </w:tcBorders>
            <w:vAlign w:val="center"/>
          </w:tcPr>
          <w:p w14:paraId="72A8736C">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≥1770</w:t>
            </w:r>
          </w:p>
        </w:tc>
      </w:tr>
      <w:tr w14:paraId="583F0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01" w:type="dxa"/>
            <w:vMerge w:val="restart"/>
            <w:tcBorders>
              <w:left w:val="single" w:color="auto" w:sz="12" w:space="0"/>
            </w:tcBorders>
            <w:vAlign w:val="center"/>
          </w:tcPr>
          <w:p w14:paraId="573376C7">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6</w:t>
            </w:r>
          </w:p>
        </w:tc>
        <w:tc>
          <w:tcPr>
            <w:tcW w:w="1530" w:type="dxa"/>
            <w:vMerge w:val="restart"/>
            <w:vAlign w:val="center"/>
          </w:tcPr>
          <w:p w14:paraId="25FBBCAD">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耐压强度</w:t>
            </w:r>
          </w:p>
        </w:tc>
        <w:tc>
          <w:tcPr>
            <w:tcW w:w="2348" w:type="dxa"/>
            <w:vAlign w:val="center"/>
          </w:tcPr>
          <w:p w14:paraId="2F636379">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105℃–110℃烘干</w:t>
            </w:r>
          </w:p>
        </w:tc>
        <w:tc>
          <w:tcPr>
            <w:tcW w:w="1459" w:type="dxa"/>
            <w:vAlign w:val="center"/>
          </w:tcPr>
          <w:p w14:paraId="30CF0828">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MPa</w:t>
            </w:r>
          </w:p>
        </w:tc>
        <w:tc>
          <w:tcPr>
            <w:tcW w:w="2081" w:type="dxa"/>
            <w:tcBorders>
              <w:right w:val="single" w:color="auto" w:sz="12" w:space="0"/>
            </w:tcBorders>
            <w:vAlign w:val="center"/>
          </w:tcPr>
          <w:p w14:paraId="7586B258">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≥0.5</w:t>
            </w:r>
          </w:p>
        </w:tc>
      </w:tr>
      <w:tr w14:paraId="30798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101" w:type="dxa"/>
            <w:vMerge w:val="continue"/>
            <w:tcBorders>
              <w:left w:val="single" w:color="auto" w:sz="12" w:space="0"/>
            </w:tcBorders>
            <w:vAlign w:val="center"/>
          </w:tcPr>
          <w:p w14:paraId="07AFFCAA">
            <w:pPr>
              <w:ind w:firstLine="210" w:firstLineChars="100"/>
              <w:rPr>
                <w:rFonts w:ascii="Times New Roman" w:hAnsi="Times New Roman" w:cs="Times New Roman"/>
                <w:sz w:val="21"/>
                <w:szCs w:val="21"/>
                <w:highlight w:val="none"/>
              </w:rPr>
            </w:pPr>
          </w:p>
        </w:tc>
        <w:tc>
          <w:tcPr>
            <w:tcW w:w="1530" w:type="dxa"/>
            <w:vMerge w:val="continue"/>
            <w:vAlign w:val="center"/>
          </w:tcPr>
          <w:p w14:paraId="3F2703D5">
            <w:pPr>
              <w:ind w:firstLine="210" w:firstLineChars="100"/>
              <w:rPr>
                <w:rFonts w:ascii="Times New Roman" w:hAnsi="Times New Roman" w:cs="Times New Roman"/>
                <w:sz w:val="21"/>
                <w:szCs w:val="21"/>
                <w:highlight w:val="none"/>
              </w:rPr>
            </w:pPr>
          </w:p>
        </w:tc>
        <w:tc>
          <w:tcPr>
            <w:tcW w:w="2348" w:type="dxa"/>
            <w:vAlign w:val="center"/>
          </w:tcPr>
          <w:p w14:paraId="6046D2C6">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1000℃×3h烧后</w:t>
            </w:r>
          </w:p>
        </w:tc>
        <w:tc>
          <w:tcPr>
            <w:tcW w:w="1459" w:type="dxa"/>
            <w:vAlign w:val="center"/>
          </w:tcPr>
          <w:p w14:paraId="334F34A7">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MPa</w:t>
            </w:r>
          </w:p>
        </w:tc>
        <w:tc>
          <w:tcPr>
            <w:tcW w:w="2081" w:type="dxa"/>
            <w:tcBorders>
              <w:right w:val="single" w:color="auto" w:sz="12" w:space="0"/>
            </w:tcBorders>
            <w:vAlign w:val="center"/>
          </w:tcPr>
          <w:p w14:paraId="109FA54F">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≥0.2</w:t>
            </w:r>
          </w:p>
        </w:tc>
      </w:tr>
      <w:tr w14:paraId="05701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01" w:type="dxa"/>
            <w:tcBorders>
              <w:left w:val="single" w:color="auto" w:sz="12" w:space="0"/>
            </w:tcBorders>
            <w:vAlign w:val="center"/>
          </w:tcPr>
          <w:p w14:paraId="09CC2E83">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7</w:t>
            </w:r>
          </w:p>
        </w:tc>
        <w:tc>
          <w:tcPr>
            <w:tcW w:w="3878" w:type="dxa"/>
            <w:gridSpan w:val="2"/>
            <w:vAlign w:val="center"/>
          </w:tcPr>
          <w:p w14:paraId="43DE5233">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线收缩率  1000℃×3h</w:t>
            </w:r>
          </w:p>
        </w:tc>
        <w:tc>
          <w:tcPr>
            <w:tcW w:w="1459" w:type="dxa"/>
            <w:vAlign w:val="center"/>
          </w:tcPr>
          <w:p w14:paraId="2C4648A3">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w:t>
            </w:r>
          </w:p>
        </w:tc>
        <w:tc>
          <w:tcPr>
            <w:tcW w:w="2081" w:type="dxa"/>
            <w:tcBorders>
              <w:right w:val="single" w:color="auto" w:sz="12" w:space="0"/>
            </w:tcBorders>
            <w:vAlign w:val="center"/>
          </w:tcPr>
          <w:p w14:paraId="03124ABA">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≤1.0</w:t>
            </w:r>
          </w:p>
        </w:tc>
      </w:tr>
      <w:tr w14:paraId="11708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tcBorders>
              <w:left w:val="single" w:color="auto" w:sz="12" w:space="0"/>
            </w:tcBorders>
            <w:vAlign w:val="center"/>
          </w:tcPr>
          <w:p w14:paraId="15FD4A82">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8</w:t>
            </w:r>
          </w:p>
        </w:tc>
        <w:tc>
          <w:tcPr>
            <w:tcW w:w="3878" w:type="dxa"/>
            <w:gridSpan w:val="2"/>
            <w:vAlign w:val="center"/>
          </w:tcPr>
          <w:p w14:paraId="1BB13D2D">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热态收缩率  0.98 MPa 1000℃</w:t>
            </w:r>
          </w:p>
        </w:tc>
        <w:tc>
          <w:tcPr>
            <w:tcW w:w="1459" w:type="dxa"/>
            <w:vAlign w:val="center"/>
          </w:tcPr>
          <w:p w14:paraId="765B0840">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w:t>
            </w:r>
          </w:p>
        </w:tc>
        <w:tc>
          <w:tcPr>
            <w:tcW w:w="2081" w:type="dxa"/>
            <w:tcBorders>
              <w:right w:val="single" w:color="auto" w:sz="12" w:space="0"/>
            </w:tcBorders>
            <w:vAlign w:val="center"/>
          </w:tcPr>
          <w:p w14:paraId="1E65C278">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≥15</w:t>
            </w:r>
          </w:p>
        </w:tc>
      </w:tr>
      <w:tr w14:paraId="27742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9" w:type="dxa"/>
            <w:gridSpan w:val="3"/>
            <w:tcBorders>
              <w:left w:val="single" w:color="auto" w:sz="12" w:space="0"/>
              <w:bottom w:val="single" w:color="auto" w:sz="12" w:space="0"/>
            </w:tcBorders>
            <w:vAlign w:val="center"/>
          </w:tcPr>
          <w:p w14:paraId="18FB0DB0">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使用部位</w:t>
            </w:r>
          </w:p>
        </w:tc>
        <w:tc>
          <w:tcPr>
            <w:tcW w:w="3540" w:type="dxa"/>
            <w:gridSpan w:val="2"/>
            <w:tcBorders>
              <w:bottom w:val="single" w:color="auto" w:sz="12" w:space="0"/>
              <w:right w:val="single" w:color="auto" w:sz="12" w:space="0"/>
            </w:tcBorders>
            <w:vAlign w:val="center"/>
          </w:tcPr>
          <w:p w14:paraId="00AD50D8">
            <w:pPr>
              <w:ind w:firstLine="210" w:firstLineChars="100"/>
              <w:rPr>
                <w:rFonts w:ascii="Times New Roman" w:hAnsi="Times New Roman" w:cs="Times New Roman"/>
                <w:sz w:val="21"/>
                <w:szCs w:val="21"/>
                <w:highlight w:val="none"/>
              </w:rPr>
            </w:pPr>
            <w:r>
              <w:rPr>
                <w:rFonts w:hint="eastAsia" w:ascii="Times New Roman" w:hAnsi="Times New Roman" w:cs="Times New Roman"/>
                <w:sz w:val="21"/>
                <w:szCs w:val="21"/>
                <w:highlight w:val="none"/>
              </w:rPr>
              <w:t>风口下部与组合砖之间</w:t>
            </w:r>
          </w:p>
        </w:tc>
      </w:tr>
    </w:tbl>
    <w:p w14:paraId="531F6878">
      <w:pPr>
        <w:numPr>
          <w:ilvl w:val="0"/>
          <w:numId w:val="16"/>
        </w:numPr>
        <w:ind w:left="480" w:leftChars="0" w:firstLine="0" w:firstLineChars="0"/>
        <w:rPr>
          <w:rFonts w:hint="eastAsia" w:ascii="宋体" w:hAnsi="宋体" w:eastAsia="宋体"/>
          <w:highlight w:val="none"/>
        </w:rPr>
      </w:pPr>
      <w:r>
        <w:rPr>
          <w:rFonts w:hint="eastAsia" w:ascii="宋体" w:hAnsi="宋体" w:eastAsia="宋体"/>
          <w:highlight w:val="none"/>
        </w:rPr>
        <w:t>陶瓷垫砖</w:t>
      </w:r>
    </w:p>
    <w:tbl>
      <w:tblPr>
        <w:tblStyle w:val="60"/>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3"/>
        <w:gridCol w:w="1128"/>
        <w:gridCol w:w="1980"/>
        <w:gridCol w:w="981"/>
        <w:gridCol w:w="1208"/>
        <w:gridCol w:w="1123"/>
        <w:gridCol w:w="1386"/>
      </w:tblGrid>
      <w:tr w14:paraId="0CF239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419" w:type="pct"/>
            <w:vAlign w:val="center"/>
          </w:tcPr>
          <w:p w14:paraId="20364F87">
            <w:pPr>
              <w:ind w:left="0" w:leftChars="0"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序号</w:t>
            </w:r>
          </w:p>
        </w:tc>
        <w:tc>
          <w:tcPr>
            <w:tcW w:w="1824" w:type="pct"/>
            <w:gridSpan w:val="2"/>
            <w:vAlign w:val="center"/>
          </w:tcPr>
          <w:p w14:paraId="2FF3E646">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项    目</w:t>
            </w:r>
          </w:p>
        </w:tc>
        <w:tc>
          <w:tcPr>
            <w:tcW w:w="575" w:type="pct"/>
            <w:vAlign w:val="center"/>
          </w:tcPr>
          <w:p w14:paraId="7C2882C3">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单 位</w:t>
            </w:r>
          </w:p>
        </w:tc>
        <w:tc>
          <w:tcPr>
            <w:tcW w:w="709" w:type="pct"/>
            <w:vAlign w:val="center"/>
          </w:tcPr>
          <w:p w14:paraId="6C30CE1B">
            <w:pPr>
              <w:ind w:left="0" w:leftChars="0"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保证均值</w:t>
            </w:r>
          </w:p>
        </w:tc>
        <w:tc>
          <w:tcPr>
            <w:tcW w:w="659" w:type="pct"/>
          </w:tcPr>
          <w:p w14:paraId="0FED7517">
            <w:pPr>
              <w:ind w:left="0" w:leftChars="0"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标准偏差</w:t>
            </w:r>
          </w:p>
        </w:tc>
        <w:tc>
          <w:tcPr>
            <w:tcW w:w="812" w:type="pct"/>
          </w:tcPr>
          <w:p w14:paraId="735F3162">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检验标准</w:t>
            </w:r>
          </w:p>
        </w:tc>
      </w:tr>
      <w:tr w14:paraId="5EC326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9" w:type="pct"/>
            <w:vAlign w:val="center"/>
          </w:tcPr>
          <w:p w14:paraId="59C82FD9">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w:t>
            </w:r>
          </w:p>
        </w:tc>
        <w:tc>
          <w:tcPr>
            <w:tcW w:w="1824" w:type="pct"/>
            <w:gridSpan w:val="2"/>
            <w:vAlign w:val="center"/>
          </w:tcPr>
          <w:p w14:paraId="54A18ABA">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体积密度</w:t>
            </w:r>
          </w:p>
        </w:tc>
        <w:tc>
          <w:tcPr>
            <w:tcW w:w="575" w:type="pct"/>
            <w:vAlign w:val="center"/>
          </w:tcPr>
          <w:p w14:paraId="10CDC877">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g/cm3</w:t>
            </w:r>
          </w:p>
        </w:tc>
        <w:tc>
          <w:tcPr>
            <w:tcW w:w="709" w:type="pct"/>
            <w:vAlign w:val="center"/>
          </w:tcPr>
          <w:p w14:paraId="5C2D5F38">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2.678（s）</w:t>
            </w:r>
          </w:p>
        </w:tc>
        <w:tc>
          <w:tcPr>
            <w:tcW w:w="659" w:type="pct"/>
          </w:tcPr>
          <w:p w14:paraId="0D67BC6F">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0.05</w:t>
            </w:r>
          </w:p>
        </w:tc>
        <w:tc>
          <w:tcPr>
            <w:tcW w:w="812" w:type="pct"/>
          </w:tcPr>
          <w:p w14:paraId="5292B84A">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GB/T 2997</w:t>
            </w:r>
          </w:p>
        </w:tc>
      </w:tr>
      <w:tr w14:paraId="5CDBD2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9" w:type="pct"/>
            <w:vAlign w:val="center"/>
          </w:tcPr>
          <w:p w14:paraId="634D7EA4">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w:t>
            </w:r>
          </w:p>
        </w:tc>
        <w:tc>
          <w:tcPr>
            <w:tcW w:w="1824" w:type="pct"/>
            <w:gridSpan w:val="2"/>
            <w:vAlign w:val="center"/>
          </w:tcPr>
          <w:p w14:paraId="0582FD64">
            <w:pPr>
              <w:ind w:left="0" w:leftChars="0"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显气孔率</w:t>
            </w:r>
          </w:p>
        </w:tc>
        <w:tc>
          <w:tcPr>
            <w:tcW w:w="575" w:type="pct"/>
            <w:vAlign w:val="center"/>
          </w:tcPr>
          <w:p w14:paraId="5A7B7D61">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w:t>
            </w:r>
          </w:p>
        </w:tc>
        <w:tc>
          <w:tcPr>
            <w:tcW w:w="709" w:type="pct"/>
            <w:vAlign w:val="center"/>
          </w:tcPr>
          <w:p w14:paraId="218DB159">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11.04（i）</w:t>
            </w:r>
          </w:p>
        </w:tc>
        <w:tc>
          <w:tcPr>
            <w:tcW w:w="659" w:type="pct"/>
          </w:tcPr>
          <w:p w14:paraId="71B7ECA7">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w:t>
            </w:r>
          </w:p>
        </w:tc>
        <w:tc>
          <w:tcPr>
            <w:tcW w:w="812" w:type="pct"/>
          </w:tcPr>
          <w:p w14:paraId="2E63C9A0">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GB/T 2997</w:t>
            </w:r>
          </w:p>
        </w:tc>
      </w:tr>
      <w:tr w14:paraId="24AF20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9" w:type="pct"/>
            <w:vAlign w:val="center"/>
          </w:tcPr>
          <w:p w14:paraId="0087A1AE">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w:t>
            </w:r>
          </w:p>
        </w:tc>
        <w:tc>
          <w:tcPr>
            <w:tcW w:w="1824" w:type="pct"/>
            <w:gridSpan w:val="2"/>
            <w:vAlign w:val="center"/>
          </w:tcPr>
          <w:p w14:paraId="751C1AB1">
            <w:pPr>
              <w:ind w:left="0" w:leftChars="0"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常温耐压强度</w:t>
            </w:r>
          </w:p>
        </w:tc>
        <w:tc>
          <w:tcPr>
            <w:tcW w:w="575" w:type="pct"/>
            <w:vAlign w:val="center"/>
          </w:tcPr>
          <w:p w14:paraId="4D15DC26">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MPa</w:t>
            </w:r>
          </w:p>
        </w:tc>
        <w:tc>
          <w:tcPr>
            <w:tcW w:w="709" w:type="pct"/>
            <w:vAlign w:val="center"/>
          </w:tcPr>
          <w:p w14:paraId="291C9C7A">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63（s）</w:t>
            </w:r>
          </w:p>
        </w:tc>
        <w:tc>
          <w:tcPr>
            <w:tcW w:w="659" w:type="pct"/>
          </w:tcPr>
          <w:p w14:paraId="5DE9B842">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10</w:t>
            </w:r>
          </w:p>
        </w:tc>
        <w:tc>
          <w:tcPr>
            <w:tcW w:w="812" w:type="pct"/>
          </w:tcPr>
          <w:p w14:paraId="7D9EC291">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GB/T 5072</w:t>
            </w:r>
          </w:p>
        </w:tc>
      </w:tr>
      <w:tr w14:paraId="0A0B43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9" w:type="pct"/>
            <w:vAlign w:val="center"/>
          </w:tcPr>
          <w:p w14:paraId="65947ED0">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4</w:t>
            </w:r>
          </w:p>
        </w:tc>
        <w:tc>
          <w:tcPr>
            <w:tcW w:w="1824" w:type="pct"/>
            <w:gridSpan w:val="2"/>
            <w:vAlign w:val="center"/>
          </w:tcPr>
          <w:p w14:paraId="3A0DFE75">
            <w:pPr>
              <w:ind w:left="0" w:leftChars="0"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热永久线变化率（1500 °C×3h）</w:t>
            </w:r>
          </w:p>
        </w:tc>
        <w:tc>
          <w:tcPr>
            <w:tcW w:w="575" w:type="pct"/>
            <w:vAlign w:val="center"/>
          </w:tcPr>
          <w:p w14:paraId="0B642A71">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w:t>
            </w:r>
          </w:p>
        </w:tc>
        <w:tc>
          <w:tcPr>
            <w:tcW w:w="709" w:type="pct"/>
            <w:vAlign w:val="center"/>
          </w:tcPr>
          <w:p w14:paraId="78B70CAF">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0～+0.54</w:t>
            </w:r>
          </w:p>
        </w:tc>
        <w:tc>
          <w:tcPr>
            <w:tcW w:w="659" w:type="pct"/>
          </w:tcPr>
          <w:p w14:paraId="554D1F01">
            <w:pPr>
              <w:ind w:firstLine="210" w:firstLineChars="100"/>
              <w:rPr>
                <w:rFonts w:hint="eastAsia" w:ascii="Times New Roman" w:hAnsi="Times New Roman" w:eastAsia="宋体" w:cs="Times New Roman"/>
                <w:sz w:val="21"/>
                <w:szCs w:val="21"/>
                <w:highlight w:val="none"/>
              </w:rPr>
            </w:pPr>
          </w:p>
        </w:tc>
        <w:tc>
          <w:tcPr>
            <w:tcW w:w="812" w:type="pct"/>
          </w:tcPr>
          <w:p w14:paraId="0F268923">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GB/T 5988</w:t>
            </w:r>
          </w:p>
        </w:tc>
      </w:tr>
      <w:tr w14:paraId="1EB5BE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trPr>
        <w:tc>
          <w:tcPr>
            <w:tcW w:w="419" w:type="pct"/>
            <w:vMerge w:val="restart"/>
            <w:vAlign w:val="center"/>
          </w:tcPr>
          <w:p w14:paraId="19FC0DB0">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5</w:t>
            </w:r>
          </w:p>
        </w:tc>
        <w:tc>
          <w:tcPr>
            <w:tcW w:w="662" w:type="pct"/>
            <w:vMerge w:val="restart"/>
            <w:vAlign w:val="center"/>
          </w:tcPr>
          <w:p w14:paraId="0B224752">
            <w:pPr>
              <w:ind w:left="0" w:leftChars="0"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化学成分</w:t>
            </w:r>
          </w:p>
        </w:tc>
        <w:tc>
          <w:tcPr>
            <w:tcW w:w="1162" w:type="pct"/>
            <w:vAlign w:val="center"/>
          </w:tcPr>
          <w:p w14:paraId="746F3DB7">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Al</w:t>
            </w:r>
            <w:r>
              <w:rPr>
                <w:rFonts w:hint="eastAsia" w:ascii="Times New Roman" w:hAnsi="Times New Roman" w:eastAsia="宋体" w:cs="Times New Roman"/>
                <w:sz w:val="21"/>
                <w:szCs w:val="21"/>
                <w:highlight w:val="none"/>
                <w:vertAlign w:val="subscript"/>
              </w:rPr>
              <w:t>2</w:t>
            </w:r>
            <w:r>
              <w:rPr>
                <w:rFonts w:hint="eastAsia" w:ascii="Times New Roman" w:hAnsi="Times New Roman" w:eastAsia="宋体" w:cs="Times New Roman"/>
                <w:sz w:val="21"/>
                <w:szCs w:val="21"/>
                <w:highlight w:val="none"/>
              </w:rPr>
              <w:t>O</w:t>
            </w:r>
            <w:r>
              <w:rPr>
                <w:rFonts w:hint="eastAsia" w:ascii="Times New Roman" w:hAnsi="Times New Roman" w:eastAsia="宋体" w:cs="Times New Roman"/>
                <w:sz w:val="21"/>
                <w:szCs w:val="21"/>
                <w:highlight w:val="none"/>
                <w:vertAlign w:val="subscript"/>
              </w:rPr>
              <w:t>3</w:t>
            </w:r>
          </w:p>
        </w:tc>
        <w:tc>
          <w:tcPr>
            <w:tcW w:w="575" w:type="pct"/>
            <w:vAlign w:val="center"/>
          </w:tcPr>
          <w:p w14:paraId="5B5F8F1E">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w:t>
            </w:r>
          </w:p>
        </w:tc>
        <w:tc>
          <w:tcPr>
            <w:tcW w:w="709" w:type="pct"/>
            <w:vAlign w:val="center"/>
          </w:tcPr>
          <w:p w14:paraId="3C87F2A7">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70.0（s）</w:t>
            </w:r>
          </w:p>
        </w:tc>
        <w:tc>
          <w:tcPr>
            <w:tcW w:w="659" w:type="pct"/>
          </w:tcPr>
          <w:p w14:paraId="7EA92826">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2.0</w:t>
            </w:r>
          </w:p>
        </w:tc>
        <w:tc>
          <w:tcPr>
            <w:tcW w:w="812" w:type="pct"/>
          </w:tcPr>
          <w:p w14:paraId="4FDE1136">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GB/T 6900</w:t>
            </w:r>
          </w:p>
        </w:tc>
      </w:tr>
      <w:tr w14:paraId="6A36D8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5" w:hRule="atLeast"/>
        </w:trPr>
        <w:tc>
          <w:tcPr>
            <w:tcW w:w="419" w:type="pct"/>
            <w:vMerge w:val="continue"/>
            <w:vAlign w:val="center"/>
          </w:tcPr>
          <w:p w14:paraId="08390DCD">
            <w:pPr>
              <w:ind w:firstLine="210" w:firstLineChars="100"/>
              <w:rPr>
                <w:rFonts w:hint="eastAsia" w:ascii="Times New Roman" w:hAnsi="Times New Roman" w:eastAsia="宋体" w:cs="Times New Roman"/>
                <w:sz w:val="21"/>
                <w:szCs w:val="21"/>
                <w:highlight w:val="none"/>
              </w:rPr>
            </w:pPr>
          </w:p>
        </w:tc>
        <w:tc>
          <w:tcPr>
            <w:tcW w:w="662" w:type="pct"/>
            <w:vMerge w:val="continue"/>
            <w:vAlign w:val="center"/>
          </w:tcPr>
          <w:p w14:paraId="5E90DCF4">
            <w:pPr>
              <w:ind w:firstLine="210" w:firstLineChars="100"/>
              <w:rPr>
                <w:rFonts w:hint="eastAsia" w:ascii="Times New Roman" w:hAnsi="Times New Roman" w:eastAsia="宋体" w:cs="Times New Roman"/>
                <w:sz w:val="21"/>
                <w:szCs w:val="21"/>
                <w:highlight w:val="none"/>
              </w:rPr>
            </w:pPr>
          </w:p>
        </w:tc>
        <w:tc>
          <w:tcPr>
            <w:tcW w:w="1162" w:type="pct"/>
            <w:vAlign w:val="center"/>
          </w:tcPr>
          <w:p w14:paraId="653A1468">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Fe2O</w:t>
            </w:r>
            <w:r>
              <w:rPr>
                <w:rFonts w:hint="eastAsia" w:ascii="Times New Roman" w:hAnsi="Times New Roman" w:eastAsia="宋体" w:cs="Times New Roman"/>
                <w:sz w:val="21"/>
                <w:szCs w:val="21"/>
                <w:highlight w:val="none"/>
                <w:vertAlign w:val="subscript"/>
              </w:rPr>
              <w:t>3</w:t>
            </w:r>
          </w:p>
        </w:tc>
        <w:tc>
          <w:tcPr>
            <w:tcW w:w="575" w:type="pct"/>
            <w:vAlign w:val="center"/>
          </w:tcPr>
          <w:p w14:paraId="2C82A7D3">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w:t>
            </w:r>
          </w:p>
        </w:tc>
        <w:tc>
          <w:tcPr>
            <w:tcW w:w="709" w:type="pct"/>
            <w:vAlign w:val="center"/>
          </w:tcPr>
          <w:p w14:paraId="141060A1">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0.9（i）</w:t>
            </w:r>
          </w:p>
        </w:tc>
        <w:tc>
          <w:tcPr>
            <w:tcW w:w="659" w:type="pct"/>
          </w:tcPr>
          <w:p w14:paraId="624F9681">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0.3</w:t>
            </w:r>
          </w:p>
        </w:tc>
        <w:tc>
          <w:tcPr>
            <w:tcW w:w="812" w:type="pct"/>
          </w:tcPr>
          <w:p w14:paraId="531DAEAF">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GB/T 6900</w:t>
            </w:r>
          </w:p>
        </w:tc>
      </w:tr>
      <w:tr w14:paraId="481AF4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9" w:type="pct"/>
            <w:vMerge w:val="continue"/>
            <w:vAlign w:val="center"/>
          </w:tcPr>
          <w:p w14:paraId="6D2AD1AD">
            <w:pPr>
              <w:ind w:firstLine="210" w:firstLineChars="100"/>
              <w:rPr>
                <w:rFonts w:hint="eastAsia" w:ascii="Times New Roman" w:hAnsi="Times New Roman" w:eastAsia="宋体" w:cs="Times New Roman"/>
                <w:sz w:val="21"/>
                <w:szCs w:val="21"/>
                <w:highlight w:val="none"/>
              </w:rPr>
            </w:pPr>
          </w:p>
        </w:tc>
        <w:tc>
          <w:tcPr>
            <w:tcW w:w="662" w:type="pct"/>
            <w:vMerge w:val="continue"/>
            <w:vAlign w:val="center"/>
          </w:tcPr>
          <w:p w14:paraId="184C2E7B">
            <w:pPr>
              <w:ind w:firstLine="210" w:firstLineChars="100"/>
              <w:rPr>
                <w:rFonts w:hint="eastAsia" w:ascii="Times New Roman" w:hAnsi="Times New Roman" w:eastAsia="宋体" w:cs="Times New Roman"/>
                <w:sz w:val="21"/>
                <w:szCs w:val="21"/>
                <w:highlight w:val="none"/>
              </w:rPr>
            </w:pPr>
          </w:p>
        </w:tc>
        <w:tc>
          <w:tcPr>
            <w:tcW w:w="1162" w:type="pct"/>
            <w:vAlign w:val="center"/>
          </w:tcPr>
          <w:p w14:paraId="22F198F8">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Na</w:t>
            </w:r>
            <w:r>
              <w:rPr>
                <w:rFonts w:hint="eastAsia" w:ascii="Times New Roman" w:hAnsi="Times New Roman" w:eastAsia="宋体" w:cs="Times New Roman"/>
                <w:sz w:val="21"/>
                <w:szCs w:val="21"/>
                <w:highlight w:val="none"/>
                <w:vertAlign w:val="subscript"/>
              </w:rPr>
              <w:t>2</w:t>
            </w:r>
            <w:r>
              <w:rPr>
                <w:rFonts w:hint="eastAsia" w:ascii="Times New Roman" w:hAnsi="Times New Roman" w:eastAsia="宋体" w:cs="Times New Roman"/>
                <w:sz w:val="21"/>
                <w:szCs w:val="21"/>
                <w:highlight w:val="none"/>
              </w:rPr>
              <w:t>O + K</w:t>
            </w:r>
            <w:r>
              <w:rPr>
                <w:rFonts w:hint="eastAsia" w:ascii="Times New Roman" w:hAnsi="Times New Roman" w:eastAsia="宋体" w:cs="Times New Roman"/>
                <w:sz w:val="21"/>
                <w:szCs w:val="21"/>
                <w:highlight w:val="none"/>
                <w:vertAlign w:val="subscript"/>
              </w:rPr>
              <w:t>2</w:t>
            </w:r>
            <w:r>
              <w:rPr>
                <w:rFonts w:hint="eastAsia" w:ascii="Times New Roman" w:hAnsi="Times New Roman" w:eastAsia="宋体" w:cs="Times New Roman"/>
                <w:sz w:val="21"/>
                <w:szCs w:val="21"/>
                <w:highlight w:val="none"/>
              </w:rPr>
              <w:t>O</w:t>
            </w:r>
          </w:p>
        </w:tc>
        <w:tc>
          <w:tcPr>
            <w:tcW w:w="575" w:type="pct"/>
            <w:vAlign w:val="center"/>
          </w:tcPr>
          <w:p w14:paraId="5EC3C554">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w:t>
            </w:r>
          </w:p>
        </w:tc>
        <w:tc>
          <w:tcPr>
            <w:tcW w:w="709" w:type="pct"/>
            <w:vAlign w:val="center"/>
          </w:tcPr>
          <w:p w14:paraId="08DB1CEE">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0.54（i）</w:t>
            </w:r>
          </w:p>
        </w:tc>
        <w:tc>
          <w:tcPr>
            <w:tcW w:w="659" w:type="pct"/>
          </w:tcPr>
          <w:p w14:paraId="6E278E5C">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0.2</w:t>
            </w:r>
          </w:p>
        </w:tc>
        <w:tc>
          <w:tcPr>
            <w:tcW w:w="812" w:type="pct"/>
          </w:tcPr>
          <w:p w14:paraId="29E4E295">
            <w:pPr>
              <w:ind w:firstLine="210" w:firstLineChars="10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GB/T 6900</w:t>
            </w:r>
          </w:p>
        </w:tc>
      </w:tr>
      <w:tr w14:paraId="40BA16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43" w:type="pct"/>
            <w:gridSpan w:val="3"/>
            <w:vAlign w:val="center"/>
          </w:tcPr>
          <w:p w14:paraId="4083AE3E">
            <w:pPr>
              <w:ind w:firstLine="0" w:firstLineChars="0"/>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highlight w:val="none"/>
              </w:rPr>
              <w:t>使用部位</w:t>
            </w:r>
          </w:p>
        </w:tc>
        <w:tc>
          <w:tcPr>
            <w:tcW w:w="2756" w:type="pct"/>
            <w:gridSpan w:val="4"/>
            <w:vAlign w:val="center"/>
          </w:tcPr>
          <w:p w14:paraId="68094327">
            <w:pPr>
              <w:ind w:firstLine="0" w:firstLineChars="0"/>
              <w:rPr>
                <w:rFonts w:hint="default" w:ascii="Times New Roman" w:hAnsi="Times New Roman" w:eastAsia="宋体" w:cs="Times New Roman"/>
                <w:kern w:val="2"/>
                <w:sz w:val="21"/>
                <w:szCs w:val="21"/>
                <w:highlight w:val="none"/>
                <w:lang w:val="en-US" w:eastAsia="zh-CN" w:bidi="ar-SA"/>
              </w:rPr>
            </w:pPr>
            <w:r>
              <w:rPr>
                <w:rFonts w:hint="eastAsia"/>
                <w:highlight w:val="none"/>
                <w:lang w:val="en-US" w:eastAsia="zh-CN"/>
              </w:rPr>
              <w:t>陶瓷杯垫砖</w:t>
            </w:r>
          </w:p>
        </w:tc>
      </w:tr>
    </w:tbl>
    <w:p w14:paraId="01DAA10F">
      <w:pPr>
        <w:spacing w:line="240" w:lineRule="auto"/>
        <w:ind w:firstLine="324" w:firstLineChars="135"/>
        <w:rPr>
          <w:rFonts w:ascii="宋体" w:hAnsi="宋体"/>
          <w:highlight w:val="none"/>
        </w:rPr>
      </w:pPr>
      <w:r>
        <w:rPr>
          <w:rFonts w:ascii="宋体" w:hAnsi="宋体"/>
          <w:highlight w:val="none"/>
        </w:rPr>
        <w:t xml:space="preserve">（s）为低值不利 </w:t>
      </w:r>
      <w:r>
        <w:rPr>
          <w:rFonts w:hint="eastAsia" w:ascii="宋体" w:hAnsi="宋体"/>
          <w:highlight w:val="none"/>
        </w:rPr>
        <w:t xml:space="preserve"> </w:t>
      </w:r>
    </w:p>
    <w:p w14:paraId="74F18D98">
      <w:pPr>
        <w:spacing w:line="240" w:lineRule="auto"/>
        <w:ind w:firstLine="324" w:firstLineChars="135"/>
        <w:rPr>
          <w:rFonts w:ascii="宋体" w:hAnsi="宋体" w:cs="宋体"/>
          <w:szCs w:val="24"/>
          <w:highlight w:val="none"/>
          <w:lang w:val="it-IT"/>
        </w:rPr>
      </w:pPr>
      <w:r>
        <w:rPr>
          <w:rFonts w:ascii="宋体" w:hAnsi="宋体"/>
          <w:highlight w:val="none"/>
        </w:rPr>
        <w:t>（i）为高值不利</w:t>
      </w:r>
      <w:r>
        <w:rPr>
          <w:rFonts w:hint="eastAsia" w:ascii="宋体" w:hAnsi="宋体"/>
          <w:highlight w:val="none"/>
        </w:rPr>
        <w:t xml:space="preserve"> </w:t>
      </w:r>
      <w:r>
        <w:rPr>
          <w:rFonts w:ascii="宋体" w:hAnsi="宋体"/>
          <w:highlight w:val="none"/>
        </w:rPr>
        <w:t xml:space="preserve">              </w:t>
      </w:r>
      <w:r>
        <w:rPr>
          <w:rFonts w:hint="eastAsia" w:ascii="宋体" w:hAnsi="宋体" w:cs="宋体"/>
          <w:szCs w:val="24"/>
          <w:highlight w:val="none"/>
        </w:rPr>
        <w:t>根据</w:t>
      </w:r>
      <w:r>
        <w:rPr>
          <w:rFonts w:hint="eastAsia" w:ascii="宋体" w:hAnsi="宋体" w:cs="宋体"/>
          <w:szCs w:val="24"/>
          <w:highlight w:val="none"/>
          <w:lang w:val="it-IT"/>
        </w:rPr>
        <w:t>ISO 5022 § 5.3</w:t>
      </w:r>
    </w:p>
    <w:p w14:paraId="205B6AB2">
      <w:pPr>
        <w:keepNext w:val="0"/>
        <w:keepLines w:val="0"/>
        <w:pageBreakBefore w:val="0"/>
        <w:widowControl w:val="0"/>
        <w:numPr>
          <w:ilvl w:val="0"/>
          <w:numId w:val="16"/>
        </w:numPr>
        <w:kinsoku/>
        <w:wordWrap/>
        <w:overflowPunct/>
        <w:topLinePunct w:val="0"/>
        <w:autoSpaceDE/>
        <w:autoSpaceDN/>
        <w:bidi w:val="0"/>
        <w:adjustRightInd/>
        <w:snapToGrid/>
        <w:spacing w:line="240" w:lineRule="auto"/>
        <w:ind w:left="480" w:leftChars="0" w:firstLine="0" w:firstLineChars="0"/>
        <w:jc w:val="left"/>
        <w:textAlignment w:val="auto"/>
        <w:rPr>
          <w:rFonts w:hint="eastAsia" w:ascii="宋体" w:hAnsi="宋体" w:eastAsia="宋体"/>
          <w:highlight w:val="none"/>
        </w:rPr>
      </w:pPr>
      <w:r>
        <w:rPr>
          <w:rFonts w:hint="eastAsia" w:ascii="宋体" w:hAnsi="宋体" w:eastAsia="宋体"/>
          <w:highlight w:val="none"/>
        </w:rPr>
        <w:t>风口组合砖及陶瓷杯砖</w:t>
      </w:r>
    </w:p>
    <w:tbl>
      <w:tblPr>
        <w:tblStyle w:val="60"/>
        <w:tblpPr w:leftFromText="180" w:rightFromText="180" w:vertAnchor="text" w:horzAnchor="page" w:tblpX="1765" w:tblpY="246"/>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4"/>
        <w:gridCol w:w="1690"/>
        <w:gridCol w:w="1612"/>
        <w:gridCol w:w="847"/>
        <w:gridCol w:w="1262"/>
        <w:gridCol w:w="1250"/>
        <w:gridCol w:w="1271"/>
      </w:tblGrid>
      <w:tr w14:paraId="60C73D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04" w:type="dxa"/>
            <w:vAlign w:val="center"/>
          </w:tcPr>
          <w:p w14:paraId="4D294EBC">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序 号</w:t>
            </w:r>
          </w:p>
        </w:tc>
        <w:tc>
          <w:tcPr>
            <w:tcW w:w="3302" w:type="dxa"/>
            <w:gridSpan w:val="2"/>
            <w:vAlign w:val="center"/>
          </w:tcPr>
          <w:p w14:paraId="5A510AA0">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项    目</w:t>
            </w:r>
          </w:p>
        </w:tc>
        <w:tc>
          <w:tcPr>
            <w:tcW w:w="847" w:type="dxa"/>
            <w:vAlign w:val="center"/>
          </w:tcPr>
          <w:p w14:paraId="192A067C">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单 位</w:t>
            </w:r>
          </w:p>
        </w:tc>
        <w:tc>
          <w:tcPr>
            <w:tcW w:w="1262" w:type="dxa"/>
            <w:vAlign w:val="center"/>
          </w:tcPr>
          <w:p w14:paraId="7D3C1422">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保证均值</w:t>
            </w:r>
          </w:p>
        </w:tc>
        <w:tc>
          <w:tcPr>
            <w:tcW w:w="1250" w:type="dxa"/>
          </w:tcPr>
          <w:p w14:paraId="346CBCAB">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标准偏差</w:t>
            </w:r>
          </w:p>
        </w:tc>
        <w:tc>
          <w:tcPr>
            <w:tcW w:w="1271" w:type="dxa"/>
          </w:tcPr>
          <w:p w14:paraId="68AAB94B">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检验标准</w:t>
            </w:r>
          </w:p>
        </w:tc>
      </w:tr>
      <w:tr w14:paraId="320217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04" w:type="dxa"/>
            <w:vAlign w:val="center"/>
          </w:tcPr>
          <w:p w14:paraId="5115106C">
            <w:pPr>
              <w:ind w:firstLine="0" w:firstLineChars="0"/>
              <w:jc w:val="center"/>
              <w:rPr>
                <w:rFonts w:ascii="Times New Roman" w:hAnsi="Times New Roman" w:cs="Times New Roman"/>
                <w:sz w:val="21"/>
                <w:szCs w:val="21"/>
                <w:highlight w:val="none"/>
              </w:rPr>
            </w:pPr>
            <w:r>
              <w:rPr>
                <w:rFonts w:hint="eastAsia" w:ascii="Times New Roman" w:hAnsi="Times New Roman" w:cs="Times New Roman"/>
                <w:sz w:val="21"/>
                <w:szCs w:val="21"/>
                <w:highlight w:val="none"/>
              </w:rPr>
              <w:t>1</w:t>
            </w:r>
          </w:p>
        </w:tc>
        <w:tc>
          <w:tcPr>
            <w:tcW w:w="3302" w:type="dxa"/>
            <w:gridSpan w:val="2"/>
            <w:vAlign w:val="center"/>
          </w:tcPr>
          <w:p w14:paraId="0ECC2E1E">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体积密度</w:t>
            </w:r>
          </w:p>
        </w:tc>
        <w:tc>
          <w:tcPr>
            <w:tcW w:w="847" w:type="dxa"/>
            <w:vAlign w:val="center"/>
          </w:tcPr>
          <w:p w14:paraId="51CF8056">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g/cm</w:t>
            </w:r>
            <w:r>
              <w:rPr>
                <w:rFonts w:hint="eastAsia" w:ascii="Times New Roman" w:hAnsi="Times New Roman" w:cs="Times New Roman"/>
                <w:sz w:val="21"/>
                <w:szCs w:val="21"/>
                <w:highlight w:val="none"/>
                <w:vertAlign w:val="superscript"/>
              </w:rPr>
              <w:t>3</w:t>
            </w:r>
          </w:p>
        </w:tc>
        <w:tc>
          <w:tcPr>
            <w:tcW w:w="1262" w:type="dxa"/>
            <w:vAlign w:val="center"/>
          </w:tcPr>
          <w:p w14:paraId="567E751A">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3.33（s）</w:t>
            </w:r>
          </w:p>
        </w:tc>
        <w:tc>
          <w:tcPr>
            <w:tcW w:w="1250" w:type="dxa"/>
          </w:tcPr>
          <w:p w14:paraId="073B0FC4">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0.05</w:t>
            </w:r>
          </w:p>
        </w:tc>
        <w:tc>
          <w:tcPr>
            <w:tcW w:w="1271" w:type="dxa"/>
          </w:tcPr>
          <w:p w14:paraId="47454A1C">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GB/T 2997</w:t>
            </w:r>
          </w:p>
        </w:tc>
      </w:tr>
      <w:tr w14:paraId="019D3B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04" w:type="dxa"/>
            <w:vAlign w:val="center"/>
          </w:tcPr>
          <w:p w14:paraId="24DCC7B7">
            <w:pPr>
              <w:ind w:firstLine="0" w:firstLineChars="0"/>
              <w:jc w:val="center"/>
              <w:rPr>
                <w:rFonts w:ascii="Times New Roman" w:hAnsi="Times New Roman" w:cs="Times New Roman"/>
                <w:sz w:val="21"/>
                <w:szCs w:val="21"/>
                <w:highlight w:val="none"/>
              </w:rPr>
            </w:pPr>
            <w:r>
              <w:rPr>
                <w:rFonts w:hint="eastAsia" w:ascii="Times New Roman" w:hAnsi="Times New Roman" w:cs="Times New Roman"/>
                <w:sz w:val="21"/>
                <w:szCs w:val="21"/>
                <w:highlight w:val="none"/>
              </w:rPr>
              <w:t>2</w:t>
            </w:r>
          </w:p>
        </w:tc>
        <w:tc>
          <w:tcPr>
            <w:tcW w:w="3302" w:type="dxa"/>
            <w:gridSpan w:val="2"/>
            <w:vAlign w:val="center"/>
          </w:tcPr>
          <w:p w14:paraId="68DE0C7A">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显气孔率</w:t>
            </w:r>
          </w:p>
        </w:tc>
        <w:tc>
          <w:tcPr>
            <w:tcW w:w="847" w:type="dxa"/>
            <w:vAlign w:val="center"/>
          </w:tcPr>
          <w:p w14:paraId="39E24A5B">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w:t>
            </w:r>
          </w:p>
        </w:tc>
        <w:tc>
          <w:tcPr>
            <w:tcW w:w="1262" w:type="dxa"/>
            <w:vAlign w:val="center"/>
          </w:tcPr>
          <w:p w14:paraId="2A7E9A8B">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10.12（i）</w:t>
            </w:r>
          </w:p>
        </w:tc>
        <w:tc>
          <w:tcPr>
            <w:tcW w:w="1250" w:type="dxa"/>
          </w:tcPr>
          <w:p w14:paraId="2E6E7B54">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1</w:t>
            </w:r>
          </w:p>
        </w:tc>
        <w:tc>
          <w:tcPr>
            <w:tcW w:w="1271" w:type="dxa"/>
          </w:tcPr>
          <w:p w14:paraId="1CAB179C">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GB/T 2997</w:t>
            </w:r>
          </w:p>
        </w:tc>
      </w:tr>
      <w:tr w14:paraId="2F560E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04" w:type="dxa"/>
            <w:vAlign w:val="center"/>
          </w:tcPr>
          <w:p w14:paraId="236784D8">
            <w:pPr>
              <w:ind w:firstLine="0" w:firstLineChars="0"/>
              <w:jc w:val="center"/>
              <w:rPr>
                <w:rFonts w:ascii="Times New Roman" w:hAnsi="Times New Roman" w:cs="Times New Roman"/>
                <w:sz w:val="21"/>
                <w:szCs w:val="21"/>
                <w:highlight w:val="none"/>
              </w:rPr>
            </w:pPr>
            <w:r>
              <w:rPr>
                <w:rFonts w:hint="eastAsia" w:ascii="Times New Roman" w:hAnsi="Times New Roman" w:cs="Times New Roman"/>
                <w:sz w:val="21"/>
                <w:szCs w:val="21"/>
                <w:highlight w:val="none"/>
              </w:rPr>
              <w:t>3</w:t>
            </w:r>
          </w:p>
        </w:tc>
        <w:tc>
          <w:tcPr>
            <w:tcW w:w="3302" w:type="dxa"/>
            <w:gridSpan w:val="2"/>
            <w:vAlign w:val="center"/>
          </w:tcPr>
          <w:p w14:paraId="6BF5E2A7">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常温耐压强度</w:t>
            </w:r>
          </w:p>
        </w:tc>
        <w:tc>
          <w:tcPr>
            <w:tcW w:w="847" w:type="dxa"/>
            <w:vAlign w:val="center"/>
          </w:tcPr>
          <w:p w14:paraId="28BC8FC0">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MPa</w:t>
            </w:r>
          </w:p>
        </w:tc>
        <w:tc>
          <w:tcPr>
            <w:tcW w:w="1262" w:type="dxa"/>
            <w:vAlign w:val="center"/>
          </w:tcPr>
          <w:p w14:paraId="470DBD85">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63（s）</w:t>
            </w:r>
          </w:p>
        </w:tc>
        <w:tc>
          <w:tcPr>
            <w:tcW w:w="1250" w:type="dxa"/>
          </w:tcPr>
          <w:p w14:paraId="3CA9B90D">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10</w:t>
            </w:r>
          </w:p>
        </w:tc>
        <w:tc>
          <w:tcPr>
            <w:tcW w:w="1271" w:type="dxa"/>
          </w:tcPr>
          <w:p w14:paraId="4964E2B0">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GB/T 5072</w:t>
            </w:r>
          </w:p>
        </w:tc>
      </w:tr>
      <w:tr w14:paraId="6452D4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04" w:type="dxa"/>
            <w:vAlign w:val="center"/>
          </w:tcPr>
          <w:p w14:paraId="4E23C566">
            <w:pPr>
              <w:ind w:firstLine="0" w:firstLineChars="0"/>
              <w:jc w:val="center"/>
              <w:rPr>
                <w:rFonts w:ascii="Times New Roman" w:hAnsi="Times New Roman" w:cs="Times New Roman"/>
                <w:sz w:val="21"/>
                <w:szCs w:val="21"/>
                <w:highlight w:val="none"/>
              </w:rPr>
            </w:pPr>
            <w:r>
              <w:rPr>
                <w:rFonts w:hint="eastAsia" w:ascii="Times New Roman" w:hAnsi="Times New Roman" w:cs="Times New Roman"/>
                <w:sz w:val="21"/>
                <w:szCs w:val="21"/>
                <w:highlight w:val="none"/>
              </w:rPr>
              <w:t>4</w:t>
            </w:r>
          </w:p>
        </w:tc>
        <w:tc>
          <w:tcPr>
            <w:tcW w:w="3302" w:type="dxa"/>
            <w:gridSpan w:val="2"/>
            <w:vAlign w:val="center"/>
          </w:tcPr>
          <w:p w14:paraId="2066C400">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荷重软化开始温度（0.2MPa,0.6%）</w:t>
            </w:r>
          </w:p>
        </w:tc>
        <w:tc>
          <w:tcPr>
            <w:tcW w:w="847" w:type="dxa"/>
            <w:vAlign w:val="center"/>
          </w:tcPr>
          <w:p w14:paraId="00F51764">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w:t>
            </w:r>
          </w:p>
        </w:tc>
        <w:tc>
          <w:tcPr>
            <w:tcW w:w="1262" w:type="dxa"/>
            <w:vAlign w:val="center"/>
          </w:tcPr>
          <w:p w14:paraId="68A86E2A">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1670（s）</w:t>
            </w:r>
          </w:p>
        </w:tc>
        <w:tc>
          <w:tcPr>
            <w:tcW w:w="1250" w:type="dxa"/>
          </w:tcPr>
          <w:p w14:paraId="01316E0D">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30</w:t>
            </w:r>
          </w:p>
        </w:tc>
        <w:tc>
          <w:tcPr>
            <w:tcW w:w="1271" w:type="dxa"/>
          </w:tcPr>
          <w:p w14:paraId="6B8EC8A1">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YB/T 370</w:t>
            </w:r>
          </w:p>
        </w:tc>
      </w:tr>
      <w:tr w14:paraId="37AB83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9" w:hRule="atLeast"/>
        </w:trPr>
        <w:tc>
          <w:tcPr>
            <w:tcW w:w="904" w:type="dxa"/>
            <w:vMerge w:val="restart"/>
            <w:vAlign w:val="center"/>
          </w:tcPr>
          <w:p w14:paraId="3326D74A">
            <w:pPr>
              <w:ind w:firstLine="0" w:firstLineChars="0"/>
              <w:jc w:val="center"/>
              <w:rPr>
                <w:rFonts w:ascii="Times New Roman" w:hAnsi="Times New Roman" w:cs="Times New Roman"/>
                <w:sz w:val="21"/>
                <w:szCs w:val="21"/>
                <w:highlight w:val="none"/>
              </w:rPr>
            </w:pPr>
            <w:r>
              <w:rPr>
                <w:rFonts w:hint="eastAsia" w:ascii="Times New Roman" w:hAnsi="Times New Roman" w:cs="Times New Roman"/>
                <w:sz w:val="21"/>
                <w:szCs w:val="21"/>
                <w:highlight w:val="none"/>
              </w:rPr>
              <w:t>5</w:t>
            </w:r>
          </w:p>
        </w:tc>
        <w:tc>
          <w:tcPr>
            <w:tcW w:w="1690" w:type="dxa"/>
            <w:vMerge w:val="restart"/>
            <w:vAlign w:val="center"/>
          </w:tcPr>
          <w:p w14:paraId="55B16935">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化学成分</w:t>
            </w:r>
          </w:p>
        </w:tc>
        <w:tc>
          <w:tcPr>
            <w:tcW w:w="1612" w:type="dxa"/>
            <w:vAlign w:val="center"/>
          </w:tcPr>
          <w:p w14:paraId="57E4A0F1">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Al</w:t>
            </w:r>
            <w:r>
              <w:rPr>
                <w:rFonts w:hint="eastAsia" w:ascii="Times New Roman" w:hAnsi="Times New Roman" w:cs="Times New Roman"/>
                <w:sz w:val="21"/>
                <w:szCs w:val="21"/>
                <w:highlight w:val="none"/>
                <w:vertAlign w:val="subscript"/>
              </w:rPr>
              <w:t>2</w:t>
            </w:r>
            <w:r>
              <w:rPr>
                <w:rFonts w:hint="eastAsia" w:ascii="Times New Roman" w:hAnsi="Times New Roman" w:cs="Times New Roman"/>
                <w:sz w:val="21"/>
                <w:szCs w:val="21"/>
                <w:highlight w:val="none"/>
              </w:rPr>
              <w:t>O</w:t>
            </w:r>
            <w:r>
              <w:rPr>
                <w:rFonts w:hint="eastAsia" w:ascii="Times New Roman" w:hAnsi="Times New Roman" w:cs="Times New Roman"/>
                <w:sz w:val="21"/>
                <w:szCs w:val="21"/>
                <w:highlight w:val="none"/>
                <w:vertAlign w:val="subscript"/>
              </w:rPr>
              <w:t>3</w:t>
            </w:r>
          </w:p>
        </w:tc>
        <w:tc>
          <w:tcPr>
            <w:tcW w:w="847" w:type="dxa"/>
            <w:vAlign w:val="center"/>
          </w:tcPr>
          <w:p w14:paraId="50CF6BA3">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w:t>
            </w:r>
          </w:p>
        </w:tc>
        <w:tc>
          <w:tcPr>
            <w:tcW w:w="1262" w:type="dxa"/>
            <w:vAlign w:val="center"/>
          </w:tcPr>
          <w:p w14:paraId="399F29C0">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87（s）</w:t>
            </w:r>
          </w:p>
        </w:tc>
        <w:tc>
          <w:tcPr>
            <w:tcW w:w="1250" w:type="dxa"/>
          </w:tcPr>
          <w:p w14:paraId="78841727">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1.5</w:t>
            </w:r>
          </w:p>
        </w:tc>
        <w:tc>
          <w:tcPr>
            <w:tcW w:w="1271" w:type="dxa"/>
          </w:tcPr>
          <w:p w14:paraId="0F54E9FD">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GB/T 6900</w:t>
            </w:r>
          </w:p>
        </w:tc>
      </w:tr>
      <w:tr w14:paraId="170846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9" w:hRule="atLeast"/>
        </w:trPr>
        <w:tc>
          <w:tcPr>
            <w:tcW w:w="904" w:type="dxa"/>
            <w:vMerge w:val="continue"/>
            <w:vAlign w:val="center"/>
          </w:tcPr>
          <w:p w14:paraId="03BD70FA">
            <w:pPr>
              <w:ind w:firstLine="0" w:firstLineChars="0"/>
              <w:rPr>
                <w:rFonts w:ascii="Times New Roman" w:hAnsi="Times New Roman" w:cs="Times New Roman"/>
                <w:sz w:val="21"/>
                <w:szCs w:val="21"/>
                <w:highlight w:val="none"/>
              </w:rPr>
            </w:pPr>
          </w:p>
        </w:tc>
        <w:tc>
          <w:tcPr>
            <w:tcW w:w="1690" w:type="dxa"/>
            <w:vMerge w:val="continue"/>
            <w:vAlign w:val="center"/>
          </w:tcPr>
          <w:p w14:paraId="7AD4EE6F">
            <w:pPr>
              <w:ind w:firstLine="0" w:firstLineChars="0"/>
              <w:rPr>
                <w:rFonts w:ascii="Times New Roman" w:hAnsi="Times New Roman" w:cs="Times New Roman"/>
                <w:sz w:val="21"/>
                <w:szCs w:val="21"/>
                <w:highlight w:val="none"/>
              </w:rPr>
            </w:pPr>
          </w:p>
        </w:tc>
        <w:tc>
          <w:tcPr>
            <w:tcW w:w="1612" w:type="dxa"/>
            <w:vAlign w:val="center"/>
          </w:tcPr>
          <w:p w14:paraId="179DB8C0">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Fe</w:t>
            </w:r>
            <w:r>
              <w:rPr>
                <w:rFonts w:hint="eastAsia" w:ascii="Times New Roman" w:hAnsi="Times New Roman" w:cs="Times New Roman"/>
                <w:sz w:val="21"/>
                <w:szCs w:val="21"/>
                <w:highlight w:val="none"/>
                <w:vertAlign w:val="subscript"/>
              </w:rPr>
              <w:t>2</w:t>
            </w:r>
            <w:r>
              <w:rPr>
                <w:rFonts w:hint="eastAsia" w:ascii="Times New Roman" w:hAnsi="Times New Roman" w:cs="Times New Roman"/>
                <w:sz w:val="21"/>
                <w:szCs w:val="21"/>
                <w:highlight w:val="none"/>
              </w:rPr>
              <w:t>O</w:t>
            </w:r>
            <w:r>
              <w:rPr>
                <w:rFonts w:hint="eastAsia" w:ascii="Times New Roman" w:hAnsi="Times New Roman" w:cs="Times New Roman"/>
                <w:sz w:val="21"/>
                <w:szCs w:val="21"/>
                <w:highlight w:val="none"/>
                <w:vertAlign w:val="subscript"/>
              </w:rPr>
              <w:t>3</w:t>
            </w:r>
          </w:p>
        </w:tc>
        <w:tc>
          <w:tcPr>
            <w:tcW w:w="847" w:type="dxa"/>
            <w:vAlign w:val="center"/>
          </w:tcPr>
          <w:p w14:paraId="6110EA63">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w:t>
            </w:r>
          </w:p>
        </w:tc>
        <w:tc>
          <w:tcPr>
            <w:tcW w:w="1262" w:type="dxa"/>
            <w:vAlign w:val="center"/>
          </w:tcPr>
          <w:p w14:paraId="732B5167">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0.36（i）</w:t>
            </w:r>
          </w:p>
        </w:tc>
        <w:tc>
          <w:tcPr>
            <w:tcW w:w="1250" w:type="dxa"/>
          </w:tcPr>
          <w:p w14:paraId="10EE227C">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0.2</w:t>
            </w:r>
          </w:p>
        </w:tc>
        <w:tc>
          <w:tcPr>
            <w:tcW w:w="1271" w:type="dxa"/>
          </w:tcPr>
          <w:p w14:paraId="688C406A">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GB/T 6900</w:t>
            </w:r>
          </w:p>
        </w:tc>
      </w:tr>
      <w:tr w14:paraId="2E730B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9" w:hRule="atLeast"/>
        </w:trPr>
        <w:tc>
          <w:tcPr>
            <w:tcW w:w="904" w:type="dxa"/>
            <w:vMerge w:val="continue"/>
            <w:vAlign w:val="center"/>
          </w:tcPr>
          <w:p w14:paraId="50532658">
            <w:pPr>
              <w:ind w:firstLine="0" w:firstLineChars="0"/>
              <w:rPr>
                <w:rFonts w:ascii="Times New Roman" w:hAnsi="Times New Roman" w:cs="Times New Roman"/>
                <w:sz w:val="21"/>
                <w:szCs w:val="21"/>
                <w:highlight w:val="none"/>
              </w:rPr>
            </w:pPr>
          </w:p>
        </w:tc>
        <w:tc>
          <w:tcPr>
            <w:tcW w:w="1690" w:type="dxa"/>
            <w:vMerge w:val="continue"/>
            <w:vAlign w:val="center"/>
          </w:tcPr>
          <w:p w14:paraId="4370AE70">
            <w:pPr>
              <w:ind w:firstLine="0" w:firstLineChars="0"/>
              <w:rPr>
                <w:rFonts w:ascii="Times New Roman" w:hAnsi="Times New Roman" w:cs="Times New Roman"/>
                <w:sz w:val="21"/>
                <w:szCs w:val="21"/>
                <w:highlight w:val="none"/>
              </w:rPr>
            </w:pPr>
          </w:p>
        </w:tc>
        <w:tc>
          <w:tcPr>
            <w:tcW w:w="1612" w:type="dxa"/>
            <w:vAlign w:val="center"/>
          </w:tcPr>
          <w:p w14:paraId="0647D668">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SiO</w:t>
            </w:r>
            <w:r>
              <w:rPr>
                <w:rFonts w:hint="eastAsia" w:ascii="Times New Roman" w:hAnsi="Times New Roman" w:cs="Times New Roman"/>
                <w:sz w:val="21"/>
                <w:szCs w:val="21"/>
                <w:highlight w:val="none"/>
                <w:vertAlign w:val="subscript"/>
              </w:rPr>
              <w:t>2</w:t>
            </w:r>
          </w:p>
        </w:tc>
        <w:tc>
          <w:tcPr>
            <w:tcW w:w="847" w:type="dxa"/>
            <w:vAlign w:val="center"/>
          </w:tcPr>
          <w:p w14:paraId="0EBA8C1A">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w:t>
            </w:r>
          </w:p>
        </w:tc>
        <w:tc>
          <w:tcPr>
            <w:tcW w:w="1262" w:type="dxa"/>
            <w:vAlign w:val="center"/>
          </w:tcPr>
          <w:p w14:paraId="0089CAA8">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7.2（i）</w:t>
            </w:r>
          </w:p>
        </w:tc>
        <w:tc>
          <w:tcPr>
            <w:tcW w:w="1250" w:type="dxa"/>
          </w:tcPr>
          <w:p w14:paraId="264793BC">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0.5</w:t>
            </w:r>
          </w:p>
        </w:tc>
        <w:tc>
          <w:tcPr>
            <w:tcW w:w="1271" w:type="dxa"/>
          </w:tcPr>
          <w:p w14:paraId="586046BB">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GB/T 6900</w:t>
            </w:r>
          </w:p>
        </w:tc>
      </w:tr>
      <w:tr w14:paraId="10E531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9" w:hRule="atLeast"/>
        </w:trPr>
        <w:tc>
          <w:tcPr>
            <w:tcW w:w="4206" w:type="dxa"/>
            <w:gridSpan w:val="3"/>
            <w:vAlign w:val="center"/>
          </w:tcPr>
          <w:p w14:paraId="2791D1CD">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使用部位</w:t>
            </w:r>
          </w:p>
        </w:tc>
        <w:tc>
          <w:tcPr>
            <w:tcW w:w="4630" w:type="dxa"/>
            <w:gridSpan w:val="4"/>
            <w:vAlign w:val="center"/>
          </w:tcPr>
          <w:p w14:paraId="6A5CD91B">
            <w:pPr>
              <w:ind w:firstLine="0" w:firstLineChars="0"/>
              <w:rPr>
                <w:rFonts w:hint="default" w:ascii="Times New Roman" w:hAnsi="Times New Roman" w:eastAsia="宋体" w:cs="Times New Roman"/>
                <w:sz w:val="21"/>
                <w:szCs w:val="21"/>
                <w:highlight w:val="none"/>
                <w:lang w:val="en-US" w:eastAsia="zh-CN"/>
              </w:rPr>
            </w:pPr>
            <w:r>
              <w:rPr>
                <w:rFonts w:hint="eastAsia"/>
                <w:highlight w:val="none"/>
              </w:rPr>
              <w:t>风口组合砖</w:t>
            </w:r>
            <w:r>
              <w:rPr>
                <w:rFonts w:hint="eastAsia"/>
                <w:highlight w:val="none"/>
                <w:lang w:eastAsia="zh-CN"/>
              </w:rPr>
              <w:t>、</w:t>
            </w:r>
            <w:r>
              <w:rPr>
                <w:rFonts w:hint="eastAsia"/>
                <w:highlight w:val="none"/>
                <w:lang w:val="en-US" w:eastAsia="zh-CN"/>
              </w:rPr>
              <w:t>陶瓷杯壁砖</w:t>
            </w:r>
          </w:p>
        </w:tc>
      </w:tr>
    </w:tbl>
    <w:p w14:paraId="2FCEA8B9">
      <w:pPr>
        <w:widowControl/>
        <w:ind w:right="-447"/>
        <w:rPr>
          <w:highlight w:val="none"/>
        </w:rPr>
      </w:pPr>
      <w:r>
        <w:rPr>
          <w:highlight w:val="none"/>
        </w:rPr>
        <w:t xml:space="preserve">（s）为低值不利 </w:t>
      </w:r>
      <w:r>
        <w:rPr>
          <w:rFonts w:hint="eastAsia"/>
          <w:highlight w:val="none"/>
        </w:rPr>
        <w:t xml:space="preserve"> </w:t>
      </w:r>
    </w:p>
    <w:p w14:paraId="02D516B3">
      <w:pPr>
        <w:widowControl/>
        <w:ind w:right="-447"/>
        <w:rPr>
          <w:b/>
          <w:highlight w:val="none"/>
        </w:rPr>
      </w:pPr>
      <w:r>
        <w:rPr>
          <w:highlight w:val="none"/>
        </w:rPr>
        <w:t>（i）为高值不利</w:t>
      </w:r>
      <w:r>
        <w:rPr>
          <w:rFonts w:hint="eastAsia"/>
          <w:highlight w:val="none"/>
        </w:rPr>
        <w:t xml:space="preserve"> </w:t>
      </w:r>
      <w:r>
        <w:rPr>
          <w:highlight w:val="none"/>
        </w:rPr>
        <w:t xml:space="preserve">              </w:t>
      </w:r>
      <w:r>
        <w:rPr>
          <w:rFonts w:hint="eastAsia" w:cs="宋体"/>
          <w:highlight w:val="none"/>
        </w:rPr>
        <w:t>根据</w:t>
      </w:r>
      <w:r>
        <w:rPr>
          <w:rFonts w:hint="eastAsia" w:cs="宋体"/>
          <w:highlight w:val="none"/>
          <w:lang w:val="it-IT"/>
        </w:rPr>
        <w:t>ISO 5022 § 5.3</w:t>
      </w:r>
    </w:p>
    <w:p w14:paraId="6A12E986">
      <w:pPr>
        <w:numPr>
          <w:ilvl w:val="0"/>
          <w:numId w:val="16"/>
        </w:numPr>
        <w:ind w:left="480" w:leftChars="0" w:firstLine="0" w:firstLineChars="0"/>
        <w:rPr>
          <w:highlight w:val="none"/>
        </w:rPr>
      </w:pPr>
      <w:r>
        <w:rPr>
          <w:rFonts w:hint="eastAsia"/>
          <w:highlight w:val="none"/>
        </w:rPr>
        <w:t>大块砖用刚玉泥浆</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707"/>
        <w:gridCol w:w="1275"/>
        <w:gridCol w:w="1420"/>
        <w:gridCol w:w="1846"/>
        <w:gridCol w:w="1573"/>
      </w:tblGrid>
      <w:tr w14:paraId="09199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2405" w:type="dxa"/>
            <w:gridSpan w:val="2"/>
            <w:tcBorders>
              <w:top w:val="single" w:color="auto" w:sz="12" w:space="0"/>
              <w:left w:val="single" w:color="auto" w:sz="12" w:space="0"/>
            </w:tcBorders>
            <w:vAlign w:val="center"/>
          </w:tcPr>
          <w:p w14:paraId="112DF0CF">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耐火材料品种</w:t>
            </w:r>
          </w:p>
        </w:tc>
        <w:tc>
          <w:tcPr>
            <w:tcW w:w="6114" w:type="dxa"/>
            <w:gridSpan w:val="4"/>
            <w:tcBorders>
              <w:top w:val="single" w:color="auto" w:sz="12" w:space="0"/>
              <w:right w:val="single" w:color="auto" w:sz="12" w:space="0"/>
            </w:tcBorders>
          </w:tcPr>
          <w:p w14:paraId="727032C9">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刚玉泥浆RL85M</w:t>
            </w:r>
          </w:p>
        </w:tc>
      </w:tr>
      <w:tr w14:paraId="2CA8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left w:val="single" w:color="auto" w:sz="12" w:space="0"/>
            </w:tcBorders>
            <w:vAlign w:val="center"/>
          </w:tcPr>
          <w:p w14:paraId="56EA49C9">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序号</w:t>
            </w:r>
          </w:p>
        </w:tc>
        <w:tc>
          <w:tcPr>
            <w:tcW w:w="1707" w:type="dxa"/>
            <w:vAlign w:val="center"/>
          </w:tcPr>
          <w:p w14:paraId="2B05FB80">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项    目</w:t>
            </w:r>
          </w:p>
        </w:tc>
        <w:tc>
          <w:tcPr>
            <w:tcW w:w="1275" w:type="dxa"/>
            <w:vAlign w:val="center"/>
          </w:tcPr>
          <w:p w14:paraId="7097CCF8">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单  位</w:t>
            </w:r>
          </w:p>
        </w:tc>
        <w:tc>
          <w:tcPr>
            <w:tcW w:w="1420" w:type="dxa"/>
            <w:vAlign w:val="center"/>
          </w:tcPr>
          <w:p w14:paraId="42736993">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保证均值</w:t>
            </w:r>
          </w:p>
        </w:tc>
        <w:tc>
          <w:tcPr>
            <w:tcW w:w="1846" w:type="dxa"/>
          </w:tcPr>
          <w:p w14:paraId="0782D50C">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标准偏差</w:t>
            </w:r>
          </w:p>
        </w:tc>
        <w:tc>
          <w:tcPr>
            <w:tcW w:w="1573" w:type="dxa"/>
            <w:tcBorders>
              <w:right w:val="single" w:color="auto" w:sz="12" w:space="0"/>
            </w:tcBorders>
            <w:vAlign w:val="center"/>
          </w:tcPr>
          <w:p w14:paraId="4DB59EF4">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检验标准</w:t>
            </w:r>
          </w:p>
        </w:tc>
      </w:tr>
      <w:tr w14:paraId="763F8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left w:val="single" w:color="auto" w:sz="12" w:space="0"/>
            </w:tcBorders>
            <w:vAlign w:val="center"/>
          </w:tcPr>
          <w:p w14:paraId="0CD17185">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1</w:t>
            </w:r>
          </w:p>
        </w:tc>
        <w:tc>
          <w:tcPr>
            <w:tcW w:w="1707" w:type="dxa"/>
            <w:vAlign w:val="center"/>
          </w:tcPr>
          <w:p w14:paraId="355FCDBE">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Al</w:t>
            </w:r>
            <w:r>
              <w:rPr>
                <w:rFonts w:hint="eastAsia" w:ascii="Times New Roman" w:hAnsi="Times New Roman" w:cs="Times New Roman"/>
                <w:sz w:val="21"/>
                <w:szCs w:val="21"/>
                <w:highlight w:val="none"/>
                <w:vertAlign w:val="subscript"/>
              </w:rPr>
              <w:t>2</w:t>
            </w:r>
            <w:r>
              <w:rPr>
                <w:rFonts w:hint="eastAsia" w:ascii="Times New Roman" w:hAnsi="Times New Roman" w:cs="Times New Roman"/>
                <w:sz w:val="21"/>
                <w:szCs w:val="21"/>
                <w:highlight w:val="none"/>
              </w:rPr>
              <w:t>O</w:t>
            </w:r>
            <w:r>
              <w:rPr>
                <w:rFonts w:hint="eastAsia" w:ascii="Times New Roman" w:hAnsi="Times New Roman" w:cs="Times New Roman"/>
                <w:sz w:val="21"/>
                <w:szCs w:val="21"/>
                <w:highlight w:val="none"/>
                <w:vertAlign w:val="subscript"/>
              </w:rPr>
              <w:t>3</w:t>
            </w:r>
          </w:p>
        </w:tc>
        <w:tc>
          <w:tcPr>
            <w:tcW w:w="1275" w:type="dxa"/>
            <w:vAlign w:val="center"/>
          </w:tcPr>
          <w:p w14:paraId="2156D725">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w:t>
            </w:r>
          </w:p>
        </w:tc>
        <w:tc>
          <w:tcPr>
            <w:tcW w:w="1420" w:type="dxa"/>
            <w:vAlign w:val="center"/>
          </w:tcPr>
          <w:p w14:paraId="1F0B7BA9">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86.5（s）</w:t>
            </w:r>
          </w:p>
        </w:tc>
        <w:tc>
          <w:tcPr>
            <w:tcW w:w="1846" w:type="dxa"/>
          </w:tcPr>
          <w:p w14:paraId="2BF1AD73">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1.5</w:t>
            </w:r>
          </w:p>
        </w:tc>
        <w:tc>
          <w:tcPr>
            <w:tcW w:w="1573" w:type="dxa"/>
            <w:tcBorders>
              <w:right w:val="single" w:color="auto" w:sz="12" w:space="0"/>
            </w:tcBorders>
            <w:vAlign w:val="center"/>
          </w:tcPr>
          <w:p w14:paraId="51F3E1C7">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GB/T6900</w:t>
            </w:r>
          </w:p>
        </w:tc>
      </w:tr>
      <w:tr w14:paraId="73A6E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left w:val="single" w:color="auto" w:sz="12" w:space="0"/>
            </w:tcBorders>
            <w:vAlign w:val="center"/>
          </w:tcPr>
          <w:p w14:paraId="2638E1EB">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2</w:t>
            </w:r>
          </w:p>
        </w:tc>
        <w:tc>
          <w:tcPr>
            <w:tcW w:w="1707" w:type="dxa"/>
            <w:vAlign w:val="center"/>
          </w:tcPr>
          <w:p w14:paraId="7B9EAB6D">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Fe</w:t>
            </w:r>
            <w:r>
              <w:rPr>
                <w:rFonts w:hint="eastAsia" w:ascii="Times New Roman" w:hAnsi="Times New Roman" w:cs="Times New Roman"/>
                <w:sz w:val="21"/>
                <w:szCs w:val="21"/>
                <w:highlight w:val="none"/>
                <w:vertAlign w:val="subscript"/>
              </w:rPr>
              <w:t>2</w:t>
            </w:r>
            <w:r>
              <w:rPr>
                <w:rFonts w:hint="eastAsia" w:ascii="Times New Roman" w:hAnsi="Times New Roman" w:cs="Times New Roman"/>
                <w:sz w:val="21"/>
                <w:szCs w:val="21"/>
                <w:highlight w:val="none"/>
              </w:rPr>
              <w:t>O</w:t>
            </w:r>
            <w:r>
              <w:rPr>
                <w:rFonts w:hint="eastAsia" w:ascii="Times New Roman" w:hAnsi="Times New Roman" w:cs="Times New Roman"/>
                <w:sz w:val="21"/>
                <w:szCs w:val="21"/>
                <w:highlight w:val="none"/>
                <w:vertAlign w:val="subscript"/>
              </w:rPr>
              <w:t>3</w:t>
            </w:r>
          </w:p>
        </w:tc>
        <w:tc>
          <w:tcPr>
            <w:tcW w:w="1275" w:type="dxa"/>
            <w:vAlign w:val="center"/>
          </w:tcPr>
          <w:p w14:paraId="7E37748E">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w:t>
            </w:r>
          </w:p>
        </w:tc>
        <w:tc>
          <w:tcPr>
            <w:tcW w:w="1420" w:type="dxa"/>
            <w:vAlign w:val="center"/>
          </w:tcPr>
          <w:p w14:paraId="487762F5">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0.7（i）</w:t>
            </w:r>
          </w:p>
        </w:tc>
        <w:tc>
          <w:tcPr>
            <w:tcW w:w="1846" w:type="dxa"/>
          </w:tcPr>
          <w:p w14:paraId="2247DC39">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0.2</w:t>
            </w:r>
          </w:p>
        </w:tc>
        <w:tc>
          <w:tcPr>
            <w:tcW w:w="1573" w:type="dxa"/>
            <w:tcBorders>
              <w:right w:val="single" w:color="auto" w:sz="12" w:space="0"/>
            </w:tcBorders>
            <w:vAlign w:val="center"/>
          </w:tcPr>
          <w:p w14:paraId="17CCED29">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GB/T6900</w:t>
            </w:r>
          </w:p>
        </w:tc>
      </w:tr>
      <w:tr w14:paraId="7AB40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left w:val="single" w:color="auto" w:sz="12" w:space="0"/>
            </w:tcBorders>
            <w:vAlign w:val="center"/>
          </w:tcPr>
          <w:p w14:paraId="090AE514">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3</w:t>
            </w:r>
          </w:p>
        </w:tc>
        <w:tc>
          <w:tcPr>
            <w:tcW w:w="1707" w:type="dxa"/>
            <w:vAlign w:val="center"/>
          </w:tcPr>
          <w:p w14:paraId="20D1BF0A">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颗粒尺寸</w:t>
            </w:r>
          </w:p>
        </w:tc>
        <w:tc>
          <w:tcPr>
            <w:tcW w:w="1275" w:type="dxa"/>
            <w:vAlign w:val="center"/>
          </w:tcPr>
          <w:p w14:paraId="27114D04">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w:t>
            </w:r>
          </w:p>
        </w:tc>
        <w:tc>
          <w:tcPr>
            <w:tcW w:w="1420" w:type="dxa"/>
            <w:vAlign w:val="center"/>
          </w:tcPr>
          <w:p w14:paraId="404A31B5">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5（i）</w:t>
            </w:r>
          </w:p>
        </w:tc>
        <w:tc>
          <w:tcPr>
            <w:tcW w:w="1846" w:type="dxa"/>
          </w:tcPr>
          <w:p w14:paraId="7ADF53A8">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1</w:t>
            </w:r>
          </w:p>
        </w:tc>
        <w:tc>
          <w:tcPr>
            <w:tcW w:w="1573" w:type="dxa"/>
            <w:tcBorders>
              <w:right w:val="single" w:color="auto" w:sz="12" w:space="0"/>
            </w:tcBorders>
            <w:vAlign w:val="center"/>
          </w:tcPr>
          <w:p w14:paraId="72575138">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GB/T 22459.5</w:t>
            </w:r>
          </w:p>
        </w:tc>
      </w:tr>
      <w:tr w14:paraId="12913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0" w:type="dxa"/>
            <w:gridSpan w:val="4"/>
            <w:tcBorders>
              <w:left w:val="single" w:color="auto" w:sz="12" w:space="0"/>
              <w:bottom w:val="single" w:color="auto" w:sz="12" w:space="0"/>
            </w:tcBorders>
            <w:vAlign w:val="center"/>
          </w:tcPr>
          <w:p w14:paraId="6D3D0B85">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使用部位</w:t>
            </w:r>
          </w:p>
        </w:tc>
        <w:tc>
          <w:tcPr>
            <w:tcW w:w="3419" w:type="dxa"/>
            <w:gridSpan w:val="2"/>
            <w:tcBorders>
              <w:bottom w:val="single" w:color="auto" w:sz="12" w:space="0"/>
              <w:right w:val="single" w:color="auto" w:sz="12" w:space="0"/>
            </w:tcBorders>
            <w:vAlign w:val="center"/>
          </w:tcPr>
          <w:p w14:paraId="264A1B46">
            <w:pPr>
              <w:ind w:firstLine="0" w:firstLineChars="0"/>
              <w:rPr>
                <w:rFonts w:ascii="Times New Roman" w:hAnsi="Times New Roman" w:cs="Times New Roman"/>
                <w:sz w:val="21"/>
                <w:szCs w:val="21"/>
                <w:highlight w:val="none"/>
              </w:rPr>
            </w:pPr>
            <w:r>
              <w:rPr>
                <w:rFonts w:hint="eastAsia"/>
                <w:highlight w:val="none"/>
              </w:rPr>
              <w:t>砌筑刚玉砖</w:t>
            </w:r>
          </w:p>
        </w:tc>
      </w:tr>
    </w:tbl>
    <w:p w14:paraId="20B5682A">
      <w:pPr>
        <w:spacing w:line="240" w:lineRule="auto"/>
        <w:ind w:firstLine="324" w:firstLineChars="135"/>
        <w:rPr>
          <w:highlight w:val="none"/>
        </w:rPr>
      </w:pPr>
      <w:r>
        <w:rPr>
          <w:highlight w:val="none"/>
        </w:rPr>
        <w:t xml:space="preserve">（s）为低值不利 </w:t>
      </w:r>
      <w:r>
        <w:rPr>
          <w:rFonts w:hint="eastAsia"/>
          <w:highlight w:val="none"/>
        </w:rPr>
        <w:t xml:space="preserve"> </w:t>
      </w:r>
    </w:p>
    <w:p w14:paraId="562F4141">
      <w:pPr>
        <w:spacing w:line="240" w:lineRule="auto"/>
        <w:ind w:firstLine="324" w:firstLineChars="135"/>
        <w:rPr>
          <w:highlight w:val="none"/>
        </w:rPr>
      </w:pPr>
      <w:r>
        <w:rPr>
          <w:highlight w:val="none"/>
        </w:rPr>
        <w:t>（i）为高值不利</w:t>
      </w:r>
      <w:r>
        <w:rPr>
          <w:rFonts w:hint="eastAsia"/>
          <w:highlight w:val="none"/>
        </w:rPr>
        <w:t xml:space="preserve"> </w:t>
      </w:r>
      <w:r>
        <w:rPr>
          <w:highlight w:val="none"/>
        </w:rPr>
        <w:t xml:space="preserve">              </w:t>
      </w:r>
      <w:r>
        <w:rPr>
          <w:rFonts w:hint="eastAsia" w:cs="宋体"/>
          <w:highlight w:val="none"/>
        </w:rPr>
        <w:t>根据</w:t>
      </w:r>
      <w:r>
        <w:rPr>
          <w:rFonts w:hint="eastAsia" w:cs="宋体"/>
          <w:highlight w:val="none"/>
          <w:lang w:val="it-IT"/>
        </w:rPr>
        <w:t>ISO 5022 § 5.3</w:t>
      </w:r>
    </w:p>
    <w:p w14:paraId="669B373E">
      <w:pPr>
        <w:numPr>
          <w:ilvl w:val="0"/>
          <w:numId w:val="16"/>
        </w:numPr>
        <w:ind w:left="480" w:leftChars="0" w:firstLine="0" w:firstLineChars="0"/>
        <w:rPr>
          <w:highlight w:val="none"/>
        </w:rPr>
      </w:pPr>
      <w:r>
        <w:rPr>
          <w:rFonts w:hint="eastAsia"/>
          <w:highlight w:val="none"/>
        </w:rPr>
        <w:t>大块砖用自流浇注料性能</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758"/>
        <w:gridCol w:w="3206"/>
        <w:gridCol w:w="829"/>
        <w:gridCol w:w="1101"/>
        <w:gridCol w:w="1204"/>
        <w:gridCol w:w="1345"/>
      </w:tblGrid>
      <w:tr w14:paraId="3B473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758" w:type="dxa"/>
            <w:tcBorders>
              <w:top w:val="single" w:color="auto" w:sz="12" w:space="0"/>
              <w:left w:val="single" w:color="auto" w:sz="12" w:space="0"/>
            </w:tcBorders>
            <w:vAlign w:val="center"/>
          </w:tcPr>
          <w:p w14:paraId="1C7093DB">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序号</w:t>
            </w:r>
          </w:p>
        </w:tc>
        <w:tc>
          <w:tcPr>
            <w:tcW w:w="3206" w:type="dxa"/>
            <w:tcBorders>
              <w:top w:val="single" w:color="auto" w:sz="12" w:space="0"/>
            </w:tcBorders>
            <w:vAlign w:val="center"/>
          </w:tcPr>
          <w:p w14:paraId="4C513B36">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项目</w:t>
            </w:r>
          </w:p>
        </w:tc>
        <w:tc>
          <w:tcPr>
            <w:tcW w:w="829" w:type="dxa"/>
            <w:tcBorders>
              <w:top w:val="single" w:color="auto" w:sz="12" w:space="0"/>
            </w:tcBorders>
            <w:vAlign w:val="center"/>
          </w:tcPr>
          <w:p w14:paraId="4B8B48A1">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单位</w:t>
            </w:r>
          </w:p>
        </w:tc>
        <w:tc>
          <w:tcPr>
            <w:tcW w:w="1101" w:type="dxa"/>
            <w:tcBorders>
              <w:top w:val="single" w:color="auto" w:sz="12" w:space="0"/>
            </w:tcBorders>
            <w:vAlign w:val="center"/>
          </w:tcPr>
          <w:p w14:paraId="6EC6F40D">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保证均值</w:t>
            </w:r>
          </w:p>
        </w:tc>
        <w:tc>
          <w:tcPr>
            <w:tcW w:w="1204" w:type="dxa"/>
            <w:tcBorders>
              <w:top w:val="single" w:color="auto" w:sz="12" w:space="0"/>
            </w:tcBorders>
            <w:vAlign w:val="center"/>
          </w:tcPr>
          <w:p w14:paraId="01A091AC">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标准偏差</w:t>
            </w:r>
          </w:p>
        </w:tc>
        <w:tc>
          <w:tcPr>
            <w:tcW w:w="1345" w:type="dxa"/>
            <w:tcBorders>
              <w:top w:val="single" w:color="auto" w:sz="12" w:space="0"/>
              <w:right w:val="single" w:color="auto" w:sz="12" w:space="0"/>
            </w:tcBorders>
            <w:vAlign w:val="center"/>
          </w:tcPr>
          <w:p w14:paraId="581335BD">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试验标准</w:t>
            </w:r>
          </w:p>
        </w:tc>
      </w:tr>
      <w:tr w14:paraId="7C7F4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758" w:type="dxa"/>
            <w:tcBorders>
              <w:left w:val="single" w:color="auto" w:sz="12" w:space="0"/>
            </w:tcBorders>
            <w:vAlign w:val="center"/>
          </w:tcPr>
          <w:p w14:paraId="5B475E3C">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1</w:t>
            </w:r>
          </w:p>
        </w:tc>
        <w:tc>
          <w:tcPr>
            <w:tcW w:w="3206" w:type="dxa"/>
            <w:vAlign w:val="center"/>
          </w:tcPr>
          <w:p w14:paraId="7856097C">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Al</w:t>
            </w:r>
            <w:r>
              <w:rPr>
                <w:rFonts w:hint="eastAsia" w:ascii="Times New Roman" w:hAnsi="Times New Roman" w:cs="Times New Roman"/>
                <w:sz w:val="21"/>
                <w:szCs w:val="21"/>
                <w:highlight w:val="none"/>
                <w:vertAlign w:val="subscript"/>
              </w:rPr>
              <w:t>2</w:t>
            </w:r>
            <w:r>
              <w:rPr>
                <w:rFonts w:hint="eastAsia" w:ascii="Times New Roman" w:hAnsi="Times New Roman" w:cs="Times New Roman"/>
                <w:sz w:val="21"/>
                <w:szCs w:val="21"/>
                <w:highlight w:val="none"/>
              </w:rPr>
              <w:t>O</w:t>
            </w:r>
            <w:r>
              <w:rPr>
                <w:rFonts w:hint="eastAsia" w:ascii="Times New Roman" w:hAnsi="Times New Roman" w:cs="Times New Roman"/>
                <w:sz w:val="21"/>
                <w:szCs w:val="21"/>
                <w:highlight w:val="none"/>
                <w:vertAlign w:val="subscript"/>
              </w:rPr>
              <w:t>3</w:t>
            </w:r>
          </w:p>
        </w:tc>
        <w:tc>
          <w:tcPr>
            <w:tcW w:w="829" w:type="dxa"/>
            <w:vAlign w:val="center"/>
          </w:tcPr>
          <w:p w14:paraId="2CBCF965">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w:t>
            </w:r>
          </w:p>
        </w:tc>
        <w:tc>
          <w:tcPr>
            <w:tcW w:w="1101" w:type="dxa"/>
            <w:vAlign w:val="center"/>
          </w:tcPr>
          <w:p w14:paraId="38FBBA8E">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85 (s)</w:t>
            </w:r>
          </w:p>
        </w:tc>
        <w:tc>
          <w:tcPr>
            <w:tcW w:w="1204" w:type="dxa"/>
            <w:vAlign w:val="center"/>
          </w:tcPr>
          <w:p w14:paraId="11F8F2DF">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1.5</w:t>
            </w:r>
          </w:p>
        </w:tc>
        <w:tc>
          <w:tcPr>
            <w:tcW w:w="1345" w:type="dxa"/>
            <w:tcBorders>
              <w:right w:val="single" w:color="auto" w:sz="12" w:space="0"/>
            </w:tcBorders>
            <w:vAlign w:val="center"/>
          </w:tcPr>
          <w:p w14:paraId="6961C685">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GB/T 6900</w:t>
            </w:r>
          </w:p>
        </w:tc>
      </w:tr>
      <w:tr w14:paraId="2D6DD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758" w:type="dxa"/>
            <w:tcBorders>
              <w:left w:val="single" w:color="auto" w:sz="12" w:space="0"/>
            </w:tcBorders>
            <w:vAlign w:val="center"/>
          </w:tcPr>
          <w:p w14:paraId="5D6A77E2">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2</w:t>
            </w:r>
          </w:p>
        </w:tc>
        <w:tc>
          <w:tcPr>
            <w:tcW w:w="3206" w:type="dxa"/>
            <w:vAlign w:val="center"/>
          </w:tcPr>
          <w:p w14:paraId="7CF509A1">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Fe</w:t>
            </w:r>
            <w:r>
              <w:rPr>
                <w:rFonts w:hint="eastAsia" w:ascii="Times New Roman" w:hAnsi="Times New Roman" w:cs="Times New Roman"/>
                <w:sz w:val="21"/>
                <w:szCs w:val="21"/>
                <w:highlight w:val="none"/>
                <w:vertAlign w:val="subscript"/>
              </w:rPr>
              <w:t>2</w:t>
            </w:r>
            <w:r>
              <w:rPr>
                <w:rFonts w:hint="eastAsia" w:ascii="Times New Roman" w:hAnsi="Times New Roman" w:cs="Times New Roman"/>
                <w:sz w:val="21"/>
                <w:szCs w:val="21"/>
                <w:highlight w:val="none"/>
              </w:rPr>
              <w:t>O</w:t>
            </w:r>
            <w:r>
              <w:rPr>
                <w:rFonts w:hint="eastAsia" w:ascii="Times New Roman" w:hAnsi="Times New Roman" w:cs="Times New Roman"/>
                <w:sz w:val="21"/>
                <w:szCs w:val="21"/>
                <w:highlight w:val="none"/>
                <w:vertAlign w:val="subscript"/>
              </w:rPr>
              <w:t>3</w:t>
            </w:r>
          </w:p>
        </w:tc>
        <w:tc>
          <w:tcPr>
            <w:tcW w:w="829" w:type="dxa"/>
            <w:vAlign w:val="center"/>
          </w:tcPr>
          <w:p w14:paraId="764504D8">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w:t>
            </w:r>
          </w:p>
        </w:tc>
        <w:tc>
          <w:tcPr>
            <w:tcW w:w="1101" w:type="dxa"/>
            <w:vAlign w:val="center"/>
          </w:tcPr>
          <w:p w14:paraId="2ADA6B24">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0.5 (i)</w:t>
            </w:r>
          </w:p>
        </w:tc>
        <w:tc>
          <w:tcPr>
            <w:tcW w:w="1204" w:type="dxa"/>
            <w:vAlign w:val="center"/>
          </w:tcPr>
          <w:p w14:paraId="3C189DF5">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0.1</w:t>
            </w:r>
          </w:p>
        </w:tc>
        <w:tc>
          <w:tcPr>
            <w:tcW w:w="1345" w:type="dxa"/>
            <w:tcBorders>
              <w:right w:val="single" w:color="auto" w:sz="12" w:space="0"/>
            </w:tcBorders>
            <w:vAlign w:val="center"/>
          </w:tcPr>
          <w:p w14:paraId="2DA0B369">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GB/T 6900</w:t>
            </w:r>
          </w:p>
        </w:tc>
      </w:tr>
      <w:tr w14:paraId="4C0FB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758" w:type="dxa"/>
            <w:tcBorders>
              <w:left w:val="single" w:color="auto" w:sz="12" w:space="0"/>
            </w:tcBorders>
            <w:vAlign w:val="center"/>
          </w:tcPr>
          <w:p w14:paraId="7BFA7E6D">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3</w:t>
            </w:r>
          </w:p>
        </w:tc>
        <w:tc>
          <w:tcPr>
            <w:tcW w:w="3206" w:type="dxa"/>
            <w:vAlign w:val="center"/>
          </w:tcPr>
          <w:p w14:paraId="05E307D6">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体积密度（110℃×24h烘干）</w:t>
            </w:r>
          </w:p>
        </w:tc>
        <w:tc>
          <w:tcPr>
            <w:tcW w:w="829" w:type="dxa"/>
            <w:vAlign w:val="center"/>
          </w:tcPr>
          <w:p w14:paraId="746A468A">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g.cm</w:t>
            </w:r>
            <w:r>
              <w:rPr>
                <w:rFonts w:hint="eastAsia" w:ascii="Times New Roman" w:hAnsi="Times New Roman" w:cs="Times New Roman"/>
                <w:sz w:val="21"/>
                <w:szCs w:val="21"/>
                <w:highlight w:val="none"/>
                <w:vertAlign w:val="superscript"/>
              </w:rPr>
              <w:t>-3</w:t>
            </w:r>
          </w:p>
        </w:tc>
        <w:tc>
          <w:tcPr>
            <w:tcW w:w="1101" w:type="dxa"/>
            <w:vAlign w:val="center"/>
          </w:tcPr>
          <w:p w14:paraId="580CBA7E">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2.75 (s)</w:t>
            </w:r>
          </w:p>
        </w:tc>
        <w:tc>
          <w:tcPr>
            <w:tcW w:w="1204" w:type="dxa"/>
            <w:vAlign w:val="center"/>
          </w:tcPr>
          <w:p w14:paraId="0859F65F">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0.05</w:t>
            </w:r>
          </w:p>
        </w:tc>
        <w:tc>
          <w:tcPr>
            <w:tcW w:w="1345" w:type="dxa"/>
            <w:tcBorders>
              <w:right w:val="single" w:color="auto" w:sz="12" w:space="0"/>
            </w:tcBorders>
            <w:vAlign w:val="center"/>
          </w:tcPr>
          <w:p w14:paraId="3A134521">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YB/T 5200</w:t>
            </w:r>
          </w:p>
        </w:tc>
      </w:tr>
      <w:tr w14:paraId="4FAE4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758" w:type="dxa"/>
            <w:tcBorders>
              <w:left w:val="single" w:color="auto" w:sz="12" w:space="0"/>
            </w:tcBorders>
            <w:vAlign w:val="center"/>
          </w:tcPr>
          <w:p w14:paraId="1F0E9988">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4</w:t>
            </w:r>
          </w:p>
        </w:tc>
        <w:tc>
          <w:tcPr>
            <w:tcW w:w="3206" w:type="dxa"/>
            <w:vAlign w:val="center"/>
          </w:tcPr>
          <w:p w14:paraId="33458614">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常温耐压强度（110℃×24h烘干）</w:t>
            </w:r>
          </w:p>
        </w:tc>
        <w:tc>
          <w:tcPr>
            <w:tcW w:w="829" w:type="dxa"/>
            <w:vAlign w:val="center"/>
          </w:tcPr>
          <w:p w14:paraId="372E8DD4">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MPa</w:t>
            </w:r>
          </w:p>
        </w:tc>
        <w:tc>
          <w:tcPr>
            <w:tcW w:w="1101" w:type="dxa"/>
            <w:vAlign w:val="center"/>
          </w:tcPr>
          <w:p w14:paraId="4060CC89">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30 (s)</w:t>
            </w:r>
          </w:p>
        </w:tc>
        <w:tc>
          <w:tcPr>
            <w:tcW w:w="1204" w:type="dxa"/>
            <w:vAlign w:val="center"/>
          </w:tcPr>
          <w:p w14:paraId="2B607E8C">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5</w:t>
            </w:r>
          </w:p>
        </w:tc>
        <w:tc>
          <w:tcPr>
            <w:tcW w:w="1345" w:type="dxa"/>
            <w:tcBorders>
              <w:right w:val="single" w:color="auto" w:sz="12" w:space="0"/>
            </w:tcBorders>
            <w:vAlign w:val="center"/>
          </w:tcPr>
          <w:p w14:paraId="563EED3C">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GB/T 5072</w:t>
            </w:r>
          </w:p>
        </w:tc>
      </w:tr>
      <w:tr w14:paraId="498C2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3964" w:type="dxa"/>
            <w:gridSpan w:val="2"/>
            <w:tcBorders>
              <w:left w:val="single" w:color="auto" w:sz="12" w:space="0"/>
              <w:bottom w:val="single" w:color="auto" w:sz="12" w:space="0"/>
            </w:tcBorders>
            <w:vAlign w:val="center"/>
          </w:tcPr>
          <w:p w14:paraId="429523C3">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使用部位</w:t>
            </w:r>
          </w:p>
        </w:tc>
        <w:tc>
          <w:tcPr>
            <w:tcW w:w="4479" w:type="dxa"/>
            <w:gridSpan w:val="4"/>
            <w:tcBorders>
              <w:bottom w:val="single" w:color="auto" w:sz="12" w:space="0"/>
              <w:right w:val="single" w:color="auto" w:sz="12" w:space="0"/>
            </w:tcBorders>
            <w:vAlign w:val="center"/>
          </w:tcPr>
          <w:p w14:paraId="087E613D">
            <w:pPr>
              <w:ind w:firstLine="0" w:firstLineChars="0"/>
              <w:rPr>
                <w:rFonts w:ascii="Times New Roman" w:hAnsi="Times New Roman" w:cs="Times New Roman"/>
                <w:sz w:val="21"/>
                <w:szCs w:val="21"/>
                <w:highlight w:val="none"/>
              </w:rPr>
            </w:pPr>
            <w:r>
              <w:rPr>
                <w:rFonts w:hint="eastAsia" w:ascii="Times New Roman" w:hAnsi="Times New Roman" w:cs="Times New Roman"/>
                <w:sz w:val="21"/>
                <w:szCs w:val="21"/>
                <w:highlight w:val="none"/>
              </w:rPr>
              <w:t>风口组合砖与风口套上半圆，与冷却壁之间</w:t>
            </w:r>
          </w:p>
        </w:tc>
      </w:tr>
    </w:tbl>
    <w:p w14:paraId="2A59C274">
      <w:pPr>
        <w:spacing w:line="240" w:lineRule="auto"/>
        <w:ind w:firstLine="324" w:firstLineChars="135"/>
        <w:rPr>
          <w:highlight w:val="none"/>
        </w:rPr>
      </w:pPr>
      <w:r>
        <w:rPr>
          <w:highlight w:val="none"/>
        </w:rPr>
        <w:t xml:space="preserve">（s）为低值不利 </w:t>
      </w:r>
      <w:r>
        <w:rPr>
          <w:rFonts w:hint="eastAsia"/>
          <w:highlight w:val="none"/>
        </w:rPr>
        <w:t xml:space="preserve"> </w:t>
      </w:r>
    </w:p>
    <w:p w14:paraId="709D493A">
      <w:pPr>
        <w:spacing w:line="240" w:lineRule="auto"/>
        <w:ind w:firstLine="324" w:firstLineChars="135"/>
        <w:rPr>
          <w:rFonts w:hint="eastAsia" w:cs="宋体"/>
          <w:highlight w:val="none"/>
          <w:lang w:val="it-IT"/>
        </w:rPr>
      </w:pPr>
      <w:r>
        <w:rPr>
          <w:highlight w:val="none"/>
        </w:rPr>
        <w:t>（i）为高值不利</w:t>
      </w:r>
      <w:r>
        <w:rPr>
          <w:rFonts w:hint="eastAsia"/>
          <w:highlight w:val="none"/>
        </w:rPr>
        <w:t xml:space="preserve"> </w:t>
      </w:r>
      <w:r>
        <w:rPr>
          <w:highlight w:val="none"/>
        </w:rPr>
        <w:t xml:space="preserve">              </w:t>
      </w:r>
      <w:r>
        <w:rPr>
          <w:rFonts w:hint="eastAsia" w:cs="宋体"/>
          <w:highlight w:val="none"/>
        </w:rPr>
        <w:t>根据</w:t>
      </w:r>
      <w:r>
        <w:rPr>
          <w:rFonts w:hint="eastAsia" w:cs="宋体"/>
          <w:highlight w:val="none"/>
          <w:lang w:val="it-IT"/>
        </w:rPr>
        <w:t>ISO 5022 § 5.3</w:t>
      </w:r>
    </w:p>
    <w:p w14:paraId="02047B42">
      <w:pPr>
        <w:numPr>
          <w:ilvl w:val="0"/>
          <w:numId w:val="16"/>
        </w:numPr>
        <w:ind w:left="480" w:leftChars="0" w:firstLine="0" w:firstLineChars="0"/>
        <w:rPr>
          <w:rFonts w:hint="eastAsia" w:ascii="宋体" w:hAnsi="宋体" w:eastAsia="宋体"/>
          <w:highlight w:val="none"/>
          <w:lang w:val="it-IT"/>
        </w:rPr>
      </w:pPr>
      <w:r>
        <w:rPr>
          <w:rFonts w:hint="eastAsia" w:ascii="宋体" w:hAnsi="宋体" w:eastAsia="宋体"/>
          <w:highlight w:val="none"/>
        </w:rPr>
        <w:t>大块砖用浇注料性能</w:t>
      </w:r>
    </w:p>
    <w:tbl>
      <w:tblPr>
        <w:tblStyle w:val="60"/>
        <w:tblW w:w="91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3832"/>
        <w:gridCol w:w="851"/>
        <w:gridCol w:w="1151"/>
        <w:gridCol w:w="1175"/>
        <w:gridCol w:w="1470"/>
      </w:tblGrid>
      <w:tr w14:paraId="410C5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4531" w:type="dxa"/>
            <w:gridSpan w:val="2"/>
            <w:tcBorders>
              <w:top w:val="single" w:color="auto" w:sz="12" w:space="0"/>
              <w:left w:val="single" w:color="auto" w:sz="12" w:space="0"/>
            </w:tcBorders>
            <w:vAlign w:val="center"/>
          </w:tcPr>
          <w:p w14:paraId="779DE785">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耐火材料品种</w:t>
            </w:r>
          </w:p>
        </w:tc>
        <w:tc>
          <w:tcPr>
            <w:tcW w:w="4647" w:type="dxa"/>
            <w:gridSpan w:val="4"/>
            <w:tcBorders>
              <w:top w:val="single" w:color="auto" w:sz="12" w:space="0"/>
              <w:right w:val="single" w:color="auto" w:sz="12" w:space="0"/>
            </w:tcBorders>
          </w:tcPr>
          <w:p w14:paraId="527855F6">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刚玉质浇注料</w:t>
            </w:r>
          </w:p>
        </w:tc>
      </w:tr>
      <w:tr w14:paraId="64C7F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left w:val="single" w:color="auto" w:sz="12" w:space="0"/>
            </w:tcBorders>
            <w:vAlign w:val="center"/>
          </w:tcPr>
          <w:p w14:paraId="096A7D02">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序号</w:t>
            </w:r>
          </w:p>
        </w:tc>
        <w:tc>
          <w:tcPr>
            <w:tcW w:w="3832" w:type="dxa"/>
            <w:vAlign w:val="center"/>
          </w:tcPr>
          <w:p w14:paraId="127E9367">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项    目</w:t>
            </w:r>
          </w:p>
        </w:tc>
        <w:tc>
          <w:tcPr>
            <w:tcW w:w="851" w:type="dxa"/>
            <w:vAlign w:val="center"/>
          </w:tcPr>
          <w:p w14:paraId="4185356F">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单  位</w:t>
            </w:r>
          </w:p>
        </w:tc>
        <w:tc>
          <w:tcPr>
            <w:tcW w:w="1151" w:type="dxa"/>
            <w:vAlign w:val="center"/>
          </w:tcPr>
          <w:p w14:paraId="1CEE921F">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保证均值</w:t>
            </w:r>
          </w:p>
        </w:tc>
        <w:tc>
          <w:tcPr>
            <w:tcW w:w="1175" w:type="dxa"/>
          </w:tcPr>
          <w:p w14:paraId="2DAECD04">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标准偏差</w:t>
            </w:r>
          </w:p>
        </w:tc>
        <w:tc>
          <w:tcPr>
            <w:tcW w:w="1470" w:type="dxa"/>
            <w:tcBorders>
              <w:right w:val="single" w:color="auto" w:sz="12" w:space="0"/>
            </w:tcBorders>
            <w:vAlign w:val="center"/>
          </w:tcPr>
          <w:p w14:paraId="183E97E1">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检验标准</w:t>
            </w:r>
          </w:p>
        </w:tc>
      </w:tr>
      <w:tr w14:paraId="7A41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left w:val="single" w:color="auto" w:sz="12" w:space="0"/>
            </w:tcBorders>
            <w:vAlign w:val="center"/>
          </w:tcPr>
          <w:p w14:paraId="2685FBDB">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w:t>
            </w:r>
          </w:p>
        </w:tc>
        <w:tc>
          <w:tcPr>
            <w:tcW w:w="3832" w:type="dxa"/>
            <w:vAlign w:val="center"/>
          </w:tcPr>
          <w:p w14:paraId="2C7BC2E2">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Al</w:t>
            </w:r>
            <w:r>
              <w:rPr>
                <w:rFonts w:hint="eastAsia" w:ascii="Times New Roman" w:hAnsi="Times New Roman" w:eastAsia="宋体" w:cs="Times New Roman"/>
                <w:sz w:val="21"/>
                <w:szCs w:val="21"/>
                <w:highlight w:val="none"/>
                <w:vertAlign w:val="subscript"/>
              </w:rPr>
              <w:t>2</w:t>
            </w:r>
            <w:r>
              <w:rPr>
                <w:rFonts w:hint="eastAsia" w:ascii="Times New Roman" w:hAnsi="Times New Roman" w:eastAsia="宋体" w:cs="Times New Roman"/>
                <w:sz w:val="21"/>
                <w:szCs w:val="21"/>
                <w:highlight w:val="none"/>
              </w:rPr>
              <w:t>O</w:t>
            </w:r>
            <w:r>
              <w:rPr>
                <w:rFonts w:hint="eastAsia" w:ascii="Times New Roman" w:hAnsi="Times New Roman" w:eastAsia="宋体" w:cs="Times New Roman"/>
                <w:sz w:val="21"/>
                <w:szCs w:val="21"/>
                <w:highlight w:val="none"/>
                <w:vertAlign w:val="subscript"/>
              </w:rPr>
              <w:t>3</w:t>
            </w:r>
          </w:p>
        </w:tc>
        <w:tc>
          <w:tcPr>
            <w:tcW w:w="851" w:type="dxa"/>
            <w:vAlign w:val="center"/>
          </w:tcPr>
          <w:p w14:paraId="67F62B35">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w:t>
            </w:r>
          </w:p>
        </w:tc>
        <w:tc>
          <w:tcPr>
            <w:tcW w:w="1151" w:type="dxa"/>
          </w:tcPr>
          <w:p w14:paraId="0B203358">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86(s)</w:t>
            </w:r>
          </w:p>
        </w:tc>
        <w:tc>
          <w:tcPr>
            <w:tcW w:w="1175" w:type="dxa"/>
          </w:tcPr>
          <w:p w14:paraId="5899F52B">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1.5</w:t>
            </w:r>
          </w:p>
        </w:tc>
        <w:tc>
          <w:tcPr>
            <w:tcW w:w="1470" w:type="dxa"/>
            <w:tcBorders>
              <w:right w:val="single" w:color="auto" w:sz="12" w:space="0"/>
            </w:tcBorders>
            <w:vAlign w:val="center"/>
          </w:tcPr>
          <w:p w14:paraId="75D11C5F">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GB/T6900</w:t>
            </w:r>
          </w:p>
        </w:tc>
      </w:tr>
      <w:tr w14:paraId="53C27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left w:val="single" w:color="auto" w:sz="12" w:space="0"/>
            </w:tcBorders>
            <w:vAlign w:val="center"/>
          </w:tcPr>
          <w:p w14:paraId="65666433">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w:t>
            </w:r>
          </w:p>
        </w:tc>
        <w:tc>
          <w:tcPr>
            <w:tcW w:w="3832" w:type="dxa"/>
            <w:vAlign w:val="center"/>
          </w:tcPr>
          <w:p w14:paraId="5CD111FE">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Fe</w:t>
            </w:r>
            <w:r>
              <w:rPr>
                <w:rFonts w:hint="eastAsia" w:ascii="Times New Roman" w:hAnsi="Times New Roman" w:eastAsia="宋体" w:cs="Times New Roman"/>
                <w:sz w:val="21"/>
                <w:szCs w:val="21"/>
                <w:highlight w:val="none"/>
                <w:vertAlign w:val="subscript"/>
              </w:rPr>
              <w:t>2</w:t>
            </w:r>
            <w:r>
              <w:rPr>
                <w:rFonts w:hint="eastAsia" w:ascii="Times New Roman" w:hAnsi="Times New Roman" w:eastAsia="宋体" w:cs="Times New Roman"/>
                <w:sz w:val="21"/>
                <w:szCs w:val="21"/>
                <w:highlight w:val="none"/>
              </w:rPr>
              <w:t>O</w:t>
            </w:r>
            <w:r>
              <w:rPr>
                <w:rFonts w:hint="eastAsia" w:ascii="Times New Roman" w:hAnsi="Times New Roman" w:eastAsia="宋体" w:cs="Times New Roman"/>
                <w:sz w:val="21"/>
                <w:szCs w:val="21"/>
                <w:highlight w:val="none"/>
                <w:vertAlign w:val="subscript"/>
              </w:rPr>
              <w:t>3</w:t>
            </w:r>
          </w:p>
        </w:tc>
        <w:tc>
          <w:tcPr>
            <w:tcW w:w="851" w:type="dxa"/>
            <w:vAlign w:val="center"/>
          </w:tcPr>
          <w:p w14:paraId="660244E3">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w:t>
            </w:r>
          </w:p>
        </w:tc>
        <w:tc>
          <w:tcPr>
            <w:tcW w:w="1151" w:type="dxa"/>
          </w:tcPr>
          <w:p w14:paraId="7B69F2A8">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0.5 (i)</w:t>
            </w:r>
          </w:p>
        </w:tc>
        <w:tc>
          <w:tcPr>
            <w:tcW w:w="1175" w:type="dxa"/>
          </w:tcPr>
          <w:p w14:paraId="5E6DBA77">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0.1</w:t>
            </w:r>
          </w:p>
        </w:tc>
        <w:tc>
          <w:tcPr>
            <w:tcW w:w="1470" w:type="dxa"/>
            <w:tcBorders>
              <w:right w:val="single" w:color="auto" w:sz="12" w:space="0"/>
            </w:tcBorders>
            <w:vAlign w:val="center"/>
          </w:tcPr>
          <w:p w14:paraId="1941899C">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GB/T6900</w:t>
            </w:r>
          </w:p>
        </w:tc>
      </w:tr>
      <w:tr w14:paraId="57C46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left w:val="single" w:color="auto" w:sz="12" w:space="0"/>
            </w:tcBorders>
            <w:vAlign w:val="center"/>
          </w:tcPr>
          <w:p w14:paraId="313D9FFA">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w:t>
            </w:r>
          </w:p>
        </w:tc>
        <w:tc>
          <w:tcPr>
            <w:tcW w:w="3832" w:type="dxa"/>
            <w:vAlign w:val="center"/>
          </w:tcPr>
          <w:p w14:paraId="3C529B60">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体积密度（110℃×24h烘后）</w:t>
            </w:r>
          </w:p>
        </w:tc>
        <w:tc>
          <w:tcPr>
            <w:tcW w:w="851" w:type="dxa"/>
            <w:vAlign w:val="center"/>
          </w:tcPr>
          <w:p w14:paraId="51382AF7">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g/cm</w:t>
            </w:r>
            <w:r>
              <w:rPr>
                <w:rFonts w:hint="eastAsia" w:ascii="Times New Roman" w:hAnsi="Times New Roman" w:eastAsia="宋体" w:cs="Times New Roman"/>
                <w:sz w:val="21"/>
                <w:szCs w:val="21"/>
                <w:highlight w:val="none"/>
                <w:vertAlign w:val="superscript"/>
              </w:rPr>
              <w:t>3</w:t>
            </w:r>
          </w:p>
        </w:tc>
        <w:tc>
          <w:tcPr>
            <w:tcW w:w="1151" w:type="dxa"/>
            <w:vAlign w:val="center"/>
          </w:tcPr>
          <w:p w14:paraId="693E0C64">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3.2（s）</w:t>
            </w:r>
          </w:p>
        </w:tc>
        <w:tc>
          <w:tcPr>
            <w:tcW w:w="1175" w:type="dxa"/>
          </w:tcPr>
          <w:p w14:paraId="5D2DD6D6">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0.05</w:t>
            </w:r>
          </w:p>
        </w:tc>
        <w:tc>
          <w:tcPr>
            <w:tcW w:w="1470" w:type="dxa"/>
            <w:tcBorders>
              <w:right w:val="single" w:color="auto" w:sz="12" w:space="0"/>
            </w:tcBorders>
          </w:tcPr>
          <w:p w14:paraId="0C5084C4">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YB/T5200</w:t>
            </w:r>
          </w:p>
        </w:tc>
      </w:tr>
      <w:tr w14:paraId="6CE15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left w:val="single" w:color="auto" w:sz="12" w:space="0"/>
            </w:tcBorders>
            <w:vAlign w:val="center"/>
          </w:tcPr>
          <w:p w14:paraId="77A0FC08">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4</w:t>
            </w:r>
          </w:p>
        </w:tc>
        <w:tc>
          <w:tcPr>
            <w:tcW w:w="3832" w:type="dxa"/>
          </w:tcPr>
          <w:p w14:paraId="66305C3E">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常温耐压强度（110℃×24h烘后）</w:t>
            </w:r>
          </w:p>
        </w:tc>
        <w:tc>
          <w:tcPr>
            <w:tcW w:w="851" w:type="dxa"/>
          </w:tcPr>
          <w:p w14:paraId="7F4FFBCD">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MPa</w:t>
            </w:r>
          </w:p>
        </w:tc>
        <w:tc>
          <w:tcPr>
            <w:tcW w:w="1151" w:type="dxa"/>
          </w:tcPr>
          <w:p w14:paraId="3A539BCA">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40 (s)</w:t>
            </w:r>
          </w:p>
        </w:tc>
        <w:tc>
          <w:tcPr>
            <w:tcW w:w="1175" w:type="dxa"/>
          </w:tcPr>
          <w:p w14:paraId="31F7F637">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5</w:t>
            </w:r>
          </w:p>
        </w:tc>
        <w:tc>
          <w:tcPr>
            <w:tcW w:w="1470" w:type="dxa"/>
            <w:tcBorders>
              <w:right w:val="single" w:color="auto" w:sz="12" w:space="0"/>
            </w:tcBorders>
            <w:vAlign w:val="center"/>
          </w:tcPr>
          <w:p w14:paraId="7EC087A5">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GB/T 5072</w:t>
            </w:r>
          </w:p>
        </w:tc>
      </w:tr>
      <w:tr w14:paraId="165BE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left w:val="single" w:color="auto" w:sz="12" w:space="0"/>
            </w:tcBorders>
            <w:vAlign w:val="center"/>
          </w:tcPr>
          <w:p w14:paraId="04C93F17">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5</w:t>
            </w:r>
          </w:p>
        </w:tc>
        <w:tc>
          <w:tcPr>
            <w:tcW w:w="3832" w:type="dxa"/>
          </w:tcPr>
          <w:p w14:paraId="39AB278A">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加热永久线变化率（1550℃×3h烘后）</w:t>
            </w:r>
          </w:p>
        </w:tc>
        <w:tc>
          <w:tcPr>
            <w:tcW w:w="851" w:type="dxa"/>
          </w:tcPr>
          <w:p w14:paraId="602AEDCA">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w:t>
            </w:r>
          </w:p>
        </w:tc>
        <w:tc>
          <w:tcPr>
            <w:tcW w:w="1151" w:type="dxa"/>
          </w:tcPr>
          <w:p w14:paraId="56DFACFE">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0—+1.0</w:t>
            </w:r>
          </w:p>
        </w:tc>
        <w:tc>
          <w:tcPr>
            <w:tcW w:w="1175" w:type="dxa"/>
          </w:tcPr>
          <w:p w14:paraId="50C8E7BF">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w:t>
            </w:r>
          </w:p>
        </w:tc>
        <w:tc>
          <w:tcPr>
            <w:tcW w:w="1470" w:type="dxa"/>
            <w:tcBorders>
              <w:right w:val="single" w:color="auto" w:sz="12" w:space="0"/>
            </w:tcBorders>
            <w:vAlign w:val="center"/>
          </w:tcPr>
          <w:p w14:paraId="642CE6D5">
            <w:pPr>
              <w:ind w:firstLine="0" w:firstLineChars="0"/>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GB/T 5988</w:t>
            </w:r>
          </w:p>
        </w:tc>
      </w:tr>
      <w:tr w14:paraId="1D91F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gridSpan w:val="2"/>
            <w:tcBorders>
              <w:left w:val="single" w:color="auto" w:sz="12" w:space="0"/>
              <w:bottom w:val="single" w:color="auto" w:sz="12" w:space="0"/>
            </w:tcBorders>
            <w:vAlign w:val="center"/>
          </w:tcPr>
          <w:p w14:paraId="2939AB91">
            <w:pPr>
              <w:ind w:firstLine="0" w:firstLineChars="0"/>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使用部分</w:t>
            </w:r>
          </w:p>
        </w:tc>
        <w:tc>
          <w:tcPr>
            <w:tcW w:w="4647" w:type="dxa"/>
            <w:gridSpan w:val="4"/>
            <w:tcBorders>
              <w:bottom w:val="single" w:color="auto" w:sz="12" w:space="0"/>
              <w:right w:val="single" w:color="auto" w:sz="12" w:space="0"/>
            </w:tcBorders>
          </w:tcPr>
          <w:p w14:paraId="6645B771">
            <w:pPr>
              <w:ind w:firstLine="0" w:firstLineChars="0"/>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陶瓷杯与炭砖之间</w:t>
            </w:r>
          </w:p>
        </w:tc>
      </w:tr>
    </w:tbl>
    <w:p w14:paraId="10FEACC7">
      <w:pPr>
        <w:spacing w:line="240" w:lineRule="auto"/>
        <w:ind w:firstLine="324" w:firstLineChars="135"/>
        <w:rPr>
          <w:rFonts w:ascii="宋体" w:hAnsi="宋体" w:eastAsia="宋体"/>
          <w:highlight w:val="none"/>
        </w:rPr>
      </w:pPr>
      <w:r>
        <w:rPr>
          <w:rFonts w:ascii="宋体" w:hAnsi="宋体" w:eastAsia="宋体"/>
          <w:highlight w:val="none"/>
        </w:rPr>
        <w:t xml:space="preserve">（s）为低值不利 </w:t>
      </w:r>
      <w:r>
        <w:rPr>
          <w:rFonts w:hint="eastAsia" w:ascii="宋体" w:hAnsi="宋体" w:eastAsia="宋体"/>
          <w:highlight w:val="none"/>
        </w:rPr>
        <w:t xml:space="preserve"> </w:t>
      </w:r>
    </w:p>
    <w:p w14:paraId="03AD4BBF">
      <w:pPr>
        <w:spacing w:line="240" w:lineRule="auto"/>
        <w:ind w:firstLine="324" w:firstLineChars="135"/>
        <w:rPr>
          <w:rFonts w:ascii="宋体" w:hAnsi="宋体" w:eastAsia="宋体"/>
          <w:highlight w:val="none"/>
          <w:lang w:val="it-IT"/>
        </w:rPr>
      </w:pPr>
      <w:r>
        <w:rPr>
          <w:rFonts w:ascii="宋体" w:hAnsi="宋体" w:eastAsia="宋体"/>
          <w:highlight w:val="none"/>
        </w:rPr>
        <w:t>（i）为高值不利</w:t>
      </w:r>
      <w:r>
        <w:rPr>
          <w:rFonts w:hint="eastAsia" w:ascii="宋体" w:hAnsi="宋体" w:eastAsia="宋体"/>
          <w:highlight w:val="none"/>
        </w:rPr>
        <w:t xml:space="preserve"> </w:t>
      </w:r>
      <w:r>
        <w:rPr>
          <w:rFonts w:ascii="宋体" w:hAnsi="宋体" w:eastAsia="宋体"/>
          <w:highlight w:val="none"/>
        </w:rPr>
        <w:t xml:space="preserve">              </w:t>
      </w:r>
      <w:r>
        <w:rPr>
          <w:rFonts w:hint="eastAsia" w:ascii="宋体" w:hAnsi="宋体" w:eastAsia="宋体"/>
          <w:highlight w:val="none"/>
        </w:rPr>
        <w:t>根据</w:t>
      </w:r>
      <w:r>
        <w:rPr>
          <w:rFonts w:hint="eastAsia" w:ascii="宋体" w:hAnsi="宋体" w:eastAsia="宋体"/>
          <w:highlight w:val="none"/>
          <w:lang w:val="it-IT"/>
        </w:rPr>
        <w:t>ISO 5022 § 5.3</w:t>
      </w:r>
    </w:p>
    <w:p w14:paraId="299619D4">
      <w:pPr>
        <w:numPr>
          <w:ilvl w:val="0"/>
          <w:numId w:val="16"/>
        </w:numPr>
        <w:ind w:left="480" w:leftChars="0" w:firstLine="0" w:firstLineChars="0"/>
        <w:rPr>
          <w:highlight w:val="none"/>
        </w:rPr>
      </w:pPr>
      <w:r>
        <w:rPr>
          <w:rFonts w:hint="eastAsia"/>
          <w:highlight w:val="none"/>
        </w:rPr>
        <w:t>钢纤维碳化硅浇注料(预挂渣皮料)</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8"/>
        <w:gridCol w:w="1578"/>
        <w:gridCol w:w="2170"/>
        <w:gridCol w:w="1774"/>
      </w:tblGrid>
      <w:tr w14:paraId="32865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576" w:type="dxa"/>
            <w:gridSpan w:val="2"/>
            <w:tcBorders>
              <w:top w:val="single" w:color="auto" w:sz="12" w:space="0"/>
              <w:left w:val="single" w:color="auto" w:sz="12" w:space="0"/>
            </w:tcBorders>
            <w:vAlign w:val="center"/>
          </w:tcPr>
          <w:p w14:paraId="3C74B021">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项  目</w:t>
            </w:r>
          </w:p>
        </w:tc>
        <w:tc>
          <w:tcPr>
            <w:tcW w:w="2170" w:type="dxa"/>
            <w:tcBorders>
              <w:top w:val="single" w:color="auto" w:sz="12" w:space="0"/>
            </w:tcBorders>
            <w:vAlign w:val="center"/>
          </w:tcPr>
          <w:p w14:paraId="5A566405">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单位</w:t>
            </w:r>
          </w:p>
        </w:tc>
        <w:tc>
          <w:tcPr>
            <w:tcW w:w="1774" w:type="dxa"/>
            <w:tcBorders>
              <w:top w:val="single" w:color="auto" w:sz="12" w:space="0"/>
              <w:right w:val="single" w:color="auto" w:sz="12" w:space="0"/>
            </w:tcBorders>
            <w:vAlign w:val="center"/>
          </w:tcPr>
          <w:p w14:paraId="51CFB166">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指标</w:t>
            </w:r>
          </w:p>
        </w:tc>
      </w:tr>
      <w:tr w14:paraId="17B7B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98" w:type="dxa"/>
            <w:tcBorders>
              <w:left w:val="single" w:color="auto" w:sz="12" w:space="0"/>
            </w:tcBorders>
            <w:vAlign w:val="center"/>
          </w:tcPr>
          <w:p w14:paraId="15984976">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化学成分</w:t>
            </w:r>
          </w:p>
        </w:tc>
        <w:tc>
          <w:tcPr>
            <w:tcW w:w="1578" w:type="dxa"/>
            <w:vAlign w:val="center"/>
          </w:tcPr>
          <w:p w14:paraId="037E77FF">
            <w:pPr>
              <w:widowControl/>
              <w:adjustRightInd w:val="0"/>
              <w:snapToGrid w:val="0"/>
              <w:ind w:firstLine="210" w:firstLineChars="100"/>
              <w:jc w:val="center"/>
              <w:rPr>
                <w:rFonts w:cs="Times New Roman"/>
                <w:snapToGrid w:val="0"/>
                <w:kern w:val="0"/>
                <w:sz w:val="21"/>
                <w:szCs w:val="21"/>
                <w:highlight w:val="none"/>
              </w:rPr>
            </w:pPr>
            <w:r>
              <w:rPr>
                <w:rFonts w:cs="Times New Roman"/>
                <w:snapToGrid w:val="0"/>
                <w:kern w:val="0"/>
                <w:sz w:val="21"/>
                <w:szCs w:val="21"/>
                <w:highlight w:val="none"/>
              </w:rPr>
              <w:t>SiC</w:t>
            </w:r>
          </w:p>
        </w:tc>
        <w:tc>
          <w:tcPr>
            <w:tcW w:w="2170" w:type="dxa"/>
            <w:vAlign w:val="center"/>
          </w:tcPr>
          <w:p w14:paraId="0DE9C934">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w:t>
            </w:r>
          </w:p>
        </w:tc>
        <w:tc>
          <w:tcPr>
            <w:tcW w:w="1774" w:type="dxa"/>
            <w:tcBorders>
              <w:right w:val="single" w:color="auto" w:sz="12" w:space="0"/>
            </w:tcBorders>
            <w:vAlign w:val="center"/>
          </w:tcPr>
          <w:p w14:paraId="26CBCCF9">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w:t>
            </w:r>
            <w:r>
              <w:rPr>
                <w:rFonts w:hint="eastAsia" w:cs="Times New Roman"/>
                <w:snapToGrid w:val="0"/>
                <w:kern w:val="0"/>
                <w:sz w:val="21"/>
                <w:szCs w:val="21"/>
                <w:highlight w:val="none"/>
              </w:rPr>
              <w:t>50</w:t>
            </w:r>
          </w:p>
        </w:tc>
      </w:tr>
      <w:tr w14:paraId="46B3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76" w:type="dxa"/>
            <w:gridSpan w:val="2"/>
            <w:tcBorders>
              <w:left w:val="single" w:color="auto" w:sz="12" w:space="0"/>
            </w:tcBorders>
            <w:vAlign w:val="center"/>
          </w:tcPr>
          <w:p w14:paraId="13A53467">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体积密度</w:t>
            </w:r>
            <w:r>
              <w:rPr>
                <w:rFonts w:hint="eastAsia" w:cs="Times New Roman"/>
                <w:snapToGrid w:val="0"/>
                <w:kern w:val="0"/>
                <w:sz w:val="21"/>
                <w:szCs w:val="21"/>
                <w:highlight w:val="none"/>
              </w:rPr>
              <w:t>（</w:t>
            </w:r>
            <w:r>
              <w:rPr>
                <w:rFonts w:cs="Times New Roman"/>
                <w:snapToGrid w:val="0"/>
                <w:kern w:val="0"/>
                <w:sz w:val="21"/>
                <w:szCs w:val="21"/>
                <w:highlight w:val="none"/>
              </w:rPr>
              <w:t>1</w:t>
            </w:r>
            <w:r>
              <w:rPr>
                <w:rFonts w:hint="eastAsia" w:cs="Times New Roman"/>
                <w:snapToGrid w:val="0"/>
                <w:kern w:val="0"/>
                <w:sz w:val="21"/>
                <w:szCs w:val="21"/>
                <w:highlight w:val="none"/>
              </w:rPr>
              <w:t>1</w:t>
            </w:r>
            <w:r>
              <w:rPr>
                <w:rFonts w:cs="Times New Roman"/>
                <w:snapToGrid w:val="0"/>
                <w:kern w:val="0"/>
                <w:sz w:val="21"/>
                <w:szCs w:val="21"/>
                <w:highlight w:val="none"/>
              </w:rPr>
              <w:t>0℃</w:t>
            </w:r>
            <w:r>
              <w:rPr>
                <w:rFonts w:hint="eastAsia" w:cs="Times New Roman"/>
                <w:snapToGrid w:val="0"/>
                <w:kern w:val="0"/>
                <w:sz w:val="21"/>
                <w:szCs w:val="21"/>
                <w:highlight w:val="none"/>
              </w:rPr>
              <w:t>×24h）</w:t>
            </w:r>
          </w:p>
        </w:tc>
        <w:tc>
          <w:tcPr>
            <w:tcW w:w="2170" w:type="dxa"/>
            <w:vAlign w:val="center"/>
          </w:tcPr>
          <w:p w14:paraId="7F934B08">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g/cm</w:t>
            </w:r>
            <w:r>
              <w:rPr>
                <w:rFonts w:cs="Times New Roman"/>
                <w:snapToGrid w:val="0"/>
                <w:kern w:val="0"/>
                <w:sz w:val="21"/>
                <w:szCs w:val="21"/>
                <w:highlight w:val="none"/>
                <w:vertAlign w:val="superscript"/>
              </w:rPr>
              <w:t>3</w:t>
            </w:r>
          </w:p>
        </w:tc>
        <w:tc>
          <w:tcPr>
            <w:tcW w:w="1774" w:type="dxa"/>
            <w:tcBorders>
              <w:right w:val="single" w:color="auto" w:sz="12" w:space="0"/>
            </w:tcBorders>
            <w:vAlign w:val="center"/>
          </w:tcPr>
          <w:p w14:paraId="29184712">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w:t>
            </w:r>
            <w:r>
              <w:rPr>
                <w:rFonts w:hint="eastAsia" w:cs="Times New Roman"/>
                <w:snapToGrid w:val="0"/>
                <w:kern w:val="0"/>
                <w:sz w:val="21"/>
                <w:szCs w:val="21"/>
                <w:highlight w:val="none"/>
              </w:rPr>
              <w:t>2.7</w:t>
            </w:r>
          </w:p>
        </w:tc>
      </w:tr>
      <w:tr w14:paraId="77387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76" w:type="dxa"/>
            <w:gridSpan w:val="2"/>
            <w:tcBorders>
              <w:left w:val="single" w:color="auto" w:sz="12" w:space="0"/>
            </w:tcBorders>
            <w:vAlign w:val="center"/>
          </w:tcPr>
          <w:p w14:paraId="22BCB71D">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抗折强度</w:t>
            </w:r>
            <w:r>
              <w:rPr>
                <w:rFonts w:hint="eastAsia" w:cs="Times New Roman"/>
                <w:snapToGrid w:val="0"/>
                <w:kern w:val="0"/>
                <w:sz w:val="21"/>
                <w:szCs w:val="21"/>
                <w:highlight w:val="none"/>
              </w:rPr>
              <w:t>（</w:t>
            </w:r>
            <w:r>
              <w:rPr>
                <w:rFonts w:cs="Times New Roman"/>
                <w:snapToGrid w:val="0"/>
                <w:kern w:val="0"/>
                <w:sz w:val="21"/>
                <w:szCs w:val="21"/>
                <w:highlight w:val="none"/>
              </w:rPr>
              <w:t>1</w:t>
            </w:r>
            <w:r>
              <w:rPr>
                <w:rFonts w:hint="eastAsia" w:cs="Times New Roman"/>
                <w:snapToGrid w:val="0"/>
                <w:kern w:val="0"/>
                <w:sz w:val="21"/>
                <w:szCs w:val="21"/>
                <w:highlight w:val="none"/>
              </w:rPr>
              <w:t>1</w:t>
            </w:r>
            <w:r>
              <w:rPr>
                <w:rFonts w:cs="Times New Roman"/>
                <w:snapToGrid w:val="0"/>
                <w:kern w:val="0"/>
                <w:sz w:val="21"/>
                <w:szCs w:val="21"/>
                <w:highlight w:val="none"/>
              </w:rPr>
              <w:t>0℃</w:t>
            </w:r>
            <w:r>
              <w:rPr>
                <w:rFonts w:hint="eastAsia" w:cs="Times New Roman"/>
                <w:snapToGrid w:val="0"/>
                <w:kern w:val="0"/>
                <w:sz w:val="21"/>
                <w:szCs w:val="21"/>
                <w:highlight w:val="none"/>
              </w:rPr>
              <w:t>×24h）</w:t>
            </w:r>
          </w:p>
        </w:tc>
        <w:tc>
          <w:tcPr>
            <w:tcW w:w="2170" w:type="dxa"/>
            <w:vAlign w:val="center"/>
          </w:tcPr>
          <w:p w14:paraId="4D7BC164">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MPa</w:t>
            </w:r>
          </w:p>
        </w:tc>
        <w:tc>
          <w:tcPr>
            <w:tcW w:w="1774" w:type="dxa"/>
            <w:tcBorders>
              <w:right w:val="single" w:color="auto" w:sz="12" w:space="0"/>
            </w:tcBorders>
            <w:vAlign w:val="center"/>
          </w:tcPr>
          <w:p w14:paraId="7AEA6C0C">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w:t>
            </w:r>
            <w:r>
              <w:rPr>
                <w:rFonts w:hint="eastAsia" w:cs="Times New Roman"/>
                <w:snapToGrid w:val="0"/>
                <w:kern w:val="0"/>
                <w:sz w:val="21"/>
                <w:szCs w:val="21"/>
                <w:highlight w:val="none"/>
              </w:rPr>
              <w:t>1</w:t>
            </w:r>
            <w:r>
              <w:rPr>
                <w:rFonts w:cs="Times New Roman"/>
                <w:snapToGrid w:val="0"/>
                <w:kern w:val="0"/>
                <w:sz w:val="21"/>
                <w:szCs w:val="21"/>
                <w:highlight w:val="none"/>
              </w:rPr>
              <w:t>3</w:t>
            </w:r>
          </w:p>
        </w:tc>
      </w:tr>
      <w:tr w14:paraId="75933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76" w:type="dxa"/>
            <w:gridSpan w:val="2"/>
            <w:tcBorders>
              <w:left w:val="single" w:color="auto" w:sz="12" w:space="0"/>
            </w:tcBorders>
            <w:vAlign w:val="center"/>
          </w:tcPr>
          <w:p w14:paraId="6434CEE9">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高温抗折强度 (1</w:t>
            </w:r>
            <w:r>
              <w:rPr>
                <w:rFonts w:hint="eastAsia" w:cs="Times New Roman"/>
                <w:snapToGrid w:val="0"/>
                <w:kern w:val="0"/>
                <w:sz w:val="21"/>
                <w:szCs w:val="21"/>
                <w:highlight w:val="none"/>
              </w:rPr>
              <w:t>4</w:t>
            </w:r>
            <w:r>
              <w:rPr>
                <w:rFonts w:cs="Times New Roman"/>
                <w:snapToGrid w:val="0"/>
                <w:kern w:val="0"/>
                <w:sz w:val="21"/>
                <w:szCs w:val="21"/>
                <w:highlight w:val="none"/>
              </w:rPr>
              <w:t>00℃,</w:t>
            </w:r>
            <w:r>
              <w:rPr>
                <w:rFonts w:hint="eastAsia" w:cs="Times New Roman"/>
                <w:snapToGrid w:val="0"/>
                <w:kern w:val="0"/>
                <w:sz w:val="21"/>
                <w:szCs w:val="21"/>
                <w:highlight w:val="none"/>
              </w:rPr>
              <w:t>1h</w:t>
            </w:r>
            <w:r>
              <w:rPr>
                <w:rFonts w:cs="Times New Roman"/>
                <w:snapToGrid w:val="0"/>
                <w:kern w:val="0"/>
                <w:sz w:val="21"/>
                <w:szCs w:val="21"/>
                <w:highlight w:val="none"/>
              </w:rPr>
              <w:t>)</w:t>
            </w:r>
            <w:r>
              <w:rPr>
                <w:rFonts w:hint="eastAsia" w:cs="Times New Roman"/>
                <w:snapToGrid w:val="0"/>
                <w:kern w:val="0"/>
                <w:sz w:val="21"/>
                <w:szCs w:val="21"/>
                <w:highlight w:val="none"/>
              </w:rPr>
              <w:t>热态</w:t>
            </w:r>
          </w:p>
        </w:tc>
        <w:tc>
          <w:tcPr>
            <w:tcW w:w="2170" w:type="dxa"/>
            <w:vAlign w:val="center"/>
          </w:tcPr>
          <w:p w14:paraId="04B32593">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MPa</w:t>
            </w:r>
          </w:p>
        </w:tc>
        <w:tc>
          <w:tcPr>
            <w:tcW w:w="1774" w:type="dxa"/>
            <w:tcBorders>
              <w:right w:val="single" w:color="auto" w:sz="12" w:space="0"/>
            </w:tcBorders>
            <w:vAlign w:val="center"/>
          </w:tcPr>
          <w:p w14:paraId="3B185F23">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≥4</w:t>
            </w:r>
          </w:p>
        </w:tc>
      </w:tr>
      <w:tr w14:paraId="04063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76" w:type="dxa"/>
            <w:gridSpan w:val="2"/>
            <w:tcBorders>
              <w:left w:val="single" w:color="auto" w:sz="12" w:space="0"/>
            </w:tcBorders>
            <w:vAlign w:val="center"/>
          </w:tcPr>
          <w:p w14:paraId="36D42E34">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耐压强度</w:t>
            </w:r>
            <w:r>
              <w:rPr>
                <w:rFonts w:hint="eastAsia" w:cs="Times New Roman"/>
                <w:snapToGrid w:val="0"/>
                <w:kern w:val="0"/>
                <w:sz w:val="21"/>
                <w:szCs w:val="21"/>
                <w:highlight w:val="none"/>
              </w:rPr>
              <w:t>（</w:t>
            </w:r>
            <w:r>
              <w:rPr>
                <w:rFonts w:cs="Times New Roman"/>
                <w:snapToGrid w:val="0"/>
                <w:kern w:val="0"/>
                <w:sz w:val="21"/>
                <w:szCs w:val="21"/>
                <w:highlight w:val="none"/>
              </w:rPr>
              <w:t>1</w:t>
            </w:r>
            <w:r>
              <w:rPr>
                <w:rFonts w:hint="eastAsia" w:cs="Times New Roman"/>
                <w:snapToGrid w:val="0"/>
                <w:kern w:val="0"/>
                <w:sz w:val="21"/>
                <w:szCs w:val="21"/>
                <w:highlight w:val="none"/>
              </w:rPr>
              <w:t>1</w:t>
            </w:r>
            <w:r>
              <w:rPr>
                <w:rFonts w:cs="Times New Roman"/>
                <w:snapToGrid w:val="0"/>
                <w:kern w:val="0"/>
                <w:sz w:val="21"/>
                <w:szCs w:val="21"/>
                <w:highlight w:val="none"/>
              </w:rPr>
              <w:t>0℃</w:t>
            </w:r>
            <w:r>
              <w:rPr>
                <w:rFonts w:hint="eastAsia" w:cs="Times New Roman"/>
                <w:snapToGrid w:val="0"/>
                <w:kern w:val="0"/>
                <w:sz w:val="21"/>
                <w:szCs w:val="21"/>
                <w:highlight w:val="none"/>
              </w:rPr>
              <w:t>×24h）</w:t>
            </w:r>
          </w:p>
        </w:tc>
        <w:tc>
          <w:tcPr>
            <w:tcW w:w="2170" w:type="dxa"/>
            <w:vAlign w:val="center"/>
          </w:tcPr>
          <w:p w14:paraId="30AA0A33">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MPa</w:t>
            </w:r>
          </w:p>
        </w:tc>
        <w:tc>
          <w:tcPr>
            <w:tcW w:w="1774" w:type="dxa"/>
            <w:tcBorders>
              <w:right w:val="single" w:color="auto" w:sz="12" w:space="0"/>
            </w:tcBorders>
            <w:vAlign w:val="center"/>
          </w:tcPr>
          <w:p w14:paraId="69B805CC">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w:t>
            </w:r>
            <w:r>
              <w:rPr>
                <w:rFonts w:hint="eastAsia" w:cs="Times New Roman"/>
                <w:snapToGrid w:val="0"/>
                <w:kern w:val="0"/>
                <w:sz w:val="21"/>
                <w:szCs w:val="21"/>
                <w:highlight w:val="none"/>
              </w:rPr>
              <w:t>80</w:t>
            </w:r>
          </w:p>
        </w:tc>
      </w:tr>
      <w:tr w14:paraId="64FF5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76" w:type="dxa"/>
            <w:gridSpan w:val="2"/>
            <w:tcBorders>
              <w:left w:val="single" w:color="auto" w:sz="12" w:space="0"/>
            </w:tcBorders>
            <w:vAlign w:val="center"/>
          </w:tcPr>
          <w:p w14:paraId="5B8DF1C1">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耐压强度(1</w:t>
            </w:r>
            <w:r>
              <w:rPr>
                <w:rFonts w:hint="eastAsia" w:cs="Times New Roman"/>
                <w:snapToGrid w:val="0"/>
                <w:kern w:val="0"/>
                <w:sz w:val="21"/>
                <w:szCs w:val="21"/>
                <w:highlight w:val="none"/>
              </w:rPr>
              <w:t>4</w:t>
            </w:r>
            <w:r>
              <w:rPr>
                <w:rFonts w:cs="Times New Roman"/>
                <w:snapToGrid w:val="0"/>
                <w:kern w:val="0"/>
                <w:sz w:val="21"/>
                <w:szCs w:val="21"/>
                <w:highlight w:val="none"/>
              </w:rPr>
              <w:t>00℃</w:t>
            </w:r>
            <w:r>
              <w:rPr>
                <w:rFonts w:hint="eastAsia" w:cs="Times New Roman"/>
                <w:snapToGrid w:val="0"/>
                <w:kern w:val="0"/>
                <w:sz w:val="21"/>
                <w:szCs w:val="21"/>
                <w:highlight w:val="none"/>
              </w:rPr>
              <w:t>×3h</w:t>
            </w:r>
            <w:r>
              <w:rPr>
                <w:rFonts w:cs="Times New Roman"/>
                <w:snapToGrid w:val="0"/>
                <w:kern w:val="0"/>
                <w:sz w:val="21"/>
                <w:szCs w:val="21"/>
                <w:highlight w:val="none"/>
              </w:rPr>
              <w:t>)</w:t>
            </w:r>
          </w:p>
        </w:tc>
        <w:tc>
          <w:tcPr>
            <w:tcW w:w="2170" w:type="dxa"/>
            <w:vAlign w:val="center"/>
          </w:tcPr>
          <w:p w14:paraId="607E7C95">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MPa</w:t>
            </w:r>
          </w:p>
        </w:tc>
        <w:tc>
          <w:tcPr>
            <w:tcW w:w="1774" w:type="dxa"/>
            <w:tcBorders>
              <w:right w:val="single" w:color="auto" w:sz="12" w:space="0"/>
            </w:tcBorders>
            <w:vAlign w:val="center"/>
          </w:tcPr>
          <w:p w14:paraId="432A7BF7">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w:t>
            </w:r>
            <w:r>
              <w:rPr>
                <w:rFonts w:hint="eastAsia" w:cs="Times New Roman"/>
                <w:snapToGrid w:val="0"/>
                <w:kern w:val="0"/>
                <w:sz w:val="21"/>
                <w:szCs w:val="21"/>
                <w:highlight w:val="none"/>
              </w:rPr>
              <w:t>90</w:t>
            </w:r>
          </w:p>
        </w:tc>
      </w:tr>
      <w:tr w14:paraId="64F48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76" w:type="dxa"/>
            <w:gridSpan w:val="2"/>
            <w:tcBorders>
              <w:left w:val="single" w:color="auto" w:sz="12" w:space="0"/>
            </w:tcBorders>
            <w:vAlign w:val="center"/>
          </w:tcPr>
          <w:p w14:paraId="7E4BA70D">
            <w:pPr>
              <w:widowControl/>
              <w:adjustRightInd w:val="0"/>
              <w:snapToGrid w:val="0"/>
              <w:ind w:firstLine="420"/>
              <w:jc w:val="center"/>
              <w:rPr>
                <w:rFonts w:cs="Times New Roman"/>
                <w:snapToGrid w:val="0"/>
                <w:kern w:val="0"/>
                <w:sz w:val="21"/>
                <w:szCs w:val="21"/>
                <w:highlight w:val="none"/>
              </w:rPr>
            </w:pPr>
            <w:r>
              <w:rPr>
                <w:rFonts w:hint="eastAsia" w:cs="Times New Roman"/>
                <w:bCs/>
                <w:kern w:val="0"/>
                <w:sz w:val="21"/>
                <w:szCs w:val="21"/>
                <w:highlight w:val="none"/>
              </w:rPr>
              <w:t>烧后线变化率</w:t>
            </w:r>
            <w:r>
              <w:rPr>
                <w:rFonts w:cs="Times New Roman"/>
                <w:snapToGrid w:val="0"/>
                <w:kern w:val="0"/>
                <w:sz w:val="21"/>
                <w:szCs w:val="21"/>
                <w:highlight w:val="none"/>
              </w:rPr>
              <w:t>(1</w:t>
            </w:r>
            <w:r>
              <w:rPr>
                <w:rFonts w:hint="eastAsia" w:cs="Times New Roman"/>
                <w:snapToGrid w:val="0"/>
                <w:kern w:val="0"/>
                <w:sz w:val="21"/>
                <w:szCs w:val="21"/>
                <w:highlight w:val="none"/>
              </w:rPr>
              <w:t>4</w:t>
            </w:r>
            <w:r>
              <w:rPr>
                <w:rFonts w:cs="Times New Roman"/>
                <w:snapToGrid w:val="0"/>
                <w:kern w:val="0"/>
                <w:sz w:val="21"/>
                <w:szCs w:val="21"/>
                <w:highlight w:val="none"/>
              </w:rPr>
              <w:t>00℃</w:t>
            </w:r>
            <w:r>
              <w:rPr>
                <w:rFonts w:hint="eastAsia" w:cs="Times New Roman"/>
                <w:snapToGrid w:val="0"/>
                <w:kern w:val="0"/>
                <w:sz w:val="21"/>
                <w:szCs w:val="21"/>
                <w:highlight w:val="none"/>
              </w:rPr>
              <w:t>×3h</w:t>
            </w:r>
            <w:r>
              <w:rPr>
                <w:rFonts w:cs="Times New Roman"/>
                <w:snapToGrid w:val="0"/>
                <w:kern w:val="0"/>
                <w:sz w:val="21"/>
                <w:szCs w:val="21"/>
                <w:highlight w:val="none"/>
              </w:rPr>
              <w:t>)</w:t>
            </w:r>
          </w:p>
        </w:tc>
        <w:tc>
          <w:tcPr>
            <w:tcW w:w="2170" w:type="dxa"/>
            <w:vAlign w:val="center"/>
          </w:tcPr>
          <w:p w14:paraId="25B4BF10">
            <w:pPr>
              <w:widowControl/>
              <w:adjustRightInd w:val="0"/>
              <w:snapToGrid w:val="0"/>
              <w:ind w:firstLine="420"/>
              <w:jc w:val="center"/>
              <w:rPr>
                <w:rFonts w:cs="Times New Roman"/>
                <w:snapToGrid w:val="0"/>
                <w:kern w:val="0"/>
                <w:sz w:val="21"/>
                <w:szCs w:val="21"/>
                <w:highlight w:val="none"/>
              </w:rPr>
            </w:pPr>
            <w:r>
              <w:rPr>
                <w:rFonts w:hint="eastAsia" w:cs="Times New Roman"/>
                <w:snapToGrid w:val="0"/>
                <w:kern w:val="0"/>
                <w:sz w:val="21"/>
                <w:szCs w:val="21"/>
                <w:highlight w:val="none"/>
              </w:rPr>
              <w:t>%</w:t>
            </w:r>
          </w:p>
        </w:tc>
        <w:tc>
          <w:tcPr>
            <w:tcW w:w="1774" w:type="dxa"/>
            <w:tcBorders>
              <w:right w:val="single" w:color="auto" w:sz="12" w:space="0"/>
            </w:tcBorders>
            <w:vAlign w:val="center"/>
          </w:tcPr>
          <w:p w14:paraId="05213125">
            <w:pPr>
              <w:widowControl/>
              <w:adjustRightInd w:val="0"/>
              <w:snapToGrid w:val="0"/>
              <w:ind w:firstLine="420"/>
              <w:jc w:val="center"/>
              <w:rPr>
                <w:rFonts w:cs="Times New Roman"/>
                <w:snapToGrid w:val="0"/>
                <w:kern w:val="0"/>
                <w:sz w:val="21"/>
                <w:szCs w:val="21"/>
                <w:highlight w:val="none"/>
              </w:rPr>
            </w:pPr>
            <w:r>
              <w:rPr>
                <w:rFonts w:hint="eastAsia" w:cs="Times New Roman"/>
                <w:snapToGrid w:val="0"/>
                <w:kern w:val="0"/>
                <w:sz w:val="21"/>
                <w:szCs w:val="21"/>
                <w:highlight w:val="none"/>
              </w:rPr>
              <w:t>±0.5</w:t>
            </w:r>
          </w:p>
        </w:tc>
      </w:tr>
      <w:tr w14:paraId="65AC5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76" w:type="dxa"/>
            <w:gridSpan w:val="2"/>
            <w:tcBorders>
              <w:left w:val="single" w:color="auto" w:sz="12" w:space="0"/>
            </w:tcBorders>
            <w:vAlign w:val="center"/>
          </w:tcPr>
          <w:p w14:paraId="5930DC54">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导热系数(</w:t>
            </w:r>
            <w:r>
              <w:rPr>
                <w:rFonts w:hint="eastAsia" w:cs="Times New Roman"/>
                <w:snapToGrid w:val="0"/>
                <w:kern w:val="0"/>
                <w:sz w:val="21"/>
                <w:szCs w:val="21"/>
                <w:highlight w:val="none"/>
              </w:rPr>
              <w:t>300</w:t>
            </w:r>
            <w:r>
              <w:rPr>
                <w:rFonts w:cs="Times New Roman"/>
                <w:snapToGrid w:val="0"/>
                <w:kern w:val="0"/>
                <w:sz w:val="21"/>
                <w:szCs w:val="21"/>
                <w:highlight w:val="none"/>
              </w:rPr>
              <w:t>℃ )</w:t>
            </w:r>
          </w:p>
        </w:tc>
        <w:tc>
          <w:tcPr>
            <w:tcW w:w="2170" w:type="dxa"/>
            <w:vAlign w:val="center"/>
          </w:tcPr>
          <w:p w14:paraId="3E4BC074">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W/(m·K)</w:t>
            </w:r>
          </w:p>
        </w:tc>
        <w:tc>
          <w:tcPr>
            <w:tcW w:w="1774" w:type="dxa"/>
            <w:tcBorders>
              <w:right w:val="single" w:color="auto" w:sz="12" w:space="0"/>
            </w:tcBorders>
            <w:vAlign w:val="center"/>
          </w:tcPr>
          <w:p w14:paraId="5AC1FF1C">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w:t>
            </w:r>
            <w:r>
              <w:rPr>
                <w:rFonts w:hint="eastAsia" w:cs="Times New Roman"/>
                <w:snapToGrid w:val="0"/>
                <w:kern w:val="0"/>
                <w:sz w:val="21"/>
                <w:szCs w:val="21"/>
                <w:highlight w:val="none"/>
              </w:rPr>
              <w:t>8</w:t>
            </w:r>
          </w:p>
        </w:tc>
      </w:tr>
      <w:tr w14:paraId="164F0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76" w:type="dxa"/>
            <w:gridSpan w:val="2"/>
            <w:tcBorders>
              <w:left w:val="single" w:color="auto" w:sz="12" w:space="0"/>
              <w:bottom w:val="single" w:color="auto" w:sz="12" w:space="0"/>
            </w:tcBorders>
            <w:vAlign w:val="center"/>
          </w:tcPr>
          <w:p w14:paraId="6114A755">
            <w:pPr>
              <w:widowControl/>
              <w:adjustRightInd w:val="0"/>
              <w:snapToGrid w:val="0"/>
              <w:ind w:firstLine="420"/>
              <w:jc w:val="center"/>
              <w:rPr>
                <w:rFonts w:cs="Times New Roman"/>
                <w:snapToGrid w:val="0"/>
                <w:kern w:val="0"/>
                <w:sz w:val="21"/>
                <w:szCs w:val="21"/>
                <w:highlight w:val="none"/>
              </w:rPr>
            </w:pPr>
            <w:r>
              <w:rPr>
                <w:rFonts w:hint="eastAsia" w:cs="Times New Roman"/>
                <w:snapToGrid w:val="0"/>
                <w:kern w:val="0"/>
                <w:sz w:val="21"/>
                <w:szCs w:val="21"/>
                <w:highlight w:val="none"/>
              </w:rPr>
              <w:t>使用部位</w:t>
            </w:r>
          </w:p>
        </w:tc>
        <w:tc>
          <w:tcPr>
            <w:tcW w:w="3944" w:type="dxa"/>
            <w:gridSpan w:val="2"/>
            <w:tcBorders>
              <w:bottom w:val="single" w:color="auto" w:sz="12" w:space="0"/>
              <w:right w:val="single" w:color="auto" w:sz="12" w:space="0"/>
            </w:tcBorders>
            <w:vAlign w:val="center"/>
          </w:tcPr>
          <w:p w14:paraId="66F0D50C">
            <w:pPr>
              <w:widowControl/>
              <w:adjustRightInd w:val="0"/>
              <w:snapToGrid w:val="0"/>
              <w:ind w:firstLine="420"/>
              <w:jc w:val="center"/>
              <w:rPr>
                <w:rFonts w:cs="Times New Roman"/>
                <w:snapToGrid w:val="0"/>
                <w:kern w:val="0"/>
                <w:sz w:val="21"/>
                <w:szCs w:val="21"/>
                <w:highlight w:val="none"/>
              </w:rPr>
            </w:pPr>
            <w:r>
              <w:rPr>
                <w:rFonts w:hint="eastAsia" w:cs="Times New Roman"/>
                <w:snapToGrid w:val="0"/>
                <w:kern w:val="0"/>
                <w:sz w:val="21"/>
                <w:szCs w:val="21"/>
                <w:highlight w:val="none"/>
              </w:rPr>
              <w:t>8-10段冷却壁</w:t>
            </w:r>
          </w:p>
        </w:tc>
      </w:tr>
    </w:tbl>
    <w:p w14:paraId="3FCB4B76">
      <w:pPr>
        <w:numPr>
          <w:ilvl w:val="0"/>
          <w:numId w:val="16"/>
        </w:numPr>
        <w:ind w:left="480" w:leftChars="0" w:firstLine="0" w:firstLineChars="0"/>
        <w:rPr>
          <w:highlight w:val="none"/>
        </w:rPr>
      </w:pPr>
      <w:r>
        <w:rPr>
          <w:rFonts w:hint="eastAsia"/>
          <w:highlight w:val="none"/>
        </w:rPr>
        <w:t>钢纤维浇注料(高铝陶瓷耐磨料)</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7"/>
        <w:gridCol w:w="1882"/>
        <w:gridCol w:w="1996"/>
        <w:gridCol w:w="1904"/>
      </w:tblGrid>
      <w:tr w14:paraId="31A32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619" w:type="dxa"/>
            <w:gridSpan w:val="2"/>
            <w:tcBorders>
              <w:top w:val="single" w:color="auto" w:sz="12" w:space="0"/>
              <w:left w:val="single" w:color="auto" w:sz="12" w:space="0"/>
            </w:tcBorders>
            <w:vAlign w:val="center"/>
          </w:tcPr>
          <w:p w14:paraId="5A2E666C">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项  目</w:t>
            </w:r>
          </w:p>
        </w:tc>
        <w:tc>
          <w:tcPr>
            <w:tcW w:w="1996" w:type="dxa"/>
            <w:tcBorders>
              <w:top w:val="single" w:color="auto" w:sz="12" w:space="0"/>
            </w:tcBorders>
            <w:vAlign w:val="center"/>
          </w:tcPr>
          <w:p w14:paraId="38F4B315">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单位</w:t>
            </w:r>
          </w:p>
        </w:tc>
        <w:tc>
          <w:tcPr>
            <w:tcW w:w="1904" w:type="dxa"/>
            <w:tcBorders>
              <w:top w:val="single" w:color="auto" w:sz="12" w:space="0"/>
              <w:right w:val="single" w:color="auto" w:sz="12" w:space="0"/>
            </w:tcBorders>
            <w:vAlign w:val="center"/>
          </w:tcPr>
          <w:p w14:paraId="3125E684">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指标</w:t>
            </w:r>
          </w:p>
        </w:tc>
      </w:tr>
      <w:tr w14:paraId="2CB1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37" w:type="dxa"/>
            <w:tcBorders>
              <w:left w:val="single" w:color="auto" w:sz="12" w:space="0"/>
            </w:tcBorders>
            <w:vAlign w:val="center"/>
          </w:tcPr>
          <w:p w14:paraId="60265B7B">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化学成分</w:t>
            </w:r>
          </w:p>
        </w:tc>
        <w:tc>
          <w:tcPr>
            <w:tcW w:w="1882" w:type="dxa"/>
            <w:vAlign w:val="center"/>
          </w:tcPr>
          <w:p w14:paraId="3D6C73C2">
            <w:pPr>
              <w:widowControl/>
              <w:adjustRightInd w:val="0"/>
              <w:snapToGrid w:val="0"/>
              <w:ind w:firstLine="210" w:firstLineChars="100"/>
              <w:jc w:val="center"/>
              <w:rPr>
                <w:rFonts w:cs="Times New Roman"/>
                <w:snapToGrid w:val="0"/>
                <w:kern w:val="0"/>
                <w:sz w:val="21"/>
                <w:szCs w:val="21"/>
                <w:highlight w:val="none"/>
              </w:rPr>
            </w:pPr>
            <w:r>
              <w:rPr>
                <w:rFonts w:cs="Times New Roman"/>
                <w:kern w:val="0"/>
                <w:sz w:val="21"/>
                <w:szCs w:val="21"/>
                <w:highlight w:val="none"/>
              </w:rPr>
              <w:t>Al</w:t>
            </w:r>
            <w:r>
              <w:rPr>
                <w:rFonts w:cs="Times New Roman"/>
                <w:kern w:val="0"/>
                <w:sz w:val="21"/>
                <w:szCs w:val="21"/>
                <w:highlight w:val="none"/>
                <w:vertAlign w:val="subscript"/>
              </w:rPr>
              <w:t>2</w:t>
            </w:r>
            <w:r>
              <w:rPr>
                <w:rFonts w:cs="Times New Roman"/>
                <w:kern w:val="0"/>
                <w:sz w:val="21"/>
                <w:szCs w:val="21"/>
                <w:highlight w:val="none"/>
              </w:rPr>
              <w:t>O</w:t>
            </w:r>
            <w:r>
              <w:rPr>
                <w:rFonts w:cs="Times New Roman"/>
                <w:kern w:val="0"/>
                <w:sz w:val="21"/>
                <w:szCs w:val="21"/>
                <w:highlight w:val="none"/>
                <w:vertAlign w:val="subscript"/>
              </w:rPr>
              <w:t>3</w:t>
            </w:r>
          </w:p>
        </w:tc>
        <w:tc>
          <w:tcPr>
            <w:tcW w:w="1996" w:type="dxa"/>
            <w:vAlign w:val="center"/>
          </w:tcPr>
          <w:p w14:paraId="701AF754">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w:t>
            </w:r>
          </w:p>
        </w:tc>
        <w:tc>
          <w:tcPr>
            <w:tcW w:w="1904" w:type="dxa"/>
            <w:tcBorders>
              <w:right w:val="single" w:color="auto" w:sz="12" w:space="0"/>
            </w:tcBorders>
            <w:vAlign w:val="center"/>
          </w:tcPr>
          <w:p w14:paraId="31B08D8C">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w:t>
            </w:r>
            <w:r>
              <w:rPr>
                <w:rFonts w:hint="eastAsia" w:cs="Times New Roman"/>
                <w:snapToGrid w:val="0"/>
                <w:kern w:val="0"/>
                <w:sz w:val="21"/>
                <w:szCs w:val="21"/>
                <w:highlight w:val="none"/>
              </w:rPr>
              <w:t>65</w:t>
            </w:r>
          </w:p>
        </w:tc>
      </w:tr>
      <w:tr w14:paraId="72FD3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9" w:type="dxa"/>
            <w:gridSpan w:val="2"/>
            <w:tcBorders>
              <w:left w:val="single" w:color="auto" w:sz="12" w:space="0"/>
            </w:tcBorders>
            <w:vAlign w:val="center"/>
          </w:tcPr>
          <w:p w14:paraId="56786DCB">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体积密度</w:t>
            </w:r>
            <w:r>
              <w:rPr>
                <w:rFonts w:hint="eastAsia" w:cs="Times New Roman"/>
                <w:snapToGrid w:val="0"/>
                <w:kern w:val="0"/>
                <w:sz w:val="21"/>
                <w:szCs w:val="21"/>
                <w:highlight w:val="none"/>
              </w:rPr>
              <w:t>（</w:t>
            </w:r>
            <w:r>
              <w:rPr>
                <w:rFonts w:cs="Times New Roman"/>
                <w:snapToGrid w:val="0"/>
                <w:kern w:val="0"/>
                <w:sz w:val="21"/>
                <w:szCs w:val="21"/>
                <w:highlight w:val="none"/>
              </w:rPr>
              <w:t>1</w:t>
            </w:r>
            <w:r>
              <w:rPr>
                <w:rFonts w:hint="eastAsia" w:cs="Times New Roman"/>
                <w:snapToGrid w:val="0"/>
                <w:kern w:val="0"/>
                <w:sz w:val="21"/>
                <w:szCs w:val="21"/>
                <w:highlight w:val="none"/>
              </w:rPr>
              <w:t>1</w:t>
            </w:r>
            <w:r>
              <w:rPr>
                <w:rFonts w:cs="Times New Roman"/>
                <w:snapToGrid w:val="0"/>
                <w:kern w:val="0"/>
                <w:sz w:val="21"/>
                <w:szCs w:val="21"/>
                <w:highlight w:val="none"/>
              </w:rPr>
              <w:t>0℃</w:t>
            </w:r>
            <w:r>
              <w:rPr>
                <w:rFonts w:hint="eastAsia" w:cs="Times New Roman"/>
                <w:snapToGrid w:val="0"/>
                <w:kern w:val="0"/>
                <w:sz w:val="21"/>
                <w:szCs w:val="21"/>
                <w:highlight w:val="none"/>
              </w:rPr>
              <w:t>×24h）</w:t>
            </w:r>
          </w:p>
        </w:tc>
        <w:tc>
          <w:tcPr>
            <w:tcW w:w="1996" w:type="dxa"/>
            <w:vAlign w:val="center"/>
          </w:tcPr>
          <w:p w14:paraId="4EE70F0D">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g/cm</w:t>
            </w:r>
            <w:r>
              <w:rPr>
                <w:rFonts w:cs="Times New Roman"/>
                <w:snapToGrid w:val="0"/>
                <w:kern w:val="0"/>
                <w:sz w:val="21"/>
                <w:szCs w:val="21"/>
                <w:highlight w:val="none"/>
                <w:vertAlign w:val="superscript"/>
              </w:rPr>
              <w:t>3</w:t>
            </w:r>
          </w:p>
        </w:tc>
        <w:tc>
          <w:tcPr>
            <w:tcW w:w="1904" w:type="dxa"/>
            <w:tcBorders>
              <w:right w:val="single" w:color="auto" w:sz="12" w:space="0"/>
            </w:tcBorders>
            <w:vAlign w:val="center"/>
          </w:tcPr>
          <w:p w14:paraId="22279210">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w:t>
            </w:r>
            <w:r>
              <w:rPr>
                <w:rFonts w:hint="eastAsia" w:cs="Times New Roman"/>
                <w:snapToGrid w:val="0"/>
                <w:kern w:val="0"/>
                <w:sz w:val="21"/>
                <w:szCs w:val="21"/>
                <w:highlight w:val="none"/>
              </w:rPr>
              <w:t>2.8</w:t>
            </w:r>
          </w:p>
        </w:tc>
      </w:tr>
      <w:tr w14:paraId="7172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9" w:type="dxa"/>
            <w:gridSpan w:val="2"/>
            <w:tcBorders>
              <w:left w:val="single" w:color="auto" w:sz="12" w:space="0"/>
            </w:tcBorders>
            <w:vAlign w:val="center"/>
          </w:tcPr>
          <w:p w14:paraId="2FDD7F45">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常温抗折强度</w:t>
            </w:r>
            <w:r>
              <w:rPr>
                <w:rFonts w:hint="eastAsia" w:cs="Times New Roman"/>
                <w:snapToGrid w:val="0"/>
                <w:kern w:val="0"/>
                <w:sz w:val="21"/>
                <w:szCs w:val="21"/>
                <w:highlight w:val="none"/>
              </w:rPr>
              <w:t>（</w:t>
            </w:r>
            <w:r>
              <w:rPr>
                <w:rFonts w:cs="Times New Roman"/>
                <w:snapToGrid w:val="0"/>
                <w:kern w:val="0"/>
                <w:sz w:val="21"/>
                <w:szCs w:val="21"/>
                <w:highlight w:val="none"/>
              </w:rPr>
              <w:t>1</w:t>
            </w:r>
            <w:r>
              <w:rPr>
                <w:rFonts w:hint="eastAsia" w:cs="Times New Roman"/>
                <w:snapToGrid w:val="0"/>
                <w:kern w:val="0"/>
                <w:sz w:val="21"/>
                <w:szCs w:val="21"/>
                <w:highlight w:val="none"/>
              </w:rPr>
              <w:t>1</w:t>
            </w:r>
            <w:r>
              <w:rPr>
                <w:rFonts w:cs="Times New Roman"/>
                <w:snapToGrid w:val="0"/>
                <w:kern w:val="0"/>
                <w:sz w:val="21"/>
                <w:szCs w:val="21"/>
                <w:highlight w:val="none"/>
              </w:rPr>
              <w:t>0℃</w:t>
            </w:r>
            <w:r>
              <w:rPr>
                <w:rFonts w:hint="eastAsia" w:cs="Times New Roman"/>
                <w:snapToGrid w:val="0"/>
                <w:kern w:val="0"/>
                <w:sz w:val="21"/>
                <w:szCs w:val="21"/>
                <w:highlight w:val="none"/>
              </w:rPr>
              <w:t>×24h）</w:t>
            </w:r>
          </w:p>
        </w:tc>
        <w:tc>
          <w:tcPr>
            <w:tcW w:w="1996" w:type="dxa"/>
            <w:vAlign w:val="center"/>
          </w:tcPr>
          <w:p w14:paraId="6961FEAA">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MPa</w:t>
            </w:r>
          </w:p>
        </w:tc>
        <w:tc>
          <w:tcPr>
            <w:tcW w:w="1904" w:type="dxa"/>
            <w:tcBorders>
              <w:right w:val="single" w:color="auto" w:sz="12" w:space="0"/>
            </w:tcBorders>
            <w:vAlign w:val="center"/>
          </w:tcPr>
          <w:p w14:paraId="56627EB2">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w:t>
            </w:r>
            <w:r>
              <w:rPr>
                <w:rFonts w:hint="eastAsia" w:cs="Times New Roman"/>
                <w:snapToGrid w:val="0"/>
                <w:kern w:val="0"/>
                <w:sz w:val="21"/>
                <w:szCs w:val="21"/>
                <w:highlight w:val="none"/>
              </w:rPr>
              <w:t>1</w:t>
            </w:r>
            <w:r>
              <w:rPr>
                <w:rFonts w:cs="Times New Roman"/>
                <w:snapToGrid w:val="0"/>
                <w:kern w:val="0"/>
                <w:sz w:val="21"/>
                <w:szCs w:val="21"/>
                <w:highlight w:val="none"/>
              </w:rPr>
              <w:t>5</w:t>
            </w:r>
          </w:p>
        </w:tc>
      </w:tr>
      <w:tr w14:paraId="6BB14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9" w:type="dxa"/>
            <w:gridSpan w:val="2"/>
            <w:tcBorders>
              <w:left w:val="single" w:color="auto" w:sz="12" w:space="0"/>
            </w:tcBorders>
            <w:vAlign w:val="center"/>
          </w:tcPr>
          <w:p w14:paraId="6DA7C53D">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高温抗折强度 (1</w:t>
            </w:r>
            <w:r>
              <w:rPr>
                <w:rFonts w:hint="eastAsia" w:cs="Times New Roman"/>
                <w:snapToGrid w:val="0"/>
                <w:kern w:val="0"/>
                <w:sz w:val="21"/>
                <w:szCs w:val="21"/>
                <w:highlight w:val="none"/>
              </w:rPr>
              <w:t>2</w:t>
            </w:r>
            <w:r>
              <w:rPr>
                <w:rFonts w:cs="Times New Roman"/>
                <w:snapToGrid w:val="0"/>
                <w:kern w:val="0"/>
                <w:sz w:val="21"/>
                <w:szCs w:val="21"/>
                <w:highlight w:val="none"/>
              </w:rPr>
              <w:t>00℃,1h)</w:t>
            </w:r>
            <w:r>
              <w:rPr>
                <w:rFonts w:hint="eastAsia" w:cs="Times New Roman"/>
                <w:snapToGrid w:val="0"/>
                <w:kern w:val="0"/>
                <w:sz w:val="21"/>
                <w:szCs w:val="21"/>
                <w:highlight w:val="none"/>
              </w:rPr>
              <w:t>热态</w:t>
            </w:r>
          </w:p>
        </w:tc>
        <w:tc>
          <w:tcPr>
            <w:tcW w:w="1996" w:type="dxa"/>
            <w:vAlign w:val="center"/>
          </w:tcPr>
          <w:p w14:paraId="20194EEB">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MPa</w:t>
            </w:r>
          </w:p>
        </w:tc>
        <w:tc>
          <w:tcPr>
            <w:tcW w:w="1904" w:type="dxa"/>
            <w:tcBorders>
              <w:right w:val="single" w:color="auto" w:sz="12" w:space="0"/>
            </w:tcBorders>
            <w:vAlign w:val="center"/>
          </w:tcPr>
          <w:p w14:paraId="5666B5DD">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≥5</w:t>
            </w:r>
          </w:p>
        </w:tc>
      </w:tr>
      <w:tr w14:paraId="089B2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9" w:type="dxa"/>
            <w:gridSpan w:val="2"/>
            <w:tcBorders>
              <w:left w:val="single" w:color="auto" w:sz="12" w:space="0"/>
            </w:tcBorders>
            <w:vAlign w:val="center"/>
          </w:tcPr>
          <w:p w14:paraId="05D8D080">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常温耐压强度</w:t>
            </w:r>
            <w:r>
              <w:rPr>
                <w:rFonts w:hint="eastAsia" w:cs="Times New Roman"/>
                <w:snapToGrid w:val="0"/>
                <w:kern w:val="0"/>
                <w:sz w:val="21"/>
                <w:szCs w:val="21"/>
                <w:highlight w:val="none"/>
              </w:rPr>
              <w:t>（</w:t>
            </w:r>
            <w:r>
              <w:rPr>
                <w:rFonts w:cs="Times New Roman"/>
                <w:snapToGrid w:val="0"/>
                <w:kern w:val="0"/>
                <w:sz w:val="21"/>
                <w:szCs w:val="21"/>
                <w:highlight w:val="none"/>
              </w:rPr>
              <w:t>1</w:t>
            </w:r>
            <w:r>
              <w:rPr>
                <w:rFonts w:hint="eastAsia" w:cs="Times New Roman"/>
                <w:snapToGrid w:val="0"/>
                <w:kern w:val="0"/>
                <w:sz w:val="21"/>
                <w:szCs w:val="21"/>
                <w:highlight w:val="none"/>
              </w:rPr>
              <w:t>1</w:t>
            </w:r>
            <w:r>
              <w:rPr>
                <w:rFonts w:cs="Times New Roman"/>
                <w:snapToGrid w:val="0"/>
                <w:kern w:val="0"/>
                <w:sz w:val="21"/>
                <w:szCs w:val="21"/>
                <w:highlight w:val="none"/>
              </w:rPr>
              <w:t>0℃</w:t>
            </w:r>
            <w:r>
              <w:rPr>
                <w:rFonts w:hint="eastAsia" w:cs="Times New Roman"/>
                <w:snapToGrid w:val="0"/>
                <w:kern w:val="0"/>
                <w:sz w:val="21"/>
                <w:szCs w:val="21"/>
                <w:highlight w:val="none"/>
              </w:rPr>
              <w:t>×24h）</w:t>
            </w:r>
          </w:p>
        </w:tc>
        <w:tc>
          <w:tcPr>
            <w:tcW w:w="1996" w:type="dxa"/>
            <w:vAlign w:val="center"/>
          </w:tcPr>
          <w:p w14:paraId="03FD6E4F">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MPa</w:t>
            </w:r>
          </w:p>
        </w:tc>
        <w:tc>
          <w:tcPr>
            <w:tcW w:w="1904" w:type="dxa"/>
            <w:tcBorders>
              <w:right w:val="single" w:color="auto" w:sz="12" w:space="0"/>
            </w:tcBorders>
            <w:vAlign w:val="center"/>
          </w:tcPr>
          <w:p w14:paraId="0432A3F1">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≥8</w:t>
            </w:r>
            <w:r>
              <w:rPr>
                <w:rFonts w:hint="eastAsia" w:cs="Times New Roman"/>
                <w:snapToGrid w:val="0"/>
                <w:kern w:val="0"/>
                <w:sz w:val="21"/>
                <w:szCs w:val="21"/>
                <w:highlight w:val="none"/>
              </w:rPr>
              <w:t>5</w:t>
            </w:r>
          </w:p>
        </w:tc>
      </w:tr>
      <w:tr w14:paraId="7F001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9" w:type="dxa"/>
            <w:gridSpan w:val="2"/>
            <w:tcBorders>
              <w:left w:val="single" w:color="auto" w:sz="12" w:space="0"/>
            </w:tcBorders>
            <w:vAlign w:val="center"/>
          </w:tcPr>
          <w:p w14:paraId="52671EB4">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耐压强度 (1</w:t>
            </w:r>
            <w:r>
              <w:rPr>
                <w:rFonts w:hint="eastAsia" w:cs="Times New Roman"/>
                <w:snapToGrid w:val="0"/>
                <w:kern w:val="0"/>
                <w:sz w:val="21"/>
                <w:szCs w:val="21"/>
                <w:highlight w:val="none"/>
              </w:rPr>
              <w:t>2</w:t>
            </w:r>
            <w:r>
              <w:rPr>
                <w:rFonts w:cs="Times New Roman"/>
                <w:snapToGrid w:val="0"/>
                <w:kern w:val="0"/>
                <w:sz w:val="21"/>
                <w:szCs w:val="21"/>
                <w:highlight w:val="none"/>
              </w:rPr>
              <w:t>00℃</w:t>
            </w:r>
            <w:r>
              <w:rPr>
                <w:rFonts w:hint="eastAsia" w:cs="Times New Roman"/>
                <w:snapToGrid w:val="0"/>
                <w:kern w:val="0"/>
                <w:sz w:val="21"/>
                <w:szCs w:val="21"/>
                <w:highlight w:val="none"/>
              </w:rPr>
              <w:t>×3h</w:t>
            </w:r>
            <w:r>
              <w:rPr>
                <w:rFonts w:cs="Times New Roman"/>
                <w:snapToGrid w:val="0"/>
                <w:kern w:val="0"/>
                <w:sz w:val="21"/>
                <w:szCs w:val="21"/>
                <w:highlight w:val="none"/>
              </w:rPr>
              <w:t>)</w:t>
            </w:r>
          </w:p>
        </w:tc>
        <w:tc>
          <w:tcPr>
            <w:tcW w:w="1996" w:type="dxa"/>
            <w:vAlign w:val="center"/>
          </w:tcPr>
          <w:p w14:paraId="69A88D56">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MPa</w:t>
            </w:r>
          </w:p>
        </w:tc>
        <w:tc>
          <w:tcPr>
            <w:tcW w:w="1904" w:type="dxa"/>
            <w:tcBorders>
              <w:right w:val="single" w:color="auto" w:sz="12" w:space="0"/>
            </w:tcBorders>
            <w:vAlign w:val="center"/>
          </w:tcPr>
          <w:p w14:paraId="37B26755">
            <w:pPr>
              <w:widowControl/>
              <w:adjustRightInd w:val="0"/>
              <w:snapToGrid w:val="0"/>
              <w:ind w:firstLine="420"/>
              <w:jc w:val="center"/>
              <w:rPr>
                <w:rFonts w:cs="Times New Roman"/>
                <w:snapToGrid w:val="0"/>
                <w:kern w:val="0"/>
                <w:sz w:val="21"/>
                <w:szCs w:val="21"/>
                <w:highlight w:val="none"/>
              </w:rPr>
            </w:pPr>
            <w:r>
              <w:rPr>
                <w:rFonts w:cs="Times New Roman"/>
                <w:snapToGrid w:val="0"/>
                <w:kern w:val="0"/>
                <w:sz w:val="21"/>
                <w:szCs w:val="21"/>
                <w:highlight w:val="none"/>
              </w:rPr>
              <w:t>≥9</w:t>
            </w:r>
            <w:r>
              <w:rPr>
                <w:rFonts w:hint="eastAsia" w:cs="Times New Roman"/>
                <w:snapToGrid w:val="0"/>
                <w:kern w:val="0"/>
                <w:sz w:val="21"/>
                <w:szCs w:val="21"/>
                <w:highlight w:val="none"/>
              </w:rPr>
              <w:t>5</w:t>
            </w:r>
          </w:p>
        </w:tc>
      </w:tr>
      <w:tr w14:paraId="54E85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9" w:type="dxa"/>
            <w:gridSpan w:val="2"/>
            <w:tcBorders>
              <w:left w:val="single" w:color="auto" w:sz="12" w:space="0"/>
            </w:tcBorders>
            <w:vAlign w:val="center"/>
          </w:tcPr>
          <w:p w14:paraId="53A38088">
            <w:pPr>
              <w:widowControl/>
              <w:adjustRightInd w:val="0"/>
              <w:snapToGrid w:val="0"/>
              <w:ind w:firstLine="420"/>
              <w:jc w:val="center"/>
              <w:rPr>
                <w:rFonts w:cs="Times New Roman"/>
                <w:snapToGrid w:val="0"/>
                <w:kern w:val="0"/>
                <w:sz w:val="21"/>
                <w:szCs w:val="21"/>
                <w:highlight w:val="none"/>
              </w:rPr>
            </w:pPr>
            <w:r>
              <w:rPr>
                <w:rFonts w:hint="eastAsia" w:cs="Times New Roman"/>
                <w:bCs/>
                <w:kern w:val="0"/>
                <w:sz w:val="21"/>
                <w:szCs w:val="21"/>
                <w:highlight w:val="none"/>
              </w:rPr>
              <w:t>烧后线变化率</w:t>
            </w:r>
            <w:r>
              <w:rPr>
                <w:rFonts w:cs="Times New Roman"/>
                <w:snapToGrid w:val="0"/>
                <w:kern w:val="0"/>
                <w:sz w:val="21"/>
                <w:szCs w:val="21"/>
                <w:highlight w:val="none"/>
              </w:rPr>
              <w:t>(1</w:t>
            </w:r>
            <w:r>
              <w:rPr>
                <w:rFonts w:hint="eastAsia" w:cs="Times New Roman"/>
                <w:snapToGrid w:val="0"/>
                <w:kern w:val="0"/>
                <w:sz w:val="21"/>
                <w:szCs w:val="21"/>
                <w:highlight w:val="none"/>
              </w:rPr>
              <w:t>2</w:t>
            </w:r>
            <w:r>
              <w:rPr>
                <w:rFonts w:cs="Times New Roman"/>
                <w:snapToGrid w:val="0"/>
                <w:kern w:val="0"/>
                <w:sz w:val="21"/>
                <w:szCs w:val="21"/>
                <w:highlight w:val="none"/>
              </w:rPr>
              <w:t>00℃</w:t>
            </w:r>
            <w:r>
              <w:rPr>
                <w:rFonts w:hint="eastAsia" w:cs="Times New Roman"/>
                <w:snapToGrid w:val="0"/>
                <w:kern w:val="0"/>
                <w:sz w:val="21"/>
                <w:szCs w:val="21"/>
                <w:highlight w:val="none"/>
              </w:rPr>
              <w:t>×3h</w:t>
            </w:r>
            <w:r>
              <w:rPr>
                <w:rFonts w:cs="Times New Roman"/>
                <w:snapToGrid w:val="0"/>
                <w:kern w:val="0"/>
                <w:sz w:val="21"/>
                <w:szCs w:val="21"/>
                <w:highlight w:val="none"/>
              </w:rPr>
              <w:t>)</w:t>
            </w:r>
          </w:p>
        </w:tc>
        <w:tc>
          <w:tcPr>
            <w:tcW w:w="1996" w:type="dxa"/>
            <w:vAlign w:val="center"/>
          </w:tcPr>
          <w:p w14:paraId="05035E42">
            <w:pPr>
              <w:widowControl/>
              <w:adjustRightInd w:val="0"/>
              <w:snapToGrid w:val="0"/>
              <w:ind w:firstLine="420"/>
              <w:jc w:val="center"/>
              <w:rPr>
                <w:rFonts w:cs="Times New Roman"/>
                <w:snapToGrid w:val="0"/>
                <w:kern w:val="0"/>
                <w:sz w:val="21"/>
                <w:szCs w:val="21"/>
                <w:highlight w:val="none"/>
              </w:rPr>
            </w:pPr>
            <w:r>
              <w:rPr>
                <w:rFonts w:hint="eastAsia" w:cs="Times New Roman"/>
                <w:snapToGrid w:val="0"/>
                <w:kern w:val="0"/>
                <w:sz w:val="21"/>
                <w:szCs w:val="21"/>
                <w:highlight w:val="none"/>
              </w:rPr>
              <w:t>%</w:t>
            </w:r>
          </w:p>
        </w:tc>
        <w:tc>
          <w:tcPr>
            <w:tcW w:w="1904" w:type="dxa"/>
            <w:tcBorders>
              <w:right w:val="single" w:color="auto" w:sz="12" w:space="0"/>
            </w:tcBorders>
            <w:vAlign w:val="center"/>
          </w:tcPr>
          <w:p w14:paraId="4EC71622">
            <w:pPr>
              <w:widowControl/>
              <w:adjustRightInd w:val="0"/>
              <w:snapToGrid w:val="0"/>
              <w:ind w:firstLine="420"/>
              <w:jc w:val="center"/>
              <w:rPr>
                <w:rFonts w:cs="Times New Roman"/>
                <w:snapToGrid w:val="0"/>
                <w:kern w:val="0"/>
                <w:sz w:val="21"/>
                <w:szCs w:val="21"/>
                <w:highlight w:val="none"/>
              </w:rPr>
            </w:pPr>
            <w:r>
              <w:rPr>
                <w:rFonts w:hint="eastAsia" w:cs="Times New Roman"/>
                <w:snapToGrid w:val="0"/>
                <w:kern w:val="0"/>
                <w:sz w:val="21"/>
                <w:szCs w:val="21"/>
                <w:highlight w:val="none"/>
              </w:rPr>
              <w:t>±0.5</w:t>
            </w:r>
          </w:p>
        </w:tc>
      </w:tr>
      <w:tr w14:paraId="5D5C1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9" w:type="dxa"/>
            <w:gridSpan w:val="2"/>
            <w:tcBorders>
              <w:left w:val="single" w:color="auto" w:sz="12" w:space="0"/>
              <w:bottom w:val="single" w:color="auto" w:sz="12" w:space="0"/>
            </w:tcBorders>
            <w:vAlign w:val="center"/>
          </w:tcPr>
          <w:p w14:paraId="07477E1B">
            <w:pPr>
              <w:widowControl/>
              <w:adjustRightInd w:val="0"/>
              <w:snapToGrid w:val="0"/>
              <w:ind w:firstLine="420"/>
              <w:jc w:val="center"/>
              <w:rPr>
                <w:rFonts w:cs="Times New Roman"/>
                <w:bCs/>
                <w:kern w:val="0"/>
                <w:sz w:val="21"/>
                <w:szCs w:val="21"/>
                <w:highlight w:val="none"/>
              </w:rPr>
            </w:pPr>
            <w:r>
              <w:rPr>
                <w:rFonts w:hint="eastAsia" w:cs="Times New Roman"/>
                <w:bCs/>
                <w:kern w:val="0"/>
                <w:sz w:val="21"/>
                <w:szCs w:val="21"/>
                <w:highlight w:val="none"/>
              </w:rPr>
              <w:t>使用部位</w:t>
            </w:r>
          </w:p>
        </w:tc>
        <w:tc>
          <w:tcPr>
            <w:tcW w:w="3900" w:type="dxa"/>
            <w:gridSpan w:val="2"/>
            <w:tcBorders>
              <w:bottom w:val="single" w:color="auto" w:sz="12" w:space="0"/>
              <w:right w:val="single" w:color="auto" w:sz="12" w:space="0"/>
            </w:tcBorders>
            <w:vAlign w:val="center"/>
          </w:tcPr>
          <w:p w14:paraId="58297309">
            <w:pPr>
              <w:widowControl/>
              <w:adjustRightInd w:val="0"/>
              <w:snapToGrid w:val="0"/>
              <w:ind w:firstLine="420"/>
              <w:jc w:val="center"/>
              <w:rPr>
                <w:rFonts w:cs="Times New Roman"/>
                <w:snapToGrid w:val="0"/>
                <w:kern w:val="0"/>
                <w:sz w:val="21"/>
                <w:szCs w:val="21"/>
                <w:highlight w:val="none"/>
              </w:rPr>
            </w:pPr>
            <w:r>
              <w:rPr>
                <w:rFonts w:hint="eastAsia" w:cs="Times New Roman"/>
                <w:snapToGrid w:val="0"/>
                <w:kern w:val="0"/>
                <w:sz w:val="21"/>
                <w:szCs w:val="21"/>
                <w:highlight w:val="none"/>
              </w:rPr>
              <w:t>11-12段冷却壁</w:t>
            </w:r>
          </w:p>
        </w:tc>
      </w:tr>
    </w:tbl>
    <w:p w14:paraId="5C7C1C2D">
      <w:pPr>
        <w:numPr>
          <w:ilvl w:val="0"/>
          <w:numId w:val="16"/>
        </w:numPr>
        <w:ind w:left="480" w:leftChars="0" w:firstLine="0" w:firstLineChars="0"/>
        <w:rPr>
          <w:highlight w:val="none"/>
        </w:rPr>
      </w:pPr>
      <w:bookmarkStart w:id="325" w:name="_Toc29588"/>
      <w:r>
        <w:rPr>
          <w:highlight w:val="none"/>
        </w:rPr>
        <w:t>耐火喷涂料YJ-BFS</w:t>
      </w:r>
      <w:bookmarkEnd w:id="325"/>
    </w:p>
    <w:tbl>
      <w:tblPr>
        <w:tblStyle w:val="60"/>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108" w:type="dxa"/>
          <w:bottom w:w="28" w:type="dxa"/>
          <w:right w:w="108" w:type="dxa"/>
        </w:tblCellMar>
      </w:tblPr>
      <w:tblGrid>
        <w:gridCol w:w="2127"/>
        <w:gridCol w:w="1385"/>
        <w:gridCol w:w="1274"/>
        <w:gridCol w:w="1767"/>
        <w:gridCol w:w="1966"/>
      </w:tblGrid>
      <w:tr w14:paraId="671918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blHeader/>
        </w:trPr>
        <w:tc>
          <w:tcPr>
            <w:tcW w:w="2061" w:type="pct"/>
            <w:gridSpan w:val="2"/>
            <w:vAlign w:val="center"/>
          </w:tcPr>
          <w:p w14:paraId="5D434DD0">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项    目</w:t>
            </w:r>
          </w:p>
        </w:tc>
        <w:tc>
          <w:tcPr>
            <w:tcW w:w="748" w:type="pct"/>
            <w:vAlign w:val="center"/>
          </w:tcPr>
          <w:p w14:paraId="680695F6">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单 位</w:t>
            </w:r>
          </w:p>
        </w:tc>
        <w:tc>
          <w:tcPr>
            <w:tcW w:w="1037" w:type="pct"/>
            <w:vAlign w:val="center"/>
          </w:tcPr>
          <w:p w14:paraId="0F1A07CE">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指标</w:t>
            </w:r>
          </w:p>
        </w:tc>
        <w:tc>
          <w:tcPr>
            <w:tcW w:w="1154" w:type="pct"/>
            <w:vAlign w:val="center"/>
          </w:tcPr>
          <w:p w14:paraId="6D70B7DA">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检验标准</w:t>
            </w:r>
          </w:p>
        </w:tc>
      </w:tr>
      <w:tr w14:paraId="668349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c>
          <w:tcPr>
            <w:tcW w:w="2061" w:type="pct"/>
            <w:gridSpan w:val="2"/>
            <w:vAlign w:val="center"/>
          </w:tcPr>
          <w:p w14:paraId="7E4363E6">
            <w:pPr>
              <w:spacing w:line="240" w:lineRule="auto"/>
              <w:ind w:firstLine="0" w:firstLineChars="0"/>
              <w:rPr>
                <w:rFonts w:ascii="Times New Roman" w:hAnsi="Times New Roman" w:cs="Times New Roman"/>
                <w:sz w:val="21"/>
                <w:szCs w:val="21"/>
                <w:highlight w:val="none"/>
              </w:rPr>
            </w:pPr>
            <w:r>
              <w:rPr>
                <w:rFonts w:ascii="Times New Roman" w:hAnsi="Times New Roman" w:cs="Times New Roman"/>
                <w:sz w:val="21"/>
                <w:szCs w:val="21"/>
                <w:highlight w:val="none"/>
              </w:rPr>
              <w:t>体积密度（110℃×24h）</w:t>
            </w:r>
          </w:p>
        </w:tc>
        <w:tc>
          <w:tcPr>
            <w:tcW w:w="748" w:type="pct"/>
            <w:vAlign w:val="center"/>
          </w:tcPr>
          <w:p w14:paraId="00341E55">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g/cm</w:t>
            </w:r>
            <w:r>
              <w:rPr>
                <w:rFonts w:ascii="Times New Roman" w:hAnsi="Times New Roman" w:cs="Times New Roman"/>
                <w:sz w:val="21"/>
                <w:szCs w:val="21"/>
                <w:highlight w:val="none"/>
                <w:vertAlign w:val="superscript"/>
              </w:rPr>
              <w:t>3</w:t>
            </w:r>
          </w:p>
        </w:tc>
        <w:tc>
          <w:tcPr>
            <w:tcW w:w="1037" w:type="pct"/>
            <w:vAlign w:val="center"/>
          </w:tcPr>
          <w:p w14:paraId="739B1D86">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≥2.1</w:t>
            </w:r>
          </w:p>
        </w:tc>
        <w:tc>
          <w:tcPr>
            <w:tcW w:w="1154" w:type="pct"/>
            <w:vAlign w:val="center"/>
          </w:tcPr>
          <w:p w14:paraId="24971B15">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YB/T 5200-1993</w:t>
            </w:r>
          </w:p>
        </w:tc>
      </w:tr>
      <w:tr w14:paraId="7008EC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c>
          <w:tcPr>
            <w:tcW w:w="1248" w:type="pct"/>
            <w:vMerge w:val="restart"/>
            <w:vAlign w:val="center"/>
          </w:tcPr>
          <w:p w14:paraId="210E02F6">
            <w:pPr>
              <w:spacing w:line="240" w:lineRule="auto"/>
              <w:ind w:firstLine="0" w:firstLineChars="0"/>
              <w:rPr>
                <w:rFonts w:ascii="Times New Roman" w:hAnsi="Times New Roman" w:cs="Times New Roman"/>
                <w:sz w:val="21"/>
                <w:szCs w:val="21"/>
                <w:highlight w:val="none"/>
              </w:rPr>
            </w:pPr>
            <w:r>
              <w:rPr>
                <w:rFonts w:ascii="Times New Roman" w:hAnsi="Times New Roman" w:cs="Times New Roman"/>
                <w:sz w:val="21"/>
                <w:szCs w:val="21"/>
                <w:highlight w:val="none"/>
              </w:rPr>
              <w:t>化学成分</w:t>
            </w:r>
          </w:p>
        </w:tc>
        <w:tc>
          <w:tcPr>
            <w:tcW w:w="812" w:type="pct"/>
            <w:vAlign w:val="center"/>
          </w:tcPr>
          <w:p w14:paraId="1D8CACC1">
            <w:pPr>
              <w:spacing w:line="240" w:lineRule="auto"/>
              <w:ind w:firstLine="0" w:firstLineChars="0"/>
              <w:rPr>
                <w:rFonts w:ascii="Times New Roman" w:hAnsi="Times New Roman" w:cs="Times New Roman"/>
                <w:sz w:val="21"/>
                <w:szCs w:val="21"/>
                <w:highlight w:val="none"/>
                <w:vertAlign w:val="subscript"/>
              </w:rPr>
            </w:pPr>
            <w:r>
              <w:rPr>
                <w:rFonts w:ascii="Times New Roman" w:hAnsi="Times New Roman" w:cs="Times New Roman"/>
                <w:sz w:val="21"/>
                <w:szCs w:val="21"/>
                <w:highlight w:val="none"/>
              </w:rPr>
              <w:t>Al</w:t>
            </w:r>
            <w:r>
              <w:rPr>
                <w:rFonts w:ascii="Times New Roman" w:hAnsi="Times New Roman" w:cs="Times New Roman"/>
                <w:sz w:val="21"/>
                <w:szCs w:val="21"/>
                <w:highlight w:val="none"/>
                <w:vertAlign w:val="subscript"/>
              </w:rPr>
              <w:t>2</w:t>
            </w:r>
            <w:r>
              <w:rPr>
                <w:rFonts w:ascii="Times New Roman" w:hAnsi="Times New Roman" w:cs="Times New Roman"/>
                <w:sz w:val="21"/>
                <w:szCs w:val="21"/>
                <w:highlight w:val="none"/>
              </w:rPr>
              <w:t>O</w:t>
            </w:r>
            <w:r>
              <w:rPr>
                <w:rFonts w:ascii="Times New Roman" w:hAnsi="Times New Roman" w:cs="Times New Roman"/>
                <w:sz w:val="21"/>
                <w:szCs w:val="21"/>
                <w:highlight w:val="none"/>
                <w:vertAlign w:val="subscript"/>
              </w:rPr>
              <w:t>3</w:t>
            </w:r>
          </w:p>
        </w:tc>
        <w:tc>
          <w:tcPr>
            <w:tcW w:w="748" w:type="pct"/>
            <w:vAlign w:val="center"/>
          </w:tcPr>
          <w:p w14:paraId="7D56C496">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w:t>
            </w:r>
          </w:p>
        </w:tc>
        <w:tc>
          <w:tcPr>
            <w:tcW w:w="1037" w:type="pct"/>
            <w:vAlign w:val="center"/>
          </w:tcPr>
          <w:p w14:paraId="7AA40903">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≥50</w:t>
            </w:r>
          </w:p>
        </w:tc>
        <w:tc>
          <w:tcPr>
            <w:tcW w:w="1154" w:type="pct"/>
            <w:vMerge w:val="restart"/>
            <w:vAlign w:val="center"/>
          </w:tcPr>
          <w:p w14:paraId="21B1EC2C">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GB/T 6900-2006</w:t>
            </w:r>
          </w:p>
        </w:tc>
      </w:tr>
      <w:tr w14:paraId="4A26F9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c>
          <w:tcPr>
            <w:tcW w:w="1248" w:type="pct"/>
            <w:vMerge w:val="continue"/>
            <w:vAlign w:val="center"/>
          </w:tcPr>
          <w:p w14:paraId="117451BE">
            <w:pPr>
              <w:spacing w:line="240" w:lineRule="auto"/>
              <w:ind w:firstLine="0" w:firstLineChars="0"/>
              <w:rPr>
                <w:rFonts w:ascii="Times New Roman" w:hAnsi="Times New Roman" w:cs="Times New Roman"/>
                <w:sz w:val="21"/>
                <w:szCs w:val="21"/>
                <w:highlight w:val="none"/>
              </w:rPr>
            </w:pPr>
          </w:p>
        </w:tc>
        <w:tc>
          <w:tcPr>
            <w:tcW w:w="812" w:type="pct"/>
            <w:vAlign w:val="center"/>
          </w:tcPr>
          <w:p w14:paraId="01F1086B">
            <w:pPr>
              <w:spacing w:line="240" w:lineRule="auto"/>
              <w:ind w:firstLine="0" w:firstLineChars="0"/>
              <w:rPr>
                <w:rFonts w:ascii="Times New Roman" w:hAnsi="Times New Roman" w:cs="Times New Roman"/>
                <w:sz w:val="21"/>
                <w:szCs w:val="21"/>
                <w:highlight w:val="none"/>
                <w:vertAlign w:val="subscript"/>
              </w:rPr>
            </w:pPr>
            <w:r>
              <w:rPr>
                <w:rFonts w:ascii="Times New Roman" w:hAnsi="Times New Roman" w:cs="Times New Roman"/>
                <w:sz w:val="21"/>
                <w:szCs w:val="21"/>
                <w:highlight w:val="none"/>
              </w:rPr>
              <w:t>Fe</w:t>
            </w:r>
            <w:r>
              <w:rPr>
                <w:rFonts w:ascii="Times New Roman" w:hAnsi="Times New Roman" w:cs="Times New Roman"/>
                <w:sz w:val="21"/>
                <w:szCs w:val="21"/>
                <w:highlight w:val="none"/>
                <w:vertAlign w:val="subscript"/>
              </w:rPr>
              <w:t>2</w:t>
            </w:r>
            <w:r>
              <w:rPr>
                <w:rFonts w:ascii="Times New Roman" w:hAnsi="Times New Roman" w:cs="Times New Roman"/>
                <w:sz w:val="21"/>
                <w:szCs w:val="21"/>
                <w:highlight w:val="none"/>
              </w:rPr>
              <w:t>O</w:t>
            </w:r>
            <w:r>
              <w:rPr>
                <w:rFonts w:ascii="Times New Roman" w:hAnsi="Times New Roman" w:cs="Times New Roman"/>
                <w:sz w:val="21"/>
                <w:szCs w:val="21"/>
                <w:highlight w:val="none"/>
                <w:vertAlign w:val="subscript"/>
              </w:rPr>
              <w:t>3</w:t>
            </w:r>
          </w:p>
        </w:tc>
        <w:tc>
          <w:tcPr>
            <w:tcW w:w="748" w:type="pct"/>
            <w:vAlign w:val="center"/>
          </w:tcPr>
          <w:p w14:paraId="1B2F5D98">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w:t>
            </w:r>
          </w:p>
        </w:tc>
        <w:tc>
          <w:tcPr>
            <w:tcW w:w="1037" w:type="pct"/>
            <w:vAlign w:val="center"/>
          </w:tcPr>
          <w:p w14:paraId="36ECF4C9">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≤1.0</w:t>
            </w:r>
          </w:p>
        </w:tc>
        <w:tc>
          <w:tcPr>
            <w:tcW w:w="1154" w:type="pct"/>
            <w:vMerge w:val="continue"/>
            <w:vAlign w:val="center"/>
          </w:tcPr>
          <w:p w14:paraId="2DEBD0B8">
            <w:pPr>
              <w:spacing w:line="240" w:lineRule="auto"/>
              <w:ind w:firstLine="0" w:firstLineChars="0"/>
              <w:jc w:val="center"/>
              <w:rPr>
                <w:rFonts w:ascii="Times New Roman" w:hAnsi="Times New Roman" w:cs="Times New Roman"/>
                <w:sz w:val="21"/>
                <w:szCs w:val="21"/>
                <w:highlight w:val="none"/>
              </w:rPr>
            </w:pPr>
          </w:p>
        </w:tc>
      </w:tr>
      <w:tr w14:paraId="1775E2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c>
          <w:tcPr>
            <w:tcW w:w="1248" w:type="pct"/>
            <w:vMerge w:val="restart"/>
            <w:vAlign w:val="center"/>
          </w:tcPr>
          <w:p w14:paraId="4E6D46D5">
            <w:pPr>
              <w:spacing w:line="240" w:lineRule="auto"/>
              <w:ind w:firstLine="0" w:firstLineChars="0"/>
              <w:rPr>
                <w:rFonts w:ascii="Times New Roman" w:hAnsi="Times New Roman" w:cs="Times New Roman"/>
                <w:sz w:val="21"/>
                <w:szCs w:val="21"/>
                <w:highlight w:val="none"/>
              </w:rPr>
            </w:pPr>
            <w:r>
              <w:rPr>
                <w:rFonts w:ascii="Times New Roman" w:hAnsi="Times New Roman" w:cs="Times New Roman"/>
                <w:sz w:val="21"/>
                <w:szCs w:val="21"/>
                <w:highlight w:val="none"/>
              </w:rPr>
              <w:t>抗折强度</w:t>
            </w:r>
          </w:p>
        </w:tc>
        <w:tc>
          <w:tcPr>
            <w:tcW w:w="812" w:type="pct"/>
            <w:vAlign w:val="center"/>
          </w:tcPr>
          <w:p w14:paraId="5F187734">
            <w:pPr>
              <w:spacing w:line="240" w:lineRule="auto"/>
              <w:ind w:firstLine="0" w:firstLineChars="0"/>
              <w:rPr>
                <w:rFonts w:ascii="Times New Roman" w:hAnsi="Times New Roman" w:cs="Times New Roman"/>
                <w:sz w:val="21"/>
                <w:szCs w:val="21"/>
                <w:highlight w:val="none"/>
              </w:rPr>
            </w:pPr>
            <w:r>
              <w:rPr>
                <w:rFonts w:ascii="Times New Roman" w:hAnsi="Times New Roman" w:cs="Times New Roman"/>
                <w:sz w:val="21"/>
                <w:szCs w:val="21"/>
                <w:highlight w:val="none"/>
              </w:rPr>
              <w:t>110℃×24h</w:t>
            </w:r>
          </w:p>
        </w:tc>
        <w:tc>
          <w:tcPr>
            <w:tcW w:w="748" w:type="pct"/>
            <w:vAlign w:val="center"/>
          </w:tcPr>
          <w:p w14:paraId="0F40C3D0">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MPa</w:t>
            </w:r>
          </w:p>
        </w:tc>
        <w:tc>
          <w:tcPr>
            <w:tcW w:w="1037" w:type="pct"/>
            <w:vAlign w:val="center"/>
          </w:tcPr>
          <w:p w14:paraId="35BDF0DA">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≥8.0</w:t>
            </w:r>
          </w:p>
        </w:tc>
        <w:tc>
          <w:tcPr>
            <w:tcW w:w="1154" w:type="pct"/>
            <w:vMerge w:val="restart"/>
            <w:vAlign w:val="center"/>
          </w:tcPr>
          <w:p w14:paraId="02440811">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GB/T 3001-2017</w:t>
            </w:r>
          </w:p>
        </w:tc>
      </w:tr>
      <w:tr w14:paraId="63A594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c>
          <w:tcPr>
            <w:tcW w:w="1248" w:type="pct"/>
            <w:vMerge w:val="continue"/>
            <w:vAlign w:val="center"/>
          </w:tcPr>
          <w:p w14:paraId="1FF37D86">
            <w:pPr>
              <w:spacing w:line="240" w:lineRule="auto"/>
              <w:ind w:firstLine="0" w:firstLineChars="0"/>
              <w:rPr>
                <w:rFonts w:ascii="Times New Roman" w:hAnsi="Times New Roman" w:cs="Times New Roman"/>
                <w:sz w:val="21"/>
                <w:szCs w:val="21"/>
                <w:highlight w:val="none"/>
              </w:rPr>
            </w:pPr>
          </w:p>
        </w:tc>
        <w:tc>
          <w:tcPr>
            <w:tcW w:w="812" w:type="pct"/>
            <w:vAlign w:val="center"/>
          </w:tcPr>
          <w:p w14:paraId="5DD89D71">
            <w:pPr>
              <w:spacing w:line="240" w:lineRule="auto"/>
              <w:ind w:firstLine="0" w:firstLineChars="0"/>
              <w:rPr>
                <w:rFonts w:ascii="Times New Roman" w:hAnsi="Times New Roman" w:cs="Times New Roman"/>
                <w:sz w:val="21"/>
                <w:szCs w:val="21"/>
                <w:highlight w:val="none"/>
              </w:rPr>
            </w:pPr>
            <w:r>
              <w:rPr>
                <w:rFonts w:ascii="Times New Roman" w:hAnsi="Times New Roman" w:cs="Times New Roman"/>
                <w:sz w:val="21"/>
                <w:szCs w:val="21"/>
                <w:highlight w:val="none"/>
              </w:rPr>
              <w:t>1350℃×3h</w:t>
            </w:r>
          </w:p>
        </w:tc>
        <w:tc>
          <w:tcPr>
            <w:tcW w:w="748" w:type="pct"/>
            <w:vAlign w:val="center"/>
          </w:tcPr>
          <w:p w14:paraId="3BABEBD4">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MPa</w:t>
            </w:r>
          </w:p>
        </w:tc>
        <w:tc>
          <w:tcPr>
            <w:tcW w:w="1037" w:type="pct"/>
            <w:vAlign w:val="center"/>
          </w:tcPr>
          <w:p w14:paraId="20446986">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≥8.0</w:t>
            </w:r>
          </w:p>
        </w:tc>
        <w:tc>
          <w:tcPr>
            <w:tcW w:w="1154" w:type="pct"/>
            <w:vMerge w:val="continue"/>
            <w:vAlign w:val="center"/>
          </w:tcPr>
          <w:p w14:paraId="737FEEB3">
            <w:pPr>
              <w:spacing w:line="240" w:lineRule="auto"/>
              <w:ind w:firstLine="0" w:firstLineChars="0"/>
              <w:jc w:val="center"/>
              <w:rPr>
                <w:rFonts w:ascii="Times New Roman" w:hAnsi="Times New Roman" w:cs="Times New Roman"/>
                <w:sz w:val="21"/>
                <w:szCs w:val="21"/>
                <w:highlight w:val="none"/>
              </w:rPr>
            </w:pPr>
          </w:p>
        </w:tc>
      </w:tr>
      <w:tr w14:paraId="62BCA8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c>
          <w:tcPr>
            <w:tcW w:w="1248" w:type="pct"/>
            <w:vMerge w:val="restart"/>
            <w:vAlign w:val="center"/>
          </w:tcPr>
          <w:p w14:paraId="30A8F3CA">
            <w:pPr>
              <w:spacing w:line="240" w:lineRule="auto"/>
              <w:ind w:firstLine="0" w:firstLineChars="0"/>
              <w:rPr>
                <w:rFonts w:ascii="Times New Roman" w:hAnsi="Times New Roman" w:cs="Times New Roman"/>
                <w:sz w:val="21"/>
                <w:szCs w:val="21"/>
                <w:highlight w:val="none"/>
              </w:rPr>
            </w:pPr>
            <w:r>
              <w:rPr>
                <w:rFonts w:ascii="Times New Roman" w:hAnsi="Times New Roman" w:cs="Times New Roman"/>
                <w:sz w:val="21"/>
                <w:szCs w:val="21"/>
                <w:highlight w:val="none"/>
              </w:rPr>
              <w:t>耐压强度</w:t>
            </w:r>
          </w:p>
        </w:tc>
        <w:tc>
          <w:tcPr>
            <w:tcW w:w="812" w:type="pct"/>
            <w:vAlign w:val="center"/>
          </w:tcPr>
          <w:p w14:paraId="24E02996">
            <w:pPr>
              <w:spacing w:line="240" w:lineRule="auto"/>
              <w:ind w:firstLine="0" w:firstLineChars="0"/>
              <w:rPr>
                <w:rFonts w:ascii="Times New Roman" w:hAnsi="Times New Roman" w:cs="Times New Roman"/>
                <w:sz w:val="21"/>
                <w:szCs w:val="21"/>
                <w:highlight w:val="none"/>
              </w:rPr>
            </w:pPr>
            <w:r>
              <w:rPr>
                <w:rFonts w:ascii="Times New Roman" w:hAnsi="Times New Roman" w:cs="Times New Roman"/>
                <w:sz w:val="21"/>
                <w:szCs w:val="21"/>
                <w:highlight w:val="none"/>
              </w:rPr>
              <w:t>110℃×24h</w:t>
            </w:r>
          </w:p>
        </w:tc>
        <w:tc>
          <w:tcPr>
            <w:tcW w:w="748" w:type="pct"/>
            <w:vAlign w:val="center"/>
          </w:tcPr>
          <w:p w14:paraId="4C22D8D1">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MPa</w:t>
            </w:r>
          </w:p>
        </w:tc>
        <w:tc>
          <w:tcPr>
            <w:tcW w:w="1037" w:type="pct"/>
            <w:vAlign w:val="center"/>
          </w:tcPr>
          <w:p w14:paraId="188CDF0D">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≥40</w:t>
            </w:r>
          </w:p>
        </w:tc>
        <w:tc>
          <w:tcPr>
            <w:tcW w:w="1154" w:type="pct"/>
            <w:vMerge w:val="restart"/>
            <w:vAlign w:val="center"/>
          </w:tcPr>
          <w:p w14:paraId="51AD1AFC">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GB/T 5072-2008</w:t>
            </w:r>
          </w:p>
        </w:tc>
      </w:tr>
      <w:tr w14:paraId="141DD4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c>
          <w:tcPr>
            <w:tcW w:w="1248" w:type="pct"/>
            <w:vMerge w:val="continue"/>
            <w:vAlign w:val="center"/>
          </w:tcPr>
          <w:p w14:paraId="41693EA5">
            <w:pPr>
              <w:spacing w:line="240" w:lineRule="auto"/>
              <w:ind w:firstLine="0" w:firstLineChars="0"/>
              <w:rPr>
                <w:rFonts w:ascii="Times New Roman" w:hAnsi="Times New Roman" w:cs="Times New Roman"/>
                <w:sz w:val="21"/>
                <w:szCs w:val="21"/>
                <w:highlight w:val="none"/>
              </w:rPr>
            </w:pPr>
          </w:p>
        </w:tc>
        <w:tc>
          <w:tcPr>
            <w:tcW w:w="812" w:type="pct"/>
            <w:vAlign w:val="center"/>
          </w:tcPr>
          <w:p w14:paraId="525CBC7A">
            <w:pPr>
              <w:spacing w:line="240" w:lineRule="auto"/>
              <w:ind w:firstLine="0" w:firstLineChars="0"/>
              <w:rPr>
                <w:rFonts w:ascii="Times New Roman" w:hAnsi="Times New Roman" w:cs="Times New Roman"/>
                <w:sz w:val="21"/>
                <w:szCs w:val="21"/>
                <w:highlight w:val="none"/>
              </w:rPr>
            </w:pPr>
            <w:r>
              <w:rPr>
                <w:rFonts w:ascii="Times New Roman" w:hAnsi="Times New Roman" w:cs="Times New Roman"/>
                <w:sz w:val="21"/>
                <w:szCs w:val="21"/>
                <w:highlight w:val="none"/>
              </w:rPr>
              <w:t>1450℃×3h</w:t>
            </w:r>
          </w:p>
        </w:tc>
        <w:tc>
          <w:tcPr>
            <w:tcW w:w="748" w:type="pct"/>
            <w:vAlign w:val="center"/>
          </w:tcPr>
          <w:p w14:paraId="1F05A857">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MPa</w:t>
            </w:r>
          </w:p>
        </w:tc>
        <w:tc>
          <w:tcPr>
            <w:tcW w:w="1037" w:type="pct"/>
            <w:vAlign w:val="center"/>
          </w:tcPr>
          <w:p w14:paraId="093F2591">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≥42</w:t>
            </w:r>
          </w:p>
        </w:tc>
        <w:tc>
          <w:tcPr>
            <w:tcW w:w="1154" w:type="pct"/>
            <w:vMerge w:val="continue"/>
            <w:vAlign w:val="center"/>
          </w:tcPr>
          <w:p w14:paraId="32F27314">
            <w:pPr>
              <w:spacing w:line="240" w:lineRule="auto"/>
              <w:ind w:firstLine="0" w:firstLineChars="0"/>
              <w:jc w:val="center"/>
              <w:rPr>
                <w:rFonts w:ascii="Times New Roman" w:hAnsi="Times New Roman" w:cs="Times New Roman"/>
                <w:sz w:val="21"/>
                <w:szCs w:val="21"/>
                <w:highlight w:val="none"/>
              </w:rPr>
            </w:pPr>
          </w:p>
        </w:tc>
      </w:tr>
      <w:tr w14:paraId="062F37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c>
          <w:tcPr>
            <w:tcW w:w="1248" w:type="pct"/>
            <w:vMerge w:val="restart"/>
            <w:vAlign w:val="center"/>
          </w:tcPr>
          <w:p w14:paraId="5189456E">
            <w:pPr>
              <w:spacing w:line="240" w:lineRule="auto"/>
              <w:ind w:firstLine="0" w:firstLineChars="0"/>
              <w:rPr>
                <w:rFonts w:ascii="Times New Roman" w:hAnsi="Times New Roman" w:cs="Times New Roman"/>
                <w:sz w:val="21"/>
                <w:szCs w:val="21"/>
                <w:highlight w:val="none"/>
              </w:rPr>
            </w:pPr>
            <w:r>
              <w:rPr>
                <w:rFonts w:ascii="Times New Roman" w:hAnsi="Times New Roman" w:cs="Times New Roman"/>
                <w:sz w:val="21"/>
                <w:szCs w:val="21"/>
                <w:highlight w:val="none"/>
              </w:rPr>
              <w:t>烧后线变化率</w:t>
            </w:r>
          </w:p>
        </w:tc>
        <w:tc>
          <w:tcPr>
            <w:tcW w:w="812" w:type="pct"/>
            <w:vAlign w:val="center"/>
          </w:tcPr>
          <w:p w14:paraId="38616408">
            <w:pPr>
              <w:spacing w:line="240" w:lineRule="auto"/>
              <w:ind w:firstLine="0" w:firstLineChars="0"/>
              <w:rPr>
                <w:rFonts w:ascii="Times New Roman" w:hAnsi="Times New Roman" w:cs="Times New Roman"/>
                <w:sz w:val="21"/>
                <w:szCs w:val="21"/>
                <w:highlight w:val="none"/>
              </w:rPr>
            </w:pPr>
            <w:r>
              <w:rPr>
                <w:rFonts w:ascii="Times New Roman" w:hAnsi="Times New Roman" w:cs="Times New Roman"/>
                <w:sz w:val="21"/>
                <w:szCs w:val="21"/>
                <w:highlight w:val="none"/>
              </w:rPr>
              <w:t>600℃×3h</w:t>
            </w:r>
          </w:p>
        </w:tc>
        <w:tc>
          <w:tcPr>
            <w:tcW w:w="748" w:type="pct"/>
            <w:vAlign w:val="center"/>
          </w:tcPr>
          <w:p w14:paraId="125CD1CF">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w:t>
            </w:r>
          </w:p>
        </w:tc>
        <w:tc>
          <w:tcPr>
            <w:tcW w:w="1037" w:type="pct"/>
            <w:vAlign w:val="center"/>
          </w:tcPr>
          <w:p w14:paraId="6D3307D0">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±0.3</w:t>
            </w:r>
          </w:p>
        </w:tc>
        <w:tc>
          <w:tcPr>
            <w:tcW w:w="1154" w:type="pct"/>
            <w:vMerge w:val="restart"/>
            <w:vAlign w:val="center"/>
          </w:tcPr>
          <w:p w14:paraId="19B58BD3">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GB/T 5988-2007</w:t>
            </w:r>
          </w:p>
        </w:tc>
      </w:tr>
      <w:tr w14:paraId="4E54D3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c>
          <w:tcPr>
            <w:tcW w:w="1248" w:type="pct"/>
            <w:vMerge w:val="continue"/>
            <w:vAlign w:val="center"/>
          </w:tcPr>
          <w:p w14:paraId="256FF1B9">
            <w:pPr>
              <w:spacing w:line="240" w:lineRule="auto"/>
              <w:ind w:firstLine="0" w:firstLineChars="0"/>
              <w:rPr>
                <w:rFonts w:ascii="Times New Roman" w:hAnsi="Times New Roman" w:cs="Times New Roman"/>
                <w:sz w:val="21"/>
                <w:szCs w:val="21"/>
                <w:highlight w:val="none"/>
              </w:rPr>
            </w:pPr>
          </w:p>
        </w:tc>
        <w:tc>
          <w:tcPr>
            <w:tcW w:w="812" w:type="pct"/>
            <w:vAlign w:val="center"/>
          </w:tcPr>
          <w:p w14:paraId="03A60676">
            <w:pPr>
              <w:spacing w:line="240" w:lineRule="auto"/>
              <w:ind w:firstLine="0" w:firstLineChars="0"/>
              <w:rPr>
                <w:rFonts w:ascii="Times New Roman" w:hAnsi="Times New Roman" w:cs="Times New Roman"/>
                <w:sz w:val="21"/>
                <w:szCs w:val="21"/>
                <w:highlight w:val="none"/>
              </w:rPr>
            </w:pPr>
            <w:r>
              <w:rPr>
                <w:rFonts w:ascii="Times New Roman" w:hAnsi="Times New Roman" w:cs="Times New Roman"/>
                <w:sz w:val="21"/>
                <w:szCs w:val="21"/>
                <w:highlight w:val="none"/>
              </w:rPr>
              <w:t>1350℃×3h</w:t>
            </w:r>
          </w:p>
        </w:tc>
        <w:tc>
          <w:tcPr>
            <w:tcW w:w="748" w:type="pct"/>
            <w:vAlign w:val="center"/>
          </w:tcPr>
          <w:p w14:paraId="51671BA6">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w:t>
            </w:r>
          </w:p>
        </w:tc>
        <w:tc>
          <w:tcPr>
            <w:tcW w:w="1037" w:type="pct"/>
            <w:vAlign w:val="center"/>
          </w:tcPr>
          <w:p w14:paraId="7B065A79">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±0.6</w:t>
            </w:r>
          </w:p>
        </w:tc>
        <w:tc>
          <w:tcPr>
            <w:tcW w:w="1154" w:type="pct"/>
            <w:vMerge w:val="continue"/>
            <w:vAlign w:val="center"/>
          </w:tcPr>
          <w:p w14:paraId="0ACF2D12">
            <w:pPr>
              <w:spacing w:line="240" w:lineRule="auto"/>
              <w:ind w:firstLine="0" w:firstLineChars="0"/>
              <w:jc w:val="center"/>
              <w:rPr>
                <w:rFonts w:ascii="Times New Roman" w:hAnsi="Times New Roman" w:cs="Times New Roman"/>
                <w:sz w:val="21"/>
                <w:szCs w:val="21"/>
                <w:highlight w:val="none"/>
              </w:rPr>
            </w:pPr>
          </w:p>
        </w:tc>
      </w:tr>
      <w:tr w14:paraId="5FDAC9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c>
          <w:tcPr>
            <w:tcW w:w="2061" w:type="pct"/>
            <w:gridSpan w:val="2"/>
            <w:vAlign w:val="center"/>
          </w:tcPr>
          <w:p w14:paraId="3E5C2E4C">
            <w:pPr>
              <w:spacing w:line="240" w:lineRule="auto"/>
              <w:ind w:firstLine="0" w:firstLineChars="0"/>
              <w:rPr>
                <w:rFonts w:ascii="Times New Roman" w:hAnsi="Times New Roman" w:cs="Times New Roman"/>
                <w:sz w:val="21"/>
                <w:szCs w:val="21"/>
                <w:highlight w:val="none"/>
              </w:rPr>
            </w:pPr>
            <w:r>
              <w:rPr>
                <w:rFonts w:ascii="Times New Roman" w:hAnsi="Times New Roman" w:cs="Times New Roman"/>
                <w:sz w:val="21"/>
                <w:szCs w:val="21"/>
                <w:highlight w:val="none"/>
              </w:rPr>
              <w:t>导热系数1000℃</w:t>
            </w:r>
          </w:p>
        </w:tc>
        <w:tc>
          <w:tcPr>
            <w:tcW w:w="748" w:type="pct"/>
            <w:vAlign w:val="center"/>
          </w:tcPr>
          <w:p w14:paraId="04A22D99">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kern w:val="0"/>
                <w:sz w:val="21"/>
                <w:szCs w:val="21"/>
                <w:highlight w:val="none"/>
              </w:rPr>
              <w:t>W/(m·k)</w:t>
            </w:r>
          </w:p>
        </w:tc>
        <w:tc>
          <w:tcPr>
            <w:tcW w:w="1037" w:type="pct"/>
            <w:vAlign w:val="center"/>
          </w:tcPr>
          <w:p w14:paraId="09970703">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≤0.79</w:t>
            </w:r>
          </w:p>
        </w:tc>
        <w:tc>
          <w:tcPr>
            <w:tcW w:w="1154" w:type="pct"/>
            <w:vAlign w:val="center"/>
          </w:tcPr>
          <w:p w14:paraId="3D4AA5E9">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YB/T 4130-2005</w:t>
            </w:r>
          </w:p>
        </w:tc>
      </w:tr>
      <w:tr w14:paraId="38AC43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c>
          <w:tcPr>
            <w:tcW w:w="2061" w:type="pct"/>
            <w:gridSpan w:val="2"/>
            <w:vAlign w:val="center"/>
          </w:tcPr>
          <w:p w14:paraId="1D269664">
            <w:pPr>
              <w:spacing w:line="240" w:lineRule="auto"/>
              <w:ind w:firstLine="0" w:firstLineChars="0"/>
              <w:rPr>
                <w:rFonts w:ascii="Times New Roman" w:hAnsi="Times New Roman" w:cs="Times New Roman"/>
                <w:sz w:val="21"/>
                <w:szCs w:val="21"/>
                <w:highlight w:val="none"/>
              </w:rPr>
            </w:pPr>
            <w:r>
              <w:rPr>
                <w:rFonts w:ascii="Times New Roman" w:hAnsi="Times New Roman" w:cs="Times New Roman"/>
                <w:sz w:val="21"/>
                <w:szCs w:val="21"/>
                <w:highlight w:val="none"/>
              </w:rPr>
              <w:t>施工反弹率</w:t>
            </w:r>
          </w:p>
        </w:tc>
        <w:tc>
          <w:tcPr>
            <w:tcW w:w="748" w:type="pct"/>
            <w:vAlign w:val="center"/>
          </w:tcPr>
          <w:p w14:paraId="02AFE864">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w:t>
            </w:r>
          </w:p>
        </w:tc>
        <w:tc>
          <w:tcPr>
            <w:tcW w:w="1037" w:type="pct"/>
            <w:vAlign w:val="center"/>
          </w:tcPr>
          <w:p w14:paraId="3836E5BD">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≤25</w:t>
            </w:r>
          </w:p>
        </w:tc>
        <w:tc>
          <w:tcPr>
            <w:tcW w:w="1154" w:type="pct"/>
            <w:vAlign w:val="center"/>
          </w:tcPr>
          <w:p w14:paraId="16D1D104">
            <w:pPr>
              <w:spacing w:line="240" w:lineRule="auto"/>
              <w:ind w:firstLine="0" w:firstLineChars="0"/>
              <w:jc w:val="center"/>
              <w:rPr>
                <w:rFonts w:ascii="Times New Roman" w:hAnsi="Times New Roman" w:cs="Times New Roman"/>
                <w:sz w:val="21"/>
                <w:szCs w:val="21"/>
                <w:highlight w:val="none"/>
              </w:rPr>
            </w:pPr>
          </w:p>
        </w:tc>
      </w:tr>
      <w:tr w14:paraId="79F0D3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c>
          <w:tcPr>
            <w:tcW w:w="2809" w:type="pct"/>
            <w:gridSpan w:val="3"/>
            <w:vAlign w:val="center"/>
          </w:tcPr>
          <w:p w14:paraId="2D72D527">
            <w:pPr>
              <w:spacing w:line="240" w:lineRule="auto"/>
              <w:ind w:firstLine="0" w:firstLineChars="0"/>
              <w:jc w:val="both"/>
              <w:rPr>
                <w:rFonts w:ascii="Times New Roman" w:hAnsi="Times New Roman" w:cs="Times New Roman"/>
                <w:sz w:val="21"/>
                <w:szCs w:val="21"/>
                <w:highlight w:val="none"/>
              </w:rPr>
            </w:pPr>
            <w:r>
              <w:rPr>
                <w:rFonts w:hint="eastAsia" w:ascii="Times New Roman"/>
                <w:bCs/>
                <w:sz w:val="21"/>
                <w:szCs w:val="21"/>
                <w:highlight w:val="none"/>
              </w:rPr>
              <w:t>使用部位</w:t>
            </w:r>
          </w:p>
        </w:tc>
        <w:tc>
          <w:tcPr>
            <w:tcW w:w="2191" w:type="pct"/>
            <w:gridSpan w:val="2"/>
            <w:vAlign w:val="center"/>
          </w:tcPr>
          <w:p w14:paraId="57D58D93">
            <w:pPr>
              <w:spacing w:line="240" w:lineRule="auto"/>
              <w:ind w:firstLine="0" w:firstLineChars="0"/>
              <w:jc w:val="center"/>
              <w:rPr>
                <w:rFonts w:ascii="Times New Roman" w:hAnsi="Times New Roman" w:cs="Times New Roman"/>
                <w:sz w:val="21"/>
                <w:szCs w:val="21"/>
                <w:highlight w:val="none"/>
              </w:rPr>
            </w:pPr>
            <w:r>
              <w:rPr>
                <w:rFonts w:hint="eastAsia" w:ascii="Times New Roman" w:hAnsi="Times New Roman" w:cs="Times New Roman"/>
                <w:sz w:val="21"/>
                <w:szCs w:val="21"/>
                <w:highlight w:val="none"/>
              </w:rPr>
              <w:t>5-7</w:t>
            </w:r>
            <w:r>
              <w:rPr>
                <w:rFonts w:ascii="Times New Roman" w:hAnsi="Times New Roman" w:cs="Times New Roman"/>
                <w:sz w:val="21"/>
                <w:szCs w:val="21"/>
                <w:highlight w:val="none"/>
              </w:rPr>
              <w:t>冷却壁热面</w:t>
            </w:r>
          </w:p>
        </w:tc>
      </w:tr>
    </w:tbl>
    <w:p w14:paraId="5BE44770">
      <w:pPr>
        <w:spacing w:line="240" w:lineRule="auto"/>
        <w:ind w:firstLine="0" w:firstLineChars="0"/>
        <w:rPr>
          <w:rFonts w:cs="宋体"/>
          <w:highlight w:val="none"/>
          <w:lang w:val="it-IT"/>
        </w:rPr>
      </w:pPr>
    </w:p>
    <w:p w14:paraId="49E199AD">
      <w:pPr>
        <w:shd w:val="clear"/>
        <w:ind w:firstLine="0" w:firstLineChars="0"/>
        <w:outlineLvl w:val="1"/>
        <w:rPr>
          <w:rFonts w:cs="Times New Roman"/>
          <w:b/>
          <w:color w:val="auto"/>
          <w:sz w:val="28"/>
          <w:szCs w:val="28"/>
          <w:highlight w:val="none"/>
        </w:rPr>
      </w:pPr>
      <w:bookmarkStart w:id="326" w:name="_Toc15469"/>
      <w:bookmarkStart w:id="327" w:name="_Toc27553"/>
      <w:r>
        <w:rPr>
          <w:rFonts w:cs="Times New Roman"/>
          <w:b/>
          <w:color w:val="auto"/>
          <w:sz w:val="28"/>
          <w:szCs w:val="28"/>
          <w:highlight w:val="none"/>
        </w:rPr>
        <w:t>2.7 出铁场系统</w:t>
      </w:r>
      <w:bookmarkEnd w:id="276"/>
      <w:bookmarkEnd w:id="277"/>
      <w:bookmarkEnd w:id="278"/>
      <w:bookmarkEnd w:id="279"/>
      <w:bookmarkEnd w:id="280"/>
      <w:bookmarkEnd w:id="281"/>
      <w:bookmarkEnd w:id="282"/>
      <w:bookmarkEnd w:id="283"/>
      <w:bookmarkEnd w:id="284"/>
      <w:bookmarkEnd w:id="285"/>
      <w:bookmarkEnd w:id="326"/>
      <w:bookmarkEnd w:id="327"/>
    </w:p>
    <w:p w14:paraId="3B736741">
      <w:pPr>
        <w:shd w:val="clear"/>
        <w:jc w:val="both"/>
        <w:rPr>
          <w:rFonts w:ascii="Times New Roman" w:hAnsi="Times New Roman" w:cs="Times New Roman"/>
          <w:color w:val="auto"/>
          <w:highlight w:val="none"/>
        </w:rPr>
      </w:pPr>
      <w:r>
        <w:rPr>
          <w:rFonts w:ascii="Times New Roman" w:hAnsi="Times New Roman" w:cs="Times New Roman"/>
          <w:color w:val="auto"/>
          <w:highlight w:val="none"/>
        </w:rPr>
        <w:t>出铁场系统包括风口平台、出铁场平台、出铁场厂房构筑物、炉前吊车、液压泥泡、液压开口机、渣铁沟、铁水摆动流槽、工业管道、炉前液压系统等其它相关设施。</w:t>
      </w:r>
    </w:p>
    <w:p w14:paraId="219AEC25">
      <w:pPr>
        <w:shd w:val="clear"/>
        <w:ind w:firstLine="0" w:firstLineChars="0"/>
        <w:outlineLvl w:val="2"/>
        <w:rPr>
          <w:rFonts w:cs="Times New Roman"/>
          <w:color w:val="auto"/>
          <w:szCs w:val="28"/>
          <w:highlight w:val="none"/>
        </w:rPr>
      </w:pPr>
      <w:bookmarkStart w:id="328" w:name="_Toc27852"/>
      <w:r>
        <w:rPr>
          <w:rFonts w:hint="eastAsia" w:cs="Times New Roman"/>
          <w:color w:val="auto"/>
          <w:szCs w:val="28"/>
          <w:highlight w:val="none"/>
        </w:rPr>
        <w:t>2.7.1 出铁场系统现状</w:t>
      </w:r>
      <w:bookmarkEnd w:id="328"/>
    </w:p>
    <w:p w14:paraId="7FCD2B71">
      <w:pPr>
        <w:shd w:val="clear"/>
        <w:jc w:val="both"/>
        <w:rPr>
          <w:rFonts w:ascii="Times New Roman" w:hAnsi="Times New Roman" w:cs="Times New Roman"/>
          <w:color w:val="auto"/>
          <w:highlight w:val="none"/>
        </w:rPr>
      </w:pPr>
      <w:r>
        <w:rPr>
          <w:rFonts w:ascii="Times New Roman" w:hAnsi="Times New Roman" w:cs="Times New Roman"/>
          <w:color w:val="auto"/>
          <w:highlight w:val="none"/>
        </w:rPr>
        <w:t>高炉设有2个铁口，不设渣口，铁口标高9.740m，采用两个铁口轮流出铁。</w:t>
      </w:r>
    </w:p>
    <w:p w14:paraId="340BAD9C">
      <w:pPr>
        <w:shd w:val="clear"/>
        <w:jc w:val="both"/>
        <w:rPr>
          <w:rFonts w:ascii="Times New Roman" w:hAnsi="Times New Roman" w:cs="Times New Roman"/>
          <w:color w:val="auto"/>
          <w:highlight w:val="none"/>
        </w:rPr>
      </w:pPr>
      <w:r>
        <w:rPr>
          <w:rFonts w:ascii="Times New Roman" w:hAnsi="Times New Roman" w:cs="Times New Roman"/>
          <w:color w:val="auto"/>
          <w:highlight w:val="none"/>
        </w:rPr>
        <w:t>高炉采用双矩形出铁场，两个出铁场上各设1个铁口，铁口附近平台面层标高9.700m。2个铁口夹角为160°。出铁场平台下共设有2条铁路线，作为铁水罐的停放线。在出铁场操作平台上安装有渣铁沟、泥炮、开口机、摆动流槽、桥式吊车等设备。泥炮、开铁口机安装在主沟的两侧，现场空间狭小。南出铁场设1台15t/3t的桥式吊车，北出铁场设1台16t/3.2t的桥式吊车。</w:t>
      </w:r>
    </w:p>
    <w:p w14:paraId="53172F23">
      <w:pPr>
        <w:shd w:val="clear"/>
        <w:jc w:val="both"/>
        <w:rPr>
          <w:rFonts w:ascii="Times New Roman" w:hAnsi="Times New Roman" w:cs="Times New Roman"/>
          <w:color w:val="auto"/>
          <w:highlight w:val="none"/>
        </w:rPr>
      </w:pPr>
      <w:r>
        <w:rPr>
          <w:rFonts w:ascii="Times New Roman" w:hAnsi="Times New Roman" w:cs="Times New Roman"/>
          <w:color w:val="auto"/>
          <w:highlight w:val="none"/>
        </w:rPr>
        <w:t>操作平台面层趋于平坦化设计，沟盖与操作平台面基本平齐</w:t>
      </w:r>
      <w:r>
        <w:rPr>
          <w:rFonts w:hint="eastAsia" w:ascii="Times New Roman" w:hAnsi="Times New Roman" w:cs="Times New Roman"/>
          <w:color w:val="auto"/>
          <w:highlight w:val="none"/>
        </w:rPr>
        <w:t>，整个平台的标高需平滑过渡</w:t>
      </w:r>
      <w:r>
        <w:rPr>
          <w:rFonts w:ascii="Times New Roman" w:hAnsi="Times New Roman" w:cs="Times New Roman"/>
          <w:color w:val="auto"/>
          <w:highlight w:val="none"/>
        </w:rPr>
        <w:t>。风口平台面层标高12.500m，平台边距炉壳~5.2m，西侧设有炉顶吊装孔的开孔。</w:t>
      </w:r>
    </w:p>
    <w:p w14:paraId="4060E2E9">
      <w:pPr>
        <w:shd w:val="clear"/>
        <w:ind w:firstLine="0" w:firstLineChars="0"/>
        <w:outlineLvl w:val="2"/>
        <w:rPr>
          <w:rFonts w:cs="Times New Roman"/>
          <w:color w:val="auto"/>
          <w:szCs w:val="28"/>
          <w:highlight w:val="none"/>
        </w:rPr>
      </w:pPr>
      <w:bookmarkStart w:id="329" w:name="_Toc100483399"/>
      <w:bookmarkStart w:id="330" w:name="_Toc79840296"/>
      <w:bookmarkStart w:id="331" w:name="_Toc17340"/>
      <w:r>
        <w:rPr>
          <w:rFonts w:hint="eastAsia" w:cs="Times New Roman"/>
          <w:color w:val="auto"/>
          <w:szCs w:val="28"/>
          <w:highlight w:val="none"/>
        </w:rPr>
        <w:t>2.7.2 出铁场</w:t>
      </w:r>
      <w:bookmarkEnd w:id="329"/>
      <w:bookmarkEnd w:id="330"/>
      <w:r>
        <w:rPr>
          <w:rFonts w:hint="eastAsia" w:cs="Times New Roman"/>
          <w:color w:val="auto"/>
          <w:szCs w:val="28"/>
          <w:highlight w:val="none"/>
        </w:rPr>
        <w:t>系统改造内容</w:t>
      </w:r>
      <w:bookmarkEnd w:id="331"/>
    </w:p>
    <w:p w14:paraId="21F88F8E">
      <w:pPr>
        <w:shd w:val="clear"/>
        <w:rPr>
          <w:color w:val="auto"/>
          <w:highlight w:val="none"/>
        </w:rPr>
      </w:pPr>
      <w:bookmarkStart w:id="332" w:name="_Toc22417"/>
      <w:bookmarkStart w:id="333" w:name="_Toc29007"/>
      <w:bookmarkStart w:id="334" w:name="_Toc29396"/>
      <w:r>
        <w:rPr>
          <w:rFonts w:hint="eastAsia"/>
          <w:color w:val="auto"/>
          <w:highlight w:val="none"/>
        </w:rPr>
        <w:t>（1）渣铁沟</w:t>
      </w:r>
      <w:bookmarkEnd w:id="332"/>
      <w:bookmarkEnd w:id="333"/>
      <w:bookmarkEnd w:id="334"/>
    </w:p>
    <w:p w14:paraId="30095477">
      <w:pPr>
        <w:shd w:val="clear"/>
        <w:jc w:val="both"/>
        <w:rPr>
          <w:rFonts w:cs="宋体"/>
          <w:color w:val="auto"/>
          <w:highlight w:val="none"/>
        </w:rPr>
      </w:pPr>
      <w:r>
        <w:rPr>
          <w:rFonts w:hint="eastAsia" w:cs="宋体"/>
          <w:color w:val="auto"/>
          <w:highlight w:val="none"/>
        </w:rPr>
        <w:t>本次高炉改造，渣铁沟走向不变，主沟改造为智慧主沟、更换主沟、渣铁沟工作衬、耐材修复。</w:t>
      </w:r>
    </w:p>
    <w:p w14:paraId="30A8185D">
      <w:pPr>
        <w:shd w:val="clear"/>
        <w:jc w:val="both"/>
        <w:rPr>
          <w:rFonts w:cs="宋体"/>
          <w:color w:val="auto"/>
          <w:highlight w:val="none"/>
        </w:rPr>
      </w:pPr>
      <w:r>
        <w:rPr>
          <w:rFonts w:hint="eastAsia" w:cs="宋体"/>
          <w:color w:val="auto"/>
          <w:highlight w:val="none"/>
        </w:rPr>
        <w:t>a）主沟</w:t>
      </w:r>
    </w:p>
    <w:p w14:paraId="74F16DA4">
      <w:pPr>
        <w:jc w:val="both"/>
        <w:rPr>
          <w:rFonts w:cs="宋体"/>
          <w:color w:val="auto"/>
          <w:highlight w:val="none"/>
        </w:rPr>
      </w:pPr>
      <w:r>
        <w:rPr>
          <w:rFonts w:hint="eastAsia" w:cs="宋体"/>
          <w:color w:val="auto"/>
          <w:highlight w:val="none"/>
        </w:rPr>
        <w:t>本次主沟改造，结构平台不动，受此影响，主沟的坡度及深度不变，主沟总长长度加长至13.9m，主沟钢壳加宽至3150mm，外设耐热混凝土墙，墙内宽为3900mm，主沟挡墙重新浇筑。两侧挡墙内拆除原主沟钢壳及底部300mm厚耐火砖，剩余结构保持底部坡度仍为4.5%。新设计制作主沟钢壳，新的主沟钢壳坡度与原主沟钢壳坡度一致。</w:t>
      </w:r>
      <w:r>
        <w:rPr>
          <w:rFonts w:hint="eastAsia" w:cs="宋体"/>
          <w:color w:val="auto"/>
          <w:highlight w:val="none"/>
          <w:shd w:val="clear" w:color="auto" w:fill="FFFF00"/>
        </w:rPr>
        <w:t>主沟钢壳钢板厚度为30mm，材质Q355B，主沟钢壳总长约13.9m，主沟前端高1577mm，末端高2090mm，主沟钢壳宽</w:t>
      </w:r>
      <w:r>
        <w:rPr>
          <w:rFonts w:cs="宋体"/>
          <w:color w:val="auto"/>
          <w:highlight w:val="none"/>
          <w:shd w:val="clear" w:color="auto" w:fill="FFFF00"/>
        </w:rPr>
        <w:t>3150mm</w:t>
      </w:r>
      <w:r>
        <w:rPr>
          <w:rFonts w:hint="eastAsia" w:cs="宋体"/>
          <w:color w:val="auto"/>
          <w:highlight w:val="none"/>
          <w:shd w:val="clear" w:color="auto" w:fill="FFFF00"/>
        </w:rPr>
        <w:t>。</w:t>
      </w:r>
      <w:r>
        <w:rPr>
          <w:rFonts w:hint="eastAsia" w:cs="宋体"/>
          <w:color w:val="auto"/>
          <w:highlight w:val="none"/>
        </w:rPr>
        <w:t>主沟钢壳内耐材组成依次为智慧主沟永久层耐材组合</w:t>
      </w:r>
      <w:r>
        <w:rPr>
          <w:rFonts w:hint="eastAsia" w:cs="宋体"/>
          <w:color w:val="auto"/>
          <w:highlight w:val="none"/>
          <w:shd w:val="clear" w:color="auto" w:fill="FFFF00"/>
        </w:rPr>
        <w:t>（钢壳内依次为20mm厚陶瓷纤维隔热板、上部预制件、下部预制件、底部黏土质耐火砖ZN-45（后半段）、底部永久层浇注料，详见附图）</w:t>
      </w:r>
      <w:r>
        <w:rPr>
          <w:rFonts w:hint="eastAsia" w:cs="宋体"/>
          <w:color w:val="auto"/>
          <w:highlight w:val="none"/>
        </w:rPr>
        <w:t>及工作层浇注料，单条主沟共设热电偶25个，热电偶布置详见附图。主沟内型尺寸为上宽850mm，下宽650mm，撇渣器处深1100mm，撇渣器横梁宽1000mm，过道眼高200mm。同时与主沟相连接的铁沟、渣沟、残铁沟部分也需做改造。此外取消原渣沟前段的L形主沟，按主沟沟型重新制作主沟工作层浇注模具</w:t>
      </w:r>
      <w:r>
        <w:rPr>
          <w:rFonts w:hint="eastAsia" w:cs="宋体"/>
          <w:color w:val="auto"/>
          <w:highlight w:val="none"/>
          <w:shd w:val="clear" w:color="auto" w:fill="FFFF00"/>
        </w:rPr>
        <w:t>（其他沟模具利旧）</w:t>
      </w:r>
      <w:r>
        <w:rPr>
          <w:rFonts w:hint="eastAsia" w:cs="宋体"/>
          <w:color w:val="auto"/>
          <w:highlight w:val="none"/>
        </w:rPr>
        <w:t>、加大流铁断面降低渣铁流速，以保证主沟渣铁分离效果，主沟工作层坡度仍为4.5%，2个铁口共用1套主沟浇注模具</w:t>
      </w:r>
      <w:r>
        <w:rPr>
          <w:rFonts w:hint="eastAsia" w:cs="宋体"/>
          <w:color w:val="auto"/>
          <w:highlight w:val="none"/>
          <w:shd w:val="clear" w:color="auto" w:fill="FFFF00"/>
        </w:rPr>
        <w:t>，主沟模具钢板厚度为10mm</w:t>
      </w:r>
      <w:r>
        <w:rPr>
          <w:rFonts w:hint="eastAsia" w:cs="宋体"/>
          <w:color w:val="auto"/>
          <w:highlight w:val="none"/>
        </w:rPr>
        <w:t>。主沟沟头下部设计安装主沟漏铁防护溜槽，溜槽钢板焊接在炉壳上，斜向下布置，其上浇注耐火浇注料，浇注料厚度80mm，地面以下设置设耐火砖承铁槽，外形约2.0*2.m、高度1m。</w:t>
      </w:r>
      <w:r>
        <w:rPr>
          <w:rFonts w:hint="eastAsia" w:ascii="Times New Roman" w:hAnsi="Times New Roman" w:cs="Times New Roman"/>
          <w:color w:val="auto"/>
          <w:highlight w:val="none"/>
        </w:rPr>
        <w:t>摆动溜槽</w:t>
      </w:r>
      <w:r>
        <w:rPr>
          <w:rFonts w:hint="eastAsia" w:ascii="Times New Roman" w:hAnsi="Times New Roman" w:cs="Times New Roman"/>
          <w:color w:val="auto"/>
          <w:highlight w:val="none"/>
          <w:lang w:val="en-US" w:eastAsia="zh-CN"/>
        </w:rPr>
        <w:t>槽</w:t>
      </w:r>
      <w:r>
        <w:rPr>
          <w:rFonts w:hint="eastAsia" w:ascii="Times New Roman" w:hAnsi="Times New Roman" w:cs="Times New Roman"/>
          <w:color w:val="auto"/>
          <w:highlight w:val="none"/>
        </w:rPr>
        <w:t>体内耐材全部更换，耐材组成由外至内为：黏土砖</w:t>
      </w:r>
      <w:r>
        <w:rPr>
          <w:rFonts w:ascii="Times New Roman" w:hAnsi="Times New Roman" w:cs="Times New Roman"/>
          <w:color w:val="auto"/>
          <w:highlight w:val="none"/>
        </w:rPr>
        <w:t>ZN-45（钢壳底部154mm厚，两侧150mm）、浇注料工作衬。</w:t>
      </w:r>
    </w:p>
    <w:p w14:paraId="14201B07">
      <w:pPr>
        <w:shd w:val="clear"/>
        <w:jc w:val="both"/>
        <w:rPr>
          <w:rFonts w:cs="宋体"/>
          <w:color w:val="auto"/>
          <w:highlight w:val="none"/>
        </w:rPr>
      </w:pPr>
      <w:r>
        <w:rPr>
          <w:rFonts w:hint="eastAsia" w:cs="宋体"/>
          <w:color w:val="auto"/>
          <w:highlight w:val="none"/>
        </w:rPr>
        <w:t>b）支铁沟</w:t>
      </w:r>
    </w:p>
    <w:p w14:paraId="7D31104D">
      <w:pPr>
        <w:shd w:val="clear"/>
        <w:jc w:val="both"/>
        <w:rPr>
          <w:rFonts w:hint="eastAsia" w:ascii="Times New Roman" w:hAnsi="Times New Roman" w:cs="Times New Roman"/>
          <w:color w:val="auto"/>
          <w:highlight w:val="none"/>
        </w:rPr>
      </w:pPr>
      <w:r>
        <w:rPr>
          <w:rFonts w:hint="eastAsia" w:ascii="Times New Roman" w:hAnsi="Times New Roman" w:cs="Times New Roman"/>
          <w:color w:val="auto"/>
          <w:highlight w:val="none"/>
        </w:rPr>
        <w:t>支</w:t>
      </w:r>
      <w:r>
        <w:rPr>
          <w:rFonts w:ascii="Times New Roman" w:hAnsi="Times New Roman" w:cs="Times New Roman"/>
          <w:color w:val="auto"/>
          <w:highlight w:val="none"/>
        </w:rPr>
        <w:t>铁沟钢壳外模挖补修复20m</w:t>
      </w:r>
      <w:r>
        <w:rPr>
          <w:rFonts w:ascii="Times New Roman" w:hAnsi="Times New Roman" w:cs="Times New Roman"/>
          <w:color w:val="auto"/>
          <w:highlight w:val="none"/>
          <w:vertAlign w:val="superscript"/>
        </w:rPr>
        <w:t>2</w:t>
      </w:r>
      <w:r>
        <w:rPr>
          <w:rFonts w:ascii="Times New Roman" w:hAnsi="Times New Roman" w:cs="Times New Roman"/>
          <w:color w:val="auto"/>
          <w:highlight w:val="none"/>
          <w:shd w:val="clear" w:color="auto" w:fill="FFFF00"/>
        </w:rPr>
        <w:t>，钢板厚度与原厚度一致</w:t>
      </w:r>
      <w:r>
        <w:rPr>
          <w:rFonts w:hint="eastAsia" w:ascii="Times New Roman" w:hAnsi="Times New Roman" w:cs="Times New Roman"/>
          <w:color w:val="auto"/>
          <w:highlight w:val="none"/>
          <w:shd w:val="clear" w:color="auto" w:fill="FFFF00"/>
        </w:rPr>
        <w:t>（16mm）</w:t>
      </w:r>
      <w:r>
        <w:rPr>
          <w:rFonts w:ascii="Times New Roman" w:hAnsi="Times New Roman" w:cs="Times New Roman"/>
          <w:color w:val="auto"/>
          <w:highlight w:val="none"/>
        </w:rPr>
        <w:t>。</w:t>
      </w:r>
      <w:r>
        <w:rPr>
          <w:rFonts w:hint="eastAsia" w:ascii="Times New Roman" w:hAnsi="Times New Roman" w:cs="Times New Roman"/>
          <w:color w:val="auto"/>
          <w:highlight w:val="none"/>
        </w:rPr>
        <w:t>支</w:t>
      </w:r>
      <w:r>
        <w:rPr>
          <w:rFonts w:ascii="Times New Roman" w:hAnsi="Times New Roman" w:cs="Times New Roman"/>
          <w:color w:val="auto"/>
          <w:highlight w:val="none"/>
        </w:rPr>
        <w:t>铁沟坡度i=5%～8%，</w:t>
      </w:r>
      <w:r>
        <w:rPr>
          <w:rFonts w:hint="eastAsia" w:ascii="Times New Roman" w:hAnsi="Times New Roman" w:cs="Times New Roman"/>
          <w:color w:val="auto"/>
          <w:highlight w:val="none"/>
        </w:rPr>
        <w:t>支</w:t>
      </w:r>
      <w:r>
        <w:rPr>
          <w:rFonts w:ascii="Times New Roman" w:hAnsi="Times New Roman" w:cs="Times New Roman"/>
          <w:color w:val="auto"/>
          <w:highlight w:val="none"/>
        </w:rPr>
        <w:t>铁沟钢</w:t>
      </w:r>
      <w:r>
        <w:rPr>
          <w:rFonts w:hint="eastAsia" w:ascii="Times New Roman" w:hAnsi="Times New Roman" w:cs="Times New Roman"/>
          <w:color w:val="auto"/>
          <w:highlight w:val="none"/>
        </w:rPr>
        <w:t>壳</w:t>
      </w:r>
      <w:r>
        <w:rPr>
          <w:rFonts w:ascii="Times New Roman" w:hAnsi="Times New Roman" w:cs="Times New Roman"/>
          <w:color w:val="auto"/>
          <w:highlight w:val="none"/>
        </w:rPr>
        <w:t>内耐材组成由外至内为：</w:t>
      </w:r>
      <w:r>
        <w:rPr>
          <w:rFonts w:ascii="Times New Roman" w:hAnsi="Times New Roman" w:cs="Times New Roman"/>
          <w:color w:val="auto"/>
          <w:highlight w:val="none"/>
          <w:shd w:val="clear" w:color="auto" w:fill="FFFF00"/>
        </w:rPr>
        <w:t>黏土砖ZN-45（</w:t>
      </w:r>
      <w:r>
        <w:rPr>
          <w:rFonts w:hint="eastAsia" w:ascii="Times New Roman" w:hAnsi="Times New Roman" w:cs="Times New Roman"/>
          <w:color w:val="auto"/>
          <w:highlight w:val="none"/>
          <w:shd w:val="clear" w:color="auto" w:fill="FFFF00"/>
        </w:rPr>
        <w:t>钢壳底部154mm厚，两侧150mm</w:t>
      </w:r>
      <w:r>
        <w:rPr>
          <w:rFonts w:ascii="Times New Roman" w:hAnsi="Times New Roman" w:cs="Times New Roman"/>
          <w:color w:val="auto"/>
          <w:highlight w:val="none"/>
          <w:shd w:val="clear" w:color="auto" w:fill="FFFF00"/>
        </w:rPr>
        <w:t>）</w:t>
      </w:r>
      <w:r>
        <w:rPr>
          <w:rFonts w:ascii="Times New Roman" w:hAnsi="Times New Roman" w:cs="Times New Roman"/>
          <w:color w:val="auto"/>
          <w:highlight w:val="none"/>
        </w:rPr>
        <w:t>、浇注料工作衬。</w:t>
      </w:r>
      <w:r>
        <w:rPr>
          <w:rFonts w:hint="eastAsia" w:ascii="Times New Roman" w:hAnsi="Times New Roman" w:cs="Times New Roman"/>
          <w:color w:val="auto"/>
          <w:highlight w:val="none"/>
        </w:rPr>
        <w:t>支</w:t>
      </w:r>
      <w:r>
        <w:rPr>
          <w:rFonts w:ascii="Times New Roman" w:hAnsi="Times New Roman" w:cs="Times New Roman"/>
          <w:color w:val="auto"/>
          <w:highlight w:val="none"/>
        </w:rPr>
        <w:t>铁沟</w:t>
      </w:r>
      <w:r>
        <w:rPr>
          <w:rFonts w:hint="eastAsia" w:ascii="Times New Roman" w:hAnsi="Times New Roman" w:cs="Times New Roman"/>
          <w:color w:val="auto"/>
          <w:highlight w:val="none"/>
        </w:rPr>
        <w:t>钢壳内</w:t>
      </w:r>
      <w:r>
        <w:rPr>
          <w:rFonts w:ascii="Times New Roman" w:hAnsi="Times New Roman" w:cs="Times New Roman"/>
          <w:color w:val="auto"/>
          <w:highlight w:val="none"/>
        </w:rPr>
        <w:t>耐材</w:t>
      </w:r>
      <w:r>
        <w:rPr>
          <w:rFonts w:hint="eastAsia" w:ascii="Times New Roman" w:hAnsi="Times New Roman" w:cs="Times New Roman"/>
          <w:color w:val="auto"/>
          <w:highlight w:val="none"/>
        </w:rPr>
        <w:t>全部</w:t>
      </w:r>
      <w:r>
        <w:rPr>
          <w:rFonts w:ascii="Times New Roman" w:hAnsi="Times New Roman" w:cs="Times New Roman"/>
          <w:color w:val="auto"/>
          <w:highlight w:val="none"/>
        </w:rPr>
        <w:t>更换，沟邦修复改造，</w:t>
      </w:r>
      <w:r>
        <w:rPr>
          <w:rFonts w:hint="eastAsia" w:ascii="Times New Roman" w:hAnsi="Times New Roman" w:cs="Times New Roman"/>
          <w:color w:val="auto"/>
          <w:highlight w:val="none"/>
        </w:rPr>
        <w:t>满足盖板搭接要求。每个出铁场支铁沟的3块铸钢盖板利旧</w:t>
      </w:r>
      <w:r>
        <w:rPr>
          <w:rFonts w:ascii="Times New Roman" w:hAnsi="Times New Roman" w:cs="Times New Roman"/>
          <w:color w:val="auto"/>
          <w:highlight w:val="none"/>
        </w:rPr>
        <w:t>，其余盖板重新设计更换</w:t>
      </w:r>
      <w:r>
        <w:rPr>
          <w:rFonts w:hint="eastAsia" w:ascii="Times New Roman" w:hAnsi="Times New Roman" w:cs="Times New Roman"/>
          <w:color w:val="auto"/>
          <w:highlight w:val="none"/>
        </w:rPr>
        <w:t>，</w:t>
      </w:r>
      <w:r>
        <w:rPr>
          <w:rFonts w:hint="eastAsia" w:ascii="Times New Roman" w:hAnsi="Times New Roman" w:cs="Times New Roman"/>
          <w:color w:val="auto"/>
          <w:highlight w:val="none"/>
          <w:shd w:val="clear" w:color="auto" w:fill="FFFF00"/>
        </w:rPr>
        <w:t>采用铸钢盖板</w:t>
      </w:r>
      <w:r>
        <w:rPr>
          <w:rFonts w:ascii="Times New Roman" w:hAnsi="Times New Roman" w:cs="Times New Roman"/>
          <w:color w:val="auto"/>
          <w:highlight w:val="none"/>
          <w:shd w:val="clear" w:color="auto" w:fill="FFFF00"/>
        </w:rPr>
        <w:t>。</w:t>
      </w:r>
      <w:r>
        <w:rPr>
          <w:rFonts w:hint="eastAsia" w:ascii="Times New Roman" w:hAnsi="Times New Roman" w:cs="Times New Roman"/>
          <w:color w:val="auto"/>
          <w:highlight w:val="none"/>
        </w:rPr>
        <w:t>利旧盖板需重新浇注耐材浇注料。</w:t>
      </w:r>
    </w:p>
    <w:p w14:paraId="37485D1C">
      <w:pPr>
        <w:shd w:val="clear"/>
        <w:jc w:val="both"/>
        <w:rPr>
          <w:rFonts w:cs="宋体"/>
          <w:color w:val="auto"/>
          <w:highlight w:val="none"/>
        </w:rPr>
      </w:pPr>
      <w:r>
        <w:rPr>
          <w:rFonts w:hint="eastAsia" w:cs="宋体"/>
          <w:color w:val="auto"/>
          <w:highlight w:val="none"/>
        </w:rPr>
        <w:t>c）渣沟</w:t>
      </w:r>
    </w:p>
    <w:p w14:paraId="1E42FE77">
      <w:pPr>
        <w:jc w:val="both"/>
        <w:rPr>
          <w:rFonts w:ascii="Times New Roman" w:hAnsi="Times New Roman" w:cs="Times New Roman"/>
          <w:color w:val="auto"/>
          <w:highlight w:val="none"/>
        </w:rPr>
      </w:pPr>
      <w:r>
        <w:rPr>
          <w:rFonts w:ascii="Times New Roman" w:hAnsi="Times New Roman" w:cs="Times New Roman"/>
          <w:color w:val="auto"/>
          <w:highlight w:val="none"/>
        </w:rPr>
        <w:t>渣沟钢壳外模挖补修复40m</w:t>
      </w:r>
      <w:r>
        <w:rPr>
          <w:rFonts w:ascii="Times New Roman" w:hAnsi="Times New Roman" w:cs="Times New Roman"/>
          <w:color w:val="auto"/>
          <w:highlight w:val="none"/>
          <w:vertAlign w:val="superscript"/>
        </w:rPr>
        <w:t>2</w:t>
      </w:r>
      <w:r>
        <w:rPr>
          <w:rFonts w:ascii="Times New Roman" w:hAnsi="Times New Roman" w:cs="Times New Roman"/>
          <w:color w:val="auto"/>
          <w:highlight w:val="none"/>
          <w:shd w:val="clear" w:color="auto" w:fill="FFFF00"/>
        </w:rPr>
        <w:t>，钢板厚度与原厚度一致</w:t>
      </w:r>
      <w:r>
        <w:rPr>
          <w:rFonts w:hint="eastAsia" w:ascii="Times New Roman" w:hAnsi="Times New Roman" w:cs="Times New Roman"/>
          <w:color w:val="auto"/>
          <w:highlight w:val="none"/>
          <w:shd w:val="clear" w:color="auto" w:fill="FFFF00"/>
        </w:rPr>
        <w:t>（16mm）</w:t>
      </w:r>
      <w:r>
        <w:rPr>
          <w:rFonts w:ascii="Times New Roman" w:hAnsi="Times New Roman" w:cs="Times New Roman"/>
          <w:color w:val="auto"/>
          <w:highlight w:val="none"/>
          <w:shd w:val="clear" w:color="auto" w:fill="FFFF00"/>
        </w:rPr>
        <w:t>。</w:t>
      </w:r>
      <w:r>
        <w:rPr>
          <w:rFonts w:ascii="Times New Roman" w:hAnsi="Times New Roman" w:cs="Times New Roman"/>
          <w:color w:val="auto"/>
          <w:highlight w:val="none"/>
        </w:rPr>
        <w:t>渣沟的坡度i=6%～8%。渣沟钢</w:t>
      </w:r>
      <w:r>
        <w:rPr>
          <w:rFonts w:hint="eastAsia" w:ascii="Times New Roman" w:hAnsi="Times New Roman" w:cs="Times New Roman"/>
          <w:color w:val="auto"/>
          <w:highlight w:val="none"/>
        </w:rPr>
        <w:t>壳</w:t>
      </w:r>
      <w:r>
        <w:rPr>
          <w:rFonts w:ascii="Times New Roman" w:hAnsi="Times New Roman" w:cs="Times New Roman"/>
          <w:color w:val="auto"/>
          <w:highlight w:val="none"/>
        </w:rPr>
        <w:t>内耐材组成由外至内为：</w:t>
      </w:r>
      <w:r>
        <w:rPr>
          <w:rFonts w:ascii="Times New Roman" w:hAnsi="Times New Roman" w:cs="Times New Roman"/>
          <w:color w:val="auto"/>
          <w:highlight w:val="none"/>
          <w:shd w:val="clear" w:color="auto" w:fill="FFFF00"/>
        </w:rPr>
        <w:t>黏土砖ZN-45</w:t>
      </w:r>
      <w:r>
        <w:rPr>
          <w:rFonts w:hint="eastAsia" w:ascii="Times New Roman" w:hAnsi="Times New Roman" w:cs="Times New Roman"/>
          <w:color w:val="auto"/>
          <w:highlight w:val="none"/>
          <w:shd w:val="clear" w:color="auto" w:fill="FFFF00"/>
        </w:rPr>
        <w:t>（钢壳底部</w:t>
      </w:r>
      <w:r>
        <w:rPr>
          <w:rFonts w:ascii="Times New Roman" w:hAnsi="Times New Roman" w:cs="Times New Roman"/>
          <w:color w:val="auto"/>
          <w:highlight w:val="none"/>
          <w:shd w:val="clear" w:color="auto" w:fill="FFFF00"/>
        </w:rPr>
        <w:t>154mm厚，两侧150mm）</w:t>
      </w:r>
      <w:r>
        <w:rPr>
          <w:rFonts w:ascii="Times New Roman" w:hAnsi="Times New Roman" w:cs="Times New Roman"/>
          <w:color w:val="auto"/>
          <w:highlight w:val="none"/>
        </w:rPr>
        <w:t>和浇注料工作衬或捣打料工作衬；至粒化箱的渣沟工作衬采用浇注料，至备用设施干渣坑的渣沟内衬采用捣打料。渣沟</w:t>
      </w:r>
      <w:r>
        <w:rPr>
          <w:rFonts w:hint="eastAsia" w:ascii="Times New Roman" w:hAnsi="Times New Roman" w:cs="Times New Roman"/>
          <w:color w:val="auto"/>
          <w:highlight w:val="none"/>
        </w:rPr>
        <w:t>钢壳内</w:t>
      </w:r>
      <w:r>
        <w:rPr>
          <w:rFonts w:ascii="Times New Roman" w:hAnsi="Times New Roman" w:cs="Times New Roman"/>
          <w:color w:val="auto"/>
          <w:highlight w:val="none"/>
        </w:rPr>
        <w:t>耐材</w:t>
      </w:r>
      <w:r>
        <w:rPr>
          <w:rFonts w:hint="eastAsia" w:ascii="Times New Roman" w:hAnsi="Times New Roman" w:cs="Times New Roman"/>
          <w:color w:val="auto"/>
          <w:highlight w:val="none"/>
        </w:rPr>
        <w:t>全部</w:t>
      </w:r>
      <w:r>
        <w:rPr>
          <w:rFonts w:ascii="Times New Roman" w:hAnsi="Times New Roman" w:cs="Times New Roman"/>
          <w:color w:val="auto"/>
          <w:highlight w:val="none"/>
        </w:rPr>
        <w:t>更换，沟邦修复改造，</w:t>
      </w:r>
      <w:r>
        <w:rPr>
          <w:rFonts w:hint="eastAsia" w:ascii="Times New Roman" w:hAnsi="Times New Roman" w:cs="Times New Roman"/>
          <w:color w:val="auto"/>
          <w:highlight w:val="none"/>
        </w:rPr>
        <w:t>满足盖板搭接要求，渣沟</w:t>
      </w:r>
      <w:r>
        <w:rPr>
          <w:rFonts w:ascii="Times New Roman" w:hAnsi="Times New Roman" w:cs="Times New Roman"/>
          <w:color w:val="auto"/>
          <w:highlight w:val="none"/>
        </w:rPr>
        <w:t>盖板重新设计更换</w:t>
      </w:r>
      <w:r>
        <w:rPr>
          <w:rFonts w:hint="eastAsia" w:ascii="Times New Roman" w:hAnsi="Times New Roman" w:cs="Times New Roman"/>
          <w:color w:val="auto"/>
          <w:highlight w:val="none"/>
        </w:rPr>
        <w:t>。去往水渣冲制点的渣沟盖板采用铸钢盖板</w:t>
      </w:r>
      <w:r>
        <w:rPr>
          <w:rFonts w:ascii="Times New Roman" w:hAnsi="Times New Roman" w:cs="Times New Roman"/>
          <w:color w:val="auto"/>
          <w:highlight w:val="none"/>
          <w:shd w:val="clear" w:color="auto" w:fill="FFFF00"/>
        </w:rPr>
        <w:t>。</w:t>
      </w:r>
      <w:r>
        <w:rPr>
          <w:rFonts w:hint="eastAsia" w:ascii="Times New Roman" w:hAnsi="Times New Roman" w:cs="Times New Roman"/>
          <w:color w:val="auto"/>
          <w:highlight w:val="none"/>
        </w:rPr>
        <w:t>去往干渣坑的渣沟盖板采用钢板焊接件盖板</w:t>
      </w:r>
      <w:r>
        <w:rPr>
          <w:rFonts w:ascii="Times New Roman" w:hAnsi="Times New Roman" w:cs="Times New Roman"/>
          <w:color w:val="auto"/>
          <w:highlight w:val="none"/>
        </w:rPr>
        <w:t>。</w:t>
      </w:r>
    </w:p>
    <w:p w14:paraId="23C2682A">
      <w:pPr>
        <w:jc w:val="both"/>
        <w:rPr>
          <w:rFonts w:cs="宋体"/>
          <w:color w:val="auto"/>
          <w:highlight w:val="none"/>
        </w:rPr>
      </w:pPr>
      <w:r>
        <w:rPr>
          <w:rFonts w:hint="eastAsia" w:cs="宋体"/>
          <w:color w:val="auto"/>
          <w:highlight w:val="none"/>
        </w:rPr>
        <w:t>d）残铁沟</w:t>
      </w:r>
    </w:p>
    <w:p w14:paraId="3642A5EE">
      <w:pPr>
        <w:jc w:val="both"/>
        <w:rPr>
          <w:rFonts w:cs="宋体"/>
          <w:color w:val="auto"/>
          <w:highlight w:val="none"/>
        </w:rPr>
      </w:pPr>
      <w:r>
        <w:rPr>
          <w:rFonts w:hint="eastAsia" w:cs="宋体"/>
          <w:color w:val="auto"/>
          <w:highlight w:val="none"/>
        </w:rPr>
        <w:t>残铁沟坡度i=5～6%。残铁沟钢壳内耐材组成由外至内为：</w:t>
      </w:r>
      <w:r>
        <w:rPr>
          <w:rFonts w:ascii="Times New Roman" w:hAnsi="Times New Roman" w:cs="Times New Roman"/>
          <w:color w:val="auto"/>
          <w:highlight w:val="none"/>
          <w:shd w:val="clear" w:color="auto" w:fill="FFFF00"/>
        </w:rPr>
        <w:t>黏土砖ZN-45</w:t>
      </w:r>
      <w:r>
        <w:rPr>
          <w:rFonts w:hint="eastAsia" w:ascii="Times New Roman" w:hAnsi="Times New Roman" w:cs="Times New Roman"/>
          <w:color w:val="auto"/>
          <w:highlight w:val="none"/>
          <w:shd w:val="clear" w:color="auto" w:fill="FFFF00"/>
        </w:rPr>
        <w:t>（钢壳底部</w:t>
      </w:r>
      <w:r>
        <w:rPr>
          <w:rFonts w:ascii="Times New Roman" w:hAnsi="Times New Roman" w:cs="Times New Roman"/>
          <w:color w:val="auto"/>
          <w:highlight w:val="none"/>
          <w:shd w:val="clear" w:color="auto" w:fill="FFFF00"/>
        </w:rPr>
        <w:t>154mm厚，两侧75mm）</w:t>
      </w:r>
      <w:r>
        <w:rPr>
          <w:rFonts w:hint="eastAsia" w:cs="宋体"/>
          <w:color w:val="auto"/>
          <w:highlight w:val="none"/>
        </w:rPr>
        <w:t>和捣打料工作衬。残铁沟钢壳内耐材全部更换，沟邦修复改造，盖板重新设计更换，</w:t>
      </w:r>
      <w:r>
        <w:rPr>
          <w:rFonts w:hint="eastAsia" w:ascii="Times New Roman" w:hAnsi="Times New Roman" w:cs="Times New Roman"/>
          <w:color w:val="auto"/>
          <w:highlight w:val="none"/>
        </w:rPr>
        <w:t>满足盖板搭接要求，采用钢板焊接件盖板</w:t>
      </w:r>
      <w:r>
        <w:rPr>
          <w:rFonts w:hint="eastAsia" w:cs="宋体"/>
          <w:color w:val="auto"/>
          <w:highlight w:val="none"/>
        </w:rPr>
        <w:t>。</w:t>
      </w:r>
    </w:p>
    <w:p w14:paraId="661ED8CD">
      <w:pPr>
        <w:jc w:val="both"/>
        <w:rPr>
          <w:rFonts w:cs="宋体"/>
          <w:color w:val="auto"/>
          <w:highlight w:val="none"/>
          <w:shd w:val="clear" w:color="auto" w:fill="FFFF00"/>
        </w:rPr>
      </w:pPr>
      <w:r>
        <w:rPr>
          <w:rFonts w:hint="eastAsia" w:cs="宋体"/>
          <w:color w:val="auto"/>
          <w:highlight w:val="none"/>
          <w:shd w:val="clear" w:color="auto" w:fill="FFFF00"/>
        </w:rPr>
        <w:t>e）沟邦修复改造</w:t>
      </w:r>
    </w:p>
    <w:p w14:paraId="4AB3F8C3">
      <w:pPr>
        <w:jc w:val="both"/>
        <w:rPr>
          <w:rFonts w:hint="eastAsia" w:cs="宋体"/>
          <w:color w:val="auto"/>
          <w:highlight w:val="none"/>
          <w:lang w:val="en-US" w:eastAsia="zh-CN"/>
        </w:rPr>
      </w:pPr>
      <w:r>
        <w:rPr>
          <w:rFonts w:hint="eastAsia" w:cs="宋体"/>
          <w:color w:val="auto"/>
          <w:highlight w:val="none"/>
          <w:shd w:val="clear" w:color="auto" w:fill="FFFF00"/>
        </w:rPr>
        <w:t>支铁沟、渣沟、残铁沟两侧挡墙顶部沟邦修复改造，满足盖板搭接要求</w:t>
      </w:r>
      <w:r>
        <w:rPr>
          <w:rFonts w:hint="eastAsia" w:ascii="Times New Roman" w:hAnsi="Times New Roman" w:cs="Times New Roman"/>
          <w:color w:val="auto"/>
          <w:highlight w:val="none"/>
          <w:shd w:val="clear" w:color="auto" w:fill="FFFF00"/>
        </w:rPr>
        <w:t>，</w:t>
      </w:r>
      <w:r>
        <w:rPr>
          <w:rFonts w:hint="eastAsia" w:cs="宋体"/>
          <w:color w:val="auto"/>
          <w:highlight w:val="none"/>
          <w:shd w:val="clear" w:color="auto" w:fill="FFFF00"/>
        </w:rPr>
        <w:t>沟邦修复高度450mm，预埋钢板厚度30mm，沟帮内侧喷涂50mm隔热喷涂料。见示意图。</w:t>
      </w:r>
    </w:p>
    <w:p w14:paraId="52FFED31">
      <w:pPr>
        <w:shd w:val="clear"/>
        <w:jc w:val="both"/>
        <w:rPr>
          <w:rFonts w:hint="eastAsia" w:ascii="宋体" w:hAnsi="宋体" w:eastAsia="宋体" w:cs="宋体"/>
          <w:color w:val="auto"/>
          <w:sz w:val="24"/>
          <w:szCs w:val="24"/>
          <w:highlight w:val="none"/>
          <w:lang w:val="en-US" w:eastAsia="zh-CN"/>
        </w:rPr>
      </w:pPr>
      <w:r>
        <w:rPr>
          <w:rFonts w:ascii="宋体" w:hAnsi="宋体" w:eastAsia="宋体" w:cs="宋体"/>
          <w:color w:val="auto"/>
          <w:sz w:val="24"/>
          <w:szCs w:val="24"/>
          <w:highlight w:val="none"/>
        </w:rPr>
        <w:drawing>
          <wp:inline distT="0" distB="0" distL="114300" distR="114300">
            <wp:extent cx="4516120" cy="3082925"/>
            <wp:effectExtent l="0" t="0" r="17780" b="317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13"/>
                    <a:stretch>
                      <a:fillRect/>
                    </a:stretch>
                  </pic:blipFill>
                  <pic:spPr>
                    <a:xfrm>
                      <a:off x="0" y="0"/>
                      <a:ext cx="4516120" cy="3082925"/>
                    </a:xfrm>
                    <a:prstGeom prst="rect">
                      <a:avLst/>
                    </a:prstGeom>
                    <a:noFill/>
                    <a:ln w="9525">
                      <a:noFill/>
                    </a:ln>
                  </pic:spPr>
                </pic:pic>
              </a:graphicData>
            </a:graphic>
          </wp:inline>
        </w:drawing>
      </w:r>
    </w:p>
    <w:p w14:paraId="70F5FE28">
      <w:pPr>
        <w:shd w:val="clear"/>
        <w:rPr>
          <w:color w:val="auto"/>
          <w:highlight w:val="none"/>
        </w:rPr>
      </w:pPr>
      <w:bookmarkStart w:id="335" w:name="_Toc16049"/>
      <w:bookmarkStart w:id="336" w:name="_Toc24639"/>
      <w:bookmarkStart w:id="337" w:name="_Toc13592"/>
      <w:r>
        <w:rPr>
          <w:rFonts w:hint="eastAsia"/>
          <w:color w:val="auto"/>
          <w:highlight w:val="none"/>
        </w:rPr>
        <w:t>（2）出铁场平台</w:t>
      </w:r>
      <w:bookmarkEnd w:id="335"/>
      <w:bookmarkEnd w:id="336"/>
      <w:bookmarkEnd w:id="337"/>
    </w:p>
    <w:p w14:paraId="4C0EE312">
      <w:pPr>
        <w:shd w:val="clear"/>
        <w:jc w:val="both"/>
        <w:rPr>
          <w:rFonts w:cs="宋体"/>
          <w:color w:val="auto"/>
          <w:highlight w:val="none"/>
        </w:rPr>
      </w:pPr>
      <w:r>
        <w:rPr>
          <w:rFonts w:hint="eastAsia" w:cs="宋体"/>
          <w:color w:val="auto"/>
          <w:highlight w:val="none"/>
        </w:rPr>
        <w:t>本次高炉改造，南出铁场一半的面层更换（值班室往北）；南场入口处满足汽车卸料要求；北出铁场面层重新设计更换，渣铁沟两侧通过找坡，满足检修车辆在出铁场平台通行的要求。北场吊装孔封闭，满足出铁场检修车辆（总重量20t）通行荷载要求。</w:t>
      </w:r>
    </w:p>
    <w:p w14:paraId="5ADD3349">
      <w:pPr>
        <w:shd w:val="clear"/>
        <w:rPr>
          <w:color w:val="auto"/>
          <w:highlight w:val="none"/>
        </w:rPr>
      </w:pPr>
      <w:bookmarkStart w:id="338" w:name="_Toc16662"/>
      <w:bookmarkStart w:id="339" w:name="_Toc19762"/>
      <w:bookmarkStart w:id="340" w:name="_Toc10136"/>
      <w:r>
        <w:rPr>
          <w:rFonts w:hint="eastAsia"/>
          <w:color w:val="auto"/>
          <w:highlight w:val="none"/>
        </w:rPr>
        <w:t>（3）铁沟、渣沟、盖板重新设计</w:t>
      </w:r>
      <w:bookmarkEnd w:id="338"/>
      <w:bookmarkEnd w:id="339"/>
      <w:bookmarkEnd w:id="340"/>
    </w:p>
    <w:p w14:paraId="7160D615">
      <w:pPr>
        <w:jc w:val="both"/>
        <w:rPr>
          <w:rFonts w:cs="宋体"/>
          <w:color w:val="auto"/>
          <w:highlight w:val="none"/>
        </w:rPr>
      </w:pPr>
      <w:r>
        <w:rPr>
          <w:rFonts w:hint="eastAsia" w:cs="宋体"/>
          <w:color w:val="auto"/>
          <w:highlight w:val="none"/>
        </w:rPr>
        <w:t>出铁场渣铁沟受铁水热辐射及渣铁沟浇筑车辆碾压，沟体及部分平台变形，密封效果差，局部粉尘不能得到有效捕集，岗位粉尘含量不达标。对铁沟、渣沟、残铁沟、铁水摆动溜槽盖板重新设计，盖板厚度200mm，对沟帮进行修复改造。支铁沟及去往水渣冲制点的渣沟盖板采用铸钢盖板，</w:t>
      </w:r>
      <w:r>
        <w:rPr>
          <w:rFonts w:hint="eastAsia"/>
          <w:color w:val="auto"/>
          <w:szCs w:val="21"/>
          <w:highlight w:val="none"/>
          <w:shd w:val="clear" w:color="auto" w:fill="FFFF00"/>
        </w:rPr>
        <w:t>铸钢盖板面板厚度40mm，内侧铺设20mm隔热纤维板及浇注140mm厚盖板浇注料。</w:t>
      </w:r>
      <w:r>
        <w:rPr>
          <w:rFonts w:hint="eastAsia" w:cs="宋体"/>
          <w:color w:val="auto"/>
          <w:highlight w:val="none"/>
        </w:rPr>
        <w:t>残铁沟及摆动溜槽盖板采用钢板焊接件盖板，</w:t>
      </w:r>
      <w:r>
        <w:rPr>
          <w:rFonts w:hint="eastAsia"/>
          <w:color w:val="auto"/>
          <w:szCs w:val="21"/>
          <w:highlight w:val="none"/>
          <w:shd w:val="clear" w:color="auto" w:fill="FFFF00"/>
        </w:rPr>
        <w:t>钢板厚度20mm，内侧铺设20mm隔热纤维板及浇注160mm厚盖板浇注料</w:t>
      </w:r>
      <w:r>
        <w:rPr>
          <w:rFonts w:hint="eastAsia" w:cs="宋体"/>
          <w:color w:val="auto"/>
          <w:highlight w:val="none"/>
        </w:rPr>
        <w:t>。铁水摆动溜槽盖板改造后，上表面与平台面平齐。</w:t>
      </w:r>
    </w:p>
    <w:p w14:paraId="7334F3F1">
      <w:pPr>
        <w:shd w:val="clear"/>
        <w:rPr>
          <w:color w:val="auto"/>
          <w:highlight w:val="none"/>
        </w:rPr>
      </w:pPr>
      <w:bookmarkStart w:id="341" w:name="_Toc8887"/>
      <w:bookmarkStart w:id="342" w:name="_Toc26872"/>
      <w:bookmarkStart w:id="343" w:name="_Toc22906"/>
      <w:r>
        <w:rPr>
          <w:rFonts w:hint="eastAsia"/>
          <w:color w:val="auto"/>
          <w:highlight w:val="none"/>
        </w:rPr>
        <w:t>（4）铁口区域封闭</w:t>
      </w:r>
      <w:bookmarkEnd w:id="341"/>
      <w:bookmarkEnd w:id="342"/>
      <w:bookmarkEnd w:id="343"/>
    </w:p>
    <w:p w14:paraId="70BC5A28">
      <w:pPr>
        <w:shd w:val="clear"/>
        <w:jc w:val="both"/>
        <w:rPr>
          <w:color w:val="auto"/>
          <w:szCs w:val="21"/>
          <w:highlight w:val="none"/>
        </w:rPr>
      </w:pPr>
      <w:r>
        <w:rPr>
          <w:rFonts w:hint="eastAsia" w:cs="宋体"/>
          <w:color w:val="auto"/>
          <w:highlight w:val="none"/>
        </w:rPr>
        <w:t>铁口区域进行封闭，改善出铁场除尘效果，降低岗位含尘量。铁口区域封闭采用</w:t>
      </w:r>
      <w:r>
        <w:rPr>
          <w:rFonts w:hint="eastAsia"/>
          <w:color w:val="auto"/>
          <w:szCs w:val="21"/>
          <w:highlight w:val="none"/>
        </w:rPr>
        <w:t>钢结构整体式封闭罩，前端与撇渣器除尘罩相接，封闭罩平面尺寸如附图所示，净高约3.3m。封闭罩上部与铁口顶吸除尘罩相接，便于烟尘收集。为便于生产、检修，封闭罩顶盖设计为活动顶盖，使用时可以行车吊装，主沟区封闭罩上方及铁口正前方封板内壁采用喷涂耐材隔热措施，对钢结构进行防热辐射保护</w:t>
      </w:r>
      <w:r>
        <w:rPr>
          <w:rFonts w:hint="eastAsia"/>
          <w:color w:val="auto"/>
          <w:szCs w:val="21"/>
          <w:highlight w:val="none"/>
          <w:shd w:val="clear" w:color="auto" w:fill="FFFF00"/>
        </w:rPr>
        <w:t>，</w:t>
      </w:r>
      <w:r>
        <w:rPr>
          <w:rFonts w:hint="eastAsia"/>
          <w:color w:val="auto"/>
          <w:sz w:val="24"/>
          <w:szCs w:val="21"/>
          <w:highlight w:val="none"/>
          <w:shd w:val="clear" w:color="auto"/>
        </w:rPr>
        <w:t>喷涂料厚度</w:t>
      </w:r>
      <w:r>
        <w:rPr>
          <w:rFonts w:hint="eastAsia"/>
          <w:color w:val="auto"/>
          <w:sz w:val="24"/>
          <w:szCs w:val="21"/>
          <w:highlight w:val="none"/>
          <w:shd w:val="clear" w:color="auto"/>
          <w:lang w:val="en-US" w:eastAsia="zh-CN"/>
        </w:rPr>
        <w:t>侧面</w:t>
      </w:r>
      <w:r>
        <w:rPr>
          <w:rFonts w:hint="eastAsia"/>
          <w:color w:val="auto"/>
          <w:sz w:val="24"/>
          <w:szCs w:val="21"/>
          <w:highlight w:val="none"/>
          <w:shd w:val="clear" w:color="auto"/>
        </w:rPr>
        <w:t>50mm</w:t>
      </w:r>
      <w:r>
        <w:rPr>
          <w:rFonts w:hint="eastAsia"/>
          <w:color w:val="auto"/>
          <w:sz w:val="24"/>
          <w:szCs w:val="21"/>
          <w:highlight w:val="none"/>
          <w:shd w:val="clear" w:color="auto"/>
          <w:lang w:eastAsia="zh-CN"/>
        </w:rPr>
        <w:t>，</w:t>
      </w:r>
      <w:r>
        <w:rPr>
          <w:rFonts w:hint="eastAsia"/>
          <w:color w:val="auto"/>
          <w:sz w:val="24"/>
          <w:szCs w:val="21"/>
          <w:highlight w:val="none"/>
          <w:shd w:val="clear" w:color="auto"/>
          <w:lang w:val="en-US" w:eastAsia="zh-CN"/>
        </w:rPr>
        <w:t>顶部80mm</w:t>
      </w:r>
      <w:r>
        <w:rPr>
          <w:rFonts w:hint="eastAsia"/>
          <w:color w:val="auto"/>
          <w:sz w:val="24"/>
          <w:szCs w:val="21"/>
          <w:highlight w:val="none"/>
          <w:shd w:val="clear" w:color="auto"/>
        </w:rPr>
        <w:t>。</w:t>
      </w:r>
    </w:p>
    <w:p w14:paraId="32D26A73">
      <w:pPr>
        <w:shd w:val="clear"/>
        <w:jc w:val="both"/>
        <w:rPr>
          <w:rFonts w:cs="宋体"/>
          <w:color w:val="auto"/>
          <w:highlight w:val="none"/>
        </w:rPr>
      </w:pPr>
      <w:r>
        <w:rPr>
          <w:rFonts w:hint="eastAsia"/>
          <w:color w:val="auto"/>
          <w:szCs w:val="21"/>
          <w:highlight w:val="none"/>
        </w:rPr>
        <w:t>在炮泥存放位置附近设置</w:t>
      </w:r>
      <w:r>
        <w:rPr>
          <w:color w:val="auto"/>
          <w:highlight w:val="none"/>
        </w:rPr>
        <w:t>小型有轨道活动小车，便于运送炮泥</w:t>
      </w:r>
      <w:r>
        <w:rPr>
          <w:rFonts w:hint="eastAsia"/>
          <w:color w:val="auto"/>
          <w:highlight w:val="none"/>
          <w:lang w:val="en-US" w:eastAsia="zh-CN"/>
        </w:rPr>
        <w:t>包含手动</w:t>
      </w:r>
      <w:r>
        <w:rPr>
          <w:color w:val="auto"/>
          <w:highlight w:val="none"/>
        </w:rPr>
        <w:t>活动小车</w:t>
      </w:r>
      <w:r>
        <w:rPr>
          <w:rFonts w:hint="eastAsia"/>
          <w:color w:val="auto"/>
          <w:highlight w:val="none"/>
          <w:lang w:val="en-US" w:eastAsia="zh-CN"/>
        </w:rPr>
        <w:t>及轨道</w:t>
      </w:r>
      <w:r>
        <w:rPr>
          <w:rFonts w:hint="eastAsia"/>
          <w:color w:val="auto"/>
          <w:szCs w:val="21"/>
          <w:highlight w:val="none"/>
        </w:rPr>
        <w:t>。封闭房梁底高度需＞3.1m，满足修沟要求。</w:t>
      </w:r>
    </w:p>
    <w:p w14:paraId="6F70132A">
      <w:pPr>
        <w:shd w:val="clear"/>
        <w:jc w:val="both"/>
        <w:rPr>
          <w:rFonts w:cs="宋体"/>
          <w:color w:val="auto"/>
          <w:highlight w:val="none"/>
        </w:rPr>
      </w:pPr>
      <w:r>
        <w:rPr>
          <w:rFonts w:hint="eastAsia" w:cs="宋体"/>
          <w:color w:val="auto"/>
          <w:highlight w:val="none"/>
        </w:rPr>
        <w:t>因铁口封闭后，内部温度升高，对炉前操作室工作稳定有一定影响，将</w:t>
      </w:r>
      <w:r>
        <w:rPr>
          <w:rFonts w:hint="eastAsia" w:cs="宋体"/>
          <w:color w:val="auto"/>
          <w:highlight w:val="none"/>
          <w:lang w:val="en-US" w:eastAsia="zh-CN"/>
        </w:rPr>
        <w:t>南、</w:t>
      </w:r>
      <w:r>
        <w:rPr>
          <w:rFonts w:hint="eastAsia" w:cs="宋体"/>
          <w:color w:val="auto"/>
          <w:highlight w:val="none"/>
        </w:rPr>
        <w:t>北出铁场炉前操作室迁出</w:t>
      </w:r>
      <w:r>
        <w:rPr>
          <w:rFonts w:hint="eastAsia" w:cs="宋体"/>
          <w:color w:val="auto"/>
          <w:highlight w:val="none"/>
          <w:shd w:val="clear" w:color="auto"/>
        </w:rPr>
        <w:t>(外移1m)</w:t>
      </w:r>
      <w:r>
        <w:rPr>
          <w:rFonts w:hint="eastAsia" w:cs="宋体"/>
          <w:color w:val="auto"/>
          <w:highlight w:val="none"/>
        </w:rPr>
        <w:t>，同时对液压管道及液压站至炉前阀站进行更换，液压管采用不锈钢管，管路设置蒸汽伴热和保温。液压阀台等设备保护性拆除利旧。</w:t>
      </w:r>
    </w:p>
    <w:p w14:paraId="1771698B">
      <w:pPr>
        <w:shd w:val="clear"/>
        <w:rPr>
          <w:color w:val="auto"/>
          <w:highlight w:val="none"/>
        </w:rPr>
      </w:pPr>
      <w:bookmarkStart w:id="344" w:name="_Toc32005"/>
      <w:bookmarkStart w:id="345" w:name="_Toc12317"/>
      <w:bookmarkStart w:id="346" w:name="_Toc27593"/>
      <w:r>
        <w:rPr>
          <w:rFonts w:hint="eastAsia"/>
          <w:color w:val="auto"/>
          <w:highlight w:val="none"/>
        </w:rPr>
        <w:t>（5）风口平台</w:t>
      </w:r>
      <w:bookmarkEnd w:id="344"/>
      <w:bookmarkEnd w:id="345"/>
      <w:bookmarkEnd w:id="346"/>
    </w:p>
    <w:p w14:paraId="0712A113">
      <w:pPr>
        <w:shd w:val="clear"/>
        <w:jc w:val="both"/>
        <w:rPr>
          <w:rFonts w:cs="宋体"/>
          <w:color w:val="auto"/>
          <w:highlight w:val="none"/>
        </w:rPr>
      </w:pPr>
      <w:r>
        <w:rPr>
          <w:rFonts w:hint="eastAsia" w:cs="宋体"/>
          <w:color w:val="auto"/>
          <w:highlight w:val="none"/>
        </w:rPr>
        <w:t>风口平台主体结构利旧，更换现有风口平台耐热混凝土面层（东西方向距炉壳</w:t>
      </w:r>
      <w:r>
        <w:rPr>
          <w:rFonts w:hint="eastAsia" w:cs="宋体"/>
          <w:color w:val="auto"/>
          <w:highlight w:val="none"/>
          <w:lang w:val="en-US" w:eastAsia="zh-CN"/>
        </w:rPr>
        <w:t>3</w:t>
      </w:r>
      <w:r>
        <w:rPr>
          <w:rFonts w:hint="eastAsia" w:cs="宋体"/>
          <w:color w:val="auto"/>
          <w:highlight w:val="none"/>
        </w:rPr>
        <w:t>米之内风口平台面层更换，南北方向风口平台面层全部更换</w:t>
      </w:r>
      <w:r>
        <w:rPr>
          <w:rFonts w:hint="eastAsia" w:cs="宋体"/>
          <w:color w:val="auto"/>
          <w:highlight w:val="none"/>
          <w:lang w:eastAsia="zh-CN"/>
        </w:rPr>
        <w:t>，</w:t>
      </w:r>
      <w:r>
        <w:rPr>
          <w:rFonts w:hint="eastAsia" w:cs="宋体"/>
          <w:color w:val="auto"/>
          <w:highlight w:val="none"/>
          <w:lang w:val="en-US" w:eastAsia="zh-CN"/>
        </w:rPr>
        <w:t>南北方向钢结构加固、局部更换</w:t>
      </w:r>
      <w:r>
        <w:rPr>
          <w:rFonts w:hint="eastAsia" w:cs="宋体"/>
          <w:color w:val="auto"/>
          <w:highlight w:val="none"/>
        </w:rPr>
        <w:t>），采用500℃耐热混凝土。环炉壳的风口平台水槽更换，铁口上方风口平台边沿与铁口区封闭罩采用钢板封闭，避免烟尘外溢。</w:t>
      </w:r>
      <w:r>
        <w:rPr>
          <w:rFonts w:hint="eastAsia" w:cs="宋体"/>
          <w:color w:val="auto"/>
          <w:highlight w:val="none"/>
          <w:lang w:val="en-US" w:eastAsia="zh-CN"/>
        </w:rPr>
        <w:t>优化</w:t>
      </w:r>
      <w:r>
        <w:rPr>
          <w:rFonts w:hint="eastAsia" w:cs="宋体"/>
          <w:color w:val="auto"/>
          <w:highlight w:val="none"/>
        </w:rPr>
        <w:t>南北场铁口顶吸</w:t>
      </w:r>
      <w:r>
        <w:rPr>
          <w:rFonts w:hint="eastAsia" w:cs="宋体"/>
          <w:color w:val="auto"/>
          <w:highlight w:val="none"/>
          <w:lang w:val="en-US" w:eastAsia="zh-CN"/>
        </w:rPr>
        <w:t>除尘罩</w:t>
      </w:r>
      <w:r>
        <w:rPr>
          <w:rFonts w:hint="eastAsia" w:cs="宋体"/>
          <w:color w:val="auto"/>
          <w:highlight w:val="none"/>
        </w:rPr>
        <w:t>，方便炉前作业人员更换风口及捅风口。</w:t>
      </w:r>
    </w:p>
    <w:p w14:paraId="2C57F005">
      <w:pPr>
        <w:shd w:val="clear"/>
        <w:rPr>
          <w:color w:val="auto"/>
          <w:highlight w:val="none"/>
        </w:rPr>
      </w:pPr>
      <w:bookmarkStart w:id="347" w:name="_Toc13296"/>
      <w:bookmarkStart w:id="348" w:name="_Toc7412"/>
      <w:bookmarkStart w:id="349" w:name="_Toc26553"/>
      <w:r>
        <w:rPr>
          <w:rFonts w:hint="eastAsia"/>
          <w:color w:val="auto"/>
          <w:highlight w:val="none"/>
        </w:rPr>
        <w:t>（6）其它</w:t>
      </w:r>
      <w:bookmarkEnd w:id="347"/>
      <w:bookmarkEnd w:id="348"/>
      <w:bookmarkEnd w:id="349"/>
    </w:p>
    <w:p w14:paraId="75D1730E">
      <w:pPr>
        <w:shd w:val="clear"/>
        <w:jc w:val="both"/>
        <w:rPr>
          <w:rFonts w:cs="宋体"/>
          <w:color w:val="auto"/>
          <w:highlight w:val="none"/>
        </w:rPr>
      </w:pPr>
      <w:r>
        <w:rPr>
          <w:rFonts w:hint="eastAsia" w:cs="宋体"/>
          <w:color w:val="auto"/>
          <w:highlight w:val="none"/>
        </w:rPr>
        <w:t>本次高炉改造，泥泡、开铁口机、铁水摆动溜槽、炉前吊车等设备均利旧，仅利用此次高炉改造的机会进行全面检修。</w:t>
      </w:r>
    </w:p>
    <w:p w14:paraId="59E9947B">
      <w:pPr>
        <w:shd w:val="clear"/>
        <w:jc w:val="both"/>
        <w:rPr>
          <w:rFonts w:cs="宋体"/>
          <w:color w:val="auto"/>
          <w:highlight w:val="none"/>
        </w:rPr>
      </w:pPr>
      <w:r>
        <w:rPr>
          <w:rFonts w:hint="eastAsia" w:cs="宋体"/>
          <w:color w:val="auto"/>
          <w:highlight w:val="none"/>
        </w:rPr>
        <w:t>出铁场平台的梁柱使用年限长，</w:t>
      </w:r>
      <w:r>
        <w:rPr>
          <w:rFonts w:hint="eastAsia" w:ascii="Arial" w:hAnsi="Arial"/>
          <w:color w:val="auto"/>
          <w:szCs w:val="21"/>
          <w:highlight w:val="none"/>
        </w:rPr>
        <w:t>需</w:t>
      </w:r>
      <w:r>
        <w:rPr>
          <w:rFonts w:cs="宋体"/>
          <w:color w:val="auto"/>
          <w:highlight w:val="none"/>
        </w:rPr>
        <w:t>根据鉴定报告进行</w:t>
      </w:r>
      <w:r>
        <w:rPr>
          <w:rFonts w:hint="eastAsia" w:cs="宋体"/>
          <w:color w:val="auto"/>
          <w:highlight w:val="none"/>
        </w:rPr>
        <w:t>加固</w:t>
      </w:r>
      <w:r>
        <w:rPr>
          <w:rFonts w:cs="宋体"/>
          <w:color w:val="auto"/>
          <w:highlight w:val="none"/>
        </w:rPr>
        <w:t>，具体方案见</w:t>
      </w:r>
      <w:r>
        <w:rPr>
          <w:rFonts w:hint="eastAsia" w:cs="宋体"/>
          <w:color w:val="auto"/>
          <w:highlight w:val="none"/>
        </w:rPr>
        <w:t>结构</w:t>
      </w:r>
      <w:r>
        <w:rPr>
          <w:rFonts w:cs="宋体"/>
          <w:color w:val="auto"/>
          <w:highlight w:val="none"/>
        </w:rPr>
        <w:t>专业</w:t>
      </w:r>
      <w:r>
        <w:rPr>
          <w:rFonts w:hint="eastAsia" w:cs="宋体"/>
          <w:color w:val="auto"/>
          <w:highlight w:val="none"/>
        </w:rPr>
        <w:t>篇章。铁水摆动溜槽立柱、支撑环梁需加固，耐火材料更换并用10mm厚钢板做防护</w:t>
      </w:r>
      <w:r>
        <w:rPr>
          <w:rFonts w:hint="eastAsia" w:cs="宋体"/>
          <w:color w:val="auto"/>
          <w:highlight w:val="none"/>
          <w:lang w:eastAsia="zh-CN"/>
        </w:rPr>
        <w:t>（</w:t>
      </w:r>
      <w:r>
        <w:rPr>
          <w:rFonts w:hint="eastAsia" w:cs="宋体"/>
          <w:color w:val="auto"/>
          <w:highlight w:val="none"/>
        </w:rPr>
        <w:t>铁水摆动溜槽立柱、支撑环梁</w:t>
      </w:r>
      <w:r>
        <w:rPr>
          <w:rFonts w:hint="eastAsia" w:cs="宋体"/>
          <w:color w:val="auto"/>
          <w:highlight w:val="none"/>
          <w:lang w:val="en-US" w:eastAsia="zh-CN"/>
        </w:rPr>
        <w:t>热面</w:t>
      </w:r>
      <w:r>
        <w:rPr>
          <w:rFonts w:hint="eastAsia" w:cs="宋体"/>
          <w:color w:val="auto"/>
          <w:highlight w:val="none"/>
          <w:lang w:eastAsia="zh-CN"/>
        </w:rPr>
        <w:t>）</w:t>
      </w:r>
      <w:r>
        <w:rPr>
          <w:rFonts w:hint="eastAsia" w:cs="宋体"/>
          <w:color w:val="auto"/>
          <w:highlight w:val="none"/>
        </w:rPr>
        <w:t>，</w:t>
      </w:r>
      <w:r>
        <w:rPr>
          <w:rFonts w:cs="宋体"/>
          <w:color w:val="auto"/>
          <w:highlight w:val="none"/>
        </w:rPr>
        <w:t>具体方案见</w:t>
      </w:r>
      <w:r>
        <w:rPr>
          <w:rFonts w:hint="eastAsia" w:cs="宋体"/>
          <w:color w:val="auto"/>
          <w:highlight w:val="none"/>
        </w:rPr>
        <w:t>结构</w:t>
      </w:r>
      <w:r>
        <w:rPr>
          <w:rFonts w:cs="宋体"/>
          <w:color w:val="auto"/>
          <w:highlight w:val="none"/>
        </w:rPr>
        <w:t>专业</w:t>
      </w:r>
      <w:r>
        <w:rPr>
          <w:rFonts w:hint="eastAsia" w:cs="宋体"/>
          <w:color w:val="auto"/>
          <w:highlight w:val="none"/>
        </w:rPr>
        <w:t>篇章。炉前休息室及水房内外墙重新粉刷，（电气线路重新设计），更换门、地板，北侧外墙防水修缮。电气线路要更换</w:t>
      </w:r>
      <w:r>
        <w:rPr>
          <w:rFonts w:hint="eastAsia" w:cs="宋体"/>
          <w:color w:val="auto"/>
          <w:highlight w:val="none"/>
          <w:lang w:eastAsia="zh-CN"/>
        </w:rPr>
        <w:t>，</w:t>
      </w:r>
      <w:r>
        <w:rPr>
          <w:rFonts w:hint="eastAsia" w:cs="宋体"/>
          <w:color w:val="auto"/>
          <w:highlight w:val="none"/>
        </w:rPr>
        <w:t>插座和灯具更新</w:t>
      </w:r>
      <w:r>
        <w:rPr>
          <w:rFonts w:hint="eastAsia" w:cs="宋体"/>
          <w:color w:val="auto"/>
          <w:highlight w:val="none"/>
          <w:lang w:eastAsia="zh-CN"/>
        </w:rPr>
        <w:t>，</w:t>
      </w:r>
      <w:r>
        <w:rPr>
          <w:rFonts w:hint="eastAsia" w:cs="宋体"/>
          <w:color w:val="auto"/>
          <w:highlight w:val="none"/>
        </w:rPr>
        <w:t>更换</w:t>
      </w:r>
      <w:r>
        <w:rPr>
          <w:rFonts w:hint="eastAsia" w:cs="宋体"/>
          <w:color w:val="auto"/>
          <w:highlight w:val="none"/>
          <w:lang w:val="en-US" w:eastAsia="zh-CN"/>
        </w:rPr>
        <w:t>为防盗</w:t>
      </w:r>
      <w:r>
        <w:rPr>
          <w:rFonts w:hint="eastAsia" w:cs="宋体"/>
          <w:color w:val="auto"/>
          <w:highlight w:val="none"/>
        </w:rPr>
        <w:t>门。</w:t>
      </w:r>
    </w:p>
    <w:p w14:paraId="4962ACB4">
      <w:pPr>
        <w:shd w:val="clear"/>
        <w:jc w:val="both"/>
        <w:rPr>
          <w:rFonts w:cs="宋体"/>
          <w:color w:val="auto"/>
          <w:highlight w:val="none"/>
          <w:shd w:val="clear" w:color="auto" w:fill="FFFF00"/>
        </w:rPr>
      </w:pPr>
      <w:r>
        <w:rPr>
          <w:rFonts w:hint="eastAsia" w:cs="宋体"/>
          <w:color w:val="auto"/>
          <w:highlight w:val="none"/>
        </w:rPr>
        <w:t>出铁场厂房的部分彩钢板变形、锈蚀，将出铁场部分彩钢板、檩条修复，刚架重新做防腐处理。修复处理的彩钢板：南场屋面气楼修复，南场东侧屋面及东侧侧面的彩板更换（</w:t>
      </w:r>
      <w:r>
        <w:rPr>
          <w:rFonts w:hint="eastAsia" w:cs="宋体"/>
          <w:color w:val="auto"/>
          <w:highlight w:val="none"/>
          <w:shd w:val="clear" w:color="auto"/>
        </w:rPr>
        <w:t>屋面更换</w:t>
      </w:r>
      <w:r>
        <w:rPr>
          <w:rFonts w:hint="eastAsia" w:cs="宋体"/>
          <w:color w:val="auto"/>
          <w:highlight w:val="none"/>
          <w:shd w:val="clear" w:color="auto"/>
          <w:lang w:val="en-US" w:eastAsia="zh-CN"/>
        </w:rPr>
        <w:t>约</w:t>
      </w:r>
      <w:r>
        <w:rPr>
          <w:rFonts w:hint="eastAsia" w:cs="宋体"/>
          <w:color w:val="auto"/>
          <w:highlight w:val="none"/>
          <w:shd w:val="clear" w:color="auto"/>
        </w:rPr>
        <w:t>三分之一</w:t>
      </w:r>
      <w:r>
        <w:rPr>
          <w:rFonts w:hint="eastAsia" w:cs="宋体"/>
          <w:color w:val="auto"/>
          <w:highlight w:val="none"/>
        </w:rPr>
        <w:t>），其余利旧彩板表面清理（</w:t>
      </w:r>
      <w:r>
        <w:rPr>
          <w:rFonts w:hint="eastAsia" w:cs="宋体"/>
          <w:color w:val="auto"/>
          <w:highlight w:val="none"/>
          <w:shd w:val="clear" w:color="auto"/>
        </w:rPr>
        <w:t>内外清洗</w:t>
      </w:r>
      <w:r>
        <w:rPr>
          <w:rFonts w:hint="eastAsia" w:cs="宋体"/>
          <w:color w:val="auto"/>
          <w:highlight w:val="none"/>
        </w:rPr>
        <w:t>）。修复处理的檩条重量3t。</w:t>
      </w:r>
    </w:p>
    <w:p w14:paraId="243571E9">
      <w:pPr>
        <w:shd w:val="clear"/>
        <w:rPr>
          <w:rFonts w:cs="宋体"/>
          <w:color w:val="auto"/>
          <w:highlight w:val="none"/>
        </w:rPr>
      </w:pPr>
      <w:r>
        <w:rPr>
          <w:rFonts w:hint="eastAsia" w:cs="宋体"/>
          <w:color w:val="auto"/>
          <w:highlight w:val="none"/>
        </w:rPr>
        <w:t>干渣坑出入口处设置铁门</w:t>
      </w:r>
      <w:r>
        <w:rPr>
          <w:rFonts w:hint="eastAsia" w:cs="宋体"/>
          <w:color w:val="auto"/>
          <w:highlight w:val="none"/>
          <w:lang w:eastAsia="zh-CN"/>
        </w:rPr>
        <w:t>，</w:t>
      </w:r>
      <w:r>
        <w:rPr>
          <w:rFonts w:hint="eastAsia" w:cs="宋体"/>
          <w:color w:val="auto"/>
          <w:highlight w:val="none"/>
          <w:lang w:val="en-US" w:eastAsia="zh-CN"/>
        </w:rPr>
        <w:t>铁门宽5m，高4m</w:t>
      </w:r>
      <w:r>
        <w:rPr>
          <w:rFonts w:hint="eastAsia" w:cs="宋体"/>
          <w:color w:val="auto"/>
          <w:highlight w:val="none"/>
        </w:rPr>
        <w:t>。</w:t>
      </w:r>
      <w:r>
        <w:rPr>
          <w:rFonts w:cs="宋体"/>
          <w:color w:val="auto"/>
          <w:highlight w:val="none"/>
        </w:rPr>
        <w:t>对2号高炉至 14#</w:t>
      </w:r>
      <w:r>
        <w:rPr>
          <w:rFonts w:hint="eastAsia" w:cs="宋体"/>
          <w:color w:val="auto"/>
          <w:highlight w:val="none"/>
          <w:lang w:val="en-US" w:eastAsia="zh-CN"/>
        </w:rPr>
        <w:t>路</w:t>
      </w:r>
      <w:r>
        <w:rPr>
          <w:rFonts w:cs="宋体"/>
          <w:color w:val="auto"/>
          <w:highlight w:val="none"/>
        </w:rPr>
        <w:t>下水管道进行疏通。</w:t>
      </w:r>
    </w:p>
    <w:p w14:paraId="4D3175FE">
      <w:pPr>
        <w:pStyle w:val="74"/>
        <w:shd w:val="clear"/>
        <w:rPr>
          <w:rFonts w:hint="eastAsia"/>
          <w:color w:val="auto"/>
          <w:highlight w:val="none"/>
          <w:lang w:val="en-US" w:eastAsia="zh-CN"/>
        </w:rPr>
      </w:pPr>
      <w:r>
        <w:rPr>
          <w:rFonts w:hint="eastAsia"/>
          <w:color w:val="auto"/>
          <w:highlight w:val="none"/>
          <w:lang w:val="en-US" w:eastAsia="zh-CN"/>
        </w:rPr>
        <w:t>能源介质管道破损修复，并包镀锌铁皮0.5mm。</w:t>
      </w:r>
    </w:p>
    <w:p w14:paraId="22D3F03B">
      <w:pPr>
        <w:pStyle w:val="74"/>
        <w:rPr>
          <w:rFonts w:hint="eastAsia"/>
          <w:color w:val="auto"/>
          <w:highlight w:val="none"/>
          <w:lang w:val="en-US" w:eastAsia="zh-CN"/>
        </w:rPr>
      </w:pPr>
      <w:r>
        <w:rPr>
          <w:rFonts w:hint="eastAsia"/>
          <w:color w:val="auto"/>
          <w:highlight w:val="none"/>
        </w:rPr>
        <w:t>新设计制作主沟烘烤管2套，其余渣铁沟烘烤管利旧。</w:t>
      </w:r>
    </w:p>
    <w:p w14:paraId="1A785C83">
      <w:pPr>
        <w:shd w:val="clear"/>
        <w:ind w:firstLine="0" w:firstLineChars="0"/>
        <w:outlineLvl w:val="2"/>
        <w:rPr>
          <w:rFonts w:hint="eastAsia" w:cs="Times New Roman"/>
          <w:color w:val="auto"/>
          <w:szCs w:val="28"/>
          <w:highlight w:val="none"/>
        </w:rPr>
      </w:pPr>
      <w:r>
        <w:rPr>
          <w:rFonts w:cs="Times New Roman"/>
          <w:color w:val="auto"/>
          <w:szCs w:val="28"/>
          <w:highlight w:val="none"/>
        </w:rPr>
        <w:t>2.7.</w:t>
      </w:r>
      <w:r>
        <w:rPr>
          <w:rFonts w:hint="eastAsia" w:cs="Times New Roman"/>
          <w:color w:val="auto"/>
          <w:szCs w:val="28"/>
          <w:highlight w:val="none"/>
        </w:rPr>
        <w:t>3</w:t>
      </w:r>
      <w:r>
        <w:rPr>
          <w:rFonts w:cs="Times New Roman"/>
          <w:color w:val="auto"/>
          <w:szCs w:val="28"/>
          <w:highlight w:val="none"/>
        </w:rPr>
        <w:t xml:space="preserve"> 出铁场</w:t>
      </w:r>
      <w:r>
        <w:rPr>
          <w:rFonts w:hint="eastAsia" w:cs="Times New Roman"/>
          <w:color w:val="auto"/>
          <w:szCs w:val="28"/>
          <w:highlight w:val="none"/>
        </w:rPr>
        <w:t>主要耐材理化指标</w:t>
      </w:r>
    </w:p>
    <w:p w14:paraId="0DE257FF">
      <w:pPr>
        <w:jc w:val="center"/>
        <w:rPr>
          <w:rFonts w:hint="eastAsia"/>
          <w:color w:val="auto"/>
          <w:highlight w:val="none"/>
        </w:rPr>
      </w:pPr>
      <w:r>
        <w:rPr>
          <w:color w:val="auto"/>
          <w:highlight w:val="none"/>
        </w:rPr>
        <w:t>渣铁沟</w:t>
      </w:r>
      <w:r>
        <w:rPr>
          <w:rFonts w:hint="eastAsia"/>
          <w:color w:val="auto"/>
          <w:highlight w:val="none"/>
        </w:rPr>
        <w:t>及摆动溜槽</w:t>
      </w:r>
      <w:r>
        <w:rPr>
          <w:color w:val="auto"/>
          <w:highlight w:val="none"/>
        </w:rPr>
        <w:t>浇注料主要理化指标</w:t>
      </w:r>
    </w:p>
    <w:tbl>
      <w:tblPr>
        <w:tblStyle w:val="536"/>
        <w:tblW w:w="8821"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4"/>
        <w:gridCol w:w="1387"/>
        <w:gridCol w:w="1388"/>
        <w:gridCol w:w="1388"/>
        <w:gridCol w:w="1388"/>
        <w:gridCol w:w="1736"/>
      </w:tblGrid>
      <w:tr w14:paraId="6A7EE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534" w:type="dxa"/>
            <w:vMerge w:val="restart"/>
            <w:tcBorders>
              <w:top w:val="single" w:color="auto" w:sz="12" w:space="0"/>
              <w:left w:val="single" w:color="auto" w:sz="12" w:space="0"/>
            </w:tcBorders>
          </w:tcPr>
          <w:p w14:paraId="30C55042">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项目</w:t>
            </w:r>
          </w:p>
        </w:tc>
        <w:tc>
          <w:tcPr>
            <w:tcW w:w="7287" w:type="dxa"/>
            <w:gridSpan w:val="5"/>
            <w:tcBorders>
              <w:top w:val="single" w:color="auto" w:sz="12" w:space="0"/>
              <w:right w:val="single" w:color="auto" w:sz="12" w:space="0"/>
            </w:tcBorders>
          </w:tcPr>
          <w:p w14:paraId="7FBFB91E">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指标</w:t>
            </w:r>
          </w:p>
        </w:tc>
      </w:tr>
      <w:tr w14:paraId="177E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534" w:type="dxa"/>
            <w:vMerge w:val="continue"/>
            <w:tcBorders>
              <w:left w:val="single" w:color="auto" w:sz="12" w:space="0"/>
            </w:tcBorders>
          </w:tcPr>
          <w:p w14:paraId="57EB687E">
            <w:pPr>
              <w:spacing w:line="240" w:lineRule="auto"/>
              <w:ind w:firstLine="0" w:firstLineChars="0"/>
              <w:jc w:val="center"/>
              <w:rPr>
                <w:rFonts w:ascii="Times New Roman" w:hAnsi="Times New Roman" w:eastAsia="等线" w:cs="Times New Roman"/>
                <w:color w:val="auto"/>
                <w:szCs w:val="28"/>
                <w:highlight w:val="none"/>
              </w:rPr>
            </w:pPr>
          </w:p>
        </w:tc>
        <w:tc>
          <w:tcPr>
            <w:tcW w:w="1387" w:type="dxa"/>
          </w:tcPr>
          <w:p w14:paraId="4FD88665">
            <w:pPr>
              <w:spacing w:line="240" w:lineRule="auto"/>
              <w:ind w:firstLine="0" w:firstLineChars="0"/>
              <w:jc w:val="center"/>
              <w:rPr>
                <w:rFonts w:ascii="Times New Roman" w:hAnsi="Times New Roman" w:eastAsia="等线" w:cs="Times New Roman"/>
                <w:color w:val="auto"/>
                <w:szCs w:val="28"/>
                <w:highlight w:val="none"/>
              </w:rPr>
            </w:pPr>
          </w:p>
        </w:tc>
        <w:tc>
          <w:tcPr>
            <w:tcW w:w="1388" w:type="dxa"/>
          </w:tcPr>
          <w:p w14:paraId="58B830C9">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主沟料</w:t>
            </w:r>
          </w:p>
        </w:tc>
        <w:tc>
          <w:tcPr>
            <w:tcW w:w="1388" w:type="dxa"/>
          </w:tcPr>
          <w:p w14:paraId="03630DB5">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支沟料</w:t>
            </w:r>
          </w:p>
        </w:tc>
        <w:tc>
          <w:tcPr>
            <w:tcW w:w="1388" w:type="dxa"/>
          </w:tcPr>
          <w:p w14:paraId="6CBC690F">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渣沟料</w:t>
            </w:r>
          </w:p>
        </w:tc>
        <w:tc>
          <w:tcPr>
            <w:tcW w:w="1736" w:type="dxa"/>
            <w:tcBorders>
              <w:right w:val="single" w:color="auto" w:sz="12" w:space="0"/>
            </w:tcBorders>
          </w:tcPr>
          <w:p w14:paraId="6A893341">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摆动溜槽</w:t>
            </w:r>
          </w:p>
        </w:tc>
      </w:tr>
      <w:tr w14:paraId="1EBAA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534" w:type="dxa"/>
            <w:vMerge w:val="restart"/>
            <w:tcBorders>
              <w:left w:val="single" w:color="auto" w:sz="12" w:space="0"/>
            </w:tcBorders>
          </w:tcPr>
          <w:p w14:paraId="3A0FC071">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化学指标/%</w:t>
            </w:r>
          </w:p>
        </w:tc>
        <w:tc>
          <w:tcPr>
            <w:tcW w:w="1387" w:type="dxa"/>
          </w:tcPr>
          <w:p w14:paraId="146ECCCA">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Al</w:t>
            </w:r>
            <w:r>
              <w:rPr>
                <w:rFonts w:ascii="Times New Roman" w:hAnsi="Times New Roman" w:eastAsia="等线" w:cs="Times New Roman"/>
                <w:color w:val="auto"/>
                <w:szCs w:val="28"/>
                <w:highlight w:val="none"/>
                <w:vertAlign w:val="subscript"/>
              </w:rPr>
              <w:t>2</w:t>
            </w:r>
            <w:r>
              <w:rPr>
                <w:rFonts w:ascii="Times New Roman" w:hAnsi="Times New Roman" w:eastAsia="等线" w:cs="Times New Roman"/>
                <w:color w:val="auto"/>
                <w:szCs w:val="28"/>
                <w:highlight w:val="none"/>
              </w:rPr>
              <w:t>O</w:t>
            </w:r>
            <w:r>
              <w:rPr>
                <w:rFonts w:ascii="Times New Roman" w:hAnsi="Times New Roman" w:eastAsia="等线" w:cs="Times New Roman"/>
                <w:color w:val="auto"/>
                <w:szCs w:val="28"/>
                <w:highlight w:val="none"/>
                <w:vertAlign w:val="subscript"/>
              </w:rPr>
              <w:t>3</w:t>
            </w:r>
          </w:p>
        </w:tc>
        <w:tc>
          <w:tcPr>
            <w:tcW w:w="1388" w:type="dxa"/>
          </w:tcPr>
          <w:p w14:paraId="73AF29AC">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≥68</w:t>
            </w:r>
          </w:p>
        </w:tc>
        <w:tc>
          <w:tcPr>
            <w:tcW w:w="1388" w:type="dxa"/>
          </w:tcPr>
          <w:p w14:paraId="644BD2CB">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≥65</w:t>
            </w:r>
          </w:p>
        </w:tc>
        <w:tc>
          <w:tcPr>
            <w:tcW w:w="1388" w:type="dxa"/>
          </w:tcPr>
          <w:p w14:paraId="2A96F0A5">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≥60</w:t>
            </w:r>
          </w:p>
        </w:tc>
        <w:tc>
          <w:tcPr>
            <w:tcW w:w="1736" w:type="dxa"/>
            <w:tcBorders>
              <w:right w:val="single" w:color="auto" w:sz="12" w:space="0"/>
            </w:tcBorders>
          </w:tcPr>
          <w:p w14:paraId="746C8FEA">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≥68</w:t>
            </w:r>
          </w:p>
        </w:tc>
      </w:tr>
      <w:tr w14:paraId="1ACEF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534" w:type="dxa"/>
            <w:vMerge w:val="continue"/>
            <w:tcBorders>
              <w:left w:val="single" w:color="auto" w:sz="12" w:space="0"/>
            </w:tcBorders>
          </w:tcPr>
          <w:p w14:paraId="09DDA018">
            <w:pPr>
              <w:spacing w:line="240" w:lineRule="auto"/>
              <w:ind w:firstLine="0" w:firstLineChars="0"/>
              <w:jc w:val="center"/>
              <w:rPr>
                <w:rFonts w:ascii="Times New Roman" w:hAnsi="Times New Roman" w:eastAsia="等线" w:cs="Times New Roman"/>
                <w:color w:val="auto"/>
                <w:szCs w:val="28"/>
                <w:highlight w:val="none"/>
              </w:rPr>
            </w:pPr>
          </w:p>
        </w:tc>
        <w:tc>
          <w:tcPr>
            <w:tcW w:w="1387" w:type="dxa"/>
          </w:tcPr>
          <w:p w14:paraId="1EA860AF">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SiC+C</w:t>
            </w:r>
          </w:p>
        </w:tc>
        <w:tc>
          <w:tcPr>
            <w:tcW w:w="1388" w:type="dxa"/>
          </w:tcPr>
          <w:p w14:paraId="2F0BC7BD">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≥16</w:t>
            </w:r>
          </w:p>
        </w:tc>
        <w:tc>
          <w:tcPr>
            <w:tcW w:w="1388" w:type="dxa"/>
          </w:tcPr>
          <w:p w14:paraId="1EA98084">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≥12</w:t>
            </w:r>
          </w:p>
        </w:tc>
        <w:tc>
          <w:tcPr>
            <w:tcW w:w="1388" w:type="dxa"/>
          </w:tcPr>
          <w:p w14:paraId="25892537">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≥15</w:t>
            </w:r>
          </w:p>
        </w:tc>
        <w:tc>
          <w:tcPr>
            <w:tcW w:w="1736" w:type="dxa"/>
            <w:tcBorders>
              <w:right w:val="single" w:color="auto" w:sz="12" w:space="0"/>
            </w:tcBorders>
          </w:tcPr>
          <w:p w14:paraId="4CF4E0B1">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≥14</w:t>
            </w:r>
          </w:p>
        </w:tc>
      </w:tr>
      <w:tr w14:paraId="492B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534" w:type="dxa"/>
            <w:vMerge w:val="restart"/>
            <w:tcBorders>
              <w:left w:val="single" w:color="auto" w:sz="12" w:space="0"/>
            </w:tcBorders>
          </w:tcPr>
          <w:p w14:paraId="0D9B0373">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体积密度/g/cm³</w:t>
            </w:r>
          </w:p>
        </w:tc>
        <w:tc>
          <w:tcPr>
            <w:tcW w:w="1387" w:type="dxa"/>
          </w:tcPr>
          <w:p w14:paraId="0574F51F">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110℃×3h</w:t>
            </w:r>
          </w:p>
        </w:tc>
        <w:tc>
          <w:tcPr>
            <w:tcW w:w="1388" w:type="dxa"/>
          </w:tcPr>
          <w:p w14:paraId="643F7B0A">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≥2.85</w:t>
            </w:r>
          </w:p>
        </w:tc>
        <w:tc>
          <w:tcPr>
            <w:tcW w:w="1388" w:type="dxa"/>
          </w:tcPr>
          <w:p w14:paraId="2B49E776">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≥2.65</w:t>
            </w:r>
          </w:p>
        </w:tc>
        <w:tc>
          <w:tcPr>
            <w:tcW w:w="1388" w:type="dxa"/>
          </w:tcPr>
          <w:p w14:paraId="294CD65B">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≥2.65</w:t>
            </w:r>
          </w:p>
        </w:tc>
        <w:tc>
          <w:tcPr>
            <w:tcW w:w="1736" w:type="dxa"/>
            <w:tcBorders>
              <w:right w:val="single" w:color="auto" w:sz="12" w:space="0"/>
            </w:tcBorders>
          </w:tcPr>
          <w:p w14:paraId="06C6E998">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≥2.85</w:t>
            </w:r>
          </w:p>
        </w:tc>
      </w:tr>
      <w:tr w14:paraId="0C034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534" w:type="dxa"/>
            <w:vMerge w:val="continue"/>
            <w:tcBorders>
              <w:left w:val="single" w:color="auto" w:sz="12" w:space="0"/>
            </w:tcBorders>
          </w:tcPr>
          <w:p w14:paraId="78678067">
            <w:pPr>
              <w:spacing w:line="240" w:lineRule="auto"/>
              <w:ind w:firstLine="0" w:firstLineChars="0"/>
              <w:jc w:val="center"/>
              <w:rPr>
                <w:rFonts w:ascii="Times New Roman" w:hAnsi="Times New Roman" w:eastAsia="等线" w:cs="Times New Roman"/>
                <w:color w:val="auto"/>
                <w:szCs w:val="28"/>
                <w:highlight w:val="none"/>
              </w:rPr>
            </w:pPr>
          </w:p>
        </w:tc>
        <w:tc>
          <w:tcPr>
            <w:tcW w:w="1387" w:type="dxa"/>
          </w:tcPr>
          <w:p w14:paraId="736FAE8C">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1450℃×3h</w:t>
            </w:r>
          </w:p>
        </w:tc>
        <w:tc>
          <w:tcPr>
            <w:tcW w:w="1388" w:type="dxa"/>
          </w:tcPr>
          <w:p w14:paraId="752A6E4B">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≥2.80</w:t>
            </w:r>
          </w:p>
        </w:tc>
        <w:tc>
          <w:tcPr>
            <w:tcW w:w="1388" w:type="dxa"/>
          </w:tcPr>
          <w:p w14:paraId="1FF8C887">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≥2.50</w:t>
            </w:r>
          </w:p>
        </w:tc>
        <w:tc>
          <w:tcPr>
            <w:tcW w:w="1388" w:type="dxa"/>
          </w:tcPr>
          <w:p w14:paraId="5F4E4611">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≥2.50</w:t>
            </w:r>
          </w:p>
        </w:tc>
        <w:tc>
          <w:tcPr>
            <w:tcW w:w="1736" w:type="dxa"/>
            <w:tcBorders>
              <w:right w:val="single" w:color="auto" w:sz="12" w:space="0"/>
            </w:tcBorders>
          </w:tcPr>
          <w:p w14:paraId="7EE5DDFA">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≥2.8</w:t>
            </w:r>
          </w:p>
        </w:tc>
      </w:tr>
      <w:tr w14:paraId="6E003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2921" w:type="dxa"/>
            <w:gridSpan w:val="2"/>
            <w:tcBorders>
              <w:left w:val="single" w:color="auto" w:sz="12" w:space="0"/>
            </w:tcBorders>
          </w:tcPr>
          <w:p w14:paraId="085EC257">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烧后线变化%</w:t>
            </w:r>
          </w:p>
        </w:tc>
        <w:tc>
          <w:tcPr>
            <w:tcW w:w="1388" w:type="dxa"/>
          </w:tcPr>
          <w:p w14:paraId="252F9E86">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±0.5</w:t>
            </w:r>
          </w:p>
        </w:tc>
        <w:tc>
          <w:tcPr>
            <w:tcW w:w="1388" w:type="dxa"/>
          </w:tcPr>
          <w:p w14:paraId="091E9FFE">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±0.5</w:t>
            </w:r>
          </w:p>
        </w:tc>
        <w:tc>
          <w:tcPr>
            <w:tcW w:w="1388" w:type="dxa"/>
          </w:tcPr>
          <w:p w14:paraId="46FB387A">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±0.5</w:t>
            </w:r>
          </w:p>
        </w:tc>
        <w:tc>
          <w:tcPr>
            <w:tcW w:w="1736" w:type="dxa"/>
            <w:tcBorders>
              <w:right w:val="single" w:color="auto" w:sz="12" w:space="0"/>
            </w:tcBorders>
          </w:tcPr>
          <w:p w14:paraId="57B72864">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±0.5</w:t>
            </w:r>
          </w:p>
        </w:tc>
      </w:tr>
      <w:tr w14:paraId="19AE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534" w:type="dxa"/>
            <w:vMerge w:val="restart"/>
            <w:tcBorders>
              <w:left w:val="single" w:color="auto" w:sz="12" w:space="0"/>
            </w:tcBorders>
          </w:tcPr>
          <w:p w14:paraId="3B2A490F">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抗折强度/Mpa</w:t>
            </w:r>
          </w:p>
        </w:tc>
        <w:tc>
          <w:tcPr>
            <w:tcW w:w="1387" w:type="dxa"/>
          </w:tcPr>
          <w:p w14:paraId="66A3FC45">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110℃×3h</w:t>
            </w:r>
          </w:p>
        </w:tc>
        <w:tc>
          <w:tcPr>
            <w:tcW w:w="1388" w:type="dxa"/>
          </w:tcPr>
          <w:p w14:paraId="0F2515F9">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≥3.5</w:t>
            </w:r>
          </w:p>
        </w:tc>
        <w:tc>
          <w:tcPr>
            <w:tcW w:w="1388" w:type="dxa"/>
          </w:tcPr>
          <w:p w14:paraId="0CB2C763">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≥3</w:t>
            </w:r>
          </w:p>
        </w:tc>
        <w:tc>
          <w:tcPr>
            <w:tcW w:w="1388" w:type="dxa"/>
          </w:tcPr>
          <w:p w14:paraId="518C5C93">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≥2</w:t>
            </w:r>
          </w:p>
        </w:tc>
        <w:tc>
          <w:tcPr>
            <w:tcW w:w="1736" w:type="dxa"/>
            <w:tcBorders>
              <w:right w:val="single" w:color="auto" w:sz="12" w:space="0"/>
            </w:tcBorders>
          </w:tcPr>
          <w:p w14:paraId="0466FDA6">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≥3.5</w:t>
            </w:r>
          </w:p>
        </w:tc>
      </w:tr>
      <w:tr w14:paraId="3A006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534" w:type="dxa"/>
            <w:vMerge w:val="continue"/>
            <w:tcBorders>
              <w:left w:val="single" w:color="auto" w:sz="12" w:space="0"/>
            </w:tcBorders>
          </w:tcPr>
          <w:p w14:paraId="25F13E34">
            <w:pPr>
              <w:spacing w:line="240" w:lineRule="auto"/>
              <w:ind w:firstLine="0" w:firstLineChars="0"/>
              <w:jc w:val="center"/>
              <w:rPr>
                <w:rFonts w:ascii="Times New Roman" w:hAnsi="Times New Roman" w:eastAsia="等线" w:cs="Times New Roman"/>
                <w:color w:val="auto"/>
                <w:szCs w:val="28"/>
                <w:highlight w:val="none"/>
              </w:rPr>
            </w:pPr>
          </w:p>
        </w:tc>
        <w:tc>
          <w:tcPr>
            <w:tcW w:w="1387" w:type="dxa"/>
          </w:tcPr>
          <w:p w14:paraId="613D53D6">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1450℃×3h</w:t>
            </w:r>
          </w:p>
        </w:tc>
        <w:tc>
          <w:tcPr>
            <w:tcW w:w="1388" w:type="dxa"/>
          </w:tcPr>
          <w:p w14:paraId="06DBA8A8">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≥7</w:t>
            </w:r>
          </w:p>
        </w:tc>
        <w:tc>
          <w:tcPr>
            <w:tcW w:w="1388" w:type="dxa"/>
          </w:tcPr>
          <w:p w14:paraId="766BF665">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≥6.5</w:t>
            </w:r>
          </w:p>
        </w:tc>
        <w:tc>
          <w:tcPr>
            <w:tcW w:w="1388" w:type="dxa"/>
          </w:tcPr>
          <w:p w14:paraId="3453727A">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≥6</w:t>
            </w:r>
          </w:p>
        </w:tc>
        <w:tc>
          <w:tcPr>
            <w:tcW w:w="1736" w:type="dxa"/>
            <w:tcBorders>
              <w:right w:val="single" w:color="auto" w:sz="12" w:space="0"/>
            </w:tcBorders>
          </w:tcPr>
          <w:p w14:paraId="7C4C93D7">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≥7</w:t>
            </w:r>
          </w:p>
        </w:tc>
      </w:tr>
      <w:tr w14:paraId="78D0F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534" w:type="dxa"/>
            <w:vMerge w:val="restart"/>
            <w:tcBorders>
              <w:left w:val="single" w:color="auto" w:sz="12" w:space="0"/>
            </w:tcBorders>
          </w:tcPr>
          <w:p w14:paraId="2E703109">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耐压强度/Mpa</w:t>
            </w:r>
          </w:p>
        </w:tc>
        <w:tc>
          <w:tcPr>
            <w:tcW w:w="1387" w:type="dxa"/>
          </w:tcPr>
          <w:p w14:paraId="5DFC255F">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110℃×3h</w:t>
            </w:r>
          </w:p>
        </w:tc>
        <w:tc>
          <w:tcPr>
            <w:tcW w:w="1388" w:type="dxa"/>
          </w:tcPr>
          <w:p w14:paraId="79C3C1C3">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≥25</w:t>
            </w:r>
          </w:p>
        </w:tc>
        <w:tc>
          <w:tcPr>
            <w:tcW w:w="1388" w:type="dxa"/>
          </w:tcPr>
          <w:p w14:paraId="7EB5530C">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≥20</w:t>
            </w:r>
          </w:p>
        </w:tc>
        <w:tc>
          <w:tcPr>
            <w:tcW w:w="1388" w:type="dxa"/>
          </w:tcPr>
          <w:p w14:paraId="020E1E31">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≥20</w:t>
            </w:r>
          </w:p>
        </w:tc>
        <w:tc>
          <w:tcPr>
            <w:tcW w:w="1736" w:type="dxa"/>
            <w:tcBorders>
              <w:right w:val="single" w:color="auto" w:sz="12" w:space="0"/>
            </w:tcBorders>
          </w:tcPr>
          <w:p w14:paraId="526756A7">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≥25</w:t>
            </w:r>
          </w:p>
        </w:tc>
      </w:tr>
      <w:tr w14:paraId="07A77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534" w:type="dxa"/>
            <w:vMerge w:val="continue"/>
            <w:tcBorders>
              <w:left w:val="single" w:color="auto" w:sz="12" w:space="0"/>
              <w:bottom w:val="single" w:color="auto" w:sz="12" w:space="0"/>
            </w:tcBorders>
          </w:tcPr>
          <w:p w14:paraId="77F80539">
            <w:pPr>
              <w:spacing w:line="240" w:lineRule="auto"/>
              <w:ind w:firstLine="0" w:firstLineChars="0"/>
              <w:jc w:val="center"/>
              <w:rPr>
                <w:rFonts w:ascii="Times New Roman" w:hAnsi="Times New Roman" w:eastAsia="等线" w:cs="Times New Roman"/>
                <w:color w:val="auto"/>
                <w:szCs w:val="28"/>
                <w:highlight w:val="none"/>
              </w:rPr>
            </w:pPr>
          </w:p>
        </w:tc>
        <w:tc>
          <w:tcPr>
            <w:tcW w:w="1387" w:type="dxa"/>
            <w:tcBorders>
              <w:bottom w:val="single" w:color="auto" w:sz="12" w:space="0"/>
            </w:tcBorders>
          </w:tcPr>
          <w:p w14:paraId="3ED00D4F">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1450℃×3h</w:t>
            </w:r>
          </w:p>
        </w:tc>
        <w:tc>
          <w:tcPr>
            <w:tcW w:w="1388" w:type="dxa"/>
            <w:tcBorders>
              <w:bottom w:val="single" w:color="auto" w:sz="12" w:space="0"/>
            </w:tcBorders>
          </w:tcPr>
          <w:p w14:paraId="4AB20839">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≥45</w:t>
            </w:r>
          </w:p>
        </w:tc>
        <w:tc>
          <w:tcPr>
            <w:tcW w:w="1388" w:type="dxa"/>
            <w:tcBorders>
              <w:bottom w:val="single" w:color="auto" w:sz="12" w:space="0"/>
            </w:tcBorders>
          </w:tcPr>
          <w:p w14:paraId="43850E50">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≥40</w:t>
            </w:r>
          </w:p>
        </w:tc>
        <w:tc>
          <w:tcPr>
            <w:tcW w:w="1388" w:type="dxa"/>
            <w:tcBorders>
              <w:bottom w:val="single" w:color="auto" w:sz="12" w:space="0"/>
            </w:tcBorders>
          </w:tcPr>
          <w:p w14:paraId="706FACF3">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≥40</w:t>
            </w:r>
          </w:p>
        </w:tc>
        <w:tc>
          <w:tcPr>
            <w:tcW w:w="1736" w:type="dxa"/>
            <w:tcBorders>
              <w:bottom w:val="single" w:color="auto" w:sz="12" w:space="0"/>
              <w:right w:val="single" w:color="auto" w:sz="12" w:space="0"/>
            </w:tcBorders>
          </w:tcPr>
          <w:p w14:paraId="1723150F">
            <w:pPr>
              <w:spacing w:line="240" w:lineRule="auto"/>
              <w:ind w:firstLine="0" w:firstLineChars="0"/>
              <w:jc w:val="center"/>
              <w:rPr>
                <w:rFonts w:ascii="Times New Roman" w:hAnsi="Times New Roman" w:eastAsia="等线" w:cs="Times New Roman"/>
                <w:color w:val="auto"/>
                <w:szCs w:val="28"/>
                <w:highlight w:val="none"/>
              </w:rPr>
            </w:pPr>
            <w:r>
              <w:rPr>
                <w:rFonts w:ascii="Times New Roman" w:hAnsi="Times New Roman" w:eastAsia="等线" w:cs="Times New Roman"/>
                <w:color w:val="auto"/>
                <w:szCs w:val="28"/>
                <w:highlight w:val="none"/>
              </w:rPr>
              <w:t>≥45</w:t>
            </w:r>
          </w:p>
        </w:tc>
      </w:tr>
    </w:tbl>
    <w:p w14:paraId="2C4E8145">
      <w:pPr>
        <w:shd w:val="clear"/>
        <w:spacing w:line="312"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黏土质耐火砖ZN-45主要理化指标</w:t>
      </w:r>
    </w:p>
    <w:tbl>
      <w:tblPr>
        <w:tblStyle w:val="6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64"/>
        <w:gridCol w:w="2201"/>
        <w:gridCol w:w="2448"/>
      </w:tblGrid>
      <w:tr w14:paraId="4B5BB0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064" w:type="dxa"/>
            <w:vAlign w:val="center"/>
          </w:tcPr>
          <w:p w14:paraId="58BB4013">
            <w:pPr>
              <w:shd w:val="clear"/>
              <w:spacing w:line="312" w:lineRule="auto"/>
              <w:ind w:firstLine="0" w:firstLineChars="0"/>
              <w:jc w:val="both"/>
              <w:rPr>
                <w:rFonts w:ascii="Times New Roman" w:hAnsi="Times New Roman" w:cs="Times New Roman"/>
                <w:color w:val="auto"/>
                <w:spacing w:val="-3"/>
                <w:highlight w:val="none"/>
              </w:rPr>
            </w:pPr>
            <w:r>
              <w:rPr>
                <w:rFonts w:ascii="Times New Roman" w:cs="Times New Roman"/>
                <w:color w:val="auto"/>
                <w:spacing w:val="-3"/>
                <w:highlight w:val="none"/>
              </w:rPr>
              <w:t>项</w:t>
            </w:r>
            <w:r>
              <w:rPr>
                <w:rFonts w:ascii="Times New Roman" w:hAnsi="Times New Roman" w:cs="Times New Roman"/>
                <w:color w:val="auto"/>
                <w:spacing w:val="-3"/>
                <w:highlight w:val="none"/>
              </w:rPr>
              <w:t xml:space="preserve">    </w:t>
            </w:r>
            <w:r>
              <w:rPr>
                <w:rFonts w:ascii="Times New Roman" w:cs="Times New Roman"/>
                <w:color w:val="auto"/>
                <w:spacing w:val="-3"/>
                <w:highlight w:val="none"/>
              </w:rPr>
              <w:t>目</w:t>
            </w:r>
          </w:p>
        </w:tc>
        <w:tc>
          <w:tcPr>
            <w:tcW w:w="2201" w:type="dxa"/>
            <w:vAlign w:val="center"/>
          </w:tcPr>
          <w:p w14:paraId="06964DA8">
            <w:pPr>
              <w:shd w:val="clear"/>
              <w:spacing w:line="312" w:lineRule="auto"/>
              <w:ind w:firstLine="0" w:firstLineChars="0"/>
              <w:jc w:val="both"/>
              <w:rPr>
                <w:rFonts w:ascii="Times New Roman" w:hAnsi="Times New Roman" w:cs="Times New Roman"/>
                <w:color w:val="auto"/>
                <w:spacing w:val="-3"/>
                <w:highlight w:val="none"/>
              </w:rPr>
            </w:pPr>
            <w:r>
              <w:rPr>
                <w:rFonts w:ascii="Times New Roman" w:cs="Times New Roman"/>
                <w:color w:val="auto"/>
                <w:spacing w:val="-3"/>
                <w:highlight w:val="none"/>
              </w:rPr>
              <w:t>单</w:t>
            </w:r>
            <w:r>
              <w:rPr>
                <w:rFonts w:ascii="Times New Roman" w:hAnsi="Times New Roman" w:cs="Times New Roman"/>
                <w:color w:val="auto"/>
                <w:spacing w:val="-3"/>
                <w:highlight w:val="none"/>
              </w:rPr>
              <w:t xml:space="preserve">   </w:t>
            </w:r>
            <w:r>
              <w:rPr>
                <w:rFonts w:ascii="Times New Roman" w:cs="Times New Roman"/>
                <w:color w:val="auto"/>
                <w:spacing w:val="-3"/>
                <w:highlight w:val="none"/>
              </w:rPr>
              <w:t>位</w:t>
            </w:r>
          </w:p>
        </w:tc>
        <w:tc>
          <w:tcPr>
            <w:tcW w:w="2448" w:type="dxa"/>
            <w:vAlign w:val="center"/>
          </w:tcPr>
          <w:p w14:paraId="41F025D7">
            <w:pPr>
              <w:shd w:val="clear"/>
              <w:spacing w:line="312" w:lineRule="auto"/>
              <w:ind w:firstLine="0" w:firstLineChars="0"/>
              <w:jc w:val="both"/>
              <w:rPr>
                <w:rFonts w:ascii="Times New Roman" w:hAnsi="Times New Roman" w:cs="Times New Roman"/>
                <w:color w:val="auto"/>
                <w:spacing w:val="-3"/>
                <w:highlight w:val="none"/>
              </w:rPr>
            </w:pPr>
            <w:r>
              <w:rPr>
                <w:rFonts w:ascii="Times New Roman" w:cs="Times New Roman"/>
                <w:color w:val="auto"/>
                <w:spacing w:val="-3"/>
                <w:highlight w:val="none"/>
              </w:rPr>
              <w:t>指</w:t>
            </w:r>
            <w:r>
              <w:rPr>
                <w:rFonts w:ascii="Times New Roman" w:hAnsi="Times New Roman" w:cs="Times New Roman"/>
                <w:color w:val="auto"/>
                <w:spacing w:val="-3"/>
                <w:highlight w:val="none"/>
              </w:rPr>
              <w:t xml:space="preserve">   </w:t>
            </w:r>
            <w:r>
              <w:rPr>
                <w:rFonts w:ascii="Times New Roman" w:cs="Times New Roman"/>
                <w:color w:val="auto"/>
                <w:spacing w:val="-3"/>
                <w:highlight w:val="none"/>
              </w:rPr>
              <w:t>标</w:t>
            </w:r>
          </w:p>
        </w:tc>
      </w:tr>
      <w:tr w14:paraId="3737B0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64" w:type="dxa"/>
            <w:vAlign w:val="center"/>
          </w:tcPr>
          <w:p w14:paraId="73F4FB80">
            <w:pPr>
              <w:widowControl/>
              <w:shd w:val="clear"/>
              <w:spacing w:line="312" w:lineRule="auto"/>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Al</w:t>
            </w:r>
            <w:r>
              <w:rPr>
                <w:rFonts w:ascii="Times New Roman" w:hAnsi="Times New Roman" w:cs="Times New Roman"/>
                <w:color w:val="auto"/>
                <w:highlight w:val="none"/>
                <w:vertAlign w:val="subscript"/>
              </w:rPr>
              <w:t>2</w:t>
            </w:r>
            <w:r>
              <w:rPr>
                <w:rFonts w:ascii="Times New Roman" w:hAnsi="Times New Roman" w:cs="Times New Roman"/>
                <w:color w:val="auto"/>
                <w:highlight w:val="none"/>
              </w:rPr>
              <w:t>O</w:t>
            </w:r>
            <w:r>
              <w:rPr>
                <w:rFonts w:ascii="Times New Roman" w:hAnsi="Times New Roman" w:cs="Times New Roman"/>
                <w:color w:val="auto"/>
                <w:highlight w:val="none"/>
                <w:vertAlign w:val="subscript"/>
              </w:rPr>
              <w:t>3</w:t>
            </w:r>
          </w:p>
        </w:tc>
        <w:tc>
          <w:tcPr>
            <w:tcW w:w="2201" w:type="dxa"/>
            <w:vAlign w:val="center"/>
          </w:tcPr>
          <w:p w14:paraId="1674F1F1">
            <w:pPr>
              <w:widowControl/>
              <w:shd w:val="clear"/>
              <w:spacing w:line="312" w:lineRule="auto"/>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w:t>
            </w:r>
          </w:p>
        </w:tc>
        <w:tc>
          <w:tcPr>
            <w:tcW w:w="2448" w:type="dxa"/>
            <w:vAlign w:val="center"/>
          </w:tcPr>
          <w:p w14:paraId="7BCAF545">
            <w:pPr>
              <w:widowControl/>
              <w:shd w:val="clear"/>
              <w:spacing w:line="312" w:lineRule="auto"/>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≥45</w:t>
            </w:r>
          </w:p>
        </w:tc>
      </w:tr>
      <w:tr w14:paraId="1A06E1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64" w:type="dxa"/>
            <w:vAlign w:val="center"/>
          </w:tcPr>
          <w:p w14:paraId="7A85DBC2">
            <w:pPr>
              <w:shd w:val="clear"/>
              <w:tabs>
                <w:tab w:val="left" w:pos="7305"/>
              </w:tabs>
              <w:spacing w:line="312" w:lineRule="auto"/>
              <w:ind w:firstLine="0" w:firstLineChars="0"/>
              <w:jc w:val="both"/>
              <w:rPr>
                <w:rFonts w:ascii="Times New Roman" w:hAnsi="Times New Roman" w:cs="Times New Roman"/>
                <w:color w:val="auto"/>
                <w:highlight w:val="none"/>
              </w:rPr>
            </w:pPr>
            <w:r>
              <w:rPr>
                <w:rFonts w:ascii="Times New Roman" w:cs="Times New Roman"/>
                <w:color w:val="auto"/>
                <w:highlight w:val="none"/>
              </w:rPr>
              <w:t>体积密度</w:t>
            </w:r>
          </w:p>
        </w:tc>
        <w:tc>
          <w:tcPr>
            <w:tcW w:w="2201" w:type="dxa"/>
            <w:vAlign w:val="center"/>
          </w:tcPr>
          <w:p w14:paraId="008A3DDC">
            <w:pPr>
              <w:shd w:val="clear"/>
              <w:tabs>
                <w:tab w:val="left" w:pos="7305"/>
              </w:tabs>
              <w:spacing w:line="312" w:lineRule="auto"/>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g/cm</w:t>
            </w:r>
            <w:r>
              <w:rPr>
                <w:rFonts w:ascii="Times New Roman" w:hAnsi="Times New Roman" w:cs="Times New Roman"/>
                <w:color w:val="auto"/>
                <w:highlight w:val="none"/>
                <w:vertAlign w:val="superscript"/>
              </w:rPr>
              <w:t>3</w:t>
            </w:r>
          </w:p>
        </w:tc>
        <w:tc>
          <w:tcPr>
            <w:tcW w:w="2448" w:type="dxa"/>
            <w:vAlign w:val="center"/>
          </w:tcPr>
          <w:p w14:paraId="440E9B89">
            <w:pPr>
              <w:shd w:val="clear"/>
              <w:tabs>
                <w:tab w:val="left" w:pos="7305"/>
              </w:tabs>
              <w:spacing w:line="312" w:lineRule="auto"/>
              <w:ind w:firstLine="0" w:firstLineChars="0"/>
              <w:jc w:val="both"/>
              <w:rPr>
                <w:rFonts w:ascii="Times New Roman" w:hAnsi="Times New Roman" w:cs="Times New Roman"/>
                <w:color w:val="auto"/>
                <w:highlight w:val="none"/>
              </w:rPr>
            </w:pPr>
            <w:r>
              <w:rPr>
                <w:rFonts w:ascii="Times New Roman" w:cs="Times New Roman"/>
                <w:color w:val="auto"/>
                <w:highlight w:val="none"/>
              </w:rPr>
              <w:t>～</w:t>
            </w:r>
            <w:r>
              <w:rPr>
                <w:rFonts w:ascii="Times New Roman" w:hAnsi="Times New Roman" w:cs="Times New Roman"/>
                <w:color w:val="auto"/>
                <w:highlight w:val="none"/>
              </w:rPr>
              <w:t>2.3</w:t>
            </w:r>
          </w:p>
        </w:tc>
      </w:tr>
      <w:tr w14:paraId="31E63D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64" w:type="dxa"/>
            <w:vAlign w:val="center"/>
          </w:tcPr>
          <w:p w14:paraId="3F129922">
            <w:pPr>
              <w:widowControl/>
              <w:shd w:val="clear"/>
              <w:spacing w:line="312" w:lineRule="auto"/>
              <w:ind w:firstLine="0" w:firstLineChars="0"/>
              <w:jc w:val="both"/>
              <w:rPr>
                <w:rFonts w:ascii="Times New Roman" w:hAnsi="Times New Roman" w:cs="Times New Roman"/>
                <w:color w:val="auto"/>
                <w:highlight w:val="none"/>
              </w:rPr>
            </w:pPr>
            <w:r>
              <w:rPr>
                <w:rFonts w:ascii="Times New Roman" w:cs="Times New Roman"/>
                <w:color w:val="auto"/>
                <w:highlight w:val="none"/>
              </w:rPr>
              <w:t>耐火度，锥号</w:t>
            </w:r>
            <w:r>
              <w:rPr>
                <w:rFonts w:ascii="Times New Roman" w:hAnsi="Times New Roman" w:cs="Times New Roman"/>
                <w:color w:val="auto"/>
                <w:highlight w:val="none"/>
              </w:rPr>
              <w:t>CN</w:t>
            </w:r>
          </w:p>
        </w:tc>
        <w:tc>
          <w:tcPr>
            <w:tcW w:w="2201" w:type="dxa"/>
            <w:vAlign w:val="center"/>
          </w:tcPr>
          <w:p w14:paraId="6411D3BF">
            <w:pPr>
              <w:widowControl/>
              <w:shd w:val="clear"/>
              <w:spacing w:line="312" w:lineRule="auto"/>
              <w:ind w:firstLine="0" w:firstLineChars="0"/>
              <w:jc w:val="both"/>
              <w:rPr>
                <w:rFonts w:ascii="Times New Roman" w:hAnsi="Times New Roman" w:cs="Times New Roman"/>
                <w:color w:val="auto"/>
                <w:highlight w:val="none"/>
              </w:rPr>
            </w:pPr>
          </w:p>
        </w:tc>
        <w:tc>
          <w:tcPr>
            <w:tcW w:w="2448" w:type="dxa"/>
            <w:vAlign w:val="center"/>
          </w:tcPr>
          <w:p w14:paraId="17CF03CA">
            <w:pPr>
              <w:widowControl/>
              <w:shd w:val="clear"/>
              <w:spacing w:line="312" w:lineRule="auto"/>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176</w:t>
            </w:r>
          </w:p>
        </w:tc>
      </w:tr>
      <w:tr w14:paraId="313695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64" w:type="dxa"/>
            <w:vAlign w:val="center"/>
          </w:tcPr>
          <w:p w14:paraId="2ADC010A">
            <w:pPr>
              <w:widowControl/>
              <w:shd w:val="clear"/>
              <w:spacing w:line="312" w:lineRule="auto"/>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0.2MPa</w:t>
            </w:r>
            <w:r>
              <w:rPr>
                <w:rFonts w:ascii="Times New Roman" w:cs="Times New Roman"/>
                <w:color w:val="auto"/>
                <w:highlight w:val="none"/>
              </w:rPr>
              <w:t>荷重软化开始温度</w:t>
            </w:r>
          </w:p>
        </w:tc>
        <w:tc>
          <w:tcPr>
            <w:tcW w:w="2201" w:type="dxa"/>
            <w:vAlign w:val="center"/>
          </w:tcPr>
          <w:p w14:paraId="69A9EBAF">
            <w:pPr>
              <w:widowControl/>
              <w:shd w:val="clear"/>
              <w:spacing w:line="312" w:lineRule="auto"/>
              <w:ind w:firstLine="0" w:firstLineChars="0"/>
              <w:jc w:val="both"/>
              <w:rPr>
                <w:rFonts w:ascii="Times New Roman" w:hAnsi="Times New Roman" w:cs="Times New Roman"/>
                <w:color w:val="auto"/>
                <w:highlight w:val="none"/>
              </w:rPr>
            </w:pPr>
            <w:r>
              <w:rPr>
                <w:rFonts w:cs="Times New Roman"/>
                <w:color w:val="auto"/>
                <w:highlight w:val="none"/>
              </w:rPr>
              <w:t>℃</w:t>
            </w:r>
          </w:p>
        </w:tc>
        <w:tc>
          <w:tcPr>
            <w:tcW w:w="2448" w:type="dxa"/>
            <w:vAlign w:val="center"/>
          </w:tcPr>
          <w:p w14:paraId="34692FB7">
            <w:pPr>
              <w:widowControl/>
              <w:shd w:val="clear"/>
              <w:spacing w:line="312" w:lineRule="auto"/>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≥1430</w:t>
            </w:r>
          </w:p>
        </w:tc>
      </w:tr>
      <w:tr w14:paraId="7462FB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64" w:type="dxa"/>
            <w:vAlign w:val="center"/>
          </w:tcPr>
          <w:p w14:paraId="7EC21884">
            <w:pPr>
              <w:widowControl/>
              <w:shd w:val="clear"/>
              <w:spacing w:line="312" w:lineRule="auto"/>
              <w:ind w:firstLine="0" w:firstLineChars="0"/>
              <w:jc w:val="both"/>
              <w:rPr>
                <w:rFonts w:ascii="Times New Roman" w:hAnsi="Times New Roman" w:cs="Times New Roman"/>
                <w:color w:val="auto"/>
                <w:highlight w:val="none"/>
              </w:rPr>
            </w:pPr>
            <w:r>
              <w:rPr>
                <w:rFonts w:ascii="Times New Roman" w:cs="Times New Roman"/>
                <w:color w:val="auto"/>
                <w:highlight w:val="none"/>
              </w:rPr>
              <w:t>显气孔率</w:t>
            </w:r>
          </w:p>
        </w:tc>
        <w:tc>
          <w:tcPr>
            <w:tcW w:w="2201" w:type="dxa"/>
            <w:vAlign w:val="center"/>
          </w:tcPr>
          <w:p w14:paraId="2CDC2146">
            <w:pPr>
              <w:widowControl/>
              <w:shd w:val="clear"/>
              <w:spacing w:line="312" w:lineRule="auto"/>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w:t>
            </w:r>
          </w:p>
        </w:tc>
        <w:tc>
          <w:tcPr>
            <w:tcW w:w="2448" w:type="dxa"/>
            <w:vAlign w:val="center"/>
          </w:tcPr>
          <w:p w14:paraId="4AC2C669">
            <w:pPr>
              <w:widowControl/>
              <w:shd w:val="clear"/>
              <w:spacing w:line="312" w:lineRule="auto"/>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≤16</w:t>
            </w:r>
          </w:p>
        </w:tc>
      </w:tr>
      <w:tr w14:paraId="3FA08F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64" w:type="dxa"/>
            <w:vAlign w:val="center"/>
          </w:tcPr>
          <w:p w14:paraId="6B64AC3C">
            <w:pPr>
              <w:widowControl/>
              <w:shd w:val="clear"/>
              <w:spacing w:line="312" w:lineRule="auto"/>
              <w:ind w:firstLine="0" w:firstLineChars="0"/>
              <w:jc w:val="both"/>
              <w:rPr>
                <w:rFonts w:ascii="Times New Roman" w:hAnsi="Times New Roman" w:cs="Times New Roman"/>
                <w:color w:val="auto"/>
                <w:highlight w:val="none"/>
              </w:rPr>
            </w:pPr>
            <w:r>
              <w:rPr>
                <w:rFonts w:ascii="Times New Roman" w:cs="Times New Roman"/>
                <w:color w:val="auto"/>
                <w:highlight w:val="none"/>
              </w:rPr>
              <w:t>常温耐压强度</w:t>
            </w:r>
          </w:p>
        </w:tc>
        <w:tc>
          <w:tcPr>
            <w:tcW w:w="2201" w:type="dxa"/>
            <w:vAlign w:val="center"/>
          </w:tcPr>
          <w:p w14:paraId="324788D1">
            <w:pPr>
              <w:widowControl/>
              <w:shd w:val="clear"/>
              <w:spacing w:line="312" w:lineRule="auto"/>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MPa</w:t>
            </w:r>
          </w:p>
        </w:tc>
        <w:tc>
          <w:tcPr>
            <w:tcW w:w="2448" w:type="dxa"/>
            <w:vAlign w:val="center"/>
          </w:tcPr>
          <w:p w14:paraId="082C56CD">
            <w:pPr>
              <w:widowControl/>
              <w:shd w:val="clear"/>
              <w:spacing w:line="312" w:lineRule="auto"/>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≥60</w:t>
            </w:r>
          </w:p>
        </w:tc>
      </w:tr>
      <w:tr w14:paraId="628C6F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64" w:type="dxa"/>
            <w:vAlign w:val="center"/>
          </w:tcPr>
          <w:p w14:paraId="4C8E3314">
            <w:pPr>
              <w:widowControl/>
              <w:shd w:val="clear"/>
              <w:spacing w:line="312" w:lineRule="auto"/>
              <w:ind w:firstLine="0" w:firstLineChars="0"/>
              <w:jc w:val="both"/>
              <w:rPr>
                <w:rFonts w:ascii="Times New Roman" w:hAnsi="Times New Roman" w:cs="Times New Roman"/>
                <w:color w:val="auto"/>
                <w:highlight w:val="none"/>
              </w:rPr>
            </w:pPr>
            <w:r>
              <w:rPr>
                <w:rFonts w:ascii="Times New Roman" w:cs="Times New Roman"/>
                <w:color w:val="auto"/>
                <w:highlight w:val="none"/>
              </w:rPr>
              <w:t>加热永久线变化（</w:t>
            </w:r>
            <w:r>
              <w:rPr>
                <w:rFonts w:ascii="Times New Roman" w:hAnsi="Times New Roman" w:cs="Times New Roman"/>
                <w:color w:val="auto"/>
                <w:highlight w:val="none"/>
              </w:rPr>
              <w:t>1400</w:t>
            </w:r>
            <w:r>
              <w:rPr>
                <w:rFonts w:cs="Times New Roman"/>
                <w:color w:val="auto"/>
                <w:highlight w:val="none"/>
              </w:rPr>
              <w:t>℃</w:t>
            </w:r>
            <w:r>
              <w:rPr>
                <w:rFonts w:ascii="Times New Roman" w:hAnsi="Times New Roman" w:cs="Times New Roman"/>
                <w:color w:val="auto"/>
                <w:highlight w:val="none"/>
              </w:rPr>
              <w:t>×2h</w:t>
            </w:r>
            <w:r>
              <w:rPr>
                <w:rFonts w:ascii="Times New Roman" w:cs="Times New Roman"/>
                <w:color w:val="auto"/>
                <w:highlight w:val="none"/>
              </w:rPr>
              <w:t>）</w:t>
            </w:r>
          </w:p>
        </w:tc>
        <w:tc>
          <w:tcPr>
            <w:tcW w:w="2201" w:type="dxa"/>
            <w:vAlign w:val="center"/>
          </w:tcPr>
          <w:p w14:paraId="65636B0C">
            <w:pPr>
              <w:widowControl/>
              <w:shd w:val="clear"/>
              <w:spacing w:line="312" w:lineRule="auto"/>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w:t>
            </w:r>
          </w:p>
        </w:tc>
        <w:tc>
          <w:tcPr>
            <w:tcW w:w="2448" w:type="dxa"/>
            <w:vAlign w:val="center"/>
          </w:tcPr>
          <w:p w14:paraId="4874A354">
            <w:pPr>
              <w:widowControl/>
              <w:shd w:val="clear"/>
              <w:spacing w:line="312" w:lineRule="auto"/>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-0.2</w:t>
            </w:r>
            <w:r>
              <w:rPr>
                <w:rFonts w:ascii="Times New Roman" w:cs="Times New Roman"/>
                <w:color w:val="auto"/>
                <w:highlight w:val="none"/>
              </w:rPr>
              <w:t>～</w:t>
            </w:r>
            <w:r>
              <w:rPr>
                <w:rFonts w:ascii="Times New Roman" w:hAnsi="Times New Roman" w:cs="Times New Roman"/>
                <w:color w:val="auto"/>
                <w:highlight w:val="none"/>
              </w:rPr>
              <w:t>+0.1</w:t>
            </w:r>
          </w:p>
        </w:tc>
      </w:tr>
      <w:tr w14:paraId="6B82B4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64" w:type="dxa"/>
            <w:vAlign w:val="center"/>
          </w:tcPr>
          <w:p w14:paraId="47DA27AA">
            <w:pPr>
              <w:widowControl/>
              <w:shd w:val="clear"/>
              <w:spacing w:line="312" w:lineRule="auto"/>
              <w:ind w:firstLine="0" w:firstLineChars="0"/>
              <w:jc w:val="both"/>
              <w:rPr>
                <w:rFonts w:ascii="Times New Roman" w:hAnsi="Times New Roman" w:cs="Times New Roman"/>
                <w:color w:val="auto"/>
                <w:highlight w:val="none"/>
              </w:rPr>
            </w:pPr>
            <w:r>
              <w:rPr>
                <w:rFonts w:ascii="Times New Roman" w:cs="Times New Roman"/>
                <w:color w:val="auto"/>
                <w:highlight w:val="none"/>
              </w:rPr>
              <w:t>使用部位</w:t>
            </w:r>
          </w:p>
        </w:tc>
        <w:tc>
          <w:tcPr>
            <w:tcW w:w="4649" w:type="dxa"/>
            <w:gridSpan w:val="2"/>
            <w:vAlign w:val="center"/>
          </w:tcPr>
          <w:p w14:paraId="0C526EDF">
            <w:pPr>
              <w:widowControl/>
              <w:shd w:val="clear"/>
              <w:spacing w:line="312" w:lineRule="auto"/>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渣铁沟、摆动溜槽</w:t>
            </w:r>
          </w:p>
        </w:tc>
      </w:tr>
      <w:tr w14:paraId="0FC329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64" w:type="dxa"/>
            <w:vAlign w:val="center"/>
          </w:tcPr>
          <w:p w14:paraId="4BF54F08">
            <w:pPr>
              <w:widowControl/>
              <w:shd w:val="clear"/>
              <w:spacing w:line="312" w:lineRule="auto"/>
              <w:ind w:firstLine="0" w:firstLineChars="0"/>
              <w:jc w:val="both"/>
              <w:rPr>
                <w:rFonts w:ascii="Times New Roman" w:hAnsi="Times New Roman" w:cs="Times New Roman"/>
                <w:color w:val="auto"/>
                <w:highlight w:val="none"/>
              </w:rPr>
            </w:pPr>
            <w:r>
              <w:rPr>
                <w:rFonts w:ascii="Times New Roman" w:cs="Times New Roman"/>
                <w:color w:val="auto"/>
                <w:highlight w:val="none"/>
              </w:rPr>
              <w:t>执行标准</w:t>
            </w:r>
          </w:p>
        </w:tc>
        <w:tc>
          <w:tcPr>
            <w:tcW w:w="4649" w:type="dxa"/>
            <w:gridSpan w:val="2"/>
            <w:vAlign w:val="center"/>
          </w:tcPr>
          <w:p w14:paraId="14286096">
            <w:pPr>
              <w:widowControl/>
              <w:shd w:val="clear"/>
              <w:spacing w:line="312" w:lineRule="auto"/>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GB/T5106-2009</w:t>
            </w:r>
          </w:p>
        </w:tc>
      </w:tr>
    </w:tbl>
    <w:p w14:paraId="1A6A05D9">
      <w:pPr>
        <w:shd w:val="clear"/>
        <w:spacing w:line="312"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轻质隔热喷涂料主要理化指标</w:t>
      </w:r>
    </w:p>
    <w:tbl>
      <w:tblPr>
        <w:tblStyle w:val="6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73"/>
        <w:gridCol w:w="2055"/>
        <w:gridCol w:w="2400"/>
        <w:gridCol w:w="1885"/>
      </w:tblGrid>
      <w:tr w14:paraId="2015BE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4428" w:type="dxa"/>
            <w:gridSpan w:val="2"/>
            <w:vAlign w:val="center"/>
          </w:tcPr>
          <w:p w14:paraId="37EFFC16">
            <w:pPr>
              <w:shd w:val="clear"/>
              <w:spacing w:line="312" w:lineRule="auto"/>
              <w:ind w:firstLine="0" w:firstLineChars="0"/>
              <w:jc w:val="both"/>
              <w:rPr>
                <w:rFonts w:ascii="Times New Roman" w:hAnsi="Times New Roman" w:cs="Times New Roman"/>
                <w:color w:val="auto"/>
                <w:spacing w:val="-3"/>
                <w:highlight w:val="none"/>
              </w:rPr>
            </w:pPr>
            <w:r>
              <w:rPr>
                <w:rFonts w:ascii="Times New Roman" w:cs="Times New Roman"/>
                <w:color w:val="auto"/>
                <w:spacing w:val="-3"/>
                <w:highlight w:val="none"/>
              </w:rPr>
              <w:t>项</w:t>
            </w:r>
            <w:r>
              <w:rPr>
                <w:rFonts w:ascii="Times New Roman" w:hAnsi="Times New Roman" w:cs="Times New Roman"/>
                <w:color w:val="auto"/>
                <w:spacing w:val="-3"/>
                <w:highlight w:val="none"/>
              </w:rPr>
              <w:t xml:space="preserve">    </w:t>
            </w:r>
            <w:r>
              <w:rPr>
                <w:rFonts w:ascii="Times New Roman" w:cs="Times New Roman"/>
                <w:color w:val="auto"/>
                <w:spacing w:val="-3"/>
                <w:highlight w:val="none"/>
              </w:rPr>
              <w:t>目</w:t>
            </w:r>
          </w:p>
        </w:tc>
        <w:tc>
          <w:tcPr>
            <w:tcW w:w="2400" w:type="dxa"/>
            <w:vAlign w:val="center"/>
          </w:tcPr>
          <w:p w14:paraId="2F01311F">
            <w:pPr>
              <w:shd w:val="clear"/>
              <w:spacing w:line="312" w:lineRule="auto"/>
              <w:ind w:firstLine="0" w:firstLineChars="0"/>
              <w:jc w:val="both"/>
              <w:rPr>
                <w:rFonts w:ascii="Times New Roman" w:hAnsi="Times New Roman" w:cs="Times New Roman"/>
                <w:color w:val="auto"/>
                <w:spacing w:val="-3"/>
                <w:highlight w:val="none"/>
              </w:rPr>
            </w:pPr>
            <w:r>
              <w:rPr>
                <w:rFonts w:ascii="Times New Roman" w:cs="Times New Roman"/>
                <w:color w:val="auto"/>
                <w:spacing w:val="-3"/>
                <w:highlight w:val="none"/>
              </w:rPr>
              <w:t>单</w:t>
            </w:r>
            <w:r>
              <w:rPr>
                <w:rFonts w:ascii="Times New Roman" w:hAnsi="Times New Roman" w:cs="Times New Roman"/>
                <w:color w:val="auto"/>
                <w:spacing w:val="-3"/>
                <w:highlight w:val="none"/>
              </w:rPr>
              <w:t xml:space="preserve">   </w:t>
            </w:r>
            <w:r>
              <w:rPr>
                <w:rFonts w:ascii="Times New Roman" w:cs="Times New Roman"/>
                <w:color w:val="auto"/>
                <w:spacing w:val="-3"/>
                <w:highlight w:val="none"/>
              </w:rPr>
              <w:t>位</w:t>
            </w:r>
          </w:p>
        </w:tc>
        <w:tc>
          <w:tcPr>
            <w:tcW w:w="1885" w:type="dxa"/>
            <w:vAlign w:val="center"/>
          </w:tcPr>
          <w:p w14:paraId="3AF948BF">
            <w:pPr>
              <w:shd w:val="clear"/>
              <w:spacing w:line="312" w:lineRule="auto"/>
              <w:ind w:firstLine="0" w:firstLineChars="0"/>
              <w:jc w:val="both"/>
              <w:rPr>
                <w:rFonts w:ascii="Times New Roman" w:hAnsi="Times New Roman" w:cs="Times New Roman"/>
                <w:color w:val="auto"/>
                <w:spacing w:val="-3"/>
                <w:highlight w:val="none"/>
              </w:rPr>
            </w:pPr>
            <w:r>
              <w:rPr>
                <w:rFonts w:ascii="Times New Roman" w:cs="Times New Roman"/>
                <w:color w:val="auto"/>
                <w:spacing w:val="-3"/>
                <w:highlight w:val="none"/>
              </w:rPr>
              <w:t>指</w:t>
            </w:r>
            <w:r>
              <w:rPr>
                <w:rFonts w:ascii="Times New Roman" w:hAnsi="Times New Roman" w:cs="Times New Roman"/>
                <w:color w:val="auto"/>
                <w:spacing w:val="-3"/>
                <w:highlight w:val="none"/>
              </w:rPr>
              <w:t xml:space="preserve">   </w:t>
            </w:r>
            <w:r>
              <w:rPr>
                <w:rFonts w:ascii="Times New Roman" w:cs="Times New Roman"/>
                <w:color w:val="auto"/>
                <w:spacing w:val="-3"/>
                <w:highlight w:val="none"/>
              </w:rPr>
              <w:t>标</w:t>
            </w:r>
          </w:p>
        </w:tc>
      </w:tr>
      <w:tr w14:paraId="4742C1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428" w:type="dxa"/>
            <w:gridSpan w:val="2"/>
            <w:vAlign w:val="center"/>
          </w:tcPr>
          <w:p w14:paraId="4D4A0273">
            <w:pPr>
              <w:shd w:val="clear"/>
              <w:spacing w:line="312" w:lineRule="auto"/>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Al</w:t>
            </w:r>
            <w:r>
              <w:rPr>
                <w:rFonts w:ascii="Times New Roman" w:hAnsi="Times New Roman" w:cs="Times New Roman"/>
                <w:color w:val="auto"/>
                <w:highlight w:val="none"/>
                <w:vertAlign w:val="subscript"/>
              </w:rPr>
              <w:t>2</w:t>
            </w:r>
            <w:r>
              <w:rPr>
                <w:rFonts w:ascii="Times New Roman" w:hAnsi="Times New Roman" w:cs="Times New Roman"/>
                <w:color w:val="auto"/>
                <w:highlight w:val="none"/>
              </w:rPr>
              <w:t>O</w:t>
            </w:r>
            <w:r>
              <w:rPr>
                <w:rFonts w:ascii="Times New Roman" w:hAnsi="Times New Roman" w:cs="Times New Roman"/>
                <w:color w:val="auto"/>
                <w:highlight w:val="none"/>
                <w:vertAlign w:val="subscript"/>
              </w:rPr>
              <w:t>3</w:t>
            </w:r>
          </w:p>
        </w:tc>
        <w:tc>
          <w:tcPr>
            <w:tcW w:w="2400" w:type="dxa"/>
            <w:vAlign w:val="center"/>
          </w:tcPr>
          <w:p w14:paraId="55615C49">
            <w:pPr>
              <w:shd w:val="clear"/>
              <w:spacing w:line="312" w:lineRule="auto"/>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w:t>
            </w:r>
          </w:p>
        </w:tc>
        <w:tc>
          <w:tcPr>
            <w:tcW w:w="1885" w:type="dxa"/>
            <w:vAlign w:val="center"/>
          </w:tcPr>
          <w:p w14:paraId="71D60A66">
            <w:pPr>
              <w:shd w:val="clear"/>
              <w:spacing w:line="312" w:lineRule="auto"/>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≥50</w:t>
            </w:r>
          </w:p>
        </w:tc>
      </w:tr>
      <w:tr w14:paraId="345D18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428" w:type="dxa"/>
            <w:gridSpan w:val="2"/>
            <w:vAlign w:val="center"/>
          </w:tcPr>
          <w:p w14:paraId="4F0D8DA6">
            <w:pPr>
              <w:shd w:val="clear"/>
              <w:spacing w:line="312" w:lineRule="auto"/>
              <w:ind w:firstLine="0" w:firstLineChars="0"/>
              <w:jc w:val="both"/>
              <w:rPr>
                <w:rFonts w:ascii="Times New Roman" w:hAnsi="Times New Roman" w:cs="Times New Roman"/>
                <w:color w:val="auto"/>
                <w:highlight w:val="none"/>
              </w:rPr>
            </w:pPr>
            <w:r>
              <w:rPr>
                <w:rFonts w:ascii="Times New Roman" w:cs="Times New Roman"/>
                <w:color w:val="auto"/>
                <w:highlight w:val="none"/>
              </w:rPr>
              <w:t>使用温度</w:t>
            </w:r>
          </w:p>
        </w:tc>
        <w:tc>
          <w:tcPr>
            <w:tcW w:w="2400" w:type="dxa"/>
            <w:vAlign w:val="center"/>
          </w:tcPr>
          <w:p w14:paraId="08D3AD7B">
            <w:pPr>
              <w:shd w:val="clear"/>
              <w:spacing w:line="312" w:lineRule="auto"/>
              <w:ind w:firstLine="0" w:firstLineChars="0"/>
              <w:jc w:val="both"/>
              <w:rPr>
                <w:rFonts w:ascii="Times New Roman" w:hAnsi="Times New Roman" w:cs="Times New Roman"/>
                <w:color w:val="auto"/>
                <w:highlight w:val="none"/>
              </w:rPr>
            </w:pPr>
            <w:r>
              <w:rPr>
                <w:rFonts w:cs="Times New Roman"/>
                <w:color w:val="auto"/>
                <w:highlight w:val="none"/>
              </w:rPr>
              <w:t>℃</w:t>
            </w:r>
          </w:p>
        </w:tc>
        <w:tc>
          <w:tcPr>
            <w:tcW w:w="1885" w:type="dxa"/>
            <w:vAlign w:val="center"/>
          </w:tcPr>
          <w:p w14:paraId="67143585">
            <w:pPr>
              <w:shd w:val="clear"/>
              <w:spacing w:line="312" w:lineRule="auto"/>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1200</w:t>
            </w:r>
          </w:p>
        </w:tc>
      </w:tr>
      <w:tr w14:paraId="509D5B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428" w:type="dxa"/>
            <w:gridSpan w:val="2"/>
            <w:vAlign w:val="center"/>
          </w:tcPr>
          <w:p w14:paraId="1C9CCF60">
            <w:pPr>
              <w:shd w:val="clear"/>
              <w:spacing w:line="312" w:lineRule="auto"/>
              <w:ind w:firstLine="0" w:firstLineChars="0"/>
              <w:jc w:val="both"/>
              <w:rPr>
                <w:rFonts w:ascii="Times New Roman" w:hAnsi="Times New Roman" w:cs="Times New Roman"/>
                <w:color w:val="auto"/>
                <w:highlight w:val="none"/>
              </w:rPr>
            </w:pPr>
            <w:r>
              <w:rPr>
                <w:rFonts w:ascii="Times New Roman" w:cs="Times New Roman"/>
                <w:color w:val="auto"/>
                <w:highlight w:val="none"/>
              </w:rPr>
              <w:t>体积密度（</w:t>
            </w:r>
            <w:r>
              <w:rPr>
                <w:rFonts w:ascii="Times New Roman" w:hAnsi="Times New Roman" w:cs="Times New Roman"/>
                <w:color w:val="auto"/>
                <w:highlight w:val="none"/>
              </w:rPr>
              <w:t>110</w:t>
            </w:r>
            <w:r>
              <w:rPr>
                <w:rFonts w:cs="Times New Roman"/>
                <w:color w:val="auto"/>
                <w:highlight w:val="none"/>
              </w:rPr>
              <w:t>℃</w:t>
            </w:r>
            <w:r>
              <w:rPr>
                <w:rFonts w:ascii="Times New Roman" w:hAnsi="Times New Roman" w:cs="Times New Roman"/>
                <w:color w:val="auto"/>
                <w:highlight w:val="none"/>
              </w:rPr>
              <w:t>x24h</w:t>
            </w:r>
            <w:r>
              <w:rPr>
                <w:rFonts w:ascii="Times New Roman" w:cs="Times New Roman"/>
                <w:color w:val="auto"/>
                <w:highlight w:val="none"/>
              </w:rPr>
              <w:t>）</w:t>
            </w:r>
          </w:p>
        </w:tc>
        <w:tc>
          <w:tcPr>
            <w:tcW w:w="2400" w:type="dxa"/>
            <w:vAlign w:val="center"/>
          </w:tcPr>
          <w:p w14:paraId="76DABCAE">
            <w:pPr>
              <w:shd w:val="clear"/>
              <w:spacing w:line="312" w:lineRule="auto"/>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g/cm</w:t>
            </w:r>
            <w:r>
              <w:rPr>
                <w:rFonts w:ascii="Times New Roman" w:hAnsi="Times New Roman" w:cs="Times New Roman"/>
                <w:color w:val="auto"/>
                <w:highlight w:val="none"/>
                <w:vertAlign w:val="superscript"/>
              </w:rPr>
              <w:t>3</w:t>
            </w:r>
          </w:p>
        </w:tc>
        <w:tc>
          <w:tcPr>
            <w:tcW w:w="1885" w:type="dxa"/>
            <w:vAlign w:val="center"/>
          </w:tcPr>
          <w:p w14:paraId="4997CA99">
            <w:pPr>
              <w:shd w:val="clear"/>
              <w:spacing w:line="312" w:lineRule="auto"/>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≥1.2</w:t>
            </w:r>
          </w:p>
        </w:tc>
      </w:tr>
      <w:tr w14:paraId="56E571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373" w:type="dxa"/>
            <w:vMerge w:val="restart"/>
            <w:vAlign w:val="center"/>
          </w:tcPr>
          <w:p w14:paraId="11D424A5">
            <w:pPr>
              <w:shd w:val="clear"/>
              <w:spacing w:line="312" w:lineRule="auto"/>
              <w:ind w:firstLine="0" w:firstLineChars="0"/>
              <w:jc w:val="both"/>
              <w:rPr>
                <w:rFonts w:ascii="Times New Roman" w:hAnsi="Times New Roman" w:cs="Times New Roman"/>
                <w:color w:val="auto"/>
                <w:highlight w:val="none"/>
              </w:rPr>
            </w:pPr>
            <w:r>
              <w:rPr>
                <w:rFonts w:ascii="Times New Roman" w:cs="Times New Roman"/>
                <w:color w:val="auto"/>
                <w:highlight w:val="none"/>
              </w:rPr>
              <w:t>耐压强度</w:t>
            </w:r>
          </w:p>
        </w:tc>
        <w:tc>
          <w:tcPr>
            <w:tcW w:w="2055" w:type="dxa"/>
            <w:vAlign w:val="center"/>
          </w:tcPr>
          <w:p w14:paraId="33BFE697">
            <w:pPr>
              <w:shd w:val="clear"/>
              <w:spacing w:line="312" w:lineRule="auto"/>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110</w:t>
            </w:r>
            <w:r>
              <w:rPr>
                <w:rFonts w:cs="Times New Roman"/>
                <w:color w:val="auto"/>
                <w:highlight w:val="none"/>
              </w:rPr>
              <w:t>℃</w:t>
            </w:r>
            <w:r>
              <w:rPr>
                <w:rFonts w:ascii="Times New Roman" w:hAnsi="Times New Roman" w:cs="Times New Roman"/>
                <w:color w:val="auto"/>
                <w:highlight w:val="none"/>
              </w:rPr>
              <w:t>x24h</w:t>
            </w:r>
          </w:p>
        </w:tc>
        <w:tc>
          <w:tcPr>
            <w:tcW w:w="2400" w:type="dxa"/>
            <w:vAlign w:val="center"/>
          </w:tcPr>
          <w:p w14:paraId="44EE0506">
            <w:pPr>
              <w:shd w:val="clear"/>
              <w:spacing w:line="312" w:lineRule="auto"/>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MPa</w:t>
            </w:r>
          </w:p>
        </w:tc>
        <w:tc>
          <w:tcPr>
            <w:tcW w:w="1885" w:type="dxa"/>
            <w:vAlign w:val="center"/>
          </w:tcPr>
          <w:p w14:paraId="622E25F3">
            <w:pPr>
              <w:shd w:val="clear"/>
              <w:spacing w:line="312" w:lineRule="auto"/>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≥10</w:t>
            </w:r>
          </w:p>
        </w:tc>
      </w:tr>
      <w:tr w14:paraId="35655F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373" w:type="dxa"/>
            <w:vMerge w:val="continue"/>
            <w:vAlign w:val="center"/>
          </w:tcPr>
          <w:p w14:paraId="63CCB2E5">
            <w:pPr>
              <w:shd w:val="clear"/>
              <w:spacing w:line="312" w:lineRule="auto"/>
              <w:ind w:firstLine="0" w:firstLineChars="0"/>
              <w:jc w:val="both"/>
              <w:rPr>
                <w:rFonts w:ascii="Times New Roman" w:hAnsi="Times New Roman" w:cs="Times New Roman"/>
                <w:color w:val="auto"/>
                <w:highlight w:val="none"/>
              </w:rPr>
            </w:pPr>
          </w:p>
        </w:tc>
        <w:tc>
          <w:tcPr>
            <w:tcW w:w="2055" w:type="dxa"/>
            <w:vAlign w:val="center"/>
          </w:tcPr>
          <w:p w14:paraId="4895DB4F">
            <w:pPr>
              <w:shd w:val="clear"/>
              <w:spacing w:line="312" w:lineRule="auto"/>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1200</w:t>
            </w:r>
            <w:r>
              <w:rPr>
                <w:rFonts w:cs="Times New Roman"/>
                <w:color w:val="auto"/>
                <w:highlight w:val="none"/>
              </w:rPr>
              <w:t>℃</w:t>
            </w:r>
            <w:r>
              <w:rPr>
                <w:rFonts w:ascii="Times New Roman" w:hAnsi="Times New Roman" w:cs="Times New Roman"/>
                <w:color w:val="auto"/>
                <w:highlight w:val="none"/>
              </w:rPr>
              <w:t>x3h</w:t>
            </w:r>
          </w:p>
        </w:tc>
        <w:tc>
          <w:tcPr>
            <w:tcW w:w="2400" w:type="dxa"/>
            <w:vAlign w:val="center"/>
          </w:tcPr>
          <w:p w14:paraId="3F6179AC">
            <w:pPr>
              <w:shd w:val="clear"/>
              <w:spacing w:line="312" w:lineRule="auto"/>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MPa</w:t>
            </w:r>
          </w:p>
        </w:tc>
        <w:tc>
          <w:tcPr>
            <w:tcW w:w="1885" w:type="dxa"/>
            <w:vAlign w:val="center"/>
          </w:tcPr>
          <w:p w14:paraId="671A6CDE">
            <w:pPr>
              <w:shd w:val="clear"/>
              <w:spacing w:line="312" w:lineRule="auto"/>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≥10</w:t>
            </w:r>
          </w:p>
        </w:tc>
      </w:tr>
      <w:tr w14:paraId="74D4C8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428" w:type="dxa"/>
            <w:gridSpan w:val="2"/>
            <w:vAlign w:val="center"/>
          </w:tcPr>
          <w:p w14:paraId="76B4D86A">
            <w:pPr>
              <w:shd w:val="clear"/>
              <w:spacing w:line="312" w:lineRule="auto"/>
              <w:ind w:firstLine="0" w:firstLineChars="0"/>
              <w:jc w:val="both"/>
              <w:rPr>
                <w:rFonts w:ascii="Times New Roman" w:hAnsi="Times New Roman" w:cs="Times New Roman"/>
                <w:color w:val="auto"/>
                <w:highlight w:val="none"/>
              </w:rPr>
            </w:pPr>
            <w:r>
              <w:rPr>
                <w:rFonts w:ascii="Times New Roman" w:cs="Times New Roman"/>
                <w:color w:val="auto"/>
                <w:highlight w:val="none"/>
              </w:rPr>
              <w:t>导热系数（</w:t>
            </w:r>
            <w:r>
              <w:rPr>
                <w:rFonts w:ascii="Times New Roman" w:hAnsi="Times New Roman" w:cs="Times New Roman"/>
                <w:color w:val="auto"/>
                <w:highlight w:val="none"/>
              </w:rPr>
              <w:t>500</w:t>
            </w:r>
            <w:r>
              <w:rPr>
                <w:rFonts w:cs="Times New Roman"/>
                <w:color w:val="auto"/>
                <w:highlight w:val="none"/>
              </w:rPr>
              <w:t>℃</w:t>
            </w:r>
            <w:r>
              <w:rPr>
                <w:rFonts w:ascii="Times New Roman" w:hAnsi="Times New Roman" w:cs="Times New Roman"/>
                <w:color w:val="auto"/>
                <w:highlight w:val="none"/>
              </w:rPr>
              <w:t>/800</w:t>
            </w:r>
            <w:r>
              <w:rPr>
                <w:rFonts w:cs="Times New Roman"/>
                <w:color w:val="auto"/>
                <w:highlight w:val="none"/>
              </w:rPr>
              <w:t>℃</w:t>
            </w:r>
            <w:r>
              <w:rPr>
                <w:rFonts w:ascii="Times New Roman" w:cs="Times New Roman"/>
                <w:color w:val="auto"/>
                <w:highlight w:val="none"/>
              </w:rPr>
              <w:t>）</w:t>
            </w:r>
          </w:p>
        </w:tc>
        <w:tc>
          <w:tcPr>
            <w:tcW w:w="2400" w:type="dxa"/>
            <w:vAlign w:val="center"/>
          </w:tcPr>
          <w:p w14:paraId="339392C6">
            <w:pPr>
              <w:shd w:val="clear"/>
              <w:spacing w:line="312" w:lineRule="auto"/>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W/m.k</w:t>
            </w:r>
          </w:p>
        </w:tc>
        <w:tc>
          <w:tcPr>
            <w:tcW w:w="1885" w:type="dxa"/>
            <w:vAlign w:val="center"/>
          </w:tcPr>
          <w:p w14:paraId="133BC522">
            <w:pPr>
              <w:shd w:val="clear"/>
              <w:spacing w:line="312" w:lineRule="auto"/>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≤0.35/0.38</w:t>
            </w:r>
          </w:p>
        </w:tc>
      </w:tr>
      <w:tr w14:paraId="2AB7EE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4428" w:type="dxa"/>
            <w:gridSpan w:val="2"/>
            <w:vAlign w:val="center"/>
          </w:tcPr>
          <w:p w14:paraId="11002974">
            <w:pPr>
              <w:shd w:val="clear"/>
              <w:spacing w:line="312" w:lineRule="auto"/>
              <w:ind w:firstLine="0" w:firstLineChars="0"/>
              <w:jc w:val="both"/>
              <w:rPr>
                <w:rFonts w:ascii="Times New Roman" w:hAnsi="Times New Roman" w:cs="Times New Roman"/>
                <w:color w:val="auto"/>
                <w:highlight w:val="none"/>
              </w:rPr>
            </w:pPr>
            <w:r>
              <w:rPr>
                <w:rFonts w:ascii="Times New Roman" w:cs="Times New Roman"/>
                <w:color w:val="auto"/>
                <w:highlight w:val="none"/>
              </w:rPr>
              <w:t>反弹率</w:t>
            </w:r>
          </w:p>
        </w:tc>
        <w:tc>
          <w:tcPr>
            <w:tcW w:w="2400" w:type="dxa"/>
            <w:vAlign w:val="center"/>
          </w:tcPr>
          <w:p w14:paraId="4EA22072">
            <w:pPr>
              <w:shd w:val="clear"/>
              <w:spacing w:line="312" w:lineRule="auto"/>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w:t>
            </w:r>
          </w:p>
        </w:tc>
        <w:tc>
          <w:tcPr>
            <w:tcW w:w="1885" w:type="dxa"/>
            <w:vAlign w:val="center"/>
          </w:tcPr>
          <w:p w14:paraId="70331103">
            <w:pPr>
              <w:shd w:val="clear"/>
              <w:spacing w:line="312" w:lineRule="auto"/>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≤30</w:t>
            </w:r>
          </w:p>
        </w:tc>
      </w:tr>
    </w:tbl>
    <w:p w14:paraId="15F5CA09">
      <w:pPr>
        <w:shd w:val="clear"/>
        <w:spacing w:line="312" w:lineRule="auto"/>
        <w:jc w:val="center"/>
        <w:rPr>
          <w:rFonts w:cs="宋体"/>
          <w:snapToGrid w:val="0"/>
          <w:color w:val="auto"/>
          <w:kern w:val="0"/>
          <w:highlight w:val="none"/>
        </w:rPr>
      </w:pPr>
      <w:r>
        <w:rPr>
          <w:rFonts w:hint="eastAsia" w:cs="宋体"/>
          <w:snapToGrid w:val="0"/>
          <w:color w:val="auto"/>
          <w:kern w:val="0"/>
          <w:highlight w:val="none"/>
        </w:rPr>
        <w:t>沟盖浇注料主要理化指标</w:t>
      </w:r>
    </w:p>
    <w:tbl>
      <w:tblPr>
        <w:tblStyle w:val="6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108" w:type="dxa"/>
          <w:bottom w:w="28" w:type="dxa"/>
          <w:right w:w="108" w:type="dxa"/>
        </w:tblCellMar>
      </w:tblPr>
      <w:tblGrid>
        <w:gridCol w:w="2489"/>
        <w:gridCol w:w="3055"/>
        <w:gridCol w:w="3222"/>
      </w:tblGrid>
      <w:tr w14:paraId="1482F9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2489" w:type="dxa"/>
            <w:vAlign w:val="center"/>
          </w:tcPr>
          <w:p w14:paraId="08188CBE">
            <w:pPr>
              <w:shd w:val="clear"/>
              <w:ind w:firstLine="0" w:firstLineChars="0"/>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项目</w:t>
            </w:r>
          </w:p>
        </w:tc>
        <w:tc>
          <w:tcPr>
            <w:tcW w:w="3055" w:type="dxa"/>
            <w:vAlign w:val="center"/>
          </w:tcPr>
          <w:p w14:paraId="1F40B1C7">
            <w:pPr>
              <w:shd w:val="clear"/>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单位</w:t>
            </w:r>
          </w:p>
        </w:tc>
        <w:tc>
          <w:tcPr>
            <w:tcW w:w="3222" w:type="dxa"/>
            <w:vAlign w:val="center"/>
          </w:tcPr>
          <w:p w14:paraId="3CD79AF6">
            <w:pPr>
              <w:shd w:val="clear"/>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指标</w:t>
            </w:r>
          </w:p>
        </w:tc>
      </w:tr>
      <w:tr w14:paraId="174824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2489" w:type="dxa"/>
            <w:vAlign w:val="center"/>
          </w:tcPr>
          <w:p w14:paraId="39AF4875">
            <w:pPr>
              <w:shd w:val="clear"/>
              <w:ind w:firstLine="0" w:firstLineChars="0"/>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Al</w:t>
            </w:r>
            <w:r>
              <w:rPr>
                <w:rFonts w:ascii="Times New Roman" w:hAnsi="Times New Roman" w:cs="Times New Roman"/>
                <w:snapToGrid w:val="0"/>
                <w:color w:val="auto"/>
                <w:kern w:val="0"/>
                <w:highlight w:val="none"/>
                <w:vertAlign w:val="subscript"/>
                <w:lang w:val="ru-RU" w:eastAsia="ru-RU"/>
              </w:rPr>
              <w:t>2</w:t>
            </w:r>
            <w:r>
              <w:rPr>
                <w:rFonts w:ascii="Times New Roman" w:hAnsi="Times New Roman" w:cs="Times New Roman"/>
                <w:snapToGrid w:val="0"/>
                <w:color w:val="auto"/>
                <w:kern w:val="0"/>
                <w:highlight w:val="none"/>
                <w:lang w:val="ru-RU" w:eastAsia="ru-RU"/>
              </w:rPr>
              <w:t>O</w:t>
            </w:r>
            <w:r>
              <w:rPr>
                <w:rFonts w:ascii="Times New Roman" w:hAnsi="Times New Roman" w:cs="Times New Roman"/>
                <w:snapToGrid w:val="0"/>
                <w:color w:val="auto"/>
                <w:kern w:val="0"/>
                <w:highlight w:val="none"/>
                <w:vertAlign w:val="subscript"/>
                <w:lang w:val="ru-RU" w:eastAsia="ru-RU"/>
              </w:rPr>
              <w:t>3</w:t>
            </w:r>
          </w:p>
        </w:tc>
        <w:tc>
          <w:tcPr>
            <w:tcW w:w="3055" w:type="dxa"/>
            <w:vAlign w:val="center"/>
          </w:tcPr>
          <w:p w14:paraId="0BB38FB7">
            <w:pPr>
              <w:shd w:val="clear"/>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w:t>
            </w:r>
          </w:p>
        </w:tc>
        <w:tc>
          <w:tcPr>
            <w:tcW w:w="3222" w:type="dxa"/>
            <w:vAlign w:val="center"/>
          </w:tcPr>
          <w:p w14:paraId="1996B09D">
            <w:pPr>
              <w:shd w:val="clear"/>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w:t>
            </w:r>
            <w:r>
              <w:rPr>
                <w:rFonts w:hint="eastAsia" w:ascii="Times New Roman" w:hAnsi="Times New Roman" w:cs="Times New Roman"/>
                <w:snapToGrid w:val="0"/>
                <w:color w:val="auto"/>
                <w:kern w:val="0"/>
                <w:highlight w:val="none"/>
                <w:lang w:val="ru-RU" w:eastAsia="ru-RU"/>
              </w:rPr>
              <w:t>50</w:t>
            </w:r>
          </w:p>
        </w:tc>
      </w:tr>
      <w:tr w14:paraId="0D64DB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2489" w:type="dxa"/>
            <w:vAlign w:val="center"/>
          </w:tcPr>
          <w:p w14:paraId="2E29E69A">
            <w:pPr>
              <w:shd w:val="clear"/>
              <w:ind w:firstLine="0" w:firstLineChars="0"/>
              <w:jc w:val="both"/>
              <w:rPr>
                <w:rFonts w:ascii="Times New Roman" w:hAnsi="Times New Roman" w:cs="Times New Roman"/>
                <w:snapToGrid w:val="0"/>
                <w:color w:val="auto"/>
                <w:kern w:val="0"/>
                <w:highlight w:val="none"/>
                <w:lang w:val="ru-RU" w:eastAsia="ru-RU"/>
              </w:rPr>
            </w:pPr>
            <w:r>
              <w:rPr>
                <w:rFonts w:ascii="Arial" w:hAnsi="Arial"/>
                <w:snapToGrid w:val="0"/>
                <w:color w:val="auto"/>
                <w:kern w:val="0"/>
                <w:highlight w:val="none"/>
                <w:lang w:val="ru-RU" w:eastAsia="ru-RU"/>
              </w:rPr>
              <w:t>SiO</w:t>
            </w:r>
            <w:r>
              <w:rPr>
                <w:rFonts w:ascii="Arial" w:hAnsi="Arial"/>
                <w:snapToGrid w:val="0"/>
                <w:color w:val="auto"/>
                <w:kern w:val="0"/>
                <w:highlight w:val="none"/>
                <w:vertAlign w:val="subscript"/>
                <w:lang w:val="ru-RU" w:eastAsia="ru-RU"/>
              </w:rPr>
              <w:t>2</w:t>
            </w:r>
          </w:p>
        </w:tc>
        <w:tc>
          <w:tcPr>
            <w:tcW w:w="3055" w:type="dxa"/>
            <w:vAlign w:val="center"/>
          </w:tcPr>
          <w:p w14:paraId="03628260">
            <w:pPr>
              <w:shd w:val="clear"/>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w:t>
            </w:r>
          </w:p>
        </w:tc>
        <w:tc>
          <w:tcPr>
            <w:tcW w:w="3222" w:type="dxa"/>
            <w:vAlign w:val="center"/>
          </w:tcPr>
          <w:p w14:paraId="79AF175C">
            <w:pPr>
              <w:shd w:val="clear"/>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w:t>
            </w:r>
            <w:r>
              <w:rPr>
                <w:rFonts w:hint="eastAsia" w:ascii="Times New Roman" w:hAnsi="Times New Roman" w:cs="Times New Roman"/>
                <w:snapToGrid w:val="0"/>
                <w:color w:val="auto"/>
                <w:kern w:val="0"/>
                <w:highlight w:val="none"/>
                <w:lang w:val="ru-RU" w:eastAsia="ru-RU"/>
              </w:rPr>
              <w:t>45</w:t>
            </w:r>
          </w:p>
        </w:tc>
      </w:tr>
      <w:tr w14:paraId="1E2861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2489" w:type="dxa"/>
            <w:vMerge w:val="restart"/>
            <w:vAlign w:val="center"/>
          </w:tcPr>
          <w:p w14:paraId="3CD9F093">
            <w:pPr>
              <w:shd w:val="clear"/>
              <w:ind w:firstLine="0" w:firstLineChars="0"/>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抗压强度（MPa）</w:t>
            </w:r>
          </w:p>
        </w:tc>
        <w:tc>
          <w:tcPr>
            <w:tcW w:w="3055" w:type="dxa"/>
            <w:vAlign w:val="center"/>
          </w:tcPr>
          <w:p w14:paraId="7089755B">
            <w:pPr>
              <w:shd w:val="clear"/>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110℃×24h</w:t>
            </w:r>
          </w:p>
        </w:tc>
        <w:tc>
          <w:tcPr>
            <w:tcW w:w="3222" w:type="dxa"/>
            <w:vAlign w:val="center"/>
          </w:tcPr>
          <w:p w14:paraId="4DE6C638">
            <w:pPr>
              <w:shd w:val="clear"/>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w:t>
            </w:r>
            <w:r>
              <w:rPr>
                <w:rFonts w:hint="eastAsia" w:ascii="Times New Roman" w:hAnsi="Times New Roman" w:cs="Times New Roman"/>
                <w:snapToGrid w:val="0"/>
                <w:color w:val="auto"/>
                <w:kern w:val="0"/>
                <w:highlight w:val="none"/>
                <w:lang w:val="ru-RU" w:eastAsia="ru-RU"/>
              </w:rPr>
              <w:t>8</w:t>
            </w:r>
          </w:p>
        </w:tc>
      </w:tr>
      <w:tr w14:paraId="611C9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2489" w:type="dxa"/>
            <w:vMerge w:val="continue"/>
            <w:vAlign w:val="center"/>
          </w:tcPr>
          <w:p w14:paraId="173A9FD0">
            <w:pPr>
              <w:shd w:val="clear"/>
              <w:jc w:val="center"/>
              <w:rPr>
                <w:rFonts w:ascii="Times New Roman" w:hAnsi="Times New Roman" w:cs="Times New Roman"/>
                <w:snapToGrid w:val="0"/>
                <w:color w:val="auto"/>
                <w:kern w:val="0"/>
                <w:highlight w:val="none"/>
                <w:lang w:val="ru-RU" w:eastAsia="ru-RU"/>
              </w:rPr>
            </w:pPr>
          </w:p>
        </w:tc>
        <w:tc>
          <w:tcPr>
            <w:tcW w:w="3055" w:type="dxa"/>
            <w:vAlign w:val="center"/>
          </w:tcPr>
          <w:p w14:paraId="12E6EC58">
            <w:pPr>
              <w:shd w:val="clear"/>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1300℃×3h</w:t>
            </w:r>
          </w:p>
        </w:tc>
        <w:tc>
          <w:tcPr>
            <w:tcW w:w="3222" w:type="dxa"/>
            <w:vAlign w:val="center"/>
          </w:tcPr>
          <w:p w14:paraId="5346A8D9">
            <w:pPr>
              <w:shd w:val="clear"/>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w:t>
            </w:r>
            <w:r>
              <w:rPr>
                <w:rFonts w:hint="eastAsia" w:ascii="Times New Roman" w:hAnsi="Times New Roman" w:cs="Times New Roman"/>
                <w:snapToGrid w:val="0"/>
                <w:color w:val="auto"/>
                <w:kern w:val="0"/>
                <w:highlight w:val="none"/>
                <w:lang w:val="ru-RU" w:eastAsia="ru-RU"/>
              </w:rPr>
              <w:t>20</w:t>
            </w:r>
          </w:p>
        </w:tc>
      </w:tr>
      <w:tr w14:paraId="766924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2489" w:type="dxa"/>
            <w:vAlign w:val="center"/>
          </w:tcPr>
          <w:p w14:paraId="40BBF0CD">
            <w:pPr>
              <w:shd w:val="clear"/>
              <w:ind w:firstLine="0" w:firstLineChars="0"/>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导热系数（W/m.k）</w:t>
            </w:r>
          </w:p>
        </w:tc>
        <w:tc>
          <w:tcPr>
            <w:tcW w:w="3055" w:type="dxa"/>
            <w:vAlign w:val="center"/>
          </w:tcPr>
          <w:p w14:paraId="72F35E65">
            <w:pPr>
              <w:shd w:val="clear"/>
              <w:ind w:firstLine="439" w:firstLineChars="183"/>
              <w:jc w:val="both"/>
              <w:rPr>
                <w:rFonts w:ascii="Times New Roman" w:hAnsi="Times New Roman" w:cs="Times New Roman"/>
                <w:snapToGrid w:val="0"/>
                <w:color w:val="auto"/>
                <w:kern w:val="0"/>
                <w:highlight w:val="none"/>
                <w:lang w:val="ru-RU" w:eastAsia="ru-RU"/>
              </w:rPr>
            </w:pPr>
            <w:r>
              <w:rPr>
                <w:rFonts w:hint="eastAsia" w:ascii="Times New Roman" w:hAnsi="Times New Roman" w:cs="Times New Roman"/>
                <w:snapToGrid w:val="0"/>
                <w:color w:val="auto"/>
                <w:kern w:val="0"/>
                <w:highlight w:val="none"/>
                <w:lang w:val="ru-RU" w:eastAsia="ru-RU"/>
              </w:rPr>
              <w:t>80</w:t>
            </w:r>
            <w:r>
              <w:rPr>
                <w:rFonts w:ascii="Times New Roman" w:hAnsi="Times New Roman" w:cs="Times New Roman"/>
                <w:snapToGrid w:val="0"/>
                <w:color w:val="auto"/>
                <w:kern w:val="0"/>
                <w:highlight w:val="none"/>
                <w:lang w:val="ru-RU" w:eastAsia="ru-RU"/>
              </w:rPr>
              <w:t>0℃</w:t>
            </w:r>
          </w:p>
        </w:tc>
        <w:tc>
          <w:tcPr>
            <w:tcW w:w="3222" w:type="dxa"/>
            <w:vAlign w:val="center"/>
          </w:tcPr>
          <w:p w14:paraId="64CF9D8B">
            <w:pPr>
              <w:shd w:val="clear"/>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≤0.</w:t>
            </w:r>
            <w:r>
              <w:rPr>
                <w:rFonts w:hint="eastAsia" w:ascii="Times New Roman" w:hAnsi="Times New Roman" w:cs="Times New Roman"/>
                <w:snapToGrid w:val="0"/>
                <w:color w:val="auto"/>
                <w:kern w:val="0"/>
                <w:highlight w:val="none"/>
                <w:lang w:val="ru-RU" w:eastAsia="ru-RU"/>
              </w:rPr>
              <w:t>52</w:t>
            </w:r>
          </w:p>
        </w:tc>
      </w:tr>
      <w:tr w14:paraId="4825ED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2489" w:type="dxa"/>
            <w:vAlign w:val="center"/>
          </w:tcPr>
          <w:p w14:paraId="49ACE8FC">
            <w:pPr>
              <w:shd w:val="clear"/>
              <w:ind w:firstLine="0" w:firstLineChars="0"/>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烧后线变化/%</w:t>
            </w:r>
          </w:p>
        </w:tc>
        <w:tc>
          <w:tcPr>
            <w:tcW w:w="3055" w:type="dxa"/>
            <w:vAlign w:val="center"/>
          </w:tcPr>
          <w:p w14:paraId="089F1459">
            <w:pPr>
              <w:shd w:val="clear"/>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1</w:t>
            </w:r>
            <w:r>
              <w:rPr>
                <w:rFonts w:hint="eastAsia" w:ascii="Times New Roman" w:hAnsi="Times New Roman" w:cs="Times New Roman"/>
                <w:snapToGrid w:val="0"/>
                <w:color w:val="auto"/>
                <w:kern w:val="0"/>
                <w:highlight w:val="none"/>
                <w:lang w:val="ru-RU" w:eastAsia="ru-RU"/>
              </w:rPr>
              <w:t>4</w:t>
            </w:r>
            <w:r>
              <w:rPr>
                <w:rFonts w:ascii="Times New Roman" w:hAnsi="Times New Roman" w:cs="Times New Roman"/>
                <w:snapToGrid w:val="0"/>
                <w:color w:val="auto"/>
                <w:kern w:val="0"/>
                <w:highlight w:val="none"/>
                <w:lang w:val="ru-RU" w:eastAsia="ru-RU"/>
              </w:rPr>
              <w:t>00</w:t>
            </w:r>
            <w:r>
              <w:rPr>
                <w:rFonts w:hint="eastAsia" w:ascii="Times New Roman" w:cs="宋体"/>
                <w:snapToGrid w:val="0"/>
                <w:color w:val="auto"/>
                <w:kern w:val="0"/>
                <w:highlight w:val="none"/>
                <w:lang w:val="ru-RU" w:eastAsia="ru-RU"/>
              </w:rPr>
              <w:t>℃</w:t>
            </w:r>
            <w:r>
              <w:rPr>
                <w:rFonts w:ascii="Times New Roman" w:hAnsi="Times New Roman" w:cs="Times New Roman"/>
                <w:snapToGrid w:val="0"/>
                <w:color w:val="auto"/>
                <w:kern w:val="0"/>
                <w:highlight w:val="none"/>
                <w:lang w:val="ru-RU" w:eastAsia="ru-RU"/>
              </w:rPr>
              <w:t>×3h</w:t>
            </w:r>
          </w:p>
        </w:tc>
        <w:tc>
          <w:tcPr>
            <w:tcW w:w="3222" w:type="dxa"/>
            <w:vAlign w:val="center"/>
          </w:tcPr>
          <w:p w14:paraId="3C87C1C3">
            <w:pPr>
              <w:shd w:val="clear"/>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w:t>
            </w:r>
            <w:r>
              <w:rPr>
                <w:rFonts w:hint="eastAsia" w:ascii="Times New Roman" w:hAnsi="Times New Roman" w:cs="Times New Roman"/>
                <w:snapToGrid w:val="0"/>
                <w:color w:val="auto"/>
                <w:kern w:val="0"/>
                <w:highlight w:val="none"/>
                <w:lang w:val="ru-RU" w:eastAsia="ru-RU"/>
              </w:rPr>
              <w:t>1.0</w:t>
            </w:r>
          </w:p>
        </w:tc>
      </w:tr>
      <w:tr w14:paraId="459E66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2489" w:type="dxa"/>
            <w:vAlign w:val="center"/>
          </w:tcPr>
          <w:p w14:paraId="65B508DA">
            <w:pPr>
              <w:shd w:val="clear"/>
              <w:ind w:firstLine="0" w:firstLineChars="0"/>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体积密度（g/cm</w:t>
            </w:r>
            <w:r>
              <w:rPr>
                <w:rFonts w:ascii="Times New Roman" w:hAnsi="Times New Roman" w:cs="Times New Roman"/>
                <w:snapToGrid w:val="0"/>
                <w:color w:val="auto"/>
                <w:kern w:val="0"/>
                <w:highlight w:val="none"/>
                <w:vertAlign w:val="superscript"/>
                <w:lang w:val="ru-RU" w:eastAsia="ru-RU"/>
              </w:rPr>
              <w:t>3</w:t>
            </w:r>
            <w:r>
              <w:rPr>
                <w:rFonts w:ascii="Times New Roman" w:hAnsi="Times New Roman" w:cs="Times New Roman"/>
                <w:snapToGrid w:val="0"/>
                <w:color w:val="auto"/>
                <w:kern w:val="0"/>
                <w:highlight w:val="none"/>
                <w:lang w:val="ru-RU" w:eastAsia="ru-RU"/>
              </w:rPr>
              <w:t>）</w:t>
            </w:r>
          </w:p>
        </w:tc>
        <w:tc>
          <w:tcPr>
            <w:tcW w:w="3055" w:type="dxa"/>
            <w:vAlign w:val="center"/>
          </w:tcPr>
          <w:p w14:paraId="02110D99">
            <w:pPr>
              <w:shd w:val="clear"/>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110℃×24h</w:t>
            </w:r>
          </w:p>
        </w:tc>
        <w:tc>
          <w:tcPr>
            <w:tcW w:w="3222" w:type="dxa"/>
            <w:vAlign w:val="center"/>
          </w:tcPr>
          <w:p w14:paraId="2920CEE9">
            <w:pPr>
              <w:shd w:val="clear"/>
              <w:jc w:val="both"/>
              <w:rPr>
                <w:rFonts w:ascii="Times New Roman" w:hAnsi="Times New Roman" w:cs="Times New Roman"/>
                <w:snapToGrid w:val="0"/>
                <w:color w:val="auto"/>
                <w:kern w:val="0"/>
                <w:highlight w:val="none"/>
                <w:lang w:val="ru-RU" w:eastAsia="ru-RU"/>
              </w:rPr>
            </w:pPr>
            <w:r>
              <w:rPr>
                <w:rFonts w:hint="eastAsia" w:ascii="Times New Roman" w:hAnsi="Times New Roman" w:cs="Times New Roman"/>
                <w:snapToGrid w:val="0"/>
                <w:color w:val="auto"/>
                <w:kern w:val="0"/>
                <w:highlight w:val="none"/>
                <w:lang w:val="ru-RU" w:eastAsia="ru-RU"/>
              </w:rPr>
              <w:t>1.65</w:t>
            </w:r>
            <w:r>
              <w:rPr>
                <w:rFonts w:ascii="Arial" w:hAnsi="Arial"/>
                <w:snapToGrid w:val="0"/>
                <w:color w:val="auto"/>
                <w:kern w:val="0"/>
                <w:highlight w:val="none"/>
                <w:lang w:val="ru-RU" w:eastAsia="ru-RU"/>
              </w:rPr>
              <w:t>±0.1</w:t>
            </w:r>
          </w:p>
        </w:tc>
      </w:tr>
    </w:tbl>
    <w:p w14:paraId="301BE96D">
      <w:pPr>
        <w:shd w:val="clear"/>
        <w:spacing w:line="312" w:lineRule="auto"/>
        <w:jc w:val="center"/>
        <w:rPr>
          <w:rFonts w:cs="宋体"/>
          <w:snapToGrid w:val="0"/>
          <w:color w:val="auto"/>
          <w:kern w:val="0"/>
          <w:highlight w:val="none"/>
        </w:rPr>
      </w:pPr>
      <w:r>
        <w:rPr>
          <w:rFonts w:hint="eastAsia" w:cs="宋体"/>
          <w:snapToGrid w:val="0"/>
          <w:color w:val="auto"/>
          <w:kern w:val="0"/>
          <w:highlight w:val="none"/>
        </w:rPr>
        <w:t>捣打料主要理化指标</w:t>
      </w:r>
    </w:p>
    <w:tbl>
      <w:tblPr>
        <w:tblStyle w:val="6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108" w:type="dxa"/>
          <w:bottom w:w="28" w:type="dxa"/>
          <w:right w:w="108" w:type="dxa"/>
        </w:tblCellMar>
      </w:tblPr>
      <w:tblGrid>
        <w:gridCol w:w="2489"/>
        <w:gridCol w:w="3055"/>
        <w:gridCol w:w="3222"/>
      </w:tblGrid>
      <w:tr w14:paraId="4CCAD9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2489" w:type="dxa"/>
            <w:vAlign w:val="center"/>
          </w:tcPr>
          <w:p w14:paraId="391D428D">
            <w:pPr>
              <w:shd w:val="clear"/>
              <w:ind w:firstLine="0" w:firstLineChars="0"/>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项目</w:t>
            </w:r>
          </w:p>
        </w:tc>
        <w:tc>
          <w:tcPr>
            <w:tcW w:w="3055" w:type="dxa"/>
            <w:vAlign w:val="center"/>
          </w:tcPr>
          <w:p w14:paraId="5F88012C">
            <w:pPr>
              <w:shd w:val="clear"/>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单位</w:t>
            </w:r>
          </w:p>
        </w:tc>
        <w:tc>
          <w:tcPr>
            <w:tcW w:w="3222" w:type="dxa"/>
            <w:vAlign w:val="center"/>
          </w:tcPr>
          <w:p w14:paraId="7C7AF28A">
            <w:pPr>
              <w:shd w:val="clear"/>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指标</w:t>
            </w:r>
          </w:p>
        </w:tc>
      </w:tr>
      <w:tr w14:paraId="417ECA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2489" w:type="dxa"/>
            <w:vAlign w:val="center"/>
          </w:tcPr>
          <w:p w14:paraId="7F38D947">
            <w:pPr>
              <w:shd w:val="clear"/>
              <w:ind w:firstLine="0" w:firstLineChars="0"/>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Al</w:t>
            </w:r>
            <w:r>
              <w:rPr>
                <w:rFonts w:ascii="Times New Roman" w:hAnsi="Times New Roman" w:cs="Times New Roman"/>
                <w:snapToGrid w:val="0"/>
                <w:color w:val="auto"/>
                <w:kern w:val="0"/>
                <w:highlight w:val="none"/>
                <w:vertAlign w:val="subscript"/>
                <w:lang w:val="ru-RU" w:eastAsia="ru-RU"/>
              </w:rPr>
              <w:t>2</w:t>
            </w:r>
            <w:r>
              <w:rPr>
                <w:rFonts w:ascii="Times New Roman" w:hAnsi="Times New Roman" w:cs="Times New Roman"/>
                <w:snapToGrid w:val="0"/>
                <w:color w:val="auto"/>
                <w:kern w:val="0"/>
                <w:highlight w:val="none"/>
                <w:lang w:val="ru-RU" w:eastAsia="ru-RU"/>
              </w:rPr>
              <w:t>O</w:t>
            </w:r>
            <w:r>
              <w:rPr>
                <w:rFonts w:ascii="Times New Roman" w:hAnsi="Times New Roman" w:cs="Times New Roman"/>
                <w:snapToGrid w:val="0"/>
                <w:color w:val="auto"/>
                <w:kern w:val="0"/>
                <w:highlight w:val="none"/>
                <w:vertAlign w:val="subscript"/>
                <w:lang w:val="ru-RU" w:eastAsia="ru-RU"/>
              </w:rPr>
              <w:t>3</w:t>
            </w:r>
          </w:p>
        </w:tc>
        <w:tc>
          <w:tcPr>
            <w:tcW w:w="3055" w:type="dxa"/>
            <w:vAlign w:val="center"/>
          </w:tcPr>
          <w:p w14:paraId="27380907">
            <w:pPr>
              <w:shd w:val="clear"/>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w:t>
            </w:r>
          </w:p>
        </w:tc>
        <w:tc>
          <w:tcPr>
            <w:tcW w:w="3222" w:type="dxa"/>
            <w:vAlign w:val="center"/>
          </w:tcPr>
          <w:p w14:paraId="311D6707">
            <w:pPr>
              <w:shd w:val="clear"/>
              <w:jc w:val="both"/>
              <w:rPr>
                <w:rFonts w:ascii="Times New Roman" w:hAnsi="Times New Roman" w:cs="Times New Roman"/>
                <w:snapToGrid w:val="0"/>
                <w:color w:val="auto"/>
                <w:kern w:val="0"/>
                <w:highlight w:val="none"/>
                <w:lang w:val="ru-RU" w:eastAsia="ru-RU"/>
              </w:rPr>
            </w:pPr>
            <w:r>
              <w:rPr>
                <w:rFonts w:hint="eastAsia" w:ascii="Times New Roman" w:hAnsi="Times New Roman" w:cs="Times New Roman"/>
                <w:snapToGrid w:val="0"/>
                <w:color w:val="auto"/>
                <w:kern w:val="0"/>
                <w:highlight w:val="none"/>
                <w:lang w:val="ru-RU" w:eastAsia="ru-RU"/>
              </w:rPr>
              <w:t>≥55</w:t>
            </w:r>
          </w:p>
        </w:tc>
      </w:tr>
      <w:tr w14:paraId="270215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2489" w:type="dxa"/>
            <w:vAlign w:val="center"/>
          </w:tcPr>
          <w:p w14:paraId="36C5132F">
            <w:pPr>
              <w:shd w:val="clear"/>
              <w:ind w:firstLine="0" w:firstLineChars="0"/>
              <w:jc w:val="both"/>
              <w:rPr>
                <w:rFonts w:ascii="Times New Roman" w:hAnsi="Times New Roman" w:cs="Times New Roman"/>
                <w:snapToGrid w:val="0"/>
                <w:color w:val="auto"/>
                <w:kern w:val="0"/>
                <w:highlight w:val="none"/>
                <w:lang w:val="ru-RU"/>
              </w:rPr>
            </w:pPr>
            <w:r>
              <w:rPr>
                <w:rFonts w:ascii="Arial" w:hAnsi="Arial"/>
                <w:snapToGrid w:val="0"/>
                <w:color w:val="auto"/>
                <w:kern w:val="0"/>
                <w:highlight w:val="none"/>
                <w:lang w:val="ru-RU" w:eastAsia="ru-RU"/>
              </w:rPr>
              <w:t>Si</w:t>
            </w:r>
            <w:r>
              <w:rPr>
                <w:rFonts w:hint="eastAsia" w:ascii="Arial" w:hAnsi="Arial"/>
                <w:snapToGrid w:val="0"/>
                <w:color w:val="auto"/>
                <w:kern w:val="0"/>
                <w:highlight w:val="none"/>
                <w:lang w:val="ru-RU"/>
              </w:rPr>
              <w:t>C+C</w:t>
            </w:r>
          </w:p>
        </w:tc>
        <w:tc>
          <w:tcPr>
            <w:tcW w:w="3055" w:type="dxa"/>
            <w:vAlign w:val="center"/>
          </w:tcPr>
          <w:p w14:paraId="3DB9862A">
            <w:pPr>
              <w:shd w:val="clear"/>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w:t>
            </w:r>
          </w:p>
        </w:tc>
        <w:tc>
          <w:tcPr>
            <w:tcW w:w="3222" w:type="dxa"/>
            <w:vAlign w:val="center"/>
          </w:tcPr>
          <w:p w14:paraId="55324C2F">
            <w:pPr>
              <w:shd w:val="clear"/>
              <w:jc w:val="both"/>
              <w:rPr>
                <w:rFonts w:ascii="Times New Roman" w:hAnsi="Times New Roman" w:cs="Times New Roman"/>
                <w:snapToGrid w:val="0"/>
                <w:color w:val="auto"/>
                <w:kern w:val="0"/>
                <w:highlight w:val="none"/>
                <w:lang w:val="ru-RU" w:eastAsia="ru-RU"/>
              </w:rPr>
            </w:pPr>
            <w:r>
              <w:rPr>
                <w:rFonts w:hint="eastAsia" w:ascii="Times New Roman" w:hAnsi="Times New Roman" w:cs="Times New Roman"/>
                <w:snapToGrid w:val="0"/>
                <w:color w:val="auto"/>
                <w:kern w:val="0"/>
                <w:highlight w:val="none"/>
                <w:lang w:val="ru-RU"/>
              </w:rPr>
              <w:t>≥</w:t>
            </w:r>
            <w:r>
              <w:rPr>
                <w:rFonts w:hint="eastAsia" w:ascii="Times New Roman" w:hAnsi="Times New Roman" w:cs="Times New Roman"/>
                <w:snapToGrid w:val="0"/>
                <w:color w:val="auto"/>
                <w:kern w:val="0"/>
                <w:highlight w:val="none"/>
                <w:lang w:val="ru-RU" w:eastAsia="ru-RU"/>
              </w:rPr>
              <w:t>12</w:t>
            </w:r>
          </w:p>
        </w:tc>
      </w:tr>
      <w:tr w14:paraId="4DFD76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2489" w:type="dxa"/>
            <w:vMerge w:val="restart"/>
            <w:vAlign w:val="center"/>
          </w:tcPr>
          <w:p w14:paraId="470EDDF6">
            <w:pPr>
              <w:shd w:val="clear"/>
              <w:ind w:firstLine="0" w:firstLineChars="0"/>
              <w:jc w:val="both"/>
              <w:rPr>
                <w:rFonts w:ascii="Arial" w:hAnsi="Arial"/>
                <w:snapToGrid w:val="0"/>
                <w:color w:val="auto"/>
                <w:kern w:val="0"/>
                <w:highlight w:val="none"/>
                <w:lang w:val="ru-RU" w:eastAsia="ru-RU"/>
              </w:rPr>
            </w:pPr>
            <w:r>
              <w:rPr>
                <w:rFonts w:hint="eastAsia" w:ascii="Arial" w:hAnsi="Arial"/>
                <w:snapToGrid w:val="0"/>
                <w:color w:val="auto"/>
                <w:kern w:val="0"/>
                <w:highlight w:val="none"/>
                <w:lang w:val="ru-RU" w:eastAsia="ru-RU"/>
              </w:rPr>
              <w:t>体积密度（g/cm</w:t>
            </w:r>
            <w:r>
              <w:rPr>
                <w:rFonts w:hint="eastAsia" w:ascii="Arial" w:hAnsi="Arial"/>
                <w:snapToGrid w:val="0"/>
                <w:color w:val="auto"/>
                <w:kern w:val="0"/>
                <w:highlight w:val="none"/>
                <w:vertAlign w:val="superscript"/>
                <w:lang w:val="ru-RU" w:eastAsia="ru-RU"/>
              </w:rPr>
              <w:t>3</w:t>
            </w:r>
            <w:r>
              <w:rPr>
                <w:rFonts w:hint="eastAsia" w:ascii="Arial" w:hAnsi="Arial"/>
                <w:snapToGrid w:val="0"/>
                <w:color w:val="auto"/>
                <w:kern w:val="0"/>
                <w:highlight w:val="none"/>
                <w:lang w:val="ru-RU" w:eastAsia="ru-RU"/>
              </w:rPr>
              <w:t>）</w:t>
            </w:r>
          </w:p>
        </w:tc>
        <w:tc>
          <w:tcPr>
            <w:tcW w:w="3055" w:type="dxa"/>
            <w:vAlign w:val="center"/>
          </w:tcPr>
          <w:p w14:paraId="34B50020">
            <w:pPr>
              <w:shd w:val="clear"/>
              <w:jc w:val="both"/>
              <w:rPr>
                <w:rFonts w:ascii="Times New Roman" w:hAnsi="Times New Roman" w:cs="Times New Roman"/>
                <w:snapToGrid w:val="0"/>
                <w:color w:val="auto"/>
                <w:kern w:val="0"/>
                <w:highlight w:val="none"/>
                <w:lang w:val="ru-RU" w:eastAsia="ru-RU"/>
              </w:rPr>
            </w:pPr>
            <w:r>
              <w:rPr>
                <w:rFonts w:hint="eastAsia" w:ascii="Times New Roman" w:hAnsi="Times New Roman" w:cs="Times New Roman"/>
                <w:snapToGrid w:val="0"/>
                <w:color w:val="auto"/>
                <w:kern w:val="0"/>
                <w:highlight w:val="none"/>
                <w:lang w:val="ru-RU" w:eastAsia="ru-RU"/>
              </w:rPr>
              <w:t>110℃×24h</w:t>
            </w:r>
          </w:p>
        </w:tc>
        <w:tc>
          <w:tcPr>
            <w:tcW w:w="3222" w:type="dxa"/>
            <w:vAlign w:val="center"/>
          </w:tcPr>
          <w:p w14:paraId="4DCA9BE0">
            <w:pPr>
              <w:shd w:val="clear"/>
              <w:jc w:val="both"/>
              <w:rPr>
                <w:rFonts w:ascii="Times New Roman" w:hAnsi="Times New Roman" w:cs="Times New Roman"/>
                <w:snapToGrid w:val="0"/>
                <w:color w:val="auto"/>
                <w:kern w:val="0"/>
                <w:highlight w:val="none"/>
                <w:lang w:val="ru-RU"/>
              </w:rPr>
            </w:pPr>
            <w:r>
              <w:rPr>
                <w:rFonts w:hint="eastAsia" w:ascii="Times New Roman" w:hAnsi="Times New Roman" w:cs="Times New Roman"/>
                <w:snapToGrid w:val="0"/>
                <w:color w:val="auto"/>
                <w:kern w:val="0"/>
                <w:highlight w:val="none"/>
                <w:lang w:val="ru-RU"/>
              </w:rPr>
              <w:t>≥2.4</w:t>
            </w:r>
          </w:p>
        </w:tc>
      </w:tr>
      <w:tr w14:paraId="1367CD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2489" w:type="dxa"/>
            <w:vMerge w:val="continue"/>
            <w:vAlign w:val="center"/>
          </w:tcPr>
          <w:p w14:paraId="17452FC6">
            <w:pPr>
              <w:shd w:val="clear"/>
              <w:ind w:firstLine="0" w:firstLineChars="0"/>
              <w:jc w:val="both"/>
              <w:rPr>
                <w:rFonts w:ascii="Arial" w:hAnsi="Arial"/>
                <w:snapToGrid w:val="0"/>
                <w:color w:val="auto"/>
                <w:kern w:val="0"/>
                <w:highlight w:val="none"/>
                <w:lang w:val="ru-RU" w:eastAsia="ru-RU"/>
              </w:rPr>
            </w:pPr>
          </w:p>
        </w:tc>
        <w:tc>
          <w:tcPr>
            <w:tcW w:w="3055" w:type="dxa"/>
            <w:vAlign w:val="center"/>
          </w:tcPr>
          <w:p w14:paraId="22803E76">
            <w:pPr>
              <w:shd w:val="clear"/>
              <w:jc w:val="both"/>
              <w:rPr>
                <w:rFonts w:ascii="Times New Roman" w:hAnsi="Times New Roman" w:cs="Times New Roman"/>
                <w:snapToGrid w:val="0"/>
                <w:color w:val="auto"/>
                <w:kern w:val="0"/>
                <w:highlight w:val="none"/>
                <w:lang w:val="ru-RU" w:eastAsia="ru-RU"/>
              </w:rPr>
            </w:pPr>
            <w:r>
              <w:rPr>
                <w:rFonts w:hint="eastAsia" w:ascii="Times New Roman" w:hAnsi="Times New Roman" w:cs="Times New Roman"/>
                <w:snapToGrid w:val="0"/>
                <w:color w:val="auto"/>
                <w:kern w:val="0"/>
                <w:highlight w:val="none"/>
                <w:lang w:val="ru-RU" w:eastAsia="ru-RU"/>
              </w:rPr>
              <w:t>1450℃×3h</w:t>
            </w:r>
          </w:p>
        </w:tc>
        <w:tc>
          <w:tcPr>
            <w:tcW w:w="3222" w:type="dxa"/>
            <w:vAlign w:val="center"/>
          </w:tcPr>
          <w:p w14:paraId="39C95030">
            <w:pPr>
              <w:shd w:val="clear"/>
              <w:jc w:val="both"/>
              <w:rPr>
                <w:rFonts w:ascii="Times New Roman" w:hAnsi="Times New Roman" w:cs="Times New Roman"/>
                <w:snapToGrid w:val="0"/>
                <w:color w:val="auto"/>
                <w:kern w:val="0"/>
                <w:highlight w:val="none"/>
                <w:lang w:val="ru-RU"/>
              </w:rPr>
            </w:pPr>
            <w:r>
              <w:rPr>
                <w:rFonts w:hint="eastAsia" w:ascii="Times New Roman" w:hAnsi="Times New Roman" w:cs="Times New Roman"/>
                <w:snapToGrid w:val="0"/>
                <w:color w:val="auto"/>
                <w:kern w:val="0"/>
                <w:highlight w:val="none"/>
                <w:lang w:val="ru-RU"/>
              </w:rPr>
              <w:t>≥2.35</w:t>
            </w:r>
          </w:p>
        </w:tc>
      </w:tr>
      <w:tr w14:paraId="4F3BE5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2489" w:type="dxa"/>
            <w:vAlign w:val="center"/>
          </w:tcPr>
          <w:p w14:paraId="75FF9972">
            <w:pPr>
              <w:shd w:val="clear"/>
              <w:ind w:firstLine="0" w:firstLineChars="0"/>
              <w:jc w:val="both"/>
              <w:rPr>
                <w:rFonts w:ascii="Arial" w:hAnsi="Arial"/>
                <w:snapToGrid w:val="0"/>
                <w:color w:val="auto"/>
                <w:kern w:val="0"/>
                <w:highlight w:val="none"/>
                <w:lang w:val="ru-RU" w:eastAsia="ru-RU"/>
              </w:rPr>
            </w:pPr>
            <w:r>
              <w:rPr>
                <w:rFonts w:hint="eastAsia" w:ascii="Arial" w:hAnsi="Arial"/>
                <w:snapToGrid w:val="0"/>
                <w:color w:val="auto"/>
                <w:kern w:val="0"/>
                <w:highlight w:val="none"/>
                <w:lang w:val="ru-RU" w:eastAsia="ru-RU"/>
              </w:rPr>
              <w:t>线变化率(%)</w:t>
            </w:r>
          </w:p>
        </w:tc>
        <w:tc>
          <w:tcPr>
            <w:tcW w:w="3055" w:type="dxa"/>
            <w:vAlign w:val="center"/>
          </w:tcPr>
          <w:p w14:paraId="0373CE19">
            <w:pPr>
              <w:shd w:val="clear"/>
              <w:jc w:val="both"/>
              <w:rPr>
                <w:rFonts w:ascii="Times New Roman" w:hAnsi="Times New Roman" w:cs="Times New Roman"/>
                <w:snapToGrid w:val="0"/>
                <w:color w:val="auto"/>
                <w:kern w:val="0"/>
                <w:highlight w:val="none"/>
                <w:lang w:val="ru-RU" w:eastAsia="ru-RU"/>
              </w:rPr>
            </w:pPr>
            <w:r>
              <w:rPr>
                <w:rFonts w:hint="eastAsia" w:ascii="Times New Roman" w:hAnsi="Times New Roman" w:cs="Times New Roman"/>
                <w:snapToGrid w:val="0"/>
                <w:color w:val="auto"/>
                <w:kern w:val="0"/>
                <w:highlight w:val="none"/>
                <w:lang w:val="ru-RU" w:eastAsia="ru-RU"/>
              </w:rPr>
              <w:t>1450℃×3h</w:t>
            </w:r>
          </w:p>
        </w:tc>
        <w:tc>
          <w:tcPr>
            <w:tcW w:w="3222" w:type="dxa"/>
            <w:vAlign w:val="center"/>
          </w:tcPr>
          <w:p w14:paraId="7F9F065C">
            <w:pPr>
              <w:shd w:val="clear"/>
              <w:jc w:val="both"/>
              <w:rPr>
                <w:rFonts w:ascii="Times New Roman" w:hAnsi="Times New Roman" w:cs="Times New Roman"/>
                <w:snapToGrid w:val="0"/>
                <w:color w:val="auto"/>
                <w:kern w:val="0"/>
                <w:highlight w:val="none"/>
                <w:lang w:val="ru-RU"/>
              </w:rPr>
            </w:pPr>
            <w:r>
              <w:rPr>
                <w:rFonts w:hint="eastAsia" w:ascii="Times New Roman" w:hAnsi="Times New Roman" w:cs="Times New Roman"/>
                <w:snapToGrid w:val="0"/>
                <w:color w:val="auto"/>
                <w:kern w:val="0"/>
                <w:highlight w:val="none"/>
                <w:lang w:val="ru-RU"/>
              </w:rPr>
              <w:t>±0.5</w:t>
            </w:r>
          </w:p>
        </w:tc>
      </w:tr>
      <w:tr w14:paraId="4997C9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2489" w:type="dxa"/>
            <w:vMerge w:val="restart"/>
            <w:vAlign w:val="center"/>
          </w:tcPr>
          <w:p w14:paraId="7BDA18BD">
            <w:pPr>
              <w:shd w:val="clear"/>
              <w:ind w:firstLine="0" w:firstLineChars="0"/>
              <w:jc w:val="both"/>
              <w:rPr>
                <w:rFonts w:ascii="Times New Roman" w:hAnsi="Times New Roman" w:cs="Times New Roman"/>
                <w:snapToGrid w:val="0"/>
                <w:color w:val="auto"/>
                <w:kern w:val="0"/>
                <w:highlight w:val="none"/>
                <w:lang w:val="ru-RU" w:eastAsia="ru-RU"/>
              </w:rPr>
            </w:pPr>
            <w:r>
              <w:rPr>
                <w:rFonts w:hint="eastAsia" w:ascii="Times New Roman" w:hAnsi="Times New Roman" w:cs="Times New Roman"/>
                <w:snapToGrid w:val="0"/>
                <w:color w:val="auto"/>
                <w:kern w:val="0"/>
                <w:highlight w:val="none"/>
                <w:lang w:val="ru-RU"/>
              </w:rPr>
              <w:t>耐</w:t>
            </w:r>
            <w:r>
              <w:rPr>
                <w:rFonts w:ascii="Times New Roman" w:hAnsi="Times New Roman" w:cs="Times New Roman"/>
                <w:snapToGrid w:val="0"/>
                <w:color w:val="auto"/>
                <w:kern w:val="0"/>
                <w:highlight w:val="none"/>
                <w:lang w:val="ru-RU" w:eastAsia="ru-RU"/>
              </w:rPr>
              <w:t>压强度（MPa）</w:t>
            </w:r>
          </w:p>
        </w:tc>
        <w:tc>
          <w:tcPr>
            <w:tcW w:w="3055" w:type="dxa"/>
            <w:vAlign w:val="center"/>
          </w:tcPr>
          <w:p w14:paraId="532F7D44">
            <w:pPr>
              <w:shd w:val="clear"/>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110℃×24h</w:t>
            </w:r>
          </w:p>
        </w:tc>
        <w:tc>
          <w:tcPr>
            <w:tcW w:w="3222" w:type="dxa"/>
            <w:vAlign w:val="center"/>
          </w:tcPr>
          <w:p w14:paraId="082E64CE">
            <w:pPr>
              <w:shd w:val="clear"/>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w:t>
            </w:r>
            <w:r>
              <w:rPr>
                <w:rFonts w:hint="eastAsia" w:ascii="Times New Roman" w:hAnsi="Times New Roman" w:cs="Times New Roman"/>
                <w:snapToGrid w:val="0"/>
                <w:color w:val="auto"/>
                <w:kern w:val="0"/>
                <w:highlight w:val="none"/>
                <w:lang w:val="ru-RU" w:eastAsia="ru-RU"/>
              </w:rPr>
              <w:t>25</w:t>
            </w:r>
          </w:p>
        </w:tc>
      </w:tr>
      <w:tr w14:paraId="5C1ED0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2489" w:type="dxa"/>
            <w:vMerge w:val="continue"/>
            <w:vAlign w:val="center"/>
          </w:tcPr>
          <w:p w14:paraId="1666A603">
            <w:pPr>
              <w:shd w:val="clear"/>
              <w:jc w:val="center"/>
              <w:rPr>
                <w:rFonts w:ascii="Times New Roman" w:hAnsi="Times New Roman" w:cs="Times New Roman"/>
                <w:snapToGrid w:val="0"/>
                <w:color w:val="auto"/>
                <w:kern w:val="0"/>
                <w:highlight w:val="none"/>
                <w:lang w:val="ru-RU" w:eastAsia="ru-RU"/>
              </w:rPr>
            </w:pPr>
          </w:p>
        </w:tc>
        <w:tc>
          <w:tcPr>
            <w:tcW w:w="3055" w:type="dxa"/>
            <w:vAlign w:val="center"/>
          </w:tcPr>
          <w:p w14:paraId="2578D8F2">
            <w:pPr>
              <w:shd w:val="clear"/>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1450℃×3h</w:t>
            </w:r>
          </w:p>
        </w:tc>
        <w:tc>
          <w:tcPr>
            <w:tcW w:w="3222" w:type="dxa"/>
            <w:vAlign w:val="center"/>
          </w:tcPr>
          <w:p w14:paraId="1A2F45F6">
            <w:pPr>
              <w:shd w:val="clear"/>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w:t>
            </w:r>
            <w:r>
              <w:rPr>
                <w:rFonts w:hint="eastAsia" w:ascii="Times New Roman" w:hAnsi="Times New Roman" w:cs="Times New Roman"/>
                <w:snapToGrid w:val="0"/>
                <w:color w:val="auto"/>
                <w:kern w:val="0"/>
                <w:highlight w:val="none"/>
                <w:lang w:val="ru-RU" w:eastAsia="ru-RU"/>
              </w:rPr>
              <w:t>45</w:t>
            </w:r>
          </w:p>
        </w:tc>
      </w:tr>
      <w:tr w14:paraId="2E5BAB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2489" w:type="dxa"/>
            <w:vMerge w:val="restart"/>
            <w:vAlign w:val="center"/>
          </w:tcPr>
          <w:p w14:paraId="600B12E8">
            <w:pPr>
              <w:shd w:val="clear"/>
              <w:ind w:firstLine="0" w:firstLineChars="0"/>
              <w:jc w:val="both"/>
              <w:rPr>
                <w:rFonts w:ascii="Times New Roman" w:hAnsi="Times New Roman" w:cs="Times New Roman"/>
                <w:snapToGrid w:val="0"/>
                <w:color w:val="auto"/>
                <w:kern w:val="0"/>
                <w:highlight w:val="none"/>
                <w:lang w:val="ru-RU" w:eastAsia="ru-RU"/>
              </w:rPr>
            </w:pPr>
            <w:r>
              <w:rPr>
                <w:rFonts w:hint="eastAsia" w:ascii="Times New Roman" w:hAnsi="Times New Roman" w:cs="Times New Roman"/>
                <w:snapToGrid w:val="0"/>
                <w:color w:val="auto"/>
                <w:kern w:val="0"/>
                <w:highlight w:val="none"/>
                <w:lang w:val="ru-RU" w:eastAsia="ru-RU"/>
              </w:rPr>
              <w:t>抗折强度（MPa）</w:t>
            </w:r>
          </w:p>
        </w:tc>
        <w:tc>
          <w:tcPr>
            <w:tcW w:w="3055" w:type="dxa"/>
            <w:vAlign w:val="center"/>
          </w:tcPr>
          <w:p w14:paraId="246E4A3A">
            <w:pPr>
              <w:shd w:val="clear"/>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110℃×24h</w:t>
            </w:r>
          </w:p>
        </w:tc>
        <w:tc>
          <w:tcPr>
            <w:tcW w:w="3222" w:type="dxa"/>
            <w:vAlign w:val="center"/>
          </w:tcPr>
          <w:p w14:paraId="0CAFB662">
            <w:pPr>
              <w:shd w:val="clear"/>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w:t>
            </w:r>
            <w:r>
              <w:rPr>
                <w:rFonts w:hint="eastAsia" w:ascii="Times New Roman" w:hAnsi="Times New Roman" w:cs="Times New Roman"/>
                <w:snapToGrid w:val="0"/>
                <w:color w:val="auto"/>
                <w:kern w:val="0"/>
                <w:highlight w:val="none"/>
                <w:lang w:val="ru-RU" w:eastAsia="ru-RU"/>
              </w:rPr>
              <w:t>3</w:t>
            </w:r>
          </w:p>
        </w:tc>
      </w:tr>
      <w:tr w14:paraId="2EF74B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2489" w:type="dxa"/>
            <w:vMerge w:val="continue"/>
            <w:vAlign w:val="center"/>
          </w:tcPr>
          <w:p w14:paraId="01DBCA06">
            <w:pPr>
              <w:shd w:val="clear"/>
              <w:ind w:firstLine="0" w:firstLineChars="0"/>
              <w:jc w:val="both"/>
              <w:rPr>
                <w:rFonts w:ascii="Times New Roman" w:hAnsi="Times New Roman" w:cs="Times New Roman"/>
                <w:snapToGrid w:val="0"/>
                <w:color w:val="auto"/>
                <w:kern w:val="0"/>
                <w:highlight w:val="none"/>
                <w:lang w:val="ru-RU" w:eastAsia="ru-RU"/>
              </w:rPr>
            </w:pPr>
          </w:p>
        </w:tc>
        <w:tc>
          <w:tcPr>
            <w:tcW w:w="3055" w:type="dxa"/>
            <w:vAlign w:val="center"/>
          </w:tcPr>
          <w:p w14:paraId="38E80BCD">
            <w:pPr>
              <w:shd w:val="clear"/>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1450℃×3h</w:t>
            </w:r>
          </w:p>
        </w:tc>
        <w:tc>
          <w:tcPr>
            <w:tcW w:w="3222" w:type="dxa"/>
            <w:vAlign w:val="center"/>
          </w:tcPr>
          <w:p w14:paraId="68FDD1AF">
            <w:pPr>
              <w:shd w:val="clear"/>
              <w:jc w:val="both"/>
              <w:rPr>
                <w:rFonts w:ascii="Times New Roman" w:hAnsi="Times New Roman" w:cs="Times New Roman"/>
                <w:snapToGrid w:val="0"/>
                <w:color w:val="auto"/>
                <w:kern w:val="0"/>
                <w:highlight w:val="none"/>
                <w:lang w:val="ru-RU" w:eastAsia="ru-RU"/>
              </w:rPr>
            </w:pPr>
            <w:r>
              <w:rPr>
                <w:rFonts w:ascii="Times New Roman" w:hAnsi="Times New Roman" w:cs="Times New Roman"/>
                <w:snapToGrid w:val="0"/>
                <w:color w:val="auto"/>
                <w:kern w:val="0"/>
                <w:highlight w:val="none"/>
                <w:lang w:val="ru-RU" w:eastAsia="ru-RU"/>
              </w:rPr>
              <w:t>≥</w:t>
            </w:r>
            <w:r>
              <w:rPr>
                <w:rFonts w:hint="eastAsia" w:ascii="Times New Roman" w:hAnsi="Times New Roman" w:cs="Times New Roman"/>
                <w:snapToGrid w:val="0"/>
                <w:color w:val="auto"/>
                <w:kern w:val="0"/>
                <w:highlight w:val="none"/>
                <w:lang w:val="ru-RU" w:eastAsia="ru-RU"/>
              </w:rPr>
              <w:t>4.5</w:t>
            </w:r>
          </w:p>
        </w:tc>
      </w:tr>
    </w:tbl>
    <w:p w14:paraId="065BEEB0">
      <w:pPr>
        <w:shd w:val="clear"/>
        <w:ind w:firstLine="0" w:firstLineChars="0"/>
        <w:outlineLvl w:val="1"/>
        <w:rPr>
          <w:rFonts w:cs="Times New Roman"/>
          <w:b/>
          <w:color w:val="auto"/>
          <w:sz w:val="28"/>
          <w:szCs w:val="28"/>
          <w:highlight w:val="none"/>
        </w:rPr>
      </w:pPr>
      <w:bookmarkStart w:id="350" w:name="_Toc13176"/>
      <w:bookmarkStart w:id="351" w:name="_Toc15435"/>
      <w:bookmarkStart w:id="352" w:name="_Toc11588"/>
      <w:bookmarkStart w:id="353" w:name="_Toc30867"/>
      <w:bookmarkStart w:id="354" w:name="_Toc29005"/>
      <w:r>
        <w:rPr>
          <w:rFonts w:cs="Times New Roman"/>
          <w:b/>
          <w:color w:val="auto"/>
          <w:sz w:val="28"/>
          <w:szCs w:val="28"/>
          <w:highlight w:val="none"/>
        </w:rPr>
        <w:t>2.8 渣处理系统</w:t>
      </w:r>
      <w:bookmarkEnd w:id="350"/>
      <w:bookmarkEnd w:id="351"/>
      <w:bookmarkEnd w:id="352"/>
      <w:bookmarkEnd w:id="353"/>
      <w:bookmarkEnd w:id="354"/>
    </w:p>
    <w:p w14:paraId="20224E64">
      <w:pPr>
        <w:shd w:val="clear"/>
        <w:ind w:firstLine="0" w:firstLineChars="0"/>
        <w:outlineLvl w:val="2"/>
        <w:rPr>
          <w:rFonts w:cs="Times New Roman"/>
          <w:color w:val="auto"/>
          <w:szCs w:val="28"/>
          <w:highlight w:val="none"/>
        </w:rPr>
      </w:pPr>
      <w:bookmarkStart w:id="355" w:name="_Toc100483403"/>
      <w:bookmarkStart w:id="356" w:name="_Toc23268"/>
      <w:bookmarkStart w:id="357" w:name="_Toc79840300"/>
      <w:r>
        <w:rPr>
          <w:rFonts w:hint="eastAsia" w:cs="Times New Roman"/>
          <w:color w:val="auto"/>
          <w:szCs w:val="28"/>
          <w:highlight w:val="none"/>
        </w:rPr>
        <w:t>2.8.1 渣处理系统现状</w:t>
      </w:r>
      <w:bookmarkEnd w:id="355"/>
      <w:bookmarkEnd w:id="356"/>
      <w:bookmarkEnd w:id="357"/>
    </w:p>
    <w:p w14:paraId="0A944431">
      <w:pPr>
        <w:shd w:val="clear"/>
        <w:rPr>
          <w:color w:val="auto"/>
          <w:highlight w:val="none"/>
        </w:rPr>
      </w:pPr>
      <w:r>
        <w:rPr>
          <w:rFonts w:hint="eastAsia"/>
          <w:color w:val="auto"/>
          <w:highlight w:val="none"/>
        </w:rPr>
        <w:t>酒钢2号高炉目前采用冲渣沟热转鼓工艺，备用2个干渣坑。</w:t>
      </w:r>
    </w:p>
    <w:p w14:paraId="1BC72443">
      <w:pPr>
        <w:shd w:val="clear"/>
        <w:rPr>
          <w:color w:val="auto"/>
          <w:highlight w:val="none"/>
        </w:rPr>
      </w:pPr>
      <w:r>
        <w:rPr>
          <w:rFonts w:hint="eastAsia"/>
          <w:color w:val="auto"/>
          <w:highlight w:val="none"/>
        </w:rPr>
        <w:t>设计火渣平均流速为3t（火渣）/min，最大6t/min，峰值10t/min，冲渣水量为2000m</w:t>
      </w:r>
      <w:r>
        <w:rPr>
          <w:rFonts w:hint="eastAsia"/>
          <w:color w:val="auto"/>
          <w:highlight w:val="none"/>
          <w:vertAlign w:val="superscript"/>
        </w:rPr>
        <w:t>3</w:t>
      </w:r>
      <w:r>
        <w:rPr>
          <w:rFonts w:hint="eastAsia"/>
          <w:color w:val="auto"/>
          <w:highlight w:val="none"/>
        </w:rPr>
        <w:t>/h。</w:t>
      </w:r>
    </w:p>
    <w:p w14:paraId="49650A1F">
      <w:pPr>
        <w:shd w:val="clear"/>
        <w:ind w:firstLine="0" w:firstLineChars="0"/>
        <w:outlineLvl w:val="2"/>
        <w:rPr>
          <w:rFonts w:cs="Times New Roman"/>
          <w:color w:val="auto"/>
          <w:szCs w:val="28"/>
          <w:highlight w:val="none"/>
        </w:rPr>
      </w:pPr>
      <w:bookmarkStart w:id="358" w:name="_Toc2114"/>
      <w:r>
        <w:rPr>
          <w:rFonts w:hint="eastAsia" w:cs="Times New Roman"/>
          <w:color w:val="auto"/>
          <w:szCs w:val="28"/>
          <w:highlight w:val="none"/>
        </w:rPr>
        <w:t>2.8.2 渣处理系统改造内容</w:t>
      </w:r>
      <w:bookmarkEnd w:id="358"/>
    </w:p>
    <w:p w14:paraId="79D98F00">
      <w:pPr>
        <w:shd w:val="clear"/>
        <w:rPr>
          <w:color w:val="auto"/>
          <w:highlight w:val="none"/>
        </w:rPr>
      </w:pPr>
      <w:r>
        <w:rPr>
          <w:rFonts w:hint="eastAsia"/>
          <w:color w:val="auto"/>
          <w:highlight w:val="none"/>
        </w:rPr>
        <w:t>本次高炉改造，冲渣沟热转鼓工艺不变，转鼓等设备设施均利旧。</w:t>
      </w:r>
      <w:r>
        <w:rPr>
          <w:rFonts w:hint="eastAsia" w:ascii="Times New Roman" w:hAnsi="Times New Roman" w:cs="Times New Roman"/>
          <w:color w:val="auto"/>
          <w:highlight w:val="none"/>
        </w:rPr>
        <w:t>对水渣沟承重结构进行加固（部分立柱混泥土脱落），</w:t>
      </w:r>
      <w:r>
        <w:rPr>
          <w:rFonts w:cs="宋体"/>
          <w:color w:val="auto"/>
          <w:highlight w:val="none"/>
        </w:rPr>
        <w:t>根据鉴定报告进行改造，具体改造方案见土建专业描述</w:t>
      </w:r>
      <w:r>
        <w:rPr>
          <w:rFonts w:hint="eastAsia" w:ascii="Times New Roman" w:hAnsi="Times New Roman" w:cs="Times New Roman"/>
          <w:color w:val="auto"/>
          <w:highlight w:val="none"/>
        </w:rPr>
        <w:t>。</w:t>
      </w:r>
    </w:p>
    <w:p w14:paraId="3386CF8D">
      <w:pPr>
        <w:shd w:val="clear"/>
        <w:rPr>
          <w:color w:val="auto"/>
          <w:highlight w:val="none"/>
        </w:rPr>
      </w:pPr>
      <w:bookmarkStart w:id="359" w:name="_Hlk161928183"/>
      <w:r>
        <w:rPr>
          <w:rFonts w:hint="eastAsia"/>
          <w:color w:val="auto"/>
          <w:highlight w:val="none"/>
        </w:rPr>
        <w:t>粒化箱、冲渣沟前段U形铸钢衬板、冲渣沟内衬、冲渣沟盖板、烟囱、转鼓及配套设施、相关水泵、阀门、管道等腐蚀严重，由业主进行修复。由于冲渣水补水考虑消纳炼轧厂产生的浓盐水，相关设备设施腐蚀速度加快，需适当缩短检修周期或选用耐腐蚀材质。</w:t>
      </w:r>
    </w:p>
    <w:bookmarkEnd w:id="359"/>
    <w:p w14:paraId="171164AD">
      <w:pPr>
        <w:ind w:firstLine="0" w:firstLineChars="0"/>
        <w:outlineLvl w:val="1"/>
        <w:rPr>
          <w:rFonts w:cs="Times New Roman"/>
          <w:b/>
          <w:sz w:val="28"/>
          <w:szCs w:val="28"/>
          <w:highlight w:val="none"/>
        </w:rPr>
      </w:pPr>
      <w:bookmarkStart w:id="360" w:name="_Toc16042"/>
      <w:bookmarkStart w:id="361" w:name="_Toc16074"/>
      <w:bookmarkStart w:id="362" w:name="_Toc20148"/>
      <w:bookmarkStart w:id="363" w:name="_Toc27961"/>
      <w:bookmarkStart w:id="364" w:name="_Toc31623"/>
      <w:bookmarkStart w:id="365" w:name="_Toc6638"/>
      <w:bookmarkStart w:id="366" w:name="_Toc19122"/>
      <w:bookmarkStart w:id="367" w:name="_Toc9133"/>
      <w:bookmarkStart w:id="368" w:name="_Toc26458"/>
      <w:bookmarkStart w:id="369" w:name="_Toc30094"/>
      <w:bookmarkStart w:id="370" w:name="_Toc12679"/>
      <w:r>
        <w:rPr>
          <w:rFonts w:cs="Times New Roman"/>
          <w:b/>
          <w:sz w:val="28"/>
          <w:szCs w:val="28"/>
          <w:highlight w:val="none"/>
        </w:rPr>
        <w:t>2.9 热风炉系统</w:t>
      </w:r>
      <w:bookmarkEnd w:id="360"/>
      <w:bookmarkEnd w:id="361"/>
      <w:bookmarkEnd w:id="362"/>
      <w:bookmarkEnd w:id="363"/>
      <w:bookmarkEnd w:id="364"/>
    </w:p>
    <w:p w14:paraId="4C9233B8">
      <w:pPr>
        <w:ind w:firstLine="0" w:firstLineChars="0"/>
        <w:outlineLvl w:val="2"/>
        <w:rPr>
          <w:rFonts w:cs="Times New Roman"/>
          <w:szCs w:val="28"/>
          <w:highlight w:val="none"/>
        </w:rPr>
      </w:pPr>
      <w:bookmarkStart w:id="371" w:name="_Toc2564"/>
      <w:r>
        <w:rPr>
          <w:rFonts w:hint="eastAsia" w:cs="Times New Roman"/>
          <w:szCs w:val="28"/>
          <w:highlight w:val="none"/>
        </w:rPr>
        <w:t>2.9.2 改造内容及方案</w:t>
      </w:r>
      <w:bookmarkEnd w:id="371"/>
    </w:p>
    <w:p w14:paraId="3BA72740">
      <w:pPr>
        <w:numPr>
          <w:ilvl w:val="0"/>
          <w:numId w:val="17"/>
        </w:numPr>
        <w:ind w:left="0" w:firstLine="480"/>
        <w:jc w:val="both"/>
        <w:rPr>
          <w:rFonts w:ascii="Times New Roman" w:hAnsi="Times New Roman" w:cs="Times New Roman"/>
          <w:highlight w:val="none"/>
        </w:rPr>
      </w:pPr>
      <w:r>
        <w:rPr>
          <w:rFonts w:hint="eastAsia" w:cs="Times New Roman"/>
          <w:highlight w:val="none"/>
        </w:rPr>
        <w:t>管道部分：由于风口数量增加，热风围管重新设计并更换，热风主管道部分更换</w:t>
      </w:r>
      <w:r>
        <w:rPr>
          <w:rFonts w:hint="eastAsia" w:cs="Times New Roman"/>
          <w:highlight w:val="none"/>
          <w:lang w:eastAsia="zh-CN"/>
        </w:rPr>
        <w:t>，</w:t>
      </w:r>
      <w:r>
        <w:rPr>
          <w:rFonts w:hint="eastAsia" w:cs="Times New Roman"/>
          <w:highlight w:val="none"/>
          <w:lang w:val="en-US" w:eastAsia="zh-CN"/>
        </w:rPr>
        <w:t>现有管托利旧，热风主管顶部的小管道视情况整体改造</w:t>
      </w:r>
      <w:r>
        <w:rPr>
          <w:rFonts w:hint="eastAsia" w:cs="Times New Roman"/>
          <w:highlight w:val="none"/>
        </w:rPr>
        <w:t>；倒流休风管道腐蚀严重，倒流休风管道需进行更换。倒流休风阀、冷风放风阀设备由业主提供施工含在项目里。</w:t>
      </w:r>
      <w:r>
        <w:rPr>
          <w:rFonts w:hint="eastAsia" w:cs="Times New Roman"/>
          <w:highlight w:val="none"/>
        </w:rPr>
        <w:t>热风围管与主管切断</w:t>
      </w:r>
      <w:r>
        <w:rPr>
          <w:rFonts w:hint="eastAsia" w:cs="Times New Roman"/>
          <w:highlight w:val="none"/>
          <w:lang w:eastAsia="zh-CN"/>
        </w:rPr>
        <w:t>，</w:t>
      </w:r>
      <w:r>
        <w:rPr>
          <w:rFonts w:hint="eastAsia" w:cs="Times New Roman"/>
          <w:highlight w:val="none"/>
          <w:lang w:val="en-US" w:eastAsia="zh-CN"/>
        </w:rPr>
        <w:t>在3个热风炉热风支管热风阀法兰处增加密封钢板</w:t>
      </w:r>
      <w:r>
        <w:rPr>
          <w:rFonts w:hint="eastAsia" w:cs="Times New Roman"/>
          <w:highlight w:val="none"/>
        </w:rPr>
        <w:t>含在项目内。</w:t>
      </w:r>
    </w:p>
    <w:p w14:paraId="2F1A8AAC">
      <w:pPr>
        <w:numPr>
          <w:ilvl w:val="0"/>
          <w:numId w:val="17"/>
        </w:numPr>
        <w:ind w:left="0" w:firstLine="480"/>
        <w:jc w:val="both"/>
        <w:rPr>
          <w:rFonts w:ascii="Times New Roman" w:hAnsi="Times New Roman" w:cs="Times New Roman"/>
          <w:highlight w:val="none"/>
        </w:rPr>
      </w:pPr>
      <w:r>
        <w:rPr>
          <w:rFonts w:hint="eastAsia" w:cs="Times New Roman"/>
          <w:highlight w:val="none"/>
        </w:rPr>
        <w:t>设备部分：冷风放风阀消音器更换。</w:t>
      </w:r>
    </w:p>
    <w:p w14:paraId="77EEA08E">
      <w:pPr>
        <w:ind w:firstLine="0" w:firstLineChars="0"/>
        <w:outlineLvl w:val="2"/>
        <w:rPr>
          <w:rFonts w:cs="Times New Roman"/>
          <w:szCs w:val="28"/>
          <w:highlight w:val="none"/>
        </w:rPr>
      </w:pPr>
      <w:bookmarkStart w:id="372" w:name="_Toc5269"/>
      <w:r>
        <w:rPr>
          <w:rFonts w:hint="eastAsia" w:cs="Times New Roman"/>
          <w:szCs w:val="28"/>
          <w:highlight w:val="none"/>
        </w:rPr>
        <w:t>2.9.4 热风炉结构形式</w:t>
      </w:r>
      <w:bookmarkEnd w:id="372"/>
    </w:p>
    <w:p w14:paraId="3E02D804">
      <w:pPr>
        <w:numPr>
          <w:ilvl w:val="0"/>
          <w:numId w:val="18"/>
        </w:numPr>
        <w:ind w:firstLineChars="0"/>
        <w:jc w:val="both"/>
        <w:rPr>
          <w:rFonts w:cs="Times New Roman"/>
          <w:highlight w:val="none"/>
        </w:rPr>
      </w:pPr>
      <w:r>
        <w:rPr>
          <w:rFonts w:hint="eastAsia" w:cs="Times New Roman"/>
          <w:highlight w:val="none"/>
        </w:rPr>
        <w:t>热风管道砌筑</w:t>
      </w:r>
    </w:p>
    <w:p w14:paraId="2D86EE88">
      <w:pPr>
        <w:jc w:val="both"/>
        <w:rPr>
          <w:rFonts w:cs="Times New Roman"/>
          <w:highlight w:val="none"/>
        </w:rPr>
      </w:pPr>
      <w:r>
        <w:rPr>
          <w:rFonts w:cs="Times New Roman"/>
          <w:highlight w:val="none"/>
        </w:rPr>
        <w:t>热风管道内衬耐火砖为红柱石莫来石砖，隔热层为轻质高铝砖、轻质粘土砖和轻质喷涂料，管道上部范围内留有填充陶瓷纤维毯（LYGX-512）的膨胀缝。热风管道三岔口、倒流休风三岔口等</w:t>
      </w:r>
      <w:r>
        <w:rPr>
          <w:rFonts w:hint="eastAsia" w:cs="Times New Roman"/>
          <w:highlight w:val="none"/>
        </w:rPr>
        <w:t>上半环采用陶瓷耐磨浇注料（TCJ-1）+下半环采用组合砖的砌筑结构</w:t>
      </w:r>
      <w:r>
        <w:rPr>
          <w:rFonts w:cs="Times New Roman"/>
          <w:highlight w:val="none"/>
        </w:rPr>
        <w:t>，围管送风支管采用陶瓷浇注料浇注（TCJ-1）。</w:t>
      </w:r>
      <w:r>
        <w:rPr>
          <w:rFonts w:hint="eastAsia" w:cs="Times New Roman"/>
          <w:highlight w:val="none"/>
        </w:rPr>
        <w:t>（与现有1号2号高炉热风炉三岔口的耐材结构形式一致）。</w:t>
      </w:r>
      <w:r>
        <w:rPr>
          <w:rFonts w:cs="Times New Roman"/>
          <w:highlight w:val="none"/>
        </w:rPr>
        <w:t>热风管道内衬厚度组成：工作层</w:t>
      </w:r>
      <w:r>
        <w:rPr>
          <w:rFonts w:hint="eastAsia" w:cs="Times New Roman"/>
          <w:highlight w:val="none"/>
        </w:rPr>
        <w:t>红柱石莫来石砖</w:t>
      </w:r>
      <w:r>
        <w:rPr>
          <w:rFonts w:cs="Times New Roman"/>
          <w:highlight w:val="none"/>
        </w:rPr>
        <w:t>（HMF）1</w:t>
      </w:r>
      <w:r>
        <w:rPr>
          <w:rFonts w:hint="eastAsia" w:cs="Times New Roman"/>
          <w:highlight w:val="none"/>
        </w:rPr>
        <w:t>5</w:t>
      </w:r>
      <w:r>
        <w:rPr>
          <w:rFonts w:cs="Times New Roman"/>
          <w:highlight w:val="none"/>
        </w:rPr>
        <w:t>0mm+轻质高铝砖（IH）114mm+轻质</w:t>
      </w:r>
      <w:r>
        <w:rPr>
          <w:rFonts w:hint="eastAsia" w:cs="Times New Roman"/>
          <w:highlight w:val="none"/>
        </w:rPr>
        <w:t>粘土</w:t>
      </w:r>
      <w:r>
        <w:rPr>
          <w:rFonts w:cs="Times New Roman"/>
          <w:highlight w:val="none"/>
        </w:rPr>
        <w:t>（IE）114mm+轻质喷涂料（CL-130G）</w:t>
      </w:r>
      <w:r>
        <w:rPr>
          <w:rFonts w:hint="eastAsia" w:cs="Times New Roman"/>
          <w:highlight w:val="none"/>
        </w:rPr>
        <w:t>58</w:t>
      </w:r>
      <w:r>
        <w:rPr>
          <w:rFonts w:cs="Times New Roman"/>
          <w:highlight w:val="none"/>
        </w:rPr>
        <w:t>mm。</w:t>
      </w:r>
      <w:r>
        <w:rPr>
          <w:rFonts w:hint="eastAsia" w:cs="Times New Roman"/>
          <w:highlight w:val="none"/>
        </w:rPr>
        <w:t>与现有的主管耐材配置一致。</w:t>
      </w:r>
    </w:p>
    <w:p w14:paraId="361B18DF">
      <w:pPr>
        <w:ind w:firstLine="0" w:firstLineChars="0"/>
        <w:outlineLvl w:val="2"/>
        <w:rPr>
          <w:rFonts w:cs="Times New Roman"/>
          <w:szCs w:val="28"/>
          <w:highlight w:val="none"/>
        </w:rPr>
      </w:pPr>
      <w:bookmarkStart w:id="373" w:name="_Toc25275"/>
      <w:r>
        <w:rPr>
          <w:rFonts w:hint="eastAsia" w:cs="Times New Roman"/>
          <w:szCs w:val="28"/>
          <w:highlight w:val="none"/>
        </w:rPr>
        <w:t>2.9.5 外围管线改造</w:t>
      </w:r>
      <w:bookmarkEnd w:id="373"/>
    </w:p>
    <w:p w14:paraId="780CBC46">
      <w:pPr>
        <w:numPr>
          <w:ilvl w:val="0"/>
          <w:numId w:val="19"/>
        </w:numPr>
        <w:ind w:firstLineChars="0"/>
        <w:jc w:val="both"/>
        <w:rPr>
          <w:rFonts w:ascii="Times New Roman" w:hAnsi="Times New Roman" w:cs="Times New Roman"/>
          <w:highlight w:val="none"/>
        </w:rPr>
      </w:pPr>
      <w:r>
        <w:rPr>
          <w:rFonts w:hint="eastAsia" w:ascii="Times New Roman" w:hAnsi="Times New Roman" w:cs="Times New Roman"/>
          <w:highlight w:val="none"/>
        </w:rPr>
        <w:t>热风管道</w:t>
      </w:r>
    </w:p>
    <w:p w14:paraId="207427E0">
      <w:pPr>
        <w:jc w:val="both"/>
        <w:rPr>
          <w:rFonts w:cs="Times New Roman"/>
          <w:highlight w:val="none"/>
        </w:rPr>
      </w:pPr>
      <w:r>
        <w:rPr>
          <w:rFonts w:hint="eastAsia" w:cs="Times New Roman"/>
          <w:highlight w:val="none"/>
        </w:rPr>
        <w:t>对腐蚀严重的倒流休风管道进行更换。对倒流休风阀进行更换。</w:t>
      </w:r>
    </w:p>
    <w:p w14:paraId="02DE7E2D">
      <w:pPr>
        <w:numPr>
          <w:ilvl w:val="0"/>
          <w:numId w:val="19"/>
        </w:numPr>
        <w:ind w:firstLineChars="0"/>
        <w:jc w:val="both"/>
        <w:rPr>
          <w:rFonts w:ascii="Times New Roman" w:hAnsi="Times New Roman" w:cs="Times New Roman"/>
          <w:highlight w:val="none"/>
        </w:rPr>
      </w:pPr>
      <w:r>
        <w:rPr>
          <w:rFonts w:hint="eastAsia" w:ascii="Times New Roman" w:hAnsi="Times New Roman" w:cs="Times New Roman"/>
          <w:highlight w:val="none"/>
        </w:rPr>
        <w:t>冷风管道</w:t>
      </w:r>
    </w:p>
    <w:p w14:paraId="3DB6CEBB">
      <w:pPr>
        <w:jc w:val="both"/>
        <w:rPr>
          <w:rFonts w:ascii="Times New Roman" w:hAnsi="Times New Roman" w:cs="Times New Roman"/>
          <w:highlight w:val="none"/>
        </w:rPr>
      </w:pPr>
      <w:r>
        <w:rPr>
          <w:rFonts w:hint="eastAsia" w:cs="Times New Roman"/>
          <w:highlight w:val="none"/>
        </w:rPr>
        <w:t>对冷风放风阀、冷风放风阀消声器进行更换。对混风调节阀进行更换。</w:t>
      </w:r>
    </w:p>
    <w:p w14:paraId="34A734F5">
      <w:pPr>
        <w:ind w:firstLine="0" w:firstLineChars="0"/>
        <w:outlineLvl w:val="2"/>
        <w:rPr>
          <w:rFonts w:cs="Times New Roman"/>
          <w:szCs w:val="28"/>
          <w:highlight w:val="none"/>
        </w:rPr>
      </w:pPr>
      <w:bookmarkStart w:id="374" w:name="_Toc17948"/>
      <w:r>
        <w:rPr>
          <w:rFonts w:hint="eastAsia" w:cs="Times New Roman"/>
          <w:szCs w:val="28"/>
          <w:highlight w:val="none"/>
        </w:rPr>
        <w:t>2.9.6 高炉提顶压热风炉系统设备能力校核</w:t>
      </w:r>
      <w:bookmarkEnd w:id="374"/>
    </w:p>
    <w:p w14:paraId="44F8971E">
      <w:pPr>
        <w:jc w:val="both"/>
        <w:rPr>
          <w:rFonts w:ascii="Times New Roman" w:hAnsi="Times New Roman" w:cs="Times New Roman"/>
          <w:highlight w:val="none"/>
        </w:rPr>
      </w:pPr>
      <w:r>
        <w:rPr>
          <w:rFonts w:hint="eastAsia" w:cs="Times New Roman"/>
          <w:highlight w:val="none"/>
        </w:rPr>
        <w:t>酒钢</w:t>
      </w:r>
      <w:r>
        <w:rPr>
          <w:rFonts w:hint="eastAsia" w:ascii="Times New Roman" w:hAnsi="Times New Roman" w:cs="Times New Roman"/>
          <w:highlight w:val="none"/>
        </w:rPr>
        <w:t>2</w:t>
      </w:r>
      <w:r>
        <w:rPr>
          <w:rFonts w:hint="eastAsia" w:cs="Times New Roman"/>
          <w:highlight w:val="none"/>
        </w:rPr>
        <w:t>号</w:t>
      </w:r>
      <w:r>
        <w:rPr>
          <w:rFonts w:cs="Times New Roman"/>
          <w:highlight w:val="none"/>
        </w:rPr>
        <w:t>高炉目前顶压</w:t>
      </w:r>
      <w:r>
        <w:rPr>
          <w:rFonts w:ascii="Times New Roman" w:hAnsi="Times New Roman" w:cs="Times New Roman"/>
          <w:highlight w:val="none"/>
        </w:rPr>
        <w:t>0.</w:t>
      </w:r>
      <w:r>
        <w:rPr>
          <w:rFonts w:hint="eastAsia" w:ascii="Times New Roman" w:hAnsi="Times New Roman" w:cs="Times New Roman"/>
          <w:highlight w:val="none"/>
        </w:rPr>
        <w:t>15</w:t>
      </w:r>
      <w:r>
        <w:rPr>
          <w:rFonts w:ascii="Times New Roman" w:hAnsi="Times New Roman" w:cs="Times New Roman"/>
          <w:highlight w:val="none"/>
        </w:rPr>
        <w:t>M</w:t>
      </w:r>
      <w:r>
        <w:rPr>
          <w:rFonts w:hint="eastAsia" w:ascii="Times New Roman" w:hAnsi="Times New Roman" w:cs="Times New Roman"/>
          <w:highlight w:val="none"/>
        </w:rPr>
        <w:t>P</w:t>
      </w:r>
      <w:r>
        <w:rPr>
          <w:rFonts w:ascii="Times New Roman" w:hAnsi="Times New Roman" w:cs="Times New Roman"/>
          <w:highlight w:val="none"/>
        </w:rPr>
        <w:t>a</w:t>
      </w:r>
      <w:r>
        <w:rPr>
          <w:rFonts w:hint="eastAsia" w:cs="Times New Roman"/>
          <w:highlight w:val="none"/>
        </w:rPr>
        <w:t>，拟将炉顶工作压力提高至</w:t>
      </w:r>
      <w:r>
        <w:rPr>
          <w:rFonts w:ascii="Times New Roman" w:hAnsi="Times New Roman" w:cs="Times New Roman"/>
          <w:highlight w:val="none"/>
        </w:rPr>
        <w:t>0.</w:t>
      </w:r>
      <w:r>
        <w:rPr>
          <w:rFonts w:hint="eastAsia" w:ascii="Times New Roman" w:hAnsi="Times New Roman" w:cs="Times New Roman"/>
          <w:highlight w:val="none"/>
        </w:rPr>
        <w:t>175</w:t>
      </w:r>
      <w:r>
        <w:rPr>
          <w:rFonts w:ascii="Times New Roman" w:hAnsi="Times New Roman" w:cs="Times New Roman"/>
          <w:highlight w:val="none"/>
        </w:rPr>
        <w:t>M</w:t>
      </w:r>
      <w:r>
        <w:rPr>
          <w:rFonts w:hint="eastAsia" w:ascii="Times New Roman" w:hAnsi="Times New Roman" w:cs="Times New Roman"/>
          <w:highlight w:val="none"/>
        </w:rPr>
        <w:t>P</w:t>
      </w:r>
      <w:r>
        <w:rPr>
          <w:rFonts w:ascii="Times New Roman" w:hAnsi="Times New Roman" w:cs="Times New Roman"/>
          <w:highlight w:val="none"/>
        </w:rPr>
        <w:t>a</w:t>
      </w:r>
      <w:r>
        <w:rPr>
          <w:rFonts w:cs="Times New Roman"/>
          <w:highlight w:val="none"/>
        </w:rPr>
        <w:t>，</w:t>
      </w:r>
      <w:r>
        <w:rPr>
          <w:rFonts w:hint="eastAsia" w:cs="Times New Roman"/>
          <w:highlight w:val="none"/>
        </w:rPr>
        <w:t>热风炉系统冷风、热风压力需同步提高，</w:t>
      </w:r>
      <w:r>
        <w:rPr>
          <w:rFonts w:cs="Times New Roman"/>
          <w:highlight w:val="none"/>
        </w:rPr>
        <w:t>热风压力</w:t>
      </w:r>
      <w:r>
        <w:rPr>
          <w:rFonts w:hint="eastAsia" w:cs="Times New Roman"/>
          <w:highlight w:val="none"/>
        </w:rPr>
        <w:t>将达到</w:t>
      </w:r>
      <w:r>
        <w:rPr>
          <w:rFonts w:ascii="Times New Roman" w:hAnsi="Times New Roman" w:cs="Times New Roman"/>
          <w:highlight w:val="none"/>
        </w:rPr>
        <w:t>0.</w:t>
      </w:r>
      <w:r>
        <w:rPr>
          <w:rFonts w:hint="eastAsia" w:ascii="Times New Roman" w:hAnsi="Times New Roman" w:cs="Times New Roman"/>
          <w:highlight w:val="none"/>
        </w:rPr>
        <w:t>32</w:t>
      </w:r>
      <w:r>
        <w:rPr>
          <w:rFonts w:ascii="Times New Roman" w:hAnsi="Times New Roman" w:cs="Times New Roman"/>
          <w:highlight w:val="none"/>
        </w:rPr>
        <w:t>MPa</w:t>
      </w:r>
      <w:r>
        <w:rPr>
          <w:rFonts w:cs="Times New Roman"/>
          <w:highlight w:val="none"/>
        </w:rPr>
        <w:t>。</w:t>
      </w:r>
    </w:p>
    <w:p w14:paraId="77FE09A4">
      <w:pPr>
        <w:jc w:val="both"/>
        <w:rPr>
          <w:rFonts w:ascii="Times New Roman" w:hAnsi="Times New Roman" w:cs="Times New Roman"/>
          <w:highlight w:val="none"/>
        </w:rPr>
      </w:pPr>
      <w:r>
        <w:rPr>
          <w:rFonts w:hint="eastAsia" w:cs="Times New Roman"/>
          <w:highlight w:val="none"/>
        </w:rPr>
        <w:t>原热风炉炉壳壁厚≥</w:t>
      </w:r>
      <w:r>
        <w:rPr>
          <w:rFonts w:hint="eastAsia" w:ascii="Times New Roman" w:hAnsi="Times New Roman" w:cs="Times New Roman"/>
          <w:highlight w:val="none"/>
        </w:rPr>
        <w:t>16mm</w:t>
      </w:r>
      <w:r>
        <w:rPr>
          <w:rFonts w:hint="eastAsia" w:cs="Times New Roman"/>
          <w:highlight w:val="none"/>
        </w:rPr>
        <w:t>、热风管道壁厚</w:t>
      </w:r>
      <w:r>
        <w:rPr>
          <w:rFonts w:hint="eastAsia" w:ascii="Times New Roman" w:hAnsi="Times New Roman" w:cs="Times New Roman"/>
          <w:highlight w:val="none"/>
        </w:rPr>
        <w:t>14mm</w:t>
      </w:r>
      <w:r>
        <w:rPr>
          <w:rFonts w:hint="eastAsia" w:cs="Times New Roman"/>
          <w:highlight w:val="none"/>
        </w:rPr>
        <w:t>，从设计参数来分析，理论上满足本次提高风压的要求；热风炉补偿器、热风拉杆、参与换炉的关键阀门等设备的相关设备参数核算满足提高风压的要求，需要根据现场设备的实际情况最终确定。</w:t>
      </w:r>
    </w:p>
    <w:p w14:paraId="19352962">
      <w:pPr>
        <w:jc w:val="both"/>
        <w:rPr>
          <w:rFonts w:ascii="Times New Roman" w:hAnsi="Times New Roman" w:cs="Times New Roman"/>
          <w:highlight w:val="none"/>
        </w:rPr>
      </w:pPr>
      <w:r>
        <w:rPr>
          <w:rFonts w:hint="eastAsia" w:cs="Times New Roman"/>
          <w:highlight w:val="none"/>
        </w:rPr>
        <w:t>同时，建议对以往有损伤的热风管道管壳、热风炉壳、焊缝、热风管道补偿器、热风拉杆等进行检查、测厚、探伤、加固等措施，确保相关设备设施满足相关设计性能要求。</w:t>
      </w:r>
    </w:p>
    <w:p w14:paraId="07C6ED0C">
      <w:pPr>
        <w:jc w:val="both"/>
        <w:rPr>
          <w:rFonts w:cs="Times New Roman"/>
          <w:highlight w:val="none"/>
        </w:rPr>
      </w:pPr>
      <w:r>
        <w:rPr>
          <w:rFonts w:hint="eastAsia" w:cs="Times New Roman"/>
          <w:highlight w:val="none"/>
        </w:rPr>
        <w:t>综上，在设备设计参数满足提高风压的基础上，核定消除设备由于使用年限长、生产磨损等缺陷带来的不利影响，热风风压提高至0.32MPa是可行的。</w:t>
      </w:r>
    </w:p>
    <w:p w14:paraId="35C810EA">
      <w:pPr>
        <w:ind w:firstLine="0" w:firstLineChars="0"/>
        <w:outlineLvl w:val="2"/>
        <w:rPr>
          <w:rFonts w:cs="Times New Roman"/>
          <w:szCs w:val="28"/>
          <w:highlight w:val="none"/>
        </w:rPr>
      </w:pPr>
      <w:r>
        <w:rPr>
          <w:rFonts w:hint="eastAsia" w:cs="Times New Roman"/>
          <w:szCs w:val="28"/>
          <w:highlight w:val="none"/>
        </w:rPr>
        <w:t>2.9.7耐火材料理化指标</w:t>
      </w:r>
    </w:p>
    <w:p w14:paraId="79358420">
      <w:pPr>
        <w:snapToGrid w:val="0"/>
        <w:spacing w:before="157" w:beforeLines="50"/>
        <w:ind w:left="120" w:leftChars="50" w:firstLine="0" w:firstLineChars="0"/>
        <w:jc w:val="center"/>
        <w:rPr>
          <w:highlight w:val="none"/>
        </w:rPr>
      </w:pPr>
      <w:r>
        <w:rPr>
          <w:rFonts w:hint="eastAsia" w:cs="Times New Roman"/>
          <w:highlight w:val="none"/>
        </w:rPr>
        <w:t>表</w:t>
      </w:r>
      <w:r>
        <w:rPr>
          <w:rFonts w:hint="eastAsia" w:ascii="Times New Roman" w:hAnsi="Times New Roman" w:cs="Times New Roman"/>
          <w:highlight w:val="none"/>
        </w:rPr>
        <w:t>2.9-2</w:t>
      </w:r>
      <w:r>
        <w:rPr>
          <w:rFonts w:ascii="Times New Roman" w:hAnsi="Times New Roman" w:cs="Times New Roman"/>
          <w:highlight w:val="none"/>
        </w:rPr>
        <w:t xml:space="preserve">  </w:t>
      </w:r>
      <w:r>
        <w:rPr>
          <w:rFonts w:hint="eastAsia" w:cs="Times New Roman"/>
          <w:szCs w:val="28"/>
          <w:highlight w:val="none"/>
        </w:rPr>
        <w:t>耐火材料理化指标1</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890"/>
        <w:gridCol w:w="890"/>
        <w:gridCol w:w="1108"/>
        <w:gridCol w:w="1108"/>
        <w:gridCol w:w="890"/>
        <w:gridCol w:w="890"/>
        <w:gridCol w:w="890"/>
        <w:gridCol w:w="1062"/>
      </w:tblGrid>
      <w:tr w14:paraId="2B294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150" w:type="dxa"/>
            <w:tcBorders>
              <w:top w:val="single" w:color="auto" w:sz="4" w:space="0"/>
              <w:left w:val="single" w:color="auto" w:sz="4" w:space="0"/>
              <w:bottom w:val="single" w:color="auto" w:sz="4" w:space="0"/>
              <w:right w:val="single" w:color="auto" w:sz="4" w:space="0"/>
            </w:tcBorders>
            <w:vAlign w:val="center"/>
          </w:tcPr>
          <w:p w14:paraId="02DE4F4B">
            <w:pPr>
              <w:adjustRightInd w:val="0"/>
              <w:snapToGrid w:val="0"/>
              <w:spacing w:line="300" w:lineRule="auto"/>
              <w:ind w:firstLine="0" w:firstLineChars="0"/>
              <w:jc w:val="center"/>
              <w:rPr>
                <w:rFonts w:ascii="Arial" w:hAnsi="Arial"/>
                <w:bCs/>
                <w:sz w:val="21"/>
                <w:szCs w:val="21"/>
                <w:highlight w:val="none"/>
              </w:rPr>
            </w:pPr>
            <w:r>
              <w:rPr>
                <w:bCs/>
                <w:sz w:val="21"/>
                <w:szCs w:val="21"/>
                <w:highlight w:val="none"/>
              </w:rPr>
              <w:t>名称</w:t>
            </w:r>
          </w:p>
          <w:p w14:paraId="09F7151B">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nil"/>
              <w:bottom w:val="single" w:color="auto" w:sz="4" w:space="0"/>
              <w:right w:val="single" w:color="auto" w:sz="4" w:space="0"/>
            </w:tcBorders>
            <w:vAlign w:val="center"/>
          </w:tcPr>
          <w:p w14:paraId="61D95C21">
            <w:pPr>
              <w:spacing w:line="300" w:lineRule="auto"/>
              <w:ind w:firstLine="0" w:firstLineChars="0"/>
              <w:jc w:val="center"/>
              <w:rPr>
                <w:rFonts w:ascii="Arial" w:hAnsi="Arial"/>
                <w:bCs/>
                <w:sz w:val="21"/>
                <w:szCs w:val="21"/>
                <w:highlight w:val="none"/>
              </w:rPr>
            </w:pPr>
            <w:r>
              <w:rPr>
                <w:kern w:val="0"/>
                <w:sz w:val="21"/>
                <w:szCs w:val="21"/>
                <w:highlight w:val="none"/>
              </w:rPr>
              <w:t>粘土砖</w:t>
            </w:r>
          </w:p>
        </w:tc>
        <w:tc>
          <w:tcPr>
            <w:tcW w:w="890" w:type="dxa"/>
            <w:tcBorders>
              <w:top w:val="single" w:color="auto" w:sz="4" w:space="0"/>
              <w:left w:val="single" w:color="auto" w:sz="4" w:space="0"/>
              <w:bottom w:val="single" w:color="auto" w:sz="4" w:space="0"/>
              <w:right w:val="single" w:color="auto" w:sz="4" w:space="0"/>
            </w:tcBorders>
            <w:vAlign w:val="center"/>
          </w:tcPr>
          <w:p w14:paraId="4963D98A">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高铝质</w:t>
            </w:r>
          </w:p>
        </w:tc>
        <w:tc>
          <w:tcPr>
            <w:tcW w:w="1108" w:type="dxa"/>
            <w:tcBorders>
              <w:top w:val="single" w:color="auto" w:sz="4" w:space="0"/>
              <w:left w:val="nil"/>
              <w:bottom w:val="single" w:color="auto" w:sz="4" w:space="0"/>
              <w:right w:val="single" w:color="auto" w:sz="4" w:space="0"/>
            </w:tcBorders>
            <w:vAlign w:val="center"/>
          </w:tcPr>
          <w:p w14:paraId="41464CDB">
            <w:pPr>
              <w:adjustRightInd w:val="0"/>
              <w:snapToGrid w:val="0"/>
              <w:spacing w:line="300" w:lineRule="auto"/>
              <w:ind w:firstLine="0" w:firstLineChars="0"/>
              <w:jc w:val="center"/>
              <w:rPr>
                <w:bCs/>
                <w:sz w:val="21"/>
                <w:szCs w:val="21"/>
                <w:highlight w:val="none"/>
              </w:rPr>
            </w:pPr>
            <w:r>
              <w:rPr>
                <w:bCs/>
                <w:sz w:val="21"/>
                <w:szCs w:val="21"/>
                <w:highlight w:val="none"/>
              </w:rPr>
              <w:t>红柱石高铝砖</w:t>
            </w:r>
          </w:p>
        </w:tc>
        <w:tc>
          <w:tcPr>
            <w:tcW w:w="1108" w:type="dxa"/>
            <w:tcBorders>
              <w:top w:val="single" w:color="auto" w:sz="4" w:space="0"/>
              <w:left w:val="single" w:color="auto" w:sz="4" w:space="0"/>
              <w:bottom w:val="single" w:color="auto" w:sz="4" w:space="0"/>
              <w:right w:val="single" w:color="auto" w:sz="4" w:space="0"/>
            </w:tcBorders>
            <w:vAlign w:val="center"/>
          </w:tcPr>
          <w:p w14:paraId="3F8ACC1E">
            <w:pPr>
              <w:adjustRightInd w:val="0"/>
              <w:snapToGrid w:val="0"/>
              <w:spacing w:line="300" w:lineRule="auto"/>
              <w:ind w:firstLine="0" w:firstLineChars="0"/>
              <w:jc w:val="center"/>
              <w:rPr>
                <w:rFonts w:ascii="Arial" w:hAnsi="Arial"/>
                <w:bCs/>
                <w:sz w:val="21"/>
                <w:szCs w:val="21"/>
                <w:highlight w:val="none"/>
              </w:rPr>
            </w:pPr>
            <w:r>
              <w:rPr>
                <w:bCs/>
                <w:sz w:val="21"/>
                <w:szCs w:val="21"/>
                <w:highlight w:val="none"/>
              </w:rPr>
              <w:t>低蠕变高铝质</w:t>
            </w:r>
            <w:r>
              <w:rPr>
                <w:rFonts w:ascii="Arial" w:hAnsi="Arial"/>
                <w:bCs/>
                <w:sz w:val="21"/>
                <w:szCs w:val="21"/>
                <w:highlight w:val="none"/>
              </w:rPr>
              <w:t xml:space="preserve"> </w:t>
            </w:r>
          </w:p>
        </w:tc>
        <w:tc>
          <w:tcPr>
            <w:tcW w:w="890" w:type="dxa"/>
            <w:tcBorders>
              <w:top w:val="single" w:color="auto" w:sz="4" w:space="0"/>
              <w:left w:val="nil"/>
              <w:bottom w:val="single" w:color="auto" w:sz="4" w:space="0"/>
              <w:right w:val="single" w:color="auto" w:sz="4" w:space="0"/>
            </w:tcBorders>
            <w:vAlign w:val="center"/>
          </w:tcPr>
          <w:p w14:paraId="18A83FDF">
            <w:pPr>
              <w:adjustRightInd w:val="0"/>
              <w:snapToGrid w:val="0"/>
              <w:spacing w:line="300" w:lineRule="auto"/>
              <w:ind w:firstLine="0" w:firstLineChars="0"/>
              <w:jc w:val="center"/>
              <w:rPr>
                <w:rFonts w:ascii="Arial" w:hAnsi="Arial"/>
                <w:bCs/>
                <w:sz w:val="21"/>
                <w:szCs w:val="21"/>
                <w:highlight w:val="none"/>
              </w:rPr>
            </w:pPr>
            <w:r>
              <w:rPr>
                <w:rFonts w:hint="eastAsia"/>
                <w:bCs/>
                <w:sz w:val="21"/>
                <w:szCs w:val="21"/>
                <w:highlight w:val="none"/>
              </w:rPr>
              <w:t>堇青石莫来石质</w:t>
            </w:r>
            <w:r>
              <w:rPr>
                <w:bCs/>
                <w:sz w:val="21"/>
                <w:szCs w:val="21"/>
                <w:highlight w:val="none"/>
              </w:rPr>
              <w:t xml:space="preserve"> </w:t>
            </w:r>
          </w:p>
        </w:tc>
        <w:tc>
          <w:tcPr>
            <w:tcW w:w="890" w:type="dxa"/>
            <w:tcBorders>
              <w:top w:val="single" w:color="auto" w:sz="4" w:space="0"/>
              <w:left w:val="single" w:color="auto" w:sz="4" w:space="0"/>
              <w:bottom w:val="single" w:color="auto" w:sz="4" w:space="0"/>
              <w:right w:val="single" w:color="auto" w:sz="4" w:space="0"/>
            </w:tcBorders>
            <w:vAlign w:val="center"/>
          </w:tcPr>
          <w:p w14:paraId="539D2347">
            <w:pPr>
              <w:adjustRightInd w:val="0"/>
              <w:snapToGrid w:val="0"/>
              <w:spacing w:line="300" w:lineRule="auto"/>
              <w:ind w:firstLine="0" w:firstLineChars="0"/>
              <w:jc w:val="center"/>
              <w:rPr>
                <w:rFonts w:ascii="Arial" w:hAnsi="Arial"/>
                <w:bCs/>
                <w:sz w:val="21"/>
                <w:szCs w:val="21"/>
                <w:highlight w:val="none"/>
              </w:rPr>
            </w:pPr>
            <w:r>
              <w:rPr>
                <w:rFonts w:hint="eastAsia"/>
                <w:bCs/>
                <w:sz w:val="21"/>
                <w:szCs w:val="21"/>
                <w:highlight w:val="none"/>
              </w:rPr>
              <w:t>硅砖</w:t>
            </w:r>
          </w:p>
        </w:tc>
        <w:tc>
          <w:tcPr>
            <w:tcW w:w="890" w:type="dxa"/>
            <w:tcBorders>
              <w:top w:val="single" w:color="auto" w:sz="4" w:space="0"/>
              <w:left w:val="single" w:color="auto" w:sz="4" w:space="0"/>
              <w:bottom w:val="single" w:color="auto" w:sz="4" w:space="0"/>
              <w:right w:val="single" w:color="auto" w:sz="4" w:space="0"/>
            </w:tcBorders>
            <w:vAlign w:val="center"/>
          </w:tcPr>
          <w:p w14:paraId="0B6757CE">
            <w:pPr>
              <w:adjustRightInd w:val="0"/>
              <w:snapToGrid w:val="0"/>
              <w:spacing w:line="300" w:lineRule="auto"/>
              <w:ind w:firstLine="0" w:firstLineChars="0"/>
              <w:jc w:val="center"/>
              <w:rPr>
                <w:bCs/>
                <w:sz w:val="21"/>
                <w:szCs w:val="21"/>
                <w:highlight w:val="none"/>
              </w:rPr>
            </w:pPr>
            <w:r>
              <w:rPr>
                <w:bCs/>
                <w:sz w:val="21"/>
                <w:szCs w:val="21"/>
                <w:highlight w:val="none"/>
              </w:rPr>
              <w:t>红柱石粘土砖</w:t>
            </w:r>
          </w:p>
        </w:tc>
        <w:tc>
          <w:tcPr>
            <w:tcW w:w="1062" w:type="dxa"/>
            <w:tcBorders>
              <w:top w:val="single" w:color="auto" w:sz="4" w:space="0"/>
              <w:left w:val="single" w:color="auto" w:sz="4" w:space="0"/>
              <w:bottom w:val="single" w:color="auto" w:sz="4" w:space="0"/>
              <w:right w:val="single" w:color="auto" w:sz="4" w:space="0"/>
            </w:tcBorders>
          </w:tcPr>
          <w:p w14:paraId="6CB46C92">
            <w:pPr>
              <w:adjustRightInd w:val="0"/>
              <w:snapToGrid w:val="0"/>
              <w:spacing w:line="300" w:lineRule="auto"/>
              <w:ind w:firstLine="0" w:firstLineChars="0"/>
              <w:jc w:val="center"/>
              <w:rPr>
                <w:bCs/>
                <w:sz w:val="21"/>
                <w:szCs w:val="21"/>
                <w:highlight w:val="none"/>
              </w:rPr>
            </w:pPr>
            <w:r>
              <w:rPr>
                <w:bCs/>
                <w:sz w:val="21"/>
                <w:szCs w:val="21"/>
                <w:highlight w:val="none"/>
              </w:rPr>
              <w:t>红柱石莫来石砖</w:t>
            </w:r>
          </w:p>
        </w:tc>
      </w:tr>
      <w:tr w14:paraId="7F91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150" w:type="dxa"/>
            <w:tcBorders>
              <w:top w:val="single" w:color="auto" w:sz="4" w:space="0"/>
              <w:left w:val="single" w:color="auto" w:sz="4" w:space="0"/>
              <w:bottom w:val="single" w:color="auto" w:sz="4" w:space="0"/>
              <w:right w:val="single" w:color="auto" w:sz="4" w:space="0"/>
            </w:tcBorders>
            <w:vAlign w:val="center"/>
          </w:tcPr>
          <w:p w14:paraId="34486D5E">
            <w:pPr>
              <w:adjustRightInd w:val="0"/>
              <w:snapToGrid w:val="0"/>
              <w:spacing w:line="300" w:lineRule="auto"/>
              <w:ind w:firstLine="0" w:firstLineChars="0"/>
              <w:jc w:val="center"/>
              <w:rPr>
                <w:rFonts w:ascii="Arial" w:hAnsi="Arial"/>
                <w:bCs/>
                <w:sz w:val="21"/>
                <w:szCs w:val="21"/>
                <w:highlight w:val="none"/>
              </w:rPr>
            </w:pPr>
            <w:r>
              <w:rPr>
                <w:bCs/>
                <w:sz w:val="21"/>
                <w:szCs w:val="21"/>
                <w:highlight w:val="none"/>
              </w:rPr>
              <w:t>牌号</w:t>
            </w:r>
          </w:p>
          <w:p w14:paraId="0C1BF6D6">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nil"/>
              <w:bottom w:val="single" w:color="auto" w:sz="4" w:space="0"/>
              <w:right w:val="single" w:color="auto" w:sz="4" w:space="0"/>
            </w:tcBorders>
            <w:vAlign w:val="center"/>
          </w:tcPr>
          <w:p w14:paraId="6C485C2F">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RN-42</w:t>
            </w:r>
          </w:p>
        </w:tc>
        <w:tc>
          <w:tcPr>
            <w:tcW w:w="890" w:type="dxa"/>
            <w:tcBorders>
              <w:top w:val="single" w:color="auto" w:sz="4" w:space="0"/>
              <w:left w:val="single" w:color="auto" w:sz="4" w:space="0"/>
              <w:bottom w:val="single" w:color="auto" w:sz="4" w:space="0"/>
              <w:right w:val="single" w:color="auto" w:sz="4" w:space="0"/>
            </w:tcBorders>
            <w:vAlign w:val="center"/>
          </w:tcPr>
          <w:p w14:paraId="6FC735EF">
            <w:pPr>
              <w:adjustRightInd w:val="0"/>
              <w:snapToGrid w:val="0"/>
              <w:spacing w:line="300" w:lineRule="auto"/>
              <w:ind w:firstLine="0" w:firstLineChars="0"/>
              <w:jc w:val="center"/>
              <w:rPr>
                <w:rFonts w:ascii="Arial" w:hAnsi="Arial"/>
                <w:bCs/>
                <w:sz w:val="21"/>
                <w:szCs w:val="21"/>
                <w:highlight w:val="none"/>
              </w:rPr>
            </w:pPr>
            <w:r>
              <w:rPr>
                <w:rFonts w:hint="eastAsia" w:ascii="Arial" w:hAnsi="Arial"/>
                <w:bCs/>
                <w:sz w:val="21"/>
                <w:szCs w:val="21"/>
                <w:highlight w:val="none"/>
              </w:rPr>
              <w:t>RL</w:t>
            </w:r>
            <w:r>
              <w:rPr>
                <w:rFonts w:ascii="Arial" w:hAnsi="Arial"/>
                <w:bCs/>
                <w:sz w:val="21"/>
                <w:szCs w:val="21"/>
                <w:highlight w:val="none"/>
              </w:rPr>
              <w:t>-65</w:t>
            </w:r>
          </w:p>
        </w:tc>
        <w:tc>
          <w:tcPr>
            <w:tcW w:w="1108" w:type="dxa"/>
            <w:tcBorders>
              <w:top w:val="single" w:color="auto" w:sz="4" w:space="0"/>
              <w:left w:val="nil"/>
              <w:bottom w:val="single" w:color="auto" w:sz="4" w:space="0"/>
              <w:right w:val="single" w:color="auto" w:sz="4" w:space="0"/>
            </w:tcBorders>
            <w:vAlign w:val="center"/>
          </w:tcPr>
          <w:p w14:paraId="1E3EB161">
            <w:pPr>
              <w:adjustRightInd w:val="0"/>
              <w:snapToGrid w:val="0"/>
              <w:spacing w:line="300" w:lineRule="auto"/>
              <w:ind w:firstLine="0" w:firstLineChars="0"/>
              <w:jc w:val="center"/>
              <w:rPr>
                <w:rFonts w:ascii="Arial" w:hAnsi="Arial"/>
                <w:bCs/>
                <w:sz w:val="21"/>
                <w:szCs w:val="21"/>
                <w:highlight w:val="none"/>
              </w:rPr>
            </w:pPr>
            <w:r>
              <w:rPr>
                <w:rFonts w:hint="eastAsia" w:ascii="Arial" w:hAnsi="Arial"/>
                <w:bCs/>
                <w:sz w:val="21"/>
                <w:szCs w:val="21"/>
                <w:highlight w:val="none"/>
              </w:rPr>
              <w:t>H</w:t>
            </w:r>
            <w:r>
              <w:rPr>
                <w:rFonts w:ascii="Arial" w:hAnsi="Arial"/>
                <w:bCs/>
                <w:sz w:val="21"/>
                <w:szCs w:val="21"/>
                <w:highlight w:val="none"/>
              </w:rPr>
              <w:t>RL-60</w:t>
            </w:r>
          </w:p>
        </w:tc>
        <w:tc>
          <w:tcPr>
            <w:tcW w:w="1108" w:type="dxa"/>
            <w:tcBorders>
              <w:top w:val="single" w:color="auto" w:sz="4" w:space="0"/>
              <w:left w:val="single" w:color="auto" w:sz="4" w:space="0"/>
              <w:bottom w:val="single" w:color="auto" w:sz="4" w:space="0"/>
              <w:right w:val="single" w:color="auto" w:sz="4" w:space="0"/>
            </w:tcBorders>
            <w:vAlign w:val="center"/>
          </w:tcPr>
          <w:p w14:paraId="5759D166">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 xml:space="preserve">DLD-145 </w:t>
            </w:r>
          </w:p>
        </w:tc>
        <w:tc>
          <w:tcPr>
            <w:tcW w:w="890" w:type="dxa"/>
            <w:tcBorders>
              <w:top w:val="single" w:color="auto" w:sz="4" w:space="0"/>
              <w:left w:val="nil"/>
              <w:bottom w:val="single" w:color="auto" w:sz="4" w:space="0"/>
              <w:right w:val="single" w:color="auto" w:sz="4" w:space="0"/>
            </w:tcBorders>
            <w:vAlign w:val="center"/>
          </w:tcPr>
          <w:p w14:paraId="5E5E9BD1">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HRK-55</w:t>
            </w:r>
          </w:p>
        </w:tc>
        <w:tc>
          <w:tcPr>
            <w:tcW w:w="890" w:type="dxa"/>
            <w:tcBorders>
              <w:top w:val="single" w:color="auto" w:sz="4" w:space="0"/>
              <w:left w:val="single" w:color="auto" w:sz="4" w:space="0"/>
              <w:bottom w:val="single" w:color="auto" w:sz="4" w:space="0"/>
              <w:right w:val="single" w:color="auto" w:sz="4" w:space="0"/>
            </w:tcBorders>
            <w:vAlign w:val="center"/>
          </w:tcPr>
          <w:p w14:paraId="36D9E0F4">
            <w:pPr>
              <w:adjustRightInd w:val="0"/>
              <w:snapToGrid w:val="0"/>
              <w:spacing w:line="300" w:lineRule="auto"/>
              <w:ind w:firstLine="0" w:firstLineChars="0"/>
              <w:jc w:val="center"/>
              <w:rPr>
                <w:rFonts w:ascii="Arial" w:hAnsi="Arial"/>
                <w:bCs/>
                <w:sz w:val="21"/>
                <w:szCs w:val="21"/>
                <w:highlight w:val="none"/>
              </w:rPr>
            </w:pPr>
            <w:r>
              <w:rPr>
                <w:rFonts w:hint="eastAsia" w:ascii="Arial" w:hAnsi="Arial"/>
                <w:bCs/>
                <w:sz w:val="21"/>
                <w:szCs w:val="21"/>
                <w:highlight w:val="none"/>
              </w:rPr>
              <w:t>RG-95</w:t>
            </w:r>
            <w:r>
              <w:rPr>
                <w:rFonts w:ascii="Arial" w:hAnsi="Arial"/>
                <w:bCs/>
                <w:sz w:val="21"/>
                <w:szCs w:val="21"/>
                <w:highlight w:val="none"/>
              </w:rPr>
              <w:t>/ S21</w:t>
            </w:r>
          </w:p>
        </w:tc>
        <w:tc>
          <w:tcPr>
            <w:tcW w:w="890" w:type="dxa"/>
            <w:tcBorders>
              <w:top w:val="single" w:color="auto" w:sz="4" w:space="0"/>
              <w:left w:val="single" w:color="auto" w:sz="4" w:space="0"/>
              <w:bottom w:val="single" w:color="auto" w:sz="4" w:space="0"/>
              <w:right w:val="single" w:color="auto" w:sz="4" w:space="0"/>
            </w:tcBorders>
            <w:vAlign w:val="center"/>
          </w:tcPr>
          <w:p w14:paraId="10754F28">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HLD</w:t>
            </w:r>
          </w:p>
        </w:tc>
        <w:tc>
          <w:tcPr>
            <w:tcW w:w="1062" w:type="dxa"/>
            <w:tcBorders>
              <w:top w:val="single" w:color="auto" w:sz="4" w:space="0"/>
              <w:left w:val="single" w:color="auto" w:sz="4" w:space="0"/>
              <w:bottom w:val="single" w:color="auto" w:sz="4" w:space="0"/>
              <w:right w:val="single" w:color="auto" w:sz="4" w:space="0"/>
            </w:tcBorders>
            <w:vAlign w:val="center"/>
          </w:tcPr>
          <w:p w14:paraId="7EC22555">
            <w:pPr>
              <w:adjustRightInd w:val="0"/>
              <w:snapToGrid w:val="0"/>
              <w:spacing w:line="300" w:lineRule="auto"/>
              <w:ind w:firstLine="0" w:firstLineChars="0"/>
              <w:jc w:val="center"/>
              <w:rPr>
                <w:bCs/>
                <w:sz w:val="21"/>
                <w:szCs w:val="21"/>
                <w:highlight w:val="none"/>
              </w:rPr>
            </w:pPr>
            <w:r>
              <w:rPr>
                <w:bCs/>
                <w:sz w:val="21"/>
                <w:szCs w:val="21"/>
                <w:highlight w:val="none"/>
              </w:rPr>
              <w:t>HMF</w:t>
            </w:r>
          </w:p>
        </w:tc>
      </w:tr>
      <w:tr w14:paraId="3B90E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50" w:type="dxa"/>
            <w:tcBorders>
              <w:top w:val="single" w:color="auto" w:sz="4" w:space="0"/>
              <w:left w:val="single" w:color="auto" w:sz="4" w:space="0"/>
              <w:bottom w:val="single" w:color="auto" w:sz="4" w:space="0"/>
              <w:right w:val="single" w:color="auto" w:sz="4" w:space="0"/>
            </w:tcBorders>
            <w:vAlign w:val="center"/>
          </w:tcPr>
          <w:p w14:paraId="3F619FB1">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AL2O3</w:t>
            </w:r>
            <w:r>
              <w:rPr>
                <w:bCs/>
                <w:sz w:val="21"/>
                <w:szCs w:val="21"/>
                <w:highlight w:val="none"/>
              </w:rPr>
              <w:t>含量，</w:t>
            </w:r>
            <w:r>
              <w:rPr>
                <w:rFonts w:ascii="Arial" w:hAnsi="Arial"/>
                <w:bCs/>
                <w:sz w:val="21"/>
                <w:szCs w:val="21"/>
                <w:highlight w:val="none"/>
              </w:rPr>
              <w:t>%</w:t>
            </w:r>
          </w:p>
          <w:p w14:paraId="71DA1BEE">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nil"/>
              <w:bottom w:val="single" w:color="auto" w:sz="4" w:space="0"/>
              <w:right w:val="single" w:color="auto" w:sz="4" w:space="0"/>
            </w:tcBorders>
            <w:vAlign w:val="center"/>
          </w:tcPr>
          <w:p w14:paraId="0E6876DD">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≥42</w:t>
            </w:r>
          </w:p>
        </w:tc>
        <w:tc>
          <w:tcPr>
            <w:tcW w:w="890" w:type="dxa"/>
            <w:tcBorders>
              <w:top w:val="single" w:color="auto" w:sz="4" w:space="0"/>
              <w:left w:val="single" w:color="auto" w:sz="4" w:space="0"/>
              <w:bottom w:val="single" w:color="auto" w:sz="4" w:space="0"/>
              <w:right w:val="single" w:color="auto" w:sz="4" w:space="0"/>
            </w:tcBorders>
            <w:vAlign w:val="center"/>
          </w:tcPr>
          <w:p w14:paraId="62BAB748">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≥65</w:t>
            </w:r>
          </w:p>
        </w:tc>
        <w:tc>
          <w:tcPr>
            <w:tcW w:w="1108" w:type="dxa"/>
            <w:tcBorders>
              <w:top w:val="single" w:color="auto" w:sz="4" w:space="0"/>
              <w:left w:val="nil"/>
              <w:bottom w:val="single" w:color="auto" w:sz="4" w:space="0"/>
              <w:right w:val="single" w:color="auto" w:sz="4" w:space="0"/>
            </w:tcBorders>
            <w:vAlign w:val="center"/>
          </w:tcPr>
          <w:p w14:paraId="2F0004B0">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w:t>
            </w:r>
            <w:r>
              <w:rPr>
                <w:rFonts w:hint="eastAsia" w:ascii="Arial" w:hAnsi="Arial"/>
                <w:bCs/>
                <w:sz w:val="21"/>
                <w:szCs w:val="21"/>
                <w:highlight w:val="none"/>
              </w:rPr>
              <w:t>5</w:t>
            </w:r>
            <w:r>
              <w:rPr>
                <w:rFonts w:ascii="Arial" w:hAnsi="Arial"/>
                <w:bCs/>
                <w:sz w:val="21"/>
                <w:szCs w:val="21"/>
                <w:highlight w:val="none"/>
              </w:rPr>
              <w:t>6</w:t>
            </w:r>
          </w:p>
        </w:tc>
        <w:tc>
          <w:tcPr>
            <w:tcW w:w="1108" w:type="dxa"/>
            <w:tcBorders>
              <w:top w:val="single" w:color="auto" w:sz="4" w:space="0"/>
              <w:left w:val="single" w:color="auto" w:sz="4" w:space="0"/>
              <w:bottom w:val="single" w:color="auto" w:sz="4" w:space="0"/>
              <w:right w:val="single" w:color="auto" w:sz="4" w:space="0"/>
            </w:tcBorders>
            <w:vAlign w:val="center"/>
          </w:tcPr>
          <w:p w14:paraId="77CB794E">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≥65</w:t>
            </w:r>
          </w:p>
        </w:tc>
        <w:tc>
          <w:tcPr>
            <w:tcW w:w="890" w:type="dxa"/>
            <w:tcBorders>
              <w:top w:val="single" w:color="auto" w:sz="4" w:space="0"/>
              <w:left w:val="nil"/>
              <w:bottom w:val="single" w:color="auto" w:sz="4" w:space="0"/>
              <w:right w:val="single" w:color="auto" w:sz="4" w:space="0"/>
            </w:tcBorders>
            <w:vAlign w:val="center"/>
          </w:tcPr>
          <w:p w14:paraId="773B3783">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≥55</w:t>
            </w:r>
          </w:p>
        </w:tc>
        <w:tc>
          <w:tcPr>
            <w:tcW w:w="890" w:type="dxa"/>
            <w:tcBorders>
              <w:top w:val="single" w:color="auto" w:sz="4" w:space="0"/>
              <w:left w:val="single" w:color="auto" w:sz="4" w:space="0"/>
              <w:bottom w:val="single" w:color="auto" w:sz="4" w:space="0"/>
              <w:right w:val="single" w:color="auto" w:sz="4" w:space="0"/>
            </w:tcBorders>
            <w:vAlign w:val="center"/>
          </w:tcPr>
          <w:p w14:paraId="1D41194B">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≤1.0</w:t>
            </w:r>
          </w:p>
        </w:tc>
        <w:tc>
          <w:tcPr>
            <w:tcW w:w="890" w:type="dxa"/>
            <w:tcBorders>
              <w:top w:val="single" w:color="auto" w:sz="4" w:space="0"/>
              <w:left w:val="single" w:color="auto" w:sz="4" w:space="0"/>
              <w:bottom w:val="single" w:color="auto" w:sz="4" w:space="0"/>
              <w:right w:val="single" w:color="auto" w:sz="4" w:space="0"/>
            </w:tcBorders>
            <w:vAlign w:val="center"/>
          </w:tcPr>
          <w:p w14:paraId="191F208E">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≥42</w:t>
            </w:r>
          </w:p>
        </w:tc>
        <w:tc>
          <w:tcPr>
            <w:tcW w:w="1062" w:type="dxa"/>
            <w:tcBorders>
              <w:top w:val="single" w:color="auto" w:sz="4" w:space="0"/>
              <w:left w:val="single" w:color="auto" w:sz="4" w:space="0"/>
              <w:bottom w:val="single" w:color="auto" w:sz="4" w:space="0"/>
              <w:right w:val="single" w:color="auto" w:sz="4" w:space="0"/>
            </w:tcBorders>
            <w:vAlign w:val="center"/>
          </w:tcPr>
          <w:p w14:paraId="3F2E4183">
            <w:pPr>
              <w:adjustRightInd w:val="0"/>
              <w:snapToGrid w:val="0"/>
              <w:spacing w:line="300" w:lineRule="auto"/>
              <w:ind w:firstLine="0" w:firstLineChars="0"/>
              <w:jc w:val="center"/>
              <w:rPr>
                <w:bCs/>
                <w:sz w:val="21"/>
                <w:szCs w:val="21"/>
                <w:highlight w:val="none"/>
              </w:rPr>
            </w:pPr>
            <w:r>
              <w:rPr>
                <w:bCs/>
                <w:sz w:val="21"/>
                <w:szCs w:val="21"/>
                <w:highlight w:val="none"/>
              </w:rPr>
              <w:t>≥65</w:t>
            </w:r>
          </w:p>
        </w:tc>
      </w:tr>
      <w:tr w14:paraId="08E13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50" w:type="dxa"/>
            <w:tcBorders>
              <w:top w:val="single" w:color="auto" w:sz="4" w:space="0"/>
              <w:left w:val="single" w:color="auto" w:sz="4" w:space="0"/>
              <w:bottom w:val="single" w:color="auto" w:sz="4" w:space="0"/>
              <w:right w:val="single" w:color="auto" w:sz="4" w:space="0"/>
            </w:tcBorders>
            <w:vAlign w:val="center"/>
          </w:tcPr>
          <w:p w14:paraId="07B1A478">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SiO2</w:t>
            </w:r>
            <w:r>
              <w:rPr>
                <w:bCs/>
                <w:sz w:val="21"/>
                <w:szCs w:val="21"/>
                <w:highlight w:val="none"/>
              </w:rPr>
              <w:t>含量，</w:t>
            </w:r>
            <w:r>
              <w:rPr>
                <w:rFonts w:ascii="Arial" w:hAnsi="Arial"/>
                <w:bCs/>
                <w:sz w:val="21"/>
                <w:szCs w:val="21"/>
                <w:highlight w:val="none"/>
              </w:rPr>
              <w:t>%</w:t>
            </w:r>
          </w:p>
        </w:tc>
        <w:tc>
          <w:tcPr>
            <w:tcW w:w="890" w:type="dxa"/>
            <w:tcBorders>
              <w:top w:val="single" w:color="auto" w:sz="4" w:space="0"/>
              <w:left w:val="nil"/>
              <w:bottom w:val="single" w:color="auto" w:sz="4" w:space="0"/>
              <w:right w:val="single" w:color="auto" w:sz="4" w:space="0"/>
            </w:tcBorders>
            <w:vAlign w:val="center"/>
          </w:tcPr>
          <w:p w14:paraId="4D1ABBAD">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single" w:color="auto" w:sz="4" w:space="0"/>
              <w:bottom w:val="single" w:color="auto" w:sz="4" w:space="0"/>
              <w:right w:val="single" w:color="auto" w:sz="4" w:space="0"/>
            </w:tcBorders>
            <w:vAlign w:val="center"/>
          </w:tcPr>
          <w:p w14:paraId="1B51A565">
            <w:pPr>
              <w:adjustRightInd w:val="0"/>
              <w:snapToGrid w:val="0"/>
              <w:spacing w:line="300" w:lineRule="auto"/>
              <w:ind w:firstLine="0" w:firstLineChars="0"/>
              <w:jc w:val="center"/>
              <w:rPr>
                <w:rFonts w:ascii="Arial" w:hAnsi="Arial"/>
                <w:bCs/>
                <w:sz w:val="21"/>
                <w:szCs w:val="21"/>
                <w:highlight w:val="none"/>
              </w:rPr>
            </w:pPr>
          </w:p>
        </w:tc>
        <w:tc>
          <w:tcPr>
            <w:tcW w:w="1108" w:type="dxa"/>
            <w:tcBorders>
              <w:top w:val="single" w:color="auto" w:sz="4" w:space="0"/>
              <w:left w:val="nil"/>
              <w:bottom w:val="single" w:color="auto" w:sz="4" w:space="0"/>
              <w:right w:val="single" w:color="auto" w:sz="4" w:space="0"/>
            </w:tcBorders>
          </w:tcPr>
          <w:p w14:paraId="58C13023">
            <w:pPr>
              <w:adjustRightInd w:val="0"/>
              <w:snapToGrid w:val="0"/>
              <w:spacing w:line="300" w:lineRule="auto"/>
              <w:ind w:firstLine="0" w:firstLineChars="0"/>
              <w:jc w:val="center"/>
              <w:rPr>
                <w:rFonts w:ascii="Arial" w:hAnsi="Arial"/>
                <w:bCs/>
                <w:sz w:val="21"/>
                <w:szCs w:val="21"/>
                <w:highlight w:val="none"/>
              </w:rPr>
            </w:pPr>
          </w:p>
        </w:tc>
        <w:tc>
          <w:tcPr>
            <w:tcW w:w="1108" w:type="dxa"/>
            <w:tcBorders>
              <w:top w:val="single" w:color="auto" w:sz="4" w:space="0"/>
              <w:left w:val="single" w:color="auto" w:sz="4" w:space="0"/>
              <w:bottom w:val="single" w:color="auto" w:sz="4" w:space="0"/>
              <w:right w:val="single" w:color="auto" w:sz="4" w:space="0"/>
            </w:tcBorders>
            <w:vAlign w:val="center"/>
          </w:tcPr>
          <w:p w14:paraId="2EFB78A0">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nil"/>
              <w:bottom w:val="single" w:color="auto" w:sz="4" w:space="0"/>
              <w:right w:val="single" w:color="auto" w:sz="4" w:space="0"/>
            </w:tcBorders>
            <w:vAlign w:val="center"/>
          </w:tcPr>
          <w:p w14:paraId="12F7FA89">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single" w:color="auto" w:sz="4" w:space="0"/>
              <w:bottom w:val="single" w:color="auto" w:sz="4" w:space="0"/>
              <w:right w:val="single" w:color="auto" w:sz="4" w:space="0"/>
            </w:tcBorders>
            <w:vAlign w:val="center"/>
          </w:tcPr>
          <w:p w14:paraId="1D64531A">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w:t>
            </w:r>
            <w:r>
              <w:rPr>
                <w:rFonts w:hint="eastAsia" w:ascii="Arial" w:hAnsi="Arial"/>
                <w:bCs/>
                <w:sz w:val="21"/>
                <w:szCs w:val="21"/>
                <w:highlight w:val="none"/>
              </w:rPr>
              <w:t>95</w:t>
            </w:r>
          </w:p>
        </w:tc>
        <w:tc>
          <w:tcPr>
            <w:tcW w:w="890" w:type="dxa"/>
            <w:tcBorders>
              <w:top w:val="single" w:color="auto" w:sz="4" w:space="0"/>
              <w:left w:val="single" w:color="auto" w:sz="4" w:space="0"/>
              <w:bottom w:val="single" w:color="auto" w:sz="4" w:space="0"/>
              <w:right w:val="single" w:color="auto" w:sz="4" w:space="0"/>
            </w:tcBorders>
            <w:vAlign w:val="center"/>
          </w:tcPr>
          <w:p w14:paraId="50DF7EFF">
            <w:pPr>
              <w:adjustRightInd w:val="0"/>
              <w:snapToGrid w:val="0"/>
              <w:spacing w:line="300" w:lineRule="auto"/>
              <w:ind w:firstLine="0" w:firstLineChars="0"/>
              <w:jc w:val="center"/>
              <w:rPr>
                <w:rFonts w:ascii="Arial" w:hAnsi="Arial"/>
                <w:bCs/>
                <w:sz w:val="21"/>
                <w:szCs w:val="21"/>
                <w:highlight w:val="none"/>
              </w:rPr>
            </w:pPr>
          </w:p>
        </w:tc>
        <w:tc>
          <w:tcPr>
            <w:tcW w:w="1062" w:type="dxa"/>
            <w:tcBorders>
              <w:top w:val="single" w:color="auto" w:sz="4" w:space="0"/>
              <w:left w:val="single" w:color="auto" w:sz="4" w:space="0"/>
              <w:bottom w:val="single" w:color="auto" w:sz="4" w:space="0"/>
              <w:right w:val="single" w:color="auto" w:sz="4" w:space="0"/>
            </w:tcBorders>
            <w:vAlign w:val="center"/>
          </w:tcPr>
          <w:p w14:paraId="621E7383">
            <w:pPr>
              <w:adjustRightInd w:val="0"/>
              <w:snapToGrid w:val="0"/>
              <w:spacing w:line="300" w:lineRule="auto"/>
              <w:ind w:firstLine="0" w:firstLineChars="0"/>
              <w:jc w:val="center"/>
              <w:rPr>
                <w:bCs/>
                <w:sz w:val="21"/>
                <w:szCs w:val="21"/>
                <w:highlight w:val="none"/>
              </w:rPr>
            </w:pPr>
          </w:p>
        </w:tc>
      </w:tr>
      <w:tr w14:paraId="6BB51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50" w:type="dxa"/>
            <w:tcBorders>
              <w:top w:val="single" w:color="auto" w:sz="4" w:space="0"/>
              <w:left w:val="single" w:color="auto" w:sz="4" w:space="0"/>
              <w:bottom w:val="single" w:color="auto" w:sz="4" w:space="0"/>
              <w:right w:val="single" w:color="auto" w:sz="4" w:space="0"/>
            </w:tcBorders>
            <w:vAlign w:val="center"/>
          </w:tcPr>
          <w:p w14:paraId="22019CCA">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Fe2O3</w:t>
            </w:r>
            <w:r>
              <w:rPr>
                <w:bCs/>
                <w:sz w:val="21"/>
                <w:szCs w:val="21"/>
                <w:highlight w:val="none"/>
              </w:rPr>
              <w:t>含量 ，</w:t>
            </w:r>
            <w:r>
              <w:rPr>
                <w:rFonts w:ascii="Arial" w:hAnsi="Arial"/>
                <w:bCs/>
                <w:sz w:val="21"/>
                <w:szCs w:val="21"/>
                <w:highlight w:val="none"/>
              </w:rPr>
              <w:t>%</w:t>
            </w:r>
          </w:p>
        </w:tc>
        <w:tc>
          <w:tcPr>
            <w:tcW w:w="890" w:type="dxa"/>
            <w:tcBorders>
              <w:top w:val="single" w:color="auto" w:sz="4" w:space="0"/>
              <w:left w:val="nil"/>
              <w:bottom w:val="single" w:color="auto" w:sz="4" w:space="0"/>
              <w:right w:val="single" w:color="auto" w:sz="4" w:space="0"/>
            </w:tcBorders>
            <w:vAlign w:val="center"/>
          </w:tcPr>
          <w:p w14:paraId="5A948DFB">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single" w:color="auto" w:sz="4" w:space="0"/>
              <w:bottom w:val="single" w:color="auto" w:sz="4" w:space="0"/>
              <w:right w:val="single" w:color="auto" w:sz="4" w:space="0"/>
            </w:tcBorders>
            <w:vAlign w:val="center"/>
          </w:tcPr>
          <w:p w14:paraId="4F016572">
            <w:pPr>
              <w:adjustRightInd w:val="0"/>
              <w:snapToGrid w:val="0"/>
              <w:spacing w:line="300" w:lineRule="auto"/>
              <w:ind w:firstLine="0" w:firstLineChars="0"/>
              <w:jc w:val="center"/>
              <w:rPr>
                <w:rFonts w:ascii="Arial" w:hAnsi="Arial"/>
                <w:bCs/>
                <w:sz w:val="21"/>
                <w:szCs w:val="21"/>
                <w:highlight w:val="none"/>
              </w:rPr>
            </w:pPr>
          </w:p>
        </w:tc>
        <w:tc>
          <w:tcPr>
            <w:tcW w:w="1108" w:type="dxa"/>
            <w:tcBorders>
              <w:top w:val="single" w:color="auto" w:sz="4" w:space="0"/>
              <w:left w:val="nil"/>
              <w:bottom w:val="single" w:color="auto" w:sz="4" w:space="0"/>
              <w:right w:val="single" w:color="auto" w:sz="4" w:space="0"/>
            </w:tcBorders>
          </w:tcPr>
          <w:p w14:paraId="629825A2">
            <w:pPr>
              <w:adjustRightInd w:val="0"/>
              <w:snapToGrid w:val="0"/>
              <w:spacing w:line="300" w:lineRule="auto"/>
              <w:ind w:firstLine="0" w:firstLineChars="0"/>
              <w:jc w:val="center"/>
              <w:rPr>
                <w:rFonts w:ascii="Arial" w:hAnsi="Arial"/>
                <w:bCs/>
                <w:sz w:val="21"/>
                <w:szCs w:val="21"/>
                <w:highlight w:val="none"/>
              </w:rPr>
            </w:pPr>
          </w:p>
        </w:tc>
        <w:tc>
          <w:tcPr>
            <w:tcW w:w="1108" w:type="dxa"/>
            <w:tcBorders>
              <w:top w:val="single" w:color="auto" w:sz="4" w:space="0"/>
              <w:left w:val="single" w:color="auto" w:sz="4" w:space="0"/>
              <w:bottom w:val="single" w:color="auto" w:sz="4" w:space="0"/>
              <w:right w:val="single" w:color="auto" w:sz="4" w:space="0"/>
            </w:tcBorders>
            <w:vAlign w:val="center"/>
          </w:tcPr>
          <w:p w14:paraId="15AA32CD">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≤1.5</w:t>
            </w:r>
          </w:p>
        </w:tc>
        <w:tc>
          <w:tcPr>
            <w:tcW w:w="890" w:type="dxa"/>
            <w:tcBorders>
              <w:top w:val="single" w:color="auto" w:sz="4" w:space="0"/>
              <w:left w:val="nil"/>
              <w:bottom w:val="single" w:color="auto" w:sz="4" w:space="0"/>
              <w:right w:val="single" w:color="auto" w:sz="4" w:space="0"/>
            </w:tcBorders>
            <w:vAlign w:val="center"/>
          </w:tcPr>
          <w:p w14:paraId="0140CC83">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≤1.0</w:t>
            </w:r>
          </w:p>
        </w:tc>
        <w:tc>
          <w:tcPr>
            <w:tcW w:w="890" w:type="dxa"/>
            <w:tcBorders>
              <w:top w:val="single" w:color="auto" w:sz="4" w:space="0"/>
              <w:left w:val="single" w:color="auto" w:sz="4" w:space="0"/>
              <w:bottom w:val="single" w:color="auto" w:sz="4" w:space="0"/>
              <w:right w:val="single" w:color="auto" w:sz="4" w:space="0"/>
            </w:tcBorders>
            <w:vAlign w:val="center"/>
          </w:tcPr>
          <w:p w14:paraId="2D7B1797">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≤1.2</w:t>
            </w:r>
          </w:p>
        </w:tc>
        <w:tc>
          <w:tcPr>
            <w:tcW w:w="890" w:type="dxa"/>
            <w:tcBorders>
              <w:top w:val="single" w:color="auto" w:sz="4" w:space="0"/>
              <w:left w:val="single" w:color="auto" w:sz="4" w:space="0"/>
              <w:bottom w:val="single" w:color="auto" w:sz="4" w:space="0"/>
              <w:right w:val="single" w:color="auto" w:sz="4" w:space="0"/>
            </w:tcBorders>
            <w:vAlign w:val="center"/>
          </w:tcPr>
          <w:p w14:paraId="0F9D5BAB">
            <w:pPr>
              <w:adjustRightInd w:val="0"/>
              <w:snapToGrid w:val="0"/>
              <w:spacing w:line="300" w:lineRule="auto"/>
              <w:ind w:firstLine="0" w:firstLineChars="0"/>
              <w:jc w:val="center"/>
              <w:rPr>
                <w:rFonts w:ascii="Arial" w:hAnsi="Arial"/>
                <w:bCs/>
                <w:sz w:val="21"/>
                <w:szCs w:val="21"/>
                <w:highlight w:val="none"/>
              </w:rPr>
            </w:pPr>
          </w:p>
        </w:tc>
        <w:tc>
          <w:tcPr>
            <w:tcW w:w="1062" w:type="dxa"/>
            <w:tcBorders>
              <w:top w:val="single" w:color="auto" w:sz="4" w:space="0"/>
              <w:left w:val="single" w:color="auto" w:sz="4" w:space="0"/>
              <w:bottom w:val="single" w:color="auto" w:sz="4" w:space="0"/>
              <w:right w:val="single" w:color="auto" w:sz="4" w:space="0"/>
            </w:tcBorders>
            <w:vAlign w:val="center"/>
          </w:tcPr>
          <w:p w14:paraId="6BD729DA">
            <w:pPr>
              <w:adjustRightInd w:val="0"/>
              <w:snapToGrid w:val="0"/>
              <w:spacing w:line="300" w:lineRule="auto"/>
              <w:ind w:firstLine="0" w:firstLineChars="0"/>
              <w:jc w:val="center"/>
              <w:rPr>
                <w:bCs/>
                <w:sz w:val="21"/>
                <w:szCs w:val="21"/>
                <w:highlight w:val="none"/>
              </w:rPr>
            </w:pPr>
            <w:r>
              <w:rPr>
                <w:bCs/>
                <w:sz w:val="21"/>
                <w:szCs w:val="21"/>
                <w:highlight w:val="none"/>
              </w:rPr>
              <w:t>≤1.2</w:t>
            </w:r>
          </w:p>
        </w:tc>
      </w:tr>
      <w:tr w14:paraId="0E65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50" w:type="dxa"/>
            <w:tcBorders>
              <w:top w:val="single" w:color="auto" w:sz="4" w:space="0"/>
              <w:left w:val="single" w:color="auto" w:sz="4" w:space="0"/>
              <w:bottom w:val="single" w:color="auto" w:sz="4" w:space="0"/>
              <w:right w:val="single" w:color="auto" w:sz="4" w:space="0"/>
            </w:tcBorders>
            <w:vAlign w:val="center"/>
          </w:tcPr>
          <w:p w14:paraId="7295D2F2">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TiO2</w:t>
            </w:r>
            <w:r>
              <w:rPr>
                <w:bCs/>
                <w:sz w:val="21"/>
                <w:szCs w:val="21"/>
                <w:highlight w:val="none"/>
              </w:rPr>
              <w:t>含量 ，</w:t>
            </w:r>
            <w:r>
              <w:rPr>
                <w:rFonts w:ascii="Arial" w:hAnsi="Arial"/>
                <w:bCs/>
                <w:sz w:val="21"/>
                <w:szCs w:val="21"/>
                <w:highlight w:val="none"/>
              </w:rPr>
              <w:t>%</w:t>
            </w:r>
          </w:p>
        </w:tc>
        <w:tc>
          <w:tcPr>
            <w:tcW w:w="890" w:type="dxa"/>
            <w:tcBorders>
              <w:top w:val="single" w:color="auto" w:sz="4" w:space="0"/>
              <w:left w:val="nil"/>
              <w:bottom w:val="single" w:color="auto" w:sz="4" w:space="0"/>
              <w:right w:val="single" w:color="auto" w:sz="4" w:space="0"/>
            </w:tcBorders>
            <w:vAlign w:val="center"/>
          </w:tcPr>
          <w:p w14:paraId="43EE350A">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single" w:color="auto" w:sz="4" w:space="0"/>
              <w:bottom w:val="single" w:color="auto" w:sz="4" w:space="0"/>
              <w:right w:val="single" w:color="auto" w:sz="4" w:space="0"/>
            </w:tcBorders>
            <w:vAlign w:val="center"/>
          </w:tcPr>
          <w:p w14:paraId="7E7B9C40">
            <w:pPr>
              <w:adjustRightInd w:val="0"/>
              <w:snapToGrid w:val="0"/>
              <w:spacing w:line="300" w:lineRule="auto"/>
              <w:ind w:firstLine="0" w:firstLineChars="0"/>
              <w:jc w:val="center"/>
              <w:rPr>
                <w:rFonts w:ascii="Arial" w:hAnsi="Arial"/>
                <w:bCs/>
                <w:sz w:val="21"/>
                <w:szCs w:val="21"/>
                <w:highlight w:val="none"/>
              </w:rPr>
            </w:pPr>
          </w:p>
        </w:tc>
        <w:tc>
          <w:tcPr>
            <w:tcW w:w="1108" w:type="dxa"/>
            <w:tcBorders>
              <w:top w:val="single" w:color="auto" w:sz="4" w:space="0"/>
              <w:left w:val="nil"/>
              <w:bottom w:val="single" w:color="auto" w:sz="4" w:space="0"/>
              <w:right w:val="single" w:color="auto" w:sz="4" w:space="0"/>
            </w:tcBorders>
          </w:tcPr>
          <w:p w14:paraId="05659034">
            <w:pPr>
              <w:adjustRightInd w:val="0"/>
              <w:snapToGrid w:val="0"/>
              <w:spacing w:line="300" w:lineRule="auto"/>
              <w:ind w:firstLine="0" w:firstLineChars="0"/>
              <w:jc w:val="center"/>
              <w:rPr>
                <w:rFonts w:ascii="Arial" w:hAnsi="Arial"/>
                <w:bCs/>
                <w:sz w:val="21"/>
                <w:szCs w:val="21"/>
                <w:highlight w:val="none"/>
              </w:rPr>
            </w:pPr>
          </w:p>
        </w:tc>
        <w:tc>
          <w:tcPr>
            <w:tcW w:w="1108" w:type="dxa"/>
            <w:tcBorders>
              <w:top w:val="single" w:color="auto" w:sz="4" w:space="0"/>
              <w:left w:val="single" w:color="auto" w:sz="4" w:space="0"/>
              <w:bottom w:val="single" w:color="auto" w:sz="4" w:space="0"/>
              <w:right w:val="single" w:color="auto" w:sz="4" w:space="0"/>
            </w:tcBorders>
            <w:vAlign w:val="center"/>
          </w:tcPr>
          <w:p w14:paraId="4637E136">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nil"/>
              <w:bottom w:val="single" w:color="auto" w:sz="4" w:space="0"/>
              <w:right w:val="single" w:color="auto" w:sz="4" w:space="0"/>
            </w:tcBorders>
            <w:vAlign w:val="center"/>
          </w:tcPr>
          <w:p w14:paraId="7E5D47DC">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single" w:color="auto" w:sz="4" w:space="0"/>
              <w:bottom w:val="single" w:color="auto" w:sz="4" w:space="0"/>
              <w:right w:val="single" w:color="auto" w:sz="4" w:space="0"/>
            </w:tcBorders>
            <w:vAlign w:val="center"/>
          </w:tcPr>
          <w:p w14:paraId="4F3A7B7D">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single" w:color="auto" w:sz="4" w:space="0"/>
              <w:bottom w:val="single" w:color="auto" w:sz="4" w:space="0"/>
              <w:right w:val="single" w:color="auto" w:sz="4" w:space="0"/>
            </w:tcBorders>
            <w:vAlign w:val="center"/>
          </w:tcPr>
          <w:p w14:paraId="1657EEA5">
            <w:pPr>
              <w:adjustRightInd w:val="0"/>
              <w:snapToGrid w:val="0"/>
              <w:spacing w:line="300" w:lineRule="auto"/>
              <w:ind w:firstLine="0" w:firstLineChars="0"/>
              <w:jc w:val="center"/>
              <w:rPr>
                <w:rFonts w:ascii="Arial" w:hAnsi="Arial"/>
                <w:bCs/>
                <w:sz w:val="21"/>
                <w:szCs w:val="21"/>
                <w:highlight w:val="none"/>
              </w:rPr>
            </w:pPr>
          </w:p>
        </w:tc>
        <w:tc>
          <w:tcPr>
            <w:tcW w:w="1062" w:type="dxa"/>
            <w:tcBorders>
              <w:top w:val="single" w:color="auto" w:sz="4" w:space="0"/>
              <w:left w:val="single" w:color="auto" w:sz="4" w:space="0"/>
              <w:bottom w:val="single" w:color="auto" w:sz="4" w:space="0"/>
              <w:right w:val="single" w:color="auto" w:sz="4" w:space="0"/>
            </w:tcBorders>
            <w:vAlign w:val="center"/>
          </w:tcPr>
          <w:p w14:paraId="2BDD5ED3">
            <w:pPr>
              <w:adjustRightInd w:val="0"/>
              <w:snapToGrid w:val="0"/>
              <w:spacing w:line="300" w:lineRule="auto"/>
              <w:ind w:firstLine="0" w:firstLineChars="0"/>
              <w:jc w:val="center"/>
              <w:rPr>
                <w:bCs/>
                <w:sz w:val="21"/>
                <w:szCs w:val="21"/>
                <w:highlight w:val="none"/>
              </w:rPr>
            </w:pPr>
            <w:r>
              <w:rPr>
                <w:bCs/>
                <w:sz w:val="21"/>
                <w:szCs w:val="21"/>
                <w:highlight w:val="none"/>
              </w:rPr>
              <w:t>≤0.5</w:t>
            </w:r>
          </w:p>
        </w:tc>
      </w:tr>
      <w:tr w14:paraId="134B6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50" w:type="dxa"/>
            <w:tcBorders>
              <w:top w:val="single" w:color="auto" w:sz="4" w:space="0"/>
              <w:left w:val="single" w:color="auto" w:sz="4" w:space="0"/>
              <w:bottom w:val="single" w:color="auto" w:sz="4" w:space="0"/>
              <w:right w:val="single" w:color="auto" w:sz="4" w:space="0"/>
            </w:tcBorders>
            <w:vAlign w:val="center"/>
          </w:tcPr>
          <w:p w14:paraId="5F47762E">
            <w:pPr>
              <w:adjustRightInd w:val="0"/>
              <w:snapToGrid w:val="0"/>
              <w:spacing w:line="300" w:lineRule="auto"/>
              <w:ind w:firstLine="0" w:firstLineChars="0"/>
              <w:jc w:val="center"/>
              <w:rPr>
                <w:rFonts w:ascii="Arial" w:hAnsi="Arial"/>
                <w:bCs/>
                <w:sz w:val="21"/>
                <w:szCs w:val="21"/>
                <w:highlight w:val="none"/>
              </w:rPr>
            </w:pPr>
            <w:r>
              <w:rPr>
                <w:bCs/>
                <w:sz w:val="21"/>
                <w:szCs w:val="21"/>
                <w:highlight w:val="none"/>
              </w:rPr>
              <w:t>碱含量，</w:t>
            </w:r>
            <w:r>
              <w:rPr>
                <w:rFonts w:ascii="Arial" w:hAnsi="Arial"/>
                <w:bCs/>
                <w:sz w:val="21"/>
                <w:szCs w:val="21"/>
                <w:highlight w:val="none"/>
              </w:rPr>
              <w:t>%</w:t>
            </w:r>
          </w:p>
          <w:p w14:paraId="15A176BD">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nil"/>
              <w:bottom w:val="single" w:color="auto" w:sz="4" w:space="0"/>
              <w:right w:val="single" w:color="auto" w:sz="4" w:space="0"/>
            </w:tcBorders>
            <w:vAlign w:val="center"/>
          </w:tcPr>
          <w:p w14:paraId="7B520B2D">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single" w:color="auto" w:sz="4" w:space="0"/>
              <w:bottom w:val="single" w:color="auto" w:sz="4" w:space="0"/>
              <w:right w:val="single" w:color="auto" w:sz="4" w:space="0"/>
            </w:tcBorders>
            <w:vAlign w:val="center"/>
          </w:tcPr>
          <w:p w14:paraId="3B185621">
            <w:pPr>
              <w:adjustRightInd w:val="0"/>
              <w:snapToGrid w:val="0"/>
              <w:spacing w:line="300" w:lineRule="auto"/>
              <w:ind w:firstLine="0" w:firstLineChars="0"/>
              <w:jc w:val="center"/>
              <w:rPr>
                <w:rFonts w:ascii="Arial" w:hAnsi="Arial"/>
                <w:bCs/>
                <w:sz w:val="21"/>
                <w:szCs w:val="21"/>
                <w:highlight w:val="none"/>
              </w:rPr>
            </w:pPr>
          </w:p>
        </w:tc>
        <w:tc>
          <w:tcPr>
            <w:tcW w:w="1108" w:type="dxa"/>
            <w:tcBorders>
              <w:top w:val="single" w:color="auto" w:sz="4" w:space="0"/>
              <w:left w:val="nil"/>
              <w:bottom w:val="single" w:color="auto" w:sz="4" w:space="0"/>
              <w:right w:val="single" w:color="auto" w:sz="4" w:space="0"/>
            </w:tcBorders>
          </w:tcPr>
          <w:p w14:paraId="45987C52">
            <w:pPr>
              <w:adjustRightInd w:val="0"/>
              <w:snapToGrid w:val="0"/>
              <w:spacing w:line="300" w:lineRule="auto"/>
              <w:ind w:firstLine="0" w:firstLineChars="0"/>
              <w:jc w:val="center"/>
              <w:rPr>
                <w:rFonts w:ascii="Arial" w:hAnsi="Arial"/>
                <w:bCs/>
                <w:sz w:val="21"/>
                <w:szCs w:val="21"/>
                <w:highlight w:val="none"/>
              </w:rPr>
            </w:pPr>
          </w:p>
        </w:tc>
        <w:tc>
          <w:tcPr>
            <w:tcW w:w="1108" w:type="dxa"/>
            <w:tcBorders>
              <w:top w:val="single" w:color="auto" w:sz="4" w:space="0"/>
              <w:left w:val="single" w:color="auto" w:sz="4" w:space="0"/>
              <w:bottom w:val="single" w:color="auto" w:sz="4" w:space="0"/>
              <w:right w:val="single" w:color="auto" w:sz="4" w:space="0"/>
            </w:tcBorders>
            <w:vAlign w:val="center"/>
          </w:tcPr>
          <w:p w14:paraId="5DC10E59">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nil"/>
              <w:bottom w:val="single" w:color="auto" w:sz="4" w:space="0"/>
              <w:right w:val="single" w:color="auto" w:sz="4" w:space="0"/>
            </w:tcBorders>
            <w:vAlign w:val="center"/>
          </w:tcPr>
          <w:p w14:paraId="78C9586A">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single" w:color="auto" w:sz="4" w:space="0"/>
              <w:bottom w:val="single" w:color="auto" w:sz="4" w:space="0"/>
              <w:right w:val="single" w:color="auto" w:sz="4" w:space="0"/>
            </w:tcBorders>
            <w:vAlign w:val="center"/>
          </w:tcPr>
          <w:p w14:paraId="65817528">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single" w:color="auto" w:sz="4" w:space="0"/>
              <w:bottom w:val="single" w:color="auto" w:sz="4" w:space="0"/>
              <w:right w:val="single" w:color="auto" w:sz="4" w:space="0"/>
            </w:tcBorders>
            <w:vAlign w:val="center"/>
          </w:tcPr>
          <w:p w14:paraId="516CB0D8">
            <w:pPr>
              <w:adjustRightInd w:val="0"/>
              <w:snapToGrid w:val="0"/>
              <w:spacing w:line="300" w:lineRule="auto"/>
              <w:ind w:firstLine="0" w:firstLineChars="0"/>
              <w:jc w:val="center"/>
              <w:rPr>
                <w:rFonts w:ascii="Arial" w:hAnsi="Arial"/>
                <w:bCs/>
                <w:sz w:val="21"/>
                <w:szCs w:val="21"/>
                <w:highlight w:val="none"/>
              </w:rPr>
            </w:pPr>
          </w:p>
        </w:tc>
        <w:tc>
          <w:tcPr>
            <w:tcW w:w="1062" w:type="dxa"/>
            <w:tcBorders>
              <w:top w:val="single" w:color="auto" w:sz="4" w:space="0"/>
              <w:left w:val="single" w:color="auto" w:sz="4" w:space="0"/>
              <w:bottom w:val="single" w:color="auto" w:sz="4" w:space="0"/>
              <w:right w:val="single" w:color="auto" w:sz="4" w:space="0"/>
            </w:tcBorders>
            <w:vAlign w:val="center"/>
          </w:tcPr>
          <w:p w14:paraId="303654EB">
            <w:pPr>
              <w:adjustRightInd w:val="0"/>
              <w:snapToGrid w:val="0"/>
              <w:spacing w:line="300" w:lineRule="auto"/>
              <w:ind w:firstLine="0" w:firstLineChars="0"/>
              <w:jc w:val="center"/>
              <w:rPr>
                <w:bCs/>
                <w:sz w:val="21"/>
                <w:szCs w:val="21"/>
                <w:highlight w:val="none"/>
              </w:rPr>
            </w:pPr>
            <w:r>
              <w:rPr>
                <w:bCs/>
                <w:sz w:val="21"/>
                <w:szCs w:val="21"/>
                <w:highlight w:val="none"/>
              </w:rPr>
              <w:t>≤0.6</w:t>
            </w:r>
          </w:p>
        </w:tc>
      </w:tr>
      <w:tr w14:paraId="3288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50" w:type="dxa"/>
            <w:tcBorders>
              <w:top w:val="single" w:color="auto" w:sz="4" w:space="0"/>
              <w:left w:val="single" w:color="auto" w:sz="4" w:space="0"/>
              <w:bottom w:val="single" w:color="auto" w:sz="4" w:space="0"/>
              <w:right w:val="single" w:color="auto" w:sz="4" w:space="0"/>
            </w:tcBorders>
            <w:vAlign w:val="center"/>
          </w:tcPr>
          <w:p w14:paraId="466F1BF9">
            <w:pPr>
              <w:adjustRightInd w:val="0"/>
              <w:snapToGrid w:val="0"/>
              <w:spacing w:line="300" w:lineRule="auto"/>
              <w:ind w:firstLine="0" w:firstLineChars="0"/>
              <w:jc w:val="center"/>
              <w:rPr>
                <w:rFonts w:ascii="Arial" w:hAnsi="Arial"/>
                <w:bCs/>
                <w:sz w:val="21"/>
                <w:szCs w:val="21"/>
                <w:highlight w:val="none"/>
              </w:rPr>
            </w:pPr>
            <w:r>
              <w:rPr>
                <w:bCs/>
                <w:sz w:val="21"/>
                <w:szCs w:val="21"/>
                <w:highlight w:val="none"/>
              </w:rPr>
              <w:t>耐火度，</w:t>
            </w:r>
            <w:r>
              <w:rPr>
                <w:rFonts w:hint="eastAsia"/>
                <w:bCs/>
                <w:sz w:val="21"/>
                <w:szCs w:val="21"/>
                <w:highlight w:val="none"/>
              </w:rPr>
              <w:t>℃</w:t>
            </w:r>
          </w:p>
        </w:tc>
        <w:tc>
          <w:tcPr>
            <w:tcW w:w="890" w:type="dxa"/>
            <w:tcBorders>
              <w:top w:val="single" w:color="auto" w:sz="4" w:space="0"/>
              <w:left w:val="nil"/>
              <w:bottom w:val="single" w:color="auto" w:sz="4" w:space="0"/>
              <w:right w:val="single" w:color="auto" w:sz="4" w:space="0"/>
            </w:tcBorders>
            <w:vAlign w:val="center"/>
          </w:tcPr>
          <w:p w14:paraId="7CA029F7">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single" w:color="auto" w:sz="4" w:space="0"/>
              <w:bottom w:val="single" w:color="auto" w:sz="4" w:space="0"/>
              <w:right w:val="single" w:color="auto" w:sz="4" w:space="0"/>
            </w:tcBorders>
            <w:vAlign w:val="center"/>
          </w:tcPr>
          <w:p w14:paraId="7F293F82">
            <w:pPr>
              <w:adjustRightInd w:val="0"/>
              <w:snapToGrid w:val="0"/>
              <w:spacing w:line="300" w:lineRule="auto"/>
              <w:ind w:firstLine="0" w:firstLineChars="0"/>
              <w:jc w:val="center"/>
              <w:rPr>
                <w:rFonts w:ascii="Arial" w:hAnsi="Arial"/>
                <w:bCs/>
                <w:sz w:val="21"/>
                <w:szCs w:val="21"/>
                <w:highlight w:val="none"/>
              </w:rPr>
            </w:pPr>
          </w:p>
        </w:tc>
        <w:tc>
          <w:tcPr>
            <w:tcW w:w="1108" w:type="dxa"/>
            <w:tcBorders>
              <w:top w:val="single" w:color="auto" w:sz="4" w:space="0"/>
              <w:left w:val="nil"/>
              <w:bottom w:val="single" w:color="auto" w:sz="4" w:space="0"/>
              <w:right w:val="single" w:color="auto" w:sz="4" w:space="0"/>
            </w:tcBorders>
          </w:tcPr>
          <w:p w14:paraId="418E5F09">
            <w:pPr>
              <w:adjustRightInd w:val="0"/>
              <w:snapToGrid w:val="0"/>
              <w:spacing w:line="300" w:lineRule="auto"/>
              <w:ind w:firstLine="0" w:firstLineChars="0"/>
              <w:jc w:val="center"/>
              <w:rPr>
                <w:rFonts w:ascii="Arial" w:hAnsi="Arial"/>
                <w:bCs/>
                <w:sz w:val="21"/>
                <w:szCs w:val="21"/>
                <w:highlight w:val="none"/>
              </w:rPr>
            </w:pPr>
          </w:p>
        </w:tc>
        <w:tc>
          <w:tcPr>
            <w:tcW w:w="1108" w:type="dxa"/>
            <w:tcBorders>
              <w:top w:val="single" w:color="auto" w:sz="4" w:space="0"/>
              <w:left w:val="single" w:color="auto" w:sz="4" w:space="0"/>
              <w:bottom w:val="single" w:color="auto" w:sz="4" w:space="0"/>
              <w:right w:val="single" w:color="auto" w:sz="4" w:space="0"/>
            </w:tcBorders>
            <w:vAlign w:val="center"/>
          </w:tcPr>
          <w:p w14:paraId="7FE7585F">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nil"/>
              <w:bottom w:val="single" w:color="auto" w:sz="4" w:space="0"/>
              <w:right w:val="single" w:color="auto" w:sz="4" w:space="0"/>
            </w:tcBorders>
            <w:vAlign w:val="center"/>
          </w:tcPr>
          <w:p w14:paraId="3A565F96">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single" w:color="auto" w:sz="4" w:space="0"/>
              <w:bottom w:val="single" w:color="auto" w:sz="4" w:space="0"/>
              <w:right w:val="single" w:color="auto" w:sz="4" w:space="0"/>
            </w:tcBorders>
            <w:vAlign w:val="center"/>
          </w:tcPr>
          <w:p w14:paraId="48035780">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single" w:color="auto" w:sz="4" w:space="0"/>
              <w:bottom w:val="single" w:color="auto" w:sz="4" w:space="0"/>
              <w:right w:val="single" w:color="auto" w:sz="4" w:space="0"/>
            </w:tcBorders>
            <w:vAlign w:val="center"/>
          </w:tcPr>
          <w:p w14:paraId="37E5842B">
            <w:pPr>
              <w:adjustRightInd w:val="0"/>
              <w:snapToGrid w:val="0"/>
              <w:spacing w:line="300" w:lineRule="auto"/>
              <w:ind w:firstLine="0" w:firstLineChars="0"/>
              <w:jc w:val="center"/>
              <w:rPr>
                <w:rFonts w:ascii="Arial" w:hAnsi="Arial"/>
                <w:bCs/>
                <w:sz w:val="21"/>
                <w:szCs w:val="21"/>
                <w:highlight w:val="none"/>
              </w:rPr>
            </w:pPr>
          </w:p>
        </w:tc>
        <w:tc>
          <w:tcPr>
            <w:tcW w:w="1062" w:type="dxa"/>
            <w:tcBorders>
              <w:top w:val="single" w:color="auto" w:sz="4" w:space="0"/>
              <w:left w:val="single" w:color="auto" w:sz="4" w:space="0"/>
              <w:bottom w:val="single" w:color="auto" w:sz="4" w:space="0"/>
              <w:right w:val="single" w:color="auto" w:sz="4" w:space="0"/>
            </w:tcBorders>
            <w:vAlign w:val="center"/>
          </w:tcPr>
          <w:p w14:paraId="06D2635B">
            <w:pPr>
              <w:adjustRightInd w:val="0"/>
              <w:snapToGrid w:val="0"/>
              <w:spacing w:line="300" w:lineRule="auto"/>
              <w:ind w:firstLine="0" w:firstLineChars="0"/>
              <w:jc w:val="center"/>
              <w:rPr>
                <w:bCs/>
                <w:sz w:val="21"/>
                <w:szCs w:val="21"/>
                <w:highlight w:val="none"/>
              </w:rPr>
            </w:pPr>
            <w:r>
              <w:rPr>
                <w:bCs/>
                <w:sz w:val="21"/>
                <w:szCs w:val="21"/>
                <w:highlight w:val="none"/>
              </w:rPr>
              <w:t>≥1790</w:t>
            </w:r>
          </w:p>
        </w:tc>
      </w:tr>
      <w:tr w14:paraId="2530F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150" w:type="dxa"/>
            <w:tcBorders>
              <w:top w:val="single" w:color="auto" w:sz="4" w:space="0"/>
              <w:left w:val="single" w:color="auto" w:sz="4" w:space="0"/>
              <w:bottom w:val="single" w:color="auto" w:sz="4" w:space="0"/>
              <w:right w:val="single" w:color="auto" w:sz="4" w:space="0"/>
            </w:tcBorders>
            <w:vAlign w:val="center"/>
          </w:tcPr>
          <w:p w14:paraId="554AE15B">
            <w:pPr>
              <w:adjustRightInd w:val="0"/>
              <w:snapToGrid w:val="0"/>
              <w:spacing w:line="300" w:lineRule="auto"/>
              <w:ind w:firstLine="0" w:firstLineChars="0"/>
              <w:jc w:val="center"/>
              <w:rPr>
                <w:rFonts w:ascii="Arial" w:hAnsi="Arial"/>
                <w:bCs/>
                <w:sz w:val="21"/>
                <w:szCs w:val="21"/>
                <w:highlight w:val="none"/>
              </w:rPr>
            </w:pPr>
            <w:r>
              <w:rPr>
                <w:bCs/>
                <w:sz w:val="21"/>
                <w:szCs w:val="21"/>
                <w:highlight w:val="none"/>
              </w:rPr>
              <w:t>显气孔率，</w:t>
            </w:r>
            <w:r>
              <w:rPr>
                <w:rFonts w:ascii="Arial" w:hAnsi="Arial"/>
                <w:bCs/>
                <w:sz w:val="21"/>
                <w:szCs w:val="21"/>
                <w:highlight w:val="none"/>
              </w:rPr>
              <w:t>%</w:t>
            </w:r>
          </w:p>
        </w:tc>
        <w:tc>
          <w:tcPr>
            <w:tcW w:w="890" w:type="dxa"/>
            <w:tcBorders>
              <w:top w:val="single" w:color="auto" w:sz="4" w:space="0"/>
              <w:left w:val="nil"/>
              <w:bottom w:val="single" w:color="auto" w:sz="4" w:space="0"/>
              <w:right w:val="single" w:color="auto" w:sz="4" w:space="0"/>
            </w:tcBorders>
            <w:vAlign w:val="center"/>
          </w:tcPr>
          <w:p w14:paraId="47925257">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≤22（24）</w:t>
            </w:r>
          </w:p>
        </w:tc>
        <w:tc>
          <w:tcPr>
            <w:tcW w:w="890" w:type="dxa"/>
            <w:tcBorders>
              <w:top w:val="single" w:color="auto" w:sz="4" w:space="0"/>
              <w:left w:val="single" w:color="auto" w:sz="4" w:space="0"/>
              <w:bottom w:val="single" w:color="auto" w:sz="4" w:space="0"/>
              <w:right w:val="single" w:color="auto" w:sz="4" w:space="0"/>
            </w:tcBorders>
            <w:vAlign w:val="center"/>
          </w:tcPr>
          <w:p w14:paraId="5BC19F3A">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≤22（</w:t>
            </w:r>
            <w:r>
              <w:rPr>
                <w:rFonts w:hint="eastAsia" w:ascii="Arial" w:hAnsi="Arial"/>
                <w:bCs/>
                <w:sz w:val="21"/>
                <w:szCs w:val="21"/>
                <w:highlight w:val="none"/>
              </w:rPr>
              <w:t>2</w:t>
            </w:r>
            <w:r>
              <w:rPr>
                <w:rFonts w:ascii="Arial" w:hAnsi="Arial"/>
                <w:bCs/>
                <w:sz w:val="21"/>
                <w:szCs w:val="21"/>
                <w:highlight w:val="none"/>
              </w:rPr>
              <w:t>3）</w:t>
            </w:r>
          </w:p>
        </w:tc>
        <w:tc>
          <w:tcPr>
            <w:tcW w:w="1108" w:type="dxa"/>
            <w:tcBorders>
              <w:top w:val="single" w:color="auto" w:sz="4" w:space="0"/>
              <w:left w:val="nil"/>
              <w:bottom w:val="single" w:color="auto" w:sz="4" w:space="0"/>
              <w:right w:val="single" w:color="auto" w:sz="4" w:space="0"/>
            </w:tcBorders>
          </w:tcPr>
          <w:p w14:paraId="64EB8D35">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≤22（</w:t>
            </w:r>
            <w:r>
              <w:rPr>
                <w:rFonts w:hint="eastAsia" w:ascii="Arial" w:hAnsi="Arial"/>
                <w:bCs/>
                <w:sz w:val="21"/>
                <w:szCs w:val="21"/>
                <w:highlight w:val="none"/>
              </w:rPr>
              <w:t>2</w:t>
            </w:r>
            <w:r>
              <w:rPr>
                <w:rFonts w:ascii="Arial" w:hAnsi="Arial"/>
                <w:bCs/>
                <w:sz w:val="21"/>
                <w:szCs w:val="21"/>
                <w:highlight w:val="none"/>
              </w:rPr>
              <w:t>3）</w:t>
            </w:r>
          </w:p>
        </w:tc>
        <w:tc>
          <w:tcPr>
            <w:tcW w:w="1108" w:type="dxa"/>
            <w:tcBorders>
              <w:top w:val="single" w:color="auto" w:sz="4" w:space="0"/>
              <w:left w:val="single" w:color="auto" w:sz="4" w:space="0"/>
              <w:bottom w:val="single" w:color="auto" w:sz="4" w:space="0"/>
              <w:right w:val="single" w:color="auto" w:sz="4" w:space="0"/>
            </w:tcBorders>
            <w:vAlign w:val="center"/>
          </w:tcPr>
          <w:p w14:paraId="38785DE2">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≤21（</w:t>
            </w:r>
            <w:r>
              <w:rPr>
                <w:rFonts w:hint="eastAsia" w:ascii="Arial" w:hAnsi="Arial"/>
                <w:bCs/>
                <w:sz w:val="21"/>
                <w:szCs w:val="21"/>
                <w:highlight w:val="none"/>
              </w:rPr>
              <w:t>2</w:t>
            </w:r>
            <w:r>
              <w:rPr>
                <w:rFonts w:ascii="Arial" w:hAnsi="Arial"/>
                <w:bCs/>
                <w:sz w:val="21"/>
                <w:szCs w:val="21"/>
                <w:highlight w:val="none"/>
              </w:rPr>
              <w:t>3）</w:t>
            </w:r>
          </w:p>
        </w:tc>
        <w:tc>
          <w:tcPr>
            <w:tcW w:w="890" w:type="dxa"/>
            <w:tcBorders>
              <w:top w:val="single" w:color="auto" w:sz="4" w:space="0"/>
              <w:left w:val="nil"/>
              <w:bottom w:val="single" w:color="auto" w:sz="4" w:space="0"/>
              <w:right w:val="single" w:color="auto" w:sz="4" w:space="0"/>
            </w:tcBorders>
            <w:vAlign w:val="center"/>
          </w:tcPr>
          <w:p w14:paraId="3BA07179">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≤22</w:t>
            </w:r>
          </w:p>
        </w:tc>
        <w:tc>
          <w:tcPr>
            <w:tcW w:w="890" w:type="dxa"/>
            <w:tcBorders>
              <w:top w:val="single" w:color="auto" w:sz="4" w:space="0"/>
              <w:left w:val="single" w:color="auto" w:sz="4" w:space="0"/>
              <w:bottom w:val="single" w:color="auto" w:sz="4" w:space="0"/>
              <w:right w:val="single" w:color="auto" w:sz="4" w:space="0"/>
            </w:tcBorders>
            <w:vAlign w:val="center"/>
          </w:tcPr>
          <w:p w14:paraId="6788A438">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≤24</w:t>
            </w:r>
          </w:p>
        </w:tc>
        <w:tc>
          <w:tcPr>
            <w:tcW w:w="890" w:type="dxa"/>
            <w:tcBorders>
              <w:top w:val="single" w:color="auto" w:sz="4" w:space="0"/>
              <w:left w:val="single" w:color="auto" w:sz="4" w:space="0"/>
              <w:bottom w:val="single" w:color="auto" w:sz="4" w:space="0"/>
              <w:right w:val="single" w:color="auto" w:sz="4" w:space="0"/>
            </w:tcBorders>
            <w:vAlign w:val="center"/>
          </w:tcPr>
          <w:p w14:paraId="263CB2C1">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≤24</w:t>
            </w:r>
          </w:p>
        </w:tc>
        <w:tc>
          <w:tcPr>
            <w:tcW w:w="1062" w:type="dxa"/>
            <w:tcBorders>
              <w:top w:val="single" w:color="auto" w:sz="4" w:space="0"/>
              <w:left w:val="single" w:color="auto" w:sz="4" w:space="0"/>
              <w:bottom w:val="single" w:color="auto" w:sz="4" w:space="0"/>
              <w:right w:val="single" w:color="auto" w:sz="4" w:space="0"/>
            </w:tcBorders>
            <w:vAlign w:val="center"/>
          </w:tcPr>
          <w:p w14:paraId="6FD7C245">
            <w:pPr>
              <w:adjustRightInd w:val="0"/>
              <w:snapToGrid w:val="0"/>
              <w:spacing w:line="300" w:lineRule="auto"/>
              <w:ind w:firstLine="0" w:firstLineChars="0"/>
              <w:jc w:val="center"/>
              <w:rPr>
                <w:bCs/>
                <w:sz w:val="21"/>
                <w:szCs w:val="21"/>
                <w:highlight w:val="none"/>
              </w:rPr>
            </w:pPr>
            <w:r>
              <w:rPr>
                <w:bCs/>
                <w:sz w:val="21"/>
                <w:szCs w:val="21"/>
                <w:highlight w:val="none"/>
              </w:rPr>
              <w:t>≤20</w:t>
            </w:r>
          </w:p>
        </w:tc>
      </w:tr>
      <w:tr w14:paraId="47916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150" w:type="dxa"/>
            <w:tcBorders>
              <w:top w:val="single" w:color="auto" w:sz="4" w:space="0"/>
              <w:left w:val="single" w:color="auto" w:sz="4" w:space="0"/>
              <w:bottom w:val="single" w:color="auto" w:sz="4" w:space="0"/>
              <w:right w:val="single" w:color="auto" w:sz="4" w:space="0"/>
            </w:tcBorders>
            <w:vAlign w:val="center"/>
          </w:tcPr>
          <w:p w14:paraId="3A8CCBC6">
            <w:pPr>
              <w:adjustRightInd w:val="0"/>
              <w:snapToGrid w:val="0"/>
              <w:spacing w:line="300" w:lineRule="auto"/>
              <w:ind w:firstLine="0" w:firstLineChars="0"/>
              <w:jc w:val="center"/>
              <w:rPr>
                <w:rFonts w:ascii="Arial" w:hAnsi="Arial"/>
                <w:bCs/>
                <w:sz w:val="21"/>
                <w:szCs w:val="21"/>
                <w:highlight w:val="none"/>
              </w:rPr>
            </w:pPr>
            <w:r>
              <w:rPr>
                <w:bCs/>
                <w:sz w:val="21"/>
                <w:szCs w:val="21"/>
                <w:highlight w:val="none"/>
              </w:rPr>
              <w:t>体积密度，</w:t>
            </w:r>
            <w:r>
              <w:rPr>
                <w:rFonts w:ascii="Arial" w:hAnsi="Arial"/>
                <w:bCs/>
                <w:sz w:val="21"/>
                <w:szCs w:val="21"/>
                <w:highlight w:val="none"/>
              </w:rPr>
              <w:t>g/cm3</w:t>
            </w:r>
          </w:p>
        </w:tc>
        <w:tc>
          <w:tcPr>
            <w:tcW w:w="890" w:type="dxa"/>
            <w:tcBorders>
              <w:top w:val="single" w:color="auto" w:sz="4" w:space="0"/>
              <w:left w:val="nil"/>
              <w:bottom w:val="single" w:color="auto" w:sz="4" w:space="0"/>
              <w:right w:val="single" w:color="auto" w:sz="4" w:space="0"/>
            </w:tcBorders>
            <w:vAlign w:val="center"/>
          </w:tcPr>
          <w:p w14:paraId="66BE22FB">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≥2.2</w:t>
            </w:r>
          </w:p>
        </w:tc>
        <w:tc>
          <w:tcPr>
            <w:tcW w:w="890" w:type="dxa"/>
            <w:tcBorders>
              <w:top w:val="single" w:color="auto" w:sz="4" w:space="0"/>
              <w:left w:val="single" w:color="auto" w:sz="4" w:space="0"/>
              <w:bottom w:val="single" w:color="auto" w:sz="4" w:space="0"/>
              <w:right w:val="single" w:color="auto" w:sz="4" w:space="0"/>
            </w:tcBorders>
            <w:vAlign w:val="center"/>
          </w:tcPr>
          <w:p w14:paraId="1BE8FF36">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≥2.5</w:t>
            </w:r>
          </w:p>
        </w:tc>
        <w:tc>
          <w:tcPr>
            <w:tcW w:w="1108" w:type="dxa"/>
            <w:tcBorders>
              <w:top w:val="single" w:color="auto" w:sz="4" w:space="0"/>
              <w:left w:val="nil"/>
              <w:bottom w:val="single" w:color="auto" w:sz="4" w:space="0"/>
              <w:right w:val="single" w:color="auto" w:sz="4" w:space="0"/>
            </w:tcBorders>
          </w:tcPr>
          <w:p w14:paraId="1B7EFAF7">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≥2.35</w:t>
            </w:r>
          </w:p>
        </w:tc>
        <w:tc>
          <w:tcPr>
            <w:tcW w:w="1108" w:type="dxa"/>
            <w:tcBorders>
              <w:top w:val="single" w:color="auto" w:sz="4" w:space="0"/>
              <w:left w:val="single" w:color="auto" w:sz="4" w:space="0"/>
              <w:bottom w:val="single" w:color="auto" w:sz="4" w:space="0"/>
              <w:right w:val="single" w:color="auto" w:sz="4" w:space="0"/>
            </w:tcBorders>
            <w:vAlign w:val="center"/>
          </w:tcPr>
          <w:p w14:paraId="5DAC68E1">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≥2.55</w:t>
            </w:r>
          </w:p>
        </w:tc>
        <w:tc>
          <w:tcPr>
            <w:tcW w:w="890" w:type="dxa"/>
            <w:tcBorders>
              <w:top w:val="single" w:color="auto" w:sz="4" w:space="0"/>
              <w:left w:val="nil"/>
              <w:bottom w:val="single" w:color="auto" w:sz="4" w:space="0"/>
              <w:right w:val="single" w:color="auto" w:sz="4" w:space="0"/>
            </w:tcBorders>
            <w:vAlign w:val="center"/>
          </w:tcPr>
          <w:p w14:paraId="35B2A0D4">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≥2.3</w:t>
            </w:r>
          </w:p>
        </w:tc>
        <w:tc>
          <w:tcPr>
            <w:tcW w:w="890" w:type="dxa"/>
            <w:tcBorders>
              <w:top w:val="single" w:color="auto" w:sz="4" w:space="0"/>
              <w:left w:val="single" w:color="auto" w:sz="4" w:space="0"/>
              <w:bottom w:val="single" w:color="auto" w:sz="4" w:space="0"/>
              <w:right w:val="single" w:color="auto" w:sz="4" w:space="0"/>
            </w:tcBorders>
            <w:vAlign w:val="center"/>
          </w:tcPr>
          <w:p w14:paraId="37CE1978">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w:t>
            </w:r>
            <w:r>
              <w:rPr>
                <w:rFonts w:hint="eastAsia" w:ascii="Arial" w:hAnsi="Arial"/>
                <w:bCs/>
                <w:sz w:val="21"/>
                <w:szCs w:val="21"/>
                <w:highlight w:val="none"/>
              </w:rPr>
              <w:t>1.8</w:t>
            </w:r>
            <w:r>
              <w:rPr>
                <w:rFonts w:ascii="Arial" w:hAnsi="Arial"/>
                <w:bCs/>
                <w:sz w:val="21"/>
                <w:szCs w:val="21"/>
                <w:highlight w:val="none"/>
              </w:rPr>
              <w:t xml:space="preserve"> </w:t>
            </w:r>
          </w:p>
          <w:p w14:paraId="1F44CC9A">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single" w:color="auto" w:sz="4" w:space="0"/>
              <w:bottom w:val="single" w:color="auto" w:sz="4" w:space="0"/>
              <w:right w:val="single" w:color="auto" w:sz="4" w:space="0"/>
            </w:tcBorders>
            <w:vAlign w:val="center"/>
          </w:tcPr>
          <w:p w14:paraId="504AE7EB">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≥2.15</w:t>
            </w:r>
          </w:p>
        </w:tc>
        <w:tc>
          <w:tcPr>
            <w:tcW w:w="1062" w:type="dxa"/>
            <w:tcBorders>
              <w:top w:val="single" w:color="auto" w:sz="4" w:space="0"/>
              <w:left w:val="single" w:color="auto" w:sz="4" w:space="0"/>
              <w:bottom w:val="single" w:color="auto" w:sz="4" w:space="0"/>
              <w:right w:val="single" w:color="auto" w:sz="4" w:space="0"/>
            </w:tcBorders>
            <w:vAlign w:val="center"/>
          </w:tcPr>
          <w:p w14:paraId="027B4F76">
            <w:pPr>
              <w:adjustRightInd w:val="0"/>
              <w:snapToGrid w:val="0"/>
              <w:spacing w:line="300" w:lineRule="auto"/>
              <w:ind w:firstLine="0" w:firstLineChars="0"/>
              <w:jc w:val="center"/>
              <w:rPr>
                <w:bCs/>
                <w:sz w:val="21"/>
                <w:szCs w:val="21"/>
                <w:highlight w:val="none"/>
              </w:rPr>
            </w:pPr>
            <w:r>
              <w:rPr>
                <w:bCs/>
                <w:sz w:val="21"/>
                <w:szCs w:val="21"/>
                <w:highlight w:val="none"/>
              </w:rPr>
              <w:t>≥2.55</w:t>
            </w:r>
          </w:p>
        </w:tc>
      </w:tr>
      <w:tr w14:paraId="5EAB1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150" w:type="dxa"/>
            <w:tcBorders>
              <w:top w:val="single" w:color="auto" w:sz="4" w:space="0"/>
              <w:left w:val="single" w:color="auto" w:sz="4" w:space="0"/>
              <w:bottom w:val="single" w:color="auto" w:sz="4" w:space="0"/>
              <w:right w:val="single" w:color="auto" w:sz="4" w:space="0"/>
            </w:tcBorders>
            <w:vAlign w:val="center"/>
          </w:tcPr>
          <w:p w14:paraId="2C313799">
            <w:pPr>
              <w:adjustRightInd w:val="0"/>
              <w:snapToGrid w:val="0"/>
              <w:spacing w:line="300" w:lineRule="auto"/>
              <w:ind w:firstLine="0" w:firstLineChars="0"/>
              <w:jc w:val="center"/>
              <w:rPr>
                <w:bCs/>
                <w:sz w:val="21"/>
                <w:szCs w:val="21"/>
                <w:highlight w:val="none"/>
              </w:rPr>
            </w:pPr>
            <w:r>
              <w:rPr>
                <w:rFonts w:hint="eastAsia"/>
                <w:bCs/>
                <w:sz w:val="21"/>
                <w:szCs w:val="21"/>
                <w:highlight w:val="none"/>
              </w:rPr>
              <w:t>真密度</w:t>
            </w:r>
            <w:r>
              <w:rPr>
                <w:rFonts w:ascii="Arial" w:hAnsi="Arial"/>
                <w:bCs/>
                <w:sz w:val="21"/>
                <w:szCs w:val="21"/>
                <w:highlight w:val="none"/>
              </w:rPr>
              <w:t>g/cm3</w:t>
            </w:r>
          </w:p>
        </w:tc>
        <w:tc>
          <w:tcPr>
            <w:tcW w:w="890" w:type="dxa"/>
            <w:tcBorders>
              <w:top w:val="single" w:color="auto" w:sz="4" w:space="0"/>
              <w:left w:val="nil"/>
              <w:bottom w:val="single" w:color="auto" w:sz="4" w:space="0"/>
              <w:right w:val="single" w:color="auto" w:sz="4" w:space="0"/>
            </w:tcBorders>
            <w:vAlign w:val="center"/>
          </w:tcPr>
          <w:p w14:paraId="0BFE7378">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single" w:color="auto" w:sz="4" w:space="0"/>
              <w:bottom w:val="single" w:color="auto" w:sz="4" w:space="0"/>
              <w:right w:val="single" w:color="auto" w:sz="4" w:space="0"/>
            </w:tcBorders>
            <w:vAlign w:val="center"/>
          </w:tcPr>
          <w:p w14:paraId="7544EE3B">
            <w:pPr>
              <w:adjustRightInd w:val="0"/>
              <w:snapToGrid w:val="0"/>
              <w:spacing w:line="300" w:lineRule="auto"/>
              <w:ind w:firstLine="0" w:firstLineChars="0"/>
              <w:jc w:val="center"/>
              <w:rPr>
                <w:rFonts w:ascii="Arial" w:hAnsi="Arial"/>
                <w:bCs/>
                <w:sz w:val="21"/>
                <w:szCs w:val="21"/>
                <w:highlight w:val="none"/>
              </w:rPr>
            </w:pPr>
          </w:p>
        </w:tc>
        <w:tc>
          <w:tcPr>
            <w:tcW w:w="1108" w:type="dxa"/>
            <w:tcBorders>
              <w:top w:val="single" w:color="auto" w:sz="4" w:space="0"/>
              <w:left w:val="nil"/>
              <w:bottom w:val="single" w:color="auto" w:sz="4" w:space="0"/>
              <w:right w:val="single" w:color="auto" w:sz="4" w:space="0"/>
            </w:tcBorders>
          </w:tcPr>
          <w:p w14:paraId="450CBF62">
            <w:pPr>
              <w:adjustRightInd w:val="0"/>
              <w:snapToGrid w:val="0"/>
              <w:spacing w:line="300" w:lineRule="auto"/>
              <w:ind w:firstLine="0" w:firstLineChars="0"/>
              <w:jc w:val="center"/>
              <w:rPr>
                <w:rFonts w:ascii="Arial" w:hAnsi="Arial"/>
                <w:bCs/>
                <w:sz w:val="21"/>
                <w:szCs w:val="21"/>
                <w:highlight w:val="none"/>
              </w:rPr>
            </w:pPr>
          </w:p>
        </w:tc>
        <w:tc>
          <w:tcPr>
            <w:tcW w:w="1108" w:type="dxa"/>
            <w:tcBorders>
              <w:top w:val="single" w:color="auto" w:sz="4" w:space="0"/>
              <w:left w:val="single" w:color="auto" w:sz="4" w:space="0"/>
              <w:bottom w:val="single" w:color="auto" w:sz="4" w:space="0"/>
              <w:right w:val="single" w:color="auto" w:sz="4" w:space="0"/>
            </w:tcBorders>
            <w:vAlign w:val="center"/>
          </w:tcPr>
          <w:p w14:paraId="415F8DF1">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nil"/>
              <w:bottom w:val="single" w:color="auto" w:sz="4" w:space="0"/>
              <w:right w:val="single" w:color="auto" w:sz="4" w:space="0"/>
            </w:tcBorders>
            <w:vAlign w:val="center"/>
          </w:tcPr>
          <w:p w14:paraId="06AD9727">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single" w:color="auto" w:sz="4" w:space="0"/>
              <w:bottom w:val="single" w:color="auto" w:sz="4" w:space="0"/>
              <w:right w:val="single" w:color="auto" w:sz="4" w:space="0"/>
            </w:tcBorders>
            <w:vAlign w:val="center"/>
          </w:tcPr>
          <w:p w14:paraId="4EEAD4D8">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≤2.34</w:t>
            </w:r>
          </w:p>
        </w:tc>
        <w:tc>
          <w:tcPr>
            <w:tcW w:w="890" w:type="dxa"/>
            <w:tcBorders>
              <w:top w:val="single" w:color="auto" w:sz="4" w:space="0"/>
              <w:left w:val="single" w:color="auto" w:sz="4" w:space="0"/>
              <w:bottom w:val="single" w:color="auto" w:sz="4" w:space="0"/>
              <w:right w:val="single" w:color="auto" w:sz="4" w:space="0"/>
            </w:tcBorders>
            <w:vAlign w:val="center"/>
          </w:tcPr>
          <w:p w14:paraId="1106094C">
            <w:pPr>
              <w:adjustRightInd w:val="0"/>
              <w:snapToGrid w:val="0"/>
              <w:spacing w:line="300" w:lineRule="auto"/>
              <w:ind w:firstLine="0" w:firstLineChars="0"/>
              <w:jc w:val="center"/>
              <w:rPr>
                <w:rFonts w:ascii="Arial" w:hAnsi="Arial"/>
                <w:bCs/>
                <w:sz w:val="21"/>
                <w:szCs w:val="21"/>
                <w:highlight w:val="none"/>
              </w:rPr>
            </w:pPr>
          </w:p>
        </w:tc>
        <w:tc>
          <w:tcPr>
            <w:tcW w:w="1062" w:type="dxa"/>
            <w:tcBorders>
              <w:top w:val="single" w:color="auto" w:sz="4" w:space="0"/>
              <w:left w:val="single" w:color="auto" w:sz="4" w:space="0"/>
              <w:bottom w:val="single" w:color="auto" w:sz="4" w:space="0"/>
              <w:right w:val="single" w:color="auto" w:sz="4" w:space="0"/>
            </w:tcBorders>
            <w:vAlign w:val="center"/>
          </w:tcPr>
          <w:p w14:paraId="33230462">
            <w:pPr>
              <w:adjustRightInd w:val="0"/>
              <w:snapToGrid w:val="0"/>
              <w:spacing w:line="300" w:lineRule="auto"/>
              <w:ind w:firstLine="0" w:firstLineChars="0"/>
              <w:jc w:val="center"/>
              <w:rPr>
                <w:bCs/>
                <w:sz w:val="21"/>
                <w:szCs w:val="21"/>
                <w:highlight w:val="none"/>
              </w:rPr>
            </w:pPr>
          </w:p>
        </w:tc>
      </w:tr>
      <w:tr w14:paraId="5AB6B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50" w:type="dxa"/>
            <w:tcBorders>
              <w:top w:val="single" w:color="auto" w:sz="4" w:space="0"/>
              <w:left w:val="single" w:color="auto" w:sz="4" w:space="0"/>
              <w:bottom w:val="single" w:color="auto" w:sz="4" w:space="0"/>
              <w:right w:val="single" w:color="auto" w:sz="4" w:space="0"/>
            </w:tcBorders>
            <w:vAlign w:val="center"/>
          </w:tcPr>
          <w:p w14:paraId="06168F3B">
            <w:pPr>
              <w:adjustRightInd w:val="0"/>
              <w:snapToGrid w:val="0"/>
              <w:spacing w:line="300" w:lineRule="auto"/>
              <w:ind w:firstLine="0" w:firstLineChars="0"/>
              <w:jc w:val="center"/>
              <w:rPr>
                <w:rFonts w:ascii="Arial" w:hAnsi="Arial"/>
                <w:bCs/>
                <w:sz w:val="21"/>
                <w:szCs w:val="21"/>
                <w:highlight w:val="none"/>
              </w:rPr>
            </w:pPr>
            <w:r>
              <w:rPr>
                <w:bCs/>
                <w:sz w:val="21"/>
                <w:szCs w:val="21"/>
                <w:highlight w:val="none"/>
              </w:rPr>
              <w:t>常温耐压强度</w:t>
            </w:r>
          </w:p>
          <w:p w14:paraId="59DC1ED1">
            <w:pPr>
              <w:adjustRightInd w:val="0"/>
              <w:snapToGrid w:val="0"/>
              <w:spacing w:line="300" w:lineRule="auto"/>
              <w:ind w:firstLine="0" w:firstLineChars="0"/>
              <w:jc w:val="center"/>
              <w:rPr>
                <w:rFonts w:ascii="Arial" w:hAnsi="Arial"/>
                <w:bCs/>
                <w:sz w:val="21"/>
                <w:szCs w:val="21"/>
                <w:highlight w:val="none"/>
              </w:rPr>
            </w:pPr>
            <w:r>
              <w:rPr>
                <w:bCs/>
                <w:sz w:val="21"/>
                <w:szCs w:val="21"/>
                <w:highlight w:val="none"/>
              </w:rPr>
              <w:t>，</w:t>
            </w:r>
            <w:r>
              <w:rPr>
                <w:rFonts w:ascii="Arial" w:hAnsi="Arial"/>
                <w:bCs/>
                <w:sz w:val="21"/>
                <w:szCs w:val="21"/>
                <w:highlight w:val="none"/>
              </w:rPr>
              <w:t>MPa</w:t>
            </w:r>
          </w:p>
        </w:tc>
        <w:tc>
          <w:tcPr>
            <w:tcW w:w="890" w:type="dxa"/>
            <w:tcBorders>
              <w:top w:val="single" w:color="auto" w:sz="4" w:space="0"/>
              <w:left w:val="nil"/>
              <w:bottom w:val="single" w:color="auto" w:sz="4" w:space="0"/>
              <w:right w:val="single" w:color="auto" w:sz="4" w:space="0"/>
            </w:tcBorders>
            <w:vAlign w:val="center"/>
          </w:tcPr>
          <w:p w14:paraId="4CEACB55">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≥35</w:t>
            </w:r>
          </w:p>
        </w:tc>
        <w:tc>
          <w:tcPr>
            <w:tcW w:w="890" w:type="dxa"/>
            <w:tcBorders>
              <w:top w:val="single" w:color="auto" w:sz="4" w:space="0"/>
              <w:left w:val="single" w:color="auto" w:sz="4" w:space="0"/>
              <w:bottom w:val="single" w:color="auto" w:sz="4" w:space="0"/>
              <w:right w:val="single" w:color="auto" w:sz="4" w:space="0"/>
            </w:tcBorders>
            <w:vAlign w:val="center"/>
          </w:tcPr>
          <w:p w14:paraId="666B257A">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≥60</w:t>
            </w:r>
          </w:p>
        </w:tc>
        <w:tc>
          <w:tcPr>
            <w:tcW w:w="1108" w:type="dxa"/>
            <w:tcBorders>
              <w:top w:val="single" w:color="auto" w:sz="4" w:space="0"/>
              <w:left w:val="nil"/>
              <w:bottom w:val="single" w:color="auto" w:sz="4" w:space="0"/>
              <w:right w:val="single" w:color="auto" w:sz="4" w:space="0"/>
            </w:tcBorders>
          </w:tcPr>
          <w:p w14:paraId="3B8F3ECC">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≥60（</w:t>
            </w:r>
            <w:r>
              <w:rPr>
                <w:rFonts w:hint="eastAsia" w:ascii="Arial" w:hAnsi="Arial"/>
                <w:bCs/>
                <w:sz w:val="21"/>
                <w:szCs w:val="21"/>
                <w:highlight w:val="none"/>
              </w:rPr>
              <w:t>5</w:t>
            </w:r>
            <w:r>
              <w:rPr>
                <w:rFonts w:ascii="Arial" w:hAnsi="Arial"/>
                <w:bCs/>
                <w:sz w:val="21"/>
                <w:szCs w:val="21"/>
                <w:highlight w:val="none"/>
              </w:rPr>
              <w:t>0）</w:t>
            </w:r>
          </w:p>
        </w:tc>
        <w:tc>
          <w:tcPr>
            <w:tcW w:w="1108" w:type="dxa"/>
            <w:tcBorders>
              <w:top w:val="single" w:color="auto" w:sz="4" w:space="0"/>
              <w:left w:val="single" w:color="auto" w:sz="4" w:space="0"/>
              <w:bottom w:val="single" w:color="auto" w:sz="4" w:space="0"/>
              <w:right w:val="single" w:color="auto" w:sz="4" w:space="0"/>
            </w:tcBorders>
            <w:vAlign w:val="center"/>
          </w:tcPr>
          <w:p w14:paraId="4D6C9CFF">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≥60</w:t>
            </w:r>
          </w:p>
        </w:tc>
        <w:tc>
          <w:tcPr>
            <w:tcW w:w="890" w:type="dxa"/>
            <w:tcBorders>
              <w:top w:val="single" w:color="auto" w:sz="4" w:space="0"/>
              <w:left w:val="nil"/>
              <w:bottom w:val="single" w:color="auto" w:sz="4" w:space="0"/>
              <w:right w:val="single" w:color="auto" w:sz="4" w:space="0"/>
            </w:tcBorders>
            <w:vAlign w:val="center"/>
          </w:tcPr>
          <w:p w14:paraId="763D4739">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≥50</w:t>
            </w:r>
          </w:p>
        </w:tc>
        <w:tc>
          <w:tcPr>
            <w:tcW w:w="890" w:type="dxa"/>
            <w:tcBorders>
              <w:top w:val="single" w:color="auto" w:sz="4" w:space="0"/>
              <w:left w:val="single" w:color="auto" w:sz="4" w:space="0"/>
              <w:bottom w:val="single" w:color="auto" w:sz="4" w:space="0"/>
              <w:right w:val="single" w:color="auto" w:sz="4" w:space="0"/>
            </w:tcBorders>
            <w:vAlign w:val="center"/>
          </w:tcPr>
          <w:p w14:paraId="6E9F655B">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≥40</w:t>
            </w:r>
            <w:r>
              <w:rPr>
                <w:bCs/>
                <w:sz w:val="21"/>
                <w:szCs w:val="21"/>
                <w:highlight w:val="none"/>
              </w:rPr>
              <w:t>（</w:t>
            </w:r>
            <w:r>
              <w:rPr>
                <w:rFonts w:ascii="Arial" w:hAnsi="Arial"/>
                <w:bCs/>
                <w:sz w:val="21"/>
                <w:szCs w:val="21"/>
                <w:highlight w:val="none"/>
              </w:rPr>
              <w:t>3</w:t>
            </w:r>
            <w:r>
              <w:rPr>
                <w:rFonts w:hint="eastAsia" w:ascii="Arial" w:hAnsi="Arial"/>
                <w:bCs/>
                <w:sz w:val="21"/>
                <w:szCs w:val="21"/>
                <w:highlight w:val="none"/>
              </w:rPr>
              <w:t>0</w:t>
            </w:r>
            <w:r>
              <w:rPr>
                <w:bCs/>
                <w:sz w:val="21"/>
                <w:szCs w:val="21"/>
                <w:highlight w:val="none"/>
              </w:rPr>
              <w:t>）</w:t>
            </w:r>
          </w:p>
        </w:tc>
        <w:tc>
          <w:tcPr>
            <w:tcW w:w="890" w:type="dxa"/>
            <w:tcBorders>
              <w:top w:val="single" w:color="auto" w:sz="4" w:space="0"/>
              <w:left w:val="single" w:color="auto" w:sz="4" w:space="0"/>
              <w:bottom w:val="single" w:color="auto" w:sz="4" w:space="0"/>
              <w:right w:val="single" w:color="auto" w:sz="4" w:space="0"/>
            </w:tcBorders>
            <w:vAlign w:val="center"/>
          </w:tcPr>
          <w:p w14:paraId="6658E634">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≥50（40）</w:t>
            </w:r>
          </w:p>
        </w:tc>
        <w:tc>
          <w:tcPr>
            <w:tcW w:w="1062" w:type="dxa"/>
            <w:tcBorders>
              <w:top w:val="single" w:color="auto" w:sz="4" w:space="0"/>
              <w:left w:val="single" w:color="auto" w:sz="4" w:space="0"/>
              <w:bottom w:val="single" w:color="auto" w:sz="4" w:space="0"/>
              <w:right w:val="single" w:color="auto" w:sz="4" w:space="0"/>
            </w:tcBorders>
            <w:vAlign w:val="center"/>
          </w:tcPr>
          <w:p w14:paraId="5AEFFD63">
            <w:pPr>
              <w:adjustRightInd w:val="0"/>
              <w:snapToGrid w:val="0"/>
              <w:spacing w:line="300" w:lineRule="auto"/>
              <w:ind w:firstLine="0" w:firstLineChars="0"/>
              <w:jc w:val="center"/>
              <w:rPr>
                <w:bCs/>
                <w:sz w:val="21"/>
                <w:szCs w:val="21"/>
                <w:highlight w:val="none"/>
              </w:rPr>
            </w:pPr>
            <w:r>
              <w:rPr>
                <w:bCs/>
                <w:sz w:val="21"/>
                <w:szCs w:val="21"/>
                <w:highlight w:val="none"/>
              </w:rPr>
              <w:t>≥60</w:t>
            </w:r>
          </w:p>
        </w:tc>
      </w:tr>
      <w:tr w14:paraId="2976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150" w:type="dxa"/>
            <w:tcBorders>
              <w:top w:val="single" w:color="auto" w:sz="4" w:space="0"/>
              <w:left w:val="single" w:color="auto" w:sz="4" w:space="0"/>
              <w:bottom w:val="single" w:color="auto" w:sz="4" w:space="0"/>
              <w:right w:val="single" w:color="auto" w:sz="4" w:space="0"/>
            </w:tcBorders>
            <w:vAlign w:val="center"/>
          </w:tcPr>
          <w:p w14:paraId="62999F1E">
            <w:pPr>
              <w:adjustRightInd w:val="0"/>
              <w:snapToGrid w:val="0"/>
              <w:spacing w:line="300" w:lineRule="auto"/>
              <w:ind w:firstLine="0" w:firstLineChars="0"/>
              <w:jc w:val="center"/>
              <w:rPr>
                <w:rFonts w:ascii="Arial" w:hAnsi="Arial"/>
                <w:bCs/>
                <w:sz w:val="21"/>
                <w:szCs w:val="21"/>
                <w:highlight w:val="none"/>
              </w:rPr>
            </w:pPr>
            <w:r>
              <w:rPr>
                <w:bCs/>
                <w:sz w:val="21"/>
                <w:szCs w:val="21"/>
                <w:highlight w:val="none"/>
              </w:rPr>
              <w:t>荷重软化开始温度</w:t>
            </w:r>
          </w:p>
          <w:p w14:paraId="461D3442">
            <w:pPr>
              <w:adjustRightInd w:val="0"/>
              <w:snapToGrid w:val="0"/>
              <w:spacing w:line="300" w:lineRule="auto"/>
              <w:ind w:firstLine="0" w:firstLineChars="0"/>
              <w:jc w:val="center"/>
              <w:rPr>
                <w:rFonts w:ascii="Arial" w:hAnsi="Arial"/>
                <w:bCs/>
                <w:sz w:val="21"/>
                <w:szCs w:val="21"/>
                <w:highlight w:val="none"/>
              </w:rPr>
            </w:pPr>
            <w:r>
              <w:rPr>
                <w:bCs/>
                <w:sz w:val="21"/>
                <w:szCs w:val="21"/>
                <w:highlight w:val="none"/>
              </w:rPr>
              <w:t>，</w:t>
            </w:r>
            <w:r>
              <w:rPr>
                <w:rFonts w:hint="eastAsia"/>
                <w:bCs/>
                <w:sz w:val="21"/>
                <w:szCs w:val="21"/>
                <w:highlight w:val="none"/>
              </w:rPr>
              <w:t>℃</w:t>
            </w:r>
            <w:r>
              <w:rPr>
                <w:bCs/>
                <w:sz w:val="21"/>
                <w:szCs w:val="21"/>
                <w:highlight w:val="none"/>
              </w:rPr>
              <w:t>（</w:t>
            </w:r>
            <w:r>
              <w:rPr>
                <w:rFonts w:ascii="Arial" w:hAnsi="Arial"/>
                <w:bCs/>
                <w:sz w:val="21"/>
                <w:szCs w:val="21"/>
                <w:highlight w:val="none"/>
              </w:rPr>
              <w:t>0.2MPa</w:t>
            </w:r>
            <w:r>
              <w:rPr>
                <w:bCs/>
                <w:sz w:val="21"/>
                <w:szCs w:val="21"/>
                <w:highlight w:val="none"/>
              </w:rPr>
              <w:t>）</w:t>
            </w:r>
          </w:p>
        </w:tc>
        <w:tc>
          <w:tcPr>
            <w:tcW w:w="890" w:type="dxa"/>
            <w:tcBorders>
              <w:top w:val="single" w:color="auto" w:sz="4" w:space="0"/>
              <w:left w:val="nil"/>
              <w:bottom w:val="single" w:color="auto" w:sz="4" w:space="0"/>
              <w:right w:val="single" w:color="auto" w:sz="4" w:space="0"/>
            </w:tcBorders>
            <w:vAlign w:val="center"/>
          </w:tcPr>
          <w:p w14:paraId="47132E7D">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≥1410</w:t>
            </w:r>
          </w:p>
        </w:tc>
        <w:tc>
          <w:tcPr>
            <w:tcW w:w="890" w:type="dxa"/>
            <w:tcBorders>
              <w:top w:val="single" w:color="auto" w:sz="4" w:space="0"/>
              <w:left w:val="single" w:color="auto" w:sz="4" w:space="0"/>
              <w:bottom w:val="single" w:color="auto" w:sz="4" w:space="0"/>
              <w:right w:val="single" w:color="auto" w:sz="4" w:space="0"/>
            </w:tcBorders>
            <w:vAlign w:val="center"/>
          </w:tcPr>
          <w:p w14:paraId="06021EBE">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≥1500</w:t>
            </w:r>
          </w:p>
        </w:tc>
        <w:tc>
          <w:tcPr>
            <w:tcW w:w="1108" w:type="dxa"/>
            <w:tcBorders>
              <w:top w:val="single" w:color="auto" w:sz="4" w:space="0"/>
              <w:left w:val="nil"/>
              <w:bottom w:val="single" w:color="auto" w:sz="4" w:space="0"/>
              <w:right w:val="single" w:color="auto" w:sz="4" w:space="0"/>
            </w:tcBorders>
          </w:tcPr>
          <w:p w14:paraId="2B0574D8">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≥1550</w:t>
            </w:r>
          </w:p>
        </w:tc>
        <w:tc>
          <w:tcPr>
            <w:tcW w:w="1108" w:type="dxa"/>
            <w:tcBorders>
              <w:top w:val="single" w:color="auto" w:sz="4" w:space="0"/>
              <w:left w:val="single" w:color="auto" w:sz="4" w:space="0"/>
              <w:bottom w:val="single" w:color="auto" w:sz="4" w:space="0"/>
              <w:right w:val="single" w:color="auto" w:sz="4" w:space="0"/>
            </w:tcBorders>
            <w:vAlign w:val="center"/>
          </w:tcPr>
          <w:p w14:paraId="025B0B81">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≥1550</w:t>
            </w:r>
          </w:p>
        </w:tc>
        <w:tc>
          <w:tcPr>
            <w:tcW w:w="890" w:type="dxa"/>
            <w:tcBorders>
              <w:top w:val="single" w:color="auto" w:sz="4" w:space="0"/>
              <w:left w:val="nil"/>
              <w:bottom w:val="single" w:color="auto" w:sz="4" w:space="0"/>
              <w:right w:val="single" w:color="auto" w:sz="4" w:space="0"/>
            </w:tcBorders>
            <w:vAlign w:val="center"/>
          </w:tcPr>
          <w:p w14:paraId="728784F6">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≥1520</w:t>
            </w:r>
          </w:p>
        </w:tc>
        <w:tc>
          <w:tcPr>
            <w:tcW w:w="890" w:type="dxa"/>
            <w:tcBorders>
              <w:top w:val="single" w:color="auto" w:sz="4" w:space="0"/>
              <w:left w:val="single" w:color="auto" w:sz="4" w:space="0"/>
              <w:bottom w:val="single" w:color="auto" w:sz="4" w:space="0"/>
              <w:right w:val="single" w:color="auto" w:sz="4" w:space="0"/>
            </w:tcBorders>
            <w:vAlign w:val="center"/>
          </w:tcPr>
          <w:p w14:paraId="2D597E15">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w:t>
            </w:r>
            <w:r>
              <w:rPr>
                <w:rFonts w:hint="eastAsia" w:ascii="Arial" w:hAnsi="Arial"/>
                <w:bCs/>
                <w:sz w:val="21"/>
                <w:szCs w:val="21"/>
                <w:highlight w:val="none"/>
              </w:rPr>
              <w:t>1650</w:t>
            </w:r>
          </w:p>
        </w:tc>
        <w:tc>
          <w:tcPr>
            <w:tcW w:w="890" w:type="dxa"/>
            <w:tcBorders>
              <w:top w:val="single" w:color="auto" w:sz="4" w:space="0"/>
              <w:left w:val="single" w:color="auto" w:sz="4" w:space="0"/>
              <w:bottom w:val="single" w:color="auto" w:sz="4" w:space="0"/>
              <w:right w:val="single" w:color="auto" w:sz="4" w:space="0"/>
            </w:tcBorders>
            <w:vAlign w:val="center"/>
          </w:tcPr>
          <w:p w14:paraId="06515E44">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≥1420</w:t>
            </w:r>
          </w:p>
        </w:tc>
        <w:tc>
          <w:tcPr>
            <w:tcW w:w="1062" w:type="dxa"/>
            <w:tcBorders>
              <w:top w:val="single" w:color="auto" w:sz="4" w:space="0"/>
              <w:left w:val="single" w:color="auto" w:sz="4" w:space="0"/>
              <w:bottom w:val="single" w:color="auto" w:sz="4" w:space="0"/>
              <w:right w:val="single" w:color="auto" w:sz="4" w:space="0"/>
            </w:tcBorders>
            <w:vAlign w:val="center"/>
          </w:tcPr>
          <w:p w14:paraId="03313F87">
            <w:pPr>
              <w:adjustRightInd w:val="0"/>
              <w:snapToGrid w:val="0"/>
              <w:spacing w:line="300" w:lineRule="auto"/>
              <w:ind w:firstLine="0" w:firstLineChars="0"/>
              <w:jc w:val="center"/>
              <w:rPr>
                <w:bCs/>
                <w:sz w:val="21"/>
                <w:szCs w:val="21"/>
                <w:highlight w:val="none"/>
              </w:rPr>
            </w:pPr>
            <w:r>
              <w:rPr>
                <w:bCs/>
                <w:sz w:val="21"/>
                <w:szCs w:val="21"/>
                <w:highlight w:val="none"/>
              </w:rPr>
              <w:t>≥1600</w:t>
            </w:r>
          </w:p>
        </w:tc>
      </w:tr>
      <w:tr w14:paraId="299F6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150" w:type="dxa"/>
            <w:tcBorders>
              <w:top w:val="single" w:color="auto" w:sz="4" w:space="0"/>
              <w:left w:val="single" w:color="auto" w:sz="4" w:space="0"/>
              <w:bottom w:val="single" w:color="auto" w:sz="4" w:space="0"/>
              <w:right w:val="single" w:color="auto" w:sz="4" w:space="0"/>
            </w:tcBorders>
            <w:vAlign w:val="center"/>
          </w:tcPr>
          <w:p w14:paraId="14CE84CB">
            <w:pPr>
              <w:adjustRightInd w:val="0"/>
              <w:snapToGrid w:val="0"/>
              <w:spacing w:line="300" w:lineRule="auto"/>
              <w:ind w:firstLine="0" w:firstLineChars="0"/>
              <w:jc w:val="center"/>
              <w:rPr>
                <w:rFonts w:ascii="Arial" w:hAnsi="Arial"/>
                <w:sz w:val="21"/>
                <w:szCs w:val="21"/>
                <w:highlight w:val="none"/>
              </w:rPr>
            </w:pPr>
            <w:r>
              <w:rPr>
                <w:bCs/>
                <w:sz w:val="21"/>
                <w:szCs w:val="21"/>
                <w:highlight w:val="none"/>
              </w:rPr>
              <w:t>重烧线变化</w:t>
            </w:r>
            <w:r>
              <w:rPr>
                <w:rFonts w:ascii="Arial" w:hAnsi="Arial"/>
                <w:sz w:val="21"/>
                <w:szCs w:val="21"/>
                <w:highlight w:val="none"/>
              </w:rPr>
              <w:t xml:space="preserve"> </w:t>
            </w:r>
          </w:p>
          <w:p w14:paraId="4DCA80A8">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w:t>
            </w:r>
          </w:p>
        </w:tc>
        <w:tc>
          <w:tcPr>
            <w:tcW w:w="890" w:type="dxa"/>
            <w:tcBorders>
              <w:top w:val="single" w:color="auto" w:sz="4" w:space="0"/>
              <w:left w:val="nil"/>
              <w:bottom w:val="single" w:color="auto" w:sz="4" w:space="0"/>
              <w:right w:val="single" w:color="auto" w:sz="4" w:space="0"/>
            </w:tcBorders>
            <w:vAlign w:val="center"/>
          </w:tcPr>
          <w:p w14:paraId="454C2A73">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-0.4~0</w:t>
            </w:r>
          </w:p>
          <w:p w14:paraId="193388A4">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1400</w:t>
            </w:r>
            <w:r>
              <w:rPr>
                <w:rFonts w:hint="eastAsia" w:cs="Times New Roman"/>
                <w:bCs/>
                <w:sz w:val="21"/>
                <w:szCs w:val="21"/>
                <w:highlight w:val="none"/>
              </w:rPr>
              <w:t>℃</w:t>
            </w:r>
            <w:r>
              <w:rPr>
                <w:rFonts w:ascii="Arial" w:hAnsi="Arial"/>
                <w:bCs/>
                <w:sz w:val="21"/>
                <w:szCs w:val="21"/>
                <w:highlight w:val="none"/>
              </w:rPr>
              <w:t>×2h</w:t>
            </w:r>
          </w:p>
        </w:tc>
        <w:tc>
          <w:tcPr>
            <w:tcW w:w="890" w:type="dxa"/>
            <w:tcBorders>
              <w:top w:val="single" w:color="auto" w:sz="4" w:space="0"/>
              <w:left w:val="single" w:color="auto" w:sz="4" w:space="0"/>
              <w:bottom w:val="single" w:color="auto" w:sz="4" w:space="0"/>
              <w:right w:val="single" w:color="auto" w:sz="4" w:space="0"/>
            </w:tcBorders>
            <w:vAlign w:val="center"/>
          </w:tcPr>
          <w:p w14:paraId="396D7D0E">
            <w:pPr>
              <w:adjustRightInd w:val="0"/>
              <w:snapToGrid w:val="0"/>
              <w:spacing w:line="300" w:lineRule="auto"/>
              <w:ind w:firstLine="0" w:firstLineChars="0"/>
              <w:jc w:val="center"/>
              <w:rPr>
                <w:rFonts w:ascii="Arial" w:hAnsi="Arial"/>
                <w:bCs/>
                <w:sz w:val="21"/>
                <w:szCs w:val="21"/>
                <w:highlight w:val="none"/>
              </w:rPr>
            </w:pPr>
            <w:r>
              <w:rPr>
                <w:rFonts w:hint="eastAsia" w:ascii="Arial" w:hAnsi="Arial"/>
                <w:bCs/>
                <w:sz w:val="21"/>
                <w:szCs w:val="21"/>
                <w:highlight w:val="none"/>
              </w:rPr>
              <w:t>-0.</w:t>
            </w:r>
            <w:r>
              <w:rPr>
                <w:rFonts w:ascii="Arial" w:hAnsi="Arial"/>
                <w:bCs/>
                <w:sz w:val="21"/>
                <w:szCs w:val="21"/>
                <w:highlight w:val="none"/>
              </w:rPr>
              <w:t>2~-</w:t>
            </w:r>
            <w:r>
              <w:rPr>
                <w:rFonts w:hint="eastAsia" w:ascii="Arial" w:hAnsi="Arial"/>
                <w:bCs/>
                <w:sz w:val="21"/>
                <w:szCs w:val="21"/>
                <w:highlight w:val="none"/>
              </w:rPr>
              <w:t>0</w:t>
            </w:r>
            <w:r>
              <w:rPr>
                <w:rFonts w:ascii="Arial" w:hAnsi="Arial"/>
                <w:bCs/>
                <w:sz w:val="21"/>
                <w:szCs w:val="21"/>
                <w:highlight w:val="none"/>
              </w:rPr>
              <w:t>.2</w:t>
            </w:r>
          </w:p>
          <w:p w14:paraId="1567DFA0">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1500</w:t>
            </w:r>
            <w:r>
              <w:rPr>
                <w:rFonts w:hint="eastAsia" w:cs="Times New Roman"/>
                <w:bCs/>
                <w:sz w:val="21"/>
                <w:szCs w:val="21"/>
                <w:highlight w:val="none"/>
              </w:rPr>
              <w:t>℃</w:t>
            </w:r>
            <w:r>
              <w:rPr>
                <w:rFonts w:ascii="Arial" w:hAnsi="Arial"/>
                <w:bCs/>
                <w:sz w:val="21"/>
                <w:szCs w:val="21"/>
                <w:highlight w:val="none"/>
              </w:rPr>
              <w:t>×2h</w:t>
            </w:r>
          </w:p>
        </w:tc>
        <w:tc>
          <w:tcPr>
            <w:tcW w:w="1108" w:type="dxa"/>
            <w:tcBorders>
              <w:top w:val="single" w:color="auto" w:sz="4" w:space="0"/>
              <w:left w:val="nil"/>
              <w:bottom w:val="single" w:color="auto" w:sz="4" w:space="0"/>
              <w:right w:val="single" w:color="auto" w:sz="4" w:space="0"/>
            </w:tcBorders>
            <w:vAlign w:val="center"/>
          </w:tcPr>
          <w:p w14:paraId="1829082B">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-0.2~0.2</w:t>
            </w:r>
          </w:p>
          <w:p w14:paraId="5668EB6B">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1400</w:t>
            </w:r>
            <w:r>
              <w:rPr>
                <w:rFonts w:hint="eastAsia" w:cs="Times New Roman"/>
                <w:bCs/>
                <w:sz w:val="21"/>
                <w:szCs w:val="21"/>
                <w:highlight w:val="none"/>
              </w:rPr>
              <w:t>℃</w:t>
            </w:r>
            <w:r>
              <w:rPr>
                <w:rFonts w:ascii="Arial" w:hAnsi="Arial"/>
                <w:bCs/>
                <w:sz w:val="21"/>
                <w:szCs w:val="21"/>
                <w:highlight w:val="none"/>
              </w:rPr>
              <w:t>×2h</w:t>
            </w:r>
          </w:p>
        </w:tc>
        <w:tc>
          <w:tcPr>
            <w:tcW w:w="1108" w:type="dxa"/>
            <w:tcBorders>
              <w:top w:val="single" w:color="auto" w:sz="4" w:space="0"/>
              <w:left w:val="single" w:color="auto" w:sz="4" w:space="0"/>
              <w:bottom w:val="single" w:color="auto" w:sz="4" w:space="0"/>
              <w:right w:val="single" w:color="auto" w:sz="4" w:space="0"/>
            </w:tcBorders>
            <w:vAlign w:val="center"/>
          </w:tcPr>
          <w:p w14:paraId="78969AD5">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-0.1~0.2</w:t>
            </w:r>
          </w:p>
          <w:p w14:paraId="7E2F85DB">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1550</w:t>
            </w:r>
            <w:r>
              <w:rPr>
                <w:rFonts w:hint="eastAsia" w:cs="Times New Roman"/>
                <w:bCs/>
                <w:sz w:val="21"/>
                <w:szCs w:val="21"/>
                <w:highlight w:val="none"/>
              </w:rPr>
              <w:t>℃</w:t>
            </w:r>
            <w:r>
              <w:rPr>
                <w:rFonts w:ascii="Arial" w:hAnsi="Arial"/>
                <w:bCs/>
                <w:sz w:val="21"/>
                <w:szCs w:val="21"/>
                <w:highlight w:val="none"/>
              </w:rPr>
              <w:t>×2h</w:t>
            </w:r>
          </w:p>
        </w:tc>
        <w:tc>
          <w:tcPr>
            <w:tcW w:w="890" w:type="dxa"/>
            <w:tcBorders>
              <w:top w:val="single" w:color="auto" w:sz="4" w:space="0"/>
              <w:left w:val="nil"/>
              <w:bottom w:val="single" w:color="auto" w:sz="4" w:space="0"/>
              <w:right w:val="single" w:color="auto" w:sz="4" w:space="0"/>
            </w:tcBorders>
            <w:vAlign w:val="center"/>
          </w:tcPr>
          <w:p w14:paraId="0DEDF3AC">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-0.2~0.2</w:t>
            </w:r>
          </w:p>
          <w:p w14:paraId="64E41213">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1400</w:t>
            </w:r>
            <w:r>
              <w:rPr>
                <w:rFonts w:hint="eastAsia" w:cs="Times New Roman"/>
                <w:bCs/>
                <w:sz w:val="21"/>
                <w:szCs w:val="21"/>
                <w:highlight w:val="none"/>
              </w:rPr>
              <w:t>℃</w:t>
            </w:r>
            <w:r>
              <w:rPr>
                <w:rFonts w:ascii="Arial" w:hAnsi="Arial"/>
                <w:bCs/>
                <w:sz w:val="21"/>
                <w:szCs w:val="21"/>
                <w:highlight w:val="none"/>
              </w:rPr>
              <w:t>×2h</w:t>
            </w:r>
          </w:p>
        </w:tc>
        <w:tc>
          <w:tcPr>
            <w:tcW w:w="890" w:type="dxa"/>
            <w:tcBorders>
              <w:top w:val="single" w:color="auto" w:sz="4" w:space="0"/>
              <w:left w:val="single" w:color="auto" w:sz="4" w:space="0"/>
              <w:bottom w:val="single" w:color="auto" w:sz="4" w:space="0"/>
              <w:right w:val="single" w:color="auto" w:sz="4" w:space="0"/>
            </w:tcBorders>
            <w:vAlign w:val="center"/>
          </w:tcPr>
          <w:p w14:paraId="1BEBDD09">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single" w:color="auto" w:sz="4" w:space="0"/>
              <w:bottom w:val="single" w:color="auto" w:sz="4" w:space="0"/>
              <w:right w:val="single" w:color="auto" w:sz="4" w:space="0"/>
            </w:tcBorders>
            <w:vAlign w:val="center"/>
          </w:tcPr>
          <w:p w14:paraId="4FCDE7FC">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0.1~0.3</w:t>
            </w:r>
          </w:p>
          <w:p w14:paraId="4565CD55">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1400</w:t>
            </w:r>
            <w:r>
              <w:rPr>
                <w:rFonts w:hint="eastAsia" w:cs="Times New Roman"/>
                <w:bCs/>
                <w:sz w:val="21"/>
                <w:szCs w:val="21"/>
                <w:highlight w:val="none"/>
              </w:rPr>
              <w:t>℃</w:t>
            </w:r>
            <w:r>
              <w:rPr>
                <w:rFonts w:ascii="Arial" w:hAnsi="Arial"/>
                <w:bCs/>
                <w:sz w:val="21"/>
                <w:szCs w:val="21"/>
                <w:highlight w:val="none"/>
              </w:rPr>
              <w:t>×2h</w:t>
            </w:r>
          </w:p>
        </w:tc>
        <w:tc>
          <w:tcPr>
            <w:tcW w:w="1062" w:type="dxa"/>
            <w:tcBorders>
              <w:top w:val="single" w:color="auto" w:sz="4" w:space="0"/>
              <w:left w:val="single" w:color="auto" w:sz="4" w:space="0"/>
              <w:bottom w:val="single" w:color="auto" w:sz="4" w:space="0"/>
              <w:right w:val="single" w:color="auto" w:sz="4" w:space="0"/>
            </w:tcBorders>
            <w:vAlign w:val="center"/>
          </w:tcPr>
          <w:p w14:paraId="1CE1133B">
            <w:pPr>
              <w:adjustRightInd w:val="0"/>
              <w:snapToGrid w:val="0"/>
              <w:spacing w:line="300" w:lineRule="auto"/>
              <w:ind w:firstLine="0" w:firstLineChars="0"/>
              <w:jc w:val="center"/>
              <w:rPr>
                <w:bCs/>
                <w:sz w:val="21"/>
                <w:szCs w:val="21"/>
                <w:highlight w:val="none"/>
              </w:rPr>
            </w:pPr>
            <w:r>
              <w:rPr>
                <w:bCs/>
                <w:sz w:val="21"/>
                <w:szCs w:val="21"/>
                <w:highlight w:val="none"/>
              </w:rPr>
              <w:t>-0.1~0.2</w:t>
            </w:r>
          </w:p>
          <w:p w14:paraId="53B8CD4F">
            <w:pPr>
              <w:adjustRightInd w:val="0"/>
              <w:snapToGrid w:val="0"/>
              <w:spacing w:line="300" w:lineRule="auto"/>
              <w:ind w:firstLine="0" w:firstLineChars="0"/>
              <w:jc w:val="center"/>
              <w:rPr>
                <w:bCs/>
                <w:sz w:val="21"/>
                <w:szCs w:val="21"/>
                <w:highlight w:val="none"/>
              </w:rPr>
            </w:pPr>
            <w:r>
              <w:rPr>
                <w:bCs/>
                <w:sz w:val="21"/>
                <w:szCs w:val="21"/>
                <w:highlight w:val="none"/>
              </w:rPr>
              <w:t>1500</w:t>
            </w:r>
            <w:r>
              <w:rPr>
                <w:rFonts w:hint="eastAsia" w:cs="Times New Roman"/>
                <w:bCs/>
                <w:sz w:val="21"/>
                <w:szCs w:val="21"/>
                <w:highlight w:val="none"/>
              </w:rPr>
              <w:t>℃</w:t>
            </w:r>
            <w:r>
              <w:rPr>
                <w:bCs/>
                <w:sz w:val="21"/>
                <w:szCs w:val="21"/>
                <w:highlight w:val="none"/>
              </w:rPr>
              <w:t>×4h</w:t>
            </w:r>
          </w:p>
        </w:tc>
      </w:tr>
      <w:tr w14:paraId="4C41A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50" w:type="dxa"/>
            <w:tcBorders>
              <w:top w:val="single" w:color="auto" w:sz="4" w:space="0"/>
              <w:left w:val="single" w:color="auto" w:sz="4" w:space="0"/>
              <w:bottom w:val="single" w:color="auto" w:sz="4" w:space="0"/>
              <w:right w:val="single" w:color="auto" w:sz="4" w:space="0"/>
            </w:tcBorders>
            <w:vAlign w:val="center"/>
          </w:tcPr>
          <w:p w14:paraId="0B4C0C56">
            <w:pPr>
              <w:adjustRightInd w:val="0"/>
              <w:snapToGrid w:val="0"/>
              <w:spacing w:line="300" w:lineRule="auto"/>
              <w:ind w:firstLine="0" w:firstLineChars="0"/>
              <w:jc w:val="center"/>
              <w:rPr>
                <w:rFonts w:ascii="Arial" w:hAnsi="Arial"/>
                <w:bCs/>
                <w:sz w:val="21"/>
                <w:szCs w:val="21"/>
                <w:highlight w:val="none"/>
              </w:rPr>
            </w:pPr>
            <w:r>
              <w:rPr>
                <w:bCs/>
                <w:sz w:val="21"/>
                <w:szCs w:val="21"/>
                <w:highlight w:val="none"/>
              </w:rPr>
              <w:t>蠕变率</w:t>
            </w:r>
            <w:r>
              <w:rPr>
                <w:rFonts w:ascii="Arial" w:hAnsi="Arial"/>
                <w:sz w:val="21"/>
                <w:szCs w:val="21"/>
                <w:highlight w:val="none"/>
              </w:rPr>
              <w:t xml:space="preserve"> </w:t>
            </w:r>
            <w:r>
              <w:rPr>
                <w:bCs/>
                <w:sz w:val="21"/>
                <w:szCs w:val="21"/>
                <w:highlight w:val="none"/>
              </w:rPr>
              <w:t>，</w:t>
            </w:r>
            <w:r>
              <w:rPr>
                <w:rFonts w:ascii="Arial" w:hAnsi="Arial"/>
                <w:bCs/>
                <w:sz w:val="21"/>
                <w:szCs w:val="21"/>
                <w:highlight w:val="none"/>
              </w:rPr>
              <w:t>%</w:t>
            </w:r>
            <w:r>
              <w:rPr>
                <w:bCs/>
                <w:sz w:val="21"/>
                <w:szCs w:val="21"/>
                <w:highlight w:val="none"/>
              </w:rPr>
              <w:t>（</w:t>
            </w:r>
            <w:r>
              <w:rPr>
                <w:rFonts w:ascii="Arial" w:hAnsi="Arial"/>
                <w:bCs/>
                <w:sz w:val="21"/>
                <w:szCs w:val="21"/>
                <w:highlight w:val="none"/>
              </w:rPr>
              <w:t>0.2MPa</w:t>
            </w:r>
            <w:r>
              <w:rPr>
                <w:bCs/>
                <w:sz w:val="21"/>
                <w:szCs w:val="21"/>
                <w:highlight w:val="none"/>
              </w:rPr>
              <w:t>）</w:t>
            </w:r>
          </w:p>
        </w:tc>
        <w:tc>
          <w:tcPr>
            <w:tcW w:w="890" w:type="dxa"/>
            <w:tcBorders>
              <w:top w:val="single" w:color="auto" w:sz="4" w:space="0"/>
              <w:left w:val="nil"/>
              <w:bottom w:val="single" w:color="auto" w:sz="4" w:space="0"/>
              <w:right w:val="single" w:color="auto" w:sz="4" w:space="0"/>
            </w:tcBorders>
            <w:vAlign w:val="center"/>
          </w:tcPr>
          <w:p w14:paraId="02BB7FB2">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single" w:color="auto" w:sz="4" w:space="0"/>
              <w:bottom w:val="single" w:color="auto" w:sz="4" w:space="0"/>
              <w:right w:val="single" w:color="auto" w:sz="4" w:space="0"/>
            </w:tcBorders>
            <w:vAlign w:val="center"/>
          </w:tcPr>
          <w:p w14:paraId="439CBC93">
            <w:pPr>
              <w:adjustRightInd w:val="0"/>
              <w:snapToGrid w:val="0"/>
              <w:spacing w:line="300" w:lineRule="auto"/>
              <w:ind w:firstLine="0" w:firstLineChars="0"/>
              <w:jc w:val="center"/>
              <w:rPr>
                <w:rFonts w:ascii="Arial" w:hAnsi="Arial"/>
                <w:bCs/>
                <w:sz w:val="21"/>
                <w:szCs w:val="21"/>
                <w:highlight w:val="none"/>
              </w:rPr>
            </w:pPr>
          </w:p>
        </w:tc>
        <w:tc>
          <w:tcPr>
            <w:tcW w:w="1108" w:type="dxa"/>
            <w:tcBorders>
              <w:top w:val="single" w:color="auto" w:sz="4" w:space="0"/>
              <w:left w:val="nil"/>
              <w:bottom w:val="single" w:color="auto" w:sz="4" w:space="0"/>
              <w:right w:val="single" w:color="auto" w:sz="4" w:space="0"/>
            </w:tcBorders>
          </w:tcPr>
          <w:p w14:paraId="15541017">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≤0.2</w:t>
            </w:r>
          </w:p>
          <w:p w14:paraId="2860DFDB">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1400</w:t>
            </w:r>
            <w:r>
              <w:rPr>
                <w:rFonts w:hint="eastAsia" w:cs="Times New Roman"/>
                <w:bCs/>
                <w:sz w:val="21"/>
                <w:szCs w:val="21"/>
                <w:highlight w:val="none"/>
              </w:rPr>
              <w:t>℃</w:t>
            </w:r>
          </w:p>
        </w:tc>
        <w:tc>
          <w:tcPr>
            <w:tcW w:w="1108" w:type="dxa"/>
            <w:tcBorders>
              <w:top w:val="single" w:color="auto" w:sz="4" w:space="0"/>
              <w:left w:val="single" w:color="auto" w:sz="4" w:space="0"/>
              <w:bottom w:val="single" w:color="auto" w:sz="4" w:space="0"/>
              <w:right w:val="single" w:color="auto" w:sz="4" w:space="0"/>
            </w:tcBorders>
            <w:vAlign w:val="center"/>
          </w:tcPr>
          <w:p w14:paraId="1B20C170">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≤0.8</w:t>
            </w:r>
          </w:p>
          <w:p w14:paraId="52853BAF">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1450</w:t>
            </w:r>
            <w:r>
              <w:rPr>
                <w:rFonts w:hint="eastAsia" w:cs="Times New Roman"/>
                <w:bCs/>
                <w:sz w:val="21"/>
                <w:szCs w:val="21"/>
                <w:highlight w:val="none"/>
              </w:rPr>
              <w:t>℃</w:t>
            </w:r>
            <w:r>
              <w:rPr>
                <w:rFonts w:ascii="Arial" w:hAnsi="Arial"/>
                <w:bCs/>
                <w:sz w:val="21"/>
                <w:szCs w:val="21"/>
                <w:highlight w:val="none"/>
              </w:rPr>
              <w:t>×50h</w:t>
            </w:r>
          </w:p>
        </w:tc>
        <w:tc>
          <w:tcPr>
            <w:tcW w:w="890" w:type="dxa"/>
            <w:tcBorders>
              <w:top w:val="single" w:color="auto" w:sz="4" w:space="0"/>
              <w:left w:val="nil"/>
              <w:bottom w:val="single" w:color="auto" w:sz="4" w:space="0"/>
              <w:right w:val="single" w:color="auto" w:sz="4" w:space="0"/>
            </w:tcBorders>
            <w:vAlign w:val="center"/>
          </w:tcPr>
          <w:p w14:paraId="6753D9B4">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≤1.0</w:t>
            </w:r>
          </w:p>
          <w:p w14:paraId="60EB8E28">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1350</w:t>
            </w:r>
            <w:r>
              <w:rPr>
                <w:rFonts w:hint="eastAsia" w:cs="Times New Roman"/>
                <w:bCs/>
                <w:sz w:val="21"/>
                <w:szCs w:val="21"/>
                <w:highlight w:val="none"/>
              </w:rPr>
              <w:t>℃</w:t>
            </w:r>
            <w:r>
              <w:rPr>
                <w:rFonts w:ascii="Arial" w:hAnsi="Arial"/>
                <w:bCs/>
                <w:sz w:val="21"/>
                <w:szCs w:val="21"/>
                <w:highlight w:val="none"/>
              </w:rPr>
              <w:t>×50h</w:t>
            </w:r>
          </w:p>
        </w:tc>
        <w:tc>
          <w:tcPr>
            <w:tcW w:w="890" w:type="dxa"/>
            <w:tcBorders>
              <w:top w:val="single" w:color="auto" w:sz="4" w:space="0"/>
              <w:left w:val="single" w:color="auto" w:sz="4" w:space="0"/>
              <w:bottom w:val="single" w:color="auto" w:sz="4" w:space="0"/>
              <w:right w:val="single" w:color="auto" w:sz="4" w:space="0"/>
            </w:tcBorders>
            <w:vAlign w:val="center"/>
          </w:tcPr>
          <w:p w14:paraId="0FE2D58A">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≤0.</w:t>
            </w:r>
            <w:r>
              <w:rPr>
                <w:rFonts w:hint="eastAsia" w:ascii="Arial" w:hAnsi="Arial"/>
                <w:bCs/>
                <w:sz w:val="21"/>
                <w:szCs w:val="21"/>
                <w:highlight w:val="none"/>
              </w:rPr>
              <w:t>8</w:t>
            </w:r>
          </w:p>
          <w:p w14:paraId="153B3AD5">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1500</w:t>
            </w:r>
            <w:r>
              <w:rPr>
                <w:rFonts w:hint="eastAsia" w:cs="Times New Roman"/>
                <w:bCs/>
                <w:sz w:val="21"/>
                <w:szCs w:val="21"/>
                <w:highlight w:val="none"/>
              </w:rPr>
              <w:t>℃</w:t>
            </w:r>
            <w:r>
              <w:rPr>
                <w:rFonts w:ascii="Arial" w:hAnsi="Arial"/>
                <w:bCs/>
                <w:sz w:val="21"/>
                <w:szCs w:val="21"/>
                <w:highlight w:val="none"/>
              </w:rPr>
              <w:t>×50h</w:t>
            </w:r>
          </w:p>
        </w:tc>
        <w:tc>
          <w:tcPr>
            <w:tcW w:w="890" w:type="dxa"/>
            <w:tcBorders>
              <w:top w:val="single" w:color="auto" w:sz="4" w:space="0"/>
              <w:left w:val="single" w:color="auto" w:sz="4" w:space="0"/>
              <w:bottom w:val="single" w:color="auto" w:sz="4" w:space="0"/>
              <w:right w:val="single" w:color="auto" w:sz="4" w:space="0"/>
            </w:tcBorders>
            <w:vAlign w:val="center"/>
          </w:tcPr>
          <w:p w14:paraId="2C232065">
            <w:pPr>
              <w:adjustRightInd w:val="0"/>
              <w:snapToGrid w:val="0"/>
              <w:spacing w:line="300" w:lineRule="auto"/>
              <w:ind w:firstLine="0" w:firstLineChars="0"/>
              <w:jc w:val="center"/>
              <w:rPr>
                <w:rFonts w:ascii="Arial" w:hAnsi="Arial"/>
                <w:bCs/>
                <w:sz w:val="21"/>
                <w:szCs w:val="21"/>
                <w:highlight w:val="none"/>
              </w:rPr>
            </w:pPr>
          </w:p>
        </w:tc>
        <w:tc>
          <w:tcPr>
            <w:tcW w:w="1062" w:type="dxa"/>
            <w:tcBorders>
              <w:top w:val="single" w:color="auto" w:sz="4" w:space="0"/>
              <w:left w:val="single" w:color="auto" w:sz="4" w:space="0"/>
              <w:bottom w:val="single" w:color="auto" w:sz="4" w:space="0"/>
              <w:right w:val="single" w:color="auto" w:sz="4" w:space="0"/>
            </w:tcBorders>
            <w:vAlign w:val="center"/>
          </w:tcPr>
          <w:p w14:paraId="4B7FE8C5">
            <w:pPr>
              <w:adjustRightInd w:val="0"/>
              <w:snapToGrid w:val="0"/>
              <w:spacing w:line="300" w:lineRule="auto"/>
              <w:ind w:firstLine="0" w:firstLineChars="0"/>
              <w:jc w:val="center"/>
              <w:rPr>
                <w:bCs/>
                <w:sz w:val="21"/>
                <w:szCs w:val="21"/>
                <w:highlight w:val="none"/>
              </w:rPr>
            </w:pPr>
            <w:r>
              <w:rPr>
                <w:bCs/>
                <w:sz w:val="21"/>
                <w:szCs w:val="21"/>
                <w:highlight w:val="none"/>
              </w:rPr>
              <w:t>≤0.8</w:t>
            </w:r>
          </w:p>
          <w:p w14:paraId="09B94FD6">
            <w:pPr>
              <w:adjustRightInd w:val="0"/>
              <w:snapToGrid w:val="0"/>
              <w:spacing w:line="300" w:lineRule="auto"/>
              <w:ind w:firstLine="0" w:firstLineChars="0"/>
              <w:jc w:val="center"/>
              <w:rPr>
                <w:bCs/>
                <w:sz w:val="21"/>
                <w:szCs w:val="21"/>
                <w:highlight w:val="none"/>
              </w:rPr>
            </w:pPr>
            <w:r>
              <w:rPr>
                <w:bCs/>
                <w:sz w:val="21"/>
                <w:szCs w:val="21"/>
                <w:highlight w:val="none"/>
              </w:rPr>
              <w:t>1450</w:t>
            </w:r>
            <w:r>
              <w:rPr>
                <w:rFonts w:hint="eastAsia" w:cs="Times New Roman"/>
                <w:bCs/>
                <w:sz w:val="21"/>
                <w:szCs w:val="21"/>
                <w:highlight w:val="none"/>
              </w:rPr>
              <w:t>℃</w:t>
            </w:r>
            <w:r>
              <w:rPr>
                <w:bCs/>
                <w:sz w:val="21"/>
                <w:szCs w:val="21"/>
                <w:highlight w:val="none"/>
              </w:rPr>
              <w:t>×50h</w:t>
            </w:r>
          </w:p>
        </w:tc>
      </w:tr>
      <w:tr w14:paraId="3323A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150" w:type="dxa"/>
            <w:tcBorders>
              <w:top w:val="single" w:color="auto" w:sz="4" w:space="0"/>
              <w:left w:val="single" w:color="auto" w:sz="4" w:space="0"/>
              <w:bottom w:val="single" w:color="auto" w:sz="4" w:space="0"/>
              <w:right w:val="single" w:color="auto" w:sz="4" w:space="0"/>
            </w:tcBorders>
            <w:vAlign w:val="center"/>
          </w:tcPr>
          <w:p w14:paraId="5F94AC07">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1000</w:t>
            </w:r>
            <w:r>
              <w:rPr>
                <w:rFonts w:hint="eastAsia" w:cs="Times New Roman"/>
                <w:bCs/>
                <w:sz w:val="21"/>
                <w:szCs w:val="21"/>
                <w:highlight w:val="none"/>
              </w:rPr>
              <w:t>℃</w:t>
            </w:r>
            <w:r>
              <w:rPr>
                <w:bCs/>
                <w:sz w:val="21"/>
                <w:szCs w:val="21"/>
                <w:highlight w:val="none"/>
              </w:rPr>
              <w:t>热态线膨胀率</w:t>
            </w:r>
          </w:p>
          <w:p w14:paraId="32AB9F32">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nil"/>
              <w:bottom w:val="single" w:color="auto" w:sz="4" w:space="0"/>
              <w:right w:val="single" w:color="auto" w:sz="4" w:space="0"/>
            </w:tcBorders>
            <w:vAlign w:val="center"/>
          </w:tcPr>
          <w:p w14:paraId="18AE4A33">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single" w:color="auto" w:sz="4" w:space="0"/>
              <w:bottom w:val="single" w:color="auto" w:sz="4" w:space="0"/>
              <w:right w:val="single" w:color="auto" w:sz="4" w:space="0"/>
            </w:tcBorders>
            <w:vAlign w:val="center"/>
          </w:tcPr>
          <w:p w14:paraId="26981BCD">
            <w:pPr>
              <w:adjustRightInd w:val="0"/>
              <w:snapToGrid w:val="0"/>
              <w:spacing w:line="300" w:lineRule="auto"/>
              <w:ind w:firstLine="0" w:firstLineChars="0"/>
              <w:jc w:val="center"/>
              <w:rPr>
                <w:rFonts w:ascii="Arial" w:hAnsi="Arial"/>
                <w:bCs/>
                <w:sz w:val="21"/>
                <w:szCs w:val="21"/>
                <w:highlight w:val="none"/>
              </w:rPr>
            </w:pPr>
          </w:p>
        </w:tc>
        <w:tc>
          <w:tcPr>
            <w:tcW w:w="1108" w:type="dxa"/>
            <w:tcBorders>
              <w:top w:val="single" w:color="auto" w:sz="4" w:space="0"/>
              <w:left w:val="nil"/>
              <w:bottom w:val="single" w:color="auto" w:sz="4" w:space="0"/>
              <w:right w:val="single" w:color="auto" w:sz="4" w:space="0"/>
            </w:tcBorders>
          </w:tcPr>
          <w:p w14:paraId="7B47900A">
            <w:pPr>
              <w:adjustRightInd w:val="0"/>
              <w:snapToGrid w:val="0"/>
              <w:spacing w:line="300" w:lineRule="auto"/>
              <w:ind w:firstLine="0" w:firstLineChars="0"/>
              <w:jc w:val="center"/>
              <w:rPr>
                <w:rFonts w:ascii="Arial" w:hAnsi="Arial"/>
                <w:bCs/>
                <w:sz w:val="21"/>
                <w:szCs w:val="21"/>
                <w:highlight w:val="none"/>
              </w:rPr>
            </w:pPr>
          </w:p>
        </w:tc>
        <w:tc>
          <w:tcPr>
            <w:tcW w:w="1108" w:type="dxa"/>
            <w:tcBorders>
              <w:top w:val="single" w:color="auto" w:sz="4" w:space="0"/>
              <w:left w:val="single" w:color="auto" w:sz="4" w:space="0"/>
              <w:bottom w:val="single" w:color="auto" w:sz="4" w:space="0"/>
              <w:right w:val="single" w:color="auto" w:sz="4" w:space="0"/>
            </w:tcBorders>
            <w:vAlign w:val="center"/>
          </w:tcPr>
          <w:p w14:paraId="423B8F27">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nil"/>
              <w:bottom w:val="single" w:color="auto" w:sz="4" w:space="0"/>
              <w:right w:val="single" w:color="auto" w:sz="4" w:space="0"/>
            </w:tcBorders>
            <w:vAlign w:val="center"/>
          </w:tcPr>
          <w:p w14:paraId="79232B89">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single" w:color="auto" w:sz="4" w:space="0"/>
              <w:bottom w:val="single" w:color="auto" w:sz="4" w:space="0"/>
              <w:right w:val="single" w:color="auto" w:sz="4" w:space="0"/>
            </w:tcBorders>
            <w:vAlign w:val="center"/>
          </w:tcPr>
          <w:p w14:paraId="3AE40958">
            <w:pPr>
              <w:adjustRightInd w:val="0"/>
              <w:snapToGrid w:val="0"/>
              <w:spacing w:line="300" w:lineRule="auto"/>
              <w:ind w:firstLine="0" w:firstLineChars="0"/>
              <w:jc w:val="center"/>
              <w:rPr>
                <w:rFonts w:ascii="Arial" w:hAnsi="Arial"/>
                <w:bCs/>
                <w:sz w:val="21"/>
                <w:szCs w:val="21"/>
                <w:highlight w:val="none"/>
              </w:rPr>
            </w:pPr>
            <w:r>
              <w:rPr>
                <w:rFonts w:hint="eastAsia"/>
                <w:bCs/>
                <w:sz w:val="21"/>
                <w:szCs w:val="21"/>
                <w:highlight w:val="none"/>
              </w:rPr>
              <w:t>≤</w:t>
            </w:r>
            <w:r>
              <w:rPr>
                <w:rFonts w:hint="eastAsia" w:ascii="Arial" w:hAnsi="Arial"/>
                <w:bCs/>
                <w:sz w:val="21"/>
                <w:szCs w:val="21"/>
                <w:highlight w:val="none"/>
              </w:rPr>
              <w:t>1.25</w:t>
            </w:r>
          </w:p>
        </w:tc>
        <w:tc>
          <w:tcPr>
            <w:tcW w:w="890" w:type="dxa"/>
            <w:tcBorders>
              <w:top w:val="single" w:color="auto" w:sz="4" w:space="0"/>
              <w:left w:val="single" w:color="auto" w:sz="4" w:space="0"/>
              <w:bottom w:val="single" w:color="auto" w:sz="4" w:space="0"/>
              <w:right w:val="single" w:color="auto" w:sz="4" w:space="0"/>
            </w:tcBorders>
            <w:vAlign w:val="center"/>
          </w:tcPr>
          <w:p w14:paraId="48904B33">
            <w:pPr>
              <w:adjustRightInd w:val="0"/>
              <w:snapToGrid w:val="0"/>
              <w:spacing w:line="300" w:lineRule="auto"/>
              <w:ind w:firstLine="0" w:firstLineChars="0"/>
              <w:jc w:val="center"/>
              <w:rPr>
                <w:rFonts w:ascii="Arial" w:hAnsi="Arial"/>
                <w:bCs/>
                <w:sz w:val="21"/>
                <w:szCs w:val="21"/>
                <w:highlight w:val="none"/>
              </w:rPr>
            </w:pPr>
          </w:p>
        </w:tc>
        <w:tc>
          <w:tcPr>
            <w:tcW w:w="1062" w:type="dxa"/>
            <w:tcBorders>
              <w:top w:val="single" w:color="auto" w:sz="4" w:space="0"/>
              <w:left w:val="single" w:color="auto" w:sz="4" w:space="0"/>
              <w:bottom w:val="single" w:color="auto" w:sz="4" w:space="0"/>
              <w:right w:val="single" w:color="auto" w:sz="4" w:space="0"/>
            </w:tcBorders>
            <w:vAlign w:val="center"/>
          </w:tcPr>
          <w:p w14:paraId="40E8D4E5">
            <w:pPr>
              <w:adjustRightInd w:val="0"/>
              <w:snapToGrid w:val="0"/>
              <w:spacing w:line="300" w:lineRule="auto"/>
              <w:ind w:firstLine="0" w:firstLineChars="0"/>
              <w:jc w:val="center"/>
              <w:rPr>
                <w:bCs/>
                <w:sz w:val="21"/>
                <w:szCs w:val="21"/>
                <w:highlight w:val="none"/>
              </w:rPr>
            </w:pPr>
          </w:p>
        </w:tc>
      </w:tr>
      <w:tr w14:paraId="0ED2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150" w:type="dxa"/>
            <w:tcBorders>
              <w:top w:val="single" w:color="auto" w:sz="4" w:space="0"/>
              <w:left w:val="single" w:color="auto" w:sz="4" w:space="0"/>
              <w:bottom w:val="single" w:color="auto" w:sz="4" w:space="0"/>
              <w:right w:val="single" w:color="auto" w:sz="4" w:space="0"/>
            </w:tcBorders>
            <w:vAlign w:val="center"/>
          </w:tcPr>
          <w:p w14:paraId="285E44B5">
            <w:pPr>
              <w:adjustRightInd w:val="0"/>
              <w:snapToGrid w:val="0"/>
              <w:spacing w:line="300" w:lineRule="auto"/>
              <w:ind w:firstLine="0" w:firstLineChars="0"/>
              <w:jc w:val="center"/>
              <w:rPr>
                <w:rFonts w:ascii="Arial" w:hAnsi="Arial"/>
                <w:bCs/>
                <w:sz w:val="21"/>
                <w:szCs w:val="21"/>
                <w:highlight w:val="none"/>
              </w:rPr>
            </w:pPr>
            <w:r>
              <w:rPr>
                <w:bCs/>
                <w:sz w:val="21"/>
                <w:szCs w:val="21"/>
                <w:highlight w:val="none"/>
              </w:rPr>
              <w:t>热震稳定性（</w:t>
            </w:r>
            <w:r>
              <w:rPr>
                <w:rFonts w:ascii="Arial" w:hAnsi="Arial"/>
                <w:bCs/>
                <w:sz w:val="21"/>
                <w:szCs w:val="21"/>
                <w:highlight w:val="none"/>
              </w:rPr>
              <w:t>1100</w:t>
            </w:r>
            <w:r>
              <w:rPr>
                <w:rFonts w:hint="eastAsia" w:cs="Times New Roman"/>
                <w:bCs/>
                <w:sz w:val="21"/>
                <w:szCs w:val="21"/>
                <w:highlight w:val="none"/>
              </w:rPr>
              <w:t>℃</w:t>
            </w:r>
            <w:r>
              <w:rPr>
                <w:bCs/>
                <w:sz w:val="21"/>
                <w:szCs w:val="21"/>
                <w:highlight w:val="none"/>
              </w:rPr>
              <w:t>水冷）</w:t>
            </w:r>
          </w:p>
        </w:tc>
        <w:tc>
          <w:tcPr>
            <w:tcW w:w="890" w:type="dxa"/>
            <w:tcBorders>
              <w:top w:val="single" w:color="auto" w:sz="4" w:space="0"/>
              <w:left w:val="nil"/>
              <w:bottom w:val="single" w:color="auto" w:sz="4" w:space="0"/>
              <w:right w:val="single" w:color="auto" w:sz="4" w:space="0"/>
            </w:tcBorders>
            <w:vAlign w:val="center"/>
          </w:tcPr>
          <w:p w14:paraId="6F0ACF39">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single" w:color="auto" w:sz="4" w:space="0"/>
              <w:bottom w:val="single" w:color="auto" w:sz="4" w:space="0"/>
              <w:right w:val="single" w:color="auto" w:sz="4" w:space="0"/>
            </w:tcBorders>
            <w:vAlign w:val="center"/>
          </w:tcPr>
          <w:p w14:paraId="098BF759">
            <w:pPr>
              <w:adjustRightInd w:val="0"/>
              <w:snapToGrid w:val="0"/>
              <w:spacing w:line="300" w:lineRule="auto"/>
              <w:ind w:firstLine="0" w:firstLineChars="0"/>
              <w:jc w:val="center"/>
              <w:rPr>
                <w:rFonts w:ascii="Arial" w:hAnsi="Arial"/>
                <w:bCs/>
                <w:sz w:val="21"/>
                <w:szCs w:val="21"/>
                <w:highlight w:val="none"/>
              </w:rPr>
            </w:pPr>
          </w:p>
        </w:tc>
        <w:tc>
          <w:tcPr>
            <w:tcW w:w="1108" w:type="dxa"/>
            <w:tcBorders>
              <w:top w:val="single" w:color="auto" w:sz="4" w:space="0"/>
              <w:left w:val="nil"/>
              <w:bottom w:val="single" w:color="auto" w:sz="4" w:space="0"/>
              <w:right w:val="single" w:color="auto" w:sz="4" w:space="0"/>
            </w:tcBorders>
          </w:tcPr>
          <w:p w14:paraId="633CB972">
            <w:pPr>
              <w:adjustRightInd w:val="0"/>
              <w:snapToGrid w:val="0"/>
              <w:spacing w:line="300" w:lineRule="auto"/>
              <w:ind w:firstLine="0" w:firstLineChars="0"/>
              <w:jc w:val="center"/>
              <w:rPr>
                <w:rFonts w:ascii="Arial" w:hAnsi="Arial"/>
                <w:bCs/>
                <w:sz w:val="21"/>
                <w:szCs w:val="21"/>
                <w:highlight w:val="none"/>
              </w:rPr>
            </w:pPr>
          </w:p>
        </w:tc>
        <w:tc>
          <w:tcPr>
            <w:tcW w:w="1108" w:type="dxa"/>
            <w:tcBorders>
              <w:top w:val="single" w:color="auto" w:sz="4" w:space="0"/>
              <w:left w:val="single" w:color="auto" w:sz="4" w:space="0"/>
              <w:bottom w:val="single" w:color="auto" w:sz="4" w:space="0"/>
              <w:right w:val="single" w:color="auto" w:sz="4" w:space="0"/>
            </w:tcBorders>
            <w:vAlign w:val="center"/>
          </w:tcPr>
          <w:p w14:paraId="688C0DF2">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nil"/>
              <w:bottom w:val="single" w:color="auto" w:sz="4" w:space="0"/>
              <w:right w:val="single" w:color="auto" w:sz="4" w:space="0"/>
            </w:tcBorders>
            <w:vAlign w:val="center"/>
          </w:tcPr>
          <w:p w14:paraId="5F30966F">
            <w:pPr>
              <w:adjustRightInd w:val="0"/>
              <w:snapToGrid w:val="0"/>
              <w:spacing w:line="300" w:lineRule="auto"/>
              <w:ind w:firstLine="0" w:firstLineChars="0"/>
              <w:jc w:val="center"/>
              <w:rPr>
                <w:rFonts w:ascii="Arial" w:hAnsi="Arial"/>
                <w:bCs/>
                <w:sz w:val="21"/>
                <w:szCs w:val="21"/>
                <w:highlight w:val="none"/>
              </w:rPr>
            </w:pPr>
            <w:r>
              <w:rPr>
                <w:rFonts w:ascii="Arial" w:hAnsi="Arial"/>
                <w:bCs/>
                <w:sz w:val="21"/>
                <w:szCs w:val="21"/>
                <w:highlight w:val="none"/>
              </w:rPr>
              <w:t>≥50</w:t>
            </w:r>
          </w:p>
        </w:tc>
        <w:tc>
          <w:tcPr>
            <w:tcW w:w="890" w:type="dxa"/>
            <w:tcBorders>
              <w:top w:val="single" w:color="auto" w:sz="4" w:space="0"/>
              <w:left w:val="single" w:color="auto" w:sz="4" w:space="0"/>
              <w:bottom w:val="single" w:color="auto" w:sz="4" w:space="0"/>
              <w:right w:val="single" w:color="auto" w:sz="4" w:space="0"/>
            </w:tcBorders>
            <w:vAlign w:val="center"/>
          </w:tcPr>
          <w:p w14:paraId="0AE35B0E">
            <w:pPr>
              <w:adjustRightInd w:val="0"/>
              <w:snapToGrid w:val="0"/>
              <w:spacing w:line="300" w:lineRule="auto"/>
              <w:ind w:firstLine="0" w:firstLineChars="0"/>
              <w:jc w:val="center"/>
              <w:rPr>
                <w:rFonts w:ascii="Arial" w:hAnsi="Arial"/>
                <w:bCs/>
                <w:sz w:val="21"/>
                <w:szCs w:val="21"/>
                <w:highlight w:val="none"/>
              </w:rPr>
            </w:pPr>
          </w:p>
        </w:tc>
        <w:tc>
          <w:tcPr>
            <w:tcW w:w="890" w:type="dxa"/>
            <w:tcBorders>
              <w:top w:val="single" w:color="auto" w:sz="4" w:space="0"/>
              <w:left w:val="single" w:color="auto" w:sz="4" w:space="0"/>
              <w:bottom w:val="single" w:color="auto" w:sz="4" w:space="0"/>
              <w:right w:val="single" w:color="auto" w:sz="4" w:space="0"/>
            </w:tcBorders>
            <w:vAlign w:val="center"/>
          </w:tcPr>
          <w:p w14:paraId="33F93B99">
            <w:pPr>
              <w:adjustRightInd w:val="0"/>
              <w:snapToGrid w:val="0"/>
              <w:spacing w:line="300" w:lineRule="auto"/>
              <w:ind w:firstLine="0" w:firstLineChars="0"/>
              <w:jc w:val="center"/>
              <w:rPr>
                <w:rFonts w:ascii="Arial" w:hAnsi="Arial"/>
                <w:bCs/>
                <w:sz w:val="21"/>
                <w:szCs w:val="21"/>
                <w:highlight w:val="none"/>
              </w:rPr>
            </w:pPr>
          </w:p>
        </w:tc>
        <w:tc>
          <w:tcPr>
            <w:tcW w:w="1062" w:type="dxa"/>
            <w:tcBorders>
              <w:top w:val="single" w:color="auto" w:sz="4" w:space="0"/>
              <w:left w:val="single" w:color="auto" w:sz="4" w:space="0"/>
              <w:bottom w:val="single" w:color="auto" w:sz="4" w:space="0"/>
              <w:right w:val="single" w:color="auto" w:sz="4" w:space="0"/>
            </w:tcBorders>
            <w:vAlign w:val="center"/>
          </w:tcPr>
          <w:p w14:paraId="222D9F20">
            <w:pPr>
              <w:adjustRightInd w:val="0"/>
              <w:snapToGrid w:val="0"/>
              <w:spacing w:line="300" w:lineRule="auto"/>
              <w:ind w:firstLine="0" w:firstLineChars="0"/>
              <w:jc w:val="center"/>
              <w:rPr>
                <w:bCs/>
                <w:sz w:val="21"/>
                <w:szCs w:val="21"/>
                <w:highlight w:val="none"/>
              </w:rPr>
            </w:pPr>
            <w:r>
              <w:rPr>
                <w:rFonts w:hint="eastAsia"/>
                <w:bCs/>
                <w:sz w:val="21"/>
                <w:szCs w:val="21"/>
                <w:highlight w:val="none"/>
              </w:rPr>
              <w:t>≥2</w:t>
            </w:r>
            <w:r>
              <w:rPr>
                <w:bCs/>
                <w:sz w:val="21"/>
                <w:szCs w:val="21"/>
                <w:highlight w:val="none"/>
              </w:rPr>
              <w:t>0</w:t>
            </w:r>
          </w:p>
        </w:tc>
      </w:tr>
    </w:tbl>
    <w:p w14:paraId="2194B697">
      <w:pPr>
        <w:spacing w:line="240" w:lineRule="auto"/>
        <w:ind w:firstLine="210" w:firstLineChars="100"/>
        <w:jc w:val="both"/>
        <w:rPr>
          <w:rFonts w:ascii="Calibri" w:hAnsi="Calibri" w:cs="Times New Roman"/>
          <w:sz w:val="21"/>
          <w:szCs w:val="21"/>
          <w:highlight w:val="none"/>
        </w:rPr>
      </w:pPr>
      <w:r>
        <w:rPr>
          <w:rFonts w:ascii="Calibri" w:hAnsi="Calibri" w:cs="Times New Roman"/>
          <w:sz w:val="21"/>
          <w:szCs w:val="21"/>
          <w:highlight w:val="none"/>
        </w:rPr>
        <w:t>注：括号内的数据为格子砖的数据。</w:t>
      </w:r>
    </w:p>
    <w:p w14:paraId="473C830A">
      <w:pPr>
        <w:snapToGrid w:val="0"/>
        <w:spacing w:before="157" w:beforeLines="50"/>
        <w:ind w:left="120" w:leftChars="50" w:firstLine="0" w:firstLineChars="0"/>
        <w:jc w:val="center"/>
        <w:rPr>
          <w:rFonts w:ascii="Calibri" w:hAnsi="Calibri" w:cs="Times New Roman"/>
          <w:sz w:val="21"/>
          <w:szCs w:val="21"/>
          <w:highlight w:val="none"/>
        </w:rPr>
      </w:pPr>
      <w:r>
        <w:rPr>
          <w:rFonts w:hint="eastAsia" w:cs="Times New Roman"/>
          <w:highlight w:val="none"/>
        </w:rPr>
        <w:t>表</w:t>
      </w:r>
      <w:r>
        <w:rPr>
          <w:rFonts w:hint="eastAsia" w:ascii="Times New Roman" w:hAnsi="Times New Roman" w:cs="Times New Roman"/>
          <w:highlight w:val="none"/>
        </w:rPr>
        <w:t>2.9-3</w:t>
      </w:r>
      <w:r>
        <w:rPr>
          <w:rFonts w:ascii="Times New Roman" w:hAnsi="Times New Roman" w:cs="Times New Roman"/>
          <w:highlight w:val="none"/>
        </w:rPr>
        <w:t xml:space="preserve">  </w:t>
      </w:r>
      <w:r>
        <w:rPr>
          <w:rFonts w:hint="eastAsia" w:cs="Times New Roman"/>
          <w:szCs w:val="28"/>
          <w:highlight w:val="none"/>
        </w:rPr>
        <w:t>耐火材料理化指标2</w:t>
      </w:r>
    </w:p>
    <w:tbl>
      <w:tblPr>
        <w:tblStyle w:val="6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1332"/>
        <w:gridCol w:w="1248"/>
        <w:gridCol w:w="1502"/>
        <w:gridCol w:w="1462"/>
        <w:gridCol w:w="1440"/>
      </w:tblGrid>
      <w:tr w14:paraId="6E980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1312" w:type="dxa"/>
            <w:tcBorders>
              <w:top w:val="single" w:color="auto" w:sz="4" w:space="0"/>
              <w:left w:val="single" w:color="auto" w:sz="4" w:space="0"/>
              <w:bottom w:val="single" w:color="auto" w:sz="4" w:space="0"/>
              <w:right w:val="single" w:color="auto" w:sz="4" w:space="0"/>
            </w:tcBorders>
            <w:vAlign w:val="center"/>
          </w:tcPr>
          <w:p w14:paraId="1638B9DE">
            <w:pPr>
              <w:adjustRightInd w:val="0"/>
              <w:snapToGrid w:val="0"/>
              <w:spacing w:line="300" w:lineRule="auto"/>
              <w:ind w:firstLine="0" w:firstLineChars="0"/>
              <w:jc w:val="both"/>
              <w:rPr>
                <w:rFonts w:ascii="Arial" w:hAnsi="Arial"/>
                <w:bCs/>
                <w:sz w:val="21"/>
                <w:szCs w:val="21"/>
                <w:highlight w:val="none"/>
              </w:rPr>
            </w:pPr>
            <w:r>
              <w:rPr>
                <w:bCs/>
                <w:sz w:val="21"/>
                <w:szCs w:val="21"/>
                <w:highlight w:val="none"/>
              </w:rPr>
              <w:t>名称</w:t>
            </w:r>
          </w:p>
        </w:tc>
        <w:tc>
          <w:tcPr>
            <w:tcW w:w="1332" w:type="dxa"/>
            <w:tcBorders>
              <w:top w:val="single" w:color="auto" w:sz="4" w:space="0"/>
              <w:left w:val="nil"/>
              <w:bottom w:val="single" w:color="auto" w:sz="4" w:space="0"/>
              <w:right w:val="single" w:color="auto" w:sz="4" w:space="0"/>
            </w:tcBorders>
            <w:vAlign w:val="center"/>
          </w:tcPr>
          <w:p w14:paraId="56631E0F">
            <w:pPr>
              <w:adjustRightInd w:val="0"/>
              <w:snapToGrid w:val="0"/>
              <w:spacing w:line="300" w:lineRule="auto"/>
              <w:ind w:firstLine="0" w:firstLineChars="0"/>
              <w:jc w:val="both"/>
              <w:rPr>
                <w:rFonts w:ascii="Arial" w:hAnsi="Arial"/>
                <w:bCs/>
                <w:sz w:val="21"/>
                <w:szCs w:val="21"/>
                <w:highlight w:val="none"/>
              </w:rPr>
            </w:pPr>
            <w:r>
              <w:rPr>
                <w:rFonts w:hint="eastAsia" w:ascii="Arial" w:hAnsi="Arial"/>
                <w:bCs/>
                <w:sz w:val="21"/>
                <w:szCs w:val="21"/>
                <w:highlight w:val="none"/>
              </w:rPr>
              <w:t>轻质高铝质</w:t>
            </w:r>
          </w:p>
        </w:tc>
        <w:tc>
          <w:tcPr>
            <w:tcW w:w="1248" w:type="dxa"/>
            <w:tcBorders>
              <w:top w:val="single" w:color="auto" w:sz="4" w:space="0"/>
              <w:left w:val="nil"/>
              <w:bottom w:val="single" w:color="auto" w:sz="4" w:space="0"/>
              <w:right w:val="single" w:color="auto" w:sz="4" w:space="0"/>
            </w:tcBorders>
            <w:vAlign w:val="center"/>
          </w:tcPr>
          <w:p w14:paraId="621F67AA">
            <w:pPr>
              <w:adjustRightInd w:val="0"/>
              <w:snapToGrid w:val="0"/>
              <w:spacing w:line="300" w:lineRule="auto"/>
              <w:ind w:firstLine="0" w:firstLineChars="0"/>
              <w:jc w:val="both"/>
              <w:rPr>
                <w:rFonts w:ascii="Arial" w:hAnsi="Arial"/>
                <w:bCs/>
                <w:sz w:val="21"/>
                <w:szCs w:val="21"/>
                <w:highlight w:val="none"/>
              </w:rPr>
            </w:pPr>
            <w:r>
              <w:rPr>
                <w:rFonts w:hint="eastAsia" w:ascii="Arial" w:hAnsi="Arial"/>
                <w:bCs/>
                <w:sz w:val="21"/>
                <w:szCs w:val="21"/>
                <w:highlight w:val="none"/>
              </w:rPr>
              <w:t>聚轻高铝砖</w:t>
            </w:r>
          </w:p>
        </w:tc>
        <w:tc>
          <w:tcPr>
            <w:tcW w:w="1502" w:type="dxa"/>
            <w:tcBorders>
              <w:top w:val="single" w:color="auto" w:sz="4" w:space="0"/>
              <w:left w:val="nil"/>
              <w:bottom w:val="single" w:color="auto" w:sz="4" w:space="0"/>
              <w:right w:val="single" w:color="auto" w:sz="4" w:space="0"/>
            </w:tcBorders>
            <w:vAlign w:val="center"/>
          </w:tcPr>
          <w:p w14:paraId="4E115A97">
            <w:pPr>
              <w:adjustRightInd w:val="0"/>
              <w:snapToGrid w:val="0"/>
              <w:spacing w:line="300" w:lineRule="auto"/>
              <w:ind w:firstLine="0" w:firstLineChars="0"/>
              <w:jc w:val="both"/>
              <w:rPr>
                <w:rFonts w:ascii="Arial" w:hAnsi="Arial"/>
                <w:bCs/>
                <w:sz w:val="21"/>
                <w:szCs w:val="21"/>
                <w:highlight w:val="none"/>
              </w:rPr>
            </w:pPr>
            <w:r>
              <w:rPr>
                <w:bCs/>
                <w:sz w:val="21"/>
                <w:szCs w:val="21"/>
                <w:highlight w:val="none"/>
              </w:rPr>
              <w:t>轻质粘土砖</w:t>
            </w:r>
          </w:p>
          <w:p w14:paraId="076DB338">
            <w:pPr>
              <w:adjustRightInd w:val="0"/>
              <w:snapToGrid w:val="0"/>
              <w:spacing w:line="300" w:lineRule="auto"/>
              <w:ind w:firstLine="0" w:firstLineChars="0"/>
              <w:jc w:val="both"/>
              <w:rPr>
                <w:rFonts w:ascii="Arial" w:hAnsi="Arial"/>
                <w:bCs/>
                <w:sz w:val="21"/>
                <w:szCs w:val="21"/>
                <w:highlight w:val="none"/>
              </w:rPr>
            </w:pPr>
          </w:p>
        </w:tc>
        <w:tc>
          <w:tcPr>
            <w:tcW w:w="1462" w:type="dxa"/>
            <w:tcBorders>
              <w:top w:val="single" w:color="auto" w:sz="4" w:space="0"/>
              <w:left w:val="nil"/>
              <w:bottom w:val="single" w:color="auto" w:sz="4" w:space="0"/>
              <w:right w:val="single" w:color="auto" w:sz="4" w:space="0"/>
            </w:tcBorders>
            <w:vAlign w:val="center"/>
          </w:tcPr>
          <w:p w14:paraId="15C5B32F">
            <w:pPr>
              <w:adjustRightInd w:val="0"/>
              <w:snapToGrid w:val="0"/>
              <w:spacing w:line="300" w:lineRule="auto"/>
              <w:ind w:firstLine="0" w:firstLineChars="0"/>
              <w:jc w:val="both"/>
              <w:rPr>
                <w:rFonts w:ascii="Arial" w:hAnsi="Arial"/>
                <w:bCs/>
                <w:sz w:val="21"/>
                <w:szCs w:val="21"/>
                <w:highlight w:val="none"/>
              </w:rPr>
            </w:pPr>
            <w:r>
              <w:rPr>
                <w:bCs/>
                <w:sz w:val="21"/>
                <w:szCs w:val="21"/>
                <w:highlight w:val="none"/>
              </w:rPr>
              <w:t>轻质粘土砖</w:t>
            </w:r>
          </w:p>
          <w:p w14:paraId="5CAECC1A">
            <w:pPr>
              <w:adjustRightInd w:val="0"/>
              <w:snapToGrid w:val="0"/>
              <w:spacing w:line="300" w:lineRule="auto"/>
              <w:ind w:firstLine="0" w:firstLineChars="0"/>
              <w:jc w:val="both"/>
              <w:rPr>
                <w:rFonts w:ascii="Arial" w:hAnsi="Arial"/>
                <w:bCs/>
                <w:sz w:val="21"/>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2C249AED">
            <w:pPr>
              <w:adjustRightInd w:val="0"/>
              <w:snapToGrid w:val="0"/>
              <w:spacing w:line="300" w:lineRule="auto"/>
              <w:ind w:firstLine="0" w:firstLineChars="0"/>
              <w:jc w:val="both"/>
              <w:rPr>
                <w:bCs/>
                <w:sz w:val="21"/>
                <w:szCs w:val="21"/>
                <w:highlight w:val="none"/>
              </w:rPr>
            </w:pPr>
            <w:r>
              <w:rPr>
                <w:bCs/>
                <w:sz w:val="21"/>
                <w:szCs w:val="21"/>
                <w:highlight w:val="none"/>
              </w:rPr>
              <w:t>轻质低铁莫来石砖</w:t>
            </w:r>
          </w:p>
        </w:tc>
      </w:tr>
      <w:tr w14:paraId="151CB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312" w:type="dxa"/>
            <w:tcBorders>
              <w:top w:val="single" w:color="auto" w:sz="4" w:space="0"/>
              <w:left w:val="single" w:color="auto" w:sz="4" w:space="0"/>
              <w:bottom w:val="single" w:color="auto" w:sz="4" w:space="0"/>
              <w:right w:val="single" w:color="auto" w:sz="4" w:space="0"/>
            </w:tcBorders>
            <w:vAlign w:val="center"/>
          </w:tcPr>
          <w:p w14:paraId="109BCF21">
            <w:pPr>
              <w:adjustRightInd w:val="0"/>
              <w:snapToGrid w:val="0"/>
              <w:spacing w:line="300" w:lineRule="auto"/>
              <w:ind w:firstLine="0" w:firstLineChars="0"/>
              <w:jc w:val="both"/>
              <w:rPr>
                <w:rFonts w:ascii="Arial" w:hAnsi="Arial"/>
                <w:bCs/>
                <w:sz w:val="21"/>
                <w:szCs w:val="21"/>
                <w:highlight w:val="none"/>
              </w:rPr>
            </w:pPr>
            <w:r>
              <w:rPr>
                <w:bCs/>
                <w:sz w:val="21"/>
                <w:szCs w:val="21"/>
                <w:highlight w:val="none"/>
              </w:rPr>
              <w:t>牌号</w:t>
            </w:r>
          </w:p>
          <w:p w14:paraId="338217A3">
            <w:pPr>
              <w:adjustRightInd w:val="0"/>
              <w:snapToGrid w:val="0"/>
              <w:spacing w:line="300" w:lineRule="auto"/>
              <w:ind w:firstLine="0" w:firstLineChars="0"/>
              <w:jc w:val="both"/>
              <w:rPr>
                <w:rFonts w:ascii="Arial" w:hAnsi="Arial"/>
                <w:bCs/>
                <w:sz w:val="21"/>
                <w:szCs w:val="21"/>
                <w:highlight w:val="none"/>
              </w:rPr>
            </w:pPr>
          </w:p>
        </w:tc>
        <w:tc>
          <w:tcPr>
            <w:tcW w:w="1332" w:type="dxa"/>
            <w:tcBorders>
              <w:top w:val="single" w:color="auto" w:sz="4" w:space="0"/>
              <w:left w:val="nil"/>
              <w:bottom w:val="single" w:color="auto" w:sz="4" w:space="0"/>
              <w:right w:val="single" w:color="auto" w:sz="4" w:space="0"/>
            </w:tcBorders>
            <w:vAlign w:val="center"/>
          </w:tcPr>
          <w:p w14:paraId="05C06DA3">
            <w:pPr>
              <w:adjustRightInd w:val="0"/>
              <w:snapToGrid w:val="0"/>
              <w:spacing w:line="300" w:lineRule="auto"/>
              <w:ind w:firstLine="0" w:firstLineChars="0"/>
              <w:jc w:val="both"/>
              <w:rPr>
                <w:rFonts w:ascii="Arial" w:hAnsi="Arial"/>
                <w:bCs/>
                <w:sz w:val="21"/>
                <w:szCs w:val="21"/>
                <w:highlight w:val="none"/>
              </w:rPr>
            </w:pPr>
            <w:r>
              <w:rPr>
                <w:rFonts w:hint="eastAsia" w:ascii="Arial" w:hAnsi="Arial"/>
                <w:bCs/>
                <w:sz w:val="21"/>
                <w:szCs w:val="21"/>
                <w:highlight w:val="none"/>
              </w:rPr>
              <w:t>L</w:t>
            </w:r>
            <w:r>
              <w:rPr>
                <w:rFonts w:ascii="Arial" w:hAnsi="Arial"/>
                <w:bCs/>
                <w:sz w:val="21"/>
                <w:szCs w:val="21"/>
                <w:highlight w:val="none"/>
              </w:rPr>
              <w:t>G-0.8</w:t>
            </w:r>
          </w:p>
        </w:tc>
        <w:tc>
          <w:tcPr>
            <w:tcW w:w="1248" w:type="dxa"/>
            <w:tcBorders>
              <w:top w:val="single" w:color="auto" w:sz="4" w:space="0"/>
              <w:left w:val="nil"/>
              <w:bottom w:val="single" w:color="auto" w:sz="4" w:space="0"/>
              <w:right w:val="single" w:color="auto" w:sz="4" w:space="0"/>
            </w:tcBorders>
            <w:vAlign w:val="center"/>
          </w:tcPr>
          <w:p w14:paraId="0F069F83">
            <w:pPr>
              <w:adjustRightInd w:val="0"/>
              <w:snapToGrid w:val="0"/>
              <w:spacing w:line="300" w:lineRule="auto"/>
              <w:ind w:firstLine="0" w:firstLineChars="0"/>
              <w:jc w:val="both"/>
              <w:rPr>
                <w:rFonts w:ascii="Arial" w:hAnsi="Arial"/>
                <w:bCs/>
                <w:sz w:val="21"/>
                <w:szCs w:val="21"/>
                <w:highlight w:val="none"/>
              </w:rPr>
            </w:pPr>
            <w:r>
              <w:rPr>
                <w:rFonts w:hint="eastAsia" w:ascii="Arial" w:hAnsi="Arial"/>
                <w:bCs/>
                <w:sz w:val="21"/>
                <w:szCs w:val="21"/>
                <w:highlight w:val="none"/>
              </w:rPr>
              <w:t>J</w:t>
            </w:r>
            <w:r>
              <w:rPr>
                <w:rFonts w:ascii="Arial" w:hAnsi="Arial"/>
                <w:bCs/>
                <w:sz w:val="21"/>
                <w:szCs w:val="21"/>
                <w:highlight w:val="none"/>
              </w:rPr>
              <w:t>LG-0.8</w:t>
            </w:r>
          </w:p>
        </w:tc>
        <w:tc>
          <w:tcPr>
            <w:tcW w:w="1502" w:type="dxa"/>
            <w:tcBorders>
              <w:top w:val="single" w:color="auto" w:sz="4" w:space="0"/>
              <w:left w:val="nil"/>
              <w:bottom w:val="single" w:color="auto" w:sz="4" w:space="0"/>
              <w:right w:val="single" w:color="auto" w:sz="4" w:space="0"/>
            </w:tcBorders>
            <w:vAlign w:val="center"/>
          </w:tcPr>
          <w:p w14:paraId="75264189">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NG-1.0</w:t>
            </w:r>
          </w:p>
        </w:tc>
        <w:tc>
          <w:tcPr>
            <w:tcW w:w="1462" w:type="dxa"/>
            <w:tcBorders>
              <w:top w:val="single" w:color="auto" w:sz="4" w:space="0"/>
              <w:left w:val="nil"/>
              <w:bottom w:val="single" w:color="auto" w:sz="4" w:space="0"/>
              <w:right w:val="single" w:color="auto" w:sz="4" w:space="0"/>
            </w:tcBorders>
            <w:vAlign w:val="center"/>
          </w:tcPr>
          <w:p w14:paraId="6AB7366F">
            <w:pPr>
              <w:widowControl/>
              <w:spacing w:line="240" w:lineRule="auto"/>
              <w:ind w:firstLine="0" w:firstLineChars="0"/>
              <w:jc w:val="both"/>
              <w:rPr>
                <w:rFonts w:ascii="Arial" w:hAnsi="Arial"/>
                <w:bCs/>
                <w:sz w:val="21"/>
                <w:szCs w:val="21"/>
                <w:highlight w:val="none"/>
              </w:rPr>
            </w:pPr>
            <w:r>
              <w:rPr>
                <w:rFonts w:hint="eastAsia" w:ascii="Arial" w:hAnsi="Arial"/>
                <w:sz w:val="21"/>
                <w:szCs w:val="28"/>
                <w:highlight w:val="none"/>
              </w:rPr>
              <w:t>IE</w:t>
            </w:r>
          </w:p>
        </w:tc>
        <w:tc>
          <w:tcPr>
            <w:tcW w:w="1440" w:type="dxa"/>
            <w:tcBorders>
              <w:top w:val="single" w:color="auto" w:sz="4" w:space="0"/>
              <w:left w:val="single" w:color="auto" w:sz="4" w:space="0"/>
              <w:bottom w:val="single" w:color="auto" w:sz="4" w:space="0"/>
              <w:right w:val="single" w:color="auto" w:sz="4" w:space="0"/>
            </w:tcBorders>
            <w:vAlign w:val="center"/>
          </w:tcPr>
          <w:p w14:paraId="7917FDDE">
            <w:pPr>
              <w:adjustRightInd w:val="0"/>
              <w:snapToGrid w:val="0"/>
              <w:spacing w:line="300" w:lineRule="auto"/>
              <w:ind w:firstLine="0" w:firstLineChars="0"/>
              <w:jc w:val="both"/>
              <w:rPr>
                <w:rFonts w:ascii="Arial" w:hAnsi="Arial"/>
                <w:bCs/>
                <w:sz w:val="21"/>
                <w:szCs w:val="21"/>
                <w:highlight w:val="none"/>
              </w:rPr>
            </w:pPr>
            <w:r>
              <w:rPr>
                <w:rFonts w:hint="eastAsia" w:ascii="Arial" w:hAnsi="Arial"/>
                <w:bCs/>
                <w:sz w:val="21"/>
                <w:szCs w:val="21"/>
                <w:highlight w:val="none"/>
              </w:rPr>
              <w:t>I</w:t>
            </w:r>
            <w:r>
              <w:rPr>
                <w:rFonts w:ascii="Arial" w:hAnsi="Arial"/>
                <w:bCs/>
                <w:sz w:val="21"/>
                <w:szCs w:val="21"/>
                <w:highlight w:val="none"/>
              </w:rPr>
              <w:t>H</w:t>
            </w:r>
          </w:p>
        </w:tc>
      </w:tr>
      <w:tr w14:paraId="50785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1312" w:type="dxa"/>
            <w:tcBorders>
              <w:top w:val="single" w:color="auto" w:sz="4" w:space="0"/>
              <w:left w:val="single" w:color="auto" w:sz="4" w:space="0"/>
              <w:bottom w:val="single" w:color="auto" w:sz="4" w:space="0"/>
              <w:right w:val="single" w:color="auto" w:sz="4" w:space="0"/>
            </w:tcBorders>
            <w:vAlign w:val="center"/>
          </w:tcPr>
          <w:p w14:paraId="06E0EFE5">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AL2O3</w:t>
            </w:r>
            <w:r>
              <w:rPr>
                <w:bCs/>
                <w:sz w:val="21"/>
                <w:szCs w:val="21"/>
                <w:highlight w:val="none"/>
              </w:rPr>
              <w:t>含量，</w:t>
            </w:r>
            <w:r>
              <w:rPr>
                <w:rFonts w:ascii="Arial" w:hAnsi="Arial"/>
                <w:bCs/>
                <w:sz w:val="21"/>
                <w:szCs w:val="21"/>
                <w:highlight w:val="none"/>
              </w:rPr>
              <w:t>%</w:t>
            </w:r>
          </w:p>
          <w:p w14:paraId="47A930E9">
            <w:pPr>
              <w:adjustRightInd w:val="0"/>
              <w:snapToGrid w:val="0"/>
              <w:spacing w:line="300" w:lineRule="auto"/>
              <w:ind w:firstLine="0" w:firstLineChars="0"/>
              <w:jc w:val="both"/>
              <w:rPr>
                <w:rFonts w:ascii="Arial" w:hAnsi="Arial"/>
                <w:bCs/>
                <w:sz w:val="21"/>
                <w:szCs w:val="21"/>
                <w:highlight w:val="none"/>
              </w:rPr>
            </w:pPr>
          </w:p>
        </w:tc>
        <w:tc>
          <w:tcPr>
            <w:tcW w:w="1332" w:type="dxa"/>
            <w:tcBorders>
              <w:top w:val="single" w:color="auto" w:sz="4" w:space="0"/>
              <w:left w:val="nil"/>
              <w:bottom w:val="single" w:color="auto" w:sz="4" w:space="0"/>
              <w:right w:val="single" w:color="auto" w:sz="4" w:space="0"/>
            </w:tcBorders>
            <w:vAlign w:val="center"/>
          </w:tcPr>
          <w:p w14:paraId="04145D6F">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≥48</w:t>
            </w:r>
          </w:p>
        </w:tc>
        <w:tc>
          <w:tcPr>
            <w:tcW w:w="1248" w:type="dxa"/>
            <w:tcBorders>
              <w:top w:val="single" w:color="auto" w:sz="4" w:space="0"/>
              <w:left w:val="nil"/>
              <w:bottom w:val="single" w:color="auto" w:sz="4" w:space="0"/>
              <w:right w:val="single" w:color="auto" w:sz="4" w:space="0"/>
            </w:tcBorders>
            <w:vAlign w:val="center"/>
          </w:tcPr>
          <w:p w14:paraId="2EE408BC">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≥48</w:t>
            </w:r>
          </w:p>
        </w:tc>
        <w:tc>
          <w:tcPr>
            <w:tcW w:w="1502" w:type="dxa"/>
            <w:tcBorders>
              <w:top w:val="single" w:color="auto" w:sz="4" w:space="0"/>
              <w:left w:val="nil"/>
              <w:bottom w:val="single" w:color="auto" w:sz="4" w:space="0"/>
              <w:right w:val="single" w:color="auto" w:sz="4" w:space="0"/>
            </w:tcBorders>
            <w:vAlign w:val="center"/>
          </w:tcPr>
          <w:p w14:paraId="4D2F535E">
            <w:pPr>
              <w:adjustRightInd w:val="0"/>
              <w:snapToGrid w:val="0"/>
              <w:spacing w:line="300" w:lineRule="auto"/>
              <w:ind w:firstLine="0" w:firstLineChars="0"/>
              <w:jc w:val="both"/>
              <w:rPr>
                <w:rFonts w:ascii="Arial" w:hAnsi="Arial"/>
                <w:bCs/>
                <w:sz w:val="21"/>
                <w:szCs w:val="21"/>
                <w:highlight w:val="none"/>
              </w:rPr>
            </w:pPr>
          </w:p>
        </w:tc>
        <w:tc>
          <w:tcPr>
            <w:tcW w:w="1462" w:type="dxa"/>
            <w:tcBorders>
              <w:top w:val="single" w:color="auto" w:sz="4" w:space="0"/>
              <w:left w:val="nil"/>
              <w:bottom w:val="single" w:color="auto" w:sz="4" w:space="0"/>
              <w:right w:val="single" w:color="auto" w:sz="4" w:space="0"/>
            </w:tcBorders>
            <w:vAlign w:val="center"/>
          </w:tcPr>
          <w:p w14:paraId="6741E2C9">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≥42</w:t>
            </w:r>
          </w:p>
        </w:tc>
        <w:tc>
          <w:tcPr>
            <w:tcW w:w="1440" w:type="dxa"/>
            <w:tcBorders>
              <w:top w:val="single" w:color="auto" w:sz="4" w:space="0"/>
              <w:left w:val="single" w:color="auto" w:sz="4" w:space="0"/>
              <w:bottom w:val="single" w:color="auto" w:sz="4" w:space="0"/>
              <w:right w:val="single" w:color="auto" w:sz="4" w:space="0"/>
            </w:tcBorders>
            <w:vAlign w:val="center"/>
          </w:tcPr>
          <w:p w14:paraId="33903E5B">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≥55</w:t>
            </w:r>
          </w:p>
        </w:tc>
      </w:tr>
      <w:tr w14:paraId="46026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312" w:type="dxa"/>
            <w:tcBorders>
              <w:top w:val="single" w:color="auto" w:sz="4" w:space="0"/>
              <w:left w:val="single" w:color="auto" w:sz="4" w:space="0"/>
              <w:bottom w:val="single" w:color="auto" w:sz="4" w:space="0"/>
              <w:right w:val="single" w:color="auto" w:sz="4" w:space="0"/>
            </w:tcBorders>
            <w:vAlign w:val="center"/>
          </w:tcPr>
          <w:p w14:paraId="4F93A5B6">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Fe2O3</w:t>
            </w:r>
            <w:r>
              <w:rPr>
                <w:bCs/>
                <w:sz w:val="21"/>
                <w:szCs w:val="21"/>
                <w:highlight w:val="none"/>
              </w:rPr>
              <w:t>含量，</w:t>
            </w:r>
            <w:r>
              <w:rPr>
                <w:rFonts w:ascii="Arial" w:hAnsi="Arial"/>
                <w:bCs/>
                <w:sz w:val="21"/>
                <w:szCs w:val="21"/>
                <w:highlight w:val="none"/>
              </w:rPr>
              <w:t>%</w:t>
            </w:r>
          </w:p>
        </w:tc>
        <w:tc>
          <w:tcPr>
            <w:tcW w:w="1332" w:type="dxa"/>
            <w:tcBorders>
              <w:top w:val="single" w:color="auto" w:sz="4" w:space="0"/>
              <w:left w:val="nil"/>
              <w:bottom w:val="single" w:color="auto" w:sz="4" w:space="0"/>
              <w:right w:val="single" w:color="auto" w:sz="4" w:space="0"/>
            </w:tcBorders>
            <w:vAlign w:val="center"/>
          </w:tcPr>
          <w:p w14:paraId="3F507B9F">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≤2.0</w:t>
            </w:r>
          </w:p>
        </w:tc>
        <w:tc>
          <w:tcPr>
            <w:tcW w:w="1248" w:type="dxa"/>
            <w:tcBorders>
              <w:top w:val="single" w:color="auto" w:sz="4" w:space="0"/>
              <w:left w:val="nil"/>
              <w:bottom w:val="single" w:color="auto" w:sz="4" w:space="0"/>
              <w:right w:val="single" w:color="auto" w:sz="4" w:space="0"/>
            </w:tcBorders>
            <w:vAlign w:val="center"/>
          </w:tcPr>
          <w:p w14:paraId="41399D62">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≤2.0</w:t>
            </w:r>
          </w:p>
        </w:tc>
        <w:tc>
          <w:tcPr>
            <w:tcW w:w="1502" w:type="dxa"/>
            <w:tcBorders>
              <w:top w:val="single" w:color="auto" w:sz="4" w:space="0"/>
              <w:left w:val="nil"/>
              <w:bottom w:val="single" w:color="auto" w:sz="4" w:space="0"/>
              <w:right w:val="single" w:color="auto" w:sz="4" w:space="0"/>
            </w:tcBorders>
            <w:vAlign w:val="center"/>
          </w:tcPr>
          <w:p w14:paraId="4B6078FB">
            <w:pPr>
              <w:adjustRightInd w:val="0"/>
              <w:snapToGrid w:val="0"/>
              <w:spacing w:line="300" w:lineRule="auto"/>
              <w:ind w:firstLine="0" w:firstLineChars="0"/>
              <w:jc w:val="both"/>
              <w:rPr>
                <w:rFonts w:ascii="Arial" w:hAnsi="Arial"/>
                <w:bCs/>
                <w:sz w:val="21"/>
                <w:szCs w:val="21"/>
                <w:highlight w:val="none"/>
              </w:rPr>
            </w:pPr>
          </w:p>
        </w:tc>
        <w:tc>
          <w:tcPr>
            <w:tcW w:w="1462" w:type="dxa"/>
            <w:tcBorders>
              <w:top w:val="single" w:color="auto" w:sz="4" w:space="0"/>
              <w:left w:val="nil"/>
              <w:bottom w:val="single" w:color="auto" w:sz="4" w:space="0"/>
              <w:right w:val="single" w:color="auto" w:sz="4" w:space="0"/>
            </w:tcBorders>
            <w:vAlign w:val="center"/>
          </w:tcPr>
          <w:p w14:paraId="0BA93853">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≤2.0</w:t>
            </w:r>
          </w:p>
        </w:tc>
        <w:tc>
          <w:tcPr>
            <w:tcW w:w="1440" w:type="dxa"/>
            <w:tcBorders>
              <w:top w:val="single" w:color="auto" w:sz="4" w:space="0"/>
              <w:left w:val="single" w:color="auto" w:sz="4" w:space="0"/>
              <w:bottom w:val="single" w:color="auto" w:sz="4" w:space="0"/>
              <w:right w:val="single" w:color="auto" w:sz="4" w:space="0"/>
            </w:tcBorders>
            <w:vAlign w:val="center"/>
          </w:tcPr>
          <w:p w14:paraId="78567131">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≤1.0</w:t>
            </w:r>
          </w:p>
        </w:tc>
      </w:tr>
      <w:tr w14:paraId="0CBBA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312" w:type="dxa"/>
            <w:tcBorders>
              <w:top w:val="single" w:color="auto" w:sz="4" w:space="0"/>
              <w:left w:val="single" w:color="auto" w:sz="4" w:space="0"/>
              <w:bottom w:val="single" w:color="auto" w:sz="4" w:space="0"/>
              <w:right w:val="single" w:color="auto" w:sz="4" w:space="0"/>
            </w:tcBorders>
            <w:vAlign w:val="center"/>
          </w:tcPr>
          <w:p w14:paraId="2A0B4172">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TiO2</w:t>
            </w:r>
            <w:r>
              <w:rPr>
                <w:bCs/>
                <w:sz w:val="21"/>
                <w:szCs w:val="21"/>
                <w:highlight w:val="none"/>
              </w:rPr>
              <w:t>含量，</w:t>
            </w:r>
            <w:r>
              <w:rPr>
                <w:rFonts w:ascii="Arial" w:hAnsi="Arial"/>
                <w:bCs/>
                <w:sz w:val="21"/>
                <w:szCs w:val="21"/>
                <w:highlight w:val="none"/>
              </w:rPr>
              <w:t>%</w:t>
            </w:r>
          </w:p>
        </w:tc>
        <w:tc>
          <w:tcPr>
            <w:tcW w:w="1332" w:type="dxa"/>
            <w:tcBorders>
              <w:top w:val="single" w:color="auto" w:sz="4" w:space="0"/>
              <w:left w:val="nil"/>
              <w:bottom w:val="single" w:color="auto" w:sz="4" w:space="0"/>
              <w:right w:val="single" w:color="auto" w:sz="4" w:space="0"/>
            </w:tcBorders>
            <w:vAlign w:val="center"/>
          </w:tcPr>
          <w:p w14:paraId="5C527E56">
            <w:pPr>
              <w:adjustRightInd w:val="0"/>
              <w:snapToGrid w:val="0"/>
              <w:spacing w:line="300" w:lineRule="auto"/>
              <w:ind w:firstLine="0" w:firstLineChars="0"/>
              <w:jc w:val="both"/>
              <w:rPr>
                <w:rFonts w:ascii="Arial" w:hAnsi="Arial"/>
                <w:bCs/>
                <w:sz w:val="21"/>
                <w:szCs w:val="21"/>
                <w:highlight w:val="none"/>
              </w:rPr>
            </w:pPr>
          </w:p>
        </w:tc>
        <w:tc>
          <w:tcPr>
            <w:tcW w:w="1248" w:type="dxa"/>
            <w:tcBorders>
              <w:top w:val="single" w:color="auto" w:sz="4" w:space="0"/>
              <w:left w:val="nil"/>
              <w:bottom w:val="single" w:color="auto" w:sz="4" w:space="0"/>
              <w:right w:val="single" w:color="auto" w:sz="4" w:space="0"/>
            </w:tcBorders>
            <w:vAlign w:val="center"/>
          </w:tcPr>
          <w:p w14:paraId="6FBF73F1">
            <w:pPr>
              <w:adjustRightInd w:val="0"/>
              <w:snapToGrid w:val="0"/>
              <w:spacing w:line="300" w:lineRule="auto"/>
              <w:ind w:firstLine="0" w:firstLineChars="0"/>
              <w:jc w:val="both"/>
              <w:rPr>
                <w:rFonts w:ascii="Arial" w:hAnsi="Arial"/>
                <w:bCs/>
                <w:sz w:val="21"/>
                <w:szCs w:val="21"/>
                <w:highlight w:val="none"/>
              </w:rPr>
            </w:pPr>
          </w:p>
        </w:tc>
        <w:tc>
          <w:tcPr>
            <w:tcW w:w="1502" w:type="dxa"/>
            <w:tcBorders>
              <w:top w:val="single" w:color="auto" w:sz="4" w:space="0"/>
              <w:left w:val="nil"/>
              <w:bottom w:val="single" w:color="auto" w:sz="4" w:space="0"/>
              <w:right w:val="single" w:color="auto" w:sz="4" w:space="0"/>
            </w:tcBorders>
            <w:vAlign w:val="center"/>
          </w:tcPr>
          <w:p w14:paraId="6E3157DB">
            <w:pPr>
              <w:adjustRightInd w:val="0"/>
              <w:snapToGrid w:val="0"/>
              <w:spacing w:line="300" w:lineRule="auto"/>
              <w:ind w:firstLine="0" w:firstLineChars="0"/>
              <w:jc w:val="both"/>
              <w:rPr>
                <w:rFonts w:ascii="Arial" w:hAnsi="Arial"/>
                <w:bCs/>
                <w:sz w:val="21"/>
                <w:szCs w:val="21"/>
                <w:highlight w:val="none"/>
              </w:rPr>
            </w:pPr>
          </w:p>
        </w:tc>
        <w:tc>
          <w:tcPr>
            <w:tcW w:w="1462" w:type="dxa"/>
            <w:tcBorders>
              <w:top w:val="single" w:color="auto" w:sz="4" w:space="0"/>
              <w:left w:val="nil"/>
              <w:bottom w:val="single" w:color="auto" w:sz="4" w:space="0"/>
              <w:right w:val="single" w:color="auto" w:sz="4" w:space="0"/>
            </w:tcBorders>
            <w:vAlign w:val="center"/>
          </w:tcPr>
          <w:p w14:paraId="6C2080C0">
            <w:pPr>
              <w:adjustRightInd w:val="0"/>
              <w:snapToGrid w:val="0"/>
              <w:spacing w:line="300" w:lineRule="auto"/>
              <w:ind w:firstLine="0" w:firstLineChars="0"/>
              <w:jc w:val="both"/>
              <w:rPr>
                <w:rFonts w:ascii="Arial" w:hAnsi="Arial"/>
                <w:bCs/>
                <w:sz w:val="21"/>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61D36325">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≤1.0</w:t>
            </w:r>
          </w:p>
        </w:tc>
      </w:tr>
      <w:tr w14:paraId="74F20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312" w:type="dxa"/>
            <w:tcBorders>
              <w:top w:val="single" w:color="auto" w:sz="4" w:space="0"/>
              <w:left w:val="single" w:color="auto" w:sz="4" w:space="0"/>
              <w:bottom w:val="single" w:color="auto" w:sz="4" w:space="0"/>
              <w:right w:val="single" w:color="auto" w:sz="4" w:space="0"/>
            </w:tcBorders>
            <w:vAlign w:val="center"/>
          </w:tcPr>
          <w:p w14:paraId="729CEFB7">
            <w:pPr>
              <w:adjustRightInd w:val="0"/>
              <w:snapToGrid w:val="0"/>
              <w:spacing w:line="300" w:lineRule="auto"/>
              <w:ind w:firstLine="0" w:firstLineChars="0"/>
              <w:jc w:val="both"/>
              <w:rPr>
                <w:rFonts w:ascii="Arial" w:hAnsi="Arial"/>
                <w:bCs/>
                <w:sz w:val="21"/>
                <w:szCs w:val="21"/>
                <w:highlight w:val="none"/>
              </w:rPr>
            </w:pPr>
            <w:r>
              <w:rPr>
                <w:rFonts w:hint="eastAsia" w:ascii="Arial" w:hAnsi="Arial"/>
                <w:bCs/>
                <w:sz w:val="21"/>
                <w:szCs w:val="21"/>
                <w:highlight w:val="none"/>
              </w:rPr>
              <w:t>碱，%</w:t>
            </w:r>
          </w:p>
        </w:tc>
        <w:tc>
          <w:tcPr>
            <w:tcW w:w="1332" w:type="dxa"/>
            <w:tcBorders>
              <w:top w:val="single" w:color="auto" w:sz="4" w:space="0"/>
              <w:left w:val="nil"/>
              <w:bottom w:val="single" w:color="auto" w:sz="4" w:space="0"/>
              <w:right w:val="single" w:color="auto" w:sz="4" w:space="0"/>
            </w:tcBorders>
            <w:vAlign w:val="center"/>
          </w:tcPr>
          <w:p w14:paraId="38295134">
            <w:pPr>
              <w:adjustRightInd w:val="0"/>
              <w:snapToGrid w:val="0"/>
              <w:spacing w:line="300" w:lineRule="auto"/>
              <w:ind w:firstLine="0" w:firstLineChars="0"/>
              <w:jc w:val="both"/>
              <w:rPr>
                <w:rFonts w:ascii="Arial" w:hAnsi="Arial"/>
                <w:bCs/>
                <w:sz w:val="21"/>
                <w:szCs w:val="21"/>
                <w:highlight w:val="none"/>
              </w:rPr>
            </w:pPr>
          </w:p>
        </w:tc>
        <w:tc>
          <w:tcPr>
            <w:tcW w:w="1248" w:type="dxa"/>
            <w:tcBorders>
              <w:top w:val="single" w:color="auto" w:sz="4" w:space="0"/>
              <w:left w:val="nil"/>
              <w:bottom w:val="single" w:color="auto" w:sz="4" w:space="0"/>
              <w:right w:val="single" w:color="auto" w:sz="4" w:space="0"/>
            </w:tcBorders>
            <w:vAlign w:val="center"/>
          </w:tcPr>
          <w:p w14:paraId="119C87AC">
            <w:pPr>
              <w:adjustRightInd w:val="0"/>
              <w:snapToGrid w:val="0"/>
              <w:spacing w:line="300" w:lineRule="auto"/>
              <w:ind w:firstLine="0" w:firstLineChars="0"/>
              <w:jc w:val="both"/>
              <w:rPr>
                <w:rFonts w:ascii="Arial" w:hAnsi="Arial"/>
                <w:bCs/>
                <w:sz w:val="21"/>
                <w:szCs w:val="21"/>
                <w:highlight w:val="none"/>
              </w:rPr>
            </w:pPr>
          </w:p>
        </w:tc>
        <w:tc>
          <w:tcPr>
            <w:tcW w:w="1502" w:type="dxa"/>
            <w:tcBorders>
              <w:top w:val="single" w:color="auto" w:sz="4" w:space="0"/>
              <w:left w:val="nil"/>
              <w:bottom w:val="single" w:color="auto" w:sz="4" w:space="0"/>
              <w:right w:val="single" w:color="auto" w:sz="4" w:space="0"/>
            </w:tcBorders>
            <w:vAlign w:val="center"/>
          </w:tcPr>
          <w:p w14:paraId="4563AE1C">
            <w:pPr>
              <w:adjustRightInd w:val="0"/>
              <w:snapToGrid w:val="0"/>
              <w:spacing w:line="300" w:lineRule="auto"/>
              <w:ind w:firstLine="0" w:firstLineChars="0"/>
              <w:jc w:val="both"/>
              <w:rPr>
                <w:rFonts w:ascii="Arial" w:hAnsi="Arial"/>
                <w:bCs/>
                <w:sz w:val="21"/>
                <w:szCs w:val="21"/>
                <w:highlight w:val="none"/>
              </w:rPr>
            </w:pPr>
          </w:p>
        </w:tc>
        <w:tc>
          <w:tcPr>
            <w:tcW w:w="1462" w:type="dxa"/>
            <w:tcBorders>
              <w:top w:val="single" w:color="auto" w:sz="4" w:space="0"/>
              <w:left w:val="nil"/>
              <w:bottom w:val="single" w:color="auto" w:sz="4" w:space="0"/>
              <w:right w:val="single" w:color="auto" w:sz="4" w:space="0"/>
            </w:tcBorders>
            <w:vAlign w:val="center"/>
          </w:tcPr>
          <w:p w14:paraId="1940C716">
            <w:pPr>
              <w:adjustRightInd w:val="0"/>
              <w:snapToGrid w:val="0"/>
              <w:spacing w:line="300" w:lineRule="auto"/>
              <w:ind w:firstLine="0" w:firstLineChars="0"/>
              <w:jc w:val="both"/>
              <w:rPr>
                <w:rFonts w:ascii="Arial" w:hAnsi="Arial"/>
                <w:bCs/>
                <w:sz w:val="21"/>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0FAEF73">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≤1.5</w:t>
            </w:r>
          </w:p>
        </w:tc>
      </w:tr>
      <w:tr w14:paraId="51AFA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312" w:type="dxa"/>
            <w:tcBorders>
              <w:top w:val="single" w:color="auto" w:sz="4" w:space="0"/>
              <w:left w:val="single" w:color="auto" w:sz="4" w:space="0"/>
              <w:bottom w:val="single" w:color="auto" w:sz="4" w:space="0"/>
              <w:right w:val="single" w:color="auto" w:sz="4" w:space="0"/>
            </w:tcBorders>
            <w:vAlign w:val="center"/>
          </w:tcPr>
          <w:p w14:paraId="6F7DD3FB">
            <w:pPr>
              <w:adjustRightInd w:val="0"/>
              <w:snapToGrid w:val="0"/>
              <w:spacing w:line="300" w:lineRule="auto"/>
              <w:ind w:firstLine="0" w:firstLineChars="0"/>
              <w:jc w:val="both"/>
              <w:rPr>
                <w:rFonts w:ascii="Arial" w:hAnsi="Arial"/>
                <w:bCs/>
                <w:sz w:val="21"/>
                <w:szCs w:val="21"/>
                <w:highlight w:val="none"/>
              </w:rPr>
            </w:pPr>
            <w:r>
              <w:rPr>
                <w:bCs/>
                <w:sz w:val="21"/>
                <w:szCs w:val="21"/>
                <w:highlight w:val="none"/>
              </w:rPr>
              <w:t>体积密度，</w:t>
            </w:r>
            <w:r>
              <w:rPr>
                <w:rFonts w:ascii="Arial" w:hAnsi="Arial"/>
                <w:bCs/>
                <w:sz w:val="21"/>
                <w:szCs w:val="21"/>
                <w:highlight w:val="none"/>
              </w:rPr>
              <w:t>g/cm</w:t>
            </w:r>
            <w:r>
              <w:rPr>
                <w:rFonts w:ascii="Arial" w:hAnsi="Arial"/>
                <w:bCs/>
                <w:sz w:val="21"/>
                <w:szCs w:val="21"/>
                <w:highlight w:val="none"/>
                <w:vertAlign w:val="superscript"/>
              </w:rPr>
              <w:t>3</w:t>
            </w:r>
          </w:p>
        </w:tc>
        <w:tc>
          <w:tcPr>
            <w:tcW w:w="1332" w:type="dxa"/>
            <w:tcBorders>
              <w:top w:val="single" w:color="auto" w:sz="4" w:space="0"/>
              <w:left w:val="nil"/>
              <w:bottom w:val="single" w:color="auto" w:sz="4" w:space="0"/>
              <w:right w:val="single" w:color="auto" w:sz="4" w:space="0"/>
            </w:tcBorders>
            <w:vAlign w:val="center"/>
          </w:tcPr>
          <w:p w14:paraId="36A36D84">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≤0.8</w:t>
            </w:r>
          </w:p>
        </w:tc>
        <w:tc>
          <w:tcPr>
            <w:tcW w:w="1248" w:type="dxa"/>
            <w:tcBorders>
              <w:top w:val="single" w:color="auto" w:sz="4" w:space="0"/>
              <w:left w:val="nil"/>
              <w:bottom w:val="single" w:color="auto" w:sz="4" w:space="0"/>
              <w:right w:val="single" w:color="auto" w:sz="4" w:space="0"/>
            </w:tcBorders>
            <w:vAlign w:val="center"/>
          </w:tcPr>
          <w:p w14:paraId="0CAA96A3">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≤0.8</w:t>
            </w:r>
          </w:p>
        </w:tc>
        <w:tc>
          <w:tcPr>
            <w:tcW w:w="1502" w:type="dxa"/>
            <w:tcBorders>
              <w:top w:val="single" w:color="auto" w:sz="4" w:space="0"/>
              <w:left w:val="nil"/>
              <w:bottom w:val="single" w:color="auto" w:sz="4" w:space="0"/>
              <w:right w:val="single" w:color="auto" w:sz="4" w:space="0"/>
            </w:tcBorders>
            <w:vAlign w:val="center"/>
          </w:tcPr>
          <w:p w14:paraId="5386D5A1">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≤1.0</w:t>
            </w:r>
          </w:p>
        </w:tc>
        <w:tc>
          <w:tcPr>
            <w:tcW w:w="1462" w:type="dxa"/>
            <w:tcBorders>
              <w:top w:val="single" w:color="auto" w:sz="4" w:space="0"/>
              <w:left w:val="nil"/>
              <w:bottom w:val="single" w:color="auto" w:sz="4" w:space="0"/>
              <w:right w:val="single" w:color="auto" w:sz="4" w:space="0"/>
            </w:tcBorders>
            <w:vAlign w:val="center"/>
          </w:tcPr>
          <w:p w14:paraId="73E856F7">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≤0.8</w:t>
            </w:r>
          </w:p>
        </w:tc>
        <w:tc>
          <w:tcPr>
            <w:tcW w:w="1440" w:type="dxa"/>
            <w:tcBorders>
              <w:top w:val="single" w:color="auto" w:sz="4" w:space="0"/>
              <w:left w:val="single" w:color="auto" w:sz="4" w:space="0"/>
              <w:bottom w:val="single" w:color="auto" w:sz="4" w:space="0"/>
              <w:right w:val="single" w:color="auto" w:sz="4" w:space="0"/>
            </w:tcBorders>
            <w:vAlign w:val="center"/>
          </w:tcPr>
          <w:p w14:paraId="52ADC447">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≤0.975</w:t>
            </w:r>
          </w:p>
        </w:tc>
      </w:tr>
      <w:tr w14:paraId="2F55F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1312" w:type="dxa"/>
            <w:tcBorders>
              <w:top w:val="single" w:color="auto" w:sz="4" w:space="0"/>
              <w:left w:val="single" w:color="auto" w:sz="4" w:space="0"/>
              <w:bottom w:val="single" w:color="auto" w:sz="4" w:space="0"/>
              <w:right w:val="single" w:color="auto" w:sz="4" w:space="0"/>
            </w:tcBorders>
            <w:vAlign w:val="center"/>
          </w:tcPr>
          <w:p w14:paraId="685212C5">
            <w:pPr>
              <w:adjustRightInd w:val="0"/>
              <w:snapToGrid w:val="0"/>
              <w:spacing w:line="300" w:lineRule="auto"/>
              <w:ind w:firstLine="0" w:firstLineChars="0"/>
              <w:jc w:val="both"/>
              <w:rPr>
                <w:rFonts w:ascii="Arial" w:hAnsi="Arial"/>
                <w:bCs/>
                <w:sz w:val="21"/>
                <w:szCs w:val="21"/>
                <w:highlight w:val="none"/>
              </w:rPr>
            </w:pPr>
            <w:r>
              <w:rPr>
                <w:bCs/>
                <w:sz w:val="21"/>
                <w:szCs w:val="21"/>
                <w:highlight w:val="none"/>
              </w:rPr>
              <w:t>常温耐压强度，</w:t>
            </w:r>
            <w:r>
              <w:rPr>
                <w:rFonts w:ascii="Arial" w:hAnsi="Arial"/>
                <w:bCs/>
                <w:sz w:val="21"/>
                <w:szCs w:val="21"/>
                <w:highlight w:val="none"/>
              </w:rPr>
              <w:t>MPa</w:t>
            </w:r>
          </w:p>
        </w:tc>
        <w:tc>
          <w:tcPr>
            <w:tcW w:w="1332" w:type="dxa"/>
            <w:tcBorders>
              <w:top w:val="single" w:color="auto" w:sz="4" w:space="0"/>
              <w:left w:val="nil"/>
              <w:bottom w:val="single" w:color="auto" w:sz="4" w:space="0"/>
              <w:right w:val="single" w:color="auto" w:sz="4" w:space="0"/>
            </w:tcBorders>
            <w:vAlign w:val="center"/>
          </w:tcPr>
          <w:p w14:paraId="0A465A39">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≥2.5</w:t>
            </w:r>
          </w:p>
        </w:tc>
        <w:tc>
          <w:tcPr>
            <w:tcW w:w="1248" w:type="dxa"/>
            <w:tcBorders>
              <w:top w:val="single" w:color="auto" w:sz="4" w:space="0"/>
              <w:left w:val="nil"/>
              <w:bottom w:val="single" w:color="auto" w:sz="4" w:space="0"/>
              <w:right w:val="single" w:color="auto" w:sz="4" w:space="0"/>
            </w:tcBorders>
            <w:vAlign w:val="center"/>
          </w:tcPr>
          <w:p w14:paraId="5AF30599">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≥2.5</w:t>
            </w:r>
          </w:p>
        </w:tc>
        <w:tc>
          <w:tcPr>
            <w:tcW w:w="1502" w:type="dxa"/>
            <w:tcBorders>
              <w:top w:val="single" w:color="auto" w:sz="4" w:space="0"/>
              <w:left w:val="nil"/>
              <w:bottom w:val="single" w:color="auto" w:sz="4" w:space="0"/>
              <w:right w:val="single" w:color="auto" w:sz="4" w:space="0"/>
            </w:tcBorders>
            <w:vAlign w:val="center"/>
          </w:tcPr>
          <w:p w14:paraId="328D5033">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≥3.5</w:t>
            </w:r>
          </w:p>
        </w:tc>
        <w:tc>
          <w:tcPr>
            <w:tcW w:w="1462" w:type="dxa"/>
            <w:tcBorders>
              <w:top w:val="single" w:color="auto" w:sz="4" w:space="0"/>
              <w:left w:val="nil"/>
              <w:bottom w:val="single" w:color="auto" w:sz="4" w:space="0"/>
              <w:right w:val="single" w:color="auto" w:sz="4" w:space="0"/>
            </w:tcBorders>
            <w:vAlign w:val="center"/>
          </w:tcPr>
          <w:p w14:paraId="0D88BA2D">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≥3.0</w:t>
            </w:r>
          </w:p>
        </w:tc>
        <w:tc>
          <w:tcPr>
            <w:tcW w:w="1440" w:type="dxa"/>
            <w:tcBorders>
              <w:top w:val="single" w:color="auto" w:sz="4" w:space="0"/>
              <w:left w:val="single" w:color="auto" w:sz="4" w:space="0"/>
              <w:bottom w:val="single" w:color="auto" w:sz="4" w:space="0"/>
              <w:right w:val="single" w:color="auto" w:sz="4" w:space="0"/>
            </w:tcBorders>
            <w:vAlign w:val="center"/>
          </w:tcPr>
          <w:p w14:paraId="1A539FC4">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≥3.0</w:t>
            </w:r>
          </w:p>
        </w:tc>
      </w:tr>
      <w:tr w14:paraId="67EFE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312" w:type="dxa"/>
            <w:tcBorders>
              <w:top w:val="single" w:color="auto" w:sz="4" w:space="0"/>
              <w:left w:val="single" w:color="auto" w:sz="4" w:space="0"/>
              <w:bottom w:val="single" w:color="auto" w:sz="4" w:space="0"/>
              <w:right w:val="single" w:color="auto" w:sz="4" w:space="0"/>
            </w:tcBorders>
            <w:vAlign w:val="center"/>
          </w:tcPr>
          <w:p w14:paraId="2EFE9D6D">
            <w:pPr>
              <w:adjustRightInd w:val="0"/>
              <w:snapToGrid w:val="0"/>
              <w:spacing w:line="300" w:lineRule="auto"/>
              <w:ind w:firstLine="0" w:firstLineChars="0"/>
              <w:jc w:val="both"/>
              <w:rPr>
                <w:rFonts w:ascii="Arial" w:hAnsi="Arial"/>
                <w:bCs/>
                <w:sz w:val="21"/>
                <w:szCs w:val="21"/>
                <w:highlight w:val="none"/>
              </w:rPr>
            </w:pPr>
            <w:r>
              <w:rPr>
                <w:bCs/>
                <w:sz w:val="21"/>
                <w:szCs w:val="21"/>
                <w:highlight w:val="none"/>
              </w:rPr>
              <w:t>重烧线变化，试验温度</w:t>
            </w:r>
            <w:r>
              <w:rPr>
                <w:rFonts w:hint="eastAsia"/>
                <w:bCs/>
                <w:sz w:val="21"/>
                <w:szCs w:val="21"/>
                <w:highlight w:val="none"/>
              </w:rPr>
              <w:t>℃</w:t>
            </w:r>
          </w:p>
          <w:p w14:paraId="78A59E46">
            <w:pPr>
              <w:adjustRightInd w:val="0"/>
              <w:snapToGrid w:val="0"/>
              <w:spacing w:line="300" w:lineRule="auto"/>
              <w:ind w:firstLine="0" w:firstLineChars="0"/>
              <w:jc w:val="both"/>
              <w:rPr>
                <w:rFonts w:ascii="Arial" w:hAnsi="Arial"/>
                <w:bCs/>
                <w:sz w:val="21"/>
                <w:szCs w:val="21"/>
                <w:highlight w:val="none"/>
              </w:rPr>
            </w:pPr>
          </w:p>
        </w:tc>
        <w:tc>
          <w:tcPr>
            <w:tcW w:w="1332" w:type="dxa"/>
            <w:tcBorders>
              <w:top w:val="single" w:color="auto" w:sz="4" w:space="0"/>
              <w:left w:val="nil"/>
              <w:bottom w:val="single" w:color="auto" w:sz="4" w:space="0"/>
              <w:right w:val="single" w:color="auto" w:sz="4" w:space="0"/>
            </w:tcBorders>
            <w:vAlign w:val="center"/>
          </w:tcPr>
          <w:p w14:paraId="78676A5B">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1400×1</w:t>
            </w:r>
            <w:r>
              <w:rPr>
                <w:rFonts w:hint="eastAsia" w:ascii="Arial" w:hAnsi="Arial"/>
                <w:bCs/>
                <w:sz w:val="21"/>
                <w:szCs w:val="21"/>
                <w:highlight w:val="none"/>
              </w:rPr>
              <w:t>2h</w:t>
            </w:r>
          </w:p>
          <w:p w14:paraId="599053C0">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≤2%</w:t>
            </w:r>
          </w:p>
        </w:tc>
        <w:tc>
          <w:tcPr>
            <w:tcW w:w="1248" w:type="dxa"/>
            <w:tcBorders>
              <w:top w:val="single" w:color="auto" w:sz="4" w:space="0"/>
              <w:left w:val="nil"/>
              <w:bottom w:val="single" w:color="auto" w:sz="4" w:space="0"/>
              <w:right w:val="single" w:color="auto" w:sz="4" w:space="0"/>
            </w:tcBorders>
            <w:vAlign w:val="center"/>
          </w:tcPr>
          <w:p w14:paraId="4CF89796">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1400</w:t>
            </w:r>
            <w:r>
              <w:rPr>
                <w:rFonts w:hint="eastAsia" w:ascii="Arial" w:hAnsi="Arial"/>
                <w:bCs/>
                <w:sz w:val="21"/>
                <w:szCs w:val="21"/>
                <w:highlight w:val="none"/>
              </w:rPr>
              <w:t>/2h</w:t>
            </w:r>
          </w:p>
          <w:p w14:paraId="2DC17F8E">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≤1%</w:t>
            </w:r>
          </w:p>
        </w:tc>
        <w:tc>
          <w:tcPr>
            <w:tcW w:w="1502" w:type="dxa"/>
            <w:tcBorders>
              <w:top w:val="single" w:color="auto" w:sz="4" w:space="0"/>
              <w:left w:val="nil"/>
              <w:bottom w:val="single" w:color="auto" w:sz="4" w:space="0"/>
              <w:right w:val="single" w:color="auto" w:sz="4" w:space="0"/>
            </w:tcBorders>
            <w:vAlign w:val="center"/>
          </w:tcPr>
          <w:p w14:paraId="52AE3530">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1300×12h</w:t>
            </w:r>
          </w:p>
          <w:p w14:paraId="67C5985B">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≤2%</w:t>
            </w:r>
          </w:p>
        </w:tc>
        <w:tc>
          <w:tcPr>
            <w:tcW w:w="1462" w:type="dxa"/>
            <w:tcBorders>
              <w:top w:val="single" w:color="auto" w:sz="4" w:space="0"/>
              <w:left w:val="nil"/>
              <w:bottom w:val="single" w:color="auto" w:sz="4" w:space="0"/>
              <w:right w:val="single" w:color="auto" w:sz="4" w:space="0"/>
            </w:tcBorders>
            <w:vAlign w:val="center"/>
          </w:tcPr>
          <w:p w14:paraId="6314B385">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1250×12h</w:t>
            </w:r>
          </w:p>
          <w:p w14:paraId="576E9B20">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≤2%</w:t>
            </w:r>
          </w:p>
        </w:tc>
        <w:tc>
          <w:tcPr>
            <w:tcW w:w="1440" w:type="dxa"/>
            <w:tcBorders>
              <w:top w:val="single" w:color="auto" w:sz="4" w:space="0"/>
              <w:left w:val="single" w:color="auto" w:sz="4" w:space="0"/>
              <w:bottom w:val="single" w:color="auto" w:sz="4" w:space="0"/>
              <w:right w:val="single" w:color="auto" w:sz="4" w:space="0"/>
            </w:tcBorders>
            <w:vAlign w:val="center"/>
          </w:tcPr>
          <w:p w14:paraId="4CBAD42A">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1500×12h</w:t>
            </w:r>
          </w:p>
          <w:p w14:paraId="0168D97A">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-1~0</w:t>
            </w:r>
          </w:p>
        </w:tc>
      </w:tr>
      <w:tr w14:paraId="42C32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312" w:type="dxa"/>
            <w:tcBorders>
              <w:top w:val="single" w:color="auto" w:sz="4" w:space="0"/>
              <w:left w:val="single" w:color="auto" w:sz="4" w:space="0"/>
              <w:bottom w:val="single" w:color="auto" w:sz="4" w:space="0"/>
              <w:right w:val="single" w:color="auto" w:sz="4" w:space="0"/>
            </w:tcBorders>
            <w:vAlign w:val="center"/>
          </w:tcPr>
          <w:p w14:paraId="6BF1A4C4">
            <w:pPr>
              <w:adjustRightInd w:val="0"/>
              <w:snapToGrid w:val="0"/>
              <w:spacing w:line="300" w:lineRule="auto"/>
              <w:ind w:firstLine="0" w:firstLineChars="0"/>
              <w:jc w:val="both"/>
              <w:rPr>
                <w:rFonts w:ascii="Arial" w:hAnsi="Arial"/>
                <w:bCs/>
                <w:sz w:val="21"/>
                <w:szCs w:val="21"/>
                <w:highlight w:val="none"/>
              </w:rPr>
            </w:pPr>
            <w:r>
              <w:rPr>
                <w:bCs/>
                <w:sz w:val="21"/>
                <w:szCs w:val="21"/>
                <w:highlight w:val="none"/>
              </w:rPr>
              <w:t>导热系数，</w:t>
            </w:r>
            <w:r>
              <w:rPr>
                <w:rFonts w:ascii="Arial" w:hAnsi="Arial"/>
                <w:bCs/>
                <w:sz w:val="21"/>
                <w:szCs w:val="21"/>
                <w:highlight w:val="none"/>
              </w:rPr>
              <w:t>W/m.K</w:t>
            </w:r>
          </w:p>
          <w:p w14:paraId="5D07BB12">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w:t>
            </w:r>
            <w:r>
              <w:rPr>
                <w:bCs/>
                <w:sz w:val="21"/>
                <w:szCs w:val="21"/>
                <w:highlight w:val="none"/>
              </w:rPr>
              <w:t>平均温度</w:t>
            </w:r>
            <w:r>
              <w:rPr>
                <w:rFonts w:ascii="Arial" w:hAnsi="Arial"/>
                <w:bCs/>
                <w:sz w:val="21"/>
                <w:szCs w:val="21"/>
                <w:highlight w:val="none"/>
              </w:rPr>
              <w:t>350±25</w:t>
            </w:r>
            <w:r>
              <w:rPr>
                <w:rFonts w:hint="eastAsia" w:cs="Times New Roman"/>
                <w:bCs/>
                <w:sz w:val="21"/>
                <w:szCs w:val="21"/>
                <w:highlight w:val="none"/>
              </w:rPr>
              <w:t>℃</w:t>
            </w:r>
            <w:r>
              <w:rPr>
                <w:rFonts w:ascii="Arial" w:hAnsi="Arial"/>
                <w:bCs/>
                <w:sz w:val="21"/>
                <w:szCs w:val="21"/>
                <w:highlight w:val="none"/>
              </w:rPr>
              <w:t>)</w:t>
            </w:r>
            <w:r>
              <w:rPr>
                <w:rFonts w:ascii="Arial" w:hAnsi="Arial"/>
                <w:sz w:val="21"/>
                <w:szCs w:val="21"/>
                <w:highlight w:val="none"/>
              </w:rPr>
              <w:t xml:space="preserve"> </w:t>
            </w:r>
          </w:p>
        </w:tc>
        <w:tc>
          <w:tcPr>
            <w:tcW w:w="1332" w:type="dxa"/>
            <w:tcBorders>
              <w:top w:val="single" w:color="auto" w:sz="4" w:space="0"/>
              <w:left w:val="nil"/>
              <w:bottom w:val="single" w:color="auto" w:sz="4" w:space="0"/>
              <w:right w:val="single" w:color="auto" w:sz="4" w:space="0"/>
            </w:tcBorders>
            <w:vAlign w:val="center"/>
          </w:tcPr>
          <w:p w14:paraId="2412BEFF">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≤0.35</w:t>
            </w:r>
          </w:p>
        </w:tc>
        <w:tc>
          <w:tcPr>
            <w:tcW w:w="1248" w:type="dxa"/>
            <w:tcBorders>
              <w:top w:val="single" w:color="auto" w:sz="4" w:space="0"/>
              <w:left w:val="nil"/>
              <w:bottom w:val="single" w:color="auto" w:sz="4" w:space="0"/>
              <w:right w:val="single" w:color="auto" w:sz="4" w:space="0"/>
            </w:tcBorders>
            <w:vAlign w:val="center"/>
          </w:tcPr>
          <w:p w14:paraId="550C07F1">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≤0.35</w:t>
            </w:r>
          </w:p>
        </w:tc>
        <w:tc>
          <w:tcPr>
            <w:tcW w:w="1502" w:type="dxa"/>
            <w:tcBorders>
              <w:top w:val="single" w:color="auto" w:sz="4" w:space="0"/>
              <w:left w:val="nil"/>
              <w:bottom w:val="single" w:color="auto" w:sz="4" w:space="0"/>
              <w:right w:val="single" w:color="auto" w:sz="4" w:space="0"/>
            </w:tcBorders>
            <w:vAlign w:val="center"/>
          </w:tcPr>
          <w:p w14:paraId="2CE22E0F">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≤0.4</w:t>
            </w:r>
          </w:p>
        </w:tc>
        <w:tc>
          <w:tcPr>
            <w:tcW w:w="1462" w:type="dxa"/>
            <w:tcBorders>
              <w:top w:val="single" w:color="auto" w:sz="4" w:space="0"/>
              <w:left w:val="nil"/>
              <w:bottom w:val="single" w:color="auto" w:sz="4" w:space="0"/>
              <w:right w:val="single" w:color="auto" w:sz="4" w:space="0"/>
            </w:tcBorders>
            <w:vAlign w:val="center"/>
          </w:tcPr>
          <w:p w14:paraId="08DAA2F5">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≤0.26</w:t>
            </w:r>
          </w:p>
        </w:tc>
        <w:tc>
          <w:tcPr>
            <w:tcW w:w="1440" w:type="dxa"/>
            <w:tcBorders>
              <w:top w:val="single" w:color="auto" w:sz="4" w:space="0"/>
              <w:left w:val="single" w:color="auto" w:sz="4" w:space="0"/>
              <w:bottom w:val="single" w:color="auto" w:sz="4" w:space="0"/>
              <w:right w:val="single" w:color="auto" w:sz="4" w:space="0"/>
            </w:tcBorders>
            <w:vAlign w:val="center"/>
          </w:tcPr>
          <w:p w14:paraId="2C85C8AA">
            <w:pPr>
              <w:adjustRightInd w:val="0"/>
              <w:snapToGrid w:val="0"/>
              <w:spacing w:line="300" w:lineRule="auto"/>
              <w:ind w:firstLine="0" w:firstLineChars="0"/>
              <w:jc w:val="both"/>
              <w:rPr>
                <w:rFonts w:ascii="Arial" w:hAnsi="Arial"/>
                <w:bCs/>
                <w:sz w:val="21"/>
                <w:szCs w:val="21"/>
                <w:highlight w:val="none"/>
              </w:rPr>
            </w:pPr>
          </w:p>
        </w:tc>
      </w:tr>
      <w:tr w14:paraId="730B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312" w:type="dxa"/>
            <w:tcBorders>
              <w:top w:val="single" w:color="auto" w:sz="4" w:space="0"/>
              <w:left w:val="single" w:color="auto" w:sz="4" w:space="0"/>
              <w:bottom w:val="single" w:color="auto" w:sz="4" w:space="0"/>
              <w:right w:val="single" w:color="auto" w:sz="4" w:space="0"/>
            </w:tcBorders>
            <w:vAlign w:val="center"/>
          </w:tcPr>
          <w:p w14:paraId="63FE36A7">
            <w:pPr>
              <w:adjustRightInd w:val="0"/>
              <w:snapToGrid w:val="0"/>
              <w:spacing w:line="300" w:lineRule="auto"/>
              <w:ind w:firstLine="0" w:firstLineChars="0"/>
              <w:jc w:val="both"/>
              <w:rPr>
                <w:rFonts w:ascii="Arial" w:hAnsi="Arial"/>
                <w:bCs/>
                <w:sz w:val="21"/>
                <w:szCs w:val="21"/>
                <w:highlight w:val="none"/>
              </w:rPr>
            </w:pPr>
            <w:r>
              <w:rPr>
                <w:bCs/>
                <w:sz w:val="21"/>
                <w:szCs w:val="21"/>
                <w:highlight w:val="none"/>
              </w:rPr>
              <w:t>导热系数，</w:t>
            </w:r>
            <w:r>
              <w:rPr>
                <w:rFonts w:ascii="Arial" w:hAnsi="Arial"/>
                <w:bCs/>
                <w:sz w:val="21"/>
                <w:szCs w:val="21"/>
                <w:highlight w:val="none"/>
              </w:rPr>
              <w:t>W/m.K</w:t>
            </w:r>
          </w:p>
          <w:p w14:paraId="77EE836F">
            <w:pPr>
              <w:adjustRightInd w:val="0"/>
              <w:snapToGrid w:val="0"/>
              <w:spacing w:line="300" w:lineRule="auto"/>
              <w:ind w:firstLine="0" w:firstLineChars="0"/>
              <w:jc w:val="both"/>
              <w:rPr>
                <w:bCs/>
                <w:sz w:val="21"/>
                <w:szCs w:val="21"/>
                <w:highlight w:val="none"/>
              </w:rPr>
            </w:pPr>
            <w:r>
              <w:rPr>
                <w:rFonts w:ascii="Arial" w:hAnsi="Arial"/>
                <w:bCs/>
                <w:sz w:val="21"/>
                <w:szCs w:val="21"/>
                <w:highlight w:val="none"/>
              </w:rPr>
              <w:t>(</w:t>
            </w:r>
            <w:r>
              <w:rPr>
                <w:bCs/>
                <w:sz w:val="21"/>
                <w:szCs w:val="21"/>
                <w:highlight w:val="none"/>
              </w:rPr>
              <w:t>平均温度</w:t>
            </w:r>
            <w:r>
              <w:rPr>
                <w:rFonts w:ascii="Arial" w:hAnsi="Arial"/>
                <w:bCs/>
                <w:sz w:val="21"/>
                <w:szCs w:val="21"/>
                <w:highlight w:val="none"/>
              </w:rPr>
              <w:t>800±25</w:t>
            </w:r>
            <w:r>
              <w:rPr>
                <w:rFonts w:hint="eastAsia" w:cs="Times New Roman"/>
                <w:bCs/>
                <w:sz w:val="21"/>
                <w:szCs w:val="21"/>
                <w:highlight w:val="none"/>
              </w:rPr>
              <w:t>℃</w:t>
            </w:r>
            <w:r>
              <w:rPr>
                <w:rFonts w:ascii="Arial" w:hAnsi="Arial"/>
                <w:bCs/>
                <w:sz w:val="21"/>
                <w:szCs w:val="21"/>
                <w:highlight w:val="none"/>
              </w:rPr>
              <w:t>)</w:t>
            </w:r>
          </w:p>
        </w:tc>
        <w:tc>
          <w:tcPr>
            <w:tcW w:w="1332" w:type="dxa"/>
            <w:tcBorders>
              <w:top w:val="single" w:color="auto" w:sz="4" w:space="0"/>
              <w:left w:val="nil"/>
              <w:bottom w:val="single" w:color="auto" w:sz="4" w:space="0"/>
              <w:right w:val="single" w:color="auto" w:sz="4" w:space="0"/>
            </w:tcBorders>
            <w:vAlign w:val="center"/>
          </w:tcPr>
          <w:p w14:paraId="60B3F50C">
            <w:pPr>
              <w:adjustRightInd w:val="0"/>
              <w:snapToGrid w:val="0"/>
              <w:spacing w:line="300" w:lineRule="auto"/>
              <w:ind w:firstLine="0" w:firstLineChars="0"/>
              <w:jc w:val="both"/>
              <w:rPr>
                <w:rFonts w:ascii="Arial" w:hAnsi="Arial"/>
                <w:bCs/>
                <w:sz w:val="21"/>
                <w:szCs w:val="21"/>
                <w:highlight w:val="none"/>
              </w:rPr>
            </w:pPr>
          </w:p>
        </w:tc>
        <w:tc>
          <w:tcPr>
            <w:tcW w:w="1248" w:type="dxa"/>
            <w:tcBorders>
              <w:top w:val="single" w:color="auto" w:sz="4" w:space="0"/>
              <w:left w:val="nil"/>
              <w:bottom w:val="single" w:color="auto" w:sz="4" w:space="0"/>
              <w:right w:val="single" w:color="auto" w:sz="4" w:space="0"/>
            </w:tcBorders>
            <w:vAlign w:val="center"/>
          </w:tcPr>
          <w:p w14:paraId="699B8D20">
            <w:pPr>
              <w:adjustRightInd w:val="0"/>
              <w:snapToGrid w:val="0"/>
              <w:spacing w:line="300" w:lineRule="auto"/>
              <w:ind w:firstLine="0" w:firstLineChars="0"/>
              <w:jc w:val="both"/>
              <w:rPr>
                <w:rFonts w:ascii="Arial" w:hAnsi="Arial"/>
                <w:bCs/>
                <w:sz w:val="21"/>
                <w:szCs w:val="21"/>
                <w:highlight w:val="none"/>
              </w:rPr>
            </w:pPr>
          </w:p>
        </w:tc>
        <w:tc>
          <w:tcPr>
            <w:tcW w:w="1502" w:type="dxa"/>
            <w:tcBorders>
              <w:top w:val="single" w:color="auto" w:sz="4" w:space="0"/>
              <w:left w:val="nil"/>
              <w:bottom w:val="single" w:color="auto" w:sz="4" w:space="0"/>
              <w:right w:val="single" w:color="auto" w:sz="4" w:space="0"/>
            </w:tcBorders>
            <w:vAlign w:val="center"/>
          </w:tcPr>
          <w:p w14:paraId="216DE8E7">
            <w:pPr>
              <w:adjustRightInd w:val="0"/>
              <w:snapToGrid w:val="0"/>
              <w:spacing w:line="300" w:lineRule="auto"/>
              <w:ind w:firstLine="0" w:firstLineChars="0"/>
              <w:jc w:val="both"/>
              <w:rPr>
                <w:rFonts w:ascii="Arial" w:hAnsi="Arial"/>
                <w:bCs/>
                <w:sz w:val="21"/>
                <w:szCs w:val="21"/>
                <w:highlight w:val="none"/>
              </w:rPr>
            </w:pPr>
          </w:p>
        </w:tc>
        <w:tc>
          <w:tcPr>
            <w:tcW w:w="1462" w:type="dxa"/>
            <w:tcBorders>
              <w:top w:val="single" w:color="auto" w:sz="4" w:space="0"/>
              <w:left w:val="nil"/>
              <w:bottom w:val="single" w:color="auto" w:sz="4" w:space="0"/>
              <w:right w:val="single" w:color="auto" w:sz="4" w:space="0"/>
            </w:tcBorders>
            <w:vAlign w:val="center"/>
          </w:tcPr>
          <w:p w14:paraId="18BC81EF">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≤0.45</w:t>
            </w:r>
          </w:p>
        </w:tc>
        <w:tc>
          <w:tcPr>
            <w:tcW w:w="1440" w:type="dxa"/>
            <w:tcBorders>
              <w:top w:val="single" w:color="auto" w:sz="4" w:space="0"/>
              <w:left w:val="single" w:color="auto" w:sz="4" w:space="0"/>
              <w:bottom w:val="single" w:color="auto" w:sz="4" w:space="0"/>
              <w:right w:val="single" w:color="auto" w:sz="4" w:space="0"/>
            </w:tcBorders>
            <w:vAlign w:val="center"/>
          </w:tcPr>
          <w:p w14:paraId="32F9663E">
            <w:pPr>
              <w:adjustRightInd w:val="0"/>
              <w:snapToGrid w:val="0"/>
              <w:spacing w:line="300" w:lineRule="auto"/>
              <w:ind w:firstLine="0" w:firstLineChars="0"/>
              <w:jc w:val="both"/>
              <w:rPr>
                <w:rFonts w:ascii="Arial" w:hAnsi="Arial"/>
                <w:bCs/>
                <w:sz w:val="21"/>
                <w:szCs w:val="21"/>
                <w:highlight w:val="none"/>
              </w:rPr>
            </w:pPr>
          </w:p>
        </w:tc>
      </w:tr>
      <w:tr w14:paraId="0A4A1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312" w:type="dxa"/>
            <w:tcBorders>
              <w:top w:val="single" w:color="auto" w:sz="4" w:space="0"/>
              <w:left w:val="single" w:color="auto" w:sz="4" w:space="0"/>
              <w:bottom w:val="single" w:color="auto" w:sz="4" w:space="0"/>
              <w:right w:val="single" w:color="auto" w:sz="4" w:space="0"/>
            </w:tcBorders>
            <w:vAlign w:val="center"/>
          </w:tcPr>
          <w:p w14:paraId="63A69A73">
            <w:pPr>
              <w:adjustRightInd w:val="0"/>
              <w:snapToGrid w:val="0"/>
              <w:spacing w:line="300" w:lineRule="auto"/>
              <w:ind w:firstLine="0" w:firstLineChars="0"/>
              <w:jc w:val="both"/>
              <w:rPr>
                <w:rFonts w:ascii="Arial" w:hAnsi="Arial"/>
                <w:bCs/>
                <w:sz w:val="21"/>
                <w:szCs w:val="21"/>
                <w:highlight w:val="none"/>
              </w:rPr>
            </w:pPr>
            <w:r>
              <w:rPr>
                <w:bCs/>
                <w:sz w:val="21"/>
                <w:szCs w:val="21"/>
                <w:highlight w:val="none"/>
              </w:rPr>
              <w:t>导热系数，</w:t>
            </w:r>
            <w:r>
              <w:rPr>
                <w:rFonts w:ascii="Arial" w:hAnsi="Arial"/>
                <w:bCs/>
                <w:sz w:val="21"/>
                <w:szCs w:val="21"/>
                <w:highlight w:val="none"/>
              </w:rPr>
              <w:t>W/m.K</w:t>
            </w:r>
          </w:p>
          <w:p w14:paraId="447DACF8">
            <w:pPr>
              <w:adjustRightInd w:val="0"/>
              <w:snapToGrid w:val="0"/>
              <w:spacing w:line="300" w:lineRule="auto"/>
              <w:ind w:firstLine="0" w:firstLineChars="0"/>
              <w:jc w:val="both"/>
              <w:rPr>
                <w:bCs/>
                <w:sz w:val="21"/>
                <w:szCs w:val="21"/>
                <w:highlight w:val="none"/>
              </w:rPr>
            </w:pPr>
            <w:r>
              <w:rPr>
                <w:rFonts w:ascii="Arial" w:hAnsi="Arial"/>
                <w:bCs/>
                <w:sz w:val="21"/>
                <w:szCs w:val="21"/>
                <w:highlight w:val="none"/>
              </w:rPr>
              <w:t>(</w:t>
            </w:r>
            <w:r>
              <w:rPr>
                <w:bCs/>
                <w:sz w:val="21"/>
                <w:szCs w:val="21"/>
                <w:highlight w:val="none"/>
              </w:rPr>
              <w:t>平均温度</w:t>
            </w:r>
            <w:r>
              <w:rPr>
                <w:rFonts w:ascii="Arial" w:hAnsi="Arial"/>
                <w:bCs/>
                <w:sz w:val="21"/>
                <w:szCs w:val="21"/>
                <w:highlight w:val="none"/>
              </w:rPr>
              <w:t>1000±25</w:t>
            </w:r>
            <w:r>
              <w:rPr>
                <w:rFonts w:hint="eastAsia" w:cs="Times New Roman"/>
                <w:bCs/>
                <w:sz w:val="21"/>
                <w:szCs w:val="21"/>
                <w:highlight w:val="none"/>
              </w:rPr>
              <w:t>℃</w:t>
            </w:r>
            <w:r>
              <w:rPr>
                <w:rFonts w:ascii="Arial" w:hAnsi="Arial"/>
                <w:bCs/>
                <w:sz w:val="21"/>
                <w:szCs w:val="21"/>
                <w:highlight w:val="none"/>
              </w:rPr>
              <w:t>)</w:t>
            </w:r>
          </w:p>
        </w:tc>
        <w:tc>
          <w:tcPr>
            <w:tcW w:w="1332" w:type="dxa"/>
            <w:tcBorders>
              <w:top w:val="single" w:color="auto" w:sz="4" w:space="0"/>
              <w:left w:val="nil"/>
              <w:bottom w:val="single" w:color="auto" w:sz="4" w:space="0"/>
              <w:right w:val="single" w:color="auto" w:sz="4" w:space="0"/>
            </w:tcBorders>
            <w:vAlign w:val="center"/>
          </w:tcPr>
          <w:p w14:paraId="4E853E46">
            <w:pPr>
              <w:adjustRightInd w:val="0"/>
              <w:snapToGrid w:val="0"/>
              <w:spacing w:line="300" w:lineRule="auto"/>
              <w:ind w:firstLine="0" w:firstLineChars="0"/>
              <w:jc w:val="both"/>
              <w:rPr>
                <w:rFonts w:ascii="Arial" w:hAnsi="Arial"/>
                <w:bCs/>
                <w:sz w:val="21"/>
                <w:szCs w:val="21"/>
                <w:highlight w:val="none"/>
              </w:rPr>
            </w:pPr>
          </w:p>
        </w:tc>
        <w:tc>
          <w:tcPr>
            <w:tcW w:w="1248" w:type="dxa"/>
            <w:tcBorders>
              <w:top w:val="single" w:color="auto" w:sz="4" w:space="0"/>
              <w:left w:val="nil"/>
              <w:bottom w:val="single" w:color="auto" w:sz="4" w:space="0"/>
              <w:right w:val="single" w:color="auto" w:sz="4" w:space="0"/>
            </w:tcBorders>
            <w:vAlign w:val="center"/>
          </w:tcPr>
          <w:p w14:paraId="6F3BE2D9">
            <w:pPr>
              <w:adjustRightInd w:val="0"/>
              <w:snapToGrid w:val="0"/>
              <w:spacing w:line="300" w:lineRule="auto"/>
              <w:ind w:firstLine="0" w:firstLineChars="0"/>
              <w:jc w:val="both"/>
              <w:rPr>
                <w:rFonts w:ascii="Arial" w:hAnsi="Arial"/>
                <w:bCs/>
                <w:sz w:val="21"/>
                <w:szCs w:val="21"/>
                <w:highlight w:val="none"/>
              </w:rPr>
            </w:pPr>
          </w:p>
        </w:tc>
        <w:tc>
          <w:tcPr>
            <w:tcW w:w="1502" w:type="dxa"/>
            <w:tcBorders>
              <w:top w:val="single" w:color="auto" w:sz="4" w:space="0"/>
              <w:left w:val="nil"/>
              <w:bottom w:val="single" w:color="auto" w:sz="4" w:space="0"/>
              <w:right w:val="single" w:color="auto" w:sz="4" w:space="0"/>
            </w:tcBorders>
            <w:vAlign w:val="center"/>
          </w:tcPr>
          <w:p w14:paraId="3CAC9292">
            <w:pPr>
              <w:adjustRightInd w:val="0"/>
              <w:snapToGrid w:val="0"/>
              <w:spacing w:line="300" w:lineRule="auto"/>
              <w:ind w:firstLine="0" w:firstLineChars="0"/>
              <w:jc w:val="both"/>
              <w:rPr>
                <w:rFonts w:ascii="Arial" w:hAnsi="Arial"/>
                <w:bCs/>
                <w:sz w:val="21"/>
                <w:szCs w:val="21"/>
                <w:highlight w:val="none"/>
              </w:rPr>
            </w:pPr>
          </w:p>
        </w:tc>
        <w:tc>
          <w:tcPr>
            <w:tcW w:w="1462" w:type="dxa"/>
            <w:tcBorders>
              <w:top w:val="single" w:color="auto" w:sz="4" w:space="0"/>
              <w:left w:val="nil"/>
              <w:bottom w:val="single" w:color="auto" w:sz="4" w:space="0"/>
              <w:right w:val="single" w:color="auto" w:sz="4" w:space="0"/>
            </w:tcBorders>
            <w:vAlign w:val="center"/>
          </w:tcPr>
          <w:p w14:paraId="08E79123">
            <w:pPr>
              <w:adjustRightInd w:val="0"/>
              <w:snapToGrid w:val="0"/>
              <w:spacing w:line="300" w:lineRule="auto"/>
              <w:ind w:firstLine="0" w:firstLineChars="0"/>
              <w:jc w:val="both"/>
              <w:rPr>
                <w:rFonts w:ascii="Arial" w:hAnsi="Arial"/>
                <w:bCs/>
                <w:sz w:val="21"/>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624C4613">
            <w:pPr>
              <w:adjustRightInd w:val="0"/>
              <w:snapToGrid w:val="0"/>
              <w:spacing w:line="300" w:lineRule="auto"/>
              <w:ind w:firstLine="0" w:firstLineChars="0"/>
              <w:jc w:val="both"/>
              <w:rPr>
                <w:rFonts w:ascii="Arial" w:hAnsi="Arial"/>
                <w:bCs/>
                <w:sz w:val="21"/>
                <w:szCs w:val="21"/>
                <w:highlight w:val="none"/>
              </w:rPr>
            </w:pPr>
            <w:r>
              <w:rPr>
                <w:rFonts w:ascii="Arial" w:hAnsi="Arial"/>
                <w:bCs/>
                <w:sz w:val="21"/>
                <w:szCs w:val="21"/>
                <w:highlight w:val="none"/>
              </w:rPr>
              <w:t>≤0.50</w:t>
            </w:r>
          </w:p>
        </w:tc>
      </w:tr>
    </w:tbl>
    <w:p w14:paraId="415FF0DC">
      <w:pPr>
        <w:spacing w:line="240" w:lineRule="auto"/>
        <w:ind w:firstLine="210" w:firstLineChars="100"/>
        <w:jc w:val="both"/>
        <w:rPr>
          <w:rFonts w:ascii="Calibri" w:hAnsi="Calibri" w:cs="Times New Roman"/>
          <w:sz w:val="21"/>
          <w:szCs w:val="21"/>
          <w:highlight w:val="none"/>
        </w:rPr>
      </w:pPr>
    </w:p>
    <w:p w14:paraId="1BC802CD">
      <w:pPr>
        <w:snapToGrid w:val="0"/>
        <w:spacing w:before="157" w:beforeLines="50"/>
        <w:ind w:left="120" w:leftChars="50" w:firstLine="0" w:firstLineChars="0"/>
        <w:jc w:val="center"/>
        <w:rPr>
          <w:rFonts w:ascii="Calibri" w:hAnsi="Calibri" w:cs="Times New Roman"/>
          <w:sz w:val="21"/>
          <w:szCs w:val="21"/>
          <w:highlight w:val="none"/>
        </w:rPr>
      </w:pPr>
      <w:r>
        <w:rPr>
          <w:rFonts w:hint="eastAsia" w:cs="Times New Roman"/>
          <w:highlight w:val="none"/>
        </w:rPr>
        <w:t>表</w:t>
      </w:r>
      <w:r>
        <w:rPr>
          <w:rFonts w:hint="eastAsia" w:ascii="Times New Roman" w:hAnsi="Times New Roman" w:cs="Times New Roman"/>
          <w:highlight w:val="none"/>
        </w:rPr>
        <w:t>2.9-4</w:t>
      </w:r>
      <w:r>
        <w:rPr>
          <w:rFonts w:ascii="Times New Roman" w:hAnsi="Times New Roman" w:cs="Times New Roman"/>
          <w:highlight w:val="none"/>
        </w:rPr>
        <w:t xml:space="preserve">  </w:t>
      </w:r>
      <w:r>
        <w:rPr>
          <w:rFonts w:hint="eastAsia" w:cs="Times New Roman"/>
          <w:szCs w:val="28"/>
          <w:highlight w:val="none"/>
        </w:rPr>
        <w:t>耐火材料理化指标3</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332"/>
        <w:gridCol w:w="24"/>
        <w:gridCol w:w="1533"/>
        <w:gridCol w:w="1026"/>
        <w:gridCol w:w="1142"/>
        <w:gridCol w:w="933"/>
        <w:gridCol w:w="933"/>
        <w:gridCol w:w="927"/>
        <w:gridCol w:w="970"/>
      </w:tblGrid>
      <w:tr w14:paraId="0FF01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0" w:hRule="atLeast"/>
        </w:trPr>
        <w:tc>
          <w:tcPr>
            <w:tcW w:w="2588" w:type="dxa"/>
            <w:gridSpan w:val="4"/>
            <w:tcBorders>
              <w:top w:val="single" w:color="auto" w:sz="4" w:space="0"/>
              <w:left w:val="single" w:color="auto" w:sz="4" w:space="0"/>
              <w:bottom w:val="single" w:color="auto" w:sz="4" w:space="0"/>
              <w:right w:val="single" w:color="auto" w:sz="4" w:space="0"/>
            </w:tcBorders>
            <w:vAlign w:val="center"/>
          </w:tcPr>
          <w:p w14:paraId="024D4147">
            <w:pPr>
              <w:spacing w:line="360" w:lineRule="exact"/>
              <w:ind w:firstLine="0" w:firstLineChars="0"/>
              <w:jc w:val="both"/>
              <w:rPr>
                <w:rFonts w:ascii="Arial" w:hAnsi="Arial"/>
                <w:sz w:val="21"/>
                <w:szCs w:val="21"/>
                <w:highlight w:val="none"/>
              </w:rPr>
            </w:pPr>
            <w:r>
              <w:rPr>
                <w:rFonts w:hint="eastAsia"/>
                <w:sz w:val="21"/>
                <w:szCs w:val="21"/>
                <w:highlight w:val="none"/>
              </w:rPr>
              <w:t>项</w:t>
            </w:r>
            <w:r>
              <w:rPr>
                <w:rFonts w:hint="eastAsia" w:ascii="Arial" w:hAnsi="Arial"/>
                <w:sz w:val="21"/>
                <w:szCs w:val="21"/>
                <w:highlight w:val="none"/>
              </w:rPr>
              <w:t xml:space="preserve"> </w:t>
            </w:r>
            <w:r>
              <w:rPr>
                <w:rFonts w:ascii="Arial" w:hAnsi="Arial"/>
                <w:sz w:val="21"/>
                <w:szCs w:val="21"/>
                <w:highlight w:val="none"/>
              </w:rPr>
              <w:t xml:space="preserve">   </w:t>
            </w:r>
            <w:r>
              <w:rPr>
                <w:rFonts w:hint="eastAsia"/>
                <w:sz w:val="21"/>
                <w:szCs w:val="21"/>
                <w:highlight w:val="none"/>
              </w:rPr>
              <w:t>目</w:t>
            </w:r>
          </w:p>
        </w:tc>
        <w:tc>
          <w:tcPr>
            <w:tcW w:w="1026" w:type="dxa"/>
            <w:tcBorders>
              <w:top w:val="single" w:color="auto" w:sz="4" w:space="0"/>
              <w:left w:val="single" w:color="auto" w:sz="4" w:space="0"/>
              <w:bottom w:val="single" w:color="auto" w:sz="4" w:space="0"/>
              <w:right w:val="single" w:color="auto" w:sz="4" w:space="0"/>
            </w:tcBorders>
            <w:vAlign w:val="center"/>
          </w:tcPr>
          <w:p w14:paraId="05B49B42">
            <w:pPr>
              <w:spacing w:line="360" w:lineRule="exact"/>
              <w:ind w:firstLine="0" w:firstLineChars="0"/>
              <w:jc w:val="both"/>
              <w:rPr>
                <w:rFonts w:ascii="Arial" w:hAnsi="Arial"/>
                <w:sz w:val="21"/>
                <w:szCs w:val="21"/>
                <w:highlight w:val="none"/>
              </w:rPr>
            </w:pPr>
            <w:r>
              <w:rPr>
                <w:rFonts w:hint="eastAsia"/>
                <w:sz w:val="21"/>
                <w:szCs w:val="21"/>
                <w:highlight w:val="none"/>
              </w:rPr>
              <w:t>单</w:t>
            </w:r>
            <w:r>
              <w:rPr>
                <w:rFonts w:hint="eastAsia" w:ascii="Arial" w:hAnsi="Arial"/>
                <w:sz w:val="21"/>
                <w:szCs w:val="21"/>
                <w:highlight w:val="none"/>
              </w:rPr>
              <w:t xml:space="preserve"> </w:t>
            </w:r>
            <w:r>
              <w:rPr>
                <w:rFonts w:ascii="Arial" w:hAnsi="Arial"/>
                <w:sz w:val="21"/>
                <w:szCs w:val="21"/>
                <w:highlight w:val="none"/>
              </w:rPr>
              <w:t xml:space="preserve"> </w:t>
            </w:r>
            <w:r>
              <w:rPr>
                <w:rFonts w:hint="eastAsia"/>
                <w:sz w:val="21"/>
                <w:szCs w:val="21"/>
                <w:highlight w:val="none"/>
              </w:rPr>
              <w:t>位</w:t>
            </w:r>
          </w:p>
        </w:tc>
        <w:tc>
          <w:tcPr>
            <w:tcW w:w="1142" w:type="dxa"/>
            <w:tcBorders>
              <w:top w:val="single" w:color="auto" w:sz="4" w:space="0"/>
              <w:left w:val="single" w:color="auto" w:sz="4" w:space="0"/>
              <w:bottom w:val="single" w:color="auto" w:sz="4" w:space="0"/>
              <w:right w:val="single" w:color="auto" w:sz="4" w:space="0"/>
            </w:tcBorders>
          </w:tcPr>
          <w:p w14:paraId="31210BEC">
            <w:pPr>
              <w:spacing w:line="360" w:lineRule="exact"/>
              <w:ind w:firstLine="0" w:firstLineChars="0"/>
              <w:jc w:val="both"/>
              <w:rPr>
                <w:rFonts w:ascii="Arial" w:hAnsi="Arial"/>
                <w:sz w:val="21"/>
                <w:szCs w:val="21"/>
                <w:highlight w:val="none"/>
              </w:rPr>
            </w:pPr>
            <w:r>
              <w:rPr>
                <w:rFonts w:ascii="Arial" w:hAnsi="Arial"/>
                <w:sz w:val="21"/>
                <w:szCs w:val="21"/>
                <w:highlight w:val="none"/>
              </w:rPr>
              <w:t>红柱石高铝磷酸盐火泥</w:t>
            </w:r>
            <w:r>
              <w:rPr>
                <w:rFonts w:hint="eastAsia" w:ascii="Arial" w:hAnsi="Arial"/>
                <w:sz w:val="21"/>
                <w:szCs w:val="21"/>
                <w:highlight w:val="none"/>
              </w:rPr>
              <w:t>H</w:t>
            </w:r>
            <w:r>
              <w:rPr>
                <w:rFonts w:ascii="Arial" w:hAnsi="Arial"/>
                <w:sz w:val="21"/>
                <w:szCs w:val="21"/>
                <w:highlight w:val="none"/>
              </w:rPr>
              <w:t>RLP-60</w:t>
            </w:r>
          </w:p>
        </w:tc>
        <w:tc>
          <w:tcPr>
            <w:tcW w:w="933" w:type="dxa"/>
            <w:tcBorders>
              <w:top w:val="single" w:color="auto" w:sz="4" w:space="0"/>
              <w:left w:val="single" w:color="auto" w:sz="4" w:space="0"/>
              <w:bottom w:val="single" w:color="auto" w:sz="4" w:space="0"/>
              <w:right w:val="single" w:color="auto" w:sz="4" w:space="0"/>
            </w:tcBorders>
          </w:tcPr>
          <w:p w14:paraId="4152DF4E">
            <w:pPr>
              <w:spacing w:line="360" w:lineRule="exact"/>
              <w:ind w:firstLine="0" w:firstLineChars="0"/>
              <w:jc w:val="both"/>
              <w:rPr>
                <w:rFonts w:ascii="Arial" w:hAnsi="Arial"/>
                <w:sz w:val="21"/>
                <w:szCs w:val="21"/>
                <w:highlight w:val="none"/>
              </w:rPr>
            </w:pPr>
            <w:r>
              <w:rPr>
                <w:rFonts w:ascii="Arial" w:hAnsi="Arial"/>
                <w:sz w:val="21"/>
                <w:szCs w:val="21"/>
                <w:highlight w:val="none"/>
              </w:rPr>
              <w:t>耐火混凝土</w:t>
            </w:r>
          </w:p>
          <w:p w14:paraId="11A597F2">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N</w:t>
            </w:r>
            <w:r>
              <w:rPr>
                <w:rFonts w:ascii="Arial" w:hAnsi="Arial"/>
                <w:sz w:val="21"/>
                <w:szCs w:val="21"/>
                <w:highlight w:val="none"/>
              </w:rPr>
              <w:t>N-45</w:t>
            </w:r>
          </w:p>
        </w:tc>
        <w:tc>
          <w:tcPr>
            <w:tcW w:w="933" w:type="dxa"/>
            <w:tcBorders>
              <w:top w:val="single" w:color="auto" w:sz="4" w:space="0"/>
              <w:left w:val="single" w:color="auto" w:sz="4" w:space="0"/>
              <w:bottom w:val="single" w:color="auto" w:sz="4" w:space="0"/>
              <w:right w:val="single" w:color="auto" w:sz="4" w:space="0"/>
            </w:tcBorders>
          </w:tcPr>
          <w:p w14:paraId="5EBED897">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粘土磷酸盐火泥</w:t>
            </w:r>
          </w:p>
          <w:p w14:paraId="0BCA862A">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NN-4</w:t>
            </w:r>
            <w:r>
              <w:rPr>
                <w:rFonts w:ascii="Arial" w:hAnsi="Arial"/>
                <w:sz w:val="21"/>
                <w:szCs w:val="21"/>
                <w:highlight w:val="none"/>
              </w:rPr>
              <w:t>2</w:t>
            </w:r>
          </w:p>
        </w:tc>
        <w:tc>
          <w:tcPr>
            <w:tcW w:w="927" w:type="dxa"/>
            <w:tcBorders>
              <w:top w:val="single" w:color="auto" w:sz="4" w:space="0"/>
              <w:left w:val="single" w:color="auto" w:sz="4" w:space="0"/>
              <w:bottom w:val="single" w:color="auto" w:sz="4" w:space="0"/>
              <w:right w:val="single" w:color="auto" w:sz="4" w:space="0"/>
            </w:tcBorders>
          </w:tcPr>
          <w:p w14:paraId="3DAF96D2">
            <w:pPr>
              <w:spacing w:line="360" w:lineRule="exact"/>
              <w:ind w:firstLine="0" w:firstLineChars="0"/>
              <w:jc w:val="both"/>
              <w:rPr>
                <w:rFonts w:ascii="Arial" w:hAnsi="Arial"/>
                <w:sz w:val="21"/>
                <w:szCs w:val="21"/>
                <w:highlight w:val="none"/>
              </w:rPr>
            </w:pPr>
            <w:r>
              <w:rPr>
                <w:rFonts w:ascii="Arial" w:hAnsi="Arial"/>
                <w:sz w:val="21"/>
                <w:szCs w:val="21"/>
                <w:highlight w:val="none"/>
              </w:rPr>
              <w:t>高铝浇注料</w:t>
            </w:r>
          </w:p>
          <w:p w14:paraId="2292A22E">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G</w:t>
            </w:r>
            <w:r>
              <w:rPr>
                <w:rFonts w:ascii="Arial" w:hAnsi="Arial"/>
                <w:sz w:val="21"/>
                <w:szCs w:val="21"/>
                <w:highlight w:val="none"/>
              </w:rPr>
              <w:t>L-60</w:t>
            </w:r>
          </w:p>
        </w:tc>
        <w:tc>
          <w:tcPr>
            <w:tcW w:w="970" w:type="dxa"/>
            <w:tcBorders>
              <w:top w:val="single" w:color="auto" w:sz="4" w:space="0"/>
              <w:left w:val="single" w:color="auto" w:sz="4" w:space="0"/>
              <w:bottom w:val="single" w:color="auto" w:sz="4" w:space="0"/>
              <w:right w:val="single" w:color="auto" w:sz="4" w:space="0"/>
            </w:tcBorders>
          </w:tcPr>
          <w:p w14:paraId="34162259">
            <w:pPr>
              <w:spacing w:line="360" w:lineRule="exact"/>
              <w:ind w:firstLine="0" w:firstLineChars="0"/>
              <w:jc w:val="both"/>
              <w:rPr>
                <w:rFonts w:ascii="Arial" w:hAnsi="Arial"/>
                <w:sz w:val="21"/>
                <w:szCs w:val="21"/>
                <w:highlight w:val="none"/>
              </w:rPr>
            </w:pPr>
            <w:r>
              <w:rPr>
                <w:rFonts w:ascii="Arial" w:hAnsi="Arial"/>
                <w:sz w:val="21"/>
                <w:szCs w:val="21"/>
                <w:highlight w:val="none"/>
              </w:rPr>
              <w:t>喷涂料</w:t>
            </w:r>
          </w:p>
          <w:p w14:paraId="1F346358">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F</w:t>
            </w:r>
            <w:r>
              <w:rPr>
                <w:rFonts w:ascii="Arial" w:hAnsi="Arial"/>
                <w:sz w:val="21"/>
                <w:szCs w:val="21"/>
                <w:highlight w:val="none"/>
              </w:rPr>
              <w:t>N-130</w:t>
            </w:r>
          </w:p>
        </w:tc>
      </w:tr>
      <w:tr w14:paraId="68D6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588" w:type="dxa"/>
            <w:gridSpan w:val="4"/>
            <w:tcBorders>
              <w:top w:val="single" w:color="auto" w:sz="4" w:space="0"/>
              <w:left w:val="single" w:color="auto" w:sz="4" w:space="0"/>
              <w:bottom w:val="single" w:color="auto" w:sz="4" w:space="0"/>
              <w:right w:val="single" w:color="auto" w:sz="4" w:space="0"/>
            </w:tcBorders>
          </w:tcPr>
          <w:p w14:paraId="4E956819">
            <w:pPr>
              <w:spacing w:line="360" w:lineRule="exact"/>
              <w:ind w:firstLine="0" w:firstLineChars="0"/>
              <w:jc w:val="both"/>
              <w:rPr>
                <w:rFonts w:ascii="Arial" w:hAnsi="Arial"/>
                <w:sz w:val="21"/>
                <w:szCs w:val="21"/>
                <w:highlight w:val="none"/>
              </w:rPr>
            </w:pPr>
            <w:r>
              <w:rPr>
                <w:rFonts w:hint="eastAsia"/>
                <w:sz w:val="21"/>
                <w:szCs w:val="21"/>
                <w:highlight w:val="none"/>
              </w:rPr>
              <w:t>耐火度</w:t>
            </w:r>
          </w:p>
        </w:tc>
        <w:tc>
          <w:tcPr>
            <w:tcW w:w="1026" w:type="dxa"/>
            <w:tcBorders>
              <w:top w:val="single" w:color="auto" w:sz="4" w:space="0"/>
              <w:left w:val="single" w:color="auto" w:sz="4" w:space="0"/>
              <w:bottom w:val="single" w:color="auto" w:sz="4" w:space="0"/>
              <w:right w:val="single" w:color="auto" w:sz="4" w:space="0"/>
            </w:tcBorders>
          </w:tcPr>
          <w:p w14:paraId="7244B722">
            <w:pPr>
              <w:spacing w:line="360" w:lineRule="exact"/>
              <w:ind w:firstLine="0" w:firstLineChars="0"/>
              <w:jc w:val="both"/>
              <w:rPr>
                <w:rFonts w:ascii="Arial" w:hAnsi="Arial"/>
                <w:sz w:val="21"/>
                <w:szCs w:val="21"/>
                <w:highlight w:val="none"/>
              </w:rPr>
            </w:pPr>
            <w:r>
              <w:rPr>
                <w:rFonts w:hint="eastAsia"/>
                <w:sz w:val="21"/>
                <w:szCs w:val="21"/>
                <w:highlight w:val="none"/>
              </w:rPr>
              <w:t>≥℃</w:t>
            </w:r>
          </w:p>
        </w:tc>
        <w:tc>
          <w:tcPr>
            <w:tcW w:w="1142" w:type="dxa"/>
            <w:tcBorders>
              <w:top w:val="single" w:color="auto" w:sz="4" w:space="0"/>
              <w:left w:val="single" w:color="auto" w:sz="4" w:space="0"/>
              <w:bottom w:val="single" w:color="auto" w:sz="4" w:space="0"/>
              <w:right w:val="single" w:color="auto" w:sz="4" w:space="0"/>
            </w:tcBorders>
          </w:tcPr>
          <w:p w14:paraId="716CBBF4">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1</w:t>
            </w:r>
            <w:r>
              <w:rPr>
                <w:rFonts w:ascii="Arial" w:hAnsi="Arial"/>
                <w:sz w:val="21"/>
                <w:szCs w:val="21"/>
                <w:highlight w:val="none"/>
              </w:rPr>
              <w:t>760</w:t>
            </w:r>
          </w:p>
        </w:tc>
        <w:tc>
          <w:tcPr>
            <w:tcW w:w="933" w:type="dxa"/>
            <w:tcBorders>
              <w:top w:val="single" w:color="auto" w:sz="4" w:space="0"/>
              <w:left w:val="single" w:color="auto" w:sz="4" w:space="0"/>
              <w:bottom w:val="single" w:color="auto" w:sz="4" w:space="0"/>
              <w:right w:val="single" w:color="auto" w:sz="4" w:space="0"/>
            </w:tcBorders>
          </w:tcPr>
          <w:p w14:paraId="7C87E00D">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1</w:t>
            </w:r>
            <w:r>
              <w:rPr>
                <w:rFonts w:ascii="Arial" w:hAnsi="Arial"/>
                <w:sz w:val="21"/>
                <w:szCs w:val="21"/>
                <w:highlight w:val="none"/>
              </w:rPr>
              <w:t>650</w:t>
            </w:r>
          </w:p>
        </w:tc>
        <w:tc>
          <w:tcPr>
            <w:tcW w:w="933" w:type="dxa"/>
            <w:tcBorders>
              <w:top w:val="single" w:color="auto" w:sz="4" w:space="0"/>
              <w:left w:val="single" w:color="auto" w:sz="4" w:space="0"/>
              <w:bottom w:val="single" w:color="auto" w:sz="4" w:space="0"/>
              <w:right w:val="single" w:color="auto" w:sz="4" w:space="0"/>
            </w:tcBorders>
          </w:tcPr>
          <w:p w14:paraId="5D93D77D">
            <w:pPr>
              <w:spacing w:line="360" w:lineRule="exact"/>
              <w:ind w:firstLine="0" w:firstLineChars="0"/>
              <w:jc w:val="both"/>
              <w:rPr>
                <w:rFonts w:ascii="Arial" w:hAnsi="Arial"/>
                <w:sz w:val="21"/>
                <w:szCs w:val="21"/>
                <w:highlight w:val="none"/>
              </w:rPr>
            </w:pPr>
            <w:r>
              <w:rPr>
                <w:rFonts w:ascii="Arial" w:hAnsi="Arial"/>
                <w:sz w:val="21"/>
                <w:szCs w:val="21"/>
                <w:highlight w:val="none"/>
              </w:rPr>
              <w:t>1650</w:t>
            </w:r>
          </w:p>
        </w:tc>
        <w:tc>
          <w:tcPr>
            <w:tcW w:w="927" w:type="dxa"/>
            <w:tcBorders>
              <w:top w:val="single" w:color="auto" w:sz="4" w:space="0"/>
              <w:left w:val="single" w:color="auto" w:sz="4" w:space="0"/>
              <w:bottom w:val="single" w:color="auto" w:sz="4" w:space="0"/>
              <w:right w:val="single" w:color="auto" w:sz="4" w:space="0"/>
            </w:tcBorders>
          </w:tcPr>
          <w:p w14:paraId="74DDC287">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1</w:t>
            </w:r>
            <w:r>
              <w:rPr>
                <w:rFonts w:ascii="Arial" w:hAnsi="Arial"/>
                <w:sz w:val="21"/>
                <w:szCs w:val="21"/>
                <w:highlight w:val="none"/>
              </w:rPr>
              <w:t>700</w:t>
            </w:r>
          </w:p>
        </w:tc>
        <w:tc>
          <w:tcPr>
            <w:tcW w:w="970" w:type="dxa"/>
            <w:tcBorders>
              <w:top w:val="single" w:color="auto" w:sz="4" w:space="0"/>
              <w:left w:val="single" w:color="auto" w:sz="4" w:space="0"/>
              <w:bottom w:val="single" w:color="auto" w:sz="4" w:space="0"/>
              <w:right w:val="single" w:color="auto" w:sz="4" w:space="0"/>
            </w:tcBorders>
          </w:tcPr>
          <w:p w14:paraId="6C25FD95">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1</w:t>
            </w:r>
            <w:r>
              <w:rPr>
                <w:rFonts w:ascii="Arial" w:hAnsi="Arial"/>
                <w:sz w:val="21"/>
                <w:szCs w:val="21"/>
                <w:highlight w:val="none"/>
              </w:rPr>
              <w:t>530</w:t>
            </w:r>
          </w:p>
        </w:tc>
      </w:tr>
      <w:tr w14:paraId="0DFE3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588" w:type="dxa"/>
            <w:gridSpan w:val="4"/>
            <w:tcBorders>
              <w:top w:val="single" w:color="auto" w:sz="4" w:space="0"/>
              <w:left w:val="single" w:color="auto" w:sz="4" w:space="0"/>
              <w:bottom w:val="single" w:color="auto" w:sz="4" w:space="0"/>
              <w:right w:val="single" w:color="auto" w:sz="4" w:space="0"/>
            </w:tcBorders>
          </w:tcPr>
          <w:p w14:paraId="5956BC9D">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Al2O3</w:t>
            </w:r>
          </w:p>
        </w:tc>
        <w:tc>
          <w:tcPr>
            <w:tcW w:w="1026" w:type="dxa"/>
            <w:tcBorders>
              <w:top w:val="single" w:color="auto" w:sz="4" w:space="0"/>
              <w:left w:val="single" w:color="auto" w:sz="4" w:space="0"/>
              <w:bottom w:val="single" w:color="auto" w:sz="4" w:space="0"/>
              <w:right w:val="single" w:color="auto" w:sz="4" w:space="0"/>
            </w:tcBorders>
          </w:tcPr>
          <w:p w14:paraId="612B2199">
            <w:pPr>
              <w:spacing w:line="360" w:lineRule="exact"/>
              <w:ind w:firstLine="0" w:firstLineChars="0"/>
              <w:jc w:val="both"/>
              <w:rPr>
                <w:rFonts w:ascii="Arial" w:hAnsi="Arial"/>
                <w:sz w:val="21"/>
                <w:szCs w:val="21"/>
                <w:highlight w:val="none"/>
              </w:rPr>
            </w:pPr>
            <w:r>
              <w:rPr>
                <w:rFonts w:hint="eastAsia"/>
                <w:sz w:val="21"/>
                <w:szCs w:val="21"/>
                <w:highlight w:val="none"/>
              </w:rPr>
              <w:t>≥</w:t>
            </w:r>
            <w:r>
              <w:rPr>
                <w:rFonts w:hint="eastAsia" w:ascii="Arial" w:hAnsi="Arial"/>
                <w:sz w:val="21"/>
                <w:szCs w:val="21"/>
                <w:highlight w:val="none"/>
              </w:rPr>
              <w:t>%</w:t>
            </w:r>
          </w:p>
        </w:tc>
        <w:tc>
          <w:tcPr>
            <w:tcW w:w="1142" w:type="dxa"/>
            <w:tcBorders>
              <w:top w:val="single" w:color="auto" w:sz="4" w:space="0"/>
              <w:left w:val="single" w:color="auto" w:sz="4" w:space="0"/>
              <w:bottom w:val="single" w:color="auto" w:sz="4" w:space="0"/>
              <w:right w:val="single" w:color="auto" w:sz="4" w:space="0"/>
            </w:tcBorders>
          </w:tcPr>
          <w:p w14:paraId="7738EA0D">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6</w:t>
            </w:r>
            <w:r>
              <w:rPr>
                <w:rFonts w:ascii="Arial" w:hAnsi="Arial"/>
                <w:sz w:val="21"/>
                <w:szCs w:val="21"/>
                <w:highlight w:val="none"/>
              </w:rPr>
              <w:t>0</w:t>
            </w:r>
          </w:p>
        </w:tc>
        <w:tc>
          <w:tcPr>
            <w:tcW w:w="933" w:type="dxa"/>
            <w:tcBorders>
              <w:top w:val="single" w:color="auto" w:sz="4" w:space="0"/>
              <w:left w:val="single" w:color="auto" w:sz="4" w:space="0"/>
              <w:bottom w:val="single" w:color="auto" w:sz="4" w:space="0"/>
              <w:right w:val="single" w:color="auto" w:sz="4" w:space="0"/>
            </w:tcBorders>
          </w:tcPr>
          <w:p w14:paraId="02C1D5B7">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4</w:t>
            </w:r>
            <w:r>
              <w:rPr>
                <w:rFonts w:ascii="Arial" w:hAnsi="Arial"/>
                <w:sz w:val="21"/>
                <w:szCs w:val="21"/>
                <w:highlight w:val="none"/>
              </w:rPr>
              <w:t>5</w:t>
            </w:r>
          </w:p>
        </w:tc>
        <w:tc>
          <w:tcPr>
            <w:tcW w:w="933" w:type="dxa"/>
            <w:tcBorders>
              <w:top w:val="single" w:color="auto" w:sz="4" w:space="0"/>
              <w:left w:val="single" w:color="auto" w:sz="4" w:space="0"/>
              <w:bottom w:val="single" w:color="auto" w:sz="4" w:space="0"/>
              <w:right w:val="single" w:color="auto" w:sz="4" w:space="0"/>
            </w:tcBorders>
          </w:tcPr>
          <w:p w14:paraId="41EB2A9B">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4</w:t>
            </w:r>
            <w:r>
              <w:rPr>
                <w:rFonts w:ascii="Arial" w:hAnsi="Arial"/>
                <w:sz w:val="21"/>
                <w:szCs w:val="21"/>
                <w:highlight w:val="none"/>
              </w:rPr>
              <w:t>2</w:t>
            </w:r>
          </w:p>
        </w:tc>
        <w:tc>
          <w:tcPr>
            <w:tcW w:w="927" w:type="dxa"/>
            <w:tcBorders>
              <w:top w:val="single" w:color="auto" w:sz="4" w:space="0"/>
              <w:left w:val="single" w:color="auto" w:sz="4" w:space="0"/>
              <w:bottom w:val="single" w:color="auto" w:sz="4" w:space="0"/>
              <w:right w:val="single" w:color="auto" w:sz="4" w:space="0"/>
            </w:tcBorders>
          </w:tcPr>
          <w:p w14:paraId="041D4F12">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6</w:t>
            </w:r>
            <w:r>
              <w:rPr>
                <w:rFonts w:ascii="Arial" w:hAnsi="Arial"/>
                <w:sz w:val="21"/>
                <w:szCs w:val="21"/>
                <w:highlight w:val="none"/>
              </w:rPr>
              <w:t>0</w:t>
            </w:r>
          </w:p>
        </w:tc>
        <w:tc>
          <w:tcPr>
            <w:tcW w:w="970" w:type="dxa"/>
            <w:tcBorders>
              <w:top w:val="single" w:color="auto" w:sz="4" w:space="0"/>
              <w:left w:val="single" w:color="auto" w:sz="4" w:space="0"/>
              <w:bottom w:val="single" w:color="auto" w:sz="4" w:space="0"/>
              <w:right w:val="single" w:color="auto" w:sz="4" w:space="0"/>
            </w:tcBorders>
          </w:tcPr>
          <w:p w14:paraId="2F1C6D9E">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4</w:t>
            </w:r>
            <w:r>
              <w:rPr>
                <w:rFonts w:ascii="Arial" w:hAnsi="Arial"/>
                <w:sz w:val="21"/>
                <w:szCs w:val="21"/>
                <w:highlight w:val="none"/>
              </w:rPr>
              <w:t>0</w:t>
            </w:r>
          </w:p>
        </w:tc>
      </w:tr>
      <w:tr w14:paraId="38AF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1" w:type="dxa"/>
            <w:gridSpan w:val="2"/>
            <w:vMerge w:val="restart"/>
            <w:tcBorders>
              <w:top w:val="nil"/>
              <w:left w:val="single" w:color="auto" w:sz="4" w:space="0"/>
              <w:bottom w:val="single" w:color="auto" w:sz="4" w:space="0"/>
              <w:right w:val="single" w:color="auto" w:sz="4" w:space="0"/>
            </w:tcBorders>
            <w:vAlign w:val="center"/>
          </w:tcPr>
          <w:p w14:paraId="089160F4">
            <w:pPr>
              <w:spacing w:line="360" w:lineRule="exact"/>
              <w:ind w:firstLine="0" w:firstLineChars="0"/>
              <w:jc w:val="both"/>
              <w:rPr>
                <w:rFonts w:ascii="Arial" w:hAnsi="Arial"/>
                <w:sz w:val="21"/>
                <w:szCs w:val="21"/>
                <w:highlight w:val="none"/>
              </w:rPr>
            </w:pPr>
            <w:r>
              <w:rPr>
                <w:rFonts w:hint="eastAsia"/>
                <w:sz w:val="21"/>
                <w:szCs w:val="21"/>
                <w:highlight w:val="none"/>
              </w:rPr>
              <w:t>粘结抗折强度</w:t>
            </w:r>
          </w:p>
        </w:tc>
        <w:tc>
          <w:tcPr>
            <w:tcW w:w="1557" w:type="dxa"/>
            <w:gridSpan w:val="2"/>
            <w:tcBorders>
              <w:top w:val="single" w:color="auto" w:sz="4" w:space="0"/>
              <w:left w:val="single" w:color="auto" w:sz="4" w:space="0"/>
              <w:bottom w:val="single" w:color="auto" w:sz="4" w:space="0"/>
              <w:right w:val="single" w:color="auto" w:sz="4" w:space="0"/>
            </w:tcBorders>
          </w:tcPr>
          <w:p w14:paraId="6BF7C45D">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110</w:t>
            </w:r>
            <w:r>
              <w:rPr>
                <w:rFonts w:hint="eastAsia"/>
                <w:sz w:val="21"/>
                <w:szCs w:val="21"/>
                <w:highlight w:val="none"/>
              </w:rPr>
              <w:t>℃干燥后</w:t>
            </w:r>
          </w:p>
        </w:tc>
        <w:tc>
          <w:tcPr>
            <w:tcW w:w="1026" w:type="dxa"/>
            <w:tcBorders>
              <w:top w:val="single" w:color="auto" w:sz="4" w:space="0"/>
              <w:left w:val="single" w:color="auto" w:sz="4" w:space="0"/>
              <w:bottom w:val="single" w:color="auto" w:sz="4" w:space="0"/>
              <w:right w:val="single" w:color="auto" w:sz="4" w:space="0"/>
            </w:tcBorders>
          </w:tcPr>
          <w:p w14:paraId="0347725C">
            <w:pPr>
              <w:spacing w:line="360" w:lineRule="exact"/>
              <w:ind w:firstLine="0" w:firstLineChars="0"/>
              <w:jc w:val="both"/>
              <w:rPr>
                <w:rFonts w:ascii="Arial" w:hAnsi="Arial"/>
                <w:sz w:val="21"/>
                <w:szCs w:val="21"/>
                <w:highlight w:val="none"/>
              </w:rPr>
            </w:pPr>
            <w:r>
              <w:rPr>
                <w:rFonts w:hint="eastAsia"/>
                <w:sz w:val="21"/>
                <w:szCs w:val="21"/>
                <w:highlight w:val="none"/>
              </w:rPr>
              <w:t>≥</w:t>
            </w:r>
            <w:r>
              <w:rPr>
                <w:rFonts w:hint="eastAsia" w:ascii="Arial" w:hAnsi="Arial"/>
                <w:sz w:val="21"/>
                <w:szCs w:val="21"/>
                <w:highlight w:val="none"/>
              </w:rPr>
              <w:t>MPa</w:t>
            </w:r>
          </w:p>
        </w:tc>
        <w:tc>
          <w:tcPr>
            <w:tcW w:w="1142" w:type="dxa"/>
            <w:tcBorders>
              <w:top w:val="single" w:color="auto" w:sz="4" w:space="0"/>
              <w:left w:val="single" w:color="auto" w:sz="4" w:space="0"/>
              <w:bottom w:val="single" w:color="auto" w:sz="4" w:space="0"/>
              <w:right w:val="single" w:color="auto" w:sz="4" w:space="0"/>
            </w:tcBorders>
          </w:tcPr>
          <w:p w14:paraId="11AFF73F">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2</w:t>
            </w:r>
            <w:r>
              <w:rPr>
                <w:rFonts w:ascii="Arial" w:hAnsi="Arial"/>
                <w:sz w:val="21"/>
                <w:szCs w:val="21"/>
                <w:highlight w:val="none"/>
              </w:rPr>
              <w:t>.0</w:t>
            </w:r>
          </w:p>
        </w:tc>
        <w:tc>
          <w:tcPr>
            <w:tcW w:w="933" w:type="dxa"/>
            <w:tcBorders>
              <w:top w:val="single" w:color="auto" w:sz="4" w:space="0"/>
              <w:left w:val="single" w:color="auto" w:sz="4" w:space="0"/>
              <w:bottom w:val="single" w:color="auto" w:sz="4" w:space="0"/>
              <w:right w:val="single" w:color="auto" w:sz="4" w:space="0"/>
            </w:tcBorders>
          </w:tcPr>
          <w:p w14:paraId="52493545">
            <w:pPr>
              <w:spacing w:line="360" w:lineRule="exact"/>
              <w:ind w:firstLine="0" w:firstLineChars="0"/>
              <w:jc w:val="both"/>
              <w:rPr>
                <w:rFonts w:ascii="Arial" w:hAnsi="Arial"/>
                <w:sz w:val="21"/>
                <w:szCs w:val="21"/>
                <w:highlight w:val="none"/>
              </w:rPr>
            </w:pPr>
            <w:r>
              <w:rPr>
                <w:rFonts w:ascii="Arial" w:hAnsi="Arial"/>
                <w:sz w:val="21"/>
                <w:szCs w:val="21"/>
                <w:highlight w:val="none"/>
              </w:rPr>
              <w:t>5.0</w:t>
            </w:r>
          </w:p>
        </w:tc>
        <w:tc>
          <w:tcPr>
            <w:tcW w:w="933" w:type="dxa"/>
            <w:tcBorders>
              <w:top w:val="single" w:color="auto" w:sz="4" w:space="0"/>
              <w:left w:val="single" w:color="auto" w:sz="4" w:space="0"/>
              <w:bottom w:val="single" w:color="auto" w:sz="4" w:space="0"/>
              <w:right w:val="single" w:color="auto" w:sz="4" w:space="0"/>
            </w:tcBorders>
          </w:tcPr>
          <w:p w14:paraId="18EFEAB9">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1</w:t>
            </w:r>
            <w:r>
              <w:rPr>
                <w:rFonts w:ascii="Arial" w:hAnsi="Arial"/>
                <w:sz w:val="21"/>
                <w:szCs w:val="21"/>
                <w:highlight w:val="none"/>
              </w:rPr>
              <w:t>.0</w:t>
            </w:r>
          </w:p>
        </w:tc>
        <w:tc>
          <w:tcPr>
            <w:tcW w:w="927" w:type="dxa"/>
            <w:tcBorders>
              <w:top w:val="single" w:color="auto" w:sz="4" w:space="0"/>
              <w:left w:val="single" w:color="auto" w:sz="4" w:space="0"/>
              <w:bottom w:val="single" w:color="auto" w:sz="4" w:space="0"/>
              <w:right w:val="single" w:color="auto" w:sz="4" w:space="0"/>
            </w:tcBorders>
          </w:tcPr>
          <w:p w14:paraId="7ECC8702">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5</w:t>
            </w:r>
            <w:r>
              <w:rPr>
                <w:rFonts w:ascii="Arial" w:hAnsi="Arial"/>
                <w:sz w:val="21"/>
                <w:szCs w:val="21"/>
                <w:highlight w:val="none"/>
              </w:rPr>
              <w:t>.0</w:t>
            </w:r>
          </w:p>
        </w:tc>
        <w:tc>
          <w:tcPr>
            <w:tcW w:w="970" w:type="dxa"/>
            <w:tcBorders>
              <w:top w:val="single" w:color="auto" w:sz="4" w:space="0"/>
              <w:left w:val="single" w:color="auto" w:sz="4" w:space="0"/>
              <w:bottom w:val="single" w:color="auto" w:sz="4" w:space="0"/>
              <w:right w:val="single" w:color="auto" w:sz="4" w:space="0"/>
            </w:tcBorders>
          </w:tcPr>
          <w:p w14:paraId="298D6770">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3</w:t>
            </w:r>
            <w:r>
              <w:rPr>
                <w:rFonts w:ascii="Arial" w:hAnsi="Arial"/>
                <w:sz w:val="21"/>
                <w:szCs w:val="21"/>
                <w:highlight w:val="none"/>
              </w:rPr>
              <w:t>.0</w:t>
            </w:r>
          </w:p>
        </w:tc>
      </w:tr>
      <w:tr w14:paraId="2862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1" w:type="dxa"/>
            <w:gridSpan w:val="2"/>
            <w:vMerge w:val="continue"/>
            <w:tcBorders>
              <w:top w:val="nil"/>
              <w:left w:val="single" w:color="auto" w:sz="4" w:space="0"/>
              <w:bottom w:val="single" w:color="auto" w:sz="4" w:space="0"/>
              <w:right w:val="single" w:color="auto" w:sz="4" w:space="0"/>
            </w:tcBorders>
            <w:vAlign w:val="center"/>
          </w:tcPr>
          <w:p w14:paraId="40E8C15E">
            <w:pPr>
              <w:widowControl/>
              <w:spacing w:line="240" w:lineRule="auto"/>
              <w:ind w:firstLine="0" w:firstLineChars="0"/>
              <w:rPr>
                <w:rFonts w:ascii="Arial" w:hAnsi="Arial"/>
                <w:sz w:val="21"/>
                <w:szCs w:val="21"/>
                <w:highlight w:val="none"/>
              </w:rPr>
            </w:pPr>
          </w:p>
        </w:tc>
        <w:tc>
          <w:tcPr>
            <w:tcW w:w="1557" w:type="dxa"/>
            <w:gridSpan w:val="2"/>
            <w:tcBorders>
              <w:top w:val="single" w:color="auto" w:sz="4" w:space="0"/>
              <w:left w:val="single" w:color="auto" w:sz="4" w:space="0"/>
              <w:bottom w:val="single" w:color="auto" w:sz="4" w:space="0"/>
              <w:right w:val="single" w:color="auto" w:sz="4" w:space="0"/>
            </w:tcBorders>
          </w:tcPr>
          <w:p w14:paraId="61B9ABF7">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1200</w:t>
            </w:r>
            <w:r>
              <w:rPr>
                <w:rFonts w:hint="eastAsia"/>
                <w:sz w:val="21"/>
                <w:szCs w:val="21"/>
                <w:highlight w:val="none"/>
              </w:rPr>
              <w:t>℃×</w:t>
            </w:r>
            <w:r>
              <w:rPr>
                <w:rFonts w:hint="eastAsia" w:ascii="Arial" w:hAnsi="Arial"/>
                <w:sz w:val="21"/>
                <w:szCs w:val="21"/>
                <w:highlight w:val="none"/>
              </w:rPr>
              <w:t>3h</w:t>
            </w:r>
            <w:r>
              <w:rPr>
                <w:rFonts w:hint="eastAsia"/>
                <w:sz w:val="21"/>
                <w:szCs w:val="21"/>
                <w:highlight w:val="none"/>
              </w:rPr>
              <w:t>烧后</w:t>
            </w:r>
          </w:p>
        </w:tc>
        <w:tc>
          <w:tcPr>
            <w:tcW w:w="1026" w:type="dxa"/>
            <w:tcBorders>
              <w:top w:val="single" w:color="auto" w:sz="4" w:space="0"/>
              <w:left w:val="single" w:color="auto" w:sz="4" w:space="0"/>
              <w:bottom w:val="single" w:color="auto" w:sz="4" w:space="0"/>
              <w:right w:val="single" w:color="auto" w:sz="4" w:space="0"/>
            </w:tcBorders>
          </w:tcPr>
          <w:p w14:paraId="733F3AAB">
            <w:pPr>
              <w:spacing w:line="360" w:lineRule="exact"/>
              <w:ind w:firstLine="0" w:firstLineChars="0"/>
              <w:jc w:val="both"/>
              <w:rPr>
                <w:rFonts w:ascii="Arial" w:hAnsi="Arial"/>
                <w:sz w:val="21"/>
                <w:szCs w:val="21"/>
                <w:highlight w:val="none"/>
              </w:rPr>
            </w:pPr>
            <w:r>
              <w:rPr>
                <w:rFonts w:hint="eastAsia"/>
                <w:sz w:val="21"/>
                <w:szCs w:val="21"/>
                <w:highlight w:val="none"/>
              </w:rPr>
              <w:t>≥</w:t>
            </w:r>
            <w:r>
              <w:rPr>
                <w:rFonts w:hint="eastAsia" w:ascii="Arial" w:hAnsi="Arial"/>
                <w:sz w:val="21"/>
                <w:szCs w:val="21"/>
                <w:highlight w:val="none"/>
              </w:rPr>
              <w:t>MPa</w:t>
            </w:r>
          </w:p>
        </w:tc>
        <w:tc>
          <w:tcPr>
            <w:tcW w:w="1142" w:type="dxa"/>
            <w:tcBorders>
              <w:top w:val="single" w:color="auto" w:sz="4" w:space="0"/>
              <w:left w:val="single" w:color="auto" w:sz="4" w:space="0"/>
              <w:bottom w:val="single" w:color="auto" w:sz="4" w:space="0"/>
              <w:right w:val="single" w:color="auto" w:sz="4" w:space="0"/>
            </w:tcBorders>
          </w:tcPr>
          <w:p w14:paraId="3081012E">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6</w:t>
            </w:r>
            <w:r>
              <w:rPr>
                <w:rFonts w:ascii="Arial" w:hAnsi="Arial"/>
                <w:sz w:val="21"/>
                <w:szCs w:val="21"/>
                <w:highlight w:val="none"/>
              </w:rPr>
              <w:t>.0</w:t>
            </w:r>
          </w:p>
        </w:tc>
        <w:tc>
          <w:tcPr>
            <w:tcW w:w="933" w:type="dxa"/>
            <w:tcBorders>
              <w:top w:val="single" w:color="auto" w:sz="4" w:space="0"/>
              <w:left w:val="single" w:color="auto" w:sz="4" w:space="0"/>
              <w:bottom w:val="single" w:color="auto" w:sz="4" w:space="0"/>
              <w:right w:val="single" w:color="auto" w:sz="4" w:space="0"/>
            </w:tcBorders>
          </w:tcPr>
          <w:p w14:paraId="1C8C3A36">
            <w:pPr>
              <w:spacing w:line="360" w:lineRule="exact"/>
              <w:ind w:firstLine="0" w:firstLineChars="0"/>
              <w:jc w:val="both"/>
              <w:rPr>
                <w:rFonts w:ascii="Arial" w:hAnsi="Arial"/>
                <w:sz w:val="21"/>
                <w:szCs w:val="21"/>
                <w:highlight w:val="none"/>
              </w:rPr>
            </w:pPr>
          </w:p>
        </w:tc>
        <w:tc>
          <w:tcPr>
            <w:tcW w:w="933" w:type="dxa"/>
            <w:tcBorders>
              <w:top w:val="single" w:color="auto" w:sz="4" w:space="0"/>
              <w:left w:val="single" w:color="auto" w:sz="4" w:space="0"/>
              <w:bottom w:val="single" w:color="auto" w:sz="4" w:space="0"/>
              <w:right w:val="single" w:color="auto" w:sz="4" w:space="0"/>
            </w:tcBorders>
          </w:tcPr>
          <w:p w14:paraId="1FF6FEDA">
            <w:pPr>
              <w:spacing w:line="360" w:lineRule="exact"/>
              <w:ind w:firstLine="0" w:firstLineChars="0"/>
              <w:jc w:val="both"/>
              <w:rPr>
                <w:rFonts w:ascii="Arial" w:hAnsi="Arial"/>
                <w:sz w:val="21"/>
                <w:szCs w:val="21"/>
                <w:highlight w:val="none"/>
              </w:rPr>
            </w:pPr>
          </w:p>
        </w:tc>
        <w:tc>
          <w:tcPr>
            <w:tcW w:w="927" w:type="dxa"/>
            <w:tcBorders>
              <w:top w:val="single" w:color="auto" w:sz="4" w:space="0"/>
              <w:left w:val="single" w:color="auto" w:sz="4" w:space="0"/>
              <w:bottom w:val="single" w:color="auto" w:sz="4" w:space="0"/>
              <w:right w:val="single" w:color="auto" w:sz="4" w:space="0"/>
            </w:tcBorders>
          </w:tcPr>
          <w:p w14:paraId="796D6CD3">
            <w:pPr>
              <w:spacing w:line="360" w:lineRule="exact"/>
              <w:ind w:firstLine="0" w:firstLineChars="0"/>
              <w:jc w:val="both"/>
              <w:rPr>
                <w:rFonts w:ascii="Arial" w:hAnsi="Arial"/>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tcPr>
          <w:p w14:paraId="3BE4351F">
            <w:pPr>
              <w:spacing w:line="360" w:lineRule="exact"/>
              <w:ind w:firstLine="0" w:firstLineChars="0"/>
              <w:jc w:val="both"/>
              <w:rPr>
                <w:rFonts w:ascii="Arial" w:hAnsi="Arial"/>
                <w:sz w:val="21"/>
                <w:szCs w:val="21"/>
                <w:highlight w:val="none"/>
              </w:rPr>
            </w:pPr>
          </w:p>
        </w:tc>
      </w:tr>
      <w:tr w14:paraId="2B69C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588" w:type="dxa"/>
            <w:gridSpan w:val="4"/>
            <w:tcBorders>
              <w:top w:val="single" w:color="auto" w:sz="4" w:space="0"/>
              <w:left w:val="single" w:color="auto" w:sz="4" w:space="0"/>
              <w:bottom w:val="single" w:color="auto" w:sz="4" w:space="0"/>
              <w:right w:val="single" w:color="auto" w:sz="4" w:space="0"/>
            </w:tcBorders>
          </w:tcPr>
          <w:p w14:paraId="1F5E4024">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0.2MPa</w:t>
            </w:r>
            <w:r>
              <w:rPr>
                <w:rFonts w:hint="eastAsia"/>
                <w:sz w:val="21"/>
                <w:szCs w:val="21"/>
                <w:highlight w:val="none"/>
              </w:rPr>
              <w:t>荷重软化温度</w:t>
            </w:r>
          </w:p>
        </w:tc>
        <w:tc>
          <w:tcPr>
            <w:tcW w:w="1026" w:type="dxa"/>
            <w:tcBorders>
              <w:top w:val="single" w:color="auto" w:sz="4" w:space="0"/>
              <w:left w:val="single" w:color="auto" w:sz="4" w:space="0"/>
              <w:bottom w:val="single" w:color="auto" w:sz="4" w:space="0"/>
              <w:right w:val="single" w:color="auto" w:sz="4" w:space="0"/>
            </w:tcBorders>
          </w:tcPr>
          <w:p w14:paraId="07543794">
            <w:pPr>
              <w:spacing w:line="360" w:lineRule="exact"/>
              <w:ind w:firstLine="0" w:firstLineChars="0"/>
              <w:jc w:val="both"/>
              <w:rPr>
                <w:rFonts w:ascii="Arial" w:hAnsi="Arial"/>
                <w:sz w:val="21"/>
                <w:szCs w:val="21"/>
                <w:highlight w:val="none"/>
              </w:rPr>
            </w:pPr>
            <w:r>
              <w:rPr>
                <w:rFonts w:hint="eastAsia"/>
                <w:sz w:val="21"/>
                <w:szCs w:val="21"/>
                <w:highlight w:val="none"/>
              </w:rPr>
              <w:t>≥℃</w:t>
            </w:r>
          </w:p>
        </w:tc>
        <w:tc>
          <w:tcPr>
            <w:tcW w:w="1142" w:type="dxa"/>
            <w:tcBorders>
              <w:top w:val="single" w:color="auto" w:sz="4" w:space="0"/>
              <w:left w:val="single" w:color="auto" w:sz="4" w:space="0"/>
              <w:bottom w:val="single" w:color="auto" w:sz="4" w:space="0"/>
              <w:right w:val="single" w:color="auto" w:sz="4" w:space="0"/>
            </w:tcBorders>
          </w:tcPr>
          <w:p w14:paraId="0769BA9C">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1</w:t>
            </w:r>
            <w:r>
              <w:rPr>
                <w:rFonts w:ascii="Arial" w:hAnsi="Arial"/>
                <w:sz w:val="21"/>
                <w:szCs w:val="21"/>
                <w:highlight w:val="none"/>
              </w:rPr>
              <w:t>400</w:t>
            </w:r>
          </w:p>
        </w:tc>
        <w:tc>
          <w:tcPr>
            <w:tcW w:w="933" w:type="dxa"/>
            <w:tcBorders>
              <w:top w:val="single" w:color="auto" w:sz="4" w:space="0"/>
              <w:left w:val="single" w:color="auto" w:sz="4" w:space="0"/>
              <w:bottom w:val="single" w:color="auto" w:sz="4" w:space="0"/>
              <w:right w:val="single" w:color="auto" w:sz="4" w:space="0"/>
            </w:tcBorders>
          </w:tcPr>
          <w:p w14:paraId="366F2793">
            <w:pPr>
              <w:spacing w:line="360" w:lineRule="exact"/>
              <w:ind w:firstLine="0" w:firstLineChars="0"/>
              <w:jc w:val="both"/>
              <w:rPr>
                <w:rFonts w:ascii="Arial" w:hAnsi="Arial"/>
                <w:sz w:val="21"/>
                <w:szCs w:val="21"/>
                <w:highlight w:val="none"/>
              </w:rPr>
            </w:pPr>
          </w:p>
        </w:tc>
        <w:tc>
          <w:tcPr>
            <w:tcW w:w="933" w:type="dxa"/>
            <w:tcBorders>
              <w:top w:val="single" w:color="auto" w:sz="4" w:space="0"/>
              <w:left w:val="single" w:color="auto" w:sz="4" w:space="0"/>
              <w:bottom w:val="single" w:color="auto" w:sz="4" w:space="0"/>
              <w:right w:val="single" w:color="auto" w:sz="4" w:space="0"/>
            </w:tcBorders>
          </w:tcPr>
          <w:p w14:paraId="292A4625">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1200</w:t>
            </w:r>
          </w:p>
        </w:tc>
        <w:tc>
          <w:tcPr>
            <w:tcW w:w="927" w:type="dxa"/>
            <w:tcBorders>
              <w:top w:val="single" w:color="auto" w:sz="4" w:space="0"/>
              <w:left w:val="single" w:color="auto" w:sz="4" w:space="0"/>
              <w:bottom w:val="single" w:color="auto" w:sz="4" w:space="0"/>
              <w:right w:val="single" w:color="auto" w:sz="4" w:space="0"/>
            </w:tcBorders>
          </w:tcPr>
          <w:p w14:paraId="0ED674DF">
            <w:pPr>
              <w:spacing w:line="360" w:lineRule="exact"/>
              <w:ind w:firstLine="0" w:firstLineChars="0"/>
              <w:jc w:val="both"/>
              <w:rPr>
                <w:rFonts w:ascii="Arial" w:hAnsi="Arial"/>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tcPr>
          <w:p w14:paraId="1D049279">
            <w:pPr>
              <w:spacing w:line="360" w:lineRule="exact"/>
              <w:ind w:firstLine="0" w:firstLineChars="0"/>
              <w:jc w:val="both"/>
              <w:rPr>
                <w:rFonts w:ascii="Arial" w:hAnsi="Arial"/>
                <w:sz w:val="21"/>
                <w:szCs w:val="21"/>
                <w:highlight w:val="none"/>
              </w:rPr>
            </w:pPr>
          </w:p>
        </w:tc>
      </w:tr>
      <w:tr w14:paraId="35AEF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588" w:type="dxa"/>
            <w:gridSpan w:val="4"/>
            <w:tcBorders>
              <w:top w:val="single" w:color="auto" w:sz="4" w:space="0"/>
              <w:left w:val="single" w:color="auto" w:sz="4" w:space="0"/>
              <w:bottom w:val="single" w:color="auto" w:sz="4" w:space="0"/>
              <w:right w:val="single" w:color="auto" w:sz="4" w:space="0"/>
            </w:tcBorders>
          </w:tcPr>
          <w:p w14:paraId="6F3F1FE0">
            <w:pPr>
              <w:spacing w:line="360" w:lineRule="exact"/>
              <w:ind w:firstLine="0" w:firstLineChars="0"/>
              <w:jc w:val="both"/>
              <w:rPr>
                <w:rFonts w:ascii="Arial" w:hAnsi="Arial"/>
                <w:sz w:val="21"/>
                <w:szCs w:val="21"/>
                <w:highlight w:val="none"/>
              </w:rPr>
            </w:pPr>
            <w:r>
              <w:rPr>
                <w:rFonts w:hint="eastAsia"/>
                <w:sz w:val="21"/>
                <w:szCs w:val="21"/>
                <w:highlight w:val="none"/>
              </w:rPr>
              <w:t>粘结时间</w:t>
            </w:r>
          </w:p>
        </w:tc>
        <w:tc>
          <w:tcPr>
            <w:tcW w:w="1026" w:type="dxa"/>
            <w:tcBorders>
              <w:top w:val="single" w:color="auto" w:sz="4" w:space="0"/>
              <w:left w:val="single" w:color="auto" w:sz="4" w:space="0"/>
              <w:bottom w:val="single" w:color="auto" w:sz="4" w:space="0"/>
              <w:right w:val="single" w:color="auto" w:sz="4" w:space="0"/>
            </w:tcBorders>
          </w:tcPr>
          <w:p w14:paraId="7C901A8B">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min</w:t>
            </w:r>
          </w:p>
        </w:tc>
        <w:tc>
          <w:tcPr>
            <w:tcW w:w="1142" w:type="dxa"/>
            <w:tcBorders>
              <w:top w:val="single" w:color="auto" w:sz="4" w:space="0"/>
              <w:left w:val="single" w:color="auto" w:sz="4" w:space="0"/>
              <w:bottom w:val="single" w:color="auto" w:sz="4" w:space="0"/>
              <w:right w:val="single" w:color="auto" w:sz="4" w:space="0"/>
            </w:tcBorders>
          </w:tcPr>
          <w:p w14:paraId="4A1FA10F">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1</w:t>
            </w:r>
            <w:r>
              <w:rPr>
                <w:rFonts w:hint="eastAsia"/>
                <w:sz w:val="21"/>
                <w:szCs w:val="21"/>
                <w:highlight w:val="none"/>
              </w:rPr>
              <w:t>～</w:t>
            </w:r>
            <w:r>
              <w:rPr>
                <w:rFonts w:hint="eastAsia" w:ascii="Arial" w:hAnsi="Arial"/>
                <w:sz w:val="21"/>
                <w:szCs w:val="21"/>
                <w:highlight w:val="none"/>
              </w:rPr>
              <w:t>3</w:t>
            </w:r>
          </w:p>
        </w:tc>
        <w:tc>
          <w:tcPr>
            <w:tcW w:w="933" w:type="dxa"/>
            <w:tcBorders>
              <w:top w:val="single" w:color="auto" w:sz="4" w:space="0"/>
              <w:left w:val="single" w:color="auto" w:sz="4" w:space="0"/>
              <w:bottom w:val="single" w:color="auto" w:sz="4" w:space="0"/>
              <w:right w:val="single" w:color="auto" w:sz="4" w:space="0"/>
            </w:tcBorders>
          </w:tcPr>
          <w:p w14:paraId="1FC9B89E">
            <w:pPr>
              <w:spacing w:line="360" w:lineRule="exact"/>
              <w:ind w:firstLine="0" w:firstLineChars="0"/>
              <w:jc w:val="both"/>
              <w:rPr>
                <w:rFonts w:ascii="Arial" w:hAnsi="Arial"/>
                <w:sz w:val="21"/>
                <w:szCs w:val="21"/>
                <w:highlight w:val="none"/>
              </w:rPr>
            </w:pPr>
          </w:p>
        </w:tc>
        <w:tc>
          <w:tcPr>
            <w:tcW w:w="933" w:type="dxa"/>
            <w:tcBorders>
              <w:top w:val="single" w:color="auto" w:sz="4" w:space="0"/>
              <w:left w:val="single" w:color="auto" w:sz="4" w:space="0"/>
              <w:bottom w:val="single" w:color="auto" w:sz="4" w:space="0"/>
              <w:right w:val="single" w:color="auto" w:sz="4" w:space="0"/>
            </w:tcBorders>
          </w:tcPr>
          <w:p w14:paraId="411F5C9A">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1</w:t>
            </w:r>
            <w:r>
              <w:rPr>
                <w:rFonts w:hint="eastAsia"/>
                <w:sz w:val="21"/>
                <w:szCs w:val="21"/>
                <w:highlight w:val="none"/>
              </w:rPr>
              <w:t>～</w:t>
            </w:r>
            <w:r>
              <w:rPr>
                <w:rFonts w:hint="eastAsia" w:ascii="Arial" w:hAnsi="Arial"/>
                <w:sz w:val="21"/>
                <w:szCs w:val="21"/>
                <w:highlight w:val="none"/>
              </w:rPr>
              <w:t>3</w:t>
            </w:r>
          </w:p>
        </w:tc>
        <w:tc>
          <w:tcPr>
            <w:tcW w:w="927" w:type="dxa"/>
            <w:tcBorders>
              <w:top w:val="single" w:color="auto" w:sz="4" w:space="0"/>
              <w:left w:val="single" w:color="auto" w:sz="4" w:space="0"/>
              <w:bottom w:val="single" w:color="auto" w:sz="4" w:space="0"/>
              <w:right w:val="single" w:color="auto" w:sz="4" w:space="0"/>
            </w:tcBorders>
          </w:tcPr>
          <w:p w14:paraId="21A17267">
            <w:pPr>
              <w:spacing w:line="360" w:lineRule="exact"/>
              <w:ind w:firstLine="0" w:firstLineChars="0"/>
              <w:jc w:val="both"/>
              <w:rPr>
                <w:rFonts w:ascii="Arial" w:hAnsi="Arial"/>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tcPr>
          <w:p w14:paraId="37C90745">
            <w:pPr>
              <w:spacing w:line="360" w:lineRule="exact"/>
              <w:ind w:firstLine="0" w:firstLineChars="0"/>
              <w:jc w:val="both"/>
              <w:rPr>
                <w:rFonts w:ascii="Arial" w:hAnsi="Arial"/>
                <w:sz w:val="21"/>
                <w:szCs w:val="21"/>
                <w:highlight w:val="none"/>
              </w:rPr>
            </w:pPr>
          </w:p>
        </w:tc>
      </w:tr>
      <w:tr w14:paraId="235DD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55" w:type="dxa"/>
            <w:gridSpan w:val="3"/>
            <w:vMerge w:val="restart"/>
            <w:tcBorders>
              <w:top w:val="nil"/>
              <w:left w:val="single" w:color="auto" w:sz="4" w:space="0"/>
              <w:bottom w:val="single" w:color="auto" w:sz="4" w:space="0"/>
              <w:right w:val="single" w:color="auto" w:sz="4" w:space="0"/>
            </w:tcBorders>
          </w:tcPr>
          <w:p w14:paraId="15ECD9DF">
            <w:pPr>
              <w:spacing w:line="360" w:lineRule="exact"/>
              <w:ind w:firstLine="0" w:firstLineChars="0"/>
              <w:jc w:val="both"/>
              <w:rPr>
                <w:rFonts w:ascii="Arial" w:hAnsi="Arial"/>
                <w:sz w:val="21"/>
                <w:szCs w:val="21"/>
                <w:highlight w:val="none"/>
              </w:rPr>
            </w:pPr>
            <w:r>
              <w:rPr>
                <w:rFonts w:hint="eastAsia"/>
                <w:sz w:val="21"/>
                <w:szCs w:val="21"/>
                <w:highlight w:val="none"/>
              </w:rPr>
              <w:t>线变化率</w:t>
            </w:r>
          </w:p>
        </w:tc>
        <w:tc>
          <w:tcPr>
            <w:tcW w:w="1533" w:type="dxa"/>
            <w:tcBorders>
              <w:top w:val="single" w:color="auto" w:sz="4" w:space="0"/>
              <w:left w:val="single" w:color="auto" w:sz="4" w:space="0"/>
              <w:bottom w:val="single" w:color="auto" w:sz="4" w:space="0"/>
              <w:right w:val="single" w:color="auto" w:sz="4" w:space="0"/>
            </w:tcBorders>
          </w:tcPr>
          <w:p w14:paraId="7F3D6C33">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1200</w:t>
            </w:r>
            <w:r>
              <w:rPr>
                <w:rFonts w:hint="eastAsia"/>
                <w:sz w:val="21"/>
                <w:szCs w:val="21"/>
                <w:highlight w:val="none"/>
              </w:rPr>
              <w:t>℃×</w:t>
            </w:r>
            <w:r>
              <w:rPr>
                <w:rFonts w:hint="eastAsia" w:ascii="Arial" w:hAnsi="Arial"/>
                <w:sz w:val="21"/>
                <w:szCs w:val="21"/>
                <w:highlight w:val="none"/>
              </w:rPr>
              <w:t>3h</w:t>
            </w:r>
            <w:r>
              <w:rPr>
                <w:rFonts w:hint="eastAsia"/>
                <w:sz w:val="21"/>
                <w:szCs w:val="21"/>
                <w:highlight w:val="none"/>
              </w:rPr>
              <w:t>烧后</w:t>
            </w:r>
          </w:p>
        </w:tc>
        <w:tc>
          <w:tcPr>
            <w:tcW w:w="1026" w:type="dxa"/>
            <w:tcBorders>
              <w:top w:val="single" w:color="auto" w:sz="4" w:space="0"/>
              <w:left w:val="single" w:color="auto" w:sz="4" w:space="0"/>
              <w:bottom w:val="single" w:color="auto" w:sz="4" w:space="0"/>
              <w:right w:val="single" w:color="auto" w:sz="4" w:space="0"/>
            </w:tcBorders>
          </w:tcPr>
          <w:p w14:paraId="00E306A3">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w:t>
            </w:r>
          </w:p>
        </w:tc>
        <w:tc>
          <w:tcPr>
            <w:tcW w:w="1142" w:type="dxa"/>
            <w:tcBorders>
              <w:top w:val="single" w:color="auto" w:sz="4" w:space="0"/>
              <w:left w:val="single" w:color="auto" w:sz="4" w:space="0"/>
              <w:bottom w:val="single" w:color="auto" w:sz="4" w:space="0"/>
              <w:right w:val="single" w:color="auto" w:sz="4" w:space="0"/>
            </w:tcBorders>
          </w:tcPr>
          <w:p w14:paraId="2F1E3BD2">
            <w:pPr>
              <w:spacing w:line="360" w:lineRule="exact"/>
              <w:ind w:firstLine="0" w:firstLineChars="0"/>
              <w:jc w:val="both"/>
              <w:rPr>
                <w:sz w:val="21"/>
                <w:szCs w:val="21"/>
                <w:highlight w:val="none"/>
              </w:rPr>
            </w:pPr>
          </w:p>
        </w:tc>
        <w:tc>
          <w:tcPr>
            <w:tcW w:w="933" w:type="dxa"/>
            <w:tcBorders>
              <w:top w:val="single" w:color="auto" w:sz="4" w:space="0"/>
              <w:left w:val="single" w:color="auto" w:sz="4" w:space="0"/>
              <w:bottom w:val="single" w:color="auto" w:sz="4" w:space="0"/>
              <w:right w:val="single" w:color="auto" w:sz="4" w:space="0"/>
            </w:tcBorders>
          </w:tcPr>
          <w:p w14:paraId="3BDF75E9">
            <w:pPr>
              <w:spacing w:line="360" w:lineRule="exact"/>
              <w:ind w:firstLine="0" w:firstLineChars="0"/>
              <w:jc w:val="both"/>
              <w:rPr>
                <w:rFonts w:ascii="Arial" w:hAnsi="Arial"/>
                <w:sz w:val="21"/>
                <w:szCs w:val="21"/>
                <w:highlight w:val="none"/>
              </w:rPr>
            </w:pPr>
          </w:p>
        </w:tc>
        <w:tc>
          <w:tcPr>
            <w:tcW w:w="933" w:type="dxa"/>
            <w:tcBorders>
              <w:top w:val="single" w:color="auto" w:sz="4" w:space="0"/>
              <w:left w:val="single" w:color="auto" w:sz="4" w:space="0"/>
              <w:bottom w:val="single" w:color="auto" w:sz="4" w:space="0"/>
              <w:right w:val="single" w:color="auto" w:sz="4" w:space="0"/>
            </w:tcBorders>
          </w:tcPr>
          <w:p w14:paraId="42130CF0">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+1~-5</w:t>
            </w:r>
          </w:p>
        </w:tc>
        <w:tc>
          <w:tcPr>
            <w:tcW w:w="927" w:type="dxa"/>
            <w:tcBorders>
              <w:top w:val="single" w:color="auto" w:sz="4" w:space="0"/>
              <w:left w:val="single" w:color="auto" w:sz="4" w:space="0"/>
              <w:bottom w:val="single" w:color="auto" w:sz="4" w:space="0"/>
              <w:right w:val="single" w:color="auto" w:sz="4" w:space="0"/>
            </w:tcBorders>
          </w:tcPr>
          <w:p w14:paraId="0A3EBECC">
            <w:pPr>
              <w:spacing w:line="360" w:lineRule="exact"/>
              <w:ind w:firstLine="0" w:firstLineChars="0"/>
              <w:jc w:val="both"/>
              <w:rPr>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tcPr>
          <w:p w14:paraId="68A9A2CB">
            <w:pPr>
              <w:spacing w:line="360" w:lineRule="exact"/>
              <w:ind w:firstLine="0" w:firstLineChars="0"/>
              <w:jc w:val="both"/>
              <w:rPr>
                <w:sz w:val="21"/>
                <w:szCs w:val="21"/>
                <w:highlight w:val="none"/>
              </w:rPr>
            </w:pPr>
          </w:p>
        </w:tc>
      </w:tr>
      <w:tr w14:paraId="2ED33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55" w:type="dxa"/>
            <w:gridSpan w:val="3"/>
            <w:vMerge w:val="continue"/>
            <w:tcBorders>
              <w:top w:val="nil"/>
              <w:left w:val="single" w:color="auto" w:sz="4" w:space="0"/>
              <w:bottom w:val="single" w:color="auto" w:sz="4" w:space="0"/>
              <w:right w:val="single" w:color="auto" w:sz="4" w:space="0"/>
            </w:tcBorders>
            <w:vAlign w:val="center"/>
          </w:tcPr>
          <w:p w14:paraId="7D2DAA02">
            <w:pPr>
              <w:widowControl/>
              <w:spacing w:line="240" w:lineRule="auto"/>
              <w:ind w:firstLine="0" w:firstLineChars="0"/>
              <w:rPr>
                <w:rFonts w:ascii="Arial" w:hAnsi="Arial"/>
                <w:sz w:val="21"/>
                <w:szCs w:val="21"/>
                <w:highlight w:val="none"/>
              </w:rPr>
            </w:pPr>
          </w:p>
        </w:tc>
        <w:tc>
          <w:tcPr>
            <w:tcW w:w="1533" w:type="dxa"/>
            <w:tcBorders>
              <w:top w:val="single" w:color="auto" w:sz="4" w:space="0"/>
              <w:left w:val="single" w:color="auto" w:sz="4" w:space="0"/>
              <w:bottom w:val="single" w:color="auto" w:sz="4" w:space="0"/>
              <w:right w:val="single" w:color="auto" w:sz="4" w:space="0"/>
            </w:tcBorders>
          </w:tcPr>
          <w:p w14:paraId="19B0C7EE">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1300</w:t>
            </w:r>
            <w:r>
              <w:rPr>
                <w:rFonts w:hint="eastAsia"/>
                <w:sz w:val="21"/>
                <w:szCs w:val="21"/>
                <w:highlight w:val="none"/>
              </w:rPr>
              <w:t>℃×</w:t>
            </w:r>
            <w:r>
              <w:rPr>
                <w:rFonts w:hint="eastAsia" w:ascii="Arial" w:hAnsi="Arial"/>
                <w:sz w:val="21"/>
                <w:szCs w:val="21"/>
                <w:highlight w:val="none"/>
              </w:rPr>
              <w:t>3h</w:t>
            </w:r>
            <w:r>
              <w:rPr>
                <w:rFonts w:hint="eastAsia"/>
                <w:sz w:val="21"/>
                <w:szCs w:val="21"/>
                <w:highlight w:val="none"/>
              </w:rPr>
              <w:t>烧后</w:t>
            </w:r>
          </w:p>
        </w:tc>
        <w:tc>
          <w:tcPr>
            <w:tcW w:w="1026" w:type="dxa"/>
            <w:tcBorders>
              <w:top w:val="single" w:color="auto" w:sz="4" w:space="0"/>
              <w:left w:val="single" w:color="auto" w:sz="4" w:space="0"/>
              <w:bottom w:val="single" w:color="auto" w:sz="4" w:space="0"/>
              <w:right w:val="single" w:color="auto" w:sz="4" w:space="0"/>
            </w:tcBorders>
          </w:tcPr>
          <w:p w14:paraId="0B3BDBD3">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w:t>
            </w:r>
          </w:p>
        </w:tc>
        <w:tc>
          <w:tcPr>
            <w:tcW w:w="1142" w:type="dxa"/>
            <w:tcBorders>
              <w:top w:val="single" w:color="auto" w:sz="4" w:space="0"/>
              <w:left w:val="single" w:color="auto" w:sz="4" w:space="0"/>
              <w:bottom w:val="single" w:color="auto" w:sz="4" w:space="0"/>
              <w:right w:val="single" w:color="auto" w:sz="4" w:space="0"/>
            </w:tcBorders>
          </w:tcPr>
          <w:p w14:paraId="534EDB2D">
            <w:pPr>
              <w:spacing w:line="360" w:lineRule="exact"/>
              <w:ind w:firstLine="0" w:firstLineChars="0"/>
              <w:jc w:val="both"/>
              <w:rPr>
                <w:rFonts w:ascii="Arial" w:hAnsi="Arial"/>
                <w:sz w:val="21"/>
                <w:szCs w:val="21"/>
                <w:highlight w:val="none"/>
              </w:rPr>
            </w:pPr>
          </w:p>
        </w:tc>
        <w:tc>
          <w:tcPr>
            <w:tcW w:w="933" w:type="dxa"/>
            <w:tcBorders>
              <w:top w:val="single" w:color="auto" w:sz="4" w:space="0"/>
              <w:left w:val="single" w:color="auto" w:sz="4" w:space="0"/>
              <w:bottom w:val="single" w:color="auto" w:sz="4" w:space="0"/>
              <w:right w:val="single" w:color="auto" w:sz="4" w:space="0"/>
            </w:tcBorders>
          </w:tcPr>
          <w:p w14:paraId="43E1BEFD">
            <w:pPr>
              <w:spacing w:line="360" w:lineRule="exact"/>
              <w:ind w:firstLine="0" w:firstLineChars="0"/>
              <w:jc w:val="both"/>
              <w:rPr>
                <w:rFonts w:ascii="Arial" w:hAnsi="Arial"/>
                <w:sz w:val="21"/>
                <w:szCs w:val="21"/>
                <w:highlight w:val="none"/>
              </w:rPr>
            </w:pPr>
          </w:p>
        </w:tc>
        <w:tc>
          <w:tcPr>
            <w:tcW w:w="933" w:type="dxa"/>
            <w:tcBorders>
              <w:top w:val="single" w:color="auto" w:sz="4" w:space="0"/>
              <w:left w:val="single" w:color="auto" w:sz="4" w:space="0"/>
              <w:bottom w:val="single" w:color="auto" w:sz="4" w:space="0"/>
              <w:right w:val="single" w:color="auto" w:sz="4" w:space="0"/>
            </w:tcBorders>
          </w:tcPr>
          <w:p w14:paraId="596A6EBC">
            <w:pPr>
              <w:spacing w:line="360" w:lineRule="exact"/>
              <w:ind w:firstLine="0" w:firstLineChars="0"/>
              <w:jc w:val="both"/>
              <w:rPr>
                <w:rFonts w:ascii="Arial" w:hAnsi="Arial"/>
                <w:sz w:val="21"/>
                <w:szCs w:val="21"/>
                <w:highlight w:val="none"/>
              </w:rPr>
            </w:pPr>
          </w:p>
        </w:tc>
        <w:tc>
          <w:tcPr>
            <w:tcW w:w="927" w:type="dxa"/>
            <w:tcBorders>
              <w:top w:val="single" w:color="auto" w:sz="4" w:space="0"/>
              <w:left w:val="single" w:color="auto" w:sz="4" w:space="0"/>
              <w:bottom w:val="single" w:color="auto" w:sz="4" w:space="0"/>
              <w:right w:val="single" w:color="auto" w:sz="4" w:space="0"/>
            </w:tcBorders>
          </w:tcPr>
          <w:p w14:paraId="1E258EF8">
            <w:pPr>
              <w:spacing w:line="360" w:lineRule="exact"/>
              <w:ind w:firstLine="0" w:firstLineChars="0"/>
              <w:jc w:val="both"/>
              <w:rPr>
                <w:rFonts w:ascii="Arial" w:hAnsi="Arial"/>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tcPr>
          <w:p w14:paraId="519CEB0B">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±0</w:t>
            </w:r>
            <w:r>
              <w:rPr>
                <w:rFonts w:ascii="Arial" w:hAnsi="Arial"/>
                <w:sz w:val="21"/>
                <w:szCs w:val="21"/>
                <w:highlight w:val="none"/>
              </w:rPr>
              <w:t>.1</w:t>
            </w:r>
          </w:p>
        </w:tc>
      </w:tr>
      <w:tr w14:paraId="5472A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99" w:type="dxa"/>
            <w:vMerge w:val="restart"/>
            <w:tcBorders>
              <w:top w:val="single" w:color="auto" w:sz="4" w:space="0"/>
              <w:left w:val="single" w:color="auto" w:sz="4" w:space="0"/>
              <w:bottom w:val="single" w:color="auto" w:sz="4" w:space="0"/>
              <w:right w:val="single" w:color="auto" w:sz="4" w:space="0"/>
            </w:tcBorders>
            <w:vAlign w:val="center"/>
          </w:tcPr>
          <w:p w14:paraId="02E49A30">
            <w:pPr>
              <w:spacing w:line="360" w:lineRule="exact"/>
              <w:ind w:firstLine="0" w:firstLineChars="0"/>
              <w:jc w:val="both"/>
              <w:rPr>
                <w:rFonts w:ascii="Arial" w:hAnsi="Arial"/>
                <w:sz w:val="21"/>
                <w:szCs w:val="21"/>
                <w:highlight w:val="none"/>
              </w:rPr>
            </w:pPr>
            <w:r>
              <w:rPr>
                <w:rFonts w:hint="eastAsia"/>
                <w:sz w:val="21"/>
                <w:szCs w:val="21"/>
                <w:highlight w:val="none"/>
              </w:rPr>
              <w:t>粒度</w:t>
            </w:r>
          </w:p>
        </w:tc>
        <w:tc>
          <w:tcPr>
            <w:tcW w:w="1889" w:type="dxa"/>
            <w:gridSpan w:val="3"/>
            <w:tcBorders>
              <w:top w:val="single" w:color="auto" w:sz="4" w:space="0"/>
              <w:left w:val="single" w:color="auto" w:sz="4" w:space="0"/>
              <w:bottom w:val="single" w:color="auto" w:sz="4" w:space="0"/>
              <w:right w:val="single" w:color="auto" w:sz="4" w:space="0"/>
            </w:tcBorders>
          </w:tcPr>
          <w:p w14:paraId="415BC0A4">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-1.0mm</w:t>
            </w:r>
          </w:p>
        </w:tc>
        <w:tc>
          <w:tcPr>
            <w:tcW w:w="1026" w:type="dxa"/>
            <w:tcBorders>
              <w:top w:val="single" w:color="auto" w:sz="4" w:space="0"/>
              <w:left w:val="single" w:color="auto" w:sz="4" w:space="0"/>
              <w:bottom w:val="single" w:color="auto" w:sz="4" w:space="0"/>
              <w:right w:val="single" w:color="auto" w:sz="4" w:space="0"/>
            </w:tcBorders>
          </w:tcPr>
          <w:p w14:paraId="7E2BCA0D">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w:t>
            </w:r>
          </w:p>
        </w:tc>
        <w:tc>
          <w:tcPr>
            <w:tcW w:w="1142" w:type="dxa"/>
            <w:tcBorders>
              <w:top w:val="single" w:color="auto" w:sz="4" w:space="0"/>
              <w:left w:val="single" w:color="auto" w:sz="4" w:space="0"/>
              <w:bottom w:val="single" w:color="auto" w:sz="4" w:space="0"/>
              <w:right w:val="single" w:color="auto" w:sz="4" w:space="0"/>
            </w:tcBorders>
          </w:tcPr>
          <w:p w14:paraId="6FDE9CB5">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1</w:t>
            </w:r>
            <w:r>
              <w:rPr>
                <w:rFonts w:ascii="Arial" w:hAnsi="Arial"/>
                <w:sz w:val="21"/>
                <w:szCs w:val="21"/>
                <w:highlight w:val="none"/>
              </w:rPr>
              <w:t>00</w:t>
            </w:r>
          </w:p>
        </w:tc>
        <w:tc>
          <w:tcPr>
            <w:tcW w:w="933" w:type="dxa"/>
            <w:tcBorders>
              <w:top w:val="single" w:color="auto" w:sz="4" w:space="0"/>
              <w:left w:val="single" w:color="auto" w:sz="4" w:space="0"/>
              <w:bottom w:val="single" w:color="auto" w:sz="4" w:space="0"/>
              <w:right w:val="single" w:color="auto" w:sz="4" w:space="0"/>
            </w:tcBorders>
          </w:tcPr>
          <w:p w14:paraId="2E63EB7D">
            <w:pPr>
              <w:spacing w:line="360" w:lineRule="exact"/>
              <w:ind w:firstLine="0" w:firstLineChars="0"/>
              <w:jc w:val="both"/>
              <w:rPr>
                <w:rFonts w:ascii="Arial" w:hAnsi="Arial"/>
                <w:sz w:val="21"/>
                <w:szCs w:val="21"/>
                <w:highlight w:val="none"/>
              </w:rPr>
            </w:pPr>
          </w:p>
        </w:tc>
        <w:tc>
          <w:tcPr>
            <w:tcW w:w="933" w:type="dxa"/>
            <w:tcBorders>
              <w:top w:val="single" w:color="auto" w:sz="4" w:space="0"/>
              <w:left w:val="single" w:color="auto" w:sz="4" w:space="0"/>
              <w:bottom w:val="single" w:color="auto" w:sz="4" w:space="0"/>
              <w:right w:val="single" w:color="auto" w:sz="4" w:space="0"/>
            </w:tcBorders>
          </w:tcPr>
          <w:p w14:paraId="7CAA2CAB">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100</w:t>
            </w:r>
          </w:p>
        </w:tc>
        <w:tc>
          <w:tcPr>
            <w:tcW w:w="927" w:type="dxa"/>
            <w:tcBorders>
              <w:top w:val="single" w:color="auto" w:sz="4" w:space="0"/>
              <w:left w:val="single" w:color="auto" w:sz="4" w:space="0"/>
              <w:bottom w:val="single" w:color="auto" w:sz="4" w:space="0"/>
              <w:right w:val="single" w:color="auto" w:sz="4" w:space="0"/>
            </w:tcBorders>
          </w:tcPr>
          <w:p w14:paraId="478C9B62">
            <w:pPr>
              <w:spacing w:line="360" w:lineRule="exact"/>
              <w:ind w:firstLine="0" w:firstLineChars="0"/>
              <w:jc w:val="both"/>
              <w:rPr>
                <w:rFonts w:ascii="Arial" w:hAnsi="Arial"/>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tcPr>
          <w:p w14:paraId="064E0314">
            <w:pPr>
              <w:spacing w:line="360" w:lineRule="exact"/>
              <w:ind w:firstLine="0" w:firstLineChars="0"/>
              <w:jc w:val="both"/>
              <w:rPr>
                <w:rFonts w:ascii="Arial" w:hAnsi="Arial"/>
                <w:sz w:val="21"/>
                <w:szCs w:val="21"/>
                <w:highlight w:val="none"/>
              </w:rPr>
            </w:pPr>
          </w:p>
        </w:tc>
      </w:tr>
      <w:tr w14:paraId="38037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99" w:type="dxa"/>
            <w:vMerge w:val="continue"/>
            <w:tcBorders>
              <w:top w:val="single" w:color="auto" w:sz="4" w:space="0"/>
              <w:left w:val="single" w:color="auto" w:sz="4" w:space="0"/>
              <w:bottom w:val="single" w:color="auto" w:sz="4" w:space="0"/>
              <w:right w:val="single" w:color="auto" w:sz="4" w:space="0"/>
            </w:tcBorders>
            <w:vAlign w:val="center"/>
          </w:tcPr>
          <w:p w14:paraId="1FC9C826">
            <w:pPr>
              <w:widowControl/>
              <w:spacing w:line="240" w:lineRule="auto"/>
              <w:ind w:firstLine="0" w:firstLineChars="0"/>
              <w:rPr>
                <w:rFonts w:ascii="Arial" w:hAnsi="Arial"/>
                <w:sz w:val="21"/>
                <w:szCs w:val="21"/>
                <w:highlight w:val="none"/>
              </w:rPr>
            </w:pPr>
          </w:p>
        </w:tc>
        <w:tc>
          <w:tcPr>
            <w:tcW w:w="1889" w:type="dxa"/>
            <w:gridSpan w:val="3"/>
            <w:tcBorders>
              <w:top w:val="single" w:color="auto" w:sz="4" w:space="0"/>
              <w:left w:val="single" w:color="auto" w:sz="4" w:space="0"/>
              <w:bottom w:val="single" w:color="auto" w:sz="4" w:space="0"/>
              <w:right w:val="single" w:color="auto" w:sz="4" w:space="0"/>
            </w:tcBorders>
          </w:tcPr>
          <w:p w14:paraId="27BB3F9E">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+0.5mm</w:t>
            </w:r>
          </w:p>
        </w:tc>
        <w:tc>
          <w:tcPr>
            <w:tcW w:w="1026" w:type="dxa"/>
            <w:tcBorders>
              <w:top w:val="single" w:color="auto" w:sz="4" w:space="0"/>
              <w:left w:val="single" w:color="auto" w:sz="4" w:space="0"/>
              <w:bottom w:val="single" w:color="auto" w:sz="4" w:space="0"/>
              <w:right w:val="single" w:color="auto" w:sz="4" w:space="0"/>
            </w:tcBorders>
          </w:tcPr>
          <w:p w14:paraId="55EB3258">
            <w:pPr>
              <w:spacing w:line="360" w:lineRule="exact"/>
              <w:ind w:firstLine="0" w:firstLineChars="0"/>
              <w:jc w:val="both"/>
              <w:rPr>
                <w:rFonts w:ascii="Arial" w:hAnsi="Arial"/>
                <w:sz w:val="21"/>
                <w:szCs w:val="21"/>
                <w:highlight w:val="none"/>
              </w:rPr>
            </w:pPr>
            <w:r>
              <w:rPr>
                <w:rFonts w:hint="eastAsia"/>
                <w:sz w:val="21"/>
                <w:szCs w:val="21"/>
                <w:highlight w:val="none"/>
              </w:rPr>
              <w:t>≤</w:t>
            </w:r>
            <w:r>
              <w:rPr>
                <w:rFonts w:hint="eastAsia" w:ascii="Arial" w:hAnsi="Arial"/>
                <w:sz w:val="21"/>
                <w:szCs w:val="21"/>
                <w:highlight w:val="none"/>
              </w:rPr>
              <w:t>%</w:t>
            </w:r>
          </w:p>
        </w:tc>
        <w:tc>
          <w:tcPr>
            <w:tcW w:w="1142" w:type="dxa"/>
            <w:tcBorders>
              <w:top w:val="single" w:color="auto" w:sz="4" w:space="0"/>
              <w:left w:val="single" w:color="auto" w:sz="4" w:space="0"/>
              <w:bottom w:val="single" w:color="auto" w:sz="4" w:space="0"/>
              <w:right w:val="single" w:color="auto" w:sz="4" w:space="0"/>
            </w:tcBorders>
          </w:tcPr>
          <w:p w14:paraId="0AAC9D02">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2</w:t>
            </w:r>
          </w:p>
        </w:tc>
        <w:tc>
          <w:tcPr>
            <w:tcW w:w="933" w:type="dxa"/>
            <w:tcBorders>
              <w:top w:val="single" w:color="auto" w:sz="4" w:space="0"/>
              <w:left w:val="single" w:color="auto" w:sz="4" w:space="0"/>
              <w:bottom w:val="single" w:color="auto" w:sz="4" w:space="0"/>
              <w:right w:val="single" w:color="auto" w:sz="4" w:space="0"/>
            </w:tcBorders>
          </w:tcPr>
          <w:p w14:paraId="3D44916E">
            <w:pPr>
              <w:spacing w:line="360" w:lineRule="exact"/>
              <w:ind w:firstLine="0" w:firstLineChars="0"/>
              <w:jc w:val="both"/>
              <w:rPr>
                <w:rFonts w:ascii="Arial" w:hAnsi="Arial"/>
                <w:sz w:val="21"/>
                <w:szCs w:val="21"/>
                <w:highlight w:val="none"/>
              </w:rPr>
            </w:pPr>
          </w:p>
        </w:tc>
        <w:tc>
          <w:tcPr>
            <w:tcW w:w="933" w:type="dxa"/>
            <w:tcBorders>
              <w:top w:val="single" w:color="auto" w:sz="4" w:space="0"/>
              <w:left w:val="single" w:color="auto" w:sz="4" w:space="0"/>
              <w:bottom w:val="single" w:color="auto" w:sz="4" w:space="0"/>
              <w:right w:val="single" w:color="auto" w:sz="4" w:space="0"/>
            </w:tcBorders>
          </w:tcPr>
          <w:p w14:paraId="4ABF08E4">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2</w:t>
            </w:r>
          </w:p>
        </w:tc>
        <w:tc>
          <w:tcPr>
            <w:tcW w:w="927" w:type="dxa"/>
            <w:tcBorders>
              <w:top w:val="single" w:color="auto" w:sz="4" w:space="0"/>
              <w:left w:val="single" w:color="auto" w:sz="4" w:space="0"/>
              <w:bottom w:val="single" w:color="auto" w:sz="4" w:space="0"/>
              <w:right w:val="single" w:color="auto" w:sz="4" w:space="0"/>
            </w:tcBorders>
          </w:tcPr>
          <w:p w14:paraId="7FAAC69A">
            <w:pPr>
              <w:spacing w:line="360" w:lineRule="exact"/>
              <w:ind w:firstLine="0" w:firstLineChars="0"/>
              <w:jc w:val="both"/>
              <w:rPr>
                <w:rFonts w:ascii="Arial" w:hAnsi="Arial"/>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tcPr>
          <w:p w14:paraId="1DFD37A5">
            <w:pPr>
              <w:spacing w:line="360" w:lineRule="exact"/>
              <w:ind w:firstLine="0" w:firstLineChars="0"/>
              <w:jc w:val="both"/>
              <w:rPr>
                <w:rFonts w:ascii="Arial" w:hAnsi="Arial"/>
                <w:sz w:val="21"/>
                <w:szCs w:val="21"/>
                <w:highlight w:val="none"/>
              </w:rPr>
            </w:pPr>
          </w:p>
        </w:tc>
      </w:tr>
      <w:tr w14:paraId="4571E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99" w:type="dxa"/>
            <w:vMerge w:val="continue"/>
            <w:tcBorders>
              <w:top w:val="single" w:color="auto" w:sz="4" w:space="0"/>
              <w:left w:val="single" w:color="auto" w:sz="4" w:space="0"/>
              <w:bottom w:val="single" w:color="auto" w:sz="4" w:space="0"/>
              <w:right w:val="single" w:color="auto" w:sz="4" w:space="0"/>
            </w:tcBorders>
            <w:vAlign w:val="center"/>
          </w:tcPr>
          <w:p w14:paraId="595AA858">
            <w:pPr>
              <w:widowControl/>
              <w:spacing w:line="240" w:lineRule="auto"/>
              <w:ind w:firstLine="0" w:firstLineChars="0"/>
              <w:rPr>
                <w:rFonts w:ascii="Arial" w:hAnsi="Arial"/>
                <w:sz w:val="21"/>
                <w:szCs w:val="21"/>
                <w:highlight w:val="none"/>
              </w:rPr>
            </w:pPr>
          </w:p>
        </w:tc>
        <w:tc>
          <w:tcPr>
            <w:tcW w:w="1889" w:type="dxa"/>
            <w:gridSpan w:val="3"/>
            <w:tcBorders>
              <w:top w:val="single" w:color="auto" w:sz="4" w:space="0"/>
              <w:left w:val="single" w:color="auto" w:sz="4" w:space="0"/>
              <w:bottom w:val="single" w:color="auto" w:sz="4" w:space="0"/>
              <w:right w:val="single" w:color="auto" w:sz="4" w:space="0"/>
            </w:tcBorders>
          </w:tcPr>
          <w:p w14:paraId="2CCA6D2C">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-0.074mm</w:t>
            </w:r>
          </w:p>
        </w:tc>
        <w:tc>
          <w:tcPr>
            <w:tcW w:w="1026" w:type="dxa"/>
            <w:tcBorders>
              <w:top w:val="single" w:color="auto" w:sz="4" w:space="0"/>
              <w:left w:val="single" w:color="auto" w:sz="4" w:space="0"/>
              <w:bottom w:val="single" w:color="auto" w:sz="4" w:space="0"/>
              <w:right w:val="single" w:color="auto" w:sz="4" w:space="0"/>
            </w:tcBorders>
          </w:tcPr>
          <w:p w14:paraId="1606FFD4">
            <w:pPr>
              <w:spacing w:line="360" w:lineRule="exact"/>
              <w:ind w:firstLine="0" w:firstLineChars="0"/>
              <w:jc w:val="both"/>
              <w:rPr>
                <w:rFonts w:ascii="Arial" w:hAnsi="Arial"/>
                <w:sz w:val="21"/>
                <w:szCs w:val="21"/>
                <w:highlight w:val="none"/>
              </w:rPr>
            </w:pPr>
            <w:r>
              <w:rPr>
                <w:rFonts w:hint="eastAsia"/>
                <w:sz w:val="21"/>
                <w:szCs w:val="21"/>
                <w:highlight w:val="none"/>
              </w:rPr>
              <w:t>≥</w:t>
            </w:r>
            <w:r>
              <w:rPr>
                <w:rFonts w:hint="eastAsia" w:ascii="Arial" w:hAnsi="Arial"/>
                <w:sz w:val="21"/>
                <w:szCs w:val="21"/>
                <w:highlight w:val="none"/>
              </w:rPr>
              <w:t>%</w:t>
            </w:r>
          </w:p>
        </w:tc>
        <w:tc>
          <w:tcPr>
            <w:tcW w:w="1142" w:type="dxa"/>
            <w:tcBorders>
              <w:top w:val="single" w:color="auto" w:sz="4" w:space="0"/>
              <w:left w:val="single" w:color="auto" w:sz="4" w:space="0"/>
              <w:bottom w:val="single" w:color="auto" w:sz="4" w:space="0"/>
              <w:right w:val="single" w:color="auto" w:sz="4" w:space="0"/>
            </w:tcBorders>
          </w:tcPr>
          <w:p w14:paraId="2798B3B2">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5</w:t>
            </w:r>
            <w:r>
              <w:rPr>
                <w:rFonts w:ascii="Arial" w:hAnsi="Arial"/>
                <w:sz w:val="21"/>
                <w:szCs w:val="21"/>
                <w:highlight w:val="none"/>
              </w:rPr>
              <w:t>0</w:t>
            </w:r>
          </w:p>
        </w:tc>
        <w:tc>
          <w:tcPr>
            <w:tcW w:w="933" w:type="dxa"/>
            <w:tcBorders>
              <w:top w:val="single" w:color="auto" w:sz="4" w:space="0"/>
              <w:left w:val="single" w:color="auto" w:sz="4" w:space="0"/>
              <w:bottom w:val="single" w:color="auto" w:sz="4" w:space="0"/>
              <w:right w:val="single" w:color="auto" w:sz="4" w:space="0"/>
            </w:tcBorders>
          </w:tcPr>
          <w:p w14:paraId="173A977B">
            <w:pPr>
              <w:spacing w:line="360" w:lineRule="exact"/>
              <w:ind w:firstLine="0" w:firstLineChars="0"/>
              <w:jc w:val="both"/>
              <w:rPr>
                <w:rFonts w:ascii="Arial" w:hAnsi="Arial"/>
                <w:sz w:val="21"/>
                <w:szCs w:val="21"/>
                <w:highlight w:val="none"/>
              </w:rPr>
            </w:pPr>
          </w:p>
        </w:tc>
        <w:tc>
          <w:tcPr>
            <w:tcW w:w="933" w:type="dxa"/>
            <w:tcBorders>
              <w:top w:val="single" w:color="auto" w:sz="4" w:space="0"/>
              <w:left w:val="single" w:color="auto" w:sz="4" w:space="0"/>
              <w:bottom w:val="single" w:color="auto" w:sz="4" w:space="0"/>
              <w:right w:val="single" w:color="auto" w:sz="4" w:space="0"/>
            </w:tcBorders>
          </w:tcPr>
          <w:p w14:paraId="518D06F5">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50</w:t>
            </w:r>
          </w:p>
        </w:tc>
        <w:tc>
          <w:tcPr>
            <w:tcW w:w="927" w:type="dxa"/>
            <w:tcBorders>
              <w:top w:val="single" w:color="auto" w:sz="4" w:space="0"/>
              <w:left w:val="single" w:color="auto" w:sz="4" w:space="0"/>
              <w:bottom w:val="single" w:color="auto" w:sz="4" w:space="0"/>
              <w:right w:val="single" w:color="auto" w:sz="4" w:space="0"/>
            </w:tcBorders>
          </w:tcPr>
          <w:p w14:paraId="21CDF082">
            <w:pPr>
              <w:spacing w:line="360" w:lineRule="exact"/>
              <w:ind w:firstLine="0" w:firstLineChars="0"/>
              <w:jc w:val="both"/>
              <w:rPr>
                <w:rFonts w:ascii="Arial" w:hAnsi="Arial"/>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tcPr>
          <w:p w14:paraId="0EDFFBAF">
            <w:pPr>
              <w:spacing w:line="360" w:lineRule="exact"/>
              <w:ind w:firstLine="0" w:firstLineChars="0"/>
              <w:jc w:val="both"/>
              <w:rPr>
                <w:rFonts w:ascii="Arial" w:hAnsi="Arial"/>
                <w:sz w:val="21"/>
                <w:szCs w:val="21"/>
                <w:highlight w:val="none"/>
              </w:rPr>
            </w:pPr>
          </w:p>
        </w:tc>
      </w:tr>
      <w:tr w14:paraId="6C836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588" w:type="dxa"/>
            <w:gridSpan w:val="4"/>
            <w:tcBorders>
              <w:top w:val="single" w:color="auto" w:sz="4" w:space="0"/>
              <w:left w:val="single" w:color="auto" w:sz="4" w:space="0"/>
              <w:bottom w:val="single" w:color="auto" w:sz="4" w:space="0"/>
              <w:right w:val="single" w:color="auto" w:sz="4" w:space="0"/>
            </w:tcBorders>
            <w:vAlign w:val="center"/>
          </w:tcPr>
          <w:p w14:paraId="762DEF07">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烧后线变化率不大于±1%的试验温度（保温3h）</w:t>
            </w:r>
          </w:p>
        </w:tc>
        <w:tc>
          <w:tcPr>
            <w:tcW w:w="1026" w:type="dxa"/>
            <w:tcBorders>
              <w:top w:val="single" w:color="auto" w:sz="4" w:space="0"/>
              <w:left w:val="single" w:color="auto" w:sz="4" w:space="0"/>
              <w:bottom w:val="single" w:color="auto" w:sz="4" w:space="0"/>
              <w:right w:val="single" w:color="auto" w:sz="4" w:space="0"/>
            </w:tcBorders>
          </w:tcPr>
          <w:p w14:paraId="2C4412AC">
            <w:pPr>
              <w:spacing w:line="360" w:lineRule="exact"/>
              <w:ind w:firstLine="0" w:firstLineChars="0"/>
              <w:jc w:val="both"/>
              <w:rPr>
                <w:sz w:val="21"/>
                <w:szCs w:val="21"/>
                <w:highlight w:val="none"/>
              </w:rPr>
            </w:pPr>
            <w:r>
              <w:rPr>
                <w:rFonts w:hint="eastAsia"/>
                <w:sz w:val="21"/>
                <w:szCs w:val="21"/>
                <w:highlight w:val="none"/>
              </w:rPr>
              <w:t>℃</w:t>
            </w:r>
          </w:p>
        </w:tc>
        <w:tc>
          <w:tcPr>
            <w:tcW w:w="1142" w:type="dxa"/>
            <w:tcBorders>
              <w:top w:val="single" w:color="auto" w:sz="4" w:space="0"/>
              <w:left w:val="single" w:color="auto" w:sz="4" w:space="0"/>
              <w:bottom w:val="single" w:color="auto" w:sz="4" w:space="0"/>
              <w:right w:val="single" w:color="auto" w:sz="4" w:space="0"/>
            </w:tcBorders>
          </w:tcPr>
          <w:p w14:paraId="60E125BF">
            <w:pPr>
              <w:spacing w:line="360" w:lineRule="exact"/>
              <w:ind w:firstLine="0" w:firstLineChars="0"/>
              <w:jc w:val="both"/>
              <w:rPr>
                <w:rFonts w:ascii="Arial" w:hAnsi="Arial"/>
                <w:sz w:val="21"/>
                <w:szCs w:val="21"/>
                <w:highlight w:val="none"/>
              </w:rPr>
            </w:pPr>
          </w:p>
        </w:tc>
        <w:tc>
          <w:tcPr>
            <w:tcW w:w="933" w:type="dxa"/>
            <w:tcBorders>
              <w:top w:val="single" w:color="auto" w:sz="4" w:space="0"/>
              <w:left w:val="single" w:color="auto" w:sz="4" w:space="0"/>
              <w:bottom w:val="single" w:color="auto" w:sz="4" w:space="0"/>
              <w:right w:val="single" w:color="auto" w:sz="4" w:space="0"/>
            </w:tcBorders>
          </w:tcPr>
          <w:p w14:paraId="4A2B0C8D">
            <w:pPr>
              <w:spacing w:line="360" w:lineRule="exact"/>
              <w:ind w:firstLine="0" w:firstLineChars="0"/>
              <w:jc w:val="both"/>
              <w:rPr>
                <w:rFonts w:ascii="Arial" w:hAnsi="Arial"/>
                <w:sz w:val="21"/>
                <w:szCs w:val="21"/>
                <w:highlight w:val="none"/>
              </w:rPr>
            </w:pPr>
          </w:p>
        </w:tc>
        <w:tc>
          <w:tcPr>
            <w:tcW w:w="933" w:type="dxa"/>
            <w:tcBorders>
              <w:top w:val="single" w:color="auto" w:sz="4" w:space="0"/>
              <w:left w:val="single" w:color="auto" w:sz="4" w:space="0"/>
              <w:bottom w:val="single" w:color="auto" w:sz="4" w:space="0"/>
              <w:right w:val="single" w:color="auto" w:sz="4" w:space="0"/>
            </w:tcBorders>
          </w:tcPr>
          <w:p w14:paraId="5544B2F5">
            <w:pPr>
              <w:spacing w:line="360" w:lineRule="exact"/>
              <w:ind w:firstLine="0" w:firstLineChars="0"/>
              <w:jc w:val="both"/>
              <w:rPr>
                <w:rFonts w:ascii="Arial" w:hAnsi="Arial"/>
                <w:sz w:val="21"/>
                <w:szCs w:val="21"/>
                <w:highlight w:val="none"/>
              </w:rPr>
            </w:pPr>
          </w:p>
        </w:tc>
        <w:tc>
          <w:tcPr>
            <w:tcW w:w="927" w:type="dxa"/>
            <w:tcBorders>
              <w:top w:val="single" w:color="auto" w:sz="4" w:space="0"/>
              <w:left w:val="single" w:color="auto" w:sz="4" w:space="0"/>
              <w:bottom w:val="single" w:color="auto" w:sz="4" w:space="0"/>
              <w:right w:val="single" w:color="auto" w:sz="4" w:space="0"/>
            </w:tcBorders>
          </w:tcPr>
          <w:p w14:paraId="1AF7CA87">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1</w:t>
            </w:r>
            <w:r>
              <w:rPr>
                <w:rFonts w:ascii="Arial" w:hAnsi="Arial"/>
                <w:sz w:val="21"/>
                <w:szCs w:val="21"/>
                <w:highlight w:val="none"/>
              </w:rPr>
              <w:t>400</w:t>
            </w:r>
          </w:p>
        </w:tc>
        <w:tc>
          <w:tcPr>
            <w:tcW w:w="970" w:type="dxa"/>
            <w:tcBorders>
              <w:top w:val="single" w:color="auto" w:sz="4" w:space="0"/>
              <w:left w:val="single" w:color="auto" w:sz="4" w:space="0"/>
              <w:bottom w:val="single" w:color="auto" w:sz="4" w:space="0"/>
              <w:right w:val="single" w:color="auto" w:sz="4" w:space="0"/>
            </w:tcBorders>
          </w:tcPr>
          <w:p w14:paraId="18FE1A69">
            <w:pPr>
              <w:spacing w:line="360" w:lineRule="exact"/>
              <w:ind w:firstLine="0" w:firstLineChars="0"/>
              <w:jc w:val="both"/>
              <w:rPr>
                <w:rFonts w:ascii="Arial" w:hAnsi="Arial"/>
                <w:sz w:val="21"/>
                <w:szCs w:val="21"/>
                <w:highlight w:val="none"/>
              </w:rPr>
            </w:pPr>
          </w:p>
        </w:tc>
      </w:tr>
      <w:tr w14:paraId="5C0A9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588" w:type="dxa"/>
            <w:gridSpan w:val="4"/>
            <w:tcBorders>
              <w:top w:val="single" w:color="auto" w:sz="4" w:space="0"/>
              <w:left w:val="single" w:color="auto" w:sz="4" w:space="0"/>
              <w:bottom w:val="single" w:color="auto" w:sz="4" w:space="0"/>
              <w:right w:val="single" w:color="auto" w:sz="4" w:space="0"/>
            </w:tcBorders>
            <w:vAlign w:val="center"/>
          </w:tcPr>
          <w:p w14:paraId="5410B545">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1</w:t>
            </w:r>
            <w:r>
              <w:rPr>
                <w:rFonts w:ascii="Arial" w:hAnsi="Arial"/>
                <w:sz w:val="21"/>
                <w:szCs w:val="21"/>
                <w:highlight w:val="none"/>
              </w:rPr>
              <w:t>10</w:t>
            </w:r>
            <w:r>
              <w:rPr>
                <w:rFonts w:cs="宋体"/>
                <w:sz w:val="21"/>
                <w:szCs w:val="21"/>
                <w:highlight w:val="none"/>
              </w:rPr>
              <w:t>℃干燥后的耐压强度</w:t>
            </w:r>
          </w:p>
        </w:tc>
        <w:tc>
          <w:tcPr>
            <w:tcW w:w="1026" w:type="dxa"/>
            <w:tcBorders>
              <w:top w:val="single" w:color="auto" w:sz="4" w:space="0"/>
              <w:left w:val="single" w:color="auto" w:sz="4" w:space="0"/>
              <w:bottom w:val="single" w:color="auto" w:sz="4" w:space="0"/>
              <w:right w:val="single" w:color="auto" w:sz="4" w:space="0"/>
            </w:tcBorders>
          </w:tcPr>
          <w:p w14:paraId="409B6DD5">
            <w:pPr>
              <w:spacing w:line="360" w:lineRule="exact"/>
              <w:ind w:firstLine="0" w:firstLineChars="0"/>
              <w:jc w:val="both"/>
              <w:rPr>
                <w:sz w:val="21"/>
                <w:szCs w:val="21"/>
                <w:highlight w:val="none"/>
              </w:rPr>
            </w:pPr>
            <w:r>
              <w:rPr>
                <w:rFonts w:hint="eastAsia"/>
                <w:sz w:val="21"/>
                <w:szCs w:val="21"/>
                <w:highlight w:val="none"/>
              </w:rPr>
              <w:t>≥</w:t>
            </w:r>
            <w:r>
              <w:rPr>
                <w:rFonts w:hint="eastAsia" w:ascii="Arial" w:hAnsi="Arial"/>
                <w:sz w:val="21"/>
                <w:szCs w:val="21"/>
                <w:highlight w:val="none"/>
              </w:rPr>
              <w:t>MPa</w:t>
            </w:r>
          </w:p>
        </w:tc>
        <w:tc>
          <w:tcPr>
            <w:tcW w:w="1142" w:type="dxa"/>
            <w:tcBorders>
              <w:top w:val="single" w:color="auto" w:sz="4" w:space="0"/>
              <w:left w:val="single" w:color="auto" w:sz="4" w:space="0"/>
              <w:bottom w:val="single" w:color="auto" w:sz="4" w:space="0"/>
              <w:right w:val="single" w:color="auto" w:sz="4" w:space="0"/>
            </w:tcBorders>
          </w:tcPr>
          <w:p w14:paraId="58F653B5">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5</w:t>
            </w:r>
          </w:p>
        </w:tc>
        <w:tc>
          <w:tcPr>
            <w:tcW w:w="933" w:type="dxa"/>
            <w:tcBorders>
              <w:top w:val="single" w:color="auto" w:sz="4" w:space="0"/>
              <w:left w:val="single" w:color="auto" w:sz="4" w:space="0"/>
              <w:bottom w:val="single" w:color="auto" w:sz="4" w:space="0"/>
              <w:right w:val="single" w:color="auto" w:sz="4" w:space="0"/>
            </w:tcBorders>
          </w:tcPr>
          <w:p w14:paraId="5EE935A7">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3</w:t>
            </w:r>
            <w:r>
              <w:rPr>
                <w:rFonts w:ascii="Arial" w:hAnsi="Arial"/>
                <w:sz w:val="21"/>
                <w:szCs w:val="21"/>
                <w:highlight w:val="none"/>
              </w:rPr>
              <w:t>0</w:t>
            </w:r>
          </w:p>
        </w:tc>
        <w:tc>
          <w:tcPr>
            <w:tcW w:w="933" w:type="dxa"/>
            <w:tcBorders>
              <w:top w:val="single" w:color="auto" w:sz="4" w:space="0"/>
              <w:left w:val="single" w:color="auto" w:sz="4" w:space="0"/>
              <w:bottom w:val="single" w:color="auto" w:sz="4" w:space="0"/>
              <w:right w:val="single" w:color="auto" w:sz="4" w:space="0"/>
            </w:tcBorders>
          </w:tcPr>
          <w:p w14:paraId="023B89C1">
            <w:pPr>
              <w:spacing w:line="360" w:lineRule="exact"/>
              <w:ind w:firstLine="0" w:firstLineChars="0"/>
              <w:jc w:val="both"/>
              <w:rPr>
                <w:rFonts w:ascii="Arial" w:hAnsi="Arial"/>
                <w:sz w:val="21"/>
                <w:szCs w:val="21"/>
                <w:highlight w:val="none"/>
              </w:rPr>
            </w:pPr>
          </w:p>
        </w:tc>
        <w:tc>
          <w:tcPr>
            <w:tcW w:w="927" w:type="dxa"/>
            <w:tcBorders>
              <w:top w:val="single" w:color="auto" w:sz="4" w:space="0"/>
              <w:left w:val="single" w:color="auto" w:sz="4" w:space="0"/>
              <w:bottom w:val="single" w:color="auto" w:sz="4" w:space="0"/>
              <w:right w:val="single" w:color="auto" w:sz="4" w:space="0"/>
            </w:tcBorders>
          </w:tcPr>
          <w:p w14:paraId="46A732D9">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3</w:t>
            </w:r>
            <w:r>
              <w:rPr>
                <w:rFonts w:ascii="Arial" w:hAnsi="Arial"/>
                <w:sz w:val="21"/>
                <w:szCs w:val="21"/>
                <w:highlight w:val="none"/>
              </w:rPr>
              <w:t>5</w:t>
            </w:r>
          </w:p>
        </w:tc>
        <w:tc>
          <w:tcPr>
            <w:tcW w:w="970" w:type="dxa"/>
            <w:tcBorders>
              <w:top w:val="single" w:color="auto" w:sz="4" w:space="0"/>
              <w:left w:val="single" w:color="auto" w:sz="4" w:space="0"/>
              <w:bottom w:val="single" w:color="auto" w:sz="4" w:space="0"/>
              <w:right w:val="single" w:color="auto" w:sz="4" w:space="0"/>
            </w:tcBorders>
          </w:tcPr>
          <w:p w14:paraId="37A8C2C9">
            <w:pPr>
              <w:spacing w:line="360" w:lineRule="exact"/>
              <w:ind w:firstLine="0" w:firstLineChars="0"/>
              <w:jc w:val="both"/>
              <w:rPr>
                <w:rFonts w:ascii="Arial" w:hAnsi="Arial"/>
                <w:sz w:val="21"/>
                <w:szCs w:val="21"/>
                <w:highlight w:val="none"/>
              </w:rPr>
            </w:pPr>
          </w:p>
        </w:tc>
      </w:tr>
    </w:tbl>
    <w:p w14:paraId="783DA209">
      <w:pPr>
        <w:spacing w:line="240" w:lineRule="auto"/>
        <w:ind w:firstLine="210" w:firstLineChars="100"/>
        <w:jc w:val="both"/>
        <w:rPr>
          <w:rFonts w:ascii="Calibri" w:hAnsi="Calibri" w:cs="Times New Roman"/>
          <w:sz w:val="21"/>
          <w:szCs w:val="21"/>
          <w:highlight w:val="none"/>
        </w:rPr>
      </w:pPr>
    </w:p>
    <w:p w14:paraId="2DAA6352">
      <w:pPr>
        <w:snapToGrid w:val="0"/>
        <w:spacing w:before="157" w:beforeLines="50"/>
        <w:ind w:left="120" w:leftChars="50" w:firstLine="0" w:firstLineChars="0"/>
        <w:jc w:val="center"/>
        <w:rPr>
          <w:rFonts w:ascii="Calibri" w:hAnsi="Calibri" w:cs="Times New Roman"/>
          <w:sz w:val="21"/>
          <w:szCs w:val="21"/>
          <w:highlight w:val="none"/>
        </w:rPr>
      </w:pPr>
      <w:r>
        <w:rPr>
          <w:rFonts w:hint="eastAsia" w:cs="Times New Roman"/>
          <w:highlight w:val="none"/>
        </w:rPr>
        <w:t>表</w:t>
      </w:r>
      <w:r>
        <w:rPr>
          <w:rFonts w:hint="eastAsia" w:ascii="Times New Roman" w:hAnsi="Times New Roman" w:cs="Times New Roman"/>
          <w:highlight w:val="none"/>
        </w:rPr>
        <w:t>2.9-5</w:t>
      </w:r>
      <w:r>
        <w:rPr>
          <w:rFonts w:ascii="Times New Roman" w:hAnsi="Times New Roman" w:cs="Times New Roman"/>
          <w:highlight w:val="none"/>
        </w:rPr>
        <w:t xml:space="preserve"> </w:t>
      </w:r>
      <w:r>
        <w:rPr>
          <w:rFonts w:hint="eastAsia" w:cs="Times New Roman"/>
          <w:szCs w:val="28"/>
          <w:highlight w:val="none"/>
        </w:rPr>
        <w:t>耐火材料理化指标4</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1229"/>
        <w:gridCol w:w="690"/>
        <w:gridCol w:w="1530"/>
        <w:gridCol w:w="1530"/>
        <w:gridCol w:w="1530"/>
        <w:gridCol w:w="1608"/>
      </w:tblGrid>
      <w:tr w14:paraId="6B062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0" w:hRule="atLeast"/>
        </w:trPr>
        <w:tc>
          <w:tcPr>
            <w:tcW w:w="1634" w:type="dxa"/>
            <w:gridSpan w:val="2"/>
            <w:tcBorders>
              <w:top w:val="single" w:color="auto" w:sz="4" w:space="0"/>
              <w:left w:val="single" w:color="auto" w:sz="4" w:space="0"/>
              <w:bottom w:val="single" w:color="auto" w:sz="4" w:space="0"/>
              <w:right w:val="single" w:color="auto" w:sz="4" w:space="0"/>
            </w:tcBorders>
            <w:vAlign w:val="center"/>
          </w:tcPr>
          <w:p w14:paraId="73B846DC">
            <w:pPr>
              <w:spacing w:line="360" w:lineRule="exact"/>
              <w:ind w:firstLine="0" w:firstLineChars="0"/>
              <w:jc w:val="both"/>
              <w:rPr>
                <w:rFonts w:ascii="Arial" w:hAnsi="Arial"/>
                <w:sz w:val="21"/>
                <w:szCs w:val="21"/>
                <w:highlight w:val="none"/>
              </w:rPr>
            </w:pPr>
            <w:r>
              <w:rPr>
                <w:rFonts w:hint="eastAsia"/>
                <w:sz w:val="21"/>
                <w:szCs w:val="21"/>
                <w:highlight w:val="none"/>
              </w:rPr>
              <w:t>项</w:t>
            </w:r>
            <w:r>
              <w:rPr>
                <w:rFonts w:hint="eastAsia" w:ascii="Arial" w:hAnsi="Arial"/>
                <w:sz w:val="21"/>
                <w:szCs w:val="21"/>
                <w:highlight w:val="none"/>
              </w:rPr>
              <w:t xml:space="preserve"> </w:t>
            </w:r>
            <w:r>
              <w:rPr>
                <w:rFonts w:ascii="Arial" w:hAnsi="Arial"/>
                <w:sz w:val="21"/>
                <w:szCs w:val="21"/>
                <w:highlight w:val="none"/>
              </w:rPr>
              <w:t xml:space="preserve">   </w:t>
            </w:r>
            <w:r>
              <w:rPr>
                <w:rFonts w:hint="eastAsia"/>
                <w:sz w:val="21"/>
                <w:szCs w:val="21"/>
                <w:highlight w:val="none"/>
              </w:rPr>
              <w:t>目</w:t>
            </w:r>
          </w:p>
        </w:tc>
        <w:tc>
          <w:tcPr>
            <w:tcW w:w="690" w:type="dxa"/>
            <w:tcBorders>
              <w:top w:val="single" w:color="auto" w:sz="4" w:space="0"/>
              <w:left w:val="single" w:color="auto" w:sz="4" w:space="0"/>
              <w:bottom w:val="single" w:color="auto" w:sz="4" w:space="0"/>
              <w:right w:val="single" w:color="auto" w:sz="4" w:space="0"/>
            </w:tcBorders>
            <w:vAlign w:val="center"/>
          </w:tcPr>
          <w:p w14:paraId="218B7F38">
            <w:pPr>
              <w:spacing w:line="360" w:lineRule="exact"/>
              <w:ind w:firstLine="0" w:firstLineChars="0"/>
              <w:jc w:val="both"/>
              <w:rPr>
                <w:rFonts w:ascii="Arial" w:hAnsi="Arial"/>
                <w:sz w:val="21"/>
                <w:szCs w:val="21"/>
                <w:highlight w:val="none"/>
              </w:rPr>
            </w:pPr>
            <w:r>
              <w:rPr>
                <w:rFonts w:hint="eastAsia"/>
                <w:sz w:val="21"/>
                <w:szCs w:val="21"/>
                <w:highlight w:val="none"/>
              </w:rPr>
              <w:t>单</w:t>
            </w:r>
            <w:r>
              <w:rPr>
                <w:rFonts w:hint="eastAsia" w:ascii="Arial" w:hAnsi="Arial"/>
                <w:sz w:val="21"/>
                <w:szCs w:val="21"/>
                <w:highlight w:val="none"/>
              </w:rPr>
              <w:t xml:space="preserve"> </w:t>
            </w:r>
            <w:r>
              <w:rPr>
                <w:rFonts w:ascii="Arial" w:hAnsi="Arial"/>
                <w:sz w:val="21"/>
                <w:szCs w:val="21"/>
                <w:highlight w:val="none"/>
              </w:rPr>
              <w:t xml:space="preserve"> </w:t>
            </w:r>
            <w:r>
              <w:rPr>
                <w:rFonts w:hint="eastAsia"/>
                <w:sz w:val="21"/>
                <w:szCs w:val="21"/>
                <w:highlight w:val="none"/>
              </w:rPr>
              <w:t>位</w:t>
            </w:r>
          </w:p>
        </w:tc>
        <w:tc>
          <w:tcPr>
            <w:tcW w:w="1530" w:type="dxa"/>
            <w:tcBorders>
              <w:top w:val="single" w:color="auto" w:sz="4" w:space="0"/>
              <w:left w:val="single" w:color="auto" w:sz="4" w:space="0"/>
              <w:bottom w:val="single" w:color="auto" w:sz="4" w:space="0"/>
              <w:right w:val="single" w:color="auto" w:sz="4" w:space="0"/>
            </w:tcBorders>
          </w:tcPr>
          <w:p w14:paraId="113B5BD6">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刚玉质磷酸盐耐火泥浆</w:t>
            </w:r>
          </w:p>
          <w:p w14:paraId="63128EA1">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LP</w:t>
            </w:r>
            <w:r>
              <w:rPr>
                <w:rFonts w:ascii="Arial" w:hAnsi="Arial"/>
                <w:sz w:val="21"/>
                <w:szCs w:val="21"/>
                <w:highlight w:val="none"/>
              </w:rPr>
              <w:t>-70</w:t>
            </w:r>
          </w:p>
        </w:tc>
        <w:tc>
          <w:tcPr>
            <w:tcW w:w="1530" w:type="dxa"/>
            <w:tcBorders>
              <w:top w:val="single" w:color="auto" w:sz="4" w:space="0"/>
              <w:left w:val="single" w:color="auto" w:sz="4" w:space="0"/>
              <w:bottom w:val="single" w:color="auto" w:sz="4" w:space="0"/>
              <w:right w:val="single" w:color="auto" w:sz="4" w:space="0"/>
            </w:tcBorders>
          </w:tcPr>
          <w:p w14:paraId="55B61D17">
            <w:pPr>
              <w:spacing w:line="360" w:lineRule="exact"/>
              <w:ind w:firstLine="0" w:firstLineChars="0"/>
              <w:jc w:val="both"/>
              <w:rPr>
                <w:rFonts w:ascii="Arial" w:hAnsi="Arial"/>
                <w:sz w:val="21"/>
                <w:szCs w:val="21"/>
                <w:highlight w:val="none"/>
              </w:rPr>
            </w:pPr>
            <w:r>
              <w:rPr>
                <w:rFonts w:ascii="Arial" w:hAnsi="Arial"/>
                <w:sz w:val="21"/>
                <w:szCs w:val="21"/>
                <w:highlight w:val="none"/>
              </w:rPr>
              <w:t>高铝质隔热耐火泥浆</w:t>
            </w:r>
          </w:p>
          <w:p w14:paraId="0436ACA5">
            <w:pPr>
              <w:spacing w:line="360" w:lineRule="exact"/>
              <w:ind w:firstLine="0" w:firstLineChars="0"/>
              <w:jc w:val="both"/>
              <w:rPr>
                <w:rFonts w:ascii="Arial" w:hAnsi="Arial"/>
                <w:sz w:val="21"/>
                <w:szCs w:val="21"/>
                <w:highlight w:val="none"/>
              </w:rPr>
            </w:pPr>
            <w:r>
              <w:rPr>
                <w:rFonts w:ascii="Arial" w:hAnsi="Arial"/>
                <w:sz w:val="21"/>
                <w:szCs w:val="21"/>
                <w:highlight w:val="none"/>
              </w:rPr>
              <w:t>GL-2</w:t>
            </w:r>
          </w:p>
        </w:tc>
        <w:tc>
          <w:tcPr>
            <w:tcW w:w="1530" w:type="dxa"/>
            <w:tcBorders>
              <w:top w:val="single" w:color="auto" w:sz="4" w:space="0"/>
              <w:left w:val="single" w:color="auto" w:sz="4" w:space="0"/>
              <w:bottom w:val="single" w:color="auto" w:sz="4" w:space="0"/>
              <w:right w:val="single" w:color="auto" w:sz="4" w:space="0"/>
            </w:tcBorders>
          </w:tcPr>
          <w:p w14:paraId="29657B3F">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轻质粘土喷涂料</w:t>
            </w:r>
          </w:p>
          <w:p w14:paraId="2B3A7A92">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CL-</w:t>
            </w:r>
            <w:r>
              <w:rPr>
                <w:rFonts w:ascii="Arial" w:hAnsi="Arial"/>
                <w:sz w:val="21"/>
                <w:szCs w:val="21"/>
                <w:highlight w:val="none"/>
              </w:rPr>
              <w:t>130G</w:t>
            </w:r>
          </w:p>
        </w:tc>
        <w:tc>
          <w:tcPr>
            <w:tcW w:w="1608" w:type="dxa"/>
            <w:tcBorders>
              <w:top w:val="single" w:color="auto" w:sz="4" w:space="0"/>
              <w:left w:val="single" w:color="auto" w:sz="4" w:space="0"/>
              <w:bottom w:val="single" w:color="auto" w:sz="4" w:space="0"/>
              <w:right w:val="single" w:color="auto" w:sz="4" w:space="0"/>
            </w:tcBorders>
          </w:tcPr>
          <w:p w14:paraId="5A5B19F4">
            <w:pPr>
              <w:spacing w:line="360" w:lineRule="exact"/>
              <w:ind w:firstLine="0" w:firstLineChars="0"/>
              <w:jc w:val="both"/>
              <w:rPr>
                <w:rFonts w:ascii="Arial" w:hAnsi="Arial"/>
                <w:sz w:val="21"/>
                <w:szCs w:val="21"/>
                <w:highlight w:val="none"/>
              </w:rPr>
            </w:pPr>
            <w:r>
              <w:rPr>
                <w:rFonts w:ascii="Arial" w:hAnsi="Arial"/>
                <w:sz w:val="21"/>
                <w:szCs w:val="21"/>
                <w:highlight w:val="none"/>
              </w:rPr>
              <w:t>高铝浇注料</w:t>
            </w:r>
          </w:p>
          <w:p w14:paraId="3D915952">
            <w:pPr>
              <w:spacing w:line="360" w:lineRule="exact"/>
              <w:ind w:firstLine="0" w:firstLineChars="0"/>
              <w:jc w:val="both"/>
              <w:rPr>
                <w:rFonts w:ascii="Arial" w:hAnsi="Arial"/>
                <w:sz w:val="21"/>
                <w:szCs w:val="21"/>
                <w:highlight w:val="none"/>
              </w:rPr>
            </w:pPr>
            <w:r>
              <w:rPr>
                <w:rFonts w:ascii="Arial" w:hAnsi="Arial"/>
                <w:sz w:val="21"/>
                <w:szCs w:val="21"/>
                <w:highlight w:val="none"/>
              </w:rPr>
              <w:t>TCJ-1</w:t>
            </w:r>
          </w:p>
        </w:tc>
      </w:tr>
      <w:tr w14:paraId="23C31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34" w:type="dxa"/>
            <w:gridSpan w:val="2"/>
            <w:tcBorders>
              <w:top w:val="single" w:color="auto" w:sz="4" w:space="0"/>
              <w:left w:val="single" w:color="auto" w:sz="4" w:space="0"/>
              <w:bottom w:val="single" w:color="auto" w:sz="4" w:space="0"/>
              <w:right w:val="single" w:color="auto" w:sz="4" w:space="0"/>
            </w:tcBorders>
          </w:tcPr>
          <w:p w14:paraId="065EEB29">
            <w:pPr>
              <w:spacing w:line="360" w:lineRule="exact"/>
              <w:ind w:firstLine="0" w:firstLineChars="0"/>
              <w:jc w:val="both"/>
              <w:rPr>
                <w:rFonts w:ascii="Arial" w:hAnsi="Arial"/>
                <w:sz w:val="21"/>
                <w:szCs w:val="21"/>
                <w:highlight w:val="none"/>
              </w:rPr>
            </w:pPr>
            <w:r>
              <w:rPr>
                <w:rFonts w:hint="eastAsia"/>
                <w:sz w:val="21"/>
                <w:szCs w:val="21"/>
                <w:highlight w:val="none"/>
              </w:rPr>
              <w:t>耐火度</w:t>
            </w:r>
          </w:p>
        </w:tc>
        <w:tc>
          <w:tcPr>
            <w:tcW w:w="690" w:type="dxa"/>
            <w:tcBorders>
              <w:top w:val="single" w:color="auto" w:sz="4" w:space="0"/>
              <w:left w:val="single" w:color="auto" w:sz="4" w:space="0"/>
              <w:bottom w:val="single" w:color="auto" w:sz="4" w:space="0"/>
              <w:right w:val="single" w:color="auto" w:sz="4" w:space="0"/>
            </w:tcBorders>
          </w:tcPr>
          <w:p w14:paraId="450626C7">
            <w:pPr>
              <w:spacing w:line="360" w:lineRule="exact"/>
              <w:ind w:firstLine="0" w:firstLineChars="0"/>
              <w:jc w:val="both"/>
              <w:rPr>
                <w:rFonts w:ascii="Arial" w:hAnsi="Arial"/>
                <w:sz w:val="21"/>
                <w:szCs w:val="21"/>
                <w:highlight w:val="none"/>
              </w:rPr>
            </w:pPr>
            <w:r>
              <w:rPr>
                <w:rFonts w:hint="eastAsia"/>
                <w:sz w:val="21"/>
                <w:szCs w:val="21"/>
                <w:highlight w:val="none"/>
              </w:rPr>
              <w:t>≥℃</w:t>
            </w:r>
          </w:p>
        </w:tc>
        <w:tc>
          <w:tcPr>
            <w:tcW w:w="1530" w:type="dxa"/>
            <w:tcBorders>
              <w:top w:val="single" w:color="auto" w:sz="4" w:space="0"/>
              <w:left w:val="single" w:color="auto" w:sz="4" w:space="0"/>
              <w:bottom w:val="single" w:color="auto" w:sz="4" w:space="0"/>
              <w:right w:val="single" w:color="auto" w:sz="4" w:space="0"/>
            </w:tcBorders>
          </w:tcPr>
          <w:p w14:paraId="4A9B3138">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1</w:t>
            </w:r>
            <w:r>
              <w:rPr>
                <w:rFonts w:ascii="Arial" w:hAnsi="Arial"/>
                <w:sz w:val="21"/>
                <w:szCs w:val="21"/>
                <w:highlight w:val="none"/>
              </w:rPr>
              <w:t>780</w:t>
            </w:r>
          </w:p>
        </w:tc>
        <w:tc>
          <w:tcPr>
            <w:tcW w:w="1530" w:type="dxa"/>
            <w:tcBorders>
              <w:top w:val="single" w:color="auto" w:sz="4" w:space="0"/>
              <w:left w:val="single" w:color="auto" w:sz="4" w:space="0"/>
              <w:bottom w:val="single" w:color="auto" w:sz="4" w:space="0"/>
              <w:right w:val="single" w:color="auto" w:sz="4" w:space="0"/>
            </w:tcBorders>
          </w:tcPr>
          <w:p w14:paraId="7A7DF7C5">
            <w:pPr>
              <w:spacing w:line="360" w:lineRule="exact"/>
              <w:ind w:firstLine="0" w:firstLineChars="0"/>
              <w:jc w:val="both"/>
              <w:rPr>
                <w:rFonts w:ascii="Arial" w:hAnsi="Arial"/>
                <w:sz w:val="21"/>
                <w:szCs w:val="21"/>
                <w:highlight w:val="none"/>
              </w:rPr>
            </w:pPr>
            <w:r>
              <w:rPr>
                <w:rFonts w:ascii="Arial" w:hAnsi="Arial"/>
                <w:sz w:val="21"/>
                <w:szCs w:val="21"/>
                <w:highlight w:val="none"/>
              </w:rPr>
              <w:t>1750</w:t>
            </w:r>
          </w:p>
        </w:tc>
        <w:tc>
          <w:tcPr>
            <w:tcW w:w="1530" w:type="dxa"/>
            <w:tcBorders>
              <w:top w:val="single" w:color="auto" w:sz="4" w:space="0"/>
              <w:left w:val="single" w:color="auto" w:sz="4" w:space="0"/>
              <w:bottom w:val="single" w:color="auto" w:sz="4" w:space="0"/>
              <w:right w:val="single" w:color="auto" w:sz="4" w:space="0"/>
            </w:tcBorders>
          </w:tcPr>
          <w:p w14:paraId="2511C294">
            <w:pPr>
              <w:spacing w:line="360" w:lineRule="exact"/>
              <w:ind w:firstLine="0" w:firstLineChars="0"/>
              <w:jc w:val="both"/>
              <w:rPr>
                <w:rFonts w:ascii="Arial" w:hAnsi="Arial"/>
                <w:sz w:val="21"/>
                <w:szCs w:val="21"/>
                <w:highlight w:val="none"/>
              </w:rPr>
            </w:pPr>
            <w:r>
              <w:rPr>
                <w:rFonts w:ascii="Arial" w:hAnsi="Arial"/>
                <w:sz w:val="21"/>
                <w:szCs w:val="21"/>
                <w:highlight w:val="none"/>
              </w:rPr>
              <w:t>1530</w:t>
            </w:r>
          </w:p>
        </w:tc>
        <w:tc>
          <w:tcPr>
            <w:tcW w:w="1608" w:type="dxa"/>
            <w:tcBorders>
              <w:top w:val="single" w:color="auto" w:sz="4" w:space="0"/>
              <w:left w:val="single" w:color="auto" w:sz="4" w:space="0"/>
              <w:bottom w:val="single" w:color="auto" w:sz="4" w:space="0"/>
              <w:right w:val="single" w:color="auto" w:sz="4" w:space="0"/>
            </w:tcBorders>
          </w:tcPr>
          <w:p w14:paraId="645D1810">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1</w:t>
            </w:r>
            <w:r>
              <w:rPr>
                <w:rFonts w:ascii="Arial" w:hAnsi="Arial"/>
                <w:sz w:val="21"/>
                <w:szCs w:val="21"/>
                <w:highlight w:val="none"/>
              </w:rPr>
              <w:t>790</w:t>
            </w:r>
          </w:p>
        </w:tc>
      </w:tr>
      <w:tr w14:paraId="44558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34" w:type="dxa"/>
            <w:gridSpan w:val="2"/>
            <w:tcBorders>
              <w:top w:val="single" w:color="auto" w:sz="4" w:space="0"/>
              <w:left w:val="single" w:color="auto" w:sz="4" w:space="0"/>
              <w:bottom w:val="single" w:color="auto" w:sz="4" w:space="0"/>
              <w:right w:val="single" w:color="auto" w:sz="4" w:space="0"/>
            </w:tcBorders>
          </w:tcPr>
          <w:p w14:paraId="02C8E080">
            <w:pPr>
              <w:spacing w:line="360" w:lineRule="exact"/>
              <w:ind w:firstLine="0" w:firstLineChars="0"/>
              <w:jc w:val="both"/>
              <w:rPr>
                <w:sz w:val="21"/>
                <w:szCs w:val="21"/>
                <w:highlight w:val="none"/>
              </w:rPr>
            </w:pPr>
            <w:r>
              <w:rPr>
                <w:rFonts w:hint="eastAsia"/>
                <w:sz w:val="21"/>
                <w:szCs w:val="21"/>
                <w:highlight w:val="none"/>
              </w:rPr>
              <w:t>体积密度g/cm3</w:t>
            </w:r>
          </w:p>
        </w:tc>
        <w:tc>
          <w:tcPr>
            <w:tcW w:w="690" w:type="dxa"/>
            <w:tcBorders>
              <w:top w:val="single" w:color="auto" w:sz="4" w:space="0"/>
              <w:left w:val="single" w:color="auto" w:sz="4" w:space="0"/>
              <w:bottom w:val="single" w:color="auto" w:sz="4" w:space="0"/>
              <w:right w:val="single" w:color="auto" w:sz="4" w:space="0"/>
            </w:tcBorders>
          </w:tcPr>
          <w:p w14:paraId="4B1B25CA">
            <w:pPr>
              <w:spacing w:line="360" w:lineRule="exact"/>
              <w:ind w:firstLine="0" w:firstLineChars="0"/>
              <w:jc w:val="both"/>
              <w:rPr>
                <w:sz w:val="21"/>
                <w:szCs w:val="21"/>
                <w:highlight w:val="none"/>
              </w:rPr>
            </w:pPr>
          </w:p>
        </w:tc>
        <w:tc>
          <w:tcPr>
            <w:tcW w:w="1530" w:type="dxa"/>
            <w:tcBorders>
              <w:top w:val="single" w:color="auto" w:sz="4" w:space="0"/>
              <w:left w:val="single" w:color="auto" w:sz="4" w:space="0"/>
              <w:bottom w:val="single" w:color="auto" w:sz="4" w:space="0"/>
              <w:right w:val="single" w:color="auto" w:sz="4" w:space="0"/>
            </w:tcBorders>
          </w:tcPr>
          <w:p w14:paraId="28812B9C">
            <w:pPr>
              <w:spacing w:line="360" w:lineRule="exact"/>
              <w:ind w:firstLine="0" w:firstLineChars="0"/>
              <w:jc w:val="both"/>
              <w:rPr>
                <w:rFonts w:ascii="Arial" w:hAnsi="Arial"/>
                <w:sz w:val="21"/>
                <w:szCs w:val="21"/>
                <w:highlight w:val="none"/>
              </w:rPr>
            </w:pPr>
          </w:p>
        </w:tc>
        <w:tc>
          <w:tcPr>
            <w:tcW w:w="1530" w:type="dxa"/>
            <w:tcBorders>
              <w:top w:val="single" w:color="auto" w:sz="4" w:space="0"/>
              <w:left w:val="single" w:color="auto" w:sz="4" w:space="0"/>
              <w:bottom w:val="single" w:color="auto" w:sz="4" w:space="0"/>
              <w:right w:val="single" w:color="auto" w:sz="4" w:space="0"/>
            </w:tcBorders>
          </w:tcPr>
          <w:p w14:paraId="50D37D2E">
            <w:pPr>
              <w:spacing w:line="360" w:lineRule="exact"/>
              <w:ind w:firstLine="0" w:firstLineChars="0"/>
              <w:jc w:val="both"/>
              <w:rPr>
                <w:rFonts w:ascii="Arial" w:hAnsi="Arial"/>
                <w:sz w:val="21"/>
                <w:szCs w:val="21"/>
                <w:highlight w:val="none"/>
              </w:rPr>
            </w:pPr>
          </w:p>
        </w:tc>
        <w:tc>
          <w:tcPr>
            <w:tcW w:w="1530" w:type="dxa"/>
            <w:tcBorders>
              <w:top w:val="single" w:color="auto" w:sz="4" w:space="0"/>
              <w:left w:val="single" w:color="auto" w:sz="4" w:space="0"/>
              <w:bottom w:val="single" w:color="auto" w:sz="4" w:space="0"/>
              <w:right w:val="single" w:color="auto" w:sz="4" w:space="0"/>
            </w:tcBorders>
          </w:tcPr>
          <w:p w14:paraId="1E94483E">
            <w:pPr>
              <w:spacing w:line="360" w:lineRule="exact"/>
              <w:ind w:firstLine="0" w:firstLineChars="0"/>
              <w:jc w:val="both"/>
              <w:rPr>
                <w:rFonts w:ascii="Arial" w:hAnsi="Arial"/>
                <w:sz w:val="21"/>
                <w:szCs w:val="21"/>
                <w:highlight w:val="none"/>
              </w:rPr>
            </w:pPr>
            <w:r>
              <w:rPr>
                <w:rFonts w:ascii="Arial" w:hAnsi="Arial"/>
                <w:sz w:val="21"/>
                <w:szCs w:val="21"/>
                <w:highlight w:val="none"/>
              </w:rPr>
              <w:t>（</w:t>
            </w:r>
            <w:r>
              <w:rPr>
                <w:rFonts w:hint="eastAsia" w:ascii="Arial" w:hAnsi="Arial"/>
                <w:sz w:val="21"/>
                <w:szCs w:val="21"/>
                <w:highlight w:val="none"/>
              </w:rPr>
              <w:t>1</w:t>
            </w:r>
            <w:r>
              <w:rPr>
                <w:rFonts w:ascii="Arial" w:hAnsi="Arial"/>
                <w:sz w:val="21"/>
                <w:szCs w:val="21"/>
                <w:highlight w:val="none"/>
              </w:rPr>
              <w:t>300</w:t>
            </w:r>
            <w:r>
              <w:rPr>
                <w:rFonts w:hint="eastAsia" w:ascii="微软雅黑" w:hAnsi="微软雅黑" w:eastAsia="微软雅黑" w:cs="微软雅黑"/>
                <w:sz w:val="21"/>
                <w:szCs w:val="21"/>
                <w:highlight w:val="none"/>
              </w:rPr>
              <w:t>℃</w:t>
            </w:r>
            <w:r>
              <w:rPr>
                <w:rFonts w:ascii="Arial" w:hAnsi="Arial"/>
                <w:sz w:val="21"/>
                <w:szCs w:val="21"/>
                <w:highlight w:val="none"/>
              </w:rPr>
              <w:t>×3h）</w:t>
            </w:r>
            <w:r>
              <w:rPr>
                <w:rFonts w:hint="eastAsia" w:ascii="Arial" w:hAnsi="Arial"/>
                <w:sz w:val="21"/>
                <w:szCs w:val="21"/>
                <w:highlight w:val="none"/>
              </w:rPr>
              <w:t>≤1</w:t>
            </w:r>
            <w:r>
              <w:rPr>
                <w:rFonts w:ascii="Arial" w:hAnsi="Arial"/>
                <w:sz w:val="21"/>
                <w:szCs w:val="21"/>
                <w:highlight w:val="none"/>
              </w:rPr>
              <w:t>.4</w:t>
            </w:r>
          </w:p>
        </w:tc>
        <w:tc>
          <w:tcPr>
            <w:tcW w:w="1608" w:type="dxa"/>
            <w:tcBorders>
              <w:top w:val="single" w:color="auto" w:sz="4" w:space="0"/>
              <w:left w:val="single" w:color="auto" w:sz="4" w:space="0"/>
              <w:bottom w:val="single" w:color="auto" w:sz="4" w:space="0"/>
              <w:right w:val="single" w:color="auto" w:sz="4" w:space="0"/>
            </w:tcBorders>
          </w:tcPr>
          <w:p w14:paraId="3FD347E5">
            <w:pPr>
              <w:spacing w:line="360" w:lineRule="exact"/>
              <w:ind w:firstLine="0" w:firstLineChars="0"/>
              <w:jc w:val="both"/>
              <w:rPr>
                <w:rFonts w:ascii="Arial" w:hAnsi="Arial"/>
                <w:sz w:val="21"/>
                <w:szCs w:val="21"/>
                <w:highlight w:val="none"/>
              </w:rPr>
            </w:pPr>
            <w:r>
              <w:rPr>
                <w:rFonts w:hint="eastAsia"/>
                <w:sz w:val="21"/>
                <w:szCs w:val="21"/>
                <w:highlight w:val="none"/>
              </w:rPr>
              <w:t>≥2</w:t>
            </w:r>
            <w:r>
              <w:rPr>
                <w:sz w:val="21"/>
                <w:szCs w:val="21"/>
                <w:highlight w:val="none"/>
              </w:rPr>
              <w:t>.75</w:t>
            </w:r>
          </w:p>
        </w:tc>
      </w:tr>
      <w:tr w14:paraId="6448E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34" w:type="dxa"/>
            <w:gridSpan w:val="2"/>
            <w:tcBorders>
              <w:top w:val="single" w:color="auto" w:sz="4" w:space="0"/>
              <w:left w:val="single" w:color="auto" w:sz="4" w:space="0"/>
              <w:bottom w:val="single" w:color="auto" w:sz="4" w:space="0"/>
              <w:right w:val="single" w:color="auto" w:sz="4" w:space="0"/>
            </w:tcBorders>
          </w:tcPr>
          <w:p w14:paraId="16B58AC7">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Al2O3</w:t>
            </w:r>
          </w:p>
        </w:tc>
        <w:tc>
          <w:tcPr>
            <w:tcW w:w="690" w:type="dxa"/>
            <w:tcBorders>
              <w:top w:val="single" w:color="auto" w:sz="4" w:space="0"/>
              <w:left w:val="single" w:color="auto" w:sz="4" w:space="0"/>
              <w:bottom w:val="single" w:color="auto" w:sz="4" w:space="0"/>
              <w:right w:val="single" w:color="auto" w:sz="4" w:space="0"/>
            </w:tcBorders>
          </w:tcPr>
          <w:p w14:paraId="5A70B4B5">
            <w:pPr>
              <w:spacing w:line="360" w:lineRule="exact"/>
              <w:ind w:firstLine="0" w:firstLineChars="0"/>
              <w:jc w:val="both"/>
              <w:rPr>
                <w:rFonts w:ascii="Arial" w:hAnsi="Arial"/>
                <w:sz w:val="21"/>
                <w:szCs w:val="21"/>
                <w:highlight w:val="none"/>
              </w:rPr>
            </w:pPr>
            <w:r>
              <w:rPr>
                <w:rFonts w:hint="eastAsia"/>
                <w:sz w:val="21"/>
                <w:szCs w:val="21"/>
                <w:highlight w:val="none"/>
              </w:rPr>
              <w:t>≥</w:t>
            </w:r>
            <w:r>
              <w:rPr>
                <w:rFonts w:hint="eastAsia" w:ascii="Arial" w:hAnsi="Arial"/>
                <w:sz w:val="21"/>
                <w:szCs w:val="21"/>
                <w:highlight w:val="none"/>
              </w:rPr>
              <w:t>%</w:t>
            </w:r>
          </w:p>
        </w:tc>
        <w:tc>
          <w:tcPr>
            <w:tcW w:w="1530" w:type="dxa"/>
            <w:tcBorders>
              <w:top w:val="single" w:color="auto" w:sz="4" w:space="0"/>
              <w:left w:val="single" w:color="auto" w:sz="4" w:space="0"/>
              <w:bottom w:val="single" w:color="auto" w:sz="4" w:space="0"/>
              <w:right w:val="single" w:color="auto" w:sz="4" w:space="0"/>
            </w:tcBorders>
          </w:tcPr>
          <w:p w14:paraId="678C2766">
            <w:pPr>
              <w:spacing w:line="360" w:lineRule="exact"/>
              <w:ind w:firstLine="0" w:firstLineChars="0"/>
              <w:jc w:val="both"/>
              <w:rPr>
                <w:rFonts w:ascii="Arial" w:hAnsi="Arial"/>
                <w:sz w:val="21"/>
                <w:szCs w:val="21"/>
                <w:highlight w:val="none"/>
              </w:rPr>
            </w:pPr>
            <w:r>
              <w:rPr>
                <w:rFonts w:ascii="Arial" w:hAnsi="Arial"/>
                <w:sz w:val="21"/>
                <w:szCs w:val="21"/>
                <w:highlight w:val="none"/>
              </w:rPr>
              <w:t>70</w:t>
            </w:r>
          </w:p>
        </w:tc>
        <w:tc>
          <w:tcPr>
            <w:tcW w:w="1530" w:type="dxa"/>
            <w:tcBorders>
              <w:top w:val="single" w:color="auto" w:sz="4" w:space="0"/>
              <w:left w:val="single" w:color="auto" w:sz="4" w:space="0"/>
              <w:bottom w:val="single" w:color="auto" w:sz="4" w:space="0"/>
              <w:right w:val="single" w:color="auto" w:sz="4" w:space="0"/>
            </w:tcBorders>
          </w:tcPr>
          <w:p w14:paraId="53A78ABF">
            <w:pPr>
              <w:spacing w:line="360" w:lineRule="exact"/>
              <w:ind w:firstLine="0" w:firstLineChars="0"/>
              <w:jc w:val="both"/>
              <w:rPr>
                <w:rFonts w:ascii="Arial" w:hAnsi="Arial"/>
                <w:sz w:val="21"/>
                <w:szCs w:val="21"/>
                <w:highlight w:val="none"/>
              </w:rPr>
            </w:pPr>
            <w:r>
              <w:rPr>
                <w:rFonts w:ascii="Arial" w:hAnsi="Arial"/>
                <w:sz w:val="21"/>
                <w:szCs w:val="21"/>
                <w:highlight w:val="none"/>
              </w:rPr>
              <w:t>70</w:t>
            </w:r>
          </w:p>
        </w:tc>
        <w:tc>
          <w:tcPr>
            <w:tcW w:w="1530" w:type="dxa"/>
            <w:tcBorders>
              <w:top w:val="single" w:color="auto" w:sz="4" w:space="0"/>
              <w:left w:val="single" w:color="auto" w:sz="4" w:space="0"/>
              <w:bottom w:val="single" w:color="auto" w:sz="4" w:space="0"/>
              <w:right w:val="single" w:color="auto" w:sz="4" w:space="0"/>
            </w:tcBorders>
          </w:tcPr>
          <w:p w14:paraId="3F6FFB56">
            <w:pPr>
              <w:spacing w:line="360" w:lineRule="exact"/>
              <w:ind w:firstLine="0" w:firstLineChars="0"/>
              <w:jc w:val="both"/>
              <w:rPr>
                <w:rFonts w:ascii="Arial" w:hAnsi="Arial"/>
                <w:sz w:val="21"/>
                <w:szCs w:val="21"/>
                <w:highlight w:val="none"/>
              </w:rPr>
            </w:pPr>
            <w:r>
              <w:rPr>
                <w:rFonts w:ascii="Arial" w:hAnsi="Arial"/>
                <w:sz w:val="21"/>
                <w:szCs w:val="21"/>
                <w:highlight w:val="none"/>
              </w:rPr>
              <w:t>35</w:t>
            </w:r>
          </w:p>
        </w:tc>
        <w:tc>
          <w:tcPr>
            <w:tcW w:w="1608" w:type="dxa"/>
            <w:tcBorders>
              <w:top w:val="single" w:color="auto" w:sz="4" w:space="0"/>
              <w:left w:val="single" w:color="auto" w:sz="4" w:space="0"/>
              <w:bottom w:val="single" w:color="auto" w:sz="4" w:space="0"/>
              <w:right w:val="single" w:color="auto" w:sz="4" w:space="0"/>
            </w:tcBorders>
          </w:tcPr>
          <w:p w14:paraId="1FDE69BE">
            <w:pPr>
              <w:spacing w:line="360" w:lineRule="exact"/>
              <w:ind w:firstLine="0" w:firstLineChars="0"/>
              <w:jc w:val="both"/>
              <w:rPr>
                <w:rFonts w:ascii="Arial" w:hAnsi="Arial"/>
                <w:sz w:val="21"/>
                <w:szCs w:val="21"/>
                <w:highlight w:val="none"/>
              </w:rPr>
            </w:pPr>
            <w:r>
              <w:rPr>
                <w:rFonts w:ascii="Arial" w:hAnsi="Arial"/>
                <w:sz w:val="21"/>
                <w:szCs w:val="21"/>
                <w:highlight w:val="none"/>
              </w:rPr>
              <w:t>70</w:t>
            </w:r>
          </w:p>
        </w:tc>
      </w:tr>
      <w:tr w14:paraId="1FFE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05" w:type="dxa"/>
            <w:vMerge w:val="restart"/>
            <w:tcBorders>
              <w:top w:val="nil"/>
              <w:left w:val="single" w:color="auto" w:sz="4" w:space="0"/>
              <w:bottom w:val="single" w:color="auto" w:sz="4" w:space="0"/>
              <w:right w:val="single" w:color="auto" w:sz="4" w:space="0"/>
            </w:tcBorders>
            <w:vAlign w:val="center"/>
          </w:tcPr>
          <w:p w14:paraId="75399AAA">
            <w:pPr>
              <w:spacing w:line="360" w:lineRule="exact"/>
              <w:ind w:firstLine="0" w:firstLineChars="0"/>
              <w:jc w:val="both"/>
              <w:rPr>
                <w:rFonts w:ascii="Arial" w:hAnsi="Arial"/>
                <w:sz w:val="21"/>
                <w:szCs w:val="21"/>
                <w:highlight w:val="none"/>
              </w:rPr>
            </w:pPr>
            <w:r>
              <w:rPr>
                <w:rFonts w:hint="eastAsia"/>
                <w:sz w:val="21"/>
                <w:szCs w:val="21"/>
                <w:highlight w:val="none"/>
              </w:rPr>
              <w:t>粘结抗折强度</w:t>
            </w:r>
          </w:p>
        </w:tc>
        <w:tc>
          <w:tcPr>
            <w:tcW w:w="1229" w:type="dxa"/>
            <w:tcBorders>
              <w:top w:val="single" w:color="auto" w:sz="4" w:space="0"/>
              <w:left w:val="single" w:color="auto" w:sz="4" w:space="0"/>
              <w:bottom w:val="single" w:color="auto" w:sz="4" w:space="0"/>
              <w:right w:val="single" w:color="auto" w:sz="4" w:space="0"/>
            </w:tcBorders>
          </w:tcPr>
          <w:p w14:paraId="53B8F282">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110</w:t>
            </w:r>
            <w:r>
              <w:rPr>
                <w:rFonts w:hint="eastAsia"/>
                <w:sz w:val="21"/>
                <w:szCs w:val="21"/>
                <w:highlight w:val="none"/>
              </w:rPr>
              <w:t>℃干燥后</w:t>
            </w:r>
          </w:p>
        </w:tc>
        <w:tc>
          <w:tcPr>
            <w:tcW w:w="690" w:type="dxa"/>
            <w:tcBorders>
              <w:top w:val="single" w:color="auto" w:sz="4" w:space="0"/>
              <w:left w:val="single" w:color="auto" w:sz="4" w:space="0"/>
              <w:bottom w:val="single" w:color="auto" w:sz="4" w:space="0"/>
              <w:right w:val="single" w:color="auto" w:sz="4" w:space="0"/>
            </w:tcBorders>
          </w:tcPr>
          <w:p w14:paraId="077B0681">
            <w:pPr>
              <w:spacing w:line="360" w:lineRule="exact"/>
              <w:ind w:firstLine="0" w:firstLineChars="0"/>
              <w:jc w:val="both"/>
              <w:rPr>
                <w:rFonts w:ascii="Arial" w:hAnsi="Arial"/>
                <w:sz w:val="21"/>
                <w:szCs w:val="21"/>
                <w:highlight w:val="none"/>
              </w:rPr>
            </w:pPr>
            <w:r>
              <w:rPr>
                <w:rFonts w:hint="eastAsia"/>
                <w:sz w:val="21"/>
                <w:szCs w:val="21"/>
                <w:highlight w:val="none"/>
              </w:rPr>
              <w:t>≥</w:t>
            </w:r>
            <w:r>
              <w:rPr>
                <w:rFonts w:hint="eastAsia" w:ascii="Arial" w:hAnsi="Arial"/>
                <w:sz w:val="21"/>
                <w:szCs w:val="21"/>
                <w:highlight w:val="none"/>
              </w:rPr>
              <w:t>MPa</w:t>
            </w:r>
          </w:p>
        </w:tc>
        <w:tc>
          <w:tcPr>
            <w:tcW w:w="1530" w:type="dxa"/>
            <w:tcBorders>
              <w:top w:val="single" w:color="auto" w:sz="4" w:space="0"/>
              <w:left w:val="single" w:color="auto" w:sz="4" w:space="0"/>
              <w:bottom w:val="single" w:color="auto" w:sz="4" w:space="0"/>
              <w:right w:val="single" w:color="auto" w:sz="4" w:space="0"/>
            </w:tcBorders>
          </w:tcPr>
          <w:p w14:paraId="14A3A63F">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2</w:t>
            </w:r>
            <w:r>
              <w:rPr>
                <w:rFonts w:ascii="Arial" w:hAnsi="Arial"/>
                <w:sz w:val="21"/>
                <w:szCs w:val="21"/>
                <w:highlight w:val="none"/>
              </w:rPr>
              <w:t>.0</w:t>
            </w:r>
          </w:p>
        </w:tc>
        <w:tc>
          <w:tcPr>
            <w:tcW w:w="1530" w:type="dxa"/>
            <w:tcBorders>
              <w:top w:val="single" w:color="auto" w:sz="4" w:space="0"/>
              <w:left w:val="single" w:color="auto" w:sz="4" w:space="0"/>
              <w:bottom w:val="single" w:color="auto" w:sz="4" w:space="0"/>
              <w:right w:val="single" w:color="auto" w:sz="4" w:space="0"/>
            </w:tcBorders>
          </w:tcPr>
          <w:p w14:paraId="3A187AB4">
            <w:pPr>
              <w:spacing w:line="360" w:lineRule="exact"/>
              <w:ind w:firstLine="0" w:firstLineChars="0"/>
              <w:jc w:val="both"/>
              <w:rPr>
                <w:rFonts w:ascii="Arial" w:hAnsi="Arial"/>
                <w:sz w:val="21"/>
                <w:szCs w:val="21"/>
                <w:highlight w:val="none"/>
              </w:rPr>
            </w:pPr>
            <w:r>
              <w:rPr>
                <w:rFonts w:ascii="Arial" w:hAnsi="Arial"/>
                <w:sz w:val="21"/>
                <w:szCs w:val="21"/>
                <w:highlight w:val="none"/>
              </w:rPr>
              <w:t>1.0</w:t>
            </w:r>
          </w:p>
        </w:tc>
        <w:tc>
          <w:tcPr>
            <w:tcW w:w="1530" w:type="dxa"/>
            <w:tcBorders>
              <w:top w:val="single" w:color="auto" w:sz="4" w:space="0"/>
              <w:left w:val="single" w:color="auto" w:sz="4" w:space="0"/>
              <w:bottom w:val="single" w:color="auto" w:sz="4" w:space="0"/>
              <w:right w:val="single" w:color="auto" w:sz="4" w:space="0"/>
            </w:tcBorders>
          </w:tcPr>
          <w:p w14:paraId="12F66998">
            <w:pPr>
              <w:spacing w:line="360" w:lineRule="exact"/>
              <w:ind w:firstLine="0" w:firstLineChars="0"/>
              <w:jc w:val="both"/>
              <w:rPr>
                <w:rFonts w:ascii="Arial" w:hAnsi="Arial"/>
                <w:sz w:val="21"/>
                <w:szCs w:val="21"/>
                <w:highlight w:val="none"/>
              </w:rPr>
            </w:pPr>
            <w:r>
              <w:rPr>
                <w:rFonts w:ascii="Arial" w:hAnsi="Arial"/>
                <w:sz w:val="21"/>
                <w:szCs w:val="21"/>
                <w:highlight w:val="none"/>
              </w:rPr>
              <w:t>3.0</w:t>
            </w:r>
          </w:p>
        </w:tc>
        <w:tc>
          <w:tcPr>
            <w:tcW w:w="1608" w:type="dxa"/>
            <w:tcBorders>
              <w:top w:val="single" w:color="auto" w:sz="4" w:space="0"/>
              <w:left w:val="single" w:color="auto" w:sz="4" w:space="0"/>
              <w:bottom w:val="single" w:color="auto" w:sz="4" w:space="0"/>
              <w:right w:val="single" w:color="auto" w:sz="4" w:space="0"/>
            </w:tcBorders>
          </w:tcPr>
          <w:p w14:paraId="5F97834B">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w:t>
            </w:r>
            <w:r>
              <w:rPr>
                <w:rFonts w:ascii="Arial" w:hAnsi="Arial"/>
                <w:sz w:val="21"/>
                <w:szCs w:val="21"/>
                <w:highlight w:val="none"/>
              </w:rPr>
              <w:t>110</w:t>
            </w:r>
            <w:r>
              <w:rPr>
                <w:rFonts w:hint="eastAsia" w:ascii="Arial" w:hAnsi="Arial"/>
                <w:sz w:val="21"/>
                <w:szCs w:val="21"/>
                <w:highlight w:val="none"/>
              </w:rPr>
              <w:t>℃×</w:t>
            </w:r>
            <w:r>
              <w:rPr>
                <w:rFonts w:ascii="Arial" w:hAnsi="Arial"/>
                <w:sz w:val="21"/>
                <w:szCs w:val="21"/>
                <w:highlight w:val="none"/>
              </w:rPr>
              <w:t>24</w:t>
            </w:r>
            <w:r>
              <w:rPr>
                <w:rFonts w:hint="eastAsia" w:ascii="Arial" w:hAnsi="Arial"/>
                <w:sz w:val="21"/>
                <w:szCs w:val="21"/>
                <w:highlight w:val="none"/>
              </w:rPr>
              <w:t>h）≥</w:t>
            </w:r>
            <w:r>
              <w:rPr>
                <w:rFonts w:ascii="Arial" w:hAnsi="Arial"/>
                <w:sz w:val="21"/>
                <w:szCs w:val="21"/>
                <w:highlight w:val="none"/>
              </w:rPr>
              <w:t>12</w:t>
            </w:r>
          </w:p>
        </w:tc>
      </w:tr>
      <w:tr w14:paraId="249B2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05" w:type="dxa"/>
            <w:vMerge w:val="continue"/>
            <w:tcBorders>
              <w:top w:val="nil"/>
              <w:left w:val="single" w:color="auto" w:sz="4" w:space="0"/>
              <w:bottom w:val="single" w:color="auto" w:sz="4" w:space="0"/>
              <w:right w:val="single" w:color="auto" w:sz="4" w:space="0"/>
            </w:tcBorders>
            <w:vAlign w:val="center"/>
          </w:tcPr>
          <w:p w14:paraId="0AFA7CB4">
            <w:pPr>
              <w:widowControl/>
              <w:spacing w:line="240" w:lineRule="auto"/>
              <w:ind w:firstLine="0" w:firstLineChars="0"/>
              <w:rPr>
                <w:rFonts w:ascii="Arial" w:hAnsi="Arial"/>
                <w:sz w:val="21"/>
                <w:szCs w:val="21"/>
                <w:highlight w:val="none"/>
              </w:rPr>
            </w:pPr>
          </w:p>
        </w:tc>
        <w:tc>
          <w:tcPr>
            <w:tcW w:w="1229" w:type="dxa"/>
            <w:tcBorders>
              <w:top w:val="single" w:color="auto" w:sz="4" w:space="0"/>
              <w:left w:val="single" w:color="auto" w:sz="4" w:space="0"/>
              <w:bottom w:val="single" w:color="auto" w:sz="4" w:space="0"/>
              <w:right w:val="single" w:color="auto" w:sz="4" w:space="0"/>
            </w:tcBorders>
          </w:tcPr>
          <w:p w14:paraId="6E0B922E">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1200</w:t>
            </w:r>
            <w:r>
              <w:rPr>
                <w:rFonts w:hint="eastAsia"/>
                <w:sz w:val="21"/>
                <w:szCs w:val="21"/>
                <w:highlight w:val="none"/>
              </w:rPr>
              <w:t>℃×</w:t>
            </w:r>
            <w:r>
              <w:rPr>
                <w:rFonts w:hint="eastAsia" w:ascii="Arial" w:hAnsi="Arial"/>
                <w:sz w:val="21"/>
                <w:szCs w:val="21"/>
                <w:highlight w:val="none"/>
              </w:rPr>
              <w:t>3h</w:t>
            </w:r>
            <w:r>
              <w:rPr>
                <w:rFonts w:hint="eastAsia"/>
                <w:sz w:val="21"/>
                <w:szCs w:val="21"/>
                <w:highlight w:val="none"/>
              </w:rPr>
              <w:t>烧后</w:t>
            </w:r>
          </w:p>
        </w:tc>
        <w:tc>
          <w:tcPr>
            <w:tcW w:w="690" w:type="dxa"/>
            <w:tcBorders>
              <w:top w:val="single" w:color="auto" w:sz="4" w:space="0"/>
              <w:left w:val="single" w:color="auto" w:sz="4" w:space="0"/>
              <w:bottom w:val="single" w:color="auto" w:sz="4" w:space="0"/>
              <w:right w:val="single" w:color="auto" w:sz="4" w:space="0"/>
            </w:tcBorders>
          </w:tcPr>
          <w:p w14:paraId="06B27F58">
            <w:pPr>
              <w:spacing w:line="360" w:lineRule="exact"/>
              <w:ind w:firstLine="0" w:firstLineChars="0"/>
              <w:jc w:val="both"/>
              <w:rPr>
                <w:rFonts w:ascii="Arial" w:hAnsi="Arial"/>
                <w:sz w:val="21"/>
                <w:szCs w:val="21"/>
                <w:highlight w:val="none"/>
              </w:rPr>
            </w:pPr>
            <w:r>
              <w:rPr>
                <w:rFonts w:hint="eastAsia"/>
                <w:sz w:val="21"/>
                <w:szCs w:val="21"/>
                <w:highlight w:val="none"/>
              </w:rPr>
              <w:t>≥</w:t>
            </w:r>
            <w:r>
              <w:rPr>
                <w:rFonts w:hint="eastAsia" w:ascii="Arial" w:hAnsi="Arial"/>
                <w:sz w:val="21"/>
                <w:szCs w:val="21"/>
                <w:highlight w:val="none"/>
              </w:rPr>
              <w:t>MPa</w:t>
            </w:r>
          </w:p>
        </w:tc>
        <w:tc>
          <w:tcPr>
            <w:tcW w:w="1530" w:type="dxa"/>
            <w:tcBorders>
              <w:top w:val="single" w:color="auto" w:sz="4" w:space="0"/>
              <w:left w:val="single" w:color="auto" w:sz="4" w:space="0"/>
              <w:bottom w:val="single" w:color="auto" w:sz="4" w:space="0"/>
              <w:right w:val="single" w:color="auto" w:sz="4" w:space="0"/>
            </w:tcBorders>
          </w:tcPr>
          <w:p w14:paraId="4A681B6E">
            <w:pPr>
              <w:spacing w:line="360" w:lineRule="exact"/>
              <w:ind w:firstLine="0" w:firstLineChars="0"/>
              <w:jc w:val="both"/>
              <w:rPr>
                <w:rFonts w:ascii="Arial" w:hAnsi="Arial"/>
                <w:sz w:val="21"/>
                <w:szCs w:val="21"/>
                <w:highlight w:val="none"/>
              </w:rPr>
            </w:pPr>
            <w:r>
              <w:rPr>
                <w:rFonts w:ascii="Arial" w:hAnsi="Arial"/>
                <w:sz w:val="21"/>
                <w:szCs w:val="21"/>
                <w:highlight w:val="none"/>
              </w:rPr>
              <w:t>（</w:t>
            </w:r>
            <w:r>
              <w:rPr>
                <w:rFonts w:hint="eastAsia" w:ascii="Arial" w:hAnsi="Arial"/>
                <w:sz w:val="21"/>
                <w:szCs w:val="21"/>
                <w:highlight w:val="none"/>
              </w:rPr>
              <w:t>1</w:t>
            </w:r>
            <w:r>
              <w:rPr>
                <w:rFonts w:ascii="Arial" w:hAnsi="Arial"/>
                <w:sz w:val="21"/>
                <w:szCs w:val="21"/>
                <w:highlight w:val="none"/>
              </w:rPr>
              <w:t>500</w:t>
            </w:r>
            <w:r>
              <w:rPr>
                <w:rFonts w:ascii="微软雅黑" w:hAnsi="微软雅黑" w:eastAsia="微软雅黑" w:cs="微软雅黑"/>
                <w:sz w:val="21"/>
                <w:szCs w:val="21"/>
                <w:highlight w:val="none"/>
              </w:rPr>
              <w:t>℃</w:t>
            </w:r>
            <w:r>
              <w:rPr>
                <w:rFonts w:ascii="Arial" w:hAnsi="Arial"/>
                <w:sz w:val="21"/>
                <w:szCs w:val="21"/>
                <w:highlight w:val="none"/>
              </w:rPr>
              <w:t>×3h）7.0</w:t>
            </w:r>
          </w:p>
        </w:tc>
        <w:tc>
          <w:tcPr>
            <w:tcW w:w="1530" w:type="dxa"/>
            <w:tcBorders>
              <w:top w:val="single" w:color="auto" w:sz="4" w:space="0"/>
              <w:left w:val="single" w:color="auto" w:sz="4" w:space="0"/>
              <w:bottom w:val="single" w:color="auto" w:sz="4" w:space="0"/>
              <w:right w:val="single" w:color="auto" w:sz="4" w:space="0"/>
            </w:tcBorders>
          </w:tcPr>
          <w:p w14:paraId="18272676">
            <w:pPr>
              <w:spacing w:line="360" w:lineRule="exact"/>
              <w:ind w:firstLine="0" w:firstLineChars="0"/>
              <w:jc w:val="both"/>
              <w:rPr>
                <w:rFonts w:ascii="Arial" w:hAnsi="Arial"/>
                <w:sz w:val="21"/>
                <w:szCs w:val="21"/>
                <w:highlight w:val="none"/>
              </w:rPr>
            </w:pPr>
            <w:r>
              <w:rPr>
                <w:rFonts w:ascii="Arial" w:hAnsi="Arial"/>
                <w:sz w:val="21"/>
                <w:szCs w:val="21"/>
                <w:highlight w:val="none"/>
              </w:rPr>
              <w:t>（</w:t>
            </w:r>
            <w:r>
              <w:rPr>
                <w:rFonts w:hint="eastAsia" w:ascii="Arial" w:hAnsi="Arial"/>
                <w:sz w:val="21"/>
                <w:szCs w:val="21"/>
                <w:highlight w:val="none"/>
              </w:rPr>
              <w:t>1</w:t>
            </w:r>
            <w:r>
              <w:rPr>
                <w:rFonts w:ascii="Arial" w:hAnsi="Arial"/>
                <w:sz w:val="21"/>
                <w:szCs w:val="21"/>
                <w:highlight w:val="none"/>
              </w:rPr>
              <w:t>400</w:t>
            </w:r>
            <w:r>
              <w:rPr>
                <w:rFonts w:hint="eastAsia" w:ascii="微软雅黑" w:hAnsi="微软雅黑" w:eastAsia="微软雅黑" w:cs="微软雅黑"/>
                <w:sz w:val="21"/>
                <w:szCs w:val="21"/>
                <w:highlight w:val="none"/>
              </w:rPr>
              <w:t>℃</w:t>
            </w:r>
            <w:r>
              <w:rPr>
                <w:rFonts w:ascii="Arial" w:hAnsi="Arial"/>
                <w:sz w:val="21"/>
                <w:szCs w:val="21"/>
                <w:highlight w:val="none"/>
              </w:rPr>
              <w:t>×3h）1.5</w:t>
            </w:r>
          </w:p>
        </w:tc>
        <w:tc>
          <w:tcPr>
            <w:tcW w:w="1530" w:type="dxa"/>
            <w:tcBorders>
              <w:top w:val="single" w:color="auto" w:sz="4" w:space="0"/>
              <w:left w:val="single" w:color="auto" w:sz="4" w:space="0"/>
              <w:bottom w:val="single" w:color="auto" w:sz="4" w:space="0"/>
              <w:right w:val="single" w:color="auto" w:sz="4" w:space="0"/>
            </w:tcBorders>
          </w:tcPr>
          <w:p w14:paraId="10A81981">
            <w:pPr>
              <w:spacing w:line="360" w:lineRule="exact"/>
              <w:ind w:firstLine="0" w:firstLineChars="0"/>
              <w:jc w:val="both"/>
              <w:rPr>
                <w:rFonts w:ascii="Arial" w:hAnsi="Arial"/>
                <w:sz w:val="21"/>
                <w:szCs w:val="21"/>
                <w:highlight w:val="none"/>
              </w:rPr>
            </w:pPr>
            <w:r>
              <w:rPr>
                <w:rFonts w:ascii="Arial" w:hAnsi="Arial"/>
                <w:sz w:val="21"/>
                <w:szCs w:val="21"/>
                <w:highlight w:val="none"/>
              </w:rPr>
              <w:t>（1300</w:t>
            </w:r>
            <w:r>
              <w:rPr>
                <w:rFonts w:hint="eastAsia" w:ascii="微软雅黑" w:hAnsi="微软雅黑" w:eastAsia="微软雅黑" w:cs="微软雅黑"/>
                <w:sz w:val="21"/>
                <w:szCs w:val="21"/>
                <w:highlight w:val="none"/>
              </w:rPr>
              <w:t>℃</w:t>
            </w:r>
            <w:r>
              <w:rPr>
                <w:rFonts w:ascii="Arial" w:hAnsi="Arial"/>
                <w:sz w:val="21"/>
                <w:szCs w:val="21"/>
                <w:highlight w:val="none"/>
              </w:rPr>
              <w:t>）0.3</w:t>
            </w:r>
          </w:p>
        </w:tc>
        <w:tc>
          <w:tcPr>
            <w:tcW w:w="1608" w:type="dxa"/>
            <w:tcBorders>
              <w:top w:val="single" w:color="auto" w:sz="4" w:space="0"/>
              <w:left w:val="single" w:color="auto" w:sz="4" w:space="0"/>
              <w:bottom w:val="single" w:color="auto" w:sz="4" w:space="0"/>
              <w:right w:val="single" w:color="auto" w:sz="4" w:space="0"/>
            </w:tcBorders>
          </w:tcPr>
          <w:p w14:paraId="0135B453">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（1400℃×3h）≥</w:t>
            </w:r>
            <w:r>
              <w:rPr>
                <w:rFonts w:ascii="Arial" w:hAnsi="Arial"/>
                <w:sz w:val="21"/>
                <w:szCs w:val="21"/>
                <w:highlight w:val="none"/>
              </w:rPr>
              <w:t>14</w:t>
            </w:r>
          </w:p>
        </w:tc>
      </w:tr>
      <w:tr w14:paraId="2F1D9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34" w:type="dxa"/>
            <w:gridSpan w:val="2"/>
            <w:tcBorders>
              <w:top w:val="single" w:color="auto" w:sz="4" w:space="0"/>
              <w:left w:val="single" w:color="auto" w:sz="4" w:space="0"/>
              <w:bottom w:val="single" w:color="auto" w:sz="4" w:space="0"/>
              <w:right w:val="single" w:color="auto" w:sz="4" w:space="0"/>
            </w:tcBorders>
          </w:tcPr>
          <w:p w14:paraId="4EFAAD90">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0.2MPa</w:t>
            </w:r>
            <w:r>
              <w:rPr>
                <w:rFonts w:hint="eastAsia"/>
                <w:sz w:val="21"/>
                <w:szCs w:val="21"/>
                <w:highlight w:val="none"/>
              </w:rPr>
              <w:t>荷重软化温度</w:t>
            </w:r>
          </w:p>
        </w:tc>
        <w:tc>
          <w:tcPr>
            <w:tcW w:w="690" w:type="dxa"/>
            <w:tcBorders>
              <w:top w:val="single" w:color="auto" w:sz="4" w:space="0"/>
              <w:left w:val="single" w:color="auto" w:sz="4" w:space="0"/>
              <w:bottom w:val="single" w:color="auto" w:sz="4" w:space="0"/>
              <w:right w:val="single" w:color="auto" w:sz="4" w:space="0"/>
            </w:tcBorders>
          </w:tcPr>
          <w:p w14:paraId="4F71A29E">
            <w:pPr>
              <w:spacing w:line="360" w:lineRule="exact"/>
              <w:ind w:firstLine="0" w:firstLineChars="0"/>
              <w:jc w:val="both"/>
              <w:rPr>
                <w:rFonts w:ascii="Arial" w:hAnsi="Arial"/>
                <w:sz w:val="21"/>
                <w:szCs w:val="21"/>
                <w:highlight w:val="none"/>
              </w:rPr>
            </w:pPr>
            <w:r>
              <w:rPr>
                <w:rFonts w:hint="eastAsia"/>
                <w:sz w:val="21"/>
                <w:szCs w:val="21"/>
                <w:highlight w:val="none"/>
              </w:rPr>
              <w:t>≥℃</w:t>
            </w:r>
          </w:p>
        </w:tc>
        <w:tc>
          <w:tcPr>
            <w:tcW w:w="1530" w:type="dxa"/>
            <w:tcBorders>
              <w:top w:val="single" w:color="auto" w:sz="4" w:space="0"/>
              <w:left w:val="single" w:color="auto" w:sz="4" w:space="0"/>
              <w:bottom w:val="single" w:color="auto" w:sz="4" w:space="0"/>
              <w:right w:val="single" w:color="auto" w:sz="4" w:space="0"/>
            </w:tcBorders>
          </w:tcPr>
          <w:p w14:paraId="4FCC1859">
            <w:pPr>
              <w:spacing w:line="360" w:lineRule="exact"/>
              <w:ind w:firstLine="0" w:firstLineChars="0"/>
              <w:jc w:val="both"/>
              <w:rPr>
                <w:rFonts w:ascii="Arial" w:hAnsi="Arial"/>
                <w:sz w:val="21"/>
                <w:szCs w:val="21"/>
                <w:highlight w:val="none"/>
              </w:rPr>
            </w:pPr>
            <w:r>
              <w:rPr>
                <w:rFonts w:ascii="Arial" w:hAnsi="Arial"/>
                <w:sz w:val="21"/>
                <w:szCs w:val="21"/>
                <w:highlight w:val="none"/>
              </w:rPr>
              <w:t>1550</w:t>
            </w:r>
          </w:p>
        </w:tc>
        <w:tc>
          <w:tcPr>
            <w:tcW w:w="1530" w:type="dxa"/>
            <w:tcBorders>
              <w:top w:val="single" w:color="auto" w:sz="4" w:space="0"/>
              <w:left w:val="single" w:color="auto" w:sz="4" w:space="0"/>
              <w:bottom w:val="single" w:color="auto" w:sz="4" w:space="0"/>
              <w:right w:val="single" w:color="auto" w:sz="4" w:space="0"/>
            </w:tcBorders>
          </w:tcPr>
          <w:p w14:paraId="34BAAC1A">
            <w:pPr>
              <w:spacing w:line="360" w:lineRule="exact"/>
              <w:ind w:firstLine="0" w:firstLineChars="0"/>
              <w:jc w:val="both"/>
              <w:rPr>
                <w:rFonts w:ascii="Arial" w:hAnsi="Arial"/>
                <w:sz w:val="21"/>
                <w:szCs w:val="21"/>
                <w:highlight w:val="none"/>
              </w:rPr>
            </w:pPr>
          </w:p>
        </w:tc>
        <w:tc>
          <w:tcPr>
            <w:tcW w:w="1530" w:type="dxa"/>
            <w:tcBorders>
              <w:top w:val="single" w:color="auto" w:sz="4" w:space="0"/>
              <w:left w:val="single" w:color="auto" w:sz="4" w:space="0"/>
              <w:bottom w:val="single" w:color="auto" w:sz="4" w:space="0"/>
              <w:right w:val="single" w:color="auto" w:sz="4" w:space="0"/>
            </w:tcBorders>
          </w:tcPr>
          <w:p w14:paraId="4E33EFCB">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1200</w:t>
            </w:r>
          </w:p>
        </w:tc>
        <w:tc>
          <w:tcPr>
            <w:tcW w:w="1608" w:type="dxa"/>
            <w:tcBorders>
              <w:top w:val="single" w:color="auto" w:sz="4" w:space="0"/>
              <w:left w:val="single" w:color="auto" w:sz="4" w:space="0"/>
              <w:bottom w:val="single" w:color="auto" w:sz="4" w:space="0"/>
              <w:right w:val="single" w:color="auto" w:sz="4" w:space="0"/>
            </w:tcBorders>
          </w:tcPr>
          <w:p w14:paraId="4A9ECFB4">
            <w:pPr>
              <w:spacing w:line="360" w:lineRule="exact"/>
              <w:ind w:firstLine="0" w:firstLineChars="0"/>
              <w:jc w:val="both"/>
              <w:rPr>
                <w:rFonts w:ascii="Arial" w:hAnsi="Arial"/>
                <w:sz w:val="21"/>
                <w:szCs w:val="21"/>
                <w:highlight w:val="none"/>
              </w:rPr>
            </w:pPr>
          </w:p>
        </w:tc>
      </w:tr>
      <w:tr w14:paraId="780C1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34" w:type="dxa"/>
            <w:gridSpan w:val="2"/>
            <w:tcBorders>
              <w:top w:val="single" w:color="auto" w:sz="4" w:space="0"/>
              <w:left w:val="single" w:color="auto" w:sz="4" w:space="0"/>
              <w:bottom w:val="single" w:color="auto" w:sz="4" w:space="0"/>
              <w:right w:val="single" w:color="auto" w:sz="4" w:space="0"/>
            </w:tcBorders>
            <w:vAlign w:val="center"/>
          </w:tcPr>
          <w:p w14:paraId="26A4B320">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导热系数</w:t>
            </w:r>
          </w:p>
        </w:tc>
        <w:tc>
          <w:tcPr>
            <w:tcW w:w="690" w:type="dxa"/>
            <w:tcBorders>
              <w:top w:val="single" w:color="auto" w:sz="4" w:space="0"/>
              <w:left w:val="single" w:color="auto" w:sz="4" w:space="0"/>
              <w:bottom w:val="single" w:color="auto" w:sz="4" w:space="0"/>
              <w:right w:val="single" w:color="auto" w:sz="4" w:space="0"/>
            </w:tcBorders>
          </w:tcPr>
          <w:p w14:paraId="42B24B6D">
            <w:pPr>
              <w:spacing w:line="360" w:lineRule="exact"/>
              <w:ind w:firstLine="0" w:firstLineChars="0"/>
              <w:jc w:val="both"/>
              <w:rPr>
                <w:sz w:val="21"/>
                <w:szCs w:val="21"/>
                <w:highlight w:val="none"/>
              </w:rPr>
            </w:pPr>
            <w:r>
              <w:rPr>
                <w:sz w:val="21"/>
                <w:szCs w:val="21"/>
                <w:highlight w:val="none"/>
              </w:rPr>
              <w:t>W/m.K</w:t>
            </w:r>
          </w:p>
        </w:tc>
        <w:tc>
          <w:tcPr>
            <w:tcW w:w="1530" w:type="dxa"/>
            <w:tcBorders>
              <w:top w:val="single" w:color="auto" w:sz="4" w:space="0"/>
              <w:left w:val="single" w:color="auto" w:sz="4" w:space="0"/>
              <w:bottom w:val="single" w:color="auto" w:sz="4" w:space="0"/>
              <w:right w:val="single" w:color="auto" w:sz="4" w:space="0"/>
            </w:tcBorders>
          </w:tcPr>
          <w:p w14:paraId="114809E2">
            <w:pPr>
              <w:spacing w:line="360" w:lineRule="exact"/>
              <w:ind w:firstLine="0" w:firstLineChars="0"/>
              <w:jc w:val="both"/>
              <w:rPr>
                <w:rFonts w:ascii="Arial" w:hAnsi="Arial"/>
                <w:sz w:val="21"/>
                <w:szCs w:val="21"/>
                <w:highlight w:val="none"/>
              </w:rPr>
            </w:pPr>
          </w:p>
        </w:tc>
        <w:tc>
          <w:tcPr>
            <w:tcW w:w="1530" w:type="dxa"/>
            <w:tcBorders>
              <w:top w:val="single" w:color="auto" w:sz="4" w:space="0"/>
              <w:left w:val="single" w:color="auto" w:sz="4" w:space="0"/>
              <w:bottom w:val="single" w:color="auto" w:sz="4" w:space="0"/>
              <w:right w:val="single" w:color="auto" w:sz="4" w:space="0"/>
            </w:tcBorders>
          </w:tcPr>
          <w:p w14:paraId="04FA2CA6">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3</w:t>
            </w:r>
            <w:r>
              <w:rPr>
                <w:rFonts w:ascii="Arial" w:hAnsi="Arial"/>
                <w:sz w:val="21"/>
                <w:szCs w:val="21"/>
                <w:highlight w:val="none"/>
              </w:rPr>
              <w:t>50</w:t>
            </w:r>
            <w:r>
              <w:rPr>
                <w:rFonts w:hint="eastAsia" w:ascii="微软雅黑" w:hAnsi="微软雅黑" w:eastAsia="微软雅黑" w:cs="微软雅黑"/>
                <w:sz w:val="21"/>
                <w:szCs w:val="21"/>
                <w:highlight w:val="none"/>
              </w:rPr>
              <w:t>℃</w:t>
            </w:r>
            <w:r>
              <w:rPr>
                <w:rFonts w:ascii="Arial" w:hAnsi="Arial"/>
                <w:sz w:val="21"/>
                <w:szCs w:val="21"/>
                <w:highlight w:val="none"/>
              </w:rPr>
              <w:t>，</w:t>
            </w:r>
            <w:r>
              <w:rPr>
                <w:rFonts w:hint="eastAsia" w:ascii="Arial" w:hAnsi="Arial"/>
                <w:sz w:val="21"/>
                <w:szCs w:val="21"/>
                <w:highlight w:val="none"/>
              </w:rPr>
              <w:t>≤0</w:t>
            </w:r>
            <w:r>
              <w:rPr>
                <w:rFonts w:ascii="Arial" w:hAnsi="Arial"/>
                <w:sz w:val="21"/>
                <w:szCs w:val="21"/>
                <w:highlight w:val="none"/>
              </w:rPr>
              <w:t>.49</w:t>
            </w:r>
          </w:p>
        </w:tc>
        <w:tc>
          <w:tcPr>
            <w:tcW w:w="1530" w:type="dxa"/>
            <w:tcBorders>
              <w:top w:val="single" w:color="auto" w:sz="4" w:space="0"/>
              <w:left w:val="single" w:color="auto" w:sz="4" w:space="0"/>
              <w:bottom w:val="single" w:color="auto" w:sz="4" w:space="0"/>
              <w:right w:val="single" w:color="auto" w:sz="4" w:space="0"/>
            </w:tcBorders>
          </w:tcPr>
          <w:p w14:paraId="7B164788">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3</w:t>
            </w:r>
            <w:r>
              <w:rPr>
                <w:rFonts w:ascii="Arial" w:hAnsi="Arial"/>
                <w:sz w:val="21"/>
                <w:szCs w:val="21"/>
                <w:highlight w:val="none"/>
              </w:rPr>
              <w:t>50</w:t>
            </w:r>
            <w:r>
              <w:rPr>
                <w:rFonts w:hint="eastAsia" w:ascii="微软雅黑" w:hAnsi="微软雅黑" w:eastAsia="微软雅黑" w:cs="微软雅黑"/>
                <w:sz w:val="21"/>
                <w:szCs w:val="21"/>
                <w:highlight w:val="none"/>
              </w:rPr>
              <w:t>℃</w:t>
            </w:r>
            <w:r>
              <w:rPr>
                <w:rFonts w:ascii="Arial" w:hAnsi="Arial"/>
                <w:sz w:val="21"/>
                <w:szCs w:val="21"/>
                <w:highlight w:val="none"/>
              </w:rPr>
              <w:t>，</w:t>
            </w:r>
            <w:r>
              <w:rPr>
                <w:rFonts w:hint="eastAsia" w:ascii="Arial" w:hAnsi="Arial"/>
                <w:sz w:val="21"/>
                <w:szCs w:val="21"/>
                <w:highlight w:val="none"/>
              </w:rPr>
              <w:t>≤0</w:t>
            </w:r>
            <w:r>
              <w:rPr>
                <w:rFonts w:ascii="Arial" w:hAnsi="Arial"/>
                <w:sz w:val="21"/>
                <w:szCs w:val="21"/>
                <w:highlight w:val="none"/>
              </w:rPr>
              <w:t>.3</w:t>
            </w:r>
          </w:p>
        </w:tc>
        <w:tc>
          <w:tcPr>
            <w:tcW w:w="1608" w:type="dxa"/>
            <w:tcBorders>
              <w:top w:val="single" w:color="auto" w:sz="4" w:space="0"/>
              <w:left w:val="single" w:color="auto" w:sz="4" w:space="0"/>
              <w:bottom w:val="single" w:color="auto" w:sz="4" w:space="0"/>
              <w:right w:val="single" w:color="auto" w:sz="4" w:space="0"/>
            </w:tcBorders>
          </w:tcPr>
          <w:p w14:paraId="28D862C7">
            <w:pPr>
              <w:spacing w:line="360" w:lineRule="exact"/>
              <w:ind w:firstLine="0" w:firstLineChars="0"/>
              <w:jc w:val="both"/>
              <w:rPr>
                <w:rFonts w:ascii="Arial" w:hAnsi="Arial"/>
                <w:sz w:val="21"/>
                <w:szCs w:val="21"/>
                <w:highlight w:val="none"/>
              </w:rPr>
            </w:pPr>
            <w:r>
              <w:rPr>
                <w:rFonts w:ascii="Arial" w:hAnsi="Arial"/>
                <w:sz w:val="21"/>
                <w:szCs w:val="21"/>
                <w:highlight w:val="none"/>
              </w:rPr>
              <w:t>1000</w:t>
            </w:r>
            <w:r>
              <w:rPr>
                <w:rFonts w:hint="eastAsia" w:ascii="微软雅黑" w:hAnsi="微软雅黑" w:eastAsia="微软雅黑" w:cs="微软雅黑"/>
                <w:sz w:val="21"/>
                <w:szCs w:val="21"/>
                <w:highlight w:val="none"/>
              </w:rPr>
              <w:t>℃</w:t>
            </w:r>
            <w:r>
              <w:rPr>
                <w:rFonts w:ascii="Arial" w:hAnsi="Arial"/>
                <w:sz w:val="21"/>
                <w:szCs w:val="21"/>
                <w:highlight w:val="none"/>
              </w:rPr>
              <w:t>，</w:t>
            </w:r>
            <w:r>
              <w:rPr>
                <w:rFonts w:hint="eastAsia" w:ascii="Arial" w:hAnsi="Arial"/>
                <w:sz w:val="21"/>
                <w:szCs w:val="21"/>
                <w:highlight w:val="none"/>
              </w:rPr>
              <w:t>≤</w:t>
            </w:r>
            <w:r>
              <w:rPr>
                <w:rFonts w:ascii="Arial" w:hAnsi="Arial"/>
                <w:sz w:val="21"/>
                <w:szCs w:val="21"/>
                <w:highlight w:val="none"/>
              </w:rPr>
              <w:t>1.2</w:t>
            </w:r>
          </w:p>
        </w:tc>
      </w:tr>
      <w:tr w14:paraId="56D2C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34" w:type="dxa"/>
            <w:gridSpan w:val="2"/>
            <w:tcBorders>
              <w:top w:val="single" w:color="auto" w:sz="4" w:space="0"/>
              <w:left w:val="single" w:color="auto" w:sz="4" w:space="0"/>
              <w:bottom w:val="single" w:color="auto" w:sz="4" w:space="0"/>
              <w:right w:val="single" w:color="auto" w:sz="4" w:space="0"/>
            </w:tcBorders>
          </w:tcPr>
          <w:p w14:paraId="1711DD1A">
            <w:pPr>
              <w:spacing w:line="360" w:lineRule="exact"/>
              <w:ind w:firstLine="0" w:firstLineChars="0"/>
              <w:jc w:val="both"/>
              <w:rPr>
                <w:rFonts w:ascii="Arial" w:hAnsi="Arial"/>
                <w:sz w:val="21"/>
                <w:szCs w:val="21"/>
                <w:highlight w:val="none"/>
              </w:rPr>
            </w:pPr>
            <w:r>
              <w:rPr>
                <w:rFonts w:hint="eastAsia"/>
                <w:sz w:val="21"/>
                <w:szCs w:val="21"/>
                <w:highlight w:val="none"/>
              </w:rPr>
              <w:t>粘结时间</w:t>
            </w:r>
          </w:p>
        </w:tc>
        <w:tc>
          <w:tcPr>
            <w:tcW w:w="690" w:type="dxa"/>
            <w:tcBorders>
              <w:top w:val="single" w:color="auto" w:sz="4" w:space="0"/>
              <w:left w:val="single" w:color="auto" w:sz="4" w:space="0"/>
              <w:bottom w:val="single" w:color="auto" w:sz="4" w:space="0"/>
              <w:right w:val="single" w:color="auto" w:sz="4" w:space="0"/>
            </w:tcBorders>
          </w:tcPr>
          <w:p w14:paraId="57E6AA3B">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min</w:t>
            </w:r>
          </w:p>
        </w:tc>
        <w:tc>
          <w:tcPr>
            <w:tcW w:w="1530" w:type="dxa"/>
            <w:tcBorders>
              <w:top w:val="single" w:color="auto" w:sz="4" w:space="0"/>
              <w:left w:val="single" w:color="auto" w:sz="4" w:space="0"/>
              <w:bottom w:val="single" w:color="auto" w:sz="4" w:space="0"/>
              <w:right w:val="single" w:color="auto" w:sz="4" w:space="0"/>
            </w:tcBorders>
          </w:tcPr>
          <w:p w14:paraId="2BF90249">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1</w:t>
            </w:r>
            <w:r>
              <w:rPr>
                <w:rFonts w:hint="eastAsia"/>
                <w:sz w:val="21"/>
                <w:szCs w:val="21"/>
                <w:highlight w:val="none"/>
              </w:rPr>
              <w:t>～</w:t>
            </w:r>
            <w:r>
              <w:rPr>
                <w:rFonts w:hint="eastAsia" w:ascii="Arial" w:hAnsi="Arial"/>
                <w:sz w:val="21"/>
                <w:szCs w:val="21"/>
                <w:highlight w:val="none"/>
              </w:rPr>
              <w:t>3</w:t>
            </w:r>
          </w:p>
        </w:tc>
        <w:tc>
          <w:tcPr>
            <w:tcW w:w="1530" w:type="dxa"/>
            <w:tcBorders>
              <w:top w:val="single" w:color="auto" w:sz="4" w:space="0"/>
              <w:left w:val="single" w:color="auto" w:sz="4" w:space="0"/>
              <w:bottom w:val="single" w:color="auto" w:sz="4" w:space="0"/>
              <w:right w:val="single" w:color="auto" w:sz="4" w:space="0"/>
            </w:tcBorders>
          </w:tcPr>
          <w:p w14:paraId="51DB0218">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1</w:t>
            </w:r>
            <w:r>
              <w:rPr>
                <w:rFonts w:hint="eastAsia"/>
                <w:sz w:val="21"/>
                <w:szCs w:val="21"/>
                <w:highlight w:val="none"/>
              </w:rPr>
              <w:t>～</w:t>
            </w:r>
            <w:r>
              <w:rPr>
                <w:rFonts w:ascii="Arial" w:hAnsi="Arial"/>
                <w:sz w:val="21"/>
                <w:szCs w:val="21"/>
                <w:highlight w:val="none"/>
              </w:rPr>
              <w:t>2</w:t>
            </w:r>
          </w:p>
        </w:tc>
        <w:tc>
          <w:tcPr>
            <w:tcW w:w="1530" w:type="dxa"/>
            <w:tcBorders>
              <w:top w:val="single" w:color="auto" w:sz="4" w:space="0"/>
              <w:left w:val="single" w:color="auto" w:sz="4" w:space="0"/>
              <w:bottom w:val="single" w:color="auto" w:sz="4" w:space="0"/>
              <w:right w:val="single" w:color="auto" w:sz="4" w:space="0"/>
            </w:tcBorders>
          </w:tcPr>
          <w:p w14:paraId="4BFA1751">
            <w:pPr>
              <w:spacing w:line="360" w:lineRule="exact"/>
              <w:ind w:firstLine="0" w:firstLineChars="0"/>
              <w:jc w:val="both"/>
              <w:rPr>
                <w:rFonts w:ascii="Arial" w:hAnsi="Arial"/>
                <w:sz w:val="21"/>
                <w:szCs w:val="21"/>
                <w:highlight w:val="none"/>
              </w:rPr>
            </w:pPr>
          </w:p>
        </w:tc>
        <w:tc>
          <w:tcPr>
            <w:tcW w:w="1608" w:type="dxa"/>
            <w:tcBorders>
              <w:top w:val="single" w:color="auto" w:sz="4" w:space="0"/>
              <w:left w:val="single" w:color="auto" w:sz="4" w:space="0"/>
              <w:bottom w:val="single" w:color="auto" w:sz="4" w:space="0"/>
              <w:right w:val="single" w:color="auto" w:sz="4" w:space="0"/>
            </w:tcBorders>
          </w:tcPr>
          <w:p w14:paraId="11F29C00">
            <w:pPr>
              <w:spacing w:line="360" w:lineRule="exact"/>
              <w:ind w:firstLine="0" w:firstLineChars="0"/>
              <w:jc w:val="both"/>
              <w:rPr>
                <w:rFonts w:ascii="Arial" w:hAnsi="Arial"/>
                <w:sz w:val="21"/>
                <w:szCs w:val="21"/>
                <w:highlight w:val="none"/>
              </w:rPr>
            </w:pPr>
          </w:p>
        </w:tc>
      </w:tr>
      <w:tr w14:paraId="14584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05" w:type="dxa"/>
            <w:vMerge w:val="restart"/>
            <w:tcBorders>
              <w:top w:val="nil"/>
              <w:left w:val="single" w:color="auto" w:sz="4" w:space="0"/>
              <w:bottom w:val="single" w:color="auto" w:sz="4" w:space="0"/>
              <w:right w:val="single" w:color="auto" w:sz="4" w:space="0"/>
            </w:tcBorders>
          </w:tcPr>
          <w:p w14:paraId="12BCED6D">
            <w:pPr>
              <w:spacing w:line="360" w:lineRule="exact"/>
              <w:ind w:firstLine="0" w:firstLineChars="0"/>
              <w:jc w:val="both"/>
              <w:rPr>
                <w:rFonts w:ascii="Arial" w:hAnsi="Arial"/>
                <w:sz w:val="21"/>
                <w:szCs w:val="21"/>
                <w:highlight w:val="none"/>
              </w:rPr>
            </w:pPr>
            <w:r>
              <w:rPr>
                <w:rFonts w:hint="eastAsia"/>
                <w:sz w:val="21"/>
                <w:szCs w:val="21"/>
                <w:highlight w:val="none"/>
              </w:rPr>
              <w:t>线变化率</w:t>
            </w:r>
          </w:p>
        </w:tc>
        <w:tc>
          <w:tcPr>
            <w:tcW w:w="1229" w:type="dxa"/>
            <w:tcBorders>
              <w:top w:val="single" w:color="auto" w:sz="4" w:space="0"/>
              <w:left w:val="single" w:color="auto" w:sz="4" w:space="0"/>
              <w:bottom w:val="single" w:color="auto" w:sz="4" w:space="0"/>
              <w:right w:val="single" w:color="auto" w:sz="4" w:space="0"/>
            </w:tcBorders>
          </w:tcPr>
          <w:p w14:paraId="139C907E">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1200</w:t>
            </w:r>
            <w:r>
              <w:rPr>
                <w:rFonts w:hint="eastAsia"/>
                <w:sz w:val="21"/>
                <w:szCs w:val="21"/>
                <w:highlight w:val="none"/>
              </w:rPr>
              <w:t>℃×</w:t>
            </w:r>
            <w:r>
              <w:rPr>
                <w:rFonts w:hint="eastAsia" w:ascii="Arial" w:hAnsi="Arial"/>
                <w:sz w:val="21"/>
                <w:szCs w:val="21"/>
                <w:highlight w:val="none"/>
              </w:rPr>
              <w:t>3h</w:t>
            </w:r>
            <w:r>
              <w:rPr>
                <w:rFonts w:hint="eastAsia"/>
                <w:sz w:val="21"/>
                <w:szCs w:val="21"/>
                <w:highlight w:val="none"/>
              </w:rPr>
              <w:t>烧后</w:t>
            </w:r>
          </w:p>
        </w:tc>
        <w:tc>
          <w:tcPr>
            <w:tcW w:w="690" w:type="dxa"/>
            <w:tcBorders>
              <w:top w:val="single" w:color="auto" w:sz="4" w:space="0"/>
              <w:left w:val="single" w:color="auto" w:sz="4" w:space="0"/>
              <w:bottom w:val="single" w:color="auto" w:sz="4" w:space="0"/>
              <w:right w:val="single" w:color="auto" w:sz="4" w:space="0"/>
            </w:tcBorders>
          </w:tcPr>
          <w:p w14:paraId="505EA581">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w:t>
            </w:r>
          </w:p>
        </w:tc>
        <w:tc>
          <w:tcPr>
            <w:tcW w:w="1530" w:type="dxa"/>
            <w:tcBorders>
              <w:top w:val="single" w:color="auto" w:sz="4" w:space="0"/>
              <w:left w:val="single" w:color="auto" w:sz="4" w:space="0"/>
              <w:bottom w:val="single" w:color="auto" w:sz="4" w:space="0"/>
              <w:right w:val="single" w:color="auto" w:sz="4" w:space="0"/>
            </w:tcBorders>
          </w:tcPr>
          <w:p w14:paraId="1998CDDE">
            <w:pPr>
              <w:spacing w:line="360" w:lineRule="exact"/>
              <w:ind w:firstLine="0" w:firstLineChars="0"/>
              <w:jc w:val="both"/>
              <w:rPr>
                <w:sz w:val="21"/>
                <w:szCs w:val="21"/>
                <w:highlight w:val="none"/>
              </w:rPr>
            </w:pPr>
          </w:p>
        </w:tc>
        <w:tc>
          <w:tcPr>
            <w:tcW w:w="1530" w:type="dxa"/>
            <w:tcBorders>
              <w:top w:val="single" w:color="auto" w:sz="4" w:space="0"/>
              <w:left w:val="single" w:color="auto" w:sz="4" w:space="0"/>
              <w:bottom w:val="single" w:color="auto" w:sz="4" w:space="0"/>
              <w:right w:val="single" w:color="auto" w:sz="4" w:space="0"/>
            </w:tcBorders>
          </w:tcPr>
          <w:p w14:paraId="0AA5B0FB">
            <w:pPr>
              <w:spacing w:line="360" w:lineRule="exact"/>
              <w:ind w:firstLine="0" w:firstLineChars="0"/>
              <w:jc w:val="both"/>
              <w:rPr>
                <w:rFonts w:ascii="Arial" w:hAnsi="Arial"/>
                <w:sz w:val="21"/>
                <w:szCs w:val="21"/>
                <w:highlight w:val="none"/>
              </w:rPr>
            </w:pPr>
          </w:p>
        </w:tc>
        <w:tc>
          <w:tcPr>
            <w:tcW w:w="1530" w:type="dxa"/>
            <w:tcBorders>
              <w:top w:val="single" w:color="auto" w:sz="4" w:space="0"/>
              <w:left w:val="single" w:color="auto" w:sz="4" w:space="0"/>
              <w:bottom w:val="single" w:color="auto" w:sz="4" w:space="0"/>
              <w:right w:val="single" w:color="auto" w:sz="4" w:space="0"/>
            </w:tcBorders>
          </w:tcPr>
          <w:p w14:paraId="415E248F">
            <w:pPr>
              <w:spacing w:line="360" w:lineRule="exact"/>
              <w:ind w:firstLine="0" w:firstLineChars="0"/>
              <w:jc w:val="both"/>
              <w:rPr>
                <w:rFonts w:ascii="Arial" w:hAnsi="Arial"/>
                <w:sz w:val="21"/>
                <w:szCs w:val="21"/>
                <w:highlight w:val="none"/>
              </w:rPr>
            </w:pPr>
          </w:p>
        </w:tc>
        <w:tc>
          <w:tcPr>
            <w:tcW w:w="1608" w:type="dxa"/>
            <w:tcBorders>
              <w:top w:val="single" w:color="auto" w:sz="4" w:space="0"/>
              <w:left w:val="single" w:color="auto" w:sz="4" w:space="0"/>
              <w:bottom w:val="single" w:color="auto" w:sz="4" w:space="0"/>
              <w:right w:val="single" w:color="auto" w:sz="4" w:space="0"/>
            </w:tcBorders>
          </w:tcPr>
          <w:p w14:paraId="6B4947EA">
            <w:pPr>
              <w:spacing w:line="360" w:lineRule="exact"/>
              <w:ind w:firstLine="0" w:firstLineChars="0"/>
              <w:jc w:val="both"/>
              <w:rPr>
                <w:sz w:val="21"/>
                <w:szCs w:val="21"/>
                <w:highlight w:val="none"/>
              </w:rPr>
            </w:pPr>
          </w:p>
        </w:tc>
      </w:tr>
      <w:tr w14:paraId="29074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05" w:type="dxa"/>
            <w:vMerge w:val="continue"/>
            <w:tcBorders>
              <w:top w:val="nil"/>
              <w:left w:val="single" w:color="auto" w:sz="4" w:space="0"/>
              <w:bottom w:val="single" w:color="auto" w:sz="4" w:space="0"/>
              <w:right w:val="single" w:color="auto" w:sz="4" w:space="0"/>
            </w:tcBorders>
            <w:vAlign w:val="center"/>
          </w:tcPr>
          <w:p w14:paraId="6D6284D1">
            <w:pPr>
              <w:widowControl/>
              <w:spacing w:line="240" w:lineRule="auto"/>
              <w:ind w:firstLine="0" w:firstLineChars="0"/>
              <w:rPr>
                <w:rFonts w:ascii="Arial" w:hAnsi="Arial"/>
                <w:sz w:val="21"/>
                <w:szCs w:val="21"/>
                <w:highlight w:val="none"/>
              </w:rPr>
            </w:pPr>
          </w:p>
        </w:tc>
        <w:tc>
          <w:tcPr>
            <w:tcW w:w="1229" w:type="dxa"/>
            <w:tcBorders>
              <w:top w:val="single" w:color="auto" w:sz="4" w:space="0"/>
              <w:left w:val="single" w:color="auto" w:sz="4" w:space="0"/>
              <w:bottom w:val="single" w:color="auto" w:sz="4" w:space="0"/>
              <w:right w:val="single" w:color="auto" w:sz="4" w:space="0"/>
            </w:tcBorders>
          </w:tcPr>
          <w:p w14:paraId="7E2A676C">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1300</w:t>
            </w:r>
            <w:r>
              <w:rPr>
                <w:rFonts w:hint="eastAsia"/>
                <w:sz w:val="21"/>
                <w:szCs w:val="21"/>
                <w:highlight w:val="none"/>
              </w:rPr>
              <w:t>℃×</w:t>
            </w:r>
            <w:r>
              <w:rPr>
                <w:rFonts w:hint="eastAsia" w:ascii="Arial" w:hAnsi="Arial"/>
                <w:sz w:val="21"/>
                <w:szCs w:val="21"/>
                <w:highlight w:val="none"/>
              </w:rPr>
              <w:t>3h</w:t>
            </w:r>
            <w:r>
              <w:rPr>
                <w:rFonts w:hint="eastAsia"/>
                <w:sz w:val="21"/>
                <w:szCs w:val="21"/>
                <w:highlight w:val="none"/>
              </w:rPr>
              <w:t>烧后</w:t>
            </w:r>
          </w:p>
        </w:tc>
        <w:tc>
          <w:tcPr>
            <w:tcW w:w="690" w:type="dxa"/>
            <w:tcBorders>
              <w:top w:val="single" w:color="auto" w:sz="4" w:space="0"/>
              <w:left w:val="single" w:color="auto" w:sz="4" w:space="0"/>
              <w:bottom w:val="single" w:color="auto" w:sz="4" w:space="0"/>
              <w:right w:val="single" w:color="auto" w:sz="4" w:space="0"/>
            </w:tcBorders>
          </w:tcPr>
          <w:p w14:paraId="0738954F">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w:t>
            </w:r>
          </w:p>
        </w:tc>
        <w:tc>
          <w:tcPr>
            <w:tcW w:w="1530" w:type="dxa"/>
            <w:tcBorders>
              <w:top w:val="single" w:color="auto" w:sz="4" w:space="0"/>
              <w:left w:val="single" w:color="auto" w:sz="4" w:space="0"/>
              <w:bottom w:val="single" w:color="auto" w:sz="4" w:space="0"/>
              <w:right w:val="single" w:color="auto" w:sz="4" w:space="0"/>
            </w:tcBorders>
          </w:tcPr>
          <w:p w14:paraId="3065E373">
            <w:pPr>
              <w:spacing w:line="360" w:lineRule="exact"/>
              <w:ind w:firstLine="0" w:firstLineChars="0"/>
              <w:jc w:val="both"/>
              <w:rPr>
                <w:rFonts w:ascii="Arial" w:hAnsi="Arial"/>
                <w:sz w:val="21"/>
                <w:szCs w:val="21"/>
                <w:highlight w:val="none"/>
              </w:rPr>
            </w:pPr>
          </w:p>
        </w:tc>
        <w:tc>
          <w:tcPr>
            <w:tcW w:w="1530" w:type="dxa"/>
            <w:tcBorders>
              <w:top w:val="single" w:color="auto" w:sz="4" w:space="0"/>
              <w:left w:val="single" w:color="auto" w:sz="4" w:space="0"/>
              <w:bottom w:val="single" w:color="auto" w:sz="4" w:space="0"/>
              <w:right w:val="single" w:color="auto" w:sz="4" w:space="0"/>
            </w:tcBorders>
          </w:tcPr>
          <w:p w14:paraId="69FA643D">
            <w:pPr>
              <w:spacing w:line="360" w:lineRule="exact"/>
              <w:ind w:firstLine="0" w:firstLineChars="0"/>
              <w:jc w:val="both"/>
              <w:rPr>
                <w:rFonts w:ascii="Arial" w:hAnsi="Arial"/>
                <w:sz w:val="21"/>
                <w:szCs w:val="21"/>
                <w:highlight w:val="none"/>
              </w:rPr>
            </w:pPr>
          </w:p>
        </w:tc>
        <w:tc>
          <w:tcPr>
            <w:tcW w:w="1530" w:type="dxa"/>
            <w:tcBorders>
              <w:top w:val="single" w:color="auto" w:sz="4" w:space="0"/>
              <w:left w:val="single" w:color="auto" w:sz="4" w:space="0"/>
              <w:bottom w:val="single" w:color="auto" w:sz="4" w:space="0"/>
              <w:right w:val="single" w:color="auto" w:sz="4" w:space="0"/>
            </w:tcBorders>
          </w:tcPr>
          <w:p w14:paraId="78067D5B">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-1~+</w:t>
            </w:r>
            <w:r>
              <w:rPr>
                <w:rFonts w:ascii="Arial" w:hAnsi="Arial"/>
                <w:sz w:val="21"/>
                <w:szCs w:val="21"/>
                <w:highlight w:val="none"/>
              </w:rPr>
              <w:t>1</w:t>
            </w:r>
          </w:p>
          <w:p w14:paraId="3E29D0DE">
            <w:pPr>
              <w:spacing w:line="360" w:lineRule="exact"/>
              <w:ind w:firstLine="0" w:firstLineChars="0"/>
              <w:jc w:val="both"/>
              <w:rPr>
                <w:rFonts w:ascii="Arial" w:hAnsi="Arial"/>
                <w:sz w:val="21"/>
                <w:szCs w:val="21"/>
                <w:highlight w:val="none"/>
              </w:rPr>
            </w:pPr>
            <w:r>
              <w:rPr>
                <w:rFonts w:ascii="Arial" w:hAnsi="Arial"/>
                <w:sz w:val="21"/>
                <w:szCs w:val="21"/>
                <w:highlight w:val="none"/>
              </w:rPr>
              <w:t>（</w:t>
            </w:r>
            <w:r>
              <w:rPr>
                <w:rFonts w:hint="eastAsia" w:ascii="Arial" w:hAnsi="Arial"/>
                <w:sz w:val="21"/>
                <w:szCs w:val="21"/>
                <w:highlight w:val="none"/>
              </w:rPr>
              <w:t>1</w:t>
            </w:r>
            <w:r>
              <w:rPr>
                <w:rFonts w:ascii="Arial" w:hAnsi="Arial"/>
                <w:sz w:val="21"/>
                <w:szCs w:val="21"/>
                <w:highlight w:val="none"/>
              </w:rPr>
              <w:t>300</w:t>
            </w:r>
            <w:r>
              <w:rPr>
                <w:rFonts w:hint="eastAsia" w:ascii="微软雅黑" w:hAnsi="微软雅黑" w:eastAsia="微软雅黑" w:cs="微软雅黑"/>
                <w:sz w:val="21"/>
                <w:szCs w:val="21"/>
                <w:highlight w:val="none"/>
              </w:rPr>
              <w:t>℃</w:t>
            </w:r>
            <w:r>
              <w:rPr>
                <w:rFonts w:ascii="Arial" w:hAnsi="Arial"/>
                <w:sz w:val="21"/>
                <w:szCs w:val="21"/>
                <w:highlight w:val="none"/>
              </w:rPr>
              <w:t>×3h）</w:t>
            </w:r>
          </w:p>
        </w:tc>
        <w:tc>
          <w:tcPr>
            <w:tcW w:w="1608" w:type="dxa"/>
            <w:tcBorders>
              <w:top w:val="single" w:color="auto" w:sz="4" w:space="0"/>
              <w:left w:val="single" w:color="auto" w:sz="4" w:space="0"/>
              <w:bottom w:val="single" w:color="auto" w:sz="4" w:space="0"/>
              <w:right w:val="single" w:color="auto" w:sz="4" w:space="0"/>
            </w:tcBorders>
          </w:tcPr>
          <w:p w14:paraId="3323A1E1">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w:t>
            </w:r>
            <w:r>
              <w:rPr>
                <w:rFonts w:ascii="Arial" w:hAnsi="Arial"/>
                <w:sz w:val="21"/>
                <w:szCs w:val="21"/>
                <w:highlight w:val="none"/>
              </w:rPr>
              <w:t>0.</w:t>
            </w:r>
            <w:r>
              <w:rPr>
                <w:rFonts w:hint="eastAsia" w:ascii="Arial" w:hAnsi="Arial"/>
                <w:sz w:val="21"/>
                <w:szCs w:val="21"/>
                <w:highlight w:val="none"/>
              </w:rPr>
              <w:t>1~+</w:t>
            </w:r>
            <w:r>
              <w:rPr>
                <w:rFonts w:ascii="Arial" w:hAnsi="Arial"/>
                <w:sz w:val="21"/>
                <w:szCs w:val="21"/>
                <w:highlight w:val="none"/>
              </w:rPr>
              <w:t>0.1</w:t>
            </w:r>
          </w:p>
          <w:p w14:paraId="5659D8CA">
            <w:pPr>
              <w:spacing w:line="360" w:lineRule="exact"/>
              <w:ind w:firstLine="0" w:firstLineChars="0"/>
              <w:jc w:val="both"/>
              <w:rPr>
                <w:rFonts w:ascii="Arial" w:hAnsi="Arial"/>
                <w:sz w:val="21"/>
                <w:szCs w:val="21"/>
                <w:highlight w:val="none"/>
              </w:rPr>
            </w:pPr>
            <w:r>
              <w:rPr>
                <w:rFonts w:ascii="Arial" w:hAnsi="Arial"/>
                <w:sz w:val="21"/>
                <w:szCs w:val="21"/>
                <w:highlight w:val="none"/>
              </w:rPr>
              <w:t>（1450</w:t>
            </w:r>
            <w:r>
              <w:rPr>
                <w:rFonts w:hint="eastAsia" w:ascii="微软雅黑" w:hAnsi="微软雅黑" w:eastAsia="微软雅黑" w:cs="微软雅黑"/>
                <w:sz w:val="21"/>
                <w:szCs w:val="21"/>
                <w:highlight w:val="none"/>
              </w:rPr>
              <w:t>℃</w:t>
            </w:r>
            <w:r>
              <w:rPr>
                <w:rFonts w:ascii="Arial" w:hAnsi="Arial"/>
                <w:sz w:val="21"/>
                <w:szCs w:val="21"/>
                <w:highlight w:val="none"/>
              </w:rPr>
              <w:t>×3h）</w:t>
            </w:r>
          </w:p>
        </w:tc>
      </w:tr>
      <w:tr w14:paraId="3B80D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05" w:type="dxa"/>
            <w:vMerge w:val="restart"/>
            <w:tcBorders>
              <w:top w:val="single" w:color="auto" w:sz="4" w:space="0"/>
              <w:left w:val="single" w:color="auto" w:sz="4" w:space="0"/>
              <w:bottom w:val="single" w:color="auto" w:sz="4" w:space="0"/>
              <w:right w:val="single" w:color="auto" w:sz="4" w:space="0"/>
            </w:tcBorders>
            <w:vAlign w:val="center"/>
          </w:tcPr>
          <w:p w14:paraId="74B18E5A">
            <w:pPr>
              <w:spacing w:line="360" w:lineRule="exact"/>
              <w:ind w:firstLine="0" w:firstLineChars="0"/>
              <w:jc w:val="both"/>
              <w:rPr>
                <w:rFonts w:ascii="Arial" w:hAnsi="Arial"/>
                <w:sz w:val="21"/>
                <w:szCs w:val="21"/>
                <w:highlight w:val="none"/>
              </w:rPr>
            </w:pPr>
            <w:r>
              <w:rPr>
                <w:rFonts w:hint="eastAsia"/>
                <w:sz w:val="21"/>
                <w:szCs w:val="21"/>
                <w:highlight w:val="none"/>
              </w:rPr>
              <w:t>粒度</w:t>
            </w:r>
          </w:p>
        </w:tc>
        <w:tc>
          <w:tcPr>
            <w:tcW w:w="1229" w:type="dxa"/>
            <w:tcBorders>
              <w:top w:val="single" w:color="auto" w:sz="4" w:space="0"/>
              <w:left w:val="single" w:color="auto" w:sz="4" w:space="0"/>
              <w:bottom w:val="single" w:color="auto" w:sz="4" w:space="0"/>
              <w:right w:val="single" w:color="auto" w:sz="4" w:space="0"/>
            </w:tcBorders>
          </w:tcPr>
          <w:p w14:paraId="10D530D8">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-1.0mm</w:t>
            </w:r>
          </w:p>
        </w:tc>
        <w:tc>
          <w:tcPr>
            <w:tcW w:w="690" w:type="dxa"/>
            <w:tcBorders>
              <w:top w:val="single" w:color="auto" w:sz="4" w:space="0"/>
              <w:left w:val="single" w:color="auto" w:sz="4" w:space="0"/>
              <w:bottom w:val="single" w:color="auto" w:sz="4" w:space="0"/>
              <w:right w:val="single" w:color="auto" w:sz="4" w:space="0"/>
            </w:tcBorders>
          </w:tcPr>
          <w:p w14:paraId="699D3089">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w:t>
            </w:r>
          </w:p>
        </w:tc>
        <w:tc>
          <w:tcPr>
            <w:tcW w:w="1530" w:type="dxa"/>
            <w:tcBorders>
              <w:top w:val="single" w:color="auto" w:sz="4" w:space="0"/>
              <w:left w:val="single" w:color="auto" w:sz="4" w:space="0"/>
              <w:bottom w:val="single" w:color="auto" w:sz="4" w:space="0"/>
              <w:right w:val="single" w:color="auto" w:sz="4" w:space="0"/>
            </w:tcBorders>
          </w:tcPr>
          <w:p w14:paraId="71D801A2">
            <w:pPr>
              <w:spacing w:line="360" w:lineRule="exact"/>
              <w:ind w:firstLine="0" w:firstLineChars="0"/>
              <w:jc w:val="both"/>
              <w:rPr>
                <w:rFonts w:ascii="Arial" w:hAnsi="Arial"/>
                <w:sz w:val="21"/>
                <w:szCs w:val="21"/>
                <w:highlight w:val="none"/>
              </w:rPr>
            </w:pPr>
          </w:p>
        </w:tc>
        <w:tc>
          <w:tcPr>
            <w:tcW w:w="1530" w:type="dxa"/>
            <w:tcBorders>
              <w:top w:val="single" w:color="auto" w:sz="4" w:space="0"/>
              <w:left w:val="single" w:color="auto" w:sz="4" w:space="0"/>
              <w:bottom w:val="single" w:color="auto" w:sz="4" w:space="0"/>
              <w:right w:val="single" w:color="auto" w:sz="4" w:space="0"/>
            </w:tcBorders>
          </w:tcPr>
          <w:p w14:paraId="6A179877">
            <w:pPr>
              <w:spacing w:line="360" w:lineRule="exact"/>
              <w:ind w:firstLine="0" w:firstLineChars="0"/>
              <w:jc w:val="both"/>
              <w:rPr>
                <w:rFonts w:ascii="Arial" w:hAnsi="Arial"/>
                <w:sz w:val="21"/>
                <w:szCs w:val="21"/>
                <w:highlight w:val="none"/>
              </w:rPr>
            </w:pPr>
          </w:p>
        </w:tc>
        <w:tc>
          <w:tcPr>
            <w:tcW w:w="1530" w:type="dxa"/>
            <w:tcBorders>
              <w:top w:val="single" w:color="auto" w:sz="4" w:space="0"/>
              <w:left w:val="single" w:color="auto" w:sz="4" w:space="0"/>
              <w:bottom w:val="single" w:color="auto" w:sz="4" w:space="0"/>
              <w:right w:val="single" w:color="auto" w:sz="4" w:space="0"/>
            </w:tcBorders>
          </w:tcPr>
          <w:p w14:paraId="04289475">
            <w:pPr>
              <w:spacing w:line="360" w:lineRule="exact"/>
              <w:ind w:firstLine="0" w:firstLineChars="0"/>
              <w:jc w:val="both"/>
              <w:rPr>
                <w:rFonts w:ascii="Arial" w:hAnsi="Arial"/>
                <w:sz w:val="21"/>
                <w:szCs w:val="21"/>
                <w:highlight w:val="none"/>
              </w:rPr>
            </w:pPr>
          </w:p>
        </w:tc>
        <w:tc>
          <w:tcPr>
            <w:tcW w:w="1608" w:type="dxa"/>
            <w:tcBorders>
              <w:top w:val="single" w:color="auto" w:sz="4" w:space="0"/>
              <w:left w:val="single" w:color="auto" w:sz="4" w:space="0"/>
              <w:bottom w:val="single" w:color="auto" w:sz="4" w:space="0"/>
              <w:right w:val="single" w:color="auto" w:sz="4" w:space="0"/>
            </w:tcBorders>
          </w:tcPr>
          <w:p w14:paraId="4B1EB325">
            <w:pPr>
              <w:spacing w:line="360" w:lineRule="exact"/>
              <w:ind w:firstLine="0" w:firstLineChars="0"/>
              <w:jc w:val="both"/>
              <w:rPr>
                <w:rFonts w:ascii="Arial" w:hAnsi="Arial"/>
                <w:sz w:val="21"/>
                <w:szCs w:val="21"/>
                <w:highlight w:val="none"/>
              </w:rPr>
            </w:pPr>
          </w:p>
        </w:tc>
      </w:tr>
      <w:tr w14:paraId="46386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05" w:type="dxa"/>
            <w:vMerge w:val="continue"/>
            <w:tcBorders>
              <w:top w:val="single" w:color="auto" w:sz="4" w:space="0"/>
              <w:left w:val="single" w:color="auto" w:sz="4" w:space="0"/>
              <w:bottom w:val="single" w:color="auto" w:sz="4" w:space="0"/>
              <w:right w:val="single" w:color="auto" w:sz="4" w:space="0"/>
            </w:tcBorders>
            <w:vAlign w:val="center"/>
          </w:tcPr>
          <w:p w14:paraId="5C0B1DB0">
            <w:pPr>
              <w:widowControl/>
              <w:spacing w:line="240" w:lineRule="auto"/>
              <w:ind w:firstLine="0" w:firstLineChars="0"/>
              <w:rPr>
                <w:rFonts w:ascii="Arial" w:hAnsi="Arial"/>
                <w:sz w:val="21"/>
                <w:szCs w:val="21"/>
                <w:highlight w:val="none"/>
              </w:rPr>
            </w:pPr>
          </w:p>
        </w:tc>
        <w:tc>
          <w:tcPr>
            <w:tcW w:w="1229" w:type="dxa"/>
            <w:tcBorders>
              <w:top w:val="single" w:color="auto" w:sz="4" w:space="0"/>
              <w:left w:val="single" w:color="auto" w:sz="4" w:space="0"/>
              <w:bottom w:val="single" w:color="auto" w:sz="4" w:space="0"/>
              <w:right w:val="single" w:color="auto" w:sz="4" w:space="0"/>
            </w:tcBorders>
          </w:tcPr>
          <w:p w14:paraId="1CCE8A03">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+0.5mm</w:t>
            </w:r>
          </w:p>
        </w:tc>
        <w:tc>
          <w:tcPr>
            <w:tcW w:w="690" w:type="dxa"/>
            <w:tcBorders>
              <w:top w:val="single" w:color="auto" w:sz="4" w:space="0"/>
              <w:left w:val="single" w:color="auto" w:sz="4" w:space="0"/>
              <w:bottom w:val="single" w:color="auto" w:sz="4" w:space="0"/>
              <w:right w:val="single" w:color="auto" w:sz="4" w:space="0"/>
            </w:tcBorders>
          </w:tcPr>
          <w:p w14:paraId="224D402E">
            <w:pPr>
              <w:spacing w:line="360" w:lineRule="exact"/>
              <w:ind w:firstLine="0" w:firstLineChars="0"/>
              <w:jc w:val="both"/>
              <w:rPr>
                <w:rFonts w:ascii="Arial" w:hAnsi="Arial"/>
                <w:sz w:val="21"/>
                <w:szCs w:val="21"/>
                <w:highlight w:val="none"/>
              </w:rPr>
            </w:pPr>
            <w:r>
              <w:rPr>
                <w:rFonts w:hint="eastAsia"/>
                <w:sz w:val="21"/>
                <w:szCs w:val="21"/>
                <w:highlight w:val="none"/>
              </w:rPr>
              <w:t>≤</w:t>
            </w:r>
            <w:r>
              <w:rPr>
                <w:rFonts w:hint="eastAsia" w:ascii="Arial" w:hAnsi="Arial"/>
                <w:sz w:val="21"/>
                <w:szCs w:val="21"/>
                <w:highlight w:val="none"/>
              </w:rPr>
              <w:t>%</w:t>
            </w:r>
          </w:p>
        </w:tc>
        <w:tc>
          <w:tcPr>
            <w:tcW w:w="1530" w:type="dxa"/>
            <w:tcBorders>
              <w:top w:val="single" w:color="auto" w:sz="4" w:space="0"/>
              <w:left w:val="single" w:color="auto" w:sz="4" w:space="0"/>
              <w:bottom w:val="single" w:color="auto" w:sz="4" w:space="0"/>
              <w:right w:val="single" w:color="auto" w:sz="4" w:space="0"/>
            </w:tcBorders>
          </w:tcPr>
          <w:p w14:paraId="01BD932F">
            <w:pPr>
              <w:spacing w:line="360" w:lineRule="exact"/>
              <w:ind w:firstLine="0" w:firstLineChars="0"/>
              <w:jc w:val="both"/>
              <w:rPr>
                <w:rFonts w:ascii="Arial" w:hAnsi="Arial"/>
                <w:sz w:val="21"/>
                <w:szCs w:val="21"/>
                <w:highlight w:val="none"/>
              </w:rPr>
            </w:pPr>
            <w:r>
              <w:rPr>
                <w:rFonts w:ascii="Arial" w:hAnsi="Arial"/>
                <w:sz w:val="21"/>
                <w:szCs w:val="21"/>
                <w:highlight w:val="none"/>
              </w:rPr>
              <w:t>1</w:t>
            </w:r>
          </w:p>
        </w:tc>
        <w:tc>
          <w:tcPr>
            <w:tcW w:w="1530" w:type="dxa"/>
            <w:tcBorders>
              <w:top w:val="single" w:color="auto" w:sz="4" w:space="0"/>
              <w:left w:val="single" w:color="auto" w:sz="4" w:space="0"/>
              <w:bottom w:val="single" w:color="auto" w:sz="4" w:space="0"/>
              <w:right w:val="single" w:color="auto" w:sz="4" w:space="0"/>
            </w:tcBorders>
          </w:tcPr>
          <w:p w14:paraId="2A90048A">
            <w:pPr>
              <w:spacing w:line="360" w:lineRule="exact"/>
              <w:ind w:firstLine="0" w:firstLineChars="0"/>
              <w:jc w:val="both"/>
              <w:rPr>
                <w:rFonts w:ascii="Arial" w:hAnsi="Arial"/>
                <w:sz w:val="21"/>
                <w:szCs w:val="21"/>
                <w:highlight w:val="none"/>
              </w:rPr>
            </w:pPr>
            <w:r>
              <w:rPr>
                <w:rFonts w:ascii="Arial" w:hAnsi="Arial"/>
                <w:sz w:val="21"/>
                <w:szCs w:val="21"/>
                <w:highlight w:val="none"/>
              </w:rPr>
              <w:t>1</w:t>
            </w:r>
          </w:p>
        </w:tc>
        <w:tc>
          <w:tcPr>
            <w:tcW w:w="1530" w:type="dxa"/>
            <w:tcBorders>
              <w:top w:val="single" w:color="auto" w:sz="4" w:space="0"/>
              <w:left w:val="single" w:color="auto" w:sz="4" w:space="0"/>
              <w:bottom w:val="single" w:color="auto" w:sz="4" w:space="0"/>
              <w:right w:val="single" w:color="auto" w:sz="4" w:space="0"/>
            </w:tcBorders>
          </w:tcPr>
          <w:p w14:paraId="472DC4B1">
            <w:pPr>
              <w:spacing w:line="360" w:lineRule="exact"/>
              <w:ind w:firstLine="0" w:firstLineChars="0"/>
              <w:jc w:val="both"/>
              <w:rPr>
                <w:rFonts w:ascii="Arial" w:hAnsi="Arial"/>
                <w:sz w:val="21"/>
                <w:szCs w:val="21"/>
                <w:highlight w:val="none"/>
              </w:rPr>
            </w:pPr>
          </w:p>
        </w:tc>
        <w:tc>
          <w:tcPr>
            <w:tcW w:w="1608" w:type="dxa"/>
            <w:tcBorders>
              <w:top w:val="single" w:color="auto" w:sz="4" w:space="0"/>
              <w:left w:val="single" w:color="auto" w:sz="4" w:space="0"/>
              <w:bottom w:val="single" w:color="auto" w:sz="4" w:space="0"/>
              <w:right w:val="single" w:color="auto" w:sz="4" w:space="0"/>
            </w:tcBorders>
          </w:tcPr>
          <w:p w14:paraId="0AB72F29">
            <w:pPr>
              <w:spacing w:line="360" w:lineRule="exact"/>
              <w:ind w:firstLine="0" w:firstLineChars="0"/>
              <w:jc w:val="both"/>
              <w:rPr>
                <w:rFonts w:ascii="Arial" w:hAnsi="Arial"/>
                <w:sz w:val="21"/>
                <w:szCs w:val="21"/>
                <w:highlight w:val="none"/>
              </w:rPr>
            </w:pPr>
          </w:p>
        </w:tc>
      </w:tr>
      <w:tr w14:paraId="04043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05" w:type="dxa"/>
            <w:vMerge w:val="continue"/>
            <w:tcBorders>
              <w:top w:val="single" w:color="auto" w:sz="4" w:space="0"/>
              <w:left w:val="single" w:color="auto" w:sz="4" w:space="0"/>
              <w:bottom w:val="single" w:color="auto" w:sz="4" w:space="0"/>
              <w:right w:val="single" w:color="auto" w:sz="4" w:space="0"/>
            </w:tcBorders>
            <w:vAlign w:val="center"/>
          </w:tcPr>
          <w:p w14:paraId="0BB002B2">
            <w:pPr>
              <w:widowControl/>
              <w:spacing w:line="240" w:lineRule="auto"/>
              <w:ind w:firstLine="0" w:firstLineChars="0"/>
              <w:rPr>
                <w:rFonts w:ascii="Arial" w:hAnsi="Arial"/>
                <w:sz w:val="21"/>
                <w:szCs w:val="21"/>
                <w:highlight w:val="none"/>
              </w:rPr>
            </w:pPr>
          </w:p>
        </w:tc>
        <w:tc>
          <w:tcPr>
            <w:tcW w:w="1229" w:type="dxa"/>
            <w:tcBorders>
              <w:top w:val="single" w:color="auto" w:sz="4" w:space="0"/>
              <w:left w:val="single" w:color="auto" w:sz="4" w:space="0"/>
              <w:bottom w:val="single" w:color="auto" w:sz="4" w:space="0"/>
              <w:right w:val="single" w:color="auto" w:sz="4" w:space="0"/>
            </w:tcBorders>
          </w:tcPr>
          <w:p w14:paraId="24665CF9">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-0.074mm</w:t>
            </w:r>
          </w:p>
        </w:tc>
        <w:tc>
          <w:tcPr>
            <w:tcW w:w="690" w:type="dxa"/>
            <w:tcBorders>
              <w:top w:val="single" w:color="auto" w:sz="4" w:space="0"/>
              <w:left w:val="single" w:color="auto" w:sz="4" w:space="0"/>
              <w:bottom w:val="single" w:color="auto" w:sz="4" w:space="0"/>
              <w:right w:val="single" w:color="auto" w:sz="4" w:space="0"/>
            </w:tcBorders>
          </w:tcPr>
          <w:p w14:paraId="62B39B9D">
            <w:pPr>
              <w:spacing w:line="360" w:lineRule="exact"/>
              <w:ind w:firstLine="0" w:firstLineChars="0"/>
              <w:jc w:val="both"/>
              <w:rPr>
                <w:rFonts w:ascii="Arial" w:hAnsi="Arial"/>
                <w:sz w:val="21"/>
                <w:szCs w:val="21"/>
                <w:highlight w:val="none"/>
              </w:rPr>
            </w:pPr>
            <w:r>
              <w:rPr>
                <w:rFonts w:hint="eastAsia"/>
                <w:sz w:val="21"/>
                <w:szCs w:val="21"/>
                <w:highlight w:val="none"/>
              </w:rPr>
              <w:t>≥</w:t>
            </w:r>
            <w:r>
              <w:rPr>
                <w:rFonts w:hint="eastAsia" w:ascii="Arial" w:hAnsi="Arial"/>
                <w:sz w:val="21"/>
                <w:szCs w:val="21"/>
                <w:highlight w:val="none"/>
              </w:rPr>
              <w:t>%</w:t>
            </w:r>
          </w:p>
        </w:tc>
        <w:tc>
          <w:tcPr>
            <w:tcW w:w="1530" w:type="dxa"/>
            <w:tcBorders>
              <w:top w:val="single" w:color="auto" w:sz="4" w:space="0"/>
              <w:left w:val="single" w:color="auto" w:sz="4" w:space="0"/>
              <w:bottom w:val="single" w:color="auto" w:sz="4" w:space="0"/>
              <w:right w:val="single" w:color="auto" w:sz="4" w:space="0"/>
            </w:tcBorders>
          </w:tcPr>
          <w:p w14:paraId="68F109B2">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5</w:t>
            </w:r>
            <w:r>
              <w:rPr>
                <w:rFonts w:ascii="Arial" w:hAnsi="Arial"/>
                <w:sz w:val="21"/>
                <w:szCs w:val="21"/>
                <w:highlight w:val="none"/>
              </w:rPr>
              <w:t>0</w:t>
            </w:r>
          </w:p>
        </w:tc>
        <w:tc>
          <w:tcPr>
            <w:tcW w:w="1530" w:type="dxa"/>
            <w:tcBorders>
              <w:top w:val="single" w:color="auto" w:sz="4" w:space="0"/>
              <w:left w:val="single" w:color="auto" w:sz="4" w:space="0"/>
              <w:bottom w:val="single" w:color="auto" w:sz="4" w:space="0"/>
              <w:right w:val="single" w:color="auto" w:sz="4" w:space="0"/>
            </w:tcBorders>
          </w:tcPr>
          <w:p w14:paraId="69C0C961">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5</w:t>
            </w:r>
            <w:r>
              <w:rPr>
                <w:rFonts w:ascii="Arial" w:hAnsi="Arial"/>
                <w:sz w:val="21"/>
                <w:szCs w:val="21"/>
                <w:highlight w:val="none"/>
              </w:rPr>
              <w:t>0</w:t>
            </w:r>
          </w:p>
        </w:tc>
        <w:tc>
          <w:tcPr>
            <w:tcW w:w="1530" w:type="dxa"/>
            <w:tcBorders>
              <w:top w:val="single" w:color="auto" w:sz="4" w:space="0"/>
              <w:left w:val="single" w:color="auto" w:sz="4" w:space="0"/>
              <w:bottom w:val="single" w:color="auto" w:sz="4" w:space="0"/>
              <w:right w:val="single" w:color="auto" w:sz="4" w:space="0"/>
            </w:tcBorders>
          </w:tcPr>
          <w:p w14:paraId="1C30E596">
            <w:pPr>
              <w:spacing w:line="360" w:lineRule="exact"/>
              <w:ind w:firstLine="0" w:firstLineChars="0"/>
              <w:jc w:val="both"/>
              <w:rPr>
                <w:rFonts w:ascii="Arial" w:hAnsi="Arial"/>
                <w:sz w:val="21"/>
                <w:szCs w:val="21"/>
                <w:highlight w:val="none"/>
              </w:rPr>
            </w:pPr>
          </w:p>
        </w:tc>
        <w:tc>
          <w:tcPr>
            <w:tcW w:w="1608" w:type="dxa"/>
            <w:tcBorders>
              <w:top w:val="single" w:color="auto" w:sz="4" w:space="0"/>
              <w:left w:val="single" w:color="auto" w:sz="4" w:space="0"/>
              <w:bottom w:val="single" w:color="auto" w:sz="4" w:space="0"/>
              <w:right w:val="single" w:color="auto" w:sz="4" w:space="0"/>
            </w:tcBorders>
          </w:tcPr>
          <w:p w14:paraId="1DAAD3D5">
            <w:pPr>
              <w:spacing w:line="360" w:lineRule="exact"/>
              <w:ind w:firstLine="0" w:firstLineChars="0"/>
              <w:jc w:val="both"/>
              <w:rPr>
                <w:rFonts w:ascii="Arial" w:hAnsi="Arial"/>
                <w:sz w:val="21"/>
                <w:szCs w:val="21"/>
                <w:highlight w:val="none"/>
              </w:rPr>
            </w:pPr>
          </w:p>
        </w:tc>
      </w:tr>
      <w:tr w14:paraId="1C406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6" w:hRule="atLeast"/>
        </w:trPr>
        <w:tc>
          <w:tcPr>
            <w:tcW w:w="1634" w:type="dxa"/>
            <w:gridSpan w:val="2"/>
            <w:vMerge w:val="restart"/>
            <w:tcBorders>
              <w:top w:val="single" w:color="auto" w:sz="4" w:space="0"/>
              <w:left w:val="single" w:color="auto" w:sz="4" w:space="0"/>
              <w:right w:val="single" w:color="auto" w:sz="4" w:space="0"/>
            </w:tcBorders>
            <w:vAlign w:val="center"/>
          </w:tcPr>
          <w:p w14:paraId="5BFDB458">
            <w:pPr>
              <w:spacing w:line="360" w:lineRule="exact"/>
              <w:ind w:firstLine="0" w:firstLineChars="0"/>
              <w:jc w:val="both"/>
              <w:rPr>
                <w:rFonts w:ascii="Arial" w:hAnsi="Arial"/>
                <w:sz w:val="21"/>
                <w:szCs w:val="21"/>
                <w:highlight w:val="none"/>
              </w:rPr>
            </w:pPr>
            <w:r>
              <w:rPr>
                <w:rFonts w:hint="eastAsia" w:ascii="Arial" w:hAnsi="Arial"/>
                <w:sz w:val="21"/>
                <w:szCs w:val="21"/>
                <w:highlight w:val="none"/>
              </w:rPr>
              <w:t>耐压强度</w:t>
            </w:r>
          </w:p>
          <w:p w14:paraId="17F54787">
            <w:pPr>
              <w:spacing w:line="360" w:lineRule="exact"/>
              <w:ind w:firstLine="0" w:firstLineChars="0"/>
              <w:jc w:val="both"/>
              <w:rPr>
                <w:rFonts w:ascii="Arial" w:hAnsi="Arial"/>
                <w:sz w:val="21"/>
                <w:szCs w:val="21"/>
                <w:highlight w:val="none"/>
              </w:rPr>
            </w:pPr>
          </w:p>
        </w:tc>
        <w:tc>
          <w:tcPr>
            <w:tcW w:w="690" w:type="dxa"/>
            <w:vMerge w:val="restart"/>
            <w:tcBorders>
              <w:top w:val="single" w:color="auto" w:sz="4" w:space="0"/>
              <w:left w:val="single" w:color="auto" w:sz="4" w:space="0"/>
              <w:right w:val="single" w:color="auto" w:sz="4" w:space="0"/>
            </w:tcBorders>
            <w:vAlign w:val="center"/>
          </w:tcPr>
          <w:p w14:paraId="5F40E34C">
            <w:pPr>
              <w:spacing w:line="360" w:lineRule="exact"/>
              <w:ind w:firstLine="0" w:firstLineChars="0"/>
              <w:jc w:val="both"/>
              <w:rPr>
                <w:sz w:val="21"/>
                <w:szCs w:val="21"/>
                <w:highlight w:val="none"/>
              </w:rPr>
            </w:pPr>
            <w:r>
              <w:rPr>
                <w:rFonts w:hint="eastAsia"/>
                <w:sz w:val="21"/>
                <w:szCs w:val="21"/>
                <w:highlight w:val="none"/>
              </w:rPr>
              <w:t>≥</w:t>
            </w:r>
            <w:r>
              <w:rPr>
                <w:rFonts w:hint="eastAsia" w:ascii="Arial" w:hAnsi="Arial"/>
                <w:sz w:val="21"/>
                <w:szCs w:val="21"/>
                <w:highlight w:val="none"/>
              </w:rPr>
              <w:t>MPa</w:t>
            </w:r>
          </w:p>
        </w:tc>
        <w:tc>
          <w:tcPr>
            <w:tcW w:w="1530" w:type="dxa"/>
            <w:tcBorders>
              <w:top w:val="single" w:color="auto" w:sz="4" w:space="0"/>
              <w:left w:val="single" w:color="auto" w:sz="4" w:space="0"/>
              <w:right w:val="single" w:color="auto" w:sz="4" w:space="0"/>
            </w:tcBorders>
          </w:tcPr>
          <w:p w14:paraId="724295B7">
            <w:pPr>
              <w:spacing w:line="360" w:lineRule="exact"/>
              <w:ind w:firstLine="0" w:firstLineChars="0"/>
              <w:jc w:val="both"/>
              <w:rPr>
                <w:rFonts w:ascii="Arial" w:hAnsi="Arial"/>
                <w:sz w:val="21"/>
                <w:szCs w:val="21"/>
                <w:highlight w:val="none"/>
              </w:rPr>
            </w:pPr>
          </w:p>
        </w:tc>
        <w:tc>
          <w:tcPr>
            <w:tcW w:w="1530" w:type="dxa"/>
            <w:tcBorders>
              <w:top w:val="single" w:color="auto" w:sz="4" w:space="0"/>
              <w:left w:val="single" w:color="auto" w:sz="4" w:space="0"/>
              <w:right w:val="single" w:color="auto" w:sz="4" w:space="0"/>
            </w:tcBorders>
          </w:tcPr>
          <w:p w14:paraId="379FADFA">
            <w:pPr>
              <w:spacing w:line="360" w:lineRule="exact"/>
              <w:ind w:firstLine="0" w:firstLineChars="0"/>
              <w:jc w:val="both"/>
              <w:rPr>
                <w:rFonts w:ascii="Arial" w:hAnsi="Arial"/>
                <w:sz w:val="21"/>
                <w:szCs w:val="21"/>
                <w:highlight w:val="none"/>
              </w:rPr>
            </w:pPr>
          </w:p>
        </w:tc>
        <w:tc>
          <w:tcPr>
            <w:tcW w:w="1530" w:type="dxa"/>
            <w:tcBorders>
              <w:top w:val="single" w:color="auto" w:sz="4" w:space="0"/>
              <w:left w:val="single" w:color="auto" w:sz="4" w:space="0"/>
              <w:right w:val="single" w:color="auto" w:sz="4" w:space="0"/>
            </w:tcBorders>
          </w:tcPr>
          <w:p w14:paraId="77E1624E">
            <w:pPr>
              <w:spacing w:line="360" w:lineRule="exact"/>
              <w:ind w:firstLine="0" w:firstLineChars="0"/>
              <w:jc w:val="both"/>
              <w:rPr>
                <w:rFonts w:ascii="Arial" w:hAnsi="Arial"/>
                <w:sz w:val="21"/>
                <w:szCs w:val="21"/>
                <w:highlight w:val="none"/>
              </w:rPr>
            </w:pPr>
          </w:p>
        </w:tc>
        <w:tc>
          <w:tcPr>
            <w:tcW w:w="1608" w:type="dxa"/>
            <w:tcBorders>
              <w:top w:val="single" w:color="auto" w:sz="4" w:space="0"/>
              <w:left w:val="single" w:color="auto" w:sz="4" w:space="0"/>
              <w:right w:val="single" w:color="auto" w:sz="4" w:space="0"/>
            </w:tcBorders>
          </w:tcPr>
          <w:p w14:paraId="56601CDC">
            <w:pPr>
              <w:spacing w:line="360" w:lineRule="exact"/>
              <w:ind w:firstLine="0" w:firstLineChars="0"/>
              <w:jc w:val="both"/>
              <w:rPr>
                <w:rFonts w:ascii="Arial" w:hAnsi="Arial"/>
                <w:sz w:val="21"/>
                <w:szCs w:val="21"/>
                <w:highlight w:val="none"/>
              </w:rPr>
            </w:pPr>
            <w:r>
              <w:rPr>
                <w:rFonts w:ascii="Arial" w:hAnsi="Arial"/>
                <w:sz w:val="21"/>
                <w:szCs w:val="21"/>
                <w:highlight w:val="none"/>
              </w:rPr>
              <w:t>（110</w:t>
            </w:r>
            <w:r>
              <w:rPr>
                <w:rFonts w:hint="eastAsia" w:ascii="微软雅黑" w:hAnsi="微软雅黑" w:eastAsia="微软雅黑" w:cs="微软雅黑"/>
                <w:sz w:val="21"/>
                <w:szCs w:val="21"/>
                <w:highlight w:val="none"/>
              </w:rPr>
              <w:t>℃</w:t>
            </w:r>
            <w:r>
              <w:rPr>
                <w:rFonts w:ascii="Arial" w:hAnsi="Arial"/>
                <w:sz w:val="21"/>
                <w:szCs w:val="21"/>
                <w:highlight w:val="none"/>
              </w:rPr>
              <w:t>×24h）</w:t>
            </w:r>
            <w:r>
              <w:rPr>
                <w:rFonts w:hint="eastAsia"/>
                <w:sz w:val="21"/>
                <w:szCs w:val="21"/>
                <w:highlight w:val="none"/>
              </w:rPr>
              <w:t>≥</w:t>
            </w:r>
            <w:r>
              <w:rPr>
                <w:sz w:val="21"/>
                <w:szCs w:val="21"/>
                <w:highlight w:val="none"/>
              </w:rPr>
              <w:t>50</w:t>
            </w:r>
          </w:p>
        </w:tc>
      </w:tr>
      <w:tr w14:paraId="4FBF1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34" w:type="dxa"/>
            <w:gridSpan w:val="2"/>
            <w:vMerge w:val="continue"/>
            <w:tcBorders>
              <w:left w:val="single" w:color="auto" w:sz="4" w:space="0"/>
              <w:bottom w:val="single" w:color="auto" w:sz="4" w:space="0"/>
              <w:right w:val="single" w:color="auto" w:sz="4" w:space="0"/>
            </w:tcBorders>
            <w:vAlign w:val="center"/>
          </w:tcPr>
          <w:p w14:paraId="4D4731A1">
            <w:pPr>
              <w:spacing w:line="360" w:lineRule="exact"/>
              <w:ind w:firstLine="0" w:firstLineChars="0"/>
              <w:jc w:val="both"/>
              <w:rPr>
                <w:rFonts w:ascii="Arial" w:hAnsi="Arial"/>
                <w:sz w:val="21"/>
                <w:szCs w:val="21"/>
                <w:highlight w:val="none"/>
              </w:rPr>
            </w:pPr>
          </w:p>
        </w:tc>
        <w:tc>
          <w:tcPr>
            <w:tcW w:w="690" w:type="dxa"/>
            <w:vMerge w:val="continue"/>
            <w:tcBorders>
              <w:left w:val="single" w:color="auto" w:sz="4" w:space="0"/>
              <w:bottom w:val="single" w:color="auto" w:sz="4" w:space="0"/>
              <w:right w:val="single" w:color="auto" w:sz="4" w:space="0"/>
            </w:tcBorders>
          </w:tcPr>
          <w:p w14:paraId="1F03441F">
            <w:pPr>
              <w:spacing w:line="360" w:lineRule="exact"/>
              <w:ind w:firstLine="0" w:firstLineChars="0"/>
              <w:jc w:val="both"/>
              <w:rPr>
                <w:sz w:val="21"/>
                <w:szCs w:val="21"/>
                <w:highlight w:val="none"/>
              </w:rPr>
            </w:pPr>
          </w:p>
        </w:tc>
        <w:tc>
          <w:tcPr>
            <w:tcW w:w="1530" w:type="dxa"/>
            <w:tcBorders>
              <w:top w:val="single" w:color="auto" w:sz="4" w:space="0"/>
              <w:left w:val="single" w:color="auto" w:sz="4" w:space="0"/>
              <w:bottom w:val="single" w:color="auto" w:sz="4" w:space="0"/>
              <w:right w:val="single" w:color="auto" w:sz="4" w:space="0"/>
            </w:tcBorders>
          </w:tcPr>
          <w:p w14:paraId="60EAE133">
            <w:pPr>
              <w:spacing w:line="360" w:lineRule="exact"/>
              <w:ind w:firstLine="0" w:firstLineChars="0"/>
              <w:jc w:val="both"/>
              <w:rPr>
                <w:rFonts w:ascii="Arial" w:hAnsi="Arial"/>
                <w:sz w:val="21"/>
                <w:szCs w:val="21"/>
                <w:highlight w:val="none"/>
              </w:rPr>
            </w:pPr>
          </w:p>
        </w:tc>
        <w:tc>
          <w:tcPr>
            <w:tcW w:w="1530" w:type="dxa"/>
            <w:tcBorders>
              <w:top w:val="single" w:color="auto" w:sz="4" w:space="0"/>
              <w:left w:val="single" w:color="auto" w:sz="4" w:space="0"/>
              <w:bottom w:val="single" w:color="auto" w:sz="4" w:space="0"/>
              <w:right w:val="single" w:color="auto" w:sz="4" w:space="0"/>
            </w:tcBorders>
          </w:tcPr>
          <w:p w14:paraId="2C97387C">
            <w:pPr>
              <w:spacing w:line="360" w:lineRule="exact"/>
              <w:ind w:firstLine="0" w:firstLineChars="0"/>
              <w:jc w:val="both"/>
              <w:rPr>
                <w:rFonts w:ascii="Arial" w:hAnsi="Arial"/>
                <w:sz w:val="21"/>
                <w:szCs w:val="21"/>
                <w:highlight w:val="none"/>
              </w:rPr>
            </w:pPr>
          </w:p>
        </w:tc>
        <w:tc>
          <w:tcPr>
            <w:tcW w:w="1530" w:type="dxa"/>
            <w:tcBorders>
              <w:top w:val="single" w:color="auto" w:sz="4" w:space="0"/>
              <w:left w:val="single" w:color="auto" w:sz="4" w:space="0"/>
              <w:bottom w:val="single" w:color="auto" w:sz="4" w:space="0"/>
              <w:right w:val="single" w:color="auto" w:sz="4" w:space="0"/>
            </w:tcBorders>
          </w:tcPr>
          <w:p w14:paraId="48DA9F74">
            <w:pPr>
              <w:spacing w:line="360" w:lineRule="exact"/>
              <w:ind w:firstLine="0" w:firstLineChars="0"/>
              <w:jc w:val="both"/>
              <w:rPr>
                <w:rFonts w:ascii="Arial" w:hAnsi="Arial"/>
                <w:sz w:val="21"/>
                <w:szCs w:val="21"/>
                <w:highlight w:val="none"/>
              </w:rPr>
            </w:pPr>
            <w:r>
              <w:rPr>
                <w:rFonts w:ascii="Arial" w:hAnsi="Arial"/>
                <w:sz w:val="21"/>
                <w:szCs w:val="21"/>
                <w:highlight w:val="none"/>
              </w:rPr>
              <w:t>（</w:t>
            </w:r>
            <w:r>
              <w:rPr>
                <w:rFonts w:hint="eastAsia" w:ascii="Arial" w:hAnsi="Arial"/>
                <w:sz w:val="21"/>
                <w:szCs w:val="21"/>
                <w:highlight w:val="none"/>
              </w:rPr>
              <w:t>1</w:t>
            </w:r>
            <w:r>
              <w:rPr>
                <w:rFonts w:ascii="Arial" w:hAnsi="Arial"/>
                <w:sz w:val="21"/>
                <w:szCs w:val="21"/>
                <w:highlight w:val="none"/>
              </w:rPr>
              <w:t>300</w:t>
            </w:r>
            <w:r>
              <w:rPr>
                <w:rFonts w:hint="eastAsia" w:ascii="微软雅黑" w:hAnsi="微软雅黑" w:eastAsia="微软雅黑" w:cs="微软雅黑"/>
                <w:sz w:val="21"/>
                <w:szCs w:val="21"/>
                <w:highlight w:val="none"/>
              </w:rPr>
              <w:t>℃</w:t>
            </w:r>
            <w:r>
              <w:rPr>
                <w:rFonts w:ascii="Arial" w:hAnsi="Arial"/>
                <w:sz w:val="21"/>
                <w:szCs w:val="21"/>
                <w:highlight w:val="none"/>
              </w:rPr>
              <w:t>×3h）</w:t>
            </w:r>
            <w:r>
              <w:rPr>
                <w:rFonts w:hint="eastAsia"/>
                <w:sz w:val="21"/>
                <w:szCs w:val="21"/>
                <w:highlight w:val="none"/>
              </w:rPr>
              <w:t>≥1</w:t>
            </w:r>
            <w:r>
              <w:rPr>
                <w:sz w:val="21"/>
                <w:szCs w:val="21"/>
                <w:highlight w:val="none"/>
              </w:rPr>
              <w:t>5</w:t>
            </w:r>
          </w:p>
        </w:tc>
        <w:tc>
          <w:tcPr>
            <w:tcW w:w="1608" w:type="dxa"/>
            <w:tcBorders>
              <w:top w:val="single" w:color="auto" w:sz="4" w:space="0"/>
              <w:left w:val="single" w:color="auto" w:sz="4" w:space="0"/>
              <w:bottom w:val="single" w:color="auto" w:sz="4" w:space="0"/>
              <w:right w:val="single" w:color="auto" w:sz="4" w:space="0"/>
            </w:tcBorders>
          </w:tcPr>
          <w:p w14:paraId="7A947E18">
            <w:pPr>
              <w:spacing w:line="360" w:lineRule="exact"/>
              <w:ind w:firstLine="0" w:firstLineChars="0"/>
              <w:jc w:val="both"/>
              <w:rPr>
                <w:rFonts w:ascii="Arial" w:hAnsi="Arial"/>
                <w:sz w:val="21"/>
                <w:szCs w:val="21"/>
                <w:highlight w:val="none"/>
              </w:rPr>
            </w:pPr>
            <w:r>
              <w:rPr>
                <w:rFonts w:ascii="Arial" w:hAnsi="Arial"/>
                <w:sz w:val="21"/>
                <w:szCs w:val="21"/>
                <w:highlight w:val="none"/>
              </w:rPr>
              <w:t>（1400</w:t>
            </w:r>
            <w:r>
              <w:rPr>
                <w:rFonts w:hint="eastAsia" w:ascii="微软雅黑" w:hAnsi="微软雅黑" w:eastAsia="微软雅黑" w:cs="微软雅黑"/>
                <w:sz w:val="21"/>
                <w:szCs w:val="21"/>
                <w:highlight w:val="none"/>
              </w:rPr>
              <w:t>℃</w:t>
            </w:r>
            <w:r>
              <w:rPr>
                <w:rFonts w:ascii="Arial" w:hAnsi="Arial"/>
                <w:sz w:val="21"/>
                <w:szCs w:val="21"/>
                <w:highlight w:val="none"/>
              </w:rPr>
              <w:t>×3h）</w:t>
            </w:r>
            <w:r>
              <w:rPr>
                <w:rFonts w:hint="eastAsia"/>
                <w:sz w:val="21"/>
                <w:szCs w:val="21"/>
                <w:highlight w:val="none"/>
              </w:rPr>
              <w:t>≥</w:t>
            </w:r>
            <w:r>
              <w:rPr>
                <w:sz w:val="21"/>
                <w:szCs w:val="21"/>
                <w:highlight w:val="none"/>
              </w:rPr>
              <w:t>150</w:t>
            </w:r>
          </w:p>
        </w:tc>
      </w:tr>
    </w:tbl>
    <w:p w14:paraId="45E72866">
      <w:pPr>
        <w:ind w:firstLine="0" w:firstLineChars="0"/>
        <w:outlineLvl w:val="2"/>
        <w:rPr>
          <w:rFonts w:cs="Times New Roman"/>
          <w:szCs w:val="28"/>
          <w:highlight w:val="none"/>
        </w:rPr>
      </w:pPr>
      <w:r>
        <w:rPr>
          <w:rFonts w:hint="eastAsia" w:cs="Times New Roman"/>
          <w:szCs w:val="28"/>
          <w:highlight w:val="none"/>
        </w:rPr>
        <w:t>2.9.8现有电机更换为高能效电机（更换为一级能效电机）</w:t>
      </w:r>
    </w:p>
    <w:tbl>
      <w:tblPr>
        <w:tblStyle w:val="60"/>
        <w:tblpPr w:leftFromText="180" w:rightFromText="180" w:vertAnchor="text" w:horzAnchor="page" w:tblpX="1356" w:tblpY="657"/>
        <w:tblOverlap w:val="never"/>
        <w:tblW w:w="0" w:type="auto"/>
        <w:tblInd w:w="0" w:type="dxa"/>
        <w:tblLayout w:type="fixed"/>
        <w:tblCellMar>
          <w:top w:w="0" w:type="dxa"/>
          <w:left w:w="108" w:type="dxa"/>
          <w:bottom w:w="0" w:type="dxa"/>
          <w:right w:w="108" w:type="dxa"/>
        </w:tblCellMar>
      </w:tblPr>
      <w:tblGrid>
        <w:gridCol w:w="772"/>
        <w:gridCol w:w="2052"/>
        <w:gridCol w:w="1583"/>
        <w:gridCol w:w="1597"/>
        <w:gridCol w:w="1165"/>
        <w:gridCol w:w="974"/>
        <w:gridCol w:w="1084"/>
      </w:tblGrid>
      <w:tr w14:paraId="7A1FB8E4">
        <w:tblPrEx>
          <w:tblCellMar>
            <w:top w:w="0" w:type="dxa"/>
            <w:left w:w="108" w:type="dxa"/>
            <w:bottom w:w="0" w:type="dxa"/>
            <w:right w:w="108" w:type="dxa"/>
          </w:tblCellMar>
        </w:tblPrEx>
        <w:trPr>
          <w:trHeight w:val="855" w:hRule="atLeast"/>
        </w:trPr>
        <w:tc>
          <w:tcPr>
            <w:tcW w:w="772" w:type="dxa"/>
            <w:tcBorders>
              <w:top w:val="single" w:color="000000" w:sz="4" w:space="0"/>
              <w:left w:val="single" w:color="000000" w:sz="4" w:space="0"/>
              <w:bottom w:val="single" w:color="000000" w:sz="4" w:space="0"/>
              <w:right w:val="single" w:color="000000" w:sz="4" w:space="0"/>
            </w:tcBorders>
            <w:vAlign w:val="center"/>
          </w:tcPr>
          <w:p w14:paraId="06AA2F35">
            <w:pPr>
              <w:widowControl/>
              <w:spacing w:line="240" w:lineRule="auto"/>
              <w:ind w:firstLine="0" w:firstLineChars="0"/>
              <w:textAlignment w:val="center"/>
              <w:rPr>
                <w:rFonts w:cs="宋体"/>
                <w:highlight w:val="none"/>
              </w:rPr>
            </w:pPr>
            <w:r>
              <w:rPr>
                <w:rFonts w:hint="eastAsia" w:cs="宋体"/>
                <w:kern w:val="0"/>
                <w:highlight w:val="none"/>
                <w:lang w:bidi="ar"/>
              </w:rPr>
              <w:t>序号</w:t>
            </w:r>
          </w:p>
        </w:tc>
        <w:tc>
          <w:tcPr>
            <w:tcW w:w="2052" w:type="dxa"/>
            <w:tcBorders>
              <w:top w:val="single" w:color="000000" w:sz="4" w:space="0"/>
              <w:left w:val="single" w:color="000000" w:sz="4" w:space="0"/>
              <w:bottom w:val="single" w:color="000000" w:sz="4" w:space="0"/>
              <w:right w:val="single" w:color="000000" w:sz="4" w:space="0"/>
            </w:tcBorders>
            <w:vAlign w:val="center"/>
          </w:tcPr>
          <w:p w14:paraId="5F1B5C3E">
            <w:pPr>
              <w:widowControl/>
              <w:spacing w:line="240" w:lineRule="auto"/>
              <w:ind w:firstLine="0" w:firstLineChars="0"/>
              <w:textAlignment w:val="center"/>
              <w:rPr>
                <w:rFonts w:cs="宋体"/>
                <w:highlight w:val="none"/>
              </w:rPr>
            </w:pPr>
            <w:r>
              <w:rPr>
                <w:rFonts w:hint="eastAsia" w:cs="宋体"/>
                <w:kern w:val="0"/>
                <w:highlight w:val="none"/>
                <w:lang w:bidi="ar"/>
              </w:rPr>
              <w:t>安装位置</w:t>
            </w:r>
          </w:p>
        </w:tc>
        <w:tc>
          <w:tcPr>
            <w:tcW w:w="1583" w:type="dxa"/>
            <w:tcBorders>
              <w:top w:val="single" w:color="000000" w:sz="4" w:space="0"/>
              <w:left w:val="single" w:color="000000" w:sz="4" w:space="0"/>
              <w:bottom w:val="single" w:color="000000" w:sz="4" w:space="0"/>
              <w:right w:val="single" w:color="000000" w:sz="4" w:space="0"/>
            </w:tcBorders>
            <w:vAlign w:val="center"/>
          </w:tcPr>
          <w:p w14:paraId="75B01474">
            <w:pPr>
              <w:widowControl/>
              <w:spacing w:line="240" w:lineRule="auto"/>
              <w:ind w:firstLine="0" w:firstLineChars="0"/>
              <w:textAlignment w:val="center"/>
              <w:rPr>
                <w:rFonts w:cs="宋体"/>
                <w:highlight w:val="none"/>
              </w:rPr>
            </w:pPr>
            <w:r>
              <w:rPr>
                <w:rFonts w:hint="eastAsia" w:cs="宋体"/>
                <w:kern w:val="0"/>
                <w:highlight w:val="none"/>
                <w:lang w:bidi="ar"/>
              </w:rPr>
              <w:t>设备名称</w:t>
            </w:r>
          </w:p>
        </w:tc>
        <w:tc>
          <w:tcPr>
            <w:tcW w:w="1597" w:type="dxa"/>
            <w:tcBorders>
              <w:top w:val="single" w:color="000000" w:sz="4" w:space="0"/>
              <w:left w:val="single" w:color="000000" w:sz="4" w:space="0"/>
              <w:bottom w:val="single" w:color="000000" w:sz="4" w:space="0"/>
              <w:right w:val="single" w:color="000000" w:sz="4" w:space="0"/>
            </w:tcBorders>
            <w:vAlign w:val="center"/>
          </w:tcPr>
          <w:p w14:paraId="3CFE1B9E">
            <w:pPr>
              <w:widowControl/>
              <w:spacing w:line="240" w:lineRule="auto"/>
              <w:ind w:firstLine="0" w:firstLineChars="0"/>
              <w:textAlignment w:val="center"/>
              <w:rPr>
                <w:rFonts w:cs="宋体"/>
                <w:highlight w:val="none"/>
              </w:rPr>
            </w:pPr>
            <w:r>
              <w:rPr>
                <w:rFonts w:hint="eastAsia" w:cs="宋体"/>
                <w:kern w:val="0"/>
                <w:highlight w:val="none"/>
                <w:lang w:bidi="ar"/>
              </w:rPr>
              <w:t>产品型号</w:t>
            </w:r>
          </w:p>
        </w:tc>
        <w:tc>
          <w:tcPr>
            <w:tcW w:w="1165" w:type="dxa"/>
            <w:tcBorders>
              <w:top w:val="single" w:color="000000" w:sz="4" w:space="0"/>
              <w:left w:val="single" w:color="000000" w:sz="4" w:space="0"/>
              <w:bottom w:val="single" w:color="000000" w:sz="4" w:space="0"/>
              <w:right w:val="single" w:color="000000" w:sz="4" w:space="0"/>
            </w:tcBorders>
            <w:vAlign w:val="center"/>
          </w:tcPr>
          <w:p w14:paraId="6661B206">
            <w:pPr>
              <w:widowControl/>
              <w:spacing w:line="240" w:lineRule="auto"/>
              <w:ind w:firstLine="0" w:firstLineChars="0"/>
              <w:textAlignment w:val="center"/>
              <w:rPr>
                <w:rFonts w:cs="宋体"/>
                <w:highlight w:val="none"/>
              </w:rPr>
            </w:pPr>
            <w:r>
              <w:rPr>
                <w:rFonts w:hint="eastAsia" w:cs="宋体"/>
                <w:kern w:val="0"/>
                <w:highlight w:val="none"/>
                <w:lang w:bidi="ar"/>
              </w:rPr>
              <w:t>电压等级</w:t>
            </w:r>
          </w:p>
        </w:tc>
        <w:tc>
          <w:tcPr>
            <w:tcW w:w="974" w:type="dxa"/>
            <w:tcBorders>
              <w:top w:val="single" w:color="000000" w:sz="4" w:space="0"/>
              <w:left w:val="single" w:color="000000" w:sz="4" w:space="0"/>
              <w:bottom w:val="single" w:color="000000" w:sz="4" w:space="0"/>
              <w:right w:val="single" w:color="000000" w:sz="4" w:space="0"/>
            </w:tcBorders>
            <w:vAlign w:val="center"/>
          </w:tcPr>
          <w:p w14:paraId="7196F474">
            <w:pPr>
              <w:widowControl/>
              <w:spacing w:line="240" w:lineRule="auto"/>
              <w:ind w:firstLine="0" w:firstLineChars="0"/>
              <w:textAlignment w:val="center"/>
              <w:rPr>
                <w:rFonts w:cs="宋体"/>
                <w:highlight w:val="none"/>
              </w:rPr>
            </w:pPr>
            <w:r>
              <w:rPr>
                <w:rFonts w:hint="eastAsia" w:cs="宋体"/>
                <w:kern w:val="0"/>
                <w:highlight w:val="none"/>
                <w:lang w:bidi="ar"/>
              </w:rPr>
              <w:t>功率/容量</w:t>
            </w:r>
            <w:r>
              <w:rPr>
                <w:rFonts w:hint="eastAsia" w:cs="宋体"/>
                <w:kern w:val="0"/>
                <w:highlight w:val="none"/>
                <w:lang w:bidi="ar"/>
              </w:rPr>
              <w:br w:type="textWrapping"/>
            </w:r>
            <w:r>
              <w:rPr>
                <w:rFonts w:hint="eastAsia" w:cs="宋体"/>
                <w:kern w:val="0"/>
                <w:highlight w:val="none"/>
                <w:lang w:bidi="ar"/>
              </w:rPr>
              <w:t>（kW)</w:t>
            </w:r>
          </w:p>
        </w:tc>
        <w:tc>
          <w:tcPr>
            <w:tcW w:w="1084" w:type="dxa"/>
            <w:tcBorders>
              <w:top w:val="single" w:color="000000" w:sz="4" w:space="0"/>
              <w:left w:val="single" w:color="000000" w:sz="4" w:space="0"/>
              <w:bottom w:val="single" w:color="000000" w:sz="4" w:space="0"/>
              <w:right w:val="single" w:color="000000" w:sz="4" w:space="0"/>
            </w:tcBorders>
            <w:vAlign w:val="center"/>
          </w:tcPr>
          <w:p w14:paraId="1C067EAB">
            <w:pPr>
              <w:widowControl/>
              <w:spacing w:line="240" w:lineRule="auto"/>
              <w:ind w:firstLine="0" w:firstLineChars="0"/>
              <w:textAlignment w:val="center"/>
              <w:rPr>
                <w:rFonts w:cs="宋体"/>
                <w:highlight w:val="none"/>
              </w:rPr>
            </w:pPr>
            <w:r>
              <w:rPr>
                <w:rFonts w:hint="eastAsia" w:cs="宋体"/>
                <w:kern w:val="0"/>
                <w:highlight w:val="none"/>
                <w:lang w:bidi="ar"/>
              </w:rPr>
              <w:t>数量（台）</w:t>
            </w:r>
          </w:p>
        </w:tc>
      </w:tr>
      <w:tr w14:paraId="2926B21E">
        <w:tblPrEx>
          <w:tblCellMar>
            <w:top w:w="0" w:type="dxa"/>
            <w:left w:w="108" w:type="dxa"/>
            <w:bottom w:w="0" w:type="dxa"/>
            <w:right w:w="108" w:type="dxa"/>
          </w:tblCellMar>
        </w:tblPrEx>
        <w:trPr>
          <w:trHeight w:val="570" w:hRule="atLeast"/>
        </w:trPr>
        <w:tc>
          <w:tcPr>
            <w:tcW w:w="772" w:type="dxa"/>
            <w:tcBorders>
              <w:top w:val="single" w:color="000000" w:sz="4" w:space="0"/>
              <w:left w:val="single" w:color="000000" w:sz="4" w:space="0"/>
              <w:bottom w:val="single" w:color="000000" w:sz="4" w:space="0"/>
              <w:right w:val="single" w:color="000000" w:sz="4" w:space="0"/>
            </w:tcBorders>
            <w:vAlign w:val="center"/>
          </w:tcPr>
          <w:p w14:paraId="30CB204F">
            <w:pPr>
              <w:widowControl/>
              <w:spacing w:line="240" w:lineRule="auto"/>
              <w:ind w:firstLine="0" w:firstLineChars="0"/>
              <w:jc w:val="center"/>
              <w:textAlignment w:val="center"/>
              <w:rPr>
                <w:rFonts w:cs="宋体"/>
                <w:highlight w:val="none"/>
              </w:rPr>
            </w:pPr>
            <w:r>
              <w:rPr>
                <w:rFonts w:hint="eastAsia" w:cs="宋体"/>
                <w:kern w:val="0"/>
                <w:highlight w:val="none"/>
                <w:lang w:bidi="ar"/>
              </w:rPr>
              <w:t>1</w:t>
            </w:r>
          </w:p>
        </w:tc>
        <w:tc>
          <w:tcPr>
            <w:tcW w:w="2052" w:type="dxa"/>
            <w:tcBorders>
              <w:top w:val="single" w:color="000000" w:sz="4" w:space="0"/>
              <w:left w:val="single" w:color="000000" w:sz="4" w:space="0"/>
              <w:bottom w:val="single" w:color="000000" w:sz="4" w:space="0"/>
              <w:right w:val="single" w:color="000000" w:sz="4" w:space="0"/>
            </w:tcBorders>
            <w:vAlign w:val="center"/>
          </w:tcPr>
          <w:p w14:paraId="72B20C02">
            <w:pPr>
              <w:widowControl/>
              <w:spacing w:line="240" w:lineRule="auto"/>
              <w:ind w:firstLine="0" w:firstLineChars="0"/>
              <w:jc w:val="center"/>
              <w:textAlignment w:val="center"/>
              <w:rPr>
                <w:rFonts w:cs="宋体"/>
                <w:highlight w:val="none"/>
              </w:rPr>
            </w:pPr>
            <w:r>
              <w:rPr>
                <w:rFonts w:hint="eastAsia" w:cs="宋体"/>
                <w:kern w:val="0"/>
                <w:highlight w:val="none"/>
                <w:lang w:bidi="ar"/>
              </w:rPr>
              <w:t>2号高炉</w:t>
            </w:r>
          </w:p>
        </w:tc>
        <w:tc>
          <w:tcPr>
            <w:tcW w:w="1583" w:type="dxa"/>
            <w:tcBorders>
              <w:top w:val="single" w:color="000000" w:sz="4" w:space="0"/>
              <w:left w:val="single" w:color="000000" w:sz="4" w:space="0"/>
              <w:bottom w:val="single" w:color="000000" w:sz="4" w:space="0"/>
              <w:right w:val="single" w:color="000000" w:sz="4" w:space="0"/>
            </w:tcBorders>
            <w:vAlign w:val="center"/>
          </w:tcPr>
          <w:p w14:paraId="1E35719D">
            <w:pPr>
              <w:widowControl/>
              <w:spacing w:line="240" w:lineRule="auto"/>
              <w:ind w:firstLine="0" w:firstLineChars="0"/>
              <w:textAlignment w:val="center"/>
              <w:rPr>
                <w:rFonts w:cs="宋体"/>
                <w:highlight w:val="none"/>
              </w:rPr>
            </w:pPr>
            <w:r>
              <w:rPr>
                <w:rFonts w:hint="eastAsia" w:cs="宋体"/>
                <w:kern w:val="0"/>
                <w:highlight w:val="none"/>
                <w:lang w:bidi="ar"/>
              </w:rPr>
              <w:t>2炉热风炉喷淋降温水泵电机</w:t>
            </w:r>
          </w:p>
        </w:tc>
        <w:tc>
          <w:tcPr>
            <w:tcW w:w="1597" w:type="dxa"/>
            <w:tcBorders>
              <w:top w:val="single" w:color="000000" w:sz="4" w:space="0"/>
              <w:left w:val="single" w:color="000000" w:sz="4" w:space="0"/>
              <w:bottom w:val="single" w:color="000000" w:sz="4" w:space="0"/>
              <w:right w:val="single" w:color="000000" w:sz="4" w:space="0"/>
            </w:tcBorders>
            <w:vAlign w:val="center"/>
          </w:tcPr>
          <w:p w14:paraId="13F418DB">
            <w:pPr>
              <w:widowControl/>
              <w:spacing w:line="240" w:lineRule="auto"/>
              <w:ind w:firstLine="0" w:firstLineChars="0"/>
              <w:textAlignment w:val="center"/>
              <w:rPr>
                <w:rFonts w:cs="宋体"/>
                <w:highlight w:val="none"/>
              </w:rPr>
            </w:pPr>
            <w:r>
              <w:rPr>
                <w:rFonts w:hint="eastAsia" w:cs="宋体"/>
                <w:kern w:val="0"/>
                <w:highlight w:val="none"/>
                <w:lang w:bidi="ar"/>
              </w:rPr>
              <w:t>Y2-160M2-2</w:t>
            </w:r>
          </w:p>
        </w:tc>
        <w:tc>
          <w:tcPr>
            <w:tcW w:w="1165" w:type="dxa"/>
            <w:tcBorders>
              <w:top w:val="single" w:color="000000" w:sz="4" w:space="0"/>
              <w:left w:val="single" w:color="000000" w:sz="4" w:space="0"/>
              <w:bottom w:val="single" w:color="000000" w:sz="4" w:space="0"/>
              <w:right w:val="single" w:color="000000" w:sz="4" w:space="0"/>
            </w:tcBorders>
            <w:vAlign w:val="center"/>
          </w:tcPr>
          <w:p w14:paraId="07BF8734">
            <w:pPr>
              <w:widowControl/>
              <w:spacing w:line="240" w:lineRule="auto"/>
              <w:ind w:firstLine="0" w:firstLineChars="0"/>
              <w:jc w:val="center"/>
              <w:textAlignment w:val="center"/>
              <w:rPr>
                <w:rFonts w:cs="宋体"/>
                <w:highlight w:val="none"/>
              </w:rPr>
            </w:pPr>
            <w:r>
              <w:rPr>
                <w:rFonts w:hint="eastAsia" w:cs="宋体"/>
                <w:kern w:val="0"/>
                <w:highlight w:val="none"/>
                <w:lang w:bidi="ar"/>
              </w:rPr>
              <w:t>380V</w:t>
            </w:r>
          </w:p>
        </w:tc>
        <w:tc>
          <w:tcPr>
            <w:tcW w:w="974" w:type="dxa"/>
            <w:tcBorders>
              <w:top w:val="single" w:color="000000" w:sz="4" w:space="0"/>
              <w:left w:val="single" w:color="000000" w:sz="4" w:space="0"/>
              <w:bottom w:val="single" w:color="000000" w:sz="4" w:space="0"/>
              <w:right w:val="single" w:color="000000" w:sz="4" w:space="0"/>
            </w:tcBorders>
            <w:vAlign w:val="center"/>
          </w:tcPr>
          <w:p w14:paraId="006E46B4">
            <w:pPr>
              <w:widowControl/>
              <w:spacing w:line="240" w:lineRule="auto"/>
              <w:ind w:firstLine="0" w:firstLineChars="0"/>
              <w:jc w:val="center"/>
              <w:textAlignment w:val="center"/>
              <w:rPr>
                <w:rFonts w:cs="宋体"/>
                <w:highlight w:val="none"/>
              </w:rPr>
            </w:pPr>
            <w:r>
              <w:rPr>
                <w:rFonts w:hint="eastAsia" w:cs="宋体"/>
                <w:kern w:val="0"/>
                <w:highlight w:val="none"/>
                <w:lang w:bidi="ar"/>
              </w:rPr>
              <w:t>15</w:t>
            </w:r>
          </w:p>
        </w:tc>
        <w:tc>
          <w:tcPr>
            <w:tcW w:w="1084" w:type="dxa"/>
            <w:tcBorders>
              <w:top w:val="single" w:color="000000" w:sz="4" w:space="0"/>
              <w:left w:val="single" w:color="000000" w:sz="4" w:space="0"/>
              <w:bottom w:val="single" w:color="000000" w:sz="4" w:space="0"/>
              <w:right w:val="single" w:color="000000" w:sz="4" w:space="0"/>
            </w:tcBorders>
            <w:vAlign w:val="center"/>
          </w:tcPr>
          <w:p w14:paraId="6E6249B0">
            <w:pPr>
              <w:widowControl/>
              <w:spacing w:line="240" w:lineRule="auto"/>
              <w:ind w:firstLine="0" w:firstLineChars="0"/>
              <w:jc w:val="center"/>
              <w:textAlignment w:val="center"/>
              <w:rPr>
                <w:rFonts w:cs="宋体"/>
                <w:highlight w:val="none"/>
              </w:rPr>
            </w:pPr>
            <w:r>
              <w:rPr>
                <w:rFonts w:hint="eastAsia" w:cs="宋体"/>
                <w:kern w:val="0"/>
                <w:highlight w:val="none"/>
                <w:lang w:bidi="ar"/>
              </w:rPr>
              <w:t>2</w:t>
            </w:r>
          </w:p>
        </w:tc>
      </w:tr>
      <w:tr w14:paraId="7E211116">
        <w:tblPrEx>
          <w:tblCellMar>
            <w:top w:w="0" w:type="dxa"/>
            <w:left w:w="108" w:type="dxa"/>
            <w:bottom w:w="0" w:type="dxa"/>
            <w:right w:w="108" w:type="dxa"/>
          </w:tblCellMar>
        </w:tblPrEx>
        <w:trPr>
          <w:trHeight w:val="570" w:hRule="atLeast"/>
        </w:trPr>
        <w:tc>
          <w:tcPr>
            <w:tcW w:w="772" w:type="dxa"/>
            <w:tcBorders>
              <w:top w:val="single" w:color="000000" w:sz="4" w:space="0"/>
              <w:left w:val="single" w:color="000000" w:sz="4" w:space="0"/>
              <w:bottom w:val="single" w:color="000000" w:sz="4" w:space="0"/>
              <w:right w:val="single" w:color="000000" w:sz="4" w:space="0"/>
            </w:tcBorders>
            <w:vAlign w:val="center"/>
          </w:tcPr>
          <w:p w14:paraId="7C6A0BD1">
            <w:pPr>
              <w:widowControl/>
              <w:spacing w:line="240" w:lineRule="auto"/>
              <w:ind w:firstLine="0" w:firstLineChars="0"/>
              <w:jc w:val="center"/>
              <w:textAlignment w:val="center"/>
              <w:rPr>
                <w:rFonts w:cs="宋体"/>
                <w:highlight w:val="none"/>
              </w:rPr>
            </w:pPr>
            <w:r>
              <w:rPr>
                <w:rFonts w:hint="eastAsia" w:cs="宋体"/>
                <w:kern w:val="0"/>
                <w:highlight w:val="none"/>
                <w:lang w:bidi="ar"/>
              </w:rPr>
              <w:t>2</w:t>
            </w:r>
          </w:p>
        </w:tc>
        <w:tc>
          <w:tcPr>
            <w:tcW w:w="2052" w:type="dxa"/>
            <w:tcBorders>
              <w:top w:val="single" w:color="000000" w:sz="4" w:space="0"/>
              <w:left w:val="single" w:color="000000" w:sz="4" w:space="0"/>
              <w:bottom w:val="single" w:color="000000" w:sz="4" w:space="0"/>
              <w:right w:val="single" w:color="000000" w:sz="4" w:space="0"/>
            </w:tcBorders>
            <w:vAlign w:val="center"/>
          </w:tcPr>
          <w:p w14:paraId="274A3AEF">
            <w:pPr>
              <w:widowControl/>
              <w:spacing w:line="240" w:lineRule="auto"/>
              <w:ind w:firstLine="0" w:firstLineChars="0"/>
              <w:jc w:val="center"/>
              <w:textAlignment w:val="center"/>
              <w:rPr>
                <w:rFonts w:cs="宋体"/>
                <w:highlight w:val="none"/>
              </w:rPr>
            </w:pPr>
            <w:r>
              <w:rPr>
                <w:rFonts w:hint="eastAsia" w:cs="宋体"/>
                <w:kern w:val="0"/>
                <w:highlight w:val="none"/>
                <w:lang w:bidi="ar"/>
              </w:rPr>
              <w:t>2号高炉</w:t>
            </w:r>
          </w:p>
        </w:tc>
        <w:tc>
          <w:tcPr>
            <w:tcW w:w="1583" w:type="dxa"/>
            <w:tcBorders>
              <w:top w:val="single" w:color="000000" w:sz="4" w:space="0"/>
              <w:left w:val="single" w:color="000000" w:sz="4" w:space="0"/>
              <w:bottom w:val="single" w:color="000000" w:sz="4" w:space="0"/>
              <w:right w:val="single" w:color="000000" w:sz="4" w:space="0"/>
            </w:tcBorders>
            <w:vAlign w:val="center"/>
          </w:tcPr>
          <w:p w14:paraId="5D512F30">
            <w:pPr>
              <w:widowControl/>
              <w:spacing w:line="240" w:lineRule="auto"/>
              <w:ind w:firstLine="0" w:firstLineChars="0"/>
              <w:textAlignment w:val="center"/>
              <w:rPr>
                <w:rFonts w:cs="宋体"/>
                <w:highlight w:val="none"/>
              </w:rPr>
            </w:pPr>
            <w:r>
              <w:rPr>
                <w:rFonts w:hint="eastAsia" w:cs="宋体"/>
                <w:kern w:val="0"/>
                <w:highlight w:val="none"/>
                <w:lang w:bidi="ar"/>
              </w:rPr>
              <w:t>2炉热风炉5#冷风阀电机</w:t>
            </w:r>
          </w:p>
        </w:tc>
        <w:tc>
          <w:tcPr>
            <w:tcW w:w="1597" w:type="dxa"/>
            <w:tcBorders>
              <w:top w:val="single" w:color="000000" w:sz="4" w:space="0"/>
              <w:left w:val="single" w:color="000000" w:sz="4" w:space="0"/>
              <w:bottom w:val="single" w:color="000000" w:sz="4" w:space="0"/>
              <w:right w:val="single" w:color="000000" w:sz="4" w:space="0"/>
            </w:tcBorders>
            <w:vAlign w:val="center"/>
          </w:tcPr>
          <w:p w14:paraId="5C811101">
            <w:pPr>
              <w:widowControl/>
              <w:spacing w:line="240" w:lineRule="auto"/>
              <w:ind w:firstLine="0" w:firstLineChars="0"/>
              <w:textAlignment w:val="center"/>
              <w:rPr>
                <w:rFonts w:cs="宋体"/>
                <w:highlight w:val="none"/>
              </w:rPr>
            </w:pPr>
            <w:r>
              <w:rPr>
                <w:rFonts w:hint="eastAsia" w:cs="宋体"/>
                <w:kern w:val="0"/>
                <w:highlight w:val="none"/>
                <w:lang w:bidi="ar"/>
              </w:rPr>
              <w:t>YEJ112M-4</w:t>
            </w:r>
          </w:p>
        </w:tc>
        <w:tc>
          <w:tcPr>
            <w:tcW w:w="1165" w:type="dxa"/>
            <w:tcBorders>
              <w:top w:val="single" w:color="000000" w:sz="4" w:space="0"/>
              <w:left w:val="single" w:color="000000" w:sz="4" w:space="0"/>
              <w:bottom w:val="single" w:color="000000" w:sz="4" w:space="0"/>
              <w:right w:val="single" w:color="000000" w:sz="4" w:space="0"/>
            </w:tcBorders>
            <w:vAlign w:val="center"/>
          </w:tcPr>
          <w:p w14:paraId="6E903DAE">
            <w:pPr>
              <w:widowControl/>
              <w:spacing w:line="240" w:lineRule="auto"/>
              <w:ind w:firstLine="0" w:firstLineChars="0"/>
              <w:jc w:val="center"/>
              <w:textAlignment w:val="center"/>
              <w:rPr>
                <w:rFonts w:cs="宋体"/>
                <w:highlight w:val="none"/>
              </w:rPr>
            </w:pPr>
            <w:r>
              <w:rPr>
                <w:rFonts w:hint="eastAsia" w:cs="宋体"/>
                <w:kern w:val="0"/>
                <w:highlight w:val="none"/>
                <w:lang w:bidi="ar"/>
              </w:rPr>
              <w:t>380V</w:t>
            </w:r>
          </w:p>
        </w:tc>
        <w:tc>
          <w:tcPr>
            <w:tcW w:w="974" w:type="dxa"/>
            <w:tcBorders>
              <w:top w:val="single" w:color="000000" w:sz="4" w:space="0"/>
              <w:left w:val="single" w:color="000000" w:sz="4" w:space="0"/>
              <w:bottom w:val="single" w:color="000000" w:sz="4" w:space="0"/>
              <w:right w:val="single" w:color="000000" w:sz="4" w:space="0"/>
            </w:tcBorders>
            <w:vAlign w:val="center"/>
          </w:tcPr>
          <w:p w14:paraId="2F7A92D9">
            <w:pPr>
              <w:widowControl/>
              <w:spacing w:line="240" w:lineRule="auto"/>
              <w:ind w:firstLine="0" w:firstLineChars="0"/>
              <w:jc w:val="center"/>
              <w:textAlignment w:val="center"/>
              <w:rPr>
                <w:rFonts w:cs="宋体"/>
                <w:highlight w:val="none"/>
              </w:rPr>
            </w:pPr>
            <w:r>
              <w:rPr>
                <w:rFonts w:hint="eastAsia" w:cs="宋体"/>
                <w:kern w:val="0"/>
                <w:highlight w:val="none"/>
                <w:lang w:bidi="ar"/>
              </w:rPr>
              <w:t>4</w:t>
            </w:r>
          </w:p>
        </w:tc>
        <w:tc>
          <w:tcPr>
            <w:tcW w:w="1084" w:type="dxa"/>
            <w:tcBorders>
              <w:top w:val="single" w:color="000000" w:sz="4" w:space="0"/>
              <w:left w:val="single" w:color="000000" w:sz="4" w:space="0"/>
              <w:bottom w:val="single" w:color="000000" w:sz="4" w:space="0"/>
              <w:right w:val="single" w:color="000000" w:sz="4" w:space="0"/>
            </w:tcBorders>
            <w:vAlign w:val="center"/>
          </w:tcPr>
          <w:p w14:paraId="3E5CB61B">
            <w:pPr>
              <w:widowControl/>
              <w:spacing w:line="240" w:lineRule="auto"/>
              <w:ind w:firstLine="0" w:firstLineChars="0"/>
              <w:jc w:val="center"/>
              <w:textAlignment w:val="center"/>
              <w:rPr>
                <w:rFonts w:cs="宋体"/>
                <w:highlight w:val="none"/>
              </w:rPr>
            </w:pPr>
            <w:r>
              <w:rPr>
                <w:rFonts w:hint="eastAsia" w:cs="宋体"/>
                <w:kern w:val="0"/>
                <w:highlight w:val="none"/>
                <w:lang w:bidi="ar"/>
              </w:rPr>
              <w:t>1</w:t>
            </w:r>
          </w:p>
        </w:tc>
      </w:tr>
      <w:tr w14:paraId="1FDB38D4">
        <w:tblPrEx>
          <w:tblCellMar>
            <w:top w:w="0" w:type="dxa"/>
            <w:left w:w="108" w:type="dxa"/>
            <w:bottom w:w="0" w:type="dxa"/>
            <w:right w:w="108" w:type="dxa"/>
          </w:tblCellMar>
        </w:tblPrEx>
        <w:trPr>
          <w:trHeight w:val="570" w:hRule="atLeast"/>
        </w:trPr>
        <w:tc>
          <w:tcPr>
            <w:tcW w:w="772" w:type="dxa"/>
            <w:tcBorders>
              <w:top w:val="single" w:color="000000" w:sz="4" w:space="0"/>
              <w:left w:val="single" w:color="000000" w:sz="4" w:space="0"/>
              <w:bottom w:val="single" w:color="000000" w:sz="4" w:space="0"/>
              <w:right w:val="single" w:color="000000" w:sz="4" w:space="0"/>
            </w:tcBorders>
            <w:vAlign w:val="center"/>
          </w:tcPr>
          <w:p w14:paraId="2D023229">
            <w:pPr>
              <w:widowControl/>
              <w:spacing w:line="240" w:lineRule="auto"/>
              <w:ind w:firstLine="0" w:firstLineChars="0"/>
              <w:jc w:val="center"/>
              <w:textAlignment w:val="center"/>
              <w:rPr>
                <w:rFonts w:cs="宋体"/>
                <w:highlight w:val="none"/>
              </w:rPr>
            </w:pPr>
            <w:r>
              <w:rPr>
                <w:rFonts w:hint="eastAsia" w:cs="宋体"/>
                <w:kern w:val="0"/>
                <w:highlight w:val="none"/>
                <w:lang w:bidi="ar"/>
              </w:rPr>
              <w:t>3</w:t>
            </w:r>
          </w:p>
        </w:tc>
        <w:tc>
          <w:tcPr>
            <w:tcW w:w="2052" w:type="dxa"/>
            <w:tcBorders>
              <w:top w:val="single" w:color="000000" w:sz="4" w:space="0"/>
              <w:left w:val="single" w:color="000000" w:sz="4" w:space="0"/>
              <w:bottom w:val="single" w:color="000000" w:sz="4" w:space="0"/>
              <w:right w:val="single" w:color="000000" w:sz="4" w:space="0"/>
            </w:tcBorders>
            <w:vAlign w:val="center"/>
          </w:tcPr>
          <w:p w14:paraId="6FCB4FFA">
            <w:pPr>
              <w:widowControl/>
              <w:spacing w:line="240" w:lineRule="auto"/>
              <w:ind w:firstLine="0" w:firstLineChars="0"/>
              <w:jc w:val="center"/>
              <w:textAlignment w:val="center"/>
              <w:rPr>
                <w:rFonts w:cs="宋体"/>
                <w:highlight w:val="none"/>
              </w:rPr>
            </w:pPr>
            <w:r>
              <w:rPr>
                <w:rFonts w:hint="eastAsia" w:cs="宋体"/>
                <w:kern w:val="0"/>
                <w:highlight w:val="none"/>
                <w:lang w:bidi="ar"/>
              </w:rPr>
              <w:t>2号高炉</w:t>
            </w:r>
          </w:p>
        </w:tc>
        <w:tc>
          <w:tcPr>
            <w:tcW w:w="1583" w:type="dxa"/>
            <w:tcBorders>
              <w:top w:val="single" w:color="000000" w:sz="4" w:space="0"/>
              <w:left w:val="single" w:color="000000" w:sz="4" w:space="0"/>
              <w:bottom w:val="single" w:color="000000" w:sz="4" w:space="0"/>
              <w:right w:val="single" w:color="000000" w:sz="4" w:space="0"/>
            </w:tcBorders>
            <w:vAlign w:val="center"/>
          </w:tcPr>
          <w:p w14:paraId="3650FA10">
            <w:pPr>
              <w:widowControl/>
              <w:spacing w:line="240" w:lineRule="auto"/>
              <w:ind w:firstLine="0" w:firstLineChars="0"/>
              <w:textAlignment w:val="center"/>
              <w:rPr>
                <w:rFonts w:cs="宋体"/>
                <w:highlight w:val="none"/>
              </w:rPr>
            </w:pPr>
            <w:r>
              <w:rPr>
                <w:rFonts w:hint="eastAsia" w:cs="宋体"/>
                <w:kern w:val="0"/>
                <w:highlight w:val="none"/>
                <w:lang w:bidi="ar"/>
              </w:rPr>
              <w:t>2炉热风炉4#助燃空气切断阀电机</w:t>
            </w:r>
          </w:p>
        </w:tc>
        <w:tc>
          <w:tcPr>
            <w:tcW w:w="1597" w:type="dxa"/>
            <w:tcBorders>
              <w:top w:val="single" w:color="000000" w:sz="4" w:space="0"/>
              <w:left w:val="single" w:color="000000" w:sz="4" w:space="0"/>
              <w:bottom w:val="single" w:color="000000" w:sz="4" w:space="0"/>
              <w:right w:val="single" w:color="000000" w:sz="4" w:space="0"/>
            </w:tcBorders>
            <w:vAlign w:val="center"/>
          </w:tcPr>
          <w:p w14:paraId="52C933ED">
            <w:pPr>
              <w:widowControl/>
              <w:spacing w:line="240" w:lineRule="auto"/>
              <w:ind w:firstLine="0" w:firstLineChars="0"/>
              <w:textAlignment w:val="center"/>
              <w:rPr>
                <w:rFonts w:cs="宋体"/>
                <w:highlight w:val="none"/>
              </w:rPr>
            </w:pPr>
            <w:r>
              <w:rPr>
                <w:rFonts w:hint="eastAsia" w:cs="宋体"/>
                <w:kern w:val="0"/>
                <w:highlight w:val="none"/>
                <w:lang w:bidi="ar"/>
              </w:rPr>
              <w:t>YEJ112M-4</w:t>
            </w:r>
          </w:p>
        </w:tc>
        <w:tc>
          <w:tcPr>
            <w:tcW w:w="1165" w:type="dxa"/>
            <w:tcBorders>
              <w:top w:val="single" w:color="000000" w:sz="4" w:space="0"/>
              <w:left w:val="single" w:color="000000" w:sz="4" w:space="0"/>
              <w:bottom w:val="single" w:color="000000" w:sz="4" w:space="0"/>
              <w:right w:val="single" w:color="000000" w:sz="4" w:space="0"/>
            </w:tcBorders>
            <w:vAlign w:val="center"/>
          </w:tcPr>
          <w:p w14:paraId="0FFE15C7">
            <w:pPr>
              <w:widowControl/>
              <w:spacing w:line="240" w:lineRule="auto"/>
              <w:ind w:firstLine="0" w:firstLineChars="0"/>
              <w:jc w:val="center"/>
              <w:textAlignment w:val="center"/>
              <w:rPr>
                <w:rFonts w:cs="宋体"/>
                <w:highlight w:val="none"/>
              </w:rPr>
            </w:pPr>
            <w:r>
              <w:rPr>
                <w:rFonts w:hint="eastAsia" w:cs="宋体"/>
                <w:kern w:val="0"/>
                <w:highlight w:val="none"/>
                <w:lang w:bidi="ar"/>
              </w:rPr>
              <w:t>380V</w:t>
            </w:r>
          </w:p>
        </w:tc>
        <w:tc>
          <w:tcPr>
            <w:tcW w:w="974" w:type="dxa"/>
            <w:tcBorders>
              <w:top w:val="single" w:color="000000" w:sz="4" w:space="0"/>
              <w:left w:val="single" w:color="000000" w:sz="4" w:space="0"/>
              <w:bottom w:val="single" w:color="000000" w:sz="4" w:space="0"/>
              <w:right w:val="single" w:color="000000" w:sz="4" w:space="0"/>
            </w:tcBorders>
            <w:vAlign w:val="center"/>
          </w:tcPr>
          <w:p w14:paraId="28749D1D">
            <w:pPr>
              <w:widowControl/>
              <w:spacing w:line="240" w:lineRule="auto"/>
              <w:ind w:firstLine="0" w:firstLineChars="0"/>
              <w:jc w:val="center"/>
              <w:textAlignment w:val="center"/>
              <w:rPr>
                <w:rFonts w:cs="宋体"/>
                <w:highlight w:val="none"/>
              </w:rPr>
            </w:pPr>
            <w:r>
              <w:rPr>
                <w:rFonts w:hint="eastAsia" w:cs="宋体"/>
                <w:kern w:val="0"/>
                <w:highlight w:val="none"/>
                <w:lang w:bidi="ar"/>
              </w:rPr>
              <w:t>4</w:t>
            </w:r>
          </w:p>
        </w:tc>
        <w:tc>
          <w:tcPr>
            <w:tcW w:w="1084" w:type="dxa"/>
            <w:tcBorders>
              <w:top w:val="single" w:color="000000" w:sz="4" w:space="0"/>
              <w:left w:val="single" w:color="000000" w:sz="4" w:space="0"/>
              <w:bottom w:val="single" w:color="000000" w:sz="4" w:space="0"/>
              <w:right w:val="single" w:color="000000" w:sz="4" w:space="0"/>
            </w:tcBorders>
            <w:vAlign w:val="center"/>
          </w:tcPr>
          <w:p w14:paraId="2F15BE97">
            <w:pPr>
              <w:widowControl/>
              <w:spacing w:line="240" w:lineRule="auto"/>
              <w:ind w:firstLine="0" w:firstLineChars="0"/>
              <w:jc w:val="center"/>
              <w:textAlignment w:val="center"/>
              <w:rPr>
                <w:rFonts w:cs="宋体"/>
                <w:highlight w:val="none"/>
              </w:rPr>
            </w:pPr>
            <w:r>
              <w:rPr>
                <w:rFonts w:hint="eastAsia" w:cs="宋体"/>
                <w:kern w:val="0"/>
                <w:highlight w:val="none"/>
                <w:lang w:bidi="ar"/>
              </w:rPr>
              <w:t>1</w:t>
            </w:r>
          </w:p>
        </w:tc>
      </w:tr>
      <w:tr w14:paraId="73E21D85">
        <w:tblPrEx>
          <w:tblCellMar>
            <w:top w:w="0" w:type="dxa"/>
            <w:left w:w="108" w:type="dxa"/>
            <w:bottom w:w="0" w:type="dxa"/>
            <w:right w:w="108" w:type="dxa"/>
          </w:tblCellMar>
        </w:tblPrEx>
        <w:trPr>
          <w:trHeight w:val="570" w:hRule="atLeast"/>
        </w:trPr>
        <w:tc>
          <w:tcPr>
            <w:tcW w:w="772" w:type="dxa"/>
            <w:tcBorders>
              <w:top w:val="single" w:color="000000" w:sz="4" w:space="0"/>
              <w:left w:val="single" w:color="000000" w:sz="4" w:space="0"/>
              <w:bottom w:val="single" w:color="000000" w:sz="4" w:space="0"/>
              <w:right w:val="single" w:color="000000" w:sz="4" w:space="0"/>
            </w:tcBorders>
            <w:vAlign w:val="center"/>
          </w:tcPr>
          <w:p w14:paraId="2CE7C459">
            <w:pPr>
              <w:widowControl/>
              <w:spacing w:line="240" w:lineRule="auto"/>
              <w:ind w:firstLine="0" w:firstLineChars="0"/>
              <w:jc w:val="center"/>
              <w:textAlignment w:val="center"/>
              <w:rPr>
                <w:rFonts w:cs="宋体"/>
                <w:highlight w:val="none"/>
              </w:rPr>
            </w:pPr>
            <w:r>
              <w:rPr>
                <w:rFonts w:hint="eastAsia" w:cs="宋体"/>
                <w:kern w:val="0"/>
                <w:highlight w:val="none"/>
                <w:lang w:bidi="ar"/>
              </w:rPr>
              <w:t>4</w:t>
            </w:r>
          </w:p>
        </w:tc>
        <w:tc>
          <w:tcPr>
            <w:tcW w:w="2052" w:type="dxa"/>
            <w:tcBorders>
              <w:top w:val="single" w:color="000000" w:sz="4" w:space="0"/>
              <w:left w:val="single" w:color="000000" w:sz="4" w:space="0"/>
              <w:bottom w:val="single" w:color="000000" w:sz="4" w:space="0"/>
              <w:right w:val="single" w:color="000000" w:sz="4" w:space="0"/>
            </w:tcBorders>
            <w:vAlign w:val="center"/>
          </w:tcPr>
          <w:p w14:paraId="5BA2D129">
            <w:pPr>
              <w:widowControl/>
              <w:spacing w:line="240" w:lineRule="auto"/>
              <w:ind w:firstLine="0" w:firstLineChars="0"/>
              <w:jc w:val="center"/>
              <w:textAlignment w:val="center"/>
              <w:rPr>
                <w:rFonts w:cs="宋体"/>
                <w:highlight w:val="none"/>
              </w:rPr>
            </w:pPr>
            <w:r>
              <w:rPr>
                <w:rFonts w:hint="eastAsia" w:cs="宋体"/>
                <w:kern w:val="0"/>
                <w:highlight w:val="none"/>
                <w:lang w:bidi="ar"/>
              </w:rPr>
              <w:t>2号高炉</w:t>
            </w:r>
          </w:p>
        </w:tc>
        <w:tc>
          <w:tcPr>
            <w:tcW w:w="1583" w:type="dxa"/>
            <w:tcBorders>
              <w:top w:val="single" w:color="000000" w:sz="4" w:space="0"/>
              <w:left w:val="single" w:color="000000" w:sz="4" w:space="0"/>
              <w:bottom w:val="single" w:color="000000" w:sz="4" w:space="0"/>
              <w:right w:val="single" w:color="000000" w:sz="4" w:space="0"/>
            </w:tcBorders>
            <w:vAlign w:val="center"/>
          </w:tcPr>
          <w:p w14:paraId="71315411">
            <w:pPr>
              <w:widowControl/>
              <w:spacing w:line="240" w:lineRule="auto"/>
              <w:ind w:firstLine="0" w:firstLineChars="0"/>
              <w:textAlignment w:val="center"/>
              <w:rPr>
                <w:rFonts w:cs="宋体"/>
                <w:highlight w:val="none"/>
              </w:rPr>
            </w:pPr>
            <w:r>
              <w:rPr>
                <w:rFonts w:hint="eastAsia" w:cs="宋体"/>
                <w:kern w:val="0"/>
                <w:highlight w:val="none"/>
                <w:lang w:bidi="ar"/>
              </w:rPr>
              <w:t>2炉热风炉混风阀电机</w:t>
            </w:r>
          </w:p>
        </w:tc>
        <w:tc>
          <w:tcPr>
            <w:tcW w:w="1597" w:type="dxa"/>
            <w:tcBorders>
              <w:top w:val="single" w:color="000000" w:sz="4" w:space="0"/>
              <w:left w:val="single" w:color="000000" w:sz="4" w:space="0"/>
              <w:bottom w:val="single" w:color="000000" w:sz="4" w:space="0"/>
              <w:right w:val="single" w:color="000000" w:sz="4" w:space="0"/>
            </w:tcBorders>
            <w:vAlign w:val="center"/>
          </w:tcPr>
          <w:p w14:paraId="6ACD6BC5">
            <w:pPr>
              <w:widowControl/>
              <w:spacing w:line="240" w:lineRule="auto"/>
              <w:ind w:firstLine="0" w:firstLineChars="0"/>
              <w:textAlignment w:val="center"/>
              <w:rPr>
                <w:rFonts w:cs="宋体"/>
                <w:highlight w:val="none"/>
              </w:rPr>
            </w:pPr>
            <w:r>
              <w:rPr>
                <w:rFonts w:hint="eastAsia" w:cs="宋体"/>
                <w:kern w:val="0"/>
                <w:highlight w:val="none"/>
                <w:lang w:bidi="ar"/>
              </w:rPr>
              <w:t>YEJ112M-4</w:t>
            </w:r>
          </w:p>
        </w:tc>
        <w:tc>
          <w:tcPr>
            <w:tcW w:w="1165" w:type="dxa"/>
            <w:tcBorders>
              <w:top w:val="single" w:color="000000" w:sz="4" w:space="0"/>
              <w:left w:val="single" w:color="000000" w:sz="4" w:space="0"/>
              <w:bottom w:val="single" w:color="000000" w:sz="4" w:space="0"/>
              <w:right w:val="single" w:color="000000" w:sz="4" w:space="0"/>
            </w:tcBorders>
            <w:vAlign w:val="center"/>
          </w:tcPr>
          <w:p w14:paraId="667E4F95">
            <w:pPr>
              <w:widowControl/>
              <w:spacing w:line="240" w:lineRule="auto"/>
              <w:ind w:firstLine="0" w:firstLineChars="0"/>
              <w:jc w:val="center"/>
              <w:textAlignment w:val="center"/>
              <w:rPr>
                <w:rFonts w:cs="宋体"/>
                <w:highlight w:val="none"/>
              </w:rPr>
            </w:pPr>
            <w:r>
              <w:rPr>
                <w:rFonts w:hint="eastAsia" w:cs="宋体"/>
                <w:kern w:val="0"/>
                <w:highlight w:val="none"/>
                <w:lang w:bidi="ar"/>
              </w:rPr>
              <w:t>380V</w:t>
            </w:r>
          </w:p>
        </w:tc>
        <w:tc>
          <w:tcPr>
            <w:tcW w:w="974" w:type="dxa"/>
            <w:tcBorders>
              <w:top w:val="single" w:color="000000" w:sz="4" w:space="0"/>
              <w:left w:val="single" w:color="000000" w:sz="4" w:space="0"/>
              <w:bottom w:val="single" w:color="000000" w:sz="4" w:space="0"/>
              <w:right w:val="single" w:color="000000" w:sz="4" w:space="0"/>
            </w:tcBorders>
            <w:vAlign w:val="center"/>
          </w:tcPr>
          <w:p w14:paraId="026B8010">
            <w:pPr>
              <w:widowControl/>
              <w:spacing w:line="240" w:lineRule="auto"/>
              <w:ind w:firstLine="0" w:firstLineChars="0"/>
              <w:jc w:val="center"/>
              <w:textAlignment w:val="center"/>
              <w:rPr>
                <w:rFonts w:cs="宋体"/>
                <w:highlight w:val="none"/>
              </w:rPr>
            </w:pPr>
            <w:r>
              <w:rPr>
                <w:rFonts w:hint="eastAsia" w:cs="宋体"/>
                <w:kern w:val="0"/>
                <w:highlight w:val="none"/>
                <w:lang w:bidi="ar"/>
              </w:rPr>
              <w:t>4</w:t>
            </w:r>
          </w:p>
        </w:tc>
        <w:tc>
          <w:tcPr>
            <w:tcW w:w="1084" w:type="dxa"/>
            <w:tcBorders>
              <w:top w:val="single" w:color="000000" w:sz="4" w:space="0"/>
              <w:left w:val="single" w:color="000000" w:sz="4" w:space="0"/>
              <w:bottom w:val="single" w:color="000000" w:sz="4" w:space="0"/>
              <w:right w:val="single" w:color="000000" w:sz="4" w:space="0"/>
            </w:tcBorders>
            <w:vAlign w:val="center"/>
          </w:tcPr>
          <w:p w14:paraId="5C83262F">
            <w:pPr>
              <w:widowControl/>
              <w:spacing w:line="240" w:lineRule="auto"/>
              <w:ind w:firstLine="0" w:firstLineChars="0"/>
              <w:jc w:val="center"/>
              <w:textAlignment w:val="center"/>
              <w:rPr>
                <w:rFonts w:cs="宋体"/>
                <w:highlight w:val="none"/>
              </w:rPr>
            </w:pPr>
            <w:r>
              <w:rPr>
                <w:rFonts w:hint="eastAsia" w:cs="宋体"/>
                <w:kern w:val="0"/>
                <w:highlight w:val="none"/>
                <w:lang w:bidi="ar"/>
              </w:rPr>
              <w:t>1</w:t>
            </w:r>
          </w:p>
        </w:tc>
      </w:tr>
      <w:tr w14:paraId="57464788">
        <w:tblPrEx>
          <w:tblCellMar>
            <w:top w:w="0" w:type="dxa"/>
            <w:left w:w="108" w:type="dxa"/>
            <w:bottom w:w="0" w:type="dxa"/>
            <w:right w:w="108" w:type="dxa"/>
          </w:tblCellMar>
        </w:tblPrEx>
        <w:trPr>
          <w:trHeight w:val="570" w:hRule="atLeast"/>
        </w:trPr>
        <w:tc>
          <w:tcPr>
            <w:tcW w:w="772" w:type="dxa"/>
            <w:tcBorders>
              <w:top w:val="single" w:color="000000" w:sz="4" w:space="0"/>
              <w:left w:val="single" w:color="000000" w:sz="4" w:space="0"/>
              <w:bottom w:val="single" w:color="000000" w:sz="4" w:space="0"/>
              <w:right w:val="single" w:color="000000" w:sz="4" w:space="0"/>
            </w:tcBorders>
            <w:vAlign w:val="center"/>
          </w:tcPr>
          <w:p w14:paraId="6B9461CB">
            <w:pPr>
              <w:widowControl/>
              <w:spacing w:line="240" w:lineRule="auto"/>
              <w:ind w:firstLine="0" w:firstLineChars="0"/>
              <w:jc w:val="center"/>
              <w:textAlignment w:val="center"/>
              <w:rPr>
                <w:rFonts w:cs="宋体"/>
                <w:highlight w:val="none"/>
              </w:rPr>
            </w:pPr>
            <w:r>
              <w:rPr>
                <w:rFonts w:hint="eastAsia" w:cs="宋体"/>
                <w:kern w:val="0"/>
                <w:highlight w:val="none"/>
                <w:lang w:bidi="ar"/>
              </w:rPr>
              <w:t>5</w:t>
            </w:r>
          </w:p>
        </w:tc>
        <w:tc>
          <w:tcPr>
            <w:tcW w:w="2052" w:type="dxa"/>
            <w:tcBorders>
              <w:top w:val="single" w:color="000000" w:sz="4" w:space="0"/>
              <w:left w:val="single" w:color="000000" w:sz="4" w:space="0"/>
              <w:bottom w:val="single" w:color="000000" w:sz="4" w:space="0"/>
              <w:right w:val="single" w:color="000000" w:sz="4" w:space="0"/>
            </w:tcBorders>
            <w:vAlign w:val="center"/>
          </w:tcPr>
          <w:p w14:paraId="1DFFB397">
            <w:pPr>
              <w:widowControl/>
              <w:spacing w:line="240" w:lineRule="auto"/>
              <w:ind w:firstLine="0" w:firstLineChars="0"/>
              <w:jc w:val="center"/>
              <w:textAlignment w:val="center"/>
              <w:rPr>
                <w:rFonts w:cs="宋体"/>
                <w:highlight w:val="none"/>
              </w:rPr>
            </w:pPr>
            <w:r>
              <w:rPr>
                <w:rFonts w:hint="eastAsia" w:cs="宋体"/>
                <w:kern w:val="0"/>
                <w:highlight w:val="none"/>
                <w:lang w:bidi="ar"/>
              </w:rPr>
              <w:t>2号高炉</w:t>
            </w:r>
          </w:p>
        </w:tc>
        <w:tc>
          <w:tcPr>
            <w:tcW w:w="1583" w:type="dxa"/>
            <w:tcBorders>
              <w:top w:val="single" w:color="000000" w:sz="4" w:space="0"/>
              <w:left w:val="single" w:color="000000" w:sz="4" w:space="0"/>
              <w:bottom w:val="single" w:color="000000" w:sz="4" w:space="0"/>
              <w:right w:val="single" w:color="000000" w:sz="4" w:space="0"/>
            </w:tcBorders>
            <w:vAlign w:val="center"/>
          </w:tcPr>
          <w:p w14:paraId="2CB6278F">
            <w:pPr>
              <w:widowControl/>
              <w:spacing w:line="240" w:lineRule="auto"/>
              <w:ind w:firstLine="0" w:firstLineChars="0"/>
              <w:textAlignment w:val="center"/>
              <w:rPr>
                <w:rFonts w:cs="宋体"/>
                <w:highlight w:val="none"/>
              </w:rPr>
            </w:pPr>
            <w:r>
              <w:rPr>
                <w:rFonts w:hint="eastAsia" w:cs="宋体"/>
                <w:kern w:val="0"/>
                <w:highlight w:val="none"/>
                <w:lang w:bidi="ar"/>
              </w:rPr>
              <w:t>2炉热风炉废气阀电机</w:t>
            </w:r>
          </w:p>
        </w:tc>
        <w:tc>
          <w:tcPr>
            <w:tcW w:w="1597" w:type="dxa"/>
            <w:tcBorders>
              <w:top w:val="single" w:color="000000" w:sz="4" w:space="0"/>
              <w:left w:val="single" w:color="000000" w:sz="4" w:space="0"/>
              <w:bottom w:val="single" w:color="000000" w:sz="4" w:space="0"/>
              <w:right w:val="single" w:color="000000" w:sz="4" w:space="0"/>
            </w:tcBorders>
            <w:vAlign w:val="center"/>
          </w:tcPr>
          <w:p w14:paraId="0DD47B17">
            <w:pPr>
              <w:widowControl/>
              <w:spacing w:line="240" w:lineRule="auto"/>
              <w:ind w:firstLine="0" w:firstLineChars="0"/>
              <w:textAlignment w:val="center"/>
              <w:rPr>
                <w:rFonts w:cs="宋体"/>
                <w:highlight w:val="none"/>
              </w:rPr>
            </w:pPr>
            <w:r>
              <w:rPr>
                <w:rFonts w:hint="eastAsia" w:cs="宋体"/>
                <w:kern w:val="0"/>
                <w:highlight w:val="none"/>
                <w:lang w:bidi="ar"/>
              </w:rPr>
              <w:t>Y3-90L-4</w:t>
            </w:r>
          </w:p>
        </w:tc>
        <w:tc>
          <w:tcPr>
            <w:tcW w:w="1165" w:type="dxa"/>
            <w:tcBorders>
              <w:top w:val="single" w:color="000000" w:sz="4" w:space="0"/>
              <w:left w:val="single" w:color="000000" w:sz="4" w:space="0"/>
              <w:bottom w:val="single" w:color="000000" w:sz="4" w:space="0"/>
              <w:right w:val="single" w:color="000000" w:sz="4" w:space="0"/>
            </w:tcBorders>
            <w:vAlign w:val="center"/>
          </w:tcPr>
          <w:p w14:paraId="785A9027">
            <w:pPr>
              <w:widowControl/>
              <w:spacing w:line="240" w:lineRule="auto"/>
              <w:ind w:firstLine="0" w:firstLineChars="0"/>
              <w:jc w:val="center"/>
              <w:textAlignment w:val="center"/>
              <w:rPr>
                <w:rFonts w:cs="宋体"/>
                <w:highlight w:val="none"/>
              </w:rPr>
            </w:pPr>
            <w:r>
              <w:rPr>
                <w:rFonts w:hint="eastAsia" w:cs="宋体"/>
                <w:kern w:val="0"/>
                <w:highlight w:val="none"/>
                <w:lang w:bidi="ar"/>
              </w:rPr>
              <w:t>380V</w:t>
            </w:r>
          </w:p>
        </w:tc>
        <w:tc>
          <w:tcPr>
            <w:tcW w:w="974" w:type="dxa"/>
            <w:tcBorders>
              <w:top w:val="single" w:color="000000" w:sz="4" w:space="0"/>
              <w:left w:val="single" w:color="000000" w:sz="4" w:space="0"/>
              <w:bottom w:val="single" w:color="000000" w:sz="4" w:space="0"/>
              <w:right w:val="single" w:color="000000" w:sz="4" w:space="0"/>
            </w:tcBorders>
            <w:vAlign w:val="center"/>
          </w:tcPr>
          <w:p w14:paraId="55C34E2C">
            <w:pPr>
              <w:widowControl/>
              <w:spacing w:line="240" w:lineRule="auto"/>
              <w:ind w:firstLine="0" w:firstLineChars="0"/>
              <w:jc w:val="center"/>
              <w:textAlignment w:val="center"/>
              <w:rPr>
                <w:rFonts w:cs="宋体"/>
                <w:highlight w:val="none"/>
              </w:rPr>
            </w:pPr>
            <w:r>
              <w:rPr>
                <w:rFonts w:hint="eastAsia" w:cs="宋体"/>
                <w:kern w:val="0"/>
                <w:highlight w:val="none"/>
                <w:lang w:bidi="ar"/>
              </w:rPr>
              <w:t>1.5</w:t>
            </w:r>
          </w:p>
        </w:tc>
        <w:tc>
          <w:tcPr>
            <w:tcW w:w="1084" w:type="dxa"/>
            <w:tcBorders>
              <w:top w:val="single" w:color="000000" w:sz="4" w:space="0"/>
              <w:left w:val="single" w:color="000000" w:sz="4" w:space="0"/>
              <w:bottom w:val="single" w:color="000000" w:sz="4" w:space="0"/>
              <w:right w:val="single" w:color="000000" w:sz="4" w:space="0"/>
            </w:tcBorders>
            <w:vAlign w:val="center"/>
          </w:tcPr>
          <w:p w14:paraId="5AFB84C2">
            <w:pPr>
              <w:widowControl/>
              <w:spacing w:line="240" w:lineRule="auto"/>
              <w:ind w:firstLine="0" w:firstLineChars="0"/>
              <w:jc w:val="center"/>
              <w:textAlignment w:val="center"/>
              <w:rPr>
                <w:rFonts w:cs="宋体"/>
                <w:highlight w:val="none"/>
              </w:rPr>
            </w:pPr>
            <w:r>
              <w:rPr>
                <w:rFonts w:hint="eastAsia" w:cs="宋体"/>
                <w:kern w:val="0"/>
                <w:highlight w:val="none"/>
                <w:lang w:bidi="ar"/>
              </w:rPr>
              <w:t>1</w:t>
            </w:r>
          </w:p>
        </w:tc>
      </w:tr>
    </w:tbl>
    <w:p w14:paraId="37FF8D00">
      <w:pPr>
        <w:shd w:val="clear"/>
        <w:ind w:firstLine="0" w:firstLineChars="0"/>
        <w:outlineLvl w:val="1"/>
        <w:rPr>
          <w:rFonts w:cs="Times New Roman"/>
          <w:b/>
          <w:color w:val="auto"/>
          <w:sz w:val="28"/>
          <w:szCs w:val="28"/>
          <w:highlight w:val="none"/>
        </w:rPr>
      </w:pPr>
    </w:p>
    <w:p w14:paraId="4A35813D">
      <w:pPr>
        <w:shd w:val="clear"/>
        <w:ind w:firstLine="0" w:firstLineChars="0"/>
        <w:outlineLvl w:val="1"/>
        <w:rPr>
          <w:rFonts w:cs="Times New Roman"/>
          <w:b/>
          <w:color w:val="auto"/>
          <w:sz w:val="28"/>
          <w:szCs w:val="28"/>
          <w:highlight w:val="none"/>
        </w:rPr>
      </w:pPr>
      <w:r>
        <w:rPr>
          <w:rFonts w:cs="Times New Roman"/>
          <w:b/>
          <w:color w:val="auto"/>
          <w:sz w:val="28"/>
          <w:szCs w:val="28"/>
          <w:highlight w:val="none"/>
        </w:rPr>
        <w:t>2.10 喷煤系统</w:t>
      </w:r>
      <w:bookmarkEnd w:id="365"/>
      <w:bookmarkEnd w:id="366"/>
      <w:bookmarkEnd w:id="367"/>
      <w:bookmarkEnd w:id="368"/>
      <w:bookmarkEnd w:id="369"/>
      <w:bookmarkEnd w:id="370"/>
    </w:p>
    <w:p w14:paraId="78B92127">
      <w:pPr>
        <w:shd w:val="clear"/>
        <w:ind w:firstLine="0" w:firstLineChars="0"/>
        <w:outlineLvl w:val="2"/>
        <w:rPr>
          <w:rFonts w:cs="Times New Roman"/>
          <w:color w:val="auto"/>
          <w:szCs w:val="28"/>
          <w:highlight w:val="none"/>
        </w:rPr>
      </w:pPr>
      <w:bookmarkStart w:id="375" w:name="_Toc100483418"/>
      <w:bookmarkStart w:id="376" w:name="_Toc79840311"/>
      <w:bookmarkStart w:id="377" w:name="_Toc11846"/>
      <w:r>
        <w:rPr>
          <w:rFonts w:hint="eastAsia" w:cs="Times New Roman"/>
          <w:color w:val="auto"/>
          <w:szCs w:val="28"/>
          <w:highlight w:val="none"/>
        </w:rPr>
        <w:t>2.10.1 喷吹系统改造主要内容</w:t>
      </w:r>
      <w:bookmarkEnd w:id="375"/>
      <w:bookmarkEnd w:id="376"/>
      <w:r>
        <w:rPr>
          <w:rFonts w:hint="eastAsia" w:cs="Times New Roman"/>
          <w:color w:val="auto"/>
          <w:szCs w:val="28"/>
          <w:highlight w:val="none"/>
        </w:rPr>
        <w:t>及必要性</w:t>
      </w:r>
      <w:bookmarkEnd w:id="377"/>
    </w:p>
    <w:p w14:paraId="1F99B0B0">
      <w:pPr>
        <w:shd w:val="clear"/>
        <w:rPr>
          <w:color w:val="auto"/>
          <w:highlight w:val="none"/>
        </w:rPr>
      </w:pPr>
      <w:r>
        <w:rPr>
          <w:rFonts w:hint="eastAsia"/>
          <w:color w:val="auto"/>
          <w:highlight w:val="none"/>
        </w:rPr>
        <w:t>目前喷煤支管陶瓷层磨损严重，支管频繁出现磨漏情况，造成岗位现场环境污染，无法满足正常生产需要，需整体更换。</w:t>
      </w:r>
    </w:p>
    <w:p w14:paraId="249FEA66">
      <w:pPr>
        <w:shd w:val="clear"/>
        <w:rPr>
          <w:color w:val="auto"/>
          <w:sz w:val="28"/>
          <w:szCs w:val="28"/>
          <w:highlight w:val="none"/>
        </w:rPr>
      </w:pPr>
      <w:r>
        <w:rPr>
          <w:rFonts w:hint="eastAsia"/>
          <w:color w:val="auto"/>
          <w:highlight w:val="none"/>
        </w:rPr>
        <w:t>喷煤系统改造范围为1分2分配器</w:t>
      </w:r>
      <w:r>
        <w:rPr>
          <w:rFonts w:hint="eastAsia"/>
          <w:color w:val="auto"/>
          <w:highlight w:val="none"/>
          <w:lang w:eastAsia="zh-CN"/>
        </w:rPr>
        <w:t>（</w:t>
      </w:r>
      <w:r>
        <w:rPr>
          <w:rFonts w:hint="eastAsia"/>
          <w:color w:val="auto"/>
          <w:highlight w:val="none"/>
          <w:lang w:val="en-US" w:eastAsia="zh-CN"/>
        </w:rPr>
        <w:t>包含</w:t>
      </w:r>
      <w:r>
        <w:rPr>
          <w:rFonts w:hint="eastAsia"/>
          <w:color w:val="auto"/>
          <w:highlight w:val="none"/>
          <w:lang w:eastAsia="zh-CN"/>
        </w:rPr>
        <w:t>）</w:t>
      </w:r>
      <w:r>
        <w:rPr>
          <w:rFonts w:hint="eastAsia"/>
          <w:color w:val="auto"/>
          <w:highlight w:val="none"/>
        </w:rPr>
        <w:t>出口至风口前喷枪（含喷枪）的喷吹系统改造。改造后的分配器及喷吹支管采用等阻损设计。</w:t>
      </w:r>
    </w:p>
    <w:p w14:paraId="3F14EAA4">
      <w:pPr>
        <w:shd w:val="clear"/>
        <w:ind w:firstLine="0" w:firstLineChars="0"/>
        <w:outlineLvl w:val="2"/>
        <w:rPr>
          <w:rFonts w:cs="Times New Roman"/>
          <w:color w:val="auto"/>
          <w:szCs w:val="28"/>
          <w:highlight w:val="none"/>
        </w:rPr>
      </w:pPr>
      <w:bookmarkStart w:id="378" w:name="_Toc25801"/>
      <w:r>
        <w:rPr>
          <w:rFonts w:hint="eastAsia" w:cs="Times New Roman"/>
          <w:color w:val="auto"/>
          <w:szCs w:val="28"/>
          <w:highlight w:val="none"/>
        </w:rPr>
        <w:t>2.10.2 主要工艺参数</w:t>
      </w:r>
      <w:bookmarkEnd w:id="378"/>
    </w:p>
    <w:p w14:paraId="0FBEBA81">
      <w:pPr>
        <w:shd w:val="clear"/>
        <w:rPr>
          <w:color w:val="auto"/>
          <w:highlight w:val="none"/>
        </w:rPr>
      </w:pPr>
      <w:r>
        <w:rPr>
          <w:rFonts w:hint="eastAsia"/>
          <w:color w:val="auto"/>
          <w:highlight w:val="none"/>
        </w:rPr>
        <w:t>煤粉喷吹系统利旧，更换两台分配器，每台分配器1分20，共40根支管，每个风口设双枪，共20个风口。</w:t>
      </w:r>
      <w:r>
        <w:rPr>
          <w:rFonts w:hint="eastAsia"/>
          <w:color w:val="auto"/>
          <w:highlight w:val="none"/>
          <w:lang w:val="en-US" w:eastAsia="zh-CN"/>
        </w:rPr>
        <w:t>为</w:t>
      </w:r>
      <w:r>
        <w:rPr>
          <w:rFonts w:hint="eastAsia"/>
          <w:color w:val="auto"/>
          <w:highlight w:val="none"/>
        </w:rPr>
        <w:t>确保两台分配器煤粉分配均匀</w:t>
      </w:r>
      <w:r>
        <w:rPr>
          <w:rFonts w:hint="eastAsia"/>
          <w:color w:val="auto"/>
          <w:highlight w:val="none"/>
          <w:lang w:eastAsia="zh-CN"/>
        </w:rPr>
        <w:t>，</w:t>
      </w:r>
      <w:r>
        <w:rPr>
          <w:rFonts w:hint="eastAsia"/>
          <w:color w:val="auto"/>
          <w:highlight w:val="none"/>
        </w:rPr>
        <w:t>两台分配器前设1台1分2分配器</w:t>
      </w:r>
      <w:r>
        <w:rPr>
          <w:rFonts w:hint="eastAsia"/>
          <w:color w:val="auto"/>
          <w:highlight w:val="none"/>
          <w:lang w:eastAsia="zh-CN"/>
        </w:rPr>
        <w:t>（</w:t>
      </w:r>
      <w:r>
        <w:rPr>
          <w:rFonts w:hint="eastAsia"/>
          <w:color w:val="auto"/>
          <w:highlight w:val="none"/>
          <w:lang w:val="en-US" w:eastAsia="zh-CN"/>
        </w:rPr>
        <w:t>包含</w:t>
      </w:r>
      <w:r>
        <w:rPr>
          <w:rFonts w:hint="eastAsia"/>
          <w:color w:val="auto"/>
          <w:highlight w:val="none"/>
          <w:lang w:eastAsia="zh-CN"/>
        </w:rPr>
        <w:t>）</w:t>
      </w:r>
      <w:r>
        <w:rPr>
          <w:rFonts w:hint="eastAsia"/>
          <w:color w:val="auto"/>
          <w:highlight w:val="none"/>
        </w:rPr>
        <w:t>。两台主分配器前均设气动陶瓷切断阀，便于远程切换</w:t>
      </w:r>
      <w:r>
        <w:rPr>
          <w:rFonts w:hint="eastAsia"/>
          <w:color w:val="auto"/>
          <w:highlight w:val="none"/>
          <w:lang w:eastAsia="zh-CN"/>
        </w:rPr>
        <w:t>，</w:t>
      </w:r>
      <w:r>
        <w:rPr>
          <w:rFonts w:hint="eastAsia"/>
          <w:color w:val="auto"/>
          <w:highlight w:val="none"/>
          <w:lang w:val="en-US" w:eastAsia="zh-CN"/>
        </w:rPr>
        <w:t>远程操作接入喷煤制粉站</w:t>
      </w:r>
      <w:r>
        <w:rPr>
          <w:rFonts w:hint="eastAsia"/>
          <w:color w:val="auto"/>
          <w:highlight w:val="none"/>
        </w:rPr>
        <w:t>。</w:t>
      </w:r>
    </w:p>
    <w:p w14:paraId="090B3DFC">
      <w:pPr>
        <w:shd w:val="clear"/>
        <w:rPr>
          <w:color w:val="auto"/>
          <w:highlight w:val="none"/>
        </w:rPr>
      </w:pPr>
      <w:r>
        <w:rPr>
          <w:rFonts w:hint="eastAsia"/>
          <w:color w:val="auto"/>
          <w:highlight w:val="none"/>
        </w:rPr>
        <w:t>分配器至风口前喷枪（含喷枪）及其相关阀门和控制仪表更换。采用炉前双分配器的直接喷吹工艺，喷吹支管靠近分配器处增加排污管。分配器平台扩大，并根据现场情况加固平台。分配器处的气动阀门设有联锁保护，紧急情况时可自动地向安全方向动作。</w:t>
      </w:r>
    </w:p>
    <w:p w14:paraId="21DE5F33">
      <w:pPr>
        <w:shd w:val="clear"/>
        <w:rPr>
          <w:color w:val="auto"/>
          <w:sz w:val="28"/>
          <w:szCs w:val="28"/>
          <w:highlight w:val="none"/>
        </w:rPr>
      </w:pPr>
      <w:r>
        <w:rPr>
          <w:rFonts w:hint="eastAsia"/>
          <w:color w:val="auto"/>
          <w:highlight w:val="none"/>
        </w:rPr>
        <w:t>为使煤粉均匀稳定喷吹，在分配器前有一段垂直段。分配器后的煤粉支管按照等长、几何路由相同的原则设计，实现煤粉等阻损喷吹。炉体喷吹支管采用陶瓷管φ38*</w:t>
      </w:r>
      <w:r>
        <w:rPr>
          <w:rFonts w:hint="eastAsia"/>
          <w:color w:val="auto"/>
          <w:highlight w:val="none"/>
          <w:lang w:val="en-US" w:eastAsia="zh-CN"/>
        </w:rPr>
        <w:t>4</w:t>
      </w:r>
      <w:r>
        <w:rPr>
          <w:rFonts w:hint="eastAsia"/>
          <w:color w:val="auto"/>
          <w:highlight w:val="none"/>
        </w:rPr>
        <w:t>，陶瓷层厚度≥2.5mm，内径φ2</w:t>
      </w:r>
      <w:r>
        <w:rPr>
          <w:rFonts w:hint="eastAsia"/>
          <w:color w:val="auto"/>
          <w:highlight w:val="none"/>
          <w:lang w:val="en-US" w:eastAsia="zh-CN"/>
        </w:rPr>
        <w:t>5</w:t>
      </w:r>
      <w:r>
        <w:rPr>
          <w:rFonts w:hint="eastAsia"/>
          <w:color w:val="auto"/>
          <w:highlight w:val="none"/>
        </w:rPr>
        <w:t>mm；支管弯头陶瓷厚度≥2.5mm，内径φ2</w:t>
      </w:r>
      <w:r>
        <w:rPr>
          <w:rFonts w:hint="eastAsia"/>
          <w:color w:val="auto"/>
          <w:highlight w:val="none"/>
          <w:lang w:val="en-US" w:eastAsia="zh-CN"/>
        </w:rPr>
        <w:t>5</w:t>
      </w:r>
      <w:r>
        <w:rPr>
          <w:rFonts w:hint="eastAsia"/>
          <w:color w:val="auto"/>
          <w:highlight w:val="none"/>
        </w:rPr>
        <w:t>mm，喷煤支管所有弯头部位R≥500mm。喷枪与喷煤支管之间由带快装接头的金属软管连接，两端装有手动切断阀。送风支管枪套管上装有止回弹子阀，当退出喷枪时可切断热风气流，保证安全。喷枪单管陶瓷内衬，短时停止喷吹时用氮气或压气冷却、不拔枪。</w:t>
      </w:r>
    </w:p>
    <w:p w14:paraId="5D129741">
      <w:pPr>
        <w:shd w:val="clear"/>
        <w:ind w:firstLine="0" w:firstLineChars="0"/>
        <w:outlineLvl w:val="2"/>
        <w:rPr>
          <w:rFonts w:cs="Times New Roman"/>
          <w:color w:val="auto"/>
          <w:szCs w:val="28"/>
          <w:highlight w:val="none"/>
        </w:rPr>
      </w:pPr>
      <w:bookmarkStart w:id="379" w:name="_Toc15821"/>
      <w:r>
        <w:rPr>
          <w:rFonts w:hint="eastAsia" w:cs="Times New Roman"/>
          <w:color w:val="auto"/>
          <w:szCs w:val="28"/>
          <w:highlight w:val="none"/>
        </w:rPr>
        <w:t>2.10.3 主要设备技术规格</w:t>
      </w:r>
      <w:bookmarkEnd w:id="379"/>
    </w:p>
    <w:p w14:paraId="05507558">
      <w:pPr>
        <w:shd w:val="clear"/>
        <w:rPr>
          <w:color w:val="auto"/>
          <w:highlight w:val="none"/>
        </w:rPr>
      </w:pPr>
      <w:bookmarkStart w:id="380" w:name="_Toc10746"/>
      <w:bookmarkStart w:id="381" w:name="_Toc22912"/>
      <w:bookmarkStart w:id="382" w:name="_Toc20858"/>
      <w:r>
        <w:rPr>
          <w:rFonts w:hint="eastAsia"/>
          <w:color w:val="auto"/>
          <w:highlight w:val="none"/>
        </w:rPr>
        <w:t>（1）气动喷煤陶瓷球阀</w:t>
      </w:r>
      <w:bookmarkEnd w:id="380"/>
      <w:bookmarkEnd w:id="381"/>
      <w:bookmarkEnd w:id="382"/>
    </w:p>
    <w:p w14:paraId="7B629BF0">
      <w:pPr>
        <w:shd w:val="clear"/>
        <w:rPr>
          <w:color w:val="auto"/>
          <w:highlight w:val="none"/>
          <w:shd w:val="clear" w:color="auto" w:fill="FFFF00"/>
        </w:rPr>
      </w:pPr>
      <w:r>
        <w:rPr>
          <w:rFonts w:hint="eastAsia"/>
          <w:color w:val="auto"/>
          <w:highlight w:val="none"/>
        </w:rPr>
        <w:t>介质为气粉混合物的气动阀门选用气动喷煤陶瓷球阀。气动陶瓷球阀陶瓷材质：球芯氧化锆（含量95%），其它部位氧化铝（含量95%）。</w:t>
      </w:r>
    </w:p>
    <w:p w14:paraId="76AB23E3">
      <w:pPr>
        <w:shd w:val="clear"/>
        <w:rPr>
          <w:color w:val="auto"/>
          <w:highlight w:val="none"/>
        </w:rPr>
      </w:pPr>
      <w:bookmarkStart w:id="383" w:name="_Toc23934"/>
      <w:bookmarkStart w:id="384" w:name="_Toc2144"/>
      <w:bookmarkStart w:id="385" w:name="_Toc27543"/>
      <w:r>
        <w:rPr>
          <w:rFonts w:hint="eastAsia"/>
          <w:color w:val="auto"/>
          <w:highlight w:val="none"/>
        </w:rPr>
        <w:t>（2）分配器</w:t>
      </w:r>
      <w:bookmarkEnd w:id="383"/>
      <w:bookmarkEnd w:id="384"/>
      <w:bookmarkEnd w:id="385"/>
    </w:p>
    <w:p w14:paraId="61DA5DB1">
      <w:pPr>
        <w:shd w:val="clear"/>
        <w:rPr>
          <w:color w:val="auto"/>
          <w:highlight w:val="none"/>
        </w:rPr>
      </w:pPr>
      <w:r>
        <w:rPr>
          <w:rFonts w:hint="eastAsia"/>
          <w:color w:val="auto"/>
          <w:highlight w:val="none"/>
        </w:rPr>
        <w:t>设计合理，不易堵塞；结构简单，维修容易；根据高炉需要可关闭个别喷吹管线；分配均匀，误差≤5%。</w:t>
      </w:r>
    </w:p>
    <w:p w14:paraId="67434DF8">
      <w:pPr>
        <w:shd w:val="clear"/>
        <w:jc w:val="center"/>
        <w:rPr>
          <w:rFonts w:ascii="Times New Roman" w:hAnsi="Times New Roman" w:cs="Times New Roman"/>
          <w:color w:val="auto"/>
          <w:highlight w:val="none"/>
        </w:rPr>
      </w:pPr>
      <w:r>
        <w:rPr>
          <w:rFonts w:ascii="Times New Roman" w:hAnsi="Times New Roman" w:cs="Times New Roman"/>
          <w:color w:val="auto"/>
          <w:highlight w:val="none"/>
        </w:rPr>
        <w:t>表2.10-1  煤粉分配器性能参数表</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3308"/>
        <w:gridCol w:w="1248"/>
        <w:gridCol w:w="2718"/>
      </w:tblGrid>
      <w:tr w14:paraId="78E6D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48" w:type="dxa"/>
            <w:tcBorders>
              <w:top w:val="single" w:color="auto" w:sz="12" w:space="0"/>
              <w:left w:val="single" w:color="auto" w:sz="12" w:space="0"/>
            </w:tcBorders>
            <w:vAlign w:val="center"/>
          </w:tcPr>
          <w:p w14:paraId="63DA0941">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序号</w:t>
            </w:r>
          </w:p>
        </w:tc>
        <w:tc>
          <w:tcPr>
            <w:tcW w:w="3308" w:type="dxa"/>
            <w:tcBorders>
              <w:top w:val="single" w:color="auto" w:sz="12" w:space="0"/>
            </w:tcBorders>
            <w:vAlign w:val="center"/>
          </w:tcPr>
          <w:p w14:paraId="5E129CE5">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项目名称</w:t>
            </w:r>
          </w:p>
        </w:tc>
        <w:tc>
          <w:tcPr>
            <w:tcW w:w="1248" w:type="dxa"/>
            <w:tcBorders>
              <w:top w:val="single" w:color="auto" w:sz="12" w:space="0"/>
            </w:tcBorders>
            <w:vAlign w:val="center"/>
          </w:tcPr>
          <w:p w14:paraId="2D721EE2">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单位</w:t>
            </w:r>
          </w:p>
        </w:tc>
        <w:tc>
          <w:tcPr>
            <w:tcW w:w="2718" w:type="dxa"/>
            <w:tcBorders>
              <w:top w:val="single" w:color="auto" w:sz="12" w:space="0"/>
              <w:right w:val="single" w:color="auto" w:sz="12" w:space="0"/>
            </w:tcBorders>
            <w:vAlign w:val="center"/>
          </w:tcPr>
          <w:p w14:paraId="7C9B5A0C">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数据及要求</w:t>
            </w:r>
          </w:p>
        </w:tc>
      </w:tr>
      <w:tr w14:paraId="32349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48" w:type="dxa"/>
            <w:tcBorders>
              <w:left w:val="single" w:color="auto" w:sz="12" w:space="0"/>
            </w:tcBorders>
            <w:vAlign w:val="center"/>
          </w:tcPr>
          <w:p w14:paraId="170B3897">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3308" w:type="dxa"/>
            <w:vAlign w:val="center"/>
          </w:tcPr>
          <w:p w14:paraId="32CE389B">
            <w:pPr>
              <w:shd w:val="clear"/>
              <w:spacing w:line="300" w:lineRule="auto"/>
              <w:ind w:firstLine="0" w:firstLineChars="0"/>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数量</w:t>
            </w:r>
          </w:p>
        </w:tc>
        <w:tc>
          <w:tcPr>
            <w:tcW w:w="1248" w:type="dxa"/>
            <w:vAlign w:val="center"/>
          </w:tcPr>
          <w:p w14:paraId="22E693AC">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台</w:t>
            </w:r>
          </w:p>
        </w:tc>
        <w:tc>
          <w:tcPr>
            <w:tcW w:w="2718" w:type="dxa"/>
            <w:tcBorders>
              <w:right w:val="single" w:color="auto" w:sz="12" w:space="0"/>
            </w:tcBorders>
            <w:vAlign w:val="center"/>
          </w:tcPr>
          <w:p w14:paraId="762DA8C4">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r>
      <w:tr w14:paraId="2162F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48" w:type="dxa"/>
            <w:tcBorders>
              <w:left w:val="single" w:color="auto" w:sz="12" w:space="0"/>
            </w:tcBorders>
            <w:vAlign w:val="center"/>
          </w:tcPr>
          <w:p w14:paraId="532008A7">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3308" w:type="dxa"/>
            <w:vAlign w:val="center"/>
          </w:tcPr>
          <w:p w14:paraId="3D910EF2">
            <w:pPr>
              <w:shd w:val="clear"/>
              <w:spacing w:line="300" w:lineRule="auto"/>
              <w:ind w:firstLine="0" w:firstLineChars="0"/>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每台分配器支管数</w:t>
            </w:r>
          </w:p>
        </w:tc>
        <w:tc>
          <w:tcPr>
            <w:tcW w:w="1248" w:type="dxa"/>
            <w:vAlign w:val="center"/>
          </w:tcPr>
          <w:p w14:paraId="6C7E7782">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个</w:t>
            </w:r>
          </w:p>
        </w:tc>
        <w:tc>
          <w:tcPr>
            <w:tcW w:w="2718" w:type="dxa"/>
            <w:tcBorders>
              <w:right w:val="single" w:color="auto" w:sz="12" w:space="0"/>
            </w:tcBorders>
            <w:vAlign w:val="center"/>
          </w:tcPr>
          <w:p w14:paraId="4AAB5A78">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w:t>
            </w:r>
          </w:p>
        </w:tc>
      </w:tr>
      <w:tr w14:paraId="16719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48" w:type="dxa"/>
            <w:tcBorders>
              <w:left w:val="single" w:color="auto" w:sz="12" w:space="0"/>
            </w:tcBorders>
            <w:vAlign w:val="center"/>
          </w:tcPr>
          <w:p w14:paraId="448B58F4">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w:t>
            </w:r>
          </w:p>
        </w:tc>
        <w:tc>
          <w:tcPr>
            <w:tcW w:w="3308" w:type="dxa"/>
            <w:vAlign w:val="center"/>
          </w:tcPr>
          <w:p w14:paraId="322CCB6A">
            <w:pPr>
              <w:shd w:val="clear"/>
              <w:spacing w:line="300" w:lineRule="auto"/>
              <w:ind w:firstLine="0" w:firstLineChars="0"/>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设计压力</w:t>
            </w:r>
          </w:p>
        </w:tc>
        <w:tc>
          <w:tcPr>
            <w:tcW w:w="1248" w:type="dxa"/>
            <w:vAlign w:val="center"/>
          </w:tcPr>
          <w:p w14:paraId="77086DDE">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MPa</w:t>
            </w:r>
          </w:p>
        </w:tc>
        <w:tc>
          <w:tcPr>
            <w:tcW w:w="2718" w:type="dxa"/>
            <w:tcBorders>
              <w:right w:val="single" w:color="auto" w:sz="12" w:space="0"/>
            </w:tcBorders>
            <w:vAlign w:val="center"/>
          </w:tcPr>
          <w:p w14:paraId="5BB61088">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1.6</w:t>
            </w:r>
          </w:p>
        </w:tc>
      </w:tr>
      <w:tr w14:paraId="1A03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48" w:type="dxa"/>
            <w:tcBorders>
              <w:left w:val="single" w:color="auto" w:sz="12" w:space="0"/>
            </w:tcBorders>
            <w:vAlign w:val="center"/>
          </w:tcPr>
          <w:p w14:paraId="11D30D66">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w:t>
            </w:r>
          </w:p>
        </w:tc>
        <w:tc>
          <w:tcPr>
            <w:tcW w:w="3308" w:type="dxa"/>
            <w:vAlign w:val="center"/>
          </w:tcPr>
          <w:p w14:paraId="32BB4C45">
            <w:pPr>
              <w:shd w:val="clear"/>
              <w:spacing w:line="300" w:lineRule="auto"/>
              <w:ind w:firstLine="0" w:firstLineChars="0"/>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介质</w:t>
            </w:r>
          </w:p>
        </w:tc>
        <w:tc>
          <w:tcPr>
            <w:tcW w:w="1248" w:type="dxa"/>
            <w:vAlign w:val="center"/>
          </w:tcPr>
          <w:p w14:paraId="3DDE8419">
            <w:pPr>
              <w:shd w:val="clear"/>
              <w:spacing w:line="300" w:lineRule="auto"/>
              <w:ind w:firstLine="0" w:firstLineChars="0"/>
              <w:jc w:val="center"/>
              <w:rPr>
                <w:rFonts w:ascii="Times New Roman" w:hAnsi="Times New Roman" w:cs="Times New Roman"/>
                <w:color w:val="auto"/>
                <w:sz w:val="21"/>
                <w:szCs w:val="21"/>
                <w:highlight w:val="none"/>
              </w:rPr>
            </w:pPr>
          </w:p>
        </w:tc>
        <w:tc>
          <w:tcPr>
            <w:tcW w:w="2718" w:type="dxa"/>
            <w:tcBorders>
              <w:right w:val="single" w:color="auto" w:sz="12" w:space="0"/>
            </w:tcBorders>
            <w:vAlign w:val="center"/>
          </w:tcPr>
          <w:p w14:paraId="7A526885">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煤粉+氮气</w:t>
            </w:r>
          </w:p>
        </w:tc>
      </w:tr>
      <w:tr w14:paraId="7013E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48" w:type="dxa"/>
            <w:tcBorders>
              <w:left w:val="single" w:color="auto" w:sz="12" w:space="0"/>
              <w:bottom w:val="single" w:color="auto" w:sz="12" w:space="0"/>
            </w:tcBorders>
            <w:vAlign w:val="center"/>
          </w:tcPr>
          <w:p w14:paraId="7D75F261">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w:t>
            </w:r>
          </w:p>
        </w:tc>
        <w:tc>
          <w:tcPr>
            <w:tcW w:w="3308" w:type="dxa"/>
            <w:tcBorders>
              <w:bottom w:val="single" w:color="auto" w:sz="12" w:space="0"/>
            </w:tcBorders>
            <w:vAlign w:val="center"/>
          </w:tcPr>
          <w:p w14:paraId="2FD20A8B">
            <w:pPr>
              <w:shd w:val="clear"/>
              <w:spacing w:line="300" w:lineRule="auto"/>
              <w:ind w:firstLine="0" w:firstLineChars="0"/>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易磨损部位材质</w:t>
            </w:r>
          </w:p>
        </w:tc>
        <w:tc>
          <w:tcPr>
            <w:tcW w:w="1248" w:type="dxa"/>
            <w:tcBorders>
              <w:bottom w:val="single" w:color="auto" w:sz="12" w:space="0"/>
            </w:tcBorders>
            <w:vAlign w:val="center"/>
          </w:tcPr>
          <w:p w14:paraId="35DD3512">
            <w:pPr>
              <w:shd w:val="clear"/>
              <w:spacing w:line="300" w:lineRule="auto"/>
              <w:ind w:firstLine="0" w:firstLineChars="0"/>
              <w:jc w:val="center"/>
              <w:rPr>
                <w:rFonts w:ascii="Times New Roman" w:hAnsi="Times New Roman" w:cs="Times New Roman"/>
                <w:color w:val="auto"/>
                <w:sz w:val="21"/>
                <w:szCs w:val="21"/>
                <w:highlight w:val="none"/>
              </w:rPr>
            </w:pPr>
          </w:p>
        </w:tc>
        <w:tc>
          <w:tcPr>
            <w:tcW w:w="2718" w:type="dxa"/>
            <w:tcBorders>
              <w:bottom w:val="single" w:color="auto" w:sz="12" w:space="0"/>
              <w:right w:val="single" w:color="auto" w:sz="12" w:space="0"/>
            </w:tcBorders>
            <w:vAlign w:val="center"/>
          </w:tcPr>
          <w:p w14:paraId="54767F63">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硬质合金</w:t>
            </w:r>
          </w:p>
        </w:tc>
      </w:tr>
    </w:tbl>
    <w:p w14:paraId="719A4D76">
      <w:pPr>
        <w:shd w:val="clear"/>
        <w:rPr>
          <w:color w:val="auto"/>
          <w:highlight w:val="none"/>
        </w:rPr>
      </w:pPr>
      <w:bookmarkStart w:id="386" w:name="_Toc7800"/>
      <w:bookmarkStart w:id="387" w:name="_Toc32303"/>
      <w:bookmarkStart w:id="388" w:name="_Toc13371"/>
      <w:r>
        <w:rPr>
          <w:rFonts w:hint="eastAsia"/>
          <w:color w:val="auto"/>
          <w:highlight w:val="none"/>
        </w:rPr>
        <w:t>（3）喷枪</w:t>
      </w:r>
      <w:bookmarkEnd w:id="386"/>
      <w:bookmarkEnd w:id="387"/>
      <w:bookmarkEnd w:id="388"/>
    </w:p>
    <w:p w14:paraId="522737A4">
      <w:pPr>
        <w:shd w:val="clear"/>
        <w:rPr>
          <w:color w:val="auto"/>
          <w:highlight w:val="none"/>
        </w:rPr>
      </w:pPr>
      <w:r>
        <w:rPr>
          <w:rFonts w:hint="eastAsia"/>
          <w:color w:val="auto"/>
          <w:highlight w:val="none"/>
        </w:rPr>
        <w:t>单管陶瓷内衬喷头，端头弯角~5°，配旋塞阀（DN25，耐温200℃）。枪位可调。喷枪使用寿命≥4个月，止回弹子阀寿命≥1年。喷枪与风口之间装有止回弹子阀，当退出喷枪时可切断热风气流，保证安全。</w:t>
      </w:r>
    </w:p>
    <w:p w14:paraId="1733D1A6">
      <w:pPr>
        <w:shd w:val="clear"/>
        <w:jc w:val="center"/>
        <w:rPr>
          <w:color w:val="auto"/>
          <w:highlight w:val="none"/>
        </w:rPr>
      </w:pPr>
      <w:r>
        <w:rPr>
          <w:rFonts w:hint="eastAsia"/>
          <w:color w:val="auto"/>
          <w:highlight w:val="none"/>
        </w:rPr>
        <w:t>表2.10-2  喷枪性能参数表</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3030"/>
        <w:gridCol w:w="830"/>
        <w:gridCol w:w="3569"/>
      </w:tblGrid>
      <w:tr w14:paraId="6B724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93" w:type="dxa"/>
            <w:tcBorders>
              <w:top w:val="single" w:color="auto" w:sz="12" w:space="0"/>
              <w:left w:val="single" w:color="auto" w:sz="12" w:space="0"/>
            </w:tcBorders>
            <w:vAlign w:val="center"/>
          </w:tcPr>
          <w:p w14:paraId="0F7C142C">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序号</w:t>
            </w:r>
          </w:p>
        </w:tc>
        <w:tc>
          <w:tcPr>
            <w:tcW w:w="3030" w:type="dxa"/>
            <w:tcBorders>
              <w:top w:val="single" w:color="auto" w:sz="12" w:space="0"/>
            </w:tcBorders>
            <w:vAlign w:val="center"/>
          </w:tcPr>
          <w:p w14:paraId="61B2F777">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项目名称</w:t>
            </w:r>
          </w:p>
        </w:tc>
        <w:tc>
          <w:tcPr>
            <w:tcW w:w="830" w:type="dxa"/>
            <w:tcBorders>
              <w:top w:val="single" w:color="auto" w:sz="12" w:space="0"/>
            </w:tcBorders>
            <w:vAlign w:val="center"/>
          </w:tcPr>
          <w:p w14:paraId="329C6CD3">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单位</w:t>
            </w:r>
          </w:p>
        </w:tc>
        <w:tc>
          <w:tcPr>
            <w:tcW w:w="3569" w:type="dxa"/>
            <w:tcBorders>
              <w:top w:val="single" w:color="auto" w:sz="12" w:space="0"/>
              <w:right w:val="single" w:color="auto" w:sz="12" w:space="0"/>
            </w:tcBorders>
            <w:vAlign w:val="center"/>
          </w:tcPr>
          <w:p w14:paraId="402FACC9">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数据及要求</w:t>
            </w:r>
          </w:p>
        </w:tc>
      </w:tr>
      <w:tr w14:paraId="35CBA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93" w:type="dxa"/>
            <w:tcBorders>
              <w:left w:val="single" w:color="auto" w:sz="12" w:space="0"/>
            </w:tcBorders>
            <w:vAlign w:val="center"/>
          </w:tcPr>
          <w:p w14:paraId="018EAC41">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3030" w:type="dxa"/>
            <w:vAlign w:val="center"/>
          </w:tcPr>
          <w:p w14:paraId="0C696C89">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数量</w:t>
            </w:r>
          </w:p>
        </w:tc>
        <w:tc>
          <w:tcPr>
            <w:tcW w:w="830" w:type="dxa"/>
            <w:vAlign w:val="center"/>
          </w:tcPr>
          <w:p w14:paraId="5A50CFD3">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支</w:t>
            </w:r>
          </w:p>
        </w:tc>
        <w:tc>
          <w:tcPr>
            <w:tcW w:w="3569" w:type="dxa"/>
            <w:tcBorders>
              <w:right w:val="single" w:color="auto" w:sz="12" w:space="0"/>
            </w:tcBorders>
            <w:vAlign w:val="center"/>
          </w:tcPr>
          <w:p w14:paraId="3BD93189">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40</w:t>
            </w:r>
          </w:p>
        </w:tc>
      </w:tr>
      <w:tr w14:paraId="61AF0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93" w:type="dxa"/>
            <w:tcBorders>
              <w:left w:val="single" w:color="auto" w:sz="12" w:space="0"/>
            </w:tcBorders>
            <w:vAlign w:val="center"/>
          </w:tcPr>
          <w:p w14:paraId="56E5A9A8">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3030" w:type="dxa"/>
            <w:vAlign w:val="center"/>
          </w:tcPr>
          <w:p w14:paraId="601B52A7">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最高工作压力</w:t>
            </w:r>
          </w:p>
        </w:tc>
        <w:tc>
          <w:tcPr>
            <w:tcW w:w="830" w:type="dxa"/>
            <w:vAlign w:val="center"/>
          </w:tcPr>
          <w:p w14:paraId="177452EE">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MPa</w:t>
            </w:r>
          </w:p>
        </w:tc>
        <w:tc>
          <w:tcPr>
            <w:tcW w:w="3569" w:type="dxa"/>
            <w:tcBorders>
              <w:right w:val="single" w:color="auto" w:sz="12" w:space="0"/>
            </w:tcBorders>
            <w:vAlign w:val="center"/>
          </w:tcPr>
          <w:p w14:paraId="77AF3E37">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1.6</w:t>
            </w:r>
          </w:p>
        </w:tc>
      </w:tr>
      <w:tr w14:paraId="301D6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93" w:type="dxa"/>
            <w:tcBorders>
              <w:left w:val="single" w:color="auto" w:sz="12" w:space="0"/>
            </w:tcBorders>
            <w:vAlign w:val="center"/>
          </w:tcPr>
          <w:p w14:paraId="654D8698">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w:t>
            </w:r>
          </w:p>
        </w:tc>
        <w:tc>
          <w:tcPr>
            <w:tcW w:w="3030" w:type="dxa"/>
            <w:vAlign w:val="center"/>
          </w:tcPr>
          <w:p w14:paraId="7E5DFDBB">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材质</w:t>
            </w:r>
          </w:p>
        </w:tc>
        <w:tc>
          <w:tcPr>
            <w:tcW w:w="830" w:type="dxa"/>
            <w:vAlign w:val="center"/>
          </w:tcPr>
          <w:p w14:paraId="61279C65">
            <w:pPr>
              <w:shd w:val="clear"/>
              <w:spacing w:line="300" w:lineRule="auto"/>
              <w:ind w:firstLine="0" w:firstLineChars="0"/>
              <w:jc w:val="center"/>
              <w:rPr>
                <w:rFonts w:ascii="Times New Roman" w:hAnsi="Times New Roman" w:cs="Times New Roman"/>
                <w:color w:val="auto"/>
                <w:sz w:val="21"/>
                <w:szCs w:val="21"/>
                <w:highlight w:val="none"/>
              </w:rPr>
            </w:pPr>
          </w:p>
        </w:tc>
        <w:tc>
          <w:tcPr>
            <w:tcW w:w="3569" w:type="dxa"/>
            <w:tcBorders>
              <w:right w:val="single" w:color="auto" w:sz="12" w:space="0"/>
            </w:tcBorders>
            <w:vAlign w:val="center"/>
          </w:tcPr>
          <w:p w14:paraId="2756BBC6">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耐热不锈钢310S</w:t>
            </w:r>
          </w:p>
        </w:tc>
      </w:tr>
      <w:tr w14:paraId="5834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93" w:type="dxa"/>
            <w:tcBorders>
              <w:left w:val="single" w:color="auto" w:sz="12" w:space="0"/>
              <w:bottom w:val="single" w:color="auto" w:sz="12" w:space="0"/>
            </w:tcBorders>
            <w:vAlign w:val="center"/>
          </w:tcPr>
          <w:p w14:paraId="54EFFF41">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w:t>
            </w:r>
          </w:p>
        </w:tc>
        <w:tc>
          <w:tcPr>
            <w:tcW w:w="3030" w:type="dxa"/>
            <w:tcBorders>
              <w:bottom w:val="single" w:color="auto" w:sz="12" w:space="0"/>
            </w:tcBorders>
            <w:vAlign w:val="center"/>
          </w:tcPr>
          <w:p w14:paraId="1AAC8818">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每小时最大喷煤量</w:t>
            </w:r>
          </w:p>
        </w:tc>
        <w:tc>
          <w:tcPr>
            <w:tcW w:w="830" w:type="dxa"/>
            <w:tcBorders>
              <w:bottom w:val="single" w:color="auto" w:sz="12" w:space="0"/>
            </w:tcBorders>
            <w:vAlign w:val="center"/>
          </w:tcPr>
          <w:p w14:paraId="23A03F9C">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t/枪</w:t>
            </w:r>
          </w:p>
        </w:tc>
        <w:tc>
          <w:tcPr>
            <w:tcW w:w="3569" w:type="dxa"/>
            <w:tcBorders>
              <w:bottom w:val="single" w:color="auto" w:sz="12" w:space="0"/>
              <w:right w:val="single" w:color="auto" w:sz="12" w:space="0"/>
            </w:tcBorders>
            <w:vAlign w:val="center"/>
          </w:tcPr>
          <w:p w14:paraId="06DC2D79">
            <w:pPr>
              <w:shd w:val="clear"/>
              <w:spacing w:line="30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r>
              <w:rPr>
                <w:rFonts w:hint="eastAsia" w:ascii="Times New Roman" w:hAnsi="Times New Roman" w:cs="Times New Roman"/>
                <w:color w:val="auto"/>
                <w:sz w:val="21"/>
                <w:szCs w:val="21"/>
                <w:highlight w:val="none"/>
              </w:rPr>
              <w:t>1</w:t>
            </w:r>
          </w:p>
        </w:tc>
      </w:tr>
    </w:tbl>
    <w:p w14:paraId="29D708BD">
      <w:pPr>
        <w:shd w:val="clear"/>
        <w:rPr>
          <w:color w:val="auto"/>
          <w:highlight w:val="none"/>
        </w:rPr>
      </w:pPr>
    </w:p>
    <w:p w14:paraId="08B10241">
      <w:pPr>
        <w:shd w:val="clear"/>
        <w:ind w:firstLine="0" w:firstLineChars="0"/>
        <w:outlineLvl w:val="1"/>
        <w:rPr>
          <w:rFonts w:ascii="Times New Roman" w:hAnsi="Times New Roman" w:cs="Times New Roman"/>
          <w:b/>
          <w:color w:val="auto"/>
          <w:sz w:val="28"/>
          <w:szCs w:val="28"/>
          <w:highlight w:val="none"/>
        </w:rPr>
      </w:pPr>
      <w:bookmarkStart w:id="389" w:name="_Toc8167"/>
      <w:bookmarkStart w:id="390" w:name="_Toc30605"/>
      <w:bookmarkStart w:id="391" w:name="_Toc18116"/>
      <w:bookmarkStart w:id="392" w:name="_Toc27079"/>
      <w:bookmarkStart w:id="393" w:name="_Toc1868"/>
      <w:bookmarkStart w:id="394" w:name="_Toc12597"/>
      <w:r>
        <w:rPr>
          <w:rFonts w:ascii="Times New Roman" w:hAnsi="Times New Roman" w:cs="Times New Roman"/>
          <w:b/>
          <w:color w:val="auto"/>
          <w:sz w:val="28"/>
          <w:szCs w:val="28"/>
          <w:highlight w:val="none"/>
        </w:rPr>
        <w:t>2.1</w:t>
      </w:r>
      <w:r>
        <w:rPr>
          <w:rFonts w:hint="eastAsia" w:ascii="Times New Roman" w:hAnsi="Times New Roman" w:cs="Times New Roman"/>
          <w:b/>
          <w:color w:val="auto"/>
          <w:sz w:val="28"/>
          <w:szCs w:val="28"/>
          <w:highlight w:val="none"/>
        </w:rPr>
        <w:t>1</w:t>
      </w:r>
      <w:r>
        <w:rPr>
          <w:rFonts w:ascii="Times New Roman" w:hAnsi="Times New Roman" w:cs="Times New Roman"/>
          <w:b/>
          <w:color w:val="auto"/>
          <w:sz w:val="28"/>
          <w:szCs w:val="28"/>
          <w:highlight w:val="none"/>
        </w:rPr>
        <w:t xml:space="preserve"> 液压润滑系统</w:t>
      </w:r>
      <w:bookmarkEnd w:id="389"/>
      <w:bookmarkEnd w:id="390"/>
      <w:bookmarkEnd w:id="391"/>
      <w:bookmarkEnd w:id="392"/>
      <w:bookmarkEnd w:id="393"/>
      <w:bookmarkEnd w:id="394"/>
    </w:p>
    <w:p w14:paraId="195B5ABA">
      <w:pPr>
        <w:shd w:val="clear"/>
        <w:tabs>
          <w:tab w:val="left" w:pos="1841"/>
        </w:tabs>
        <w:ind w:right="-1"/>
        <w:rPr>
          <w:rFonts w:ascii="Times New Roman" w:hAnsi="Times New Roman" w:cs="Times New Roman"/>
          <w:color w:val="auto"/>
          <w:highlight w:val="none"/>
        </w:rPr>
      </w:pPr>
      <w:r>
        <w:rPr>
          <w:rFonts w:hint="eastAsia" w:ascii="Times New Roman" w:hAnsi="Times New Roman" w:cs="Times New Roman"/>
          <w:color w:val="auto"/>
          <w:szCs w:val="21"/>
          <w:highlight w:val="none"/>
        </w:rPr>
        <w:t>甘肃酒钢集团宏兴钢铁股份有限公司</w:t>
      </w:r>
      <w:r>
        <w:rPr>
          <w:rFonts w:ascii="Times New Roman" w:hAnsi="Times New Roman" w:cs="Times New Roman"/>
          <w:color w:val="auto"/>
          <w:szCs w:val="21"/>
          <w:highlight w:val="none"/>
        </w:rPr>
        <w:t>炼铁厂2号高炉优化升级及超低排改造项目，液压润滑系统改造方案如下</w:t>
      </w:r>
      <w:r>
        <w:rPr>
          <w:rFonts w:ascii="Times New Roman" w:hAnsi="Times New Roman" w:cs="Times New Roman"/>
          <w:color w:val="auto"/>
          <w:highlight w:val="none"/>
        </w:rPr>
        <w:t>：</w:t>
      </w:r>
    </w:p>
    <w:p w14:paraId="4A109760">
      <w:pPr>
        <w:shd w:val="clear"/>
        <w:tabs>
          <w:tab w:val="left" w:pos="1841"/>
        </w:tabs>
        <w:ind w:right="-1" w:firstLine="0" w:firstLineChars="0"/>
        <w:rPr>
          <w:rFonts w:ascii="Times New Roman" w:hAnsi="Times New Roman" w:cs="Times New Roman"/>
          <w:color w:val="auto"/>
          <w:highlight w:val="none"/>
        </w:rPr>
      </w:pPr>
      <w:r>
        <w:rPr>
          <w:rFonts w:ascii="Times New Roman" w:hAnsi="Times New Roman" w:cs="Times New Roman"/>
          <w:color w:val="auto"/>
          <w:highlight w:val="none"/>
        </w:rPr>
        <w:t>2.1</w:t>
      </w:r>
      <w:r>
        <w:rPr>
          <w:rFonts w:hint="eastAsia" w:ascii="Times New Roman" w:hAnsi="Times New Roman" w:cs="Times New Roman"/>
          <w:color w:val="auto"/>
          <w:highlight w:val="none"/>
        </w:rPr>
        <w:t>1</w:t>
      </w:r>
      <w:r>
        <w:rPr>
          <w:rFonts w:ascii="Times New Roman" w:hAnsi="Times New Roman" w:cs="Times New Roman"/>
          <w:color w:val="auto"/>
          <w:highlight w:val="none"/>
        </w:rPr>
        <w:t>.1矿槽液压润滑站</w:t>
      </w:r>
    </w:p>
    <w:p w14:paraId="601E314C">
      <w:pPr>
        <w:numPr>
          <w:ilvl w:val="0"/>
          <w:numId w:val="20"/>
        </w:numPr>
        <w:shd w:val="clear"/>
        <w:tabs>
          <w:tab w:val="left" w:pos="1841"/>
        </w:tabs>
        <w:ind w:left="0" w:right="-1"/>
        <w:rPr>
          <w:rFonts w:ascii="Times New Roman" w:hAnsi="Times New Roman" w:cs="Times New Roman"/>
          <w:color w:val="auto"/>
          <w:highlight w:val="none"/>
        </w:rPr>
      </w:pPr>
      <w:r>
        <w:rPr>
          <w:rFonts w:ascii="Times New Roman" w:hAnsi="Times New Roman" w:cs="Times New Roman"/>
          <w:color w:val="auto"/>
          <w:highlight w:val="none"/>
        </w:rPr>
        <w:t>槽下液压站油箱、阀台利旧，油箱增加回油过滤器压差检测报警装置</w:t>
      </w:r>
      <w:r>
        <w:rPr>
          <w:rFonts w:hint="eastAsia" w:ascii="Times New Roman" w:hAnsi="Times New Roman" w:cs="Times New Roman"/>
          <w:color w:val="auto"/>
          <w:highlight w:val="none"/>
        </w:rPr>
        <w:t>。槽下现有液压系统利旧，</w:t>
      </w:r>
      <w:r>
        <w:rPr>
          <w:rFonts w:hint="eastAsia" w:ascii="Times New Roman" w:hAnsi="Times New Roman" w:cs="Times New Roman"/>
          <w:color w:val="auto"/>
          <w:highlight w:val="none"/>
          <w:lang w:val="en-US" w:eastAsia="zh-CN"/>
        </w:rPr>
        <w:t>对施工中有损坏的</w:t>
      </w:r>
      <w:r>
        <w:rPr>
          <w:rFonts w:hint="eastAsia" w:ascii="Times New Roman" w:hAnsi="Times New Roman" w:cs="Times New Roman"/>
          <w:color w:val="auto"/>
          <w:highlight w:val="none"/>
        </w:rPr>
        <w:t>管道保温设施</w:t>
      </w:r>
      <w:r>
        <w:rPr>
          <w:rFonts w:hint="eastAsia" w:ascii="Times New Roman" w:hAnsi="Times New Roman" w:cs="Times New Roman"/>
          <w:color w:val="auto"/>
          <w:highlight w:val="none"/>
          <w:lang w:val="en-US" w:eastAsia="zh-CN"/>
        </w:rPr>
        <w:t>进行</w:t>
      </w:r>
      <w:r>
        <w:rPr>
          <w:rFonts w:hint="eastAsia" w:ascii="Times New Roman" w:hAnsi="Times New Roman" w:cs="Times New Roman"/>
          <w:color w:val="auto"/>
          <w:highlight w:val="none"/>
        </w:rPr>
        <w:t>修复。</w:t>
      </w:r>
    </w:p>
    <w:p w14:paraId="3C5AC775">
      <w:pPr>
        <w:numPr>
          <w:ilvl w:val="0"/>
          <w:numId w:val="20"/>
        </w:numPr>
        <w:shd w:val="clear"/>
        <w:tabs>
          <w:tab w:val="left" w:pos="1841"/>
        </w:tabs>
        <w:ind w:left="0" w:right="-1"/>
        <w:rPr>
          <w:rFonts w:ascii="Times New Roman" w:hAnsi="Times New Roman" w:cs="Times New Roman"/>
          <w:color w:val="auto"/>
          <w:highlight w:val="none"/>
        </w:rPr>
      </w:pPr>
      <w:r>
        <w:rPr>
          <w:rFonts w:ascii="Times New Roman" w:hAnsi="Times New Roman" w:cs="Times New Roman"/>
          <w:color w:val="auto"/>
          <w:highlight w:val="none"/>
        </w:rPr>
        <w:t>新增</w:t>
      </w:r>
      <w:r>
        <w:rPr>
          <w:rFonts w:hint="eastAsia" w:ascii="Times New Roman" w:hAnsi="Times New Roman" w:cs="Times New Roman"/>
          <w:color w:val="auto"/>
          <w:highlight w:val="none"/>
        </w:rPr>
        <w:t>槽上、</w:t>
      </w:r>
      <w:r>
        <w:rPr>
          <w:rFonts w:ascii="Times New Roman" w:hAnsi="Times New Roman" w:cs="Times New Roman"/>
          <w:color w:val="auto"/>
          <w:highlight w:val="none"/>
        </w:rPr>
        <w:t>槽下双线集中干油润滑系统</w:t>
      </w:r>
      <w:r>
        <w:rPr>
          <w:rFonts w:hint="eastAsia" w:ascii="Times New Roman" w:hAnsi="Times New Roman" w:cs="Times New Roman"/>
          <w:color w:val="auto"/>
          <w:highlight w:val="none"/>
        </w:rPr>
        <w:t>共2套</w:t>
      </w:r>
      <w:r>
        <w:rPr>
          <w:rFonts w:ascii="Times New Roman" w:hAnsi="Times New Roman" w:cs="Times New Roman"/>
          <w:color w:val="auto"/>
          <w:highlight w:val="none"/>
        </w:rPr>
        <w:t>，用于满足矿焦槽系统的槽下振动筛设备传动部件及矿槽内皮带机机头机尾滚筒的润滑</w:t>
      </w:r>
      <w:r>
        <w:rPr>
          <w:rFonts w:hint="eastAsia" w:ascii="Times New Roman" w:hAnsi="Times New Roman" w:cs="Times New Roman"/>
          <w:color w:val="auto"/>
          <w:highlight w:val="none"/>
        </w:rPr>
        <w:t>。</w:t>
      </w:r>
    </w:p>
    <w:p w14:paraId="16FD2843">
      <w:pPr>
        <w:shd w:val="clear"/>
        <w:rPr>
          <w:rFonts w:ascii="Times New Roman" w:hAnsi="Times New Roman" w:cs="Times New Roman"/>
          <w:color w:val="auto"/>
          <w:highlight w:val="none"/>
        </w:rPr>
      </w:pPr>
      <w:r>
        <w:rPr>
          <w:rFonts w:cs="宋体"/>
          <w:color w:val="auto"/>
          <w:highlight w:val="none"/>
        </w:rPr>
        <w:t>其中，焦炭筛采用激振器形式，需设置集中润滑；其他筛子采用振动电机形式，不需设置集中润滑。酸返皮带机</w:t>
      </w:r>
      <w:r>
        <w:rPr>
          <w:rFonts w:hint="eastAsia" w:cs="宋体"/>
          <w:color w:val="auto"/>
          <w:highlight w:val="none"/>
          <w:lang w:val="en-US" w:eastAsia="zh-CN"/>
        </w:rPr>
        <w:t>机尾和北碱返皮带机机头</w:t>
      </w:r>
      <w:r>
        <w:rPr>
          <w:rFonts w:cs="宋体"/>
          <w:color w:val="auto"/>
          <w:highlight w:val="none"/>
        </w:rPr>
        <w:t>用1#高炉的润滑，酸返皮带机机头</w:t>
      </w:r>
      <w:r>
        <w:rPr>
          <w:rFonts w:hint="eastAsia" w:cs="宋体"/>
          <w:color w:val="auto"/>
          <w:highlight w:val="none"/>
          <w:lang w:val="en-US" w:eastAsia="zh-CN"/>
        </w:rPr>
        <w:t>和南碱返皮带机机头</w:t>
      </w:r>
      <w:r>
        <w:rPr>
          <w:rFonts w:cs="宋体"/>
          <w:color w:val="auto"/>
          <w:highlight w:val="none"/>
        </w:rPr>
        <w:t>用</w:t>
      </w:r>
      <w:r>
        <w:rPr>
          <w:rFonts w:hint="eastAsia"/>
          <w:color w:val="auto"/>
          <w:highlight w:val="none"/>
        </w:rPr>
        <w:t>返矿外运系统的1</w:t>
      </w:r>
      <w:r>
        <w:rPr>
          <w:color w:val="auto"/>
          <w:highlight w:val="none"/>
        </w:rPr>
        <w:t>#</w:t>
      </w:r>
      <w:r>
        <w:rPr>
          <w:rFonts w:hint="eastAsia"/>
          <w:color w:val="auto"/>
          <w:highlight w:val="none"/>
        </w:rPr>
        <w:t>集中润滑泵</w:t>
      </w:r>
      <w:r>
        <w:rPr>
          <w:rFonts w:cs="宋体"/>
          <w:color w:val="auto"/>
          <w:highlight w:val="none"/>
        </w:rPr>
        <w:t>。槽上润滑点包括：3条槽上皮带机（42#</w:t>
      </w:r>
      <w:r>
        <w:rPr>
          <w:rFonts w:hint="eastAsia" w:cs="宋体"/>
          <w:color w:val="auto"/>
          <w:highlight w:val="none"/>
          <w:lang w:eastAsia="zh-CN"/>
        </w:rPr>
        <w:t xml:space="preserve"> </w:t>
      </w:r>
      <w:r>
        <w:rPr>
          <w:rFonts w:cs="宋体"/>
          <w:color w:val="auto"/>
          <w:highlight w:val="none"/>
        </w:rPr>
        <w:t>43#</w:t>
      </w:r>
      <w:r>
        <w:rPr>
          <w:rFonts w:hint="eastAsia" w:cs="宋体"/>
          <w:color w:val="auto"/>
          <w:highlight w:val="none"/>
          <w:lang w:eastAsia="zh-CN"/>
        </w:rPr>
        <w:t xml:space="preserve"> </w:t>
      </w:r>
      <w:r>
        <w:rPr>
          <w:rFonts w:cs="宋体"/>
          <w:color w:val="auto"/>
          <w:highlight w:val="none"/>
        </w:rPr>
        <w:t>44#机头、机尾）、卸料车、槽前来料1条皮带机头（38机头）、1#高炉槽上39/40/41皮带机尾。槽下润滑点包括：南上料皮带机、北上料皮带机（机头、机尾）、焦炭筛、南北碱</w:t>
      </w:r>
      <w:r>
        <w:rPr>
          <w:rFonts w:hint="eastAsia" w:cs="宋体"/>
          <w:color w:val="auto"/>
          <w:highlight w:val="none"/>
          <w:lang w:val="en-US" w:eastAsia="zh-CN"/>
        </w:rPr>
        <w:t>返</w:t>
      </w:r>
      <w:r>
        <w:rPr>
          <w:rFonts w:cs="宋体"/>
          <w:color w:val="auto"/>
          <w:highlight w:val="none"/>
        </w:rPr>
        <w:t>皮带机机尾。</w:t>
      </w:r>
    </w:p>
    <w:p w14:paraId="33CFA188">
      <w:pPr>
        <w:shd w:val="clear"/>
        <w:tabs>
          <w:tab w:val="left" w:pos="1841"/>
        </w:tabs>
        <w:ind w:left="480" w:leftChars="200" w:right="-1" w:firstLine="0" w:firstLineChars="0"/>
        <w:rPr>
          <w:rFonts w:ascii="Times New Roman" w:hAnsi="Times New Roman" w:cs="Times New Roman"/>
          <w:color w:val="auto"/>
          <w:highlight w:val="none"/>
        </w:rPr>
      </w:pPr>
      <w:r>
        <w:rPr>
          <w:rFonts w:hint="eastAsia" w:ascii="Times New Roman" w:hAnsi="Times New Roman" w:cs="Times New Roman"/>
          <w:color w:val="auto"/>
          <w:highlight w:val="none"/>
        </w:rPr>
        <w:t>润滑系统</w:t>
      </w:r>
      <w:r>
        <w:rPr>
          <w:rFonts w:ascii="Times New Roman" w:hAnsi="Times New Roman" w:cs="Times New Roman"/>
          <w:color w:val="auto"/>
          <w:highlight w:val="none"/>
        </w:rPr>
        <w:t>具体参数如下：</w:t>
      </w:r>
      <w:r>
        <w:rPr>
          <w:rFonts w:hint="eastAsia" w:ascii="Times New Roman" w:hAnsi="Times New Roman" w:cs="Times New Roman"/>
          <w:color w:val="auto"/>
          <w:highlight w:val="none"/>
        </w:rPr>
        <w:t>（每套参数，共2套）</w:t>
      </w:r>
    </w:p>
    <w:p w14:paraId="379990D2">
      <w:pPr>
        <w:shd w:val="clear"/>
        <w:tabs>
          <w:tab w:val="left" w:pos="1841"/>
        </w:tabs>
        <w:ind w:right="-1"/>
        <w:rPr>
          <w:rFonts w:ascii="Times New Roman" w:hAnsi="Times New Roman" w:cs="Times New Roman"/>
          <w:color w:val="auto"/>
          <w:szCs w:val="21"/>
          <w:highlight w:val="none"/>
        </w:rPr>
      </w:pPr>
      <w:r>
        <w:rPr>
          <w:rFonts w:ascii="Times New Roman" w:hAnsi="Times New Roman" w:cs="Times New Roman"/>
          <w:color w:val="auto"/>
          <w:szCs w:val="21"/>
          <w:highlight w:val="none"/>
        </w:rPr>
        <w:t>工作压力 ：        40 MPa</w:t>
      </w:r>
    </w:p>
    <w:p w14:paraId="0E01B78F">
      <w:pPr>
        <w:shd w:val="clear"/>
        <w:tabs>
          <w:tab w:val="left" w:pos="1841"/>
        </w:tabs>
        <w:ind w:right="-1"/>
        <w:rPr>
          <w:rFonts w:ascii="Times New Roman" w:hAnsi="Times New Roman" w:cs="Times New Roman"/>
          <w:color w:val="auto"/>
          <w:szCs w:val="21"/>
          <w:highlight w:val="none"/>
        </w:rPr>
      </w:pPr>
      <w:r>
        <w:rPr>
          <w:rFonts w:ascii="Times New Roman" w:hAnsi="Times New Roman" w:cs="Times New Roman"/>
          <w:color w:val="auto"/>
          <w:szCs w:val="21"/>
          <w:highlight w:val="none"/>
        </w:rPr>
        <w:t>工作介质：         NLGI  2#锂基润滑脂</w:t>
      </w:r>
    </w:p>
    <w:p w14:paraId="4E47F0A7">
      <w:pPr>
        <w:shd w:val="clear"/>
        <w:tabs>
          <w:tab w:val="left" w:pos="1841"/>
        </w:tabs>
        <w:ind w:right="-1"/>
        <w:rPr>
          <w:rFonts w:ascii="Times New Roman" w:hAnsi="Times New Roman" w:cs="Times New Roman"/>
          <w:color w:val="auto"/>
          <w:szCs w:val="21"/>
          <w:highlight w:val="none"/>
        </w:rPr>
      </w:pPr>
      <w:r>
        <w:rPr>
          <w:rFonts w:ascii="Times New Roman" w:hAnsi="Times New Roman" w:cs="Times New Roman"/>
          <w:color w:val="auto"/>
          <w:szCs w:val="21"/>
          <w:highlight w:val="none"/>
        </w:rPr>
        <w:t>润滑泵：           1台，Q=</w:t>
      </w:r>
      <w:r>
        <w:rPr>
          <w:rFonts w:hint="eastAsia" w:ascii="Times New Roman" w:hAnsi="Times New Roman" w:cs="Times New Roman"/>
          <w:color w:val="auto"/>
          <w:szCs w:val="21"/>
          <w:highlight w:val="none"/>
        </w:rPr>
        <w:t>325</w:t>
      </w:r>
      <w:r>
        <w:rPr>
          <w:rFonts w:ascii="Times New Roman" w:hAnsi="Times New Roman" w:cs="Times New Roman"/>
          <w:color w:val="auto"/>
          <w:szCs w:val="21"/>
          <w:highlight w:val="none"/>
        </w:rPr>
        <w:t xml:space="preserve">mL/min， P=40 MPa </w:t>
      </w:r>
    </w:p>
    <w:p w14:paraId="594A4C68">
      <w:pPr>
        <w:shd w:val="clear"/>
        <w:tabs>
          <w:tab w:val="left" w:pos="1841"/>
        </w:tabs>
        <w:ind w:right="-1"/>
        <w:rPr>
          <w:rFonts w:ascii="Times New Roman" w:hAnsi="Times New Roman" w:cs="Times New Roman"/>
          <w:color w:val="auto"/>
          <w:szCs w:val="21"/>
          <w:highlight w:val="none"/>
        </w:rPr>
      </w:pPr>
      <w:r>
        <w:rPr>
          <w:rFonts w:ascii="Times New Roman" w:hAnsi="Times New Roman" w:cs="Times New Roman"/>
          <w:color w:val="auto"/>
          <w:szCs w:val="21"/>
          <w:highlight w:val="none"/>
        </w:rPr>
        <w:t>润滑泵电机：       1</w:t>
      </w:r>
      <w:r>
        <w:rPr>
          <w:rFonts w:hint="eastAsia" w:ascii="Times New Roman" w:hAnsi="Times New Roman" w:cs="Times New Roman"/>
          <w:color w:val="auto"/>
          <w:szCs w:val="21"/>
          <w:highlight w:val="none"/>
          <w:lang w:val="en-US" w:eastAsia="zh-CN"/>
        </w:rPr>
        <w:t>+1</w:t>
      </w:r>
      <w:r>
        <w:rPr>
          <w:rFonts w:ascii="Times New Roman" w:hAnsi="Times New Roman" w:cs="Times New Roman"/>
          <w:color w:val="auto"/>
          <w:szCs w:val="21"/>
          <w:highlight w:val="none"/>
        </w:rPr>
        <w:t>台，N=1.5KW</w:t>
      </w:r>
    </w:p>
    <w:p w14:paraId="72798371">
      <w:pPr>
        <w:shd w:val="clear"/>
        <w:tabs>
          <w:tab w:val="left" w:pos="1841"/>
        </w:tabs>
        <w:ind w:right="-1"/>
        <w:rPr>
          <w:rFonts w:ascii="Times New Roman" w:hAnsi="Times New Roman" w:cs="Times New Roman"/>
          <w:color w:val="auto"/>
          <w:szCs w:val="21"/>
          <w:highlight w:val="none"/>
        </w:rPr>
      </w:pPr>
      <w:r>
        <w:rPr>
          <w:rFonts w:ascii="Times New Roman" w:hAnsi="Times New Roman" w:cs="Times New Roman"/>
          <w:color w:val="auto"/>
          <w:szCs w:val="21"/>
          <w:highlight w:val="none"/>
        </w:rPr>
        <w:t>储油筒容积：       100L</w:t>
      </w:r>
    </w:p>
    <w:p w14:paraId="27FE90D8">
      <w:pPr>
        <w:shd w:val="clear"/>
        <w:tabs>
          <w:tab w:val="left" w:pos="1841"/>
        </w:tabs>
        <w:ind w:right="-1"/>
        <w:rPr>
          <w:rFonts w:ascii="Times New Roman" w:hAnsi="Times New Roman" w:cs="Times New Roman"/>
          <w:color w:val="auto"/>
          <w:szCs w:val="21"/>
          <w:highlight w:val="none"/>
        </w:rPr>
      </w:pPr>
      <w:r>
        <w:rPr>
          <w:rFonts w:ascii="Times New Roman" w:hAnsi="Times New Roman" w:cs="Times New Roman"/>
          <w:color w:val="auto"/>
          <w:szCs w:val="21"/>
          <w:highlight w:val="none"/>
        </w:rPr>
        <w:t>压力控制器：</w:t>
      </w:r>
    </w:p>
    <w:p w14:paraId="58839CC2">
      <w:pPr>
        <w:shd w:val="clear"/>
        <w:tabs>
          <w:tab w:val="left" w:pos="1841"/>
        </w:tabs>
        <w:ind w:right="-1"/>
        <w:rPr>
          <w:rFonts w:ascii="Times New Roman" w:hAnsi="Times New Roman" w:cs="Times New Roman"/>
          <w:color w:val="auto"/>
          <w:szCs w:val="21"/>
          <w:highlight w:val="none"/>
        </w:rPr>
      </w:pPr>
      <w:r>
        <w:rPr>
          <w:rFonts w:ascii="Times New Roman" w:hAnsi="Times New Roman" w:cs="Times New Roman"/>
          <w:color w:val="auto"/>
          <w:szCs w:val="21"/>
          <w:highlight w:val="none"/>
        </w:rPr>
        <w:t xml:space="preserve">两位四通换向阀：   1件    </w:t>
      </w:r>
    </w:p>
    <w:p w14:paraId="0D031733">
      <w:pPr>
        <w:shd w:val="clear"/>
        <w:tabs>
          <w:tab w:val="left" w:pos="1841"/>
        </w:tabs>
        <w:ind w:right="-1"/>
        <w:rPr>
          <w:rFonts w:ascii="Times New Roman" w:hAnsi="Times New Roman" w:cs="Times New Roman"/>
          <w:color w:val="auto"/>
          <w:szCs w:val="21"/>
          <w:highlight w:val="none"/>
        </w:rPr>
      </w:pPr>
      <w:r>
        <w:rPr>
          <w:rFonts w:ascii="Times New Roman" w:hAnsi="Times New Roman" w:cs="Times New Roman"/>
          <w:color w:val="auto"/>
          <w:szCs w:val="21"/>
          <w:highlight w:val="none"/>
        </w:rPr>
        <w:t>驱动方式：         DC24V直流电机，功率：40W，换向时间 ：0.5S</w:t>
      </w:r>
    </w:p>
    <w:p w14:paraId="7D3EBD88">
      <w:pPr>
        <w:shd w:val="clear"/>
        <w:tabs>
          <w:tab w:val="left" w:pos="1841"/>
        </w:tabs>
        <w:ind w:right="-1"/>
        <w:rPr>
          <w:rFonts w:ascii="Times New Roman" w:hAnsi="Times New Roman" w:cs="Times New Roman"/>
          <w:color w:val="auto"/>
          <w:szCs w:val="21"/>
          <w:highlight w:val="none"/>
        </w:rPr>
      </w:pPr>
      <w:r>
        <w:rPr>
          <w:rFonts w:ascii="Times New Roman" w:hAnsi="Times New Roman" w:cs="Times New Roman"/>
          <w:color w:val="auto"/>
          <w:szCs w:val="21"/>
          <w:highlight w:val="none"/>
        </w:rPr>
        <w:t>补脂泵：           1台，</w:t>
      </w:r>
    </w:p>
    <w:p w14:paraId="4D9C8085">
      <w:pPr>
        <w:shd w:val="clear"/>
        <w:tabs>
          <w:tab w:val="left" w:pos="1841"/>
        </w:tabs>
        <w:ind w:right="-1"/>
        <w:rPr>
          <w:rFonts w:ascii="Times New Roman" w:hAnsi="Times New Roman" w:cs="Times New Roman"/>
          <w:color w:val="auto"/>
          <w:highlight w:val="none"/>
        </w:rPr>
      </w:pPr>
      <w:r>
        <w:rPr>
          <w:rFonts w:ascii="Times New Roman" w:hAnsi="Times New Roman" w:cs="Times New Roman"/>
          <w:color w:val="auto"/>
          <w:highlight w:val="none"/>
        </w:rPr>
        <w:t xml:space="preserve">补脂泵电机：       1台，  </w:t>
      </w:r>
      <w:r>
        <w:rPr>
          <w:rFonts w:ascii="Times New Roman" w:hAnsi="Times New Roman" w:cs="Times New Roman"/>
          <w:color w:val="auto"/>
          <w:szCs w:val="21"/>
          <w:highlight w:val="none"/>
        </w:rPr>
        <w:t>N=1.1KW</w:t>
      </w:r>
    </w:p>
    <w:p w14:paraId="71808628">
      <w:pPr>
        <w:shd w:val="clear"/>
        <w:tabs>
          <w:tab w:val="left" w:pos="1841"/>
        </w:tabs>
        <w:ind w:right="-1"/>
        <w:rPr>
          <w:rFonts w:ascii="Times New Roman" w:hAnsi="Times New Roman" w:cs="Times New Roman"/>
          <w:color w:val="auto"/>
          <w:szCs w:val="21"/>
          <w:highlight w:val="none"/>
        </w:rPr>
      </w:pPr>
      <w:r>
        <w:rPr>
          <w:rFonts w:ascii="Times New Roman" w:hAnsi="Times New Roman" w:cs="Times New Roman"/>
          <w:color w:val="auto"/>
          <w:szCs w:val="21"/>
          <w:highlight w:val="none"/>
        </w:rPr>
        <w:t>电气控制柜（PLC）： 1套</w:t>
      </w:r>
    </w:p>
    <w:p w14:paraId="05A77CC9">
      <w:pPr>
        <w:shd w:val="clear"/>
        <w:tabs>
          <w:tab w:val="left" w:pos="1841"/>
        </w:tabs>
        <w:ind w:right="-1"/>
        <w:rPr>
          <w:rFonts w:ascii="Times New Roman" w:hAnsi="Times New Roman" w:cs="Times New Roman"/>
          <w:color w:val="auto"/>
          <w:szCs w:val="21"/>
          <w:highlight w:val="none"/>
        </w:rPr>
      </w:pPr>
      <w:r>
        <w:rPr>
          <w:rFonts w:ascii="Times New Roman" w:hAnsi="Times New Roman" w:cs="Times New Roman"/>
          <w:color w:val="auto"/>
          <w:szCs w:val="21"/>
          <w:highlight w:val="none"/>
        </w:rPr>
        <w:t>所有电器元件、润滑元件集成在一个底座上。</w:t>
      </w:r>
    </w:p>
    <w:p w14:paraId="78B95B4C">
      <w:pPr>
        <w:shd w:val="clear"/>
        <w:tabs>
          <w:tab w:val="left" w:pos="1841"/>
        </w:tabs>
        <w:ind w:left="420" w:right="-1"/>
        <w:rPr>
          <w:rFonts w:ascii="Times New Roman" w:hAnsi="Times New Roman" w:cs="Times New Roman"/>
          <w:color w:val="auto"/>
          <w:highlight w:val="none"/>
        </w:rPr>
      </w:pPr>
      <w:r>
        <w:rPr>
          <w:rFonts w:hint="eastAsia" w:ascii="Times New Roman" w:hAnsi="Times New Roman" w:cs="Times New Roman"/>
          <w:color w:val="auto"/>
          <w:highlight w:val="none"/>
        </w:rPr>
        <w:t>1#</w:t>
      </w:r>
      <w:r>
        <w:rPr>
          <w:rFonts w:ascii="Times New Roman" w:hAnsi="Times New Roman" w:cs="Times New Roman"/>
          <w:color w:val="auto"/>
          <w:highlight w:val="none"/>
        </w:rPr>
        <w:t>干油润滑站布置在槽下液压站内，</w:t>
      </w:r>
      <w:r>
        <w:rPr>
          <w:rFonts w:hint="eastAsia" w:ascii="Times New Roman" w:hAnsi="Times New Roman" w:cs="Times New Roman"/>
          <w:color w:val="auto"/>
          <w:highlight w:val="none"/>
        </w:rPr>
        <w:t>2#干油润滑站布置在18~19轴线处14m平台上。</w:t>
      </w:r>
      <w:r>
        <w:rPr>
          <w:rFonts w:ascii="Times New Roman" w:hAnsi="Times New Roman" w:cs="Times New Roman"/>
          <w:color w:val="auto"/>
          <w:highlight w:val="none"/>
        </w:rPr>
        <w:t>系统使用国产高压系列润滑元件，润滑脂采用2#极压锂基脂。润滑管路采用优质碳钢管（GB/T 8163-2018）</w:t>
      </w:r>
      <w:r>
        <w:rPr>
          <w:rFonts w:hint="eastAsia" w:ascii="Times New Roman" w:hAnsi="Times New Roman" w:cs="Times New Roman"/>
          <w:color w:val="auto"/>
          <w:highlight w:val="none"/>
        </w:rPr>
        <w:t>，</w:t>
      </w:r>
      <w:r>
        <w:rPr>
          <w:rFonts w:hint="eastAsia" w:ascii="Times New Roman" w:hAnsi="Times New Roman" w:cs="Times New Roman"/>
          <w:color w:val="auto"/>
          <w:highlight w:val="none"/>
          <w:lang w:val="en-US" w:eastAsia="zh-CN"/>
        </w:rPr>
        <w:t>主管路采用</w:t>
      </w:r>
      <w:r>
        <w:rPr>
          <w:rFonts w:hint="eastAsia" w:ascii="Times New Roman" w:hAnsi="Times New Roman" w:eastAsia="宋体" w:cs="Times New Roman"/>
          <w:color w:val="auto"/>
          <w:highlight w:val="none"/>
          <w:lang w:val="en-US" w:eastAsia="zh-CN"/>
        </w:rPr>
        <w:t xml:space="preserve"> ∅28*4</w:t>
      </w:r>
      <w:r>
        <w:rPr>
          <w:rFonts w:hint="eastAsia" w:ascii="Times New Roman" w:hAnsi="Times New Roman" w:cs="Times New Roman"/>
          <w:color w:val="auto"/>
          <w:highlight w:val="none"/>
          <w:lang w:val="en-US" w:eastAsia="zh-CN"/>
        </w:rPr>
        <w:t>碳钢无缝钢管，</w:t>
      </w:r>
      <w:r>
        <w:rPr>
          <w:rFonts w:ascii="Times New Roman" w:hAnsi="Times New Roman" w:cs="Times New Roman"/>
          <w:color w:val="auto"/>
          <w:highlight w:val="none"/>
        </w:rPr>
        <w:t>管路设置蒸汽伴热和保温</w:t>
      </w:r>
      <w:r>
        <w:rPr>
          <w:rFonts w:hint="eastAsia" w:ascii="Times New Roman" w:hAnsi="Times New Roman" w:cs="Times New Roman"/>
          <w:color w:val="auto"/>
          <w:highlight w:val="none"/>
          <w:lang w:eastAsia="zh-CN"/>
        </w:rPr>
        <w:t>（</w:t>
      </w:r>
      <w:r>
        <w:rPr>
          <w:rFonts w:hint="eastAsia" w:ascii="Times New Roman" w:hAnsi="Times New Roman" w:eastAsia="宋体" w:cs="Times New Roman"/>
          <w:color w:val="auto"/>
          <w:highlight w:val="none"/>
        </w:rPr>
        <w:t>保温厚度</w:t>
      </w: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rPr>
        <w:t>0mm，包含岩棉、镀锌铁皮厚度0.</w:t>
      </w:r>
      <w:r>
        <w:rPr>
          <w:rFonts w:hint="eastAsia" w:ascii="Times New Roman" w:hAnsi="Times New Roman" w:cs="Times New Roman"/>
          <w:color w:val="auto"/>
          <w:highlight w:val="none"/>
          <w:lang w:val="en-US" w:eastAsia="zh-CN"/>
        </w:rPr>
        <w:t>5</w:t>
      </w:r>
      <w:r>
        <w:rPr>
          <w:rFonts w:hint="eastAsia" w:ascii="Times New Roman" w:hAnsi="Times New Roman" w:eastAsia="宋体" w:cs="Times New Roman"/>
          <w:color w:val="auto"/>
          <w:highlight w:val="none"/>
        </w:rPr>
        <w:t>mm、销钉、托板</w:t>
      </w:r>
      <w:r>
        <w:rPr>
          <w:rFonts w:hint="eastAsia" w:ascii="Times New Roman" w:hAnsi="Times New Roman" w:eastAsia="宋体" w:cs="Times New Roman"/>
          <w:color w:val="auto"/>
          <w:highlight w:val="none"/>
          <w:lang w:eastAsia="zh-CN"/>
        </w:rPr>
        <w:t>）</w:t>
      </w:r>
      <w:r>
        <w:rPr>
          <w:rFonts w:ascii="Times New Roman" w:hAnsi="Times New Roman" w:cs="Times New Roman"/>
          <w:color w:val="auto"/>
          <w:highlight w:val="none"/>
        </w:rPr>
        <w:t>。</w:t>
      </w:r>
    </w:p>
    <w:p w14:paraId="327A392F">
      <w:pPr>
        <w:shd w:val="clear"/>
        <w:tabs>
          <w:tab w:val="left" w:pos="1841"/>
        </w:tabs>
        <w:ind w:right="-1" w:firstLine="0" w:firstLineChars="0"/>
        <w:rPr>
          <w:rFonts w:ascii="Times New Roman" w:hAnsi="Times New Roman" w:cs="Times New Roman"/>
          <w:color w:val="auto"/>
          <w:highlight w:val="none"/>
        </w:rPr>
      </w:pPr>
      <w:r>
        <w:rPr>
          <w:rFonts w:ascii="Times New Roman" w:hAnsi="Times New Roman" w:cs="Times New Roman"/>
          <w:color w:val="auto"/>
          <w:highlight w:val="none"/>
        </w:rPr>
        <w:t>2.1</w:t>
      </w:r>
      <w:r>
        <w:rPr>
          <w:rFonts w:hint="eastAsia" w:ascii="Times New Roman" w:hAnsi="Times New Roman" w:cs="Times New Roman"/>
          <w:color w:val="auto"/>
          <w:highlight w:val="none"/>
        </w:rPr>
        <w:t>1</w:t>
      </w:r>
      <w:r>
        <w:rPr>
          <w:rFonts w:ascii="Times New Roman" w:hAnsi="Times New Roman" w:cs="Times New Roman"/>
          <w:color w:val="auto"/>
          <w:highlight w:val="none"/>
        </w:rPr>
        <w:t>.2炉顶液压润滑站</w:t>
      </w:r>
    </w:p>
    <w:p w14:paraId="0F181C6F">
      <w:pPr>
        <w:numPr>
          <w:ilvl w:val="0"/>
          <w:numId w:val="0"/>
        </w:numPr>
        <w:shd w:val="clear"/>
        <w:tabs>
          <w:tab w:val="left" w:pos="1841"/>
        </w:tabs>
        <w:ind w:right="-1" w:rightChars="0" w:firstLine="480" w:firstLineChars="200"/>
        <w:rPr>
          <w:rFonts w:ascii="Times New Roman" w:hAnsi="Times New Roman" w:cs="Times New Roman"/>
          <w:color w:val="auto"/>
          <w:highlight w:val="none"/>
        </w:rPr>
      </w:pPr>
      <w:r>
        <w:rPr>
          <w:rFonts w:ascii="Times New Roman" w:hAnsi="Times New Roman" w:cs="Times New Roman"/>
          <w:color w:val="auto"/>
          <w:highlight w:val="none"/>
        </w:rPr>
        <w:t>炉顶液压站利旧。炉顶液压系统增加</w:t>
      </w:r>
      <w:r>
        <w:rPr>
          <w:rFonts w:hint="eastAsia" w:ascii="Times New Roman" w:hAnsi="Times New Roman" w:cs="Times New Roman"/>
          <w:color w:val="auto"/>
          <w:highlight w:val="none"/>
        </w:rPr>
        <w:t>1</w:t>
      </w:r>
      <w:r>
        <w:rPr>
          <w:rFonts w:ascii="Times New Roman" w:hAnsi="Times New Roman" w:cs="Times New Roman"/>
          <w:color w:val="auto"/>
          <w:highlight w:val="none"/>
        </w:rPr>
        <w:t>个阀组，用于控制炉顶DN300回收阀。新增液压元件采用国产品牌。新增相应的液压管道，液压管道采用不锈钢管</w:t>
      </w:r>
      <w:r>
        <w:rPr>
          <w:rFonts w:hint="eastAsia" w:ascii="Times New Roman" w:hAnsi="Times New Roman" w:eastAsia="宋体" w:cs="Times New Roman"/>
          <w:color w:val="auto"/>
          <w:highlight w:val="none"/>
          <w:lang w:val="en-US" w:eastAsia="zh-CN"/>
        </w:rPr>
        <w:t>∅28*4</w:t>
      </w:r>
      <w:r>
        <w:rPr>
          <w:rFonts w:ascii="Times New Roman" w:hAnsi="Times New Roman" w:cs="Times New Roman"/>
          <w:color w:val="auto"/>
          <w:highlight w:val="none"/>
        </w:rPr>
        <w:t>，管路设置蒸汽伴热和保温</w:t>
      </w:r>
      <w:r>
        <w:rPr>
          <w:rFonts w:hint="eastAsia" w:ascii="Times New Roman" w:hAnsi="Times New Roman" w:cs="Times New Roman"/>
          <w:color w:val="auto"/>
          <w:highlight w:val="none"/>
          <w:lang w:eastAsia="zh-CN"/>
        </w:rPr>
        <w:t>（</w:t>
      </w:r>
      <w:r>
        <w:rPr>
          <w:rFonts w:hint="eastAsia" w:ascii="Times New Roman" w:hAnsi="Times New Roman" w:eastAsia="宋体" w:cs="Times New Roman"/>
          <w:color w:val="auto"/>
          <w:highlight w:val="none"/>
        </w:rPr>
        <w:t>保温厚度</w:t>
      </w: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rPr>
        <w:t>0mm，包含岩棉、镀锌铁皮厚度0.</w:t>
      </w:r>
      <w:r>
        <w:rPr>
          <w:rFonts w:hint="eastAsia" w:ascii="Times New Roman" w:hAnsi="Times New Roman" w:cs="Times New Roman"/>
          <w:color w:val="auto"/>
          <w:highlight w:val="none"/>
          <w:lang w:val="en-US" w:eastAsia="zh-CN"/>
        </w:rPr>
        <w:t>5</w:t>
      </w:r>
      <w:r>
        <w:rPr>
          <w:rFonts w:hint="eastAsia" w:ascii="Times New Roman" w:hAnsi="Times New Roman" w:eastAsia="宋体" w:cs="Times New Roman"/>
          <w:color w:val="auto"/>
          <w:highlight w:val="none"/>
        </w:rPr>
        <w:t>mm、销钉、托板</w:t>
      </w:r>
      <w:r>
        <w:rPr>
          <w:rFonts w:hint="eastAsia" w:ascii="Times New Roman" w:hAnsi="Times New Roman" w:eastAsia="宋体" w:cs="Times New Roman"/>
          <w:color w:val="auto"/>
          <w:highlight w:val="none"/>
          <w:lang w:eastAsia="zh-CN"/>
        </w:rPr>
        <w:t>）</w:t>
      </w:r>
      <w:r>
        <w:rPr>
          <w:rFonts w:ascii="Times New Roman" w:hAnsi="Times New Roman" w:cs="Times New Roman"/>
          <w:color w:val="auto"/>
          <w:highlight w:val="none"/>
        </w:rPr>
        <w:t>。</w:t>
      </w:r>
    </w:p>
    <w:p w14:paraId="0B618DA8">
      <w:pPr>
        <w:shd w:val="clear"/>
        <w:tabs>
          <w:tab w:val="left" w:pos="1841"/>
        </w:tabs>
        <w:ind w:left="0" w:leftChars="0" w:right="-1" w:firstLine="480" w:firstLineChars="200"/>
        <w:rPr>
          <w:rFonts w:ascii="Times New Roman" w:hAnsi="Times New Roman" w:cs="Times New Roman"/>
          <w:color w:val="auto"/>
          <w:highlight w:val="none"/>
        </w:rPr>
      </w:pPr>
      <w:r>
        <w:rPr>
          <w:rFonts w:ascii="Times New Roman" w:hAnsi="Times New Roman" w:cs="Times New Roman"/>
          <w:color w:val="auto"/>
          <w:highlight w:val="none"/>
        </w:rPr>
        <w:t>炉顶液压站</w:t>
      </w:r>
      <w:r>
        <w:rPr>
          <w:rFonts w:hint="eastAsia" w:ascii="Times New Roman" w:hAnsi="Times New Roman"/>
          <w:color w:val="auto"/>
          <w:highlight w:val="none"/>
        </w:rPr>
        <w:t>对原有炉顶液压站旁工具柜改造</w:t>
      </w:r>
      <w:r>
        <w:rPr>
          <w:rFonts w:ascii="Times New Roman" w:hAnsi="Times New Roman" w:cs="Times New Roman"/>
          <w:color w:val="auto"/>
          <w:highlight w:val="none"/>
        </w:rPr>
        <w:t>，管路和电缆做相应的更新恢复。</w:t>
      </w:r>
    </w:p>
    <w:p w14:paraId="64364B00">
      <w:pPr>
        <w:shd w:val="clear"/>
        <w:tabs>
          <w:tab w:val="left" w:pos="1841"/>
        </w:tabs>
        <w:ind w:left="0" w:leftChars="0" w:right="-1" w:firstLine="480" w:firstLineChars="200"/>
        <w:rPr>
          <w:rFonts w:ascii="Times New Roman" w:hAnsi="Times New Roman" w:cs="Times New Roman"/>
          <w:color w:val="auto"/>
          <w:highlight w:val="none"/>
        </w:rPr>
      </w:pPr>
      <w:r>
        <w:rPr>
          <w:rFonts w:ascii="Times New Roman" w:hAnsi="Times New Roman" w:cs="Times New Roman"/>
          <w:color w:val="auto"/>
          <w:highlight w:val="none"/>
        </w:rPr>
        <w:t>炉顶</w:t>
      </w:r>
      <w:r>
        <w:rPr>
          <w:rFonts w:hint="eastAsia" w:ascii="Times New Roman" w:hAnsi="Times New Roman" w:cs="Times New Roman"/>
          <w:color w:val="auto"/>
          <w:highlight w:val="none"/>
        </w:rPr>
        <w:t>新</w:t>
      </w:r>
      <w:r>
        <w:rPr>
          <w:rFonts w:ascii="Times New Roman" w:hAnsi="Times New Roman" w:cs="Times New Roman"/>
          <w:color w:val="auto"/>
          <w:highlight w:val="none"/>
        </w:rPr>
        <w:t>增智能干油润滑站一套，采用智能润滑系统，定时定量自动向炉顶各设备供油。炉顶布料器</w:t>
      </w:r>
      <w:r>
        <w:rPr>
          <w:rFonts w:hint="eastAsia" w:ascii="Times New Roman" w:hAnsi="Times New Roman" w:cs="Times New Roman"/>
          <w:color w:val="auto"/>
          <w:highlight w:val="none"/>
        </w:rPr>
        <w:t>每</w:t>
      </w:r>
      <w:r>
        <w:rPr>
          <w:rFonts w:hint="eastAsia" w:ascii="Times New Roman" w:hAnsi="Times New Roman" w:cs="Times New Roman"/>
          <w:color w:val="auto"/>
          <w:highlight w:val="none"/>
          <w:lang w:eastAsia="zh-CN"/>
        </w:rPr>
        <w:t>个润滑点</w:t>
      </w:r>
      <w:r>
        <w:rPr>
          <w:rFonts w:hint="eastAsia" w:ascii="Times New Roman" w:hAnsi="Times New Roman" w:cs="Times New Roman"/>
          <w:color w:val="auto"/>
          <w:highlight w:val="none"/>
        </w:rPr>
        <w:t>为一个控制单</w:t>
      </w:r>
      <w:r>
        <w:rPr>
          <w:rFonts w:hint="eastAsia" w:ascii="Times New Roman" w:hAnsi="Times New Roman" w:cs="Times New Roman"/>
          <w:color w:val="auto"/>
          <w:highlight w:val="none"/>
          <w:lang w:eastAsia="zh-CN"/>
        </w:rPr>
        <w:t>元，</w:t>
      </w:r>
      <w:r>
        <w:rPr>
          <w:rFonts w:ascii="Times New Roman" w:hAnsi="Times New Roman" w:cs="Times New Roman"/>
          <w:color w:val="auto"/>
          <w:highlight w:val="none"/>
        </w:rPr>
        <w:t>其余炉顶各设备以一台设备为</w:t>
      </w:r>
      <w:r>
        <w:rPr>
          <w:rFonts w:hint="eastAsia" w:ascii="Times New Roman" w:hAnsi="Times New Roman" w:cs="Times New Roman"/>
          <w:color w:val="auto"/>
          <w:highlight w:val="none"/>
          <w:lang w:eastAsia="zh-CN"/>
        </w:rPr>
        <w:t>一个</w:t>
      </w:r>
      <w:r>
        <w:rPr>
          <w:rFonts w:ascii="Times New Roman" w:hAnsi="Times New Roman" w:cs="Times New Roman"/>
          <w:color w:val="auto"/>
          <w:highlight w:val="none"/>
        </w:rPr>
        <w:t>控制单元，每个控制单元设置一个给油器及流量计，通过递进式分配器给各个润滑点分配器润滑油，对控制单位内的润滑点的润滑量一起调节，每个给油器的润滑情况均可在控制室集中显示。每个点的润滑情况均可在控制室集中显示。炉顶润滑系统分为45分钟润滑回路和8小时润滑回路。</w:t>
      </w:r>
    </w:p>
    <w:p w14:paraId="5D8DFAAF">
      <w:pPr>
        <w:shd w:val="clear"/>
        <w:tabs>
          <w:tab w:val="left" w:pos="1841"/>
        </w:tabs>
        <w:ind w:right="-1"/>
        <w:rPr>
          <w:rFonts w:ascii="Times New Roman" w:hAnsi="Times New Roman" w:cs="Times New Roman"/>
          <w:color w:val="auto"/>
          <w:highlight w:val="none"/>
        </w:rPr>
      </w:pPr>
      <w:r>
        <w:rPr>
          <w:rFonts w:ascii="Times New Roman" w:hAnsi="Times New Roman" w:cs="Times New Roman"/>
          <w:color w:val="auto"/>
          <w:highlight w:val="none"/>
        </w:rPr>
        <w:t>智能润滑系统组成：包括润滑泵、加油泵、过滤器、截止阀、给油器、电控柜、上位机、电气元件、管道及管件。每套干油润滑采用智能终端控制，配备两台泵（配置称重油位计），一台工作，一台备用；当其中一个泵站出现问题时，另一个泵站能自动向润滑点供脂润滑。电动干油润滑系统设置自带桶式电动加油泵,其出口用软管与电动干油泵的贮油器连通</w:t>
      </w:r>
      <w:r>
        <w:rPr>
          <w:rFonts w:hint="eastAsia" w:ascii="Times New Roman" w:hAnsi="Times New Roman" w:cs="Times New Roman"/>
          <w:color w:val="auto"/>
          <w:highlight w:val="none"/>
        </w:rPr>
        <w:t>，</w:t>
      </w:r>
      <w:r>
        <w:rPr>
          <w:rFonts w:ascii="Times New Roman" w:hAnsi="Times New Roman" w:cs="Times New Roman"/>
          <w:color w:val="auto"/>
          <w:highlight w:val="none"/>
        </w:rPr>
        <w:t>以便实现自动加油。具体参数如下：</w:t>
      </w:r>
    </w:p>
    <w:p w14:paraId="15DE3350">
      <w:pPr>
        <w:shd w:val="clear"/>
        <w:tabs>
          <w:tab w:val="left" w:pos="1841"/>
        </w:tabs>
        <w:ind w:right="-1"/>
        <w:rPr>
          <w:rFonts w:ascii="Times New Roman" w:hAnsi="Times New Roman" w:cs="Times New Roman"/>
          <w:color w:val="auto"/>
          <w:szCs w:val="21"/>
          <w:highlight w:val="none"/>
        </w:rPr>
      </w:pPr>
      <w:r>
        <w:rPr>
          <w:rFonts w:ascii="Times New Roman" w:hAnsi="Times New Roman" w:cs="Times New Roman"/>
          <w:color w:val="auto"/>
          <w:szCs w:val="21"/>
          <w:highlight w:val="none"/>
        </w:rPr>
        <w:t>工作压力 ：        40 MPa</w:t>
      </w:r>
    </w:p>
    <w:p w14:paraId="22616319">
      <w:pPr>
        <w:shd w:val="clear"/>
        <w:tabs>
          <w:tab w:val="left" w:pos="1841"/>
        </w:tabs>
        <w:ind w:right="-1"/>
        <w:rPr>
          <w:rFonts w:ascii="Times New Roman" w:hAnsi="Times New Roman" w:cs="Times New Roman"/>
          <w:color w:val="auto"/>
          <w:szCs w:val="21"/>
          <w:highlight w:val="none"/>
        </w:rPr>
      </w:pPr>
      <w:r>
        <w:rPr>
          <w:rFonts w:ascii="Times New Roman" w:hAnsi="Times New Roman" w:cs="Times New Roman"/>
          <w:color w:val="auto"/>
          <w:szCs w:val="21"/>
          <w:highlight w:val="none"/>
        </w:rPr>
        <w:t>工作介质：         NLGI  2#锂基润滑脂</w:t>
      </w:r>
    </w:p>
    <w:p w14:paraId="225F0551">
      <w:pPr>
        <w:shd w:val="clear"/>
        <w:tabs>
          <w:tab w:val="left" w:pos="1841"/>
        </w:tabs>
        <w:ind w:right="-1"/>
        <w:rPr>
          <w:rFonts w:ascii="Times New Roman" w:hAnsi="Times New Roman" w:cs="Times New Roman"/>
          <w:color w:val="auto"/>
          <w:szCs w:val="21"/>
          <w:highlight w:val="none"/>
        </w:rPr>
      </w:pPr>
      <w:r>
        <w:rPr>
          <w:rFonts w:ascii="Times New Roman" w:hAnsi="Times New Roman" w:cs="Times New Roman"/>
          <w:color w:val="auto"/>
          <w:szCs w:val="21"/>
          <w:highlight w:val="none"/>
        </w:rPr>
        <w:t xml:space="preserve">润滑泵：           1+1台，Q=400mL/min， P=40 MPa </w:t>
      </w:r>
    </w:p>
    <w:p w14:paraId="161ADD0A">
      <w:pPr>
        <w:shd w:val="clear"/>
        <w:tabs>
          <w:tab w:val="left" w:pos="1841"/>
        </w:tabs>
        <w:ind w:right="-1"/>
        <w:rPr>
          <w:rFonts w:ascii="Times New Roman" w:hAnsi="Times New Roman" w:cs="Times New Roman"/>
          <w:color w:val="auto"/>
          <w:szCs w:val="21"/>
          <w:highlight w:val="none"/>
        </w:rPr>
      </w:pPr>
      <w:r>
        <w:rPr>
          <w:rFonts w:ascii="Times New Roman" w:hAnsi="Times New Roman" w:cs="Times New Roman"/>
          <w:color w:val="auto"/>
          <w:szCs w:val="21"/>
          <w:highlight w:val="none"/>
        </w:rPr>
        <w:t>润滑泵电机：       1+1台，N=1.5KW</w:t>
      </w:r>
    </w:p>
    <w:p w14:paraId="239F61B2">
      <w:pPr>
        <w:shd w:val="clear"/>
        <w:tabs>
          <w:tab w:val="left" w:pos="1841"/>
        </w:tabs>
        <w:ind w:right="-1"/>
        <w:rPr>
          <w:rFonts w:ascii="Times New Roman" w:hAnsi="Times New Roman" w:cs="Times New Roman"/>
          <w:color w:val="auto"/>
          <w:szCs w:val="21"/>
          <w:highlight w:val="none"/>
        </w:rPr>
      </w:pPr>
      <w:r>
        <w:rPr>
          <w:rFonts w:ascii="Times New Roman" w:hAnsi="Times New Roman" w:cs="Times New Roman"/>
          <w:color w:val="auto"/>
          <w:szCs w:val="21"/>
          <w:highlight w:val="none"/>
        </w:rPr>
        <w:t xml:space="preserve">储油筒容积：       100L    </w:t>
      </w:r>
    </w:p>
    <w:p w14:paraId="40698421">
      <w:pPr>
        <w:shd w:val="clear"/>
        <w:tabs>
          <w:tab w:val="left" w:pos="1841"/>
        </w:tabs>
        <w:ind w:right="-1"/>
        <w:rPr>
          <w:rFonts w:ascii="Times New Roman" w:hAnsi="Times New Roman" w:cs="Times New Roman"/>
          <w:color w:val="auto"/>
          <w:szCs w:val="21"/>
          <w:highlight w:val="none"/>
        </w:rPr>
      </w:pPr>
      <w:r>
        <w:rPr>
          <w:rFonts w:ascii="Times New Roman" w:hAnsi="Times New Roman" w:cs="Times New Roman"/>
          <w:color w:val="auto"/>
          <w:szCs w:val="21"/>
          <w:highlight w:val="none"/>
        </w:rPr>
        <w:t xml:space="preserve">补脂泵：           1台，  Q=200L/h， P=3.15 MPa </w:t>
      </w:r>
    </w:p>
    <w:p w14:paraId="68407D9C">
      <w:pPr>
        <w:shd w:val="clear"/>
        <w:tabs>
          <w:tab w:val="left" w:pos="1841"/>
        </w:tabs>
        <w:ind w:right="-1"/>
        <w:rPr>
          <w:rFonts w:ascii="Times New Roman" w:hAnsi="Times New Roman" w:cs="Times New Roman"/>
          <w:color w:val="auto"/>
          <w:szCs w:val="21"/>
          <w:highlight w:val="none"/>
        </w:rPr>
      </w:pPr>
      <w:r>
        <w:rPr>
          <w:rFonts w:ascii="Times New Roman" w:hAnsi="Times New Roman" w:cs="Times New Roman"/>
          <w:color w:val="auto"/>
          <w:highlight w:val="none"/>
        </w:rPr>
        <w:t xml:space="preserve">补脂泵电机：       1台，  </w:t>
      </w:r>
      <w:r>
        <w:rPr>
          <w:rFonts w:ascii="Times New Roman" w:hAnsi="Times New Roman" w:cs="Times New Roman"/>
          <w:color w:val="auto"/>
          <w:szCs w:val="21"/>
          <w:highlight w:val="none"/>
        </w:rPr>
        <w:t xml:space="preserve">N=1.1KW   </w:t>
      </w:r>
    </w:p>
    <w:p w14:paraId="74B22B0B">
      <w:pPr>
        <w:shd w:val="clear"/>
        <w:tabs>
          <w:tab w:val="left" w:pos="1841"/>
        </w:tabs>
        <w:ind w:right="-1"/>
        <w:rPr>
          <w:rFonts w:ascii="Times New Roman" w:hAnsi="Times New Roman" w:cs="Times New Roman"/>
          <w:color w:val="auto"/>
          <w:szCs w:val="21"/>
          <w:highlight w:val="none"/>
        </w:rPr>
      </w:pPr>
      <w:r>
        <w:rPr>
          <w:rFonts w:ascii="Times New Roman" w:hAnsi="Times New Roman" w:cs="Times New Roman"/>
          <w:color w:val="auto"/>
          <w:szCs w:val="21"/>
          <w:highlight w:val="none"/>
        </w:rPr>
        <w:t>电磁给油器：</w:t>
      </w:r>
    </w:p>
    <w:p w14:paraId="72460FF6">
      <w:pPr>
        <w:shd w:val="clear"/>
        <w:tabs>
          <w:tab w:val="left" w:pos="1841"/>
        </w:tabs>
        <w:ind w:right="-1"/>
        <w:rPr>
          <w:rFonts w:ascii="Times New Roman" w:hAnsi="Times New Roman" w:cs="Times New Roman"/>
          <w:color w:val="auto"/>
          <w:highlight w:val="none"/>
        </w:rPr>
      </w:pPr>
      <w:r>
        <w:rPr>
          <w:rFonts w:ascii="Times New Roman" w:hAnsi="Times New Roman" w:cs="Times New Roman"/>
          <w:color w:val="auto"/>
          <w:szCs w:val="21"/>
          <w:highlight w:val="none"/>
        </w:rPr>
        <w:t>电气控制柜（PLC）：1套</w:t>
      </w:r>
    </w:p>
    <w:p w14:paraId="3498D3E2">
      <w:pPr>
        <w:shd w:val="clear"/>
        <w:tabs>
          <w:tab w:val="left" w:pos="1841"/>
        </w:tabs>
        <w:ind w:left="420" w:right="-1"/>
        <w:rPr>
          <w:rFonts w:ascii="Times New Roman" w:hAnsi="Times New Roman" w:cs="Times New Roman"/>
          <w:color w:val="auto"/>
          <w:highlight w:val="none"/>
        </w:rPr>
      </w:pPr>
      <w:r>
        <w:rPr>
          <w:rFonts w:ascii="Times New Roman" w:hAnsi="Times New Roman" w:cs="Times New Roman"/>
          <w:color w:val="auto"/>
          <w:highlight w:val="none"/>
        </w:rPr>
        <w:t>炉顶智能干油润滑站布置在炉顶</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新建小房并做保温。</w:t>
      </w:r>
      <w:r>
        <w:rPr>
          <w:rFonts w:ascii="Times New Roman" w:hAnsi="Times New Roman" w:cs="Times New Roman"/>
          <w:color w:val="auto"/>
          <w:highlight w:val="none"/>
        </w:rPr>
        <w:t>干油站润滑系统使用国产高压系列润滑元件，润滑脂采用2#极压锂基脂。润滑管路采用优质碳钢管（GB/T 8163-2018）</w:t>
      </w:r>
      <w:r>
        <w:rPr>
          <w:rFonts w:hint="eastAsia" w:ascii="Times New Roman" w:hAnsi="Times New Roman" w:cs="Times New Roman"/>
          <w:color w:val="auto"/>
          <w:highlight w:val="none"/>
        </w:rPr>
        <w:t>，</w:t>
      </w:r>
      <w:r>
        <w:rPr>
          <w:rFonts w:hint="eastAsia" w:ascii="Times New Roman" w:hAnsi="Times New Roman" w:cs="Times New Roman"/>
          <w:color w:val="auto"/>
          <w:highlight w:val="none"/>
          <w:lang w:val="en-US" w:eastAsia="zh-CN"/>
        </w:rPr>
        <w:t>主管路采用</w:t>
      </w:r>
      <w:r>
        <w:rPr>
          <w:rFonts w:hint="eastAsia" w:ascii="Times New Roman" w:hAnsi="Times New Roman" w:eastAsia="宋体" w:cs="Times New Roman"/>
          <w:color w:val="auto"/>
          <w:highlight w:val="none"/>
          <w:lang w:val="en-US" w:eastAsia="zh-CN"/>
        </w:rPr>
        <w:t xml:space="preserve"> ∅28*4</w:t>
      </w:r>
      <w:r>
        <w:rPr>
          <w:rFonts w:hint="eastAsia" w:ascii="Times New Roman" w:hAnsi="Times New Roman" w:cs="Times New Roman"/>
          <w:color w:val="auto"/>
          <w:highlight w:val="none"/>
          <w:lang w:val="en-US" w:eastAsia="zh-CN"/>
        </w:rPr>
        <w:t>碳钢无缝钢管，</w:t>
      </w:r>
      <w:r>
        <w:rPr>
          <w:rFonts w:ascii="Times New Roman" w:hAnsi="Times New Roman" w:cs="Times New Roman"/>
          <w:color w:val="auto"/>
          <w:highlight w:val="none"/>
        </w:rPr>
        <w:t>管路设置蒸汽伴热和保温</w:t>
      </w:r>
      <w:r>
        <w:rPr>
          <w:rFonts w:hint="eastAsia" w:ascii="Times New Roman" w:hAnsi="Times New Roman" w:cs="Times New Roman"/>
          <w:color w:val="auto"/>
          <w:highlight w:val="none"/>
          <w:lang w:eastAsia="zh-CN"/>
        </w:rPr>
        <w:t>（</w:t>
      </w:r>
      <w:r>
        <w:rPr>
          <w:rFonts w:hint="eastAsia" w:ascii="Times New Roman" w:hAnsi="Times New Roman" w:eastAsia="宋体" w:cs="Times New Roman"/>
          <w:color w:val="auto"/>
          <w:highlight w:val="none"/>
        </w:rPr>
        <w:t>保温厚度</w:t>
      </w: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rPr>
        <w:t>0mm，包含岩棉、镀锌铁皮厚度0.</w:t>
      </w:r>
      <w:r>
        <w:rPr>
          <w:rFonts w:hint="eastAsia" w:ascii="Times New Roman" w:hAnsi="Times New Roman" w:cs="Times New Roman"/>
          <w:color w:val="auto"/>
          <w:highlight w:val="none"/>
          <w:lang w:val="en-US" w:eastAsia="zh-CN"/>
        </w:rPr>
        <w:t>5</w:t>
      </w:r>
      <w:r>
        <w:rPr>
          <w:rFonts w:hint="eastAsia" w:ascii="Times New Roman" w:hAnsi="Times New Roman" w:eastAsia="宋体" w:cs="Times New Roman"/>
          <w:color w:val="auto"/>
          <w:highlight w:val="none"/>
        </w:rPr>
        <w:t>mm、销钉、托板</w:t>
      </w:r>
      <w:r>
        <w:rPr>
          <w:rFonts w:hint="eastAsia" w:ascii="Times New Roman" w:hAnsi="Times New Roman" w:eastAsia="宋体" w:cs="Times New Roman"/>
          <w:color w:val="auto"/>
          <w:highlight w:val="none"/>
          <w:lang w:eastAsia="zh-CN"/>
        </w:rPr>
        <w:t>）</w:t>
      </w:r>
      <w:r>
        <w:rPr>
          <w:rFonts w:ascii="Times New Roman" w:hAnsi="Times New Roman" w:cs="Times New Roman"/>
          <w:color w:val="auto"/>
          <w:highlight w:val="none"/>
        </w:rPr>
        <w:t>。</w:t>
      </w:r>
    </w:p>
    <w:p w14:paraId="4D81B0B1">
      <w:pPr>
        <w:shd w:val="clear"/>
        <w:tabs>
          <w:tab w:val="left" w:pos="1841"/>
        </w:tabs>
        <w:ind w:left="420" w:right="-1" w:firstLine="0" w:firstLineChars="0"/>
        <w:rPr>
          <w:rFonts w:ascii="Times New Roman" w:hAnsi="Times New Roman" w:cs="Times New Roman"/>
          <w:color w:val="auto"/>
          <w:highlight w:val="none"/>
        </w:rPr>
      </w:pPr>
      <w:r>
        <w:rPr>
          <w:rFonts w:ascii="Times New Roman" w:hAnsi="Times New Roman" w:cs="Times New Roman"/>
          <w:color w:val="auto"/>
          <w:highlight w:val="none"/>
        </w:rPr>
        <w:t>2.1</w:t>
      </w:r>
      <w:r>
        <w:rPr>
          <w:rFonts w:hint="eastAsia" w:ascii="Times New Roman" w:hAnsi="Times New Roman" w:cs="Times New Roman"/>
          <w:color w:val="auto"/>
          <w:highlight w:val="none"/>
        </w:rPr>
        <w:t>1</w:t>
      </w:r>
      <w:r>
        <w:rPr>
          <w:rFonts w:ascii="Times New Roman" w:hAnsi="Times New Roman" w:cs="Times New Roman"/>
          <w:color w:val="auto"/>
          <w:highlight w:val="none"/>
        </w:rPr>
        <w:t>.3出铁场液压站</w:t>
      </w:r>
    </w:p>
    <w:p w14:paraId="35BD8E19">
      <w:pPr>
        <w:shd w:val="clear"/>
        <w:tabs>
          <w:tab w:val="left" w:pos="1841"/>
        </w:tabs>
        <w:ind w:left="420" w:right="-1"/>
        <w:rPr>
          <w:color w:val="auto"/>
          <w:highlight w:val="none"/>
        </w:rPr>
      </w:pPr>
      <w:r>
        <w:rPr>
          <w:rFonts w:ascii="Times New Roman" w:hAnsi="Times New Roman" w:cs="Times New Roman"/>
          <w:color w:val="auto"/>
          <w:highlight w:val="none"/>
        </w:rPr>
        <w:t>出铁场液压站利旧</w:t>
      </w:r>
      <w:r>
        <w:rPr>
          <w:rFonts w:hint="eastAsia" w:ascii="Times New Roman" w:hAnsi="Times New Roman" w:cs="Times New Roman"/>
          <w:color w:val="auto"/>
          <w:highlight w:val="none"/>
        </w:rPr>
        <w:t>。</w:t>
      </w:r>
      <w:r>
        <w:rPr>
          <w:rFonts w:ascii="Times New Roman" w:hAnsi="Times New Roman" w:cs="Times New Roman"/>
          <w:color w:val="auto"/>
          <w:highlight w:val="none"/>
        </w:rPr>
        <w:t>南北</w:t>
      </w:r>
      <w:r>
        <w:rPr>
          <w:rFonts w:hint="eastAsia" w:ascii="Times New Roman" w:hAnsi="Times New Roman" w:cs="Times New Roman"/>
          <w:color w:val="auto"/>
          <w:highlight w:val="none"/>
        </w:rPr>
        <w:t>炉前</w:t>
      </w:r>
      <w:r>
        <w:rPr>
          <w:rFonts w:ascii="Times New Roman" w:hAnsi="Times New Roman" w:cs="Times New Roman"/>
          <w:color w:val="auto"/>
          <w:highlight w:val="none"/>
        </w:rPr>
        <w:t>操作室迁出</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外移1m</w:t>
      </w:r>
      <w:r>
        <w:rPr>
          <w:rFonts w:hint="eastAsia" w:ascii="Times New Roman" w:hAnsi="Times New Roman" w:cs="Times New Roman"/>
          <w:color w:val="auto"/>
          <w:highlight w:val="none"/>
          <w:lang w:eastAsia="zh-CN"/>
        </w:rPr>
        <w:t>）</w:t>
      </w:r>
      <w:r>
        <w:rPr>
          <w:rFonts w:ascii="Times New Roman" w:hAnsi="Times New Roman" w:cs="Times New Roman"/>
          <w:color w:val="auto"/>
          <w:highlight w:val="none"/>
        </w:rPr>
        <w:t>，液压阀台进行</w:t>
      </w:r>
      <w:r>
        <w:rPr>
          <w:rFonts w:hint="eastAsia" w:ascii="Times New Roman" w:hAnsi="Times New Roman" w:cs="Times New Roman"/>
          <w:color w:val="auto"/>
          <w:highlight w:val="none"/>
        </w:rPr>
        <w:t>相应地</w:t>
      </w:r>
      <w:r>
        <w:rPr>
          <w:rFonts w:ascii="Times New Roman" w:hAnsi="Times New Roman" w:cs="Times New Roman"/>
          <w:color w:val="auto"/>
          <w:highlight w:val="none"/>
        </w:rPr>
        <w:t>保护性拆除利旧。液压管道</w:t>
      </w:r>
      <w:r>
        <w:rPr>
          <w:rFonts w:hint="eastAsia" w:ascii="Times New Roman" w:hAnsi="Times New Roman" w:cs="Times New Roman"/>
          <w:color w:val="auto"/>
          <w:highlight w:val="none"/>
        </w:rPr>
        <w:t>（包括</w:t>
      </w:r>
      <w:r>
        <w:rPr>
          <w:rFonts w:ascii="Times New Roman" w:hAnsi="Times New Roman" w:cs="Times New Roman"/>
          <w:color w:val="auto"/>
          <w:highlight w:val="none"/>
        </w:rPr>
        <w:t>从炉前液压站到阀台油管</w:t>
      </w:r>
      <w:r>
        <w:rPr>
          <w:rFonts w:hint="eastAsia" w:ascii="Times New Roman" w:hAnsi="Times New Roman" w:cs="Times New Roman"/>
          <w:color w:val="auto"/>
          <w:highlight w:val="none"/>
        </w:rPr>
        <w:t>）</w:t>
      </w:r>
      <w:r>
        <w:rPr>
          <w:rFonts w:ascii="Times New Roman" w:hAnsi="Times New Roman" w:cs="Times New Roman"/>
          <w:color w:val="auto"/>
          <w:highlight w:val="none"/>
        </w:rPr>
        <w:t>进行更换，管路采用不锈钢管，管路设置蒸汽伴热和保温。</w:t>
      </w:r>
    </w:p>
    <w:p w14:paraId="11BEEED4">
      <w:pPr>
        <w:shd w:val="clear"/>
        <w:tabs>
          <w:tab w:val="left" w:pos="1841"/>
        </w:tabs>
        <w:ind w:left="420" w:right="-1" w:firstLine="0" w:firstLineChars="0"/>
        <w:rPr>
          <w:rFonts w:ascii="Times New Roman" w:hAnsi="Times New Roman" w:cs="Times New Roman"/>
          <w:color w:val="auto"/>
          <w:highlight w:val="none"/>
        </w:rPr>
      </w:pPr>
      <w:r>
        <w:rPr>
          <w:rFonts w:ascii="Times New Roman" w:hAnsi="Times New Roman" w:cs="Times New Roman"/>
          <w:color w:val="auto"/>
          <w:highlight w:val="none"/>
        </w:rPr>
        <w:t>2.1</w:t>
      </w:r>
      <w:r>
        <w:rPr>
          <w:rFonts w:hint="eastAsia" w:ascii="Times New Roman" w:hAnsi="Times New Roman" w:cs="Times New Roman"/>
          <w:color w:val="auto"/>
          <w:highlight w:val="none"/>
        </w:rPr>
        <w:t>1</w:t>
      </w:r>
      <w:r>
        <w:rPr>
          <w:rFonts w:ascii="Times New Roman" w:hAnsi="Times New Roman" w:cs="Times New Roman"/>
          <w:color w:val="auto"/>
          <w:highlight w:val="none"/>
        </w:rPr>
        <w:t>.</w:t>
      </w:r>
      <w:r>
        <w:rPr>
          <w:rFonts w:hint="eastAsia" w:ascii="Times New Roman" w:hAnsi="Times New Roman" w:cs="Times New Roman"/>
          <w:color w:val="auto"/>
          <w:highlight w:val="none"/>
        </w:rPr>
        <w:t>4</w:t>
      </w:r>
      <w:r>
        <w:rPr>
          <w:rFonts w:ascii="Times New Roman" w:hAnsi="Times New Roman" w:cs="Times New Roman"/>
          <w:color w:val="auto"/>
          <w:highlight w:val="none"/>
        </w:rPr>
        <w:t>液压</w:t>
      </w:r>
      <w:r>
        <w:rPr>
          <w:rFonts w:hint="eastAsia" w:ascii="Times New Roman" w:hAnsi="Times New Roman" w:cs="Times New Roman"/>
          <w:color w:val="auto"/>
          <w:highlight w:val="none"/>
        </w:rPr>
        <w:t>润滑</w:t>
      </w:r>
      <w:r>
        <w:rPr>
          <w:rFonts w:ascii="Times New Roman" w:hAnsi="Times New Roman" w:cs="Times New Roman"/>
          <w:color w:val="auto"/>
          <w:highlight w:val="none"/>
        </w:rPr>
        <w:t>站</w:t>
      </w:r>
      <w:r>
        <w:rPr>
          <w:rFonts w:hint="eastAsia" w:ascii="Times New Roman" w:hAnsi="Times New Roman" w:cs="Times New Roman"/>
          <w:color w:val="auto"/>
          <w:highlight w:val="none"/>
        </w:rPr>
        <w:t>高能耗电机需更换为一级能效电机，详见表</w:t>
      </w:r>
      <w:r>
        <w:rPr>
          <w:rFonts w:hint="eastAsia"/>
          <w:color w:val="auto"/>
          <w:highlight w:val="none"/>
        </w:rPr>
        <w:t>2.11</w:t>
      </w:r>
      <w:r>
        <w:rPr>
          <w:color w:val="auto"/>
          <w:highlight w:val="none"/>
        </w:rPr>
        <w:t>-</w:t>
      </w:r>
      <w:r>
        <w:rPr>
          <w:rFonts w:hint="eastAsia"/>
          <w:color w:val="auto"/>
          <w:highlight w:val="none"/>
        </w:rPr>
        <w:t>1</w:t>
      </w:r>
      <w:r>
        <w:rPr>
          <w:color w:val="auto"/>
          <w:highlight w:val="none"/>
        </w:rPr>
        <w:t xml:space="preserve"> </w:t>
      </w:r>
    </w:p>
    <w:p w14:paraId="3CF9F776">
      <w:pPr>
        <w:shd w:val="clear"/>
        <w:ind w:firstLine="0" w:firstLineChars="0"/>
        <w:jc w:val="center"/>
        <w:rPr>
          <w:color w:val="auto"/>
          <w:highlight w:val="none"/>
        </w:rPr>
      </w:pPr>
      <w:r>
        <w:rPr>
          <w:color w:val="auto"/>
          <w:highlight w:val="none"/>
        </w:rPr>
        <w:t>表</w:t>
      </w:r>
      <w:r>
        <w:rPr>
          <w:rFonts w:hint="eastAsia"/>
          <w:color w:val="auto"/>
          <w:highlight w:val="none"/>
        </w:rPr>
        <w:t>2.11</w:t>
      </w:r>
      <w:r>
        <w:rPr>
          <w:color w:val="auto"/>
          <w:highlight w:val="none"/>
        </w:rPr>
        <w:t>-</w:t>
      </w:r>
      <w:r>
        <w:rPr>
          <w:rFonts w:hint="eastAsia"/>
          <w:color w:val="auto"/>
          <w:highlight w:val="none"/>
        </w:rPr>
        <w:t>1</w:t>
      </w:r>
      <w:r>
        <w:rPr>
          <w:color w:val="auto"/>
          <w:highlight w:val="none"/>
        </w:rPr>
        <w:t xml:space="preserve">    </w:t>
      </w:r>
    </w:p>
    <w:tbl>
      <w:tblPr>
        <w:tblStyle w:val="6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554"/>
        <w:gridCol w:w="1564"/>
        <w:gridCol w:w="1371"/>
        <w:gridCol w:w="1210"/>
        <w:gridCol w:w="1193"/>
        <w:gridCol w:w="1182"/>
      </w:tblGrid>
      <w:tr w14:paraId="6A8892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44" w:type="dxa"/>
            <w:tcBorders>
              <w:tl2br w:val="nil"/>
              <w:tr2bl w:val="nil"/>
            </w:tcBorders>
            <w:vAlign w:val="center"/>
          </w:tcPr>
          <w:p w14:paraId="158F7AFA">
            <w:pPr>
              <w:widowControl/>
              <w:shd w:val="clear"/>
              <w:snapToGrid w:val="0"/>
              <w:spacing w:before="94" w:beforeLines="30" w:after="94" w:afterLines="30" w:line="240" w:lineRule="auto"/>
              <w:ind w:firstLine="0" w:firstLineChars="0"/>
              <w:jc w:val="center"/>
              <w:rPr>
                <w:color w:val="auto"/>
                <w:sz w:val="21"/>
                <w:szCs w:val="21"/>
                <w:highlight w:val="none"/>
              </w:rPr>
            </w:pPr>
            <w:r>
              <w:rPr>
                <w:color w:val="auto"/>
                <w:sz w:val="21"/>
                <w:szCs w:val="21"/>
                <w:highlight w:val="none"/>
              </w:rPr>
              <w:t>序号</w:t>
            </w:r>
          </w:p>
        </w:tc>
        <w:tc>
          <w:tcPr>
            <w:tcW w:w="1554" w:type="dxa"/>
            <w:tcBorders>
              <w:tl2br w:val="nil"/>
              <w:tr2bl w:val="nil"/>
            </w:tcBorders>
            <w:vAlign w:val="center"/>
          </w:tcPr>
          <w:p w14:paraId="2DC1475B">
            <w:pPr>
              <w:widowControl/>
              <w:shd w:val="clear"/>
              <w:ind w:firstLine="210" w:firstLineChars="100"/>
              <w:jc w:val="both"/>
              <w:textAlignment w:val="center"/>
              <w:rPr>
                <w:color w:val="auto"/>
                <w:sz w:val="21"/>
                <w:szCs w:val="21"/>
                <w:highlight w:val="none"/>
              </w:rPr>
            </w:pPr>
            <w:r>
              <w:rPr>
                <w:rFonts w:hint="eastAsia" w:cs="宋体"/>
                <w:color w:val="auto"/>
                <w:kern w:val="0"/>
                <w:sz w:val="21"/>
                <w:szCs w:val="21"/>
                <w:highlight w:val="none"/>
                <w:lang w:bidi="ar"/>
              </w:rPr>
              <w:t>安装位置</w:t>
            </w:r>
          </w:p>
        </w:tc>
        <w:tc>
          <w:tcPr>
            <w:tcW w:w="1564" w:type="dxa"/>
            <w:tcBorders>
              <w:tl2br w:val="nil"/>
              <w:tr2bl w:val="nil"/>
            </w:tcBorders>
            <w:vAlign w:val="center"/>
          </w:tcPr>
          <w:p w14:paraId="1FF81A56">
            <w:pPr>
              <w:widowControl/>
              <w:shd w:val="clear"/>
              <w:ind w:firstLine="0" w:firstLineChars="0"/>
              <w:jc w:val="center"/>
              <w:textAlignment w:val="center"/>
              <w:rPr>
                <w:color w:val="auto"/>
                <w:sz w:val="21"/>
                <w:szCs w:val="21"/>
                <w:highlight w:val="none"/>
              </w:rPr>
            </w:pPr>
            <w:r>
              <w:rPr>
                <w:rFonts w:hint="eastAsia" w:cs="宋体"/>
                <w:color w:val="auto"/>
                <w:kern w:val="0"/>
                <w:sz w:val="21"/>
                <w:szCs w:val="21"/>
                <w:highlight w:val="none"/>
                <w:lang w:bidi="ar"/>
              </w:rPr>
              <w:t>设备名称</w:t>
            </w:r>
          </w:p>
        </w:tc>
        <w:tc>
          <w:tcPr>
            <w:tcW w:w="1371" w:type="dxa"/>
            <w:tcBorders>
              <w:tl2br w:val="nil"/>
              <w:tr2bl w:val="nil"/>
            </w:tcBorders>
            <w:vAlign w:val="center"/>
          </w:tcPr>
          <w:p w14:paraId="36691F6B">
            <w:pPr>
              <w:widowControl/>
              <w:shd w:val="clear"/>
              <w:ind w:firstLine="0" w:firstLineChars="0"/>
              <w:jc w:val="center"/>
              <w:textAlignment w:val="center"/>
              <w:rPr>
                <w:color w:val="auto"/>
                <w:sz w:val="21"/>
                <w:szCs w:val="21"/>
                <w:highlight w:val="none"/>
              </w:rPr>
            </w:pPr>
            <w:r>
              <w:rPr>
                <w:rFonts w:hint="eastAsia" w:cs="宋体"/>
                <w:color w:val="auto"/>
                <w:kern w:val="0"/>
                <w:sz w:val="21"/>
                <w:szCs w:val="21"/>
                <w:highlight w:val="none"/>
                <w:lang w:bidi="ar"/>
              </w:rPr>
              <w:t>产品型号</w:t>
            </w:r>
          </w:p>
        </w:tc>
        <w:tc>
          <w:tcPr>
            <w:tcW w:w="1210" w:type="dxa"/>
            <w:tcBorders>
              <w:tl2br w:val="nil"/>
              <w:tr2bl w:val="nil"/>
            </w:tcBorders>
            <w:vAlign w:val="center"/>
          </w:tcPr>
          <w:p w14:paraId="5C8D7FE5">
            <w:pPr>
              <w:widowControl/>
              <w:shd w:val="clear"/>
              <w:ind w:firstLine="0" w:firstLineChars="0"/>
              <w:jc w:val="center"/>
              <w:textAlignment w:val="center"/>
              <w:rPr>
                <w:color w:val="auto"/>
                <w:sz w:val="21"/>
                <w:szCs w:val="21"/>
                <w:highlight w:val="none"/>
              </w:rPr>
            </w:pPr>
            <w:r>
              <w:rPr>
                <w:rFonts w:hint="eastAsia" w:cs="宋体"/>
                <w:color w:val="auto"/>
                <w:kern w:val="0"/>
                <w:sz w:val="21"/>
                <w:szCs w:val="21"/>
                <w:highlight w:val="none"/>
                <w:lang w:bidi="ar"/>
              </w:rPr>
              <w:t>电压等级</w:t>
            </w:r>
          </w:p>
        </w:tc>
        <w:tc>
          <w:tcPr>
            <w:tcW w:w="1193" w:type="dxa"/>
            <w:tcBorders>
              <w:tl2br w:val="nil"/>
              <w:tr2bl w:val="nil"/>
            </w:tcBorders>
            <w:vAlign w:val="center"/>
          </w:tcPr>
          <w:p w14:paraId="70CD5654">
            <w:pPr>
              <w:widowControl/>
              <w:shd w:val="clear"/>
              <w:ind w:firstLine="0" w:firstLineChars="0"/>
              <w:jc w:val="center"/>
              <w:textAlignment w:val="center"/>
              <w:rPr>
                <w:color w:val="auto"/>
                <w:sz w:val="21"/>
                <w:szCs w:val="21"/>
                <w:highlight w:val="none"/>
              </w:rPr>
            </w:pPr>
            <w:r>
              <w:rPr>
                <w:rFonts w:hint="eastAsia" w:cs="宋体"/>
                <w:color w:val="auto"/>
                <w:kern w:val="0"/>
                <w:sz w:val="21"/>
                <w:szCs w:val="21"/>
                <w:highlight w:val="none"/>
                <w:lang w:bidi="ar"/>
              </w:rPr>
              <w:t>功率/容量</w:t>
            </w:r>
            <w:r>
              <w:rPr>
                <w:rFonts w:hint="eastAsia" w:cs="宋体"/>
                <w:color w:val="auto"/>
                <w:kern w:val="0"/>
                <w:sz w:val="21"/>
                <w:szCs w:val="21"/>
                <w:highlight w:val="none"/>
                <w:lang w:bidi="ar"/>
              </w:rPr>
              <w:br w:type="textWrapping"/>
            </w:r>
            <w:r>
              <w:rPr>
                <w:rFonts w:hint="eastAsia" w:cs="宋体"/>
                <w:color w:val="auto"/>
                <w:kern w:val="0"/>
                <w:sz w:val="21"/>
                <w:szCs w:val="21"/>
                <w:highlight w:val="none"/>
                <w:lang w:bidi="ar"/>
              </w:rPr>
              <w:t>（kW)</w:t>
            </w:r>
          </w:p>
        </w:tc>
        <w:tc>
          <w:tcPr>
            <w:tcW w:w="1182" w:type="dxa"/>
            <w:tcBorders>
              <w:tl2br w:val="nil"/>
              <w:tr2bl w:val="nil"/>
            </w:tcBorders>
            <w:vAlign w:val="center"/>
          </w:tcPr>
          <w:p w14:paraId="3C6E3C11">
            <w:pPr>
              <w:widowControl/>
              <w:shd w:val="clear"/>
              <w:ind w:firstLine="0" w:firstLineChars="0"/>
              <w:jc w:val="center"/>
              <w:textAlignment w:val="center"/>
              <w:rPr>
                <w:color w:val="auto"/>
                <w:sz w:val="21"/>
                <w:szCs w:val="21"/>
                <w:highlight w:val="none"/>
              </w:rPr>
            </w:pPr>
            <w:r>
              <w:rPr>
                <w:rFonts w:hint="eastAsia" w:cs="宋体"/>
                <w:color w:val="auto"/>
                <w:kern w:val="0"/>
                <w:sz w:val="21"/>
                <w:szCs w:val="21"/>
                <w:highlight w:val="none"/>
                <w:lang w:bidi="ar"/>
              </w:rPr>
              <w:t>数量（台）</w:t>
            </w:r>
          </w:p>
        </w:tc>
      </w:tr>
      <w:tr w14:paraId="315A51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Borders>
              <w:tl2br w:val="nil"/>
              <w:tr2bl w:val="nil"/>
            </w:tcBorders>
            <w:vAlign w:val="center"/>
          </w:tcPr>
          <w:p w14:paraId="2416A496">
            <w:pPr>
              <w:widowControl/>
              <w:shd w:val="clear"/>
              <w:snapToGrid w:val="0"/>
              <w:spacing w:before="94" w:beforeLines="30" w:after="94" w:afterLines="30" w:line="240" w:lineRule="auto"/>
              <w:ind w:firstLine="0" w:firstLineChars="0"/>
              <w:jc w:val="center"/>
              <w:rPr>
                <w:color w:val="auto"/>
                <w:sz w:val="21"/>
                <w:szCs w:val="21"/>
                <w:highlight w:val="none"/>
              </w:rPr>
            </w:pPr>
            <w:r>
              <w:rPr>
                <w:color w:val="auto"/>
                <w:sz w:val="21"/>
                <w:szCs w:val="21"/>
                <w:highlight w:val="none"/>
              </w:rPr>
              <w:t>1</w:t>
            </w:r>
          </w:p>
        </w:tc>
        <w:tc>
          <w:tcPr>
            <w:tcW w:w="1554" w:type="dxa"/>
            <w:tcBorders>
              <w:tl2br w:val="nil"/>
              <w:tr2bl w:val="nil"/>
            </w:tcBorders>
            <w:vAlign w:val="center"/>
          </w:tcPr>
          <w:p w14:paraId="768602A5">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2号高炉卷扬机械室</w:t>
            </w:r>
          </w:p>
        </w:tc>
        <w:tc>
          <w:tcPr>
            <w:tcW w:w="1564" w:type="dxa"/>
            <w:tcBorders>
              <w:tl2br w:val="nil"/>
              <w:tr2bl w:val="nil"/>
            </w:tcBorders>
            <w:vAlign w:val="center"/>
          </w:tcPr>
          <w:p w14:paraId="4A38C1E8">
            <w:pPr>
              <w:widowControl/>
              <w:shd w:val="clear"/>
              <w:ind w:firstLine="0" w:firstLineChars="0"/>
              <w:jc w:val="center"/>
              <w:textAlignment w:val="center"/>
              <w:rPr>
                <w:color w:val="auto"/>
                <w:sz w:val="21"/>
                <w:szCs w:val="21"/>
                <w:highlight w:val="none"/>
              </w:rPr>
            </w:pPr>
            <w:r>
              <w:rPr>
                <w:rFonts w:hint="eastAsia" w:cs="宋体"/>
                <w:color w:val="auto"/>
                <w:kern w:val="0"/>
                <w:sz w:val="21"/>
                <w:szCs w:val="21"/>
                <w:highlight w:val="none"/>
                <w:lang w:bidi="ar"/>
              </w:rPr>
              <w:t>1#液压泵</w:t>
            </w:r>
          </w:p>
        </w:tc>
        <w:tc>
          <w:tcPr>
            <w:tcW w:w="1371" w:type="dxa"/>
            <w:tcBorders>
              <w:tl2br w:val="nil"/>
              <w:tr2bl w:val="nil"/>
            </w:tcBorders>
            <w:vAlign w:val="center"/>
          </w:tcPr>
          <w:p w14:paraId="20F308D9">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Y180L-4</w:t>
            </w:r>
          </w:p>
        </w:tc>
        <w:tc>
          <w:tcPr>
            <w:tcW w:w="1210" w:type="dxa"/>
            <w:tcBorders>
              <w:tl2br w:val="nil"/>
              <w:tr2bl w:val="nil"/>
            </w:tcBorders>
            <w:vAlign w:val="center"/>
          </w:tcPr>
          <w:p w14:paraId="2B0208F1">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380V</w:t>
            </w:r>
          </w:p>
        </w:tc>
        <w:tc>
          <w:tcPr>
            <w:tcW w:w="1193" w:type="dxa"/>
            <w:tcBorders>
              <w:tl2br w:val="nil"/>
              <w:tr2bl w:val="nil"/>
            </w:tcBorders>
            <w:vAlign w:val="center"/>
          </w:tcPr>
          <w:p w14:paraId="4993D51E">
            <w:pPr>
              <w:widowControl/>
              <w:shd w:val="clear"/>
              <w:ind w:firstLine="420"/>
              <w:textAlignment w:val="center"/>
              <w:rPr>
                <w:color w:val="auto"/>
                <w:sz w:val="21"/>
                <w:szCs w:val="21"/>
                <w:highlight w:val="none"/>
              </w:rPr>
            </w:pPr>
            <w:r>
              <w:rPr>
                <w:rFonts w:hint="eastAsia" w:cs="宋体"/>
                <w:color w:val="auto"/>
                <w:kern w:val="0"/>
                <w:sz w:val="21"/>
                <w:szCs w:val="21"/>
                <w:highlight w:val="none"/>
                <w:lang w:bidi="ar"/>
              </w:rPr>
              <w:t>22</w:t>
            </w:r>
          </w:p>
        </w:tc>
        <w:tc>
          <w:tcPr>
            <w:tcW w:w="1182" w:type="dxa"/>
            <w:tcBorders>
              <w:tl2br w:val="nil"/>
              <w:tr2bl w:val="nil"/>
            </w:tcBorders>
            <w:vAlign w:val="center"/>
          </w:tcPr>
          <w:p w14:paraId="0F95E2A4">
            <w:pPr>
              <w:widowControl/>
              <w:shd w:val="clear"/>
              <w:ind w:firstLine="420"/>
              <w:textAlignment w:val="center"/>
              <w:rPr>
                <w:color w:val="auto"/>
                <w:sz w:val="21"/>
                <w:szCs w:val="21"/>
                <w:highlight w:val="none"/>
              </w:rPr>
            </w:pPr>
            <w:r>
              <w:rPr>
                <w:rFonts w:hint="eastAsia" w:cs="宋体"/>
                <w:color w:val="auto"/>
                <w:kern w:val="0"/>
                <w:sz w:val="21"/>
                <w:szCs w:val="21"/>
                <w:highlight w:val="none"/>
                <w:lang w:bidi="ar"/>
              </w:rPr>
              <w:t>1</w:t>
            </w:r>
          </w:p>
        </w:tc>
      </w:tr>
      <w:tr w14:paraId="3D67BF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Borders>
              <w:tl2br w:val="nil"/>
              <w:tr2bl w:val="nil"/>
            </w:tcBorders>
            <w:vAlign w:val="center"/>
          </w:tcPr>
          <w:p w14:paraId="485613C8">
            <w:pPr>
              <w:widowControl/>
              <w:shd w:val="clear"/>
              <w:snapToGrid w:val="0"/>
              <w:spacing w:before="94" w:beforeLines="30" w:after="94" w:afterLines="30" w:line="240" w:lineRule="auto"/>
              <w:ind w:firstLine="0" w:firstLineChars="0"/>
              <w:jc w:val="center"/>
              <w:rPr>
                <w:color w:val="auto"/>
                <w:sz w:val="21"/>
                <w:szCs w:val="21"/>
                <w:highlight w:val="none"/>
              </w:rPr>
            </w:pPr>
            <w:r>
              <w:rPr>
                <w:rFonts w:hint="eastAsia"/>
                <w:color w:val="auto"/>
                <w:sz w:val="21"/>
                <w:szCs w:val="21"/>
                <w:highlight w:val="none"/>
              </w:rPr>
              <w:t>2</w:t>
            </w:r>
          </w:p>
        </w:tc>
        <w:tc>
          <w:tcPr>
            <w:tcW w:w="1554" w:type="dxa"/>
            <w:tcBorders>
              <w:tl2br w:val="nil"/>
              <w:tr2bl w:val="nil"/>
            </w:tcBorders>
            <w:vAlign w:val="center"/>
          </w:tcPr>
          <w:p w14:paraId="181FD1A1">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2#高炉地沟1#液压泵</w:t>
            </w:r>
          </w:p>
        </w:tc>
        <w:tc>
          <w:tcPr>
            <w:tcW w:w="1564" w:type="dxa"/>
            <w:tcBorders>
              <w:tl2br w:val="nil"/>
              <w:tr2bl w:val="nil"/>
            </w:tcBorders>
            <w:vAlign w:val="center"/>
          </w:tcPr>
          <w:p w14:paraId="4BC1D811">
            <w:pPr>
              <w:widowControl/>
              <w:shd w:val="clear"/>
              <w:ind w:firstLine="420"/>
              <w:textAlignment w:val="center"/>
              <w:rPr>
                <w:color w:val="auto"/>
                <w:sz w:val="21"/>
                <w:szCs w:val="21"/>
                <w:highlight w:val="none"/>
              </w:rPr>
            </w:pPr>
            <w:r>
              <w:rPr>
                <w:rFonts w:hint="eastAsia" w:cs="宋体"/>
                <w:color w:val="auto"/>
                <w:kern w:val="0"/>
                <w:sz w:val="21"/>
                <w:szCs w:val="21"/>
                <w:highlight w:val="none"/>
                <w:lang w:bidi="ar"/>
              </w:rPr>
              <w:t>电机</w:t>
            </w:r>
          </w:p>
        </w:tc>
        <w:tc>
          <w:tcPr>
            <w:tcW w:w="1371" w:type="dxa"/>
            <w:tcBorders>
              <w:tl2br w:val="nil"/>
              <w:tr2bl w:val="nil"/>
            </w:tcBorders>
            <w:vAlign w:val="center"/>
          </w:tcPr>
          <w:p w14:paraId="7B3A15B3">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HM2-180M-4</w:t>
            </w:r>
          </w:p>
        </w:tc>
        <w:tc>
          <w:tcPr>
            <w:tcW w:w="1210" w:type="dxa"/>
            <w:tcBorders>
              <w:tl2br w:val="nil"/>
              <w:tr2bl w:val="nil"/>
            </w:tcBorders>
            <w:vAlign w:val="center"/>
          </w:tcPr>
          <w:p w14:paraId="62E640FD">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380V</w:t>
            </w:r>
          </w:p>
        </w:tc>
        <w:tc>
          <w:tcPr>
            <w:tcW w:w="1193" w:type="dxa"/>
            <w:tcBorders>
              <w:tl2br w:val="nil"/>
              <w:tr2bl w:val="nil"/>
            </w:tcBorders>
            <w:vAlign w:val="center"/>
          </w:tcPr>
          <w:p w14:paraId="0C4D4ECA">
            <w:pPr>
              <w:widowControl/>
              <w:shd w:val="clear"/>
              <w:ind w:firstLine="420"/>
              <w:textAlignment w:val="center"/>
              <w:rPr>
                <w:color w:val="auto"/>
                <w:sz w:val="21"/>
                <w:szCs w:val="21"/>
                <w:highlight w:val="none"/>
              </w:rPr>
            </w:pPr>
            <w:r>
              <w:rPr>
                <w:rFonts w:hint="eastAsia" w:cs="宋体"/>
                <w:color w:val="auto"/>
                <w:kern w:val="0"/>
                <w:sz w:val="21"/>
                <w:szCs w:val="21"/>
                <w:highlight w:val="none"/>
                <w:lang w:bidi="ar"/>
              </w:rPr>
              <w:t>18.5</w:t>
            </w:r>
          </w:p>
        </w:tc>
        <w:tc>
          <w:tcPr>
            <w:tcW w:w="1182" w:type="dxa"/>
            <w:tcBorders>
              <w:tl2br w:val="nil"/>
              <w:tr2bl w:val="nil"/>
            </w:tcBorders>
            <w:vAlign w:val="center"/>
          </w:tcPr>
          <w:p w14:paraId="51CF472A">
            <w:pPr>
              <w:widowControl/>
              <w:shd w:val="clear"/>
              <w:ind w:firstLine="420"/>
              <w:textAlignment w:val="center"/>
              <w:rPr>
                <w:color w:val="auto"/>
                <w:sz w:val="21"/>
                <w:szCs w:val="21"/>
                <w:highlight w:val="none"/>
              </w:rPr>
            </w:pPr>
            <w:r>
              <w:rPr>
                <w:rFonts w:hint="eastAsia" w:cs="宋体"/>
                <w:color w:val="auto"/>
                <w:kern w:val="0"/>
                <w:sz w:val="21"/>
                <w:szCs w:val="21"/>
                <w:highlight w:val="none"/>
                <w:lang w:bidi="ar"/>
              </w:rPr>
              <w:t>1</w:t>
            </w:r>
          </w:p>
        </w:tc>
      </w:tr>
      <w:tr w14:paraId="14C740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Borders>
              <w:tl2br w:val="nil"/>
              <w:tr2bl w:val="nil"/>
            </w:tcBorders>
            <w:vAlign w:val="center"/>
          </w:tcPr>
          <w:p w14:paraId="2D51BF2B">
            <w:pPr>
              <w:widowControl/>
              <w:shd w:val="clear"/>
              <w:snapToGrid w:val="0"/>
              <w:spacing w:before="94" w:beforeLines="30" w:after="94" w:afterLines="30" w:line="240" w:lineRule="auto"/>
              <w:ind w:firstLine="0" w:firstLineChars="0"/>
              <w:jc w:val="center"/>
              <w:rPr>
                <w:color w:val="auto"/>
                <w:sz w:val="21"/>
                <w:szCs w:val="21"/>
                <w:highlight w:val="none"/>
              </w:rPr>
            </w:pPr>
            <w:r>
              <w:rPr>
                <w:rFonts w:hint="eastAsia"/>
                <w:color w:val="auto"/>
                <w:sz w:val="21"/>
                <w:szCs w:val="21"/>
                <w:highlight w:val="none"/>
              </w:rPr>
              <w:t>3</w:t>
            </w:r>
          </w:p>
        </w:tc>
        <w:tc>
          <w:tcPr>
            <w:tcW w:w="1554" w:type="dxa"/>
            <w:tcBorders>
              <w:tl2br w:val="nil"/>
              <w:tr2bl w:val="nil"/>
            </w:tcBorders>
            <w:vAlign w:val="center"/>
          </w:tcPr>
          <w:p w14:paraId="317B9993">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2#高炉地沟2#液压泵</w:t>
            </w:r>
          </w:p>
        </w:tc>
        <w:tc>
          <w:tcPr>
            <w:tcW w:w="1564" w:type="dxa"/>
            <w:tcBorders>
              <w:tl2br w:val="nil"/>
              <w:tr2bl w:val="nil"/>
            </w:tcBorders>
            <w:vAlign w:val="center"/>
          </w:tcPr>
          <w:p w14:paraId="7E151360">
            <w:pPr>
              <w:widowControl/>
              <w:shd w:val="clear"/>
              <w:ind w:firstLine="420"/>
              <w:textAlignment w:val="center"/>
              <w:rPr>
                <w:color w:val="auto"/>
                <w:sz w:val="21"/>
                <w:szCs w:val="21"/>
                <w:highlight w:val="none"/>
              </w:rPr>
            </w:pPr>
            <w:r>
              <w:rPr>
                <w:rFonts w:hint="eastAsia" w:cs="宋体"/>
                <w:color w:val="auto"/>
                <w:kern w:val="0"/>
                <w:sz w:val="21"/>
                <w:szCs w:val="21"/>
                <w:highlight w:val="none"/>
                <w:lang w:bidi="ar"/>
              </w:rPr>
              <w:t>电机</w:t>
            </w:r>
          </w:p>
        </w:tc>
        <w:tc>
          <w:tcPr>
            <w:tcW w:w="1371" w:type="dxa"/>
            <w:tcBorders>
              <w:tl2br w:val="nil"/>
              <w:tr2bl w:val="nil"/>
            </w:tcBorders>
            <w:vAlign w:val="center"/>
          </w:tcPr>
          <w:p w14:paraId="2A776E1C">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HM2-180M-4</w:t>
            </w:r>
          </w:p>
        </w:tc>
        <w:tc>
          <w:tcPr>
            <w:tcW w:w="1210" w:type="dxa"/>
            <w:tcBorders>
              <w:tl2br w:val="nil"/>
              <w:tr2bl w:val="nil"/>
            </w:tcBorders>
            <w:vAlign w:val="center"/>
          </w:tcPr>
          <w:p w14:paraId="621469D4">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380V</w:t>
            </w:r>
          </w:p>
        </w:tc>
        <w:tc>
          <w:tcPr>
            <w:tcW w:w="1193" w:type="dxa"/>
            <w:tcBorders>
              <w:tl2br w:val="nil"/>
              <w:tr2bl w:val="nil"/>
            </w:tcBorders>
            <w:vAlign w:val="center"/>
          </w:tcPr>
          <w:p w14:paraId="348E796F">
            <w:pPr>
              <w:widowControl/>
              <w:shd w:val="clear"/>
              <w:ind w:firstLine="210" w:firstLineChars="100"/>
              <w:textAlignment w:val="center"/>
              <w:rPr>
                <w:color w:val="auto"/>
                <w:sz w:val="21"/>
                <w:szCs w:val="21"/>
                <w:highlight w:val="none"/>
              </w:rPr>
            </w:pPr>
            <w:r>
              <w:rPr>
                <w:rFonts w:hint="eastAsia" w:cs="宋体"/>
                <w:color w:val="auto"/>
                <w:kern w:val="0"/>
                <w:sz w:val="21"/>
                <w:szCs w:val="21"/>
                <w:highlight w:val="none"/>
                <w:lang w:bidi="ar"/>
              </w:rPr>
              <w:t>18.5</w:t>
            </w:r>
          </w:p>
        </w:tc>
        <w:tc>
          <w:tcPr>
            <w:tcW w:w="1182" w:type="dxa"/>
            <w:tcBorders>
              <w:tl2br w:val="nil"/>
              <w:tr2bl w:val="nil"/>
            </w:tcBorders>
            <w:vAlign w:val="center"/>
          </w:tcPr>
          <w:p w14:paraId="5C963555">
            <w:pPr>
              <w:widowControl/>
              <w:shd w:val="clear"/>
              <w:ind w:firstLine="420"/>
              <w:textAlignment w:val="center"/>
              <w:rPr>
                <w:color w:val="auto"/>
                <w:sz w:val="21"/>
                <w:szCs w:val="21"/>
                <w:highlight w:val="none"/>
              </w:rPr>
            </w:pPr>
            <w:r>
              <w:rPr>
                <w:rFonts w:hint="eastAsia" w:cs="宋体"/>
                <w:color w:val="auto"/>
                <w:kern w:val="0"/>
                <w:sz w:val="21"/>
                <w:szCs w:val="21"/>
                <w:highlight w:val="none"/>
                <w:lang w:bidi="ar"/>
              </w:rPr>
              <w:t>1</w:t>
            </w:r>
          </w:p>
        </w:tc>
      </w:tr>
      <w:tr w14:paraId="2FE150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Borders>
              <w:tl2br w:val="nil"/>
              <w:tr2bl w:val="nil"/>
            </w:tcBorders>
            <w:vAlign w:val="center"/>
          </w:tcPr>
          <w:p w14:paraId="210E2DAE">
            <w:pPr>
              <w:widowControl/>
              <w:shd w:val="clear"/>
              <w:snapToGrid w:val="0"/>
              <w:spacing w:before="94" w:beforeLines="30" w:after="94" w:afterLines="30" w:line="240" w:lineRule="auto"/>
              <w:ind w:firstLine="0" w:firstLineChars="0"/>
              <w:jc w:val="center"/>
              <w:rPr>
                <w:color w:val="auto"/>
                <w:sz w:val="21"/>
                <w:szCs w:val="21"/>
                <w:highlight w:val="none"/>
              </w:rPr>
            </w:pPr>
            <w:r>
              <w:rPr>
                <w:rFonts w:hint="eastAsia"/>
                <w:color w:val="auto"/>
                <w:sz w:val="21"/>
                <w:szCs w:val="21"/>
                <w:highlight w:val="none"/>
              </w:rPr>
              <w:t>4</w:t>
            </w:r>
          </w:p>
        </w:tc>
        <w:tc>
          <w:tcPr>
            <w:tcW w:w="1554" w:type="dxa"/>
            <w:tcBorders>
              <w:tl2br w:val="nil"/>
              <w:tr2bl w:val="nil"/>
            </w:tcBorders>
            <w:vAlign w:val="center"/>
          </w:tcPr>
          <w:p w14:paraId="00D3F6F8">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2号高炉</w:t>
            </w:r>
          </w:p>
        </w:tc>
        <w:tc>
          <w:tcPr>
            <w:tcW w:w="1564" w:type="dxa"/>
            <w:tcBorders>
              <w:tl2br w:val="nil"/>
              <w:tr2bl w:val="nil"/>
            </w:tcBorders>
            <w:vAlign w:val="center"/>
          </w:tcPr>
          <w:p w14:paraId="691BF109">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2炉布袋除尘1.8米盲板阀液压泵电机</w:t>
            </w:r>
          </w:p>
        </w:tc>
        <w:tc>
          <w:tcPr>
            <w:tcW w:w="1371" w:type="dxa"/>
            <w:tcBorders>
              <w:tl2br w:val="nil"/>
              <w:tr2bl w:val="nil"/>
            </w:tcBorders>
            <w:vAlign w:val="center"/>
          </w:tcPr>
          <w:p w14:paraId="07260E7A">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Y2-132S-4</w:t>
            </w:r>
          </w:p>
        </w:tc>
        <w:tc>
          <w:tcPr>
            <w:tcW w:w="1210" w:type="dxa"/>
            <w:tcBorders>
              <w:tl2br w:val="nil"/>
              <w:tr2bl w:val="nil"/>
            </w:tcBorders>
            <w:vAlign w:val="center"/>
          </w:tcPr>
          <w:p w14:paraId="62C1A7EE">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380V</w:t>
            </w:r>
          </w:p>
        </w:tc>
        <w:tc>
          <w:tcPr>
            <w:tcW w:w="1193" w:type="dxa"/>
            <w:tcBorders>
              <w:tl2br w:val="nil"/>
              <w:tr2bl w:val="nil"/>
            </w:tcBorders>
            <w:vAlign w:val="center"/>
          </w:tcPr>
          <w:p w14:paraId="4688307D">
            <w:pPr>
              <w:widowControl/>
              <w:shd w:val="clear"/>
              <w:ind w:firstLine="210" w:firstLineChars="100"/>
              <w:textAlignment w:val="center"/>
              <w:rPr>
                <w:color w:val="auto"/>
                <w:sz w:val="21"/>
                <w:szCs w:val="21"/>
                <w:highlight w:val="none"/>
              </w:rPr>
            </w:pPr>
            <w:r>
              <w:rPr>
                <w:rFonts w:hint="eastAsia" w:cs="宋体"/>
                <w:color w:val="auto"/>
                <w:kern w:val="0"/>
                <w:sz w:val="21"/>
                <w:szCs w:val="21"/>
                <w:highlight w:val="none"/>
                <w:lang w:bidi="ar"/>
              </w:rPr>
              <w:t>5.5</w:t>
            </w:r>
          </w:p>
        </w:tc>
        <w:tc>
          <w:tcPr>
            <w:tcW w:w="1182" w:type="dxa"/>
            <w:tcBorders>
              <w:tl2br w:val="nil"/>
              <w:tr2bl w:val="nil"/>
            </w:tcBorders>
            <w:vAlign w:val="center"/>
          </w:tcPr>
          <w:p w14:paraId="0E6C5FAF">
            <w:pPr>
              <w:widowControl/>
              <w:shd w:val="clear"/>
              <w:ind w:firstLine="420"/>
              <w:textAlignment w:val="center"/>
              <w:rPr>
                <w:color w:val="auto"/>
                <w:sz w:val="21"/>
                <w:szCs w:val="21"/>
                <w:highlight w:val="none"/>
              </w:rPr>
            </w:pPr>
            <w:r>
              <w:rPr>
                <w:rFonts w:hint="eastAsia" w:cs="宋体"/>
                <w:color w:val="auto"/>
                <w:kern w:val="0"/>
                <w:sz w:val="21"/>
                <w:szCs w:val="21"/>
                <w:highlight w:val="none"/>
                <w:lang w:bidi="ar"/>
              </w:rPr>
              <w:t>1</w:t>
            </w:r>
          </w:p>
        </w:tc>
      </w:tr>
      <w:tr w14:paraId="71B720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Borders>
              <w:tl2br w:val="nil"/>
              <w:tr2bl w:val="nil"/>
            </w:tcBorders>
            <w:vAlign w:val="center"/>
          </w:tcPr>
          <w:p w14:paraId="516FEE56">
            <w:pPr>
              <w:widowControl/>
              <w:shd w:val="clear"/>
              <w:snapToGrid w:val="0"/>
              <w:spacing w:before="94" w:beforeLines="30" w:after="94" w:afterLines="30" w:line="240" w:lineRule="auto"/>
              <w:ind w:firstLine="0" w:firstLineChars="0"/>
              <w:jc w:val="center"/>
              <w:rPr>
                <w:color w:val="auto"/>
                <w:sz w:val="21"/>
                <w:szCs w:val="21"/>
                <w:highlight w:val="none"/>
              </w:rPr>
            </w:pPr>
            <w:r>
              <w:rPr>
                <w:rFonts w:hint="eastAsia"/>
                <w:color w:val="auto"/>
                <w:sz w:val="21"/>
                <w:szCs w:val="21"/>
                <w:highlight w:val="none"/>
              </w:rPr>
              <w:t>5</w:t>
            </w:r>
          </w:p>
        </w:tc>
        <w:tc>
          <w:tcPr>
            <w:tcW w:w="1554" w:type="dxa"/>
            <w:tcBorders>
              <w:tl2br w:val="nil"/>
              <w:tr2bl w:val="nil"/>
            </w:tcBorders>
            <w:vAlign w:val="center"/>
          </w:tcPr>
          <w:p w14:paraId="512BB640">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2号高炉炉前液压站</w:t>
            </w:r>
          </w:p>
        </w:tc>
        <w:tc>
          <w:tcPr>
            <w:tcW w:w="1564" w:type="dxa"/>
            <w:tcBorders>
              <w:tl2br w:val="nil"/>
              <w:tr2bl w:val="nil"/>
            </w:tcBorders>
            <w:vAlign w:val="center"/>
          </w:tcPr>
          <w:p w14:paraId="287EC37D">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2号高炉北场滤油泵</w:t>
            </w:r>
          </w:p>
        </w:tc>
        <w:tc>
          <w:tcPr>
            <w:tcW w:w="1371" w:type="dxa"/>
            <w:tcBorders>
              <w:tl2br w:val="nil"/>
              <w:tr2bl w:val="nil"/>
            </w:tcBorders>
            <w:vAlign w:val="center"/>
          </w:tcPr>
          <w:p w14:paraId="2A569430">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Y100L2-4</w:t>
            </w:r>
          </w:p>
        </w:tc>
        <w:tc>
          <w:tcPr>
            <w:tcW w:w="1210" w:type="dxa"/>
            <w:tcBorders>
              <w:tl2br w:val="nil"/>
              <w:tr2bl w:val="nil"/>
            </w:tcBorders>
            <w:vAlign w:val="center"/>
          </w:tcPr>
          <w:p w14:paraId="1CE95804">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380V</w:t>
            </w:r>
          </w:p>
        </w:tc>
        <w:tc>
          <w:tcPr>
            <w:tcW w:w="1193" w:type="dxa"/>
            <w:tcBorders>
              <w:tl2br w:val="nil"/>
              <w:tr2bl w:val="nil"/>
            </w:tcBorders>
            <w:vAlign w:val="center"/>
          </w:tcPr>
          <w:p w14:paraId="487FE80B">
            <w:pPr>
              <w:widowControl/>
              <w:shd w:val="clear"/>
              <w:ind w:firstLine="420"/>
              <w:textAlignment w:val="center"/>
              <w:rPr>
                <w:color w:val="auto"/>
                <w:sz w:val="21"/>
                <w:szCs w:val="21"/>
                <w:highlight w:val="none"/>
              </w:rPr>
            </w:pPr>
            <w:r>
              <w:rPr>
                <w:rFonts w:hint="eastAsia" w:cs="宋体"/>
                <w:color w:val="auto"/>
                <w:kern w:val="0"/>
                <w:sz w:val="21"/>
                <w:szCs w:val="21"/>
                <w:highlight w:val="none"/>
                <w:lang w:bidi="ar"/>
              </w:rPr>
              <w:t>3</w:t>
            </w:r>
          </w:p>
        </w:tc>
        <w:tc>
          <w:tcPr>
            <w:tcW w:w="1182" w:type="dxa"/>
            <w:tcBorders>
              <w:tl2br w:val="nil"/>
              <w:tr2bl w:val="nil"/>
            </w:tcBorders>
            <w:vAlign w:val="center"/>
          </w:tcPr>
          <w:p w14:paraId="666EDEC6">
            <w:pPr>
              <w:widowControl/>
              <w:shd w:val="clear"/>
              <w:ind w:firstLine="420"/>
              <w:textAlignment w:val="center"/>
              <w:rPr>
                <w:color w:val="auto"/>
                <w:sz w:val="21"/>
                <w:szCs w:val="21"/>
                <w:highlight w:val="none"/>
              </w:rPr>
            </w:pPr>
            <w:r>
              <w:rPr>
                <w:rFonts w:hint="eastAsia" w:cs="宋体"/>
                <w:color w:val="auto"/>
                <w:kern w:val="0"/>
                <w:sz w:val="21"/>
                <w:szCs w:val="21"/>
                <w:highlight w:val="none"/>
                <w:lang w:bidi="ar"/>
              </w:rPr>
              <w:t>1</w:t>
            </w:r>
          </w:p>
        </w:tc>
      </w:tr>
      <w:tr w14:paraId="105F00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Borders>
              <w:tl2br w:val="nil"/>
              <w:tr2bl w:val="nil"/>
            </w:tcBorders>
            <w:vAlign w:val="center"/>
          </w:tcPr>
          <w:p w14:paraId="6AB710B6">
            <w:pPr>
              <w:widowControl/>
              <w:shd w:val="clear"/>
              <w:snapToGrid w:val="0"/>
              <w:spacing w:before="94" w:beforeLines="30" w:after="94" w:afterLines="30" w:line="240" w:lineRule="auto"/>
              <w:ind w:firstLine="0" w:firstLineChars="0"/>
              <w:jc w:val="center"/>
              <w:rPr>
                <w:color w:val="auto"/>
                <w:sz w:val="21"/>
                <w:szCs w:val="21"/>
                <w:highlight w:val="none"/>
              </w:rPr>
            </w:pPr>
            <w:r>
              <w:rPr>
                <w:rFonts w:hint="eastAsia"/>
                <w:color w:val="auto"/>
                <w:sz w:val="21"/>
                <w:szCs w:val="21"/>
                <w:highlight w:val="none"/>
              </w:rPr>
              <w:t>6</w:t>
            </w:r>
          </w:p>
        </w:tc>
        <w:tc>
          <w:tcPr>
            <w:tcW w:w="1554" w:type="dxa"/>
            <w:tcBorders>
              <w:tl2br w:val="nil"/>
              <w:tr2bl w:val="nil"/>
            </w:tcBorders>
            <w:vAlign w:val="center"/>
          </w:tcPr>
          <w:p w14:paraId="662EA744">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2号高炉炉前液压站</w:t>
            </w:r>
          </w:p>
        </w:tc>
        <w:tc>
          <w:tcPr>
            <w:tcW w:w="1564" w:type="dxa"/>
            <w:tcBorders>
              <w:tl2br w:val="nil"/>
              <w:tr2bl w:val="nil"/>
            </w:tcBorders>
            <w:vAlign w:val="center"/>
          </w:tcPr>
          <w:p w14:paraId="14BEC579">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2号高炉南场滤油泵</w:t>
            </w:r>
          </w:p>
        </w:tc>
        <w:tc>
          <w:tcPr>
            <w:tcW w:w="1371" w:type="dxa"/>
            <w:tcBorders>
              <w:tl2br w:val="nil"/>
              <w:tr2bl w:val="nil"/>
            </w:tcBorders>
            <w:vAlign w:val="center"/>
          </w:tcPr>
          <w:p w14:paraId="3336B652">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Y100L2-4</w:t>
            </w:r>
          </w:p>
        </w:tc>
        <w:tc>
          <w:tcPr>
            <w:tcW w:w="1210" w:type="dxa"/>
            <w:tcBorders>
              <w:tl2br w:val="nil"/>
              <w:tr2bl w:val="nil"/>
            </w:tcBorders>
            <w:vAlign w:val="center"/>
          </w:tcPr>
          <w:p w14:paraId="06EBBA44">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380V</w:t>
            </w:r>
          </w:p>
        </w:tc>
        <w:tc>
          <w:tcPr>
            <w:tcW w:w="1193" w:type="dxa"/>
            <w:tcBorders>
              <w:tl2br w:val="nil"/>
              <w:tr2bl w:val="nil"/>
            </w:tcBorders>
            <w:vAlign w:val="center"/>
          </w:tcPr>
          <w:p w14:paraId="0B58AB3B">
            <w:pPr>
              <w:widowControl/>
              <w:shd w:val="clear"/>
              <w:ind w:firstLine="420"/>
              <w:textAlignment w:val="center"/>
              <w:rPr>
                <w:color w:val="auto"/>
                <w:sz w:val="21"/>
                <w:szCs w:val="21"/>
                <w:highlight w:val="none"/>
              </w:rPr>
            </w:pPr>
            <w:r>
              <w:rPr>
                <w:rFonts w:hint="eastAsia" w:cs="宋体"/>
                <w:color w:val="auto"/>
                <w:kern w:val="0"/>
                <w:sz w:val="21"/>
                <w:szCs w:val="21"/>
                <w:highlight w:val="none"/>
                <w:lang w:bidi="ar"/>
              </w:rPr>
              <w:t>3</w:t>
            </w:r>
          </w:p>
        </w:tc>
        <w:tc>
          <w:tcPr>
            <w:tcW w:w="1182" w:type="dxa"/>
            <w:tcBorders>
              <w:tl2br w:val="nil"/>
              <w:tr2bl w:val="nil"/>
            </w:tcBorders>
            <w:vAlign w:val="center"/>
          </w:tcPr>
          <w:p w14:paraId="1C77FC4E">
            <w:pPr>
              <w:widowControl/>
              <w:shd w:val="clear"/>
              <w:ind w:firstLine="420"/>
              <w:textAlignment w:val="center"/>
              <w:rPr>
                <w:color w:val="auto"/>
                <w:sz w:val="21"/>
                <w:szCs w:val="21"/>
                <w:highlight w:val="none"/>
              </w:rPr>
            </w:pPr>
            <w:r>
              <w:rPr>
                <w:rFonts w:hint="eastAsia" w:cs="宋体"/>
                <w:color w:val="auto"/>
                <w:kern w:val="0"/>
                <w:sz w:val="21"/>
                <w:szCs w:val="21"/>
                <w:highlight w:val="none"/>
                <w:lang w:bidi="ar"/>
              </w:rPr>
              <w:t>1</w:t>
            </w:r>
          </w:p>
        </w:tc>
      </w:tr>
      <w:tr w14:paraId="2EAA07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Borders>
              <w:tl2br w:val="nil"/>
              <w:tr2bl w:val="nil"/>
            </w:tcBorders>
            <w:vAlign w:val="center"/>
          </w:tcPr>
          <w:p w14:paraId="7839AB73">
            <w:pPr>
              <w:widowControl/>
              <w:shd w:val="clear"/>
              <w:snapToGrid w:val="0"/>
              <w:spacing w:before="94" w:beforeLines="30" w:after="94" w:afterLines="30" w:line="240" w:lineRule="auto"/>
              <w:ind w:firstLine="0" w:firstLineChars="0"/>
              <w:jc w:val="center"/>
              <w:rPr>
                <w:color w:val="auto"/>
                <w:sz w:val="21"/>
                <w:szCs w:val="21"/>
                <w:highlight w:val="none"/>
              </w:rPr>
            </w:pPr>
            <w:r>
              <w:rPr>
                <w:rFonts w:hint="eastAsia"/>
                <w:color w:val="auto"/>
                <w:sz w:val="21"/>
                <w:szCs w:val="21"/>
                <w:highlight w:val="none"/>
              </w:rPr>
              <w:t>7</w:t>
            </w:r>
          </w:p>
        </w:tc>
        <w:tc>
          <w:tcPr>
            <w:tcW w:w="1554" w:type="dxa"/>
            <w:tcBorders>
              <w:tl2br w:val="nil"/>
              <w:tr2bl w:val="nil"/>
            </w:tcBorders>
            <w:vAlign w:val="center"/>
          </w:tcPr>
          <w:p w14:paraId="65C74598">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2#高炉地沟循环泵</w:t>
            </w:r>
          </w:p>
        </w:tc>
        <w:tc>
          <w:tcPr>
            <w:tcW w:w="1564" w:type="dxa"/>
            <w:tcBorders>
              <w:tl2br w:val="nil"/>
              <w:tr2bl w:val="nil"/>
            </w:tcBorders>
            <w:vAlign w:val="center"/>
          </w:tcPr>
          <w:p w14:paraId="76A6F129">
            <w:pPr>
              <w:widowControl/>
              <w:shd w:val="clear"/>
              <w:ind w:firstLine="0" w:firstLineChars="0"/>
              <w:jc w:val="center"/>
              <w:textAlignment w:val="center"/>
              <w:rPr>
                <w:color w:val="auto"/>
                <w:sz w:val="21"/>
                <w:szCs w:val="21"/>
                <w:highlight w:val="none"/>
              </w:rPr>
            </w:pPr>
            <w:r>
              <w:rPr>
                <w:rFonts w:hint="eastAsia" w:cs="宋体"/>
                <w:color w:val="auto"/>
                <w:kern w:val="0"/>
                <w:sz w:val="21"/>
                <w:szCs w:val="21"/>
                <w:highlight w:val="none"/>
                <w:lang w:bidi="ar"/>
              </w:rPr>
              <w:t>电机</w:t>
            </w:r>
          </w:p>
        </w:tc>
        <w:tc>
          <w:tcPr>
            <w:tcW w:w="1371" w:type="dxa"/>
            <w:tcBorders>
              <w:tl2br w:val="nil"/>
              <w:tr2bl w:val="nil"/>
            </w:tcBorders>
            <w:vAlign w:val="center"/>
          </w:tcPr>
          <w:p w14:paraId="011810C1">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JHM-100L2-4</w:t>
            </w:r>
          </w:p>
        </w:tc>
        <w:tc>
          <w:tcPr>
            <w:tcW w:w="1210" w:type="dxa"/>
            <w:tcBorders>
              <w:tl2br w:val="nil"/>
              <w:tr2bl w:val="nil"/>
            </w:tcBorders>
            <w:vAlign w:val="center"/>
          </w:tcPr>
          <w:p w14:paraId="36414AA9">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380V</w:t>
            </w:r>
          </w:p>
        </w:tc>
        <w:tc>
          <w:tcPr>
            <w:tcW w:w="1193" w:type="dxa"/>
            <w:tcBorders>
              <w:tl2br w:val="nil"/>
              <w:tr2bl w:val="nil"/>
            </w:tcBorders>
            <w:vAlign w:val="center"/>
          </w:tcPr>
          <w:p w14:paraId="5C675568">
            <w:pPr>
              <w:widowControl/>
              <w:shd w:val="clear"/>
              <w:ind w:firstLine="420"/>
              <w:textAlignment w:val="center"/>
              <w:rPr>
                <w:color w:val="auto"/>
                <w:sz w:val="21"/>
                <w:szCs w:val="21"/>
                <w:highlight w:val="none"/>
              </w:rPr>
            </w:pPr>
            <w:r>
              <w:rPr>
                <w:rFonts w:hint="eastAsia" w:cs="宋体"/>
                <w:color w:val="auto"/>
                <w:kern w:val="0"/>
                <w:sz w:val="21"/>
                <w:szCs w:val="21"/>
                <w:highlight w:val="none"/>
                <w:lang w:bidi="ar"/>
              </w:rPr>
              <w:t>3</w:t>
            </w:r>
          </w:p>
        </w:tc>
        <w:tc>
          <w:tcPr>
            <w:tcW w:w="1182" w:type="dxa"/>
            <w:tcBorders>
              <w:tl2br w:val="nil"/>
              <w:tr2bl w:val="nil"/>
            </w:tcBorders>
            <w:vAlign w:val="center"/>
          </w:tcPr>
          <w:p w14:paraId="070B57D4">
            <w:pPr>
              <w:widowControl/>
              <w:shd w:val="clear"/>
              <w:ind w:firstLine="420"/>
              <w:textAlignment w:val="center"/>
              <w:rPr>
                <w:color w:val="auto"/>
                <w:sz w:val="21"/>
                <w:szCs w:val="21"/>
                <w:highlight w:val="none"/>
              </w:rPr>
            </w:pPr>
            <w:r>
              <w:rPr>
                <w:rFonts w:hint="eastAsia" w:cs="宋体"/>
                <w:color w:val="auto"/>
                <w:kern w:val="0"/>
                <w:sz w:val="21"/>
                <w:szCs w:val="21"/>
                <w:highlight w:val="none"/>
                <w:lang w:bidi="ar"/>
              </w:rPr>
              <w:t>1</w:t>
            </w:r>
          </w:p>
        </w:tc>
      </w:tr>
      <w:tr w14:paraId="09F46F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Borders>
              <w:tl2br w:val="nil"/>
              <w:tr2bl w:val="nil"/>
            </w:tcBorders>
            <w:vAlign w:val="center"/>
          </w:tcPr>
          <w:p w14:paraId="333A381A">
            <w:pPr>
              <w:widowControl/>
              <w:shd w:val="clear"/>
              <w:snapToGrid w:val="0"/>
              <w:spacing w:before="94" w:beforeLines="30" w:after="94" w:afterLines="30" w:line="240" w:lineRule="auto"/>
              <w:ind w:firstLine="0" w:firstLineChars="0"/>
              <w:jc w:val="center"/>
              <w:rPr>
                <w:color w:val="auto"/>
                <w:sz w:val="21"/>
                <w:szCs w:val="21"/>
                <w:highlight w:val="none"/>
              </w:rPr>
            </w:pPr>
            <w:r>
              <w:rPr>
                <w:rFonts w:hint="eastAsia"/>
                <w:color w:val="auto"/>
                <w:sz w:val="21"/>
                <w:szCs w:val="21"/>
                <w:highlight w:val="none"/>
              </w:rPr>
              <w:t>8</w:t>
            </w:r>
          </w:p>
        </w:tc>
        <w:tc>
          <w:tcPr>
            <w:tcW w:w="1554" w:type="dxa"/>
            <w:tcBorders>
              <w:tl2br w:val="nil"/>
              <w:tr2bl w:val="nil"/>
            </w:tcBorders>
            <w:vAlign w:val="center"/>
          </w:tcPr>
          <w:p w14:paraId="3D912EB7">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2号高炉卷扬机械室</w:t>
            </w:r>
          </w:p>
        </w:tc>
        <w:tc>
          <w:tcPr>
            <w:tcW w:w="1564" w:type="dxa"/>
            <w:tcBorders>
              <w:tl2br w:val="nil"/>
              <w:tr2bl w:val="nil"/>
            </w:tcBorders>
            <w:vAlign w:val="center"/>
          </w:tcPr>
          <w:p w14:paraId="4D3962A7">
            <w:pPr>
              <w:widowControl/>
              <w:shd w:val="clear"/>
              <w:ind w:firstLine="0" w:firstLineChars="0"/>
              <w:jc w:val="center"/>
              <w:textAlignment w:val="center"/>
              <w:rPr>
                <w:color w:val="auto"/>
                <w:sz w:val="21"/>
                <w:szCs w:val="21"/>
                <w:highlight w:val="none"/>
              </w:rPr>
            </w:pPr>
            <w:r>
              <w:rPr>
                <w:rFonts w:hint="eastAsia" w:cs="宋体"/>
                <w:color w:val="auto"/>
                <w:kern w:val="0"/>
                <w:sz w:val="21"/>
                <w:szCs w:val="21"/>
                <w:highlight w:val="none"/>
                <w:lang w:bidi="ar"/>
              </w:rPr>
              <w:t>循环泵</w:t>
            </w:r>
          </w:p>
        </w:tc>
        <w:tc>
          <w:tcPr>
            <w:tcW w:w="1371" w:type="dxa"/>
            <w:tcBorders>
              <w:tl2br w:val="nil"/>
              <w:tr2bl w:val="nil"/>
            </w:tcBorders>
            <w:vAlign w:val="center"/>
          </w:tcPr>
          <w:p w14:paraId="796036C6">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Y100L1-4</w:t>
            </w:r>
          </w:p>
        </w:tc>
        <w:tc>
          <w:tcPr>
            <w:tcW w:w="1210" w:type="dxa"/>
            <w:tcBorders>
              <w:tl2br w:val="nil"/>
              <w:tr2bl w:val="nil"/>
            </w:tcBorders>
            <w:vAlign w:val="center"/>
          </w:tcPr>
          <w:p w14:paraId="114AEAC2">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380V</w:t>
            </w:r>
          </w:p>
        </w:tc>
        <w:tc>
          <w:tcPr>
            <w:tcW w:w="1193" w:type="dxa"/>
            <w:tcBorders>
              <w:tl2br w:val="nil"/>
              <w:tr2bl w:val="nil"/>
            </w:tcBorders>
            <w:vAlign w:val="center"/>
          </w:tcPr>
          <w:p w14:paraId="4F08570E">
            <w:pPr>
              <w:widowControl/>
              <w:shd w:val="clear"/>
              <w:ind w:firstLine="420"/>
              <w:textAlignment w:val="center"/>
              <w:rPr>
                <w:color w:val="auto"/>
                <w:sz w:val="21"/>
                <w:szCs w:val="21"/>
                <w:highlight w:val="none"/>
              </w:rPr>
            </w:pPr>
            <w:r>
              <w:rPr>
                <w:rFonts w:hint="eastAsia" w:cs="宋体"/>
                <w:color w:val="auto"/>
                <w:kern w:val="0"/>
                <w:sz w:val="21"/>
                <w:szCs w:val="21"/>
                <w:highlight w:val="none"/>
                <w:lang w:bidi="ar"/>
              </w:rPr>
              <w:t>2.2</w:t>
            </w:r>
          </w:p>
        </w:tc>
        <w:tc>
          <w:tcPr>
            <w:tcW w:w="1182" w:type="dxa"/>
            <w:tcBorders>
              <w:tl2br w:val="nil"/>
              <w:tr2bl w:val="nil"/>
            </w:tcBorders>
            <w:vAlign w:val="center"/>
          </w:tcPr>
          <w:p w14:paraId="7739B169">
            <w:pPr>
              <w:widowControl/>
              <w:shd w:val="clear"/>
              <w:ind w:firstLine="420"/>
              <w:textAlignment w:val="center"/>
              <w:rPr>
                <w:color w:val="auto"/>
                <w:sz w:val="21"/>
                <w:szCs w:val="21"/>
                <w:highlight w:val="none"/>
              </w:rPr>
            </w:pPr>
            <w:r>
              <w:rPr>
                <w:rFonts w:hint="eastAsia" w:cs="宋体"/>
                <w:color w:val="auto"/>
                <w:kern w:val="0"/>
                <w:sz w:val="21"/>
                <w:szCs w:val="21"/>
                <w:highlight w:val="none"/>
                <w:lang w:bidi="ar"/>
              </w:rPr>
              <w:t>1</w:t>
            </w:r>
          </w:p>
        </w:tc>
      </w:tr>
      <w:tr w14:paraId="0978F9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Borders>
              <w:tl2br w:val="nil"/>
              <w:tr2bl w:val="nil"/>
            </w:tcBorders>
            <w:vAlign w:val="center"/>
          </w:tcPr>
          <w:p w14:paraId="694A8302">
            <w:pPr>
              <w:widowControl/>
              <w:shd w:val="clear"/>
              <w:snapToGrid w:val="0"/>
              <w:spacing w:before="94" w:beforeLines="30" w:after="94" w:afterLines="30" w:line="240" w:lineRule="auto"/>
              <w:ind w:firstLine="0" w:firstLineChars="0"/>
              <w:jc w:val="center"/>
              <w:rPr>
                <w:color w:val="auto"/>
                <w:sz w:val="21"/>
                <w:szCs w:val="21"/>
                <w:highlight w:val="none"/>
              </w:rPr>
            </w:pPr>
            <w:r>
              <w:rPr>
                <w:rFonts w:hint="eastAsia"/>
                <w:color w:val="auto"/>
                <w:sz w:val="21"/>
                <w:szCs w:val="21"/>
                <w:highlight w:val="none"/>
              </w:rPr>
              <w:t>9</w:t>
            </w:r>
          </w:p>
        </w:tc>
        <w:tc>
          <w:tcPr>
            <w:tcW w:w="1554" w:type="dxa"/>
            <w:tcBorders>
              <w:tl2br w:val="nil"/>
              <w:tr2bl w:val="nil"/>
            </w:tcBorders>
            <w:vAlign w:val="center"/>
          </w:tcPr>
          <w:p w14:paraId="3AA2A805">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2号高炉炉顶</w:t>
            </w:r>
          </w:p>
        </w:tc>
        <w:tc>
          <w:tcPr>
            <w:tcW w:w="1564" w:type="dxa"/>
            <w:tcBorders>
              <w:tl2br w:val="nil"/>
              <w:tr2bl w:val="nil"/>
            </w:tcBorders>
            <w:vAlign w:val="center"/>
          </w:tcPr>
          <w:p w14:paraId="7639B242">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2#稀油泵</w:t>
            </w:r>
          </w:p>
        </w:tc>
        <w:tc>
          <w:tcPr>
            <w:tcW w:w="1371" w:type="dxa"/>
            <w:tcBorders>
              <w:tl2br w:val="nil"/>
              <w:tr2bl w:val="nil"/>
            </w:tcBorders>
            <w:vAlign w:val="center"/>
          </w:tcPr>
          <w:p w14:paraId="3AE3E107">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Y90S-4</w:t>
            </w:r>
          </w:p>
        </w:tc>
        <w:tc>
          <w:tcPr>
            <w:tcW w:w="1210" w:type="dxa"/>
            <w:tcBorders>
              <w:tl2br w:val="nil"/>
              <w:tr2bl w:val="nil"/>
            </w:tcBorders>
            <w:vAlign w:val="center"/>
          </w:tcPr>
          <w:p w14:paraId="2356E1DC">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380V</w:t>
            </w:r>
          </w:p>
        </w:tc>
        <w:tc>
          <w:tcPr>
            <w:tcW w:w="1193" w:type="dxa"/>
            <w:tcBorders>
              <w:tl2br w:val="nil"/>
              <w:tr2bl w:val="nil"/>
            </w:tcBorders>
            <w:vAlign w:val="center"/>
          </w:tcPr>
          <w:p w14:paraId="5FDFD6F2">
            <w:pPr>
              <w:widowControl/>
              <w:shd w:val="clear"/>
              <w:ind w:firstLine="420"/>
              <w:textAlignment w:val="center"/>
              <w:rPr>
                <w:color w:val="auto"/>
                <w:sz w:val="21"/>
                <w:szCs w:val="21"/>
                <w:highlight w:val="none"/>
              </w:rPr>
            </w:pPr>
            <w:r>
              <w:rPr>
                <w:rFonts w:hint="eastAsia" w:cs="宋体"/>
                <w:color w:val="auto"/>
                <w:kern w:val="0"/>
                <w:sz w:val="21"/>
                <w:szCs w:val="21"/>
                <w:highlight w:val="none"/>
                <w:lang w:bidi="ar"/>
              </w:rPr>
              <w:t>1.1</w:t>
            </w:r>
          </w:p>
        </w:tc>
        <w:tc>
          <w:tcPr>
            <w:tcW w:w="1182" w:type="dxa"/>
            <w:tcBorders>
              <w:tl2br w:val="nil"/>
              <w:tr2bl w:val="nil"/>
            </w:tcBorders>
            <w:vAlign w:val="center"/>
          </w:tcPr>
          <w:p w14:paraId="49622DE2">
            <w:pPr>
              <w:widowControl/>
              <w:shd w:val="clear"/>
              <w:ind w:firstLine="420"/>
              <w:textAlignment w:val="center"/>
              <w:rPr>
                <w:color w:val="auto"/>
                <w:sz w:val="21"/>
                <w:szCs w:val="21"/>
                <w:highlight w:val="none"/>
              </w:rPr>
            </w:pPr>
            <w:r>
              <w:rPr>
                <w:rFonts w:hint="eastAsia" w:cs="宋体"/>
                <w:color w:val="auto"/>
                <w:kern w:val="0"/>
                <w:sz w:val="21"/>
                <w:szCs w:val="21"/>
                <w:highlight w:val="none"/>
                <w:lang w:bidi="ar"/>
              </w:rPr>
              <w:t>1</w:t>
            </w:r>
          </w:p>
        </w:tc>
      </w:tr>
      <w:tr w14:paraId="6E2620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Borders>
              <w:tl2br w:val="nil"/>
              <w:tr2bl w:val="nil"/>
            </w:tcBorders>
            <w:vAlign w:val="center"/>
          </w:tcPr>
          <w:p w14:paraId="022B9D36">
            <w:pPr>
              <w:widowControl/>
              <w:shd w:val="clear"/>
              <w:snapToGrid w:val="0"/>
              <w:spacing w:before="94" w:beforeLines="30" w:after="94" w:afterLines="30" w:line="240" w:lineRule="auto"/>
              <w:ind w:firstLine="0" w:firstLineChars="0"/>
              <w:jc w:val="center"/>
              <w:rPr>
                <w:color w:val="auto"/>
                <w:sz w:val="21"/>
                <w:szCs w:val="21"/>
                <w:highlight w:val="none"/>
              </w:rPr>
            </w:pPr>
            <w:r>
              <w:rPr>
                <w:rFonts w:hint="eastAsia"/>
                <w:color w:val="auto"/>
                <w:sz w:val="21"/>
                <w:szCs w:val="21"/>
                <w:highlight w:val="none"/>
              </w:rPr>
              <w:t>10</w:t>
            </w:r>
          </w:p>
        </w:tc>
        <w:tc>
          <w:tcPr>
            <w:tcW w:w="1554" w:type="dxa"/>
            <w:tcBorders>
              <w:tl2br w:val="nil"/>
              <w:tr2bl w:val="nil"/>
            </w:tcBorders>
            <w:vAlign w:val="center"/>
          </w:tcPr>
          <w:p w14:paraId="1E98EC2D">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2号高炉</w:t>
            </w:r>
          </w:p>
        </w:tc>
        <w:tc>
          <w:tcPr>
            <w:tcW w:w="1564" w:type="dxa"/>
            <w:tcBorders>
              <w:tl2br w:val="nil"/>
              <w:tr2bl w:val="nil"/>
            </w:tcBorders>
            <w:vAlign w:val="center"/>
          </w:tcPr>
          <w:p w14:paraId="27DF3045">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2炉热风炉润滑泵电机</w:t>
            </w:r>
          </w:p>
        </w:tc>
        <w:tc>
          <w:tcPr>
            <w:tcW w:w="1371" w:type="dxa"/>
            <w:tcBorders>
              <w:tl2br w:val="nil"/>
              <w:tr2bl w:val="nil"/>
            </w:tcBorders>
            <w:vAlign w:val="center"/>
          </w:tcPr>
          <w:p w14:paraId="54AC03EF">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Y90S-4</w:t>
            </w:r>
          </w:p>
        </w:tc>
        <w:tc>
          <w:tcPr>
            <w:tcW w:w="1210" w:type="dxa"/>
            <w:tcBorders>
              <w:tl2br w:val="nil"/>
              <w:tr2bl w:val="nil"/>
            </w:tcBorders>
            <w:vAlign w:val="center"/>
          </w:tcPr>
          <w:p w14:paraId="45B09005">
            <w:pPr>
              <w:widowControl/>
              <w:shd w:val="clear"/>
              <w:ind w:firstLine="0" w:firstLineChars="0"/>
              <w:textAlignment w:val="center"/>
              <w:rPr>
                <w:color w:val="auto"/>
                <w:sz w:val="21"/>
                <w:szCs w:val="21"/>
                <w:highlight w:val="none"/>
              </w:rPr>
            </w:pPr>
            <w:r>
              <w:rPr>
                <w:rFonts w:hint="eastAsia" w:cs="宋体"/>
                <w:color w:val="auto"/>
                <w:kern w:val="0"/>
                <w:sz w:val="21"/>
                <w:szCs w:val="21"/>
                <w:highlight w:val="none"/>
                <w:lang w:bidi="ar"/>
              </w:rPr>
              <w:t>380V</w:t>
            </w:r>
          </w:p>
        </w:tc>
        <w:tc>
          <w:tcPr>
            <w:tcW w:w="1193" w:type="dxa"/>
            <w:tcBorders>
              <w:tl2br w:val="nil"/>
              <w:tr2bl w:val="nil"/>
            </w:tcBorders>
            <w:vAlign w:val="center"/>
          </w:tcPr>
          <w:p w14:paraId="125F7B1E">
            <w:pPr>
              <w:widowControl/>
              <w:shd w:val="clear"/>
              <w:ind w:firstLine="420"/>
              <w:textAlignment w:val="center"/>
              <w:rPr>
                <w:color w:val="auto"/>
                <w:sz w:val="21"/>
                <w:szCs w:val="21"/>
                <w:highlight w:val="none"/>
              </w:rPr>
            </w:pPr>
            <w:r>
              <w:rPr>
                <w:rFonts w:hint="eastAsia" w:cs="宋体"/>
                <w:color w:val="auto"/>
                <w:kern w:val="0"/>
                <w:sz w:val="21"/>
                <w:szCs w:val="21"/>
                <w:highlight w:val="none"/>
                <w:lang w:bidi="ar"/>
              </w:rPr>
              <w:t>1.1</w:t>
            </w:r>
          </w:p>
        </w:tc>
        <w:tc>
          <w:tcPr>
            <w:tcW w:w="1182" w:type="dxa"/>
            <w:tcBorders>
              <w:tl2br w:val="nil"/>
              <w:tr2bl w:val="nil"/>
            </w:tcBorders>
            <w:vAlign w:val="center"/>
          </w:tcPr>
          <w:p w14:paraId="24E02E1F">
            <w:pPr>
              <w:widowControl/>
              <w:shd w:val="clear"/>
              <w:ind w:firstLine="420"/>
              <w:textAlignment w:val="center"/>
              <w:rPr>
                <w:color w:val="auto"/>
                <w:sz w:val="21"/>
                <w:szCs w:val="21"/>
                <w:highlight w:val="none"/>
              </w:rPr>
            </w:pPr>
            <w:r>
              <w:rPr>
                <w:rFonts w:hint="eastAsia" w:cs="宋体"/>
                <w:color w:val="auto"/>
                <w:kern w:val="0"/>
                <w:sz w:val="21"/>
                <w:szCs w:val="21"/>
                <w:highlight w:val="none"/>
                <w:lang w:bidi="ar"/>
              </w:rPr>
              <w:t>1</w:t>
            </w:r>
          </w:p>
        </w:tc>
      </w:tr>
      <w:tr w14:paraId="05852B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Borders>
              <w:tl2br w:val="nil"/>
              <w:tr2bl w:val="nil"/>
            </w:tcBorders>
            <w:vAlign w:val="center"/>
          </w:tcPr>
          <w:p w14:paraId="131CFA18">
            <w:pPr>
              <w:widowControl/>
              <w:shd w:val="clear"/>
              <w:snapToGrid w:val="0"/>
              <w:spacing w:before="94" w:beforeLines="30" w:after="94" w:afterLines="30" w:line="240" w:lineRule="auto"/>
              <w:ind w:firstLine="0" w:firstLineChars="0"/>
              <w:jc w:val="center"/>
              <w:rPr>
                <w:color w:val="auto"/>
                <w:sz w:val="21"/>
                <w:szCs w:val="21"/>
                <w:highlight w:val="none"/>
              </w:rPr>
            </w:pPr>
          </w:p>
        </w:tc>
        <w:tc>
          <w:tcPr>
            <w:tcW w:w="1554" w:type="dxa"/>
            <w:tcBorders>
              <w:tl2br w:val="nil"/>
              <w:tr2bl w:val="nil"/>
            </w:tcBorders>
            <w:vAlign w:val="center"/>
          </w:tcPr>
          <w:p w14:paraId="197F43DE">
            <w:pPr>
              <w:widowControl/>
              <w:shd w:val="clear"/>
              <w:ind w:firstLine="420"/>
              <w:jc w:val="center"/>
              <w:textAlignment w:val="center"/>
              <w:rPr>
                <w:color w:val="auto"/>
                <w:sz w:val="21"/>
                <w:szCs w:val="21"/>
                <w:highlight w:val="none"/>
              </w:rPr>
            </w:pPr>
          </w:p>
        </w:tc>
        <w:tc>
          <w:tcPr>
            <w:tcW w:w="1564" w:type="dxa"/>
            <w:tcBorders>
              <w:tl2br w:val="nil"/>
              <w:tr2bl w:val="nil"/>
            </w:tcBorders>
            <w:vAlign w:val="center"/>
          </w:tcPr>
          <w:p w14:paraId="737BB179">
            <w:pPr>
              <w:widowControl/>
              <w:shd w:val="clear"/>
              <w:ind w:firstLine="0" w:firstLineChars="0"/>
              <w:jc w:val="center"/>
              <w:textAlignment w:val="center"/>
              <w:rPr>
                <w:color w:val="auto"/>
                <w:sz w:val="21"/>
                <w:szCs w:val="21"/>
                <w:highlight w:val="none"/>
              </w:rPr>
            </w:pPr>
          </w:p>
        </w:tc>
        <w:tc>
          <w:tcPr>
            <w:tcW w:w="1371" w:type="dxa"/>
            <w:tcBorders>
              <w:tl2br w:val="nil"/>
              <w:tr2bl w:val="nil"/>
            </w:tcBorders>
            <w:vAlign w:val="center"/>
          </w:tcPr>
          <w:p w14:paraId="783691B6">
            <w:pPr>
              <w:widowControl/>
              <w:shd w:val="clear"/>
              <w:ind w:firstLine="0" w:firstLineChars="0"/>
              <w:jc w:val="center"/>
              <w:textAlignment w:val="center"/>
              <w:rPr>
                <w:color w:val="auto"/>
                <w:sz w:val="21"/>
                <w:szCs w:val="21"/>
                <w:highlight w:val="none"/>
              </w:rPr>
            </w:pPr>
          </w:p>
        </w:tc>
        <w:tc>
          <w:tcPr>
            <w:tcW w:w="1210" w:type="dxa"/>
            <w:tcBorders>
              <w:tl2br w:val="nil"/>
              <w:tr2bl w:val="nil"/>
            </w:tcBorders>
            <w:vAlign w:val="center"/>
          </w:tcPr>
          <w:p w14:paraId="1A364E96">
            <w:pPr>
              <w:widowControl/>
              <w:shd w:val="clear"/>
              <w:ind w:firstLine="0" w:firstLineChars="0"/>
              <w:jc w:val="center"/>
              <w:textAlignment w:val="center"/>
              <w:rPr>
                <w:color w:val="auto"/>
                <w:sz w:val="21"/>
                <w:szCs w:val="21"/>
                <w:highlight w:val="none"/>
              </w:rPr>
            </w:pPr>
          </w:p>
        </w:tc>
        <w:tc>
          <w:tcPr>
            <w:tcW w:w="1193" w:type="dxa"/>
            <w:tcBorders>
              <w:tl2br w:val="nil"/>
              <w:tr2bl w:val="nil"/>
            </w:tcBorders>
            <w:vAlign w:val="center"/>
          </w:tcPr>
          <w:p w14:paraId="00BDFA9D">
            <w:pPr>
              <w:widowControl/>
              <w:shd w:val="clear"/>
              <w:ind w:firstLine="0" w:firstLineChars="0"/>
              <w:jc w:val="center"/>
              <w:textAlignment w:val="center"/>
              <w:rPr>
                <w:color w:val="auto"/>
                <w:sz w:val="21"/>
                <w:szCs w:val="21"/>
                <w:highlight w:val="none"/>
              </w:rPr>
            </w:pPr>
          </w:p>
        </w:tc>
        <w:tc>
          <w:tcPr>
            <w:tcW w:w="1182" w:type="dxa"/>
            <w:tcBorders>
              <w:tl2br w:val="nil"/>
              <w:tr2bl w:val="nil"/>
            </w:tcBorders>
            <w:vAlign w:val="center"/>
          </w:tcPr>
          <w:p w14:paraId="4D98A9F5">
            <w:pPr>
              <w:widowControl/>
              <w:shd w:val="clear"/>
              <w:ind w:firstLine="0" w:firstLineChars="0"/>
              <w:jc w:val="center"/>
              <w:textAlignment w:val="center"/>
              <w:rPr>
                <w:color w:val="auto"/>
                <w:sz w:val="21"/>
                <w:szCs w:val="21"/>
                <w:highlight w:val="none"/>
              </w:rPr>
            </w:pPr>
            <w:r>
              <w:rPr>
                <w:rFonts w:hint="eastAsia"/>
                <w:color w:val="auto"/>
                <w:sz w:val="21"/>
                <w:szCs w:val="21"/>
                <w:highlight w:val="none"/>
              </w:rPr>
              <w:t>10</w:t>
            </w:r>
          </w:p>
        </w:tc>
      </w:tr>
    </w:tbl>
    <w:p w14:paraId="7CECDB4E">
      <w:pPr>
        <w:pStyle w:val="5"/>
        <w:shd w:val="clear"/>
        <w:rPr>
          <w:color w:val="auto"/>
          <w:highlight w:val="none"/>
        </w:rPr>
      </w:pPr>
    </w:p>
    <w:p w14:paraId="449F0C25">
      <w:pPr>
        <w:shd w:val="clear"/>
        <w:snapToGrid w:val="0"/>
        <w:ind w:firstLine="0" w:firstLineChars="0"/>
        <w:jc w:val="center"/>
        <w:outlineLvl w:val="0"/>
        <w:rPr>
          <w:rFonts w:ascii="Times New Roman" w:hAnsi="Times New Roman" w:cs="Times New Roman"/>
          <w:b/>
          <w:color w:val="auto"/>
          <w:kern w:val="0"/>
          <w:sz w:val="30"/>
          <w:szCs w:val="28"/>
          <w:highlight w:val="none"/>
        </w:rPr>
      </w:pPr>
      <w:r>
        <w:rPr>
          <w:rFonts w:ascii="Times New Roman" w:hAnsi="Times New Roman" w:cs="Times New Roman"/>
          <w:b/>
          <w:color w:val="auto"/>
          <w:kern w:val="0"/>
          <w:sz w:val="30"/>
          <w:szCs w:val="28"/>
          <w:highlight w:val="none"/>
        </w:rPr>
        <w:br w:type="page"/>
      </w:r>
      <w:bookmarkStart w:id="395" w:name="_Toc20263"/>
      <w:bookmarkStart w:id="396" w:name="_Toc31899"/>
      <w:bookmarkStart w:id="397" w:name="_Toc13362"/>
      <w:bookmarkStart w:id="398" w:name="_Toc20023"/>
      <w:bookmarkStart w:id="399" w:name="_Toc14477"/>
      <w:bookmarkStart w:id="400" w:name="_Toc3223"/>
      <w:r>
        <w:rPr>
          <w:rFonts w:ascii="Times New Roman" w:hAnsi="Times New Roman" w:cs="Times New Roman"/>
          <w:b/>
          <w:color w:val="auto"/>
          <w:kern w:val="0"/>
          <w:sz w:val="30"/>
          <w:szCs w:val="28"/>
          <w:highlight w:val="none"/>
        </w:rPr>
        <w:t>3</w:t>
      </w:r>
      <w:r>
        <w:rPr>
          <w:rFonts w:hint="eastAsia" w:ascii="Times New Roman" w:hAnsi="Times New Roman" w:cs="Times New Roman"/>
          <w:b/>
          <w:color w:val="auto"/>
          <w:kern w:val="0"/>
          <w:sz w:val="30"/>
          <w:szCs w:val="28"/>
          <w:highlight w:val="none"/>
        </w:rPr>
        <w:t xml:space="preserve"> </w:t>
      </w:r>
      <w:r>
        <w:rPr>
          <w:rFonts w:ascii="Times New Roman" w:hAnsi="Times New Roman" w:cs="Times New Roman"/>
          <w:b/>
          <w:color w:val="auto"/>
          <w:kern w:val="0"/>
          <w:sz w:val="30"/>
          <w:szCs w:val="28"/>
          <w:highlight w:val="none"/>
        </w:rPr>
        <w:t>机械化贮运设施</w:t>
      </w:r>
      <w:bookmarkEnd w:id="395"/>
      <w:bookmarkEnd w:id="396"/>
      <w:bookmarkEnd w:id="397"/>
      <w:bookmarkEnd w:id="398"/>
      <w:bookmarkEnd w:id="399"/>
      <w:bookmarkEnd w:id="400"/>
    </w:p>
    <w:p w14:paraId="2E67D565">
      <w:pPr>
        <w:shd w:val="clear"/>
        <w:ind w:firstLine="0" w:firstLineChars="0"/>
        <w:outlineLvl w:val="1"/>
        <w:rPr>
          <w:rFonts w:cs="Times New Roman"/>
          <w:b/>
          <w:color w:val="auto"/>
          <w:sz w:val="28"/>
          <w:szCs w:val="28"/>
          <w:highlight w:val="none"/>
        </w:rPr>
      </w:pPr>
      <w:bookmarkStart w:id="401" w:name="_Toc12971"/>
      <w:r>
        <w:rPr>
          <w:rFonts w:cs="Times New Roman"/>
          <w:b/>
          <w:color w:val="auto"/>
          <w:sz w:val="28"/>
          <w:szCs w:val="28"/>
          <w:highlight w:val="none"/>
        </w:rPr>
        <w:t>3.1概述</w:t>
      </w:r>
      <w:bookmarkEnd w:id="401"/>
    </w:p>
    <w:p w14:paraId="379C0C4D">
      <w:pPr>
        <w:shd w:val="clear"/>
        <w:jc w:val="both"/>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2#高炉新建返矿外送系统，用于将2#高炉返矿输送至2×360m</w:t>
      </w:r>
      <w:r>
        <w:rPr>
          <w:rFonts w:ascii="Times New Roman" w:hAnsi="Times New Roman" w:cs="Times New Roman"/>
          <w:bCs/>
          <w:color w:val="auto"/>
          <w:kern w:val="0"/>
          <w:szCs w:val="20"/>
          <w:highlight w:val="none"/>
          <w:vertAlign w:val="superscript"/>
        </w:rPr>
        <w:t>2</w:t>
      </w:r>
      <w:r>
        <w:rPr>
          <w:rFonts w:ascii="Times New Roman" w:hAnsi="Times New Roman" w:cs="Times New Roman"/>
          <w:bCs/>
          <w:color w:val="auto"/>
          <w:kern w:val="0"/>
          <w:szCs w:val="20"/>
          <w:highlight w:val="none"/>
        </w:rPr>
        <w:t>烧结，返矿外送系统连续工作。主要包括以下内容：</w:t>
      </w:r>
    </w:p>
    <w:p w14:paraId="5F6A5483">
      <w:pPr>
        <w:shd w:val="clear"/>
        <w:jc w:val="both"/>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1）槽下带式输送机改造。包括更换现有酸返带式输送机、改造碱返带式输送机。</w:t>
      </w:r>
    </w:p>
    <w:p w14:paraId="3D9015DD">
      <w:pPr>
        <w:pStyle w:val="74"/>
        <w:shd w:val="clear"/>
        <w:rPr>
          <w:color w:val="auto"/>
          <w:highlight w:val="none"/>
        </w:rPr>
      </w:pPr>
      <w:r>
        <w:rPr>
          <w:color w:val="auto"/>
          <w:highlight w:val="none"/>
        </w:rPr>
        <w:t>2）</w:t>
      </w:r>
      <w:bookmarkStart w:id="402" w:name="_Toc175920373"/>
      <w:r>
        <w:rPr>
          <w:color w:val="auto"/>
          <w:highlight w:val="none"/>
        </w:rPr>
        <w:t>新建返矿外送系统</w:t>
      </w:r>
      <w:bookmarkEnd w:id="402"/>
      <w:r>
        <w:rPr>
          <w:color w:val="auto"/>
          <w:highlight w:val="none"/>
        </w:rPr>
        <w:t>。包括新建FA、FB 大倾角胶带机。</w:t>
      </w:r>
    </w:p>
    <w:p w14:paraId="730E5BC9">
      <w:pPr>
        <w:shd w:val="clear"/>
        <w:ind w:firstLine="0" w:firstLineChars="0"/>
        <w:outlineLvl w:val="1"/>
        <w:rPr>
          <w:rFonts w:cs="Times New Roman"/>
          <w:b/>
          <w:color w:val="auto"/>
          <w:sz w:val="28"/>
          <w:szCs w:val="28"/>
          <w:highlight w:val="none"/>
        </w:rPr>
      </w:pPr>
      <w:bookmarkStart w:id="403" w:name="_Toc23845"/>
      <w:r>
        <w:rPr>
          <w:rFonts w:cs="Times New Roman"/>
          <w:b/>
          <w:color w:val="auto"/>
          <w:sz w:val="28"/>
          <w:szCs w:val="28"/>
          <w:highlight w:val="none"/>
        </w:rPr>
        <w:t>3.2 槽下带式输送机改造</w:t>
      </w:r>
      <w:bookmarkEnd w:id="403"/>
    </w:p>
    <w:p w14:paraId="1F3FFFC6">
      <w:pPr>
        <w:shd w:val="clear"/>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原酸返皮带带宽500mm运输能力不足，长期存在撒料情况，现场职工劳动强度较大，清料作业过程安全隐患大。为解决以上问题，本次改造，酸返皮带带宽改为650mm，</w:t>
      </w:r>
      <w:r>
        <w:rPr>
          <w:rFonts w:ascii="Times New Roman" w:hAnsi="Times New Roman" w:cs="Times New Roman"/>
          <w:color w:val="auto"/>
          <w:highlight w:val="none"/>
        </w:rPr>
        <w:t>全程导料槽</w:t>
      </w:r>
      <w:r>
        <w:rPr>
          <w:rFonts w:ascii="Times New Roman" w:hAnsi="Times New Roman" w:cs="Times New Roman"/>
          <w:bCs/>
          <w:color w:val="auto"/>
          <w:kern w:val="0"/>
          <w:szCs w:val="20"/>
          <w:highlight w:val="none"/>
        </w:rPr>
        <w:t>。酸性返矿返输送机机头向南延长改造，驱动及滚筒更换，其它利旧，全程增加导料槽及防护网。</w:t>
      </w:r>
      <w:r>
        <w:rPr>
          <w:rFonts w:ascii="Times New Roman" w:hAnsi="Times New Roman" w:cs="Times New Roman"/>
          <w:color w:val="auto"/>
          <w:highlight w:val="none"/>
        </w:rPr>
        <w:t>现有碱返皮带从8#、9#振筛中间截断，1号高炉南碱返皮带利旧现有碱返带式输送机，增加机尾滚筒</w:t>
      </w:r>
      <w:r>
        <w:rPr>
          <w:rFonts w:hint="eastAsia" w:ascii="Times New Roman" w:hAnsi="Times New Roman" w:cs="Times New Roman"/>
          <w:color w:val="auto"/>
          <w:highlight w:val="none"/>
          <w:lang w:eastAsia="zh-CN"/>
        </w:rPr>
        <w:t>及配重</w:t>
      </w:r>
      <w:r>
        <w:rPr>
          <w:rFonts w:ascii="Times New Roman" w:hAnsi="Times New Roman" w:cs="Times New Roman"/>
          <w:color w:val="auto"/>
          <w:highlight w:val="none"/>
        </w:rPr>
        <w:t>。2号高炉碱返皮带（B=650mm）带式输送机改造，向南延长约15m，胶带更换，托辊支架全部更换、五防更换、更换全程导料槽、增加机头、机尾滚筒、电机、减速机。</w:t>
      </w:r>
      <w:r>
        <w:rPr>
          <w:rFonts w:ascii="Times New Roman" w:hAnsi="Times New Roman" w:cs="Times New Roman"/>
          <w:bCs/>
          <w:color w:val="auto"/>
          <w:kern w:val="0"/>
          <w:szCs w:val="20"/>
          <w:highlight w:val="none"/>
        </w:rPr>
        <w:t>其它利旧，全程增加导料槽及防护网。槽下皮带机拉绳、跑偏等保护装置利旧。</w:t>
      </w:r>
    </w:p>
    <w:p w14:paraId="4825F88F">
      <w:pPr>
        <w:shd w:val="clear"/>
        <w:jc w:val="both"/>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改造后，酸返、碱返皮带机采用三道头部清扫器，一级一道重型聚氨酯一级清扫器，二级一道合金橡胶二级清扫器，三级一道橡胶清扫器。改造后的碱返胶带机、酸返胶带机工作制度与现有酸返、碱返胶带机的工作制度保持一致。即四班三运转， 日工作班数三班，班工作时间为 8 小时。</w:t>
      </w:r>
    </w:p>
    <w:p w14:paraId="56C97A84">
      <w:pPr>
        <w:shd w:val="clear"/>
        <w:ind w:firstLine="0" w:firstLineChars="0"/>
        <w:outlineLvl w:val="1"/>
        <w:rPr>
          <w:rFonts w:cs="Times New Roman"/>
          <w:b/>
          <w:color w:val="auto"/>
          <w:sz w:val="28"/>
          <w:szCs w:val="28"/>
          <w:highlight w:val="none"/>
        </w:rPr>
      </w:pPr>
      <w:bookmarkStart w:id="404" w:name="_Toc28372"/>
      <w:r>
        <w:rPr>
          <w:rFonts w:cs="Times New Roman"/>
          <w:b/>
          <w:color w:val="auto"/>
          <w:sz w:val="28"/>
          <w:szCs w:val="28"/>
          <w:highlight w:val="none"/>
        </w:rPr>
        <w:t>3.3 新建返矿外送系统</w:t>
      </w:r>
      <w:bookmarkEnd w:id="404"/>
    </w:p>
    <w:p w14:paraId="621D3599">
      <w:pPr>
        <w:pStyle w:val="74"/>
        <w:shd w:val="clear"/>
        <w:ind w:firstLine="0" w:firstLineChars="0"/>
        <w:rPr>
          <w:rFonts w:ascii="Times New Roman" w:hAnsi="Times New Roman"/>
          <w:color w:val="auto"/>
          <w:highlight w:val="none"/>
        </w:rPr>
      </w:pPr>
      <w:r>
        <w:rPr>
          <w:rFonts w:ascii="Times New Roman" w:hAnsi="Times New Roman"/>
          <w:color w:val="auto"/>
          <w:highlight w:val="none"/>
        </w:rPr>
        <w:t>3.3.1 新建返矿系统工艺流程</w:t>
      </w:r>
    </w:p>
    <w:p w14:paraId="2AAFC95E">
      <w:pPr>
        <w:pStyle w:val="74"/>
        <w:shd w:val="clear"/>
        <w:rPr>
          <w:rFonts w:ascii="Times New Roman" w:hAnsi="Times New Roman"/>
          <w:color w:val="auto"/>
          <w:sz w:val="28"/>
          <w:highlight w:val="none"/>
        </w:rPr>
      </w:pPr>
      <w:r>
        <w:rPr>
          <w:rFonts w:ascii="Times New Roman" w:hAnsi="Times New Roman"/>
          <w:color w:val="auto"/>
          <w:highlight w:val="none"/>
        </w:rPr>
        <w:t>新建返矿外运系统工艺流程图如下：</w:t>
      </w:r>
    </w:p>
    <w:p w14:paraId="53F8B0A4">
      <w:pPr>
        <w:pStyle w:val="74"/>
        <w:shd w:val="clear"/>
        <w:ind w:firstLine="0" w:firstLineChars="0"/>
        <w:rPr>
          <w:rFonts w:ascii="Times New Roman" w:hAnsi="Times New Roman"/>
          <w:color w:val="auto"/>
          <w:highlight w:val="none"/>
        </w:rPr>
      </w:pPr>
      <w:r>
        <w:rPr>
          <w:rFonts w:ascii="Times New Roman" w:hAnsi="Times New Roman"/>
          <w:color w:val="auto"/>
          <w:highlight w:val="none"/>
        </w:rPr>
        <w:t xml:space="preserve">  </w:t>
      </w:r>
    </w:p>
    <w:p w14:paraId="7E741D68">
      <w:pPr>
        <w:shd w:val="clear"/>
        <w:jc w:val="center"/>
        <w:rPr>
          <w:rFonts w:ascii="Times New Roman" w:hAnsi="Times New Roman" w:cs="Times New Roman"/>
          <w:color w:val="auto"/>
          <w:highlight w:val="none"/>
        </w:rPr>
      </w:pPr>
      <w:r>
        <w:rPr>
          <w:rFonts w:ascii="Times New Roman" w:hAnsi="Times New Roman" w:cs="Times New Roman"/>
          <w:color w:val="auto"/>
          <w:highlight w:val="none"/>
        </w:rPr>
        <w:drawing>
          <wp:inline distT="0" distB="0" distL="114300" distR="114300">
            <wp:extent cx="4229735" cy="2622550"/>
            <wp:effectExtent l="0" t="0" r="12065" b="635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0"/>
                    <a:stretch>
                      <a:fillRect/>
                    </a:stretch>
                  </pic:blipFill>
                  <pic:spPr>
                    <a:xfrm>
                      <a:off x="0" y="0"/>
                      <a:ext cx="4229735" cy="2622550"/>
                    </a:xfrm>
                    <a:prstGeom prst="rect">
                      <a:avLst/>
                    </a:prstGeom>
                    <a:noFill/>
                    <a:ln>
                      <a:noFill/>
                    </a:ln>
                  </pic:spPr>
                </pic:pic>
              </a:graphicData>
            </a:graphic>
          </wp:inline>
        </w:drawing>
      </w:r>
    </w:p>
    <w:p w14:paraId="1489E523">
      <w:pPr>
        <w:shd w:val="clear"/>
        <w:jc w:val="both"/>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酸返皮带运料至新建的 FA 波状挡边带式输送机，FA 波状挡边带式输送机运输至新建酸返仓。碱运料至新建的 FB 波状挡边带式输送机，FB 波状挡边带式输送机运输至新建碱返仓。</w:t>
      </w:r>
    </w:p>
    <w:p w14:paraId="7628C550">
      <w:pPr>
        <w:pStyle w:val="74"/>
        <w:shd w:val="clear"/>
        <w:spacing w:before="78" w:beforeLines="25"/>
        <w:ind w:firstLine="0" w:firstLineChars="0"/>
        <w:rPr>
          <w:rFonts w:ascii="Times New Roman" w:hAnsi="Times New Roman"/>
          <w:color w:val="auto"/>
          <w:highlight w:val="none"/>
        </w:rPr>
      </w:pPr>
      <w:r>
        <w:rPr>
          <w:rFonts w:ascii="Times New Roman" w:hAnsi="Times New Roman"/>
          <w:color w:val="auto"/>
          <w:highlight w:val="none"/>
        </w:rPr>
        <w:t>3.3.2新建带式输送机能力计算</w:t>
      </w:r>
    </w:p>
    <w:p w14:paraId="2083BC32">
      <w:pPr>
        <w:shd w:val="clear"/>
        <w:jc w:val="both"/>
        <w:rPr>
          <w:rFonts w:ascii="Times New Roman" w:hAnsi="Times New Roman" w:cs="Times New Roman"/>
          <w:color w:val="auto"/>
          <w:highlight w:val="none"/>
        </w:rPr>
      </w:pPr>
      <w:r>
        <w:rPr>
          <w:rFonts w:ascii="Times New Roman" w:hAnsi="Times New Roman" w:cs="Times New Roman"/>
          <w:color w:val="auto"/>
          <w:highlight w:val="none"/>
        </w:rPr>
        <w:t>改造后酸返皮带机带速1.6m/s，输送量120t/h。碱返皮带机带速1.6m/s，输送量120t/h。新增FA、FB波状挡边带式输送机输送能力与酸返、碱返皮带一致，输送量120t/h，带速1.6m/s。</w:t>
      </w:r>
    </w:p>
    <w:p w14:paraId="48371DD0">
      <w:pPr>
        <w:pStyle w:val="74"/>
        <w:shd w:val="clear"/>
        <w:spacing w:before="78" w:beforeLines="25"/>
        <w:ind w:firstLine="0" w:firstLineChars="0"/>
        <w:rPr>
          <w:rFonts w:ascii="Times New Roman" w:hAnsi="Times New Roman"/>
          <w:color w:val="auto"/>
          <w:highlight w:val="none"/>
        </w:rPr>
      </w:pPr>
      <w:r>
        <w:rPr>
          <w:rFonts w:ascii="Times New Roman" w:hAnsi="Times New Roman"/>
          <w:color w:val="auto"/>
          <w:highlight w:val="none"/>
        </w:rPr>
        <w:t>3.3.3 转运站及胶带机要求</w:t>
      </w:r>
    </w:p>
    <w:p w14:paraId="3B316C29">
      <w:pPr>
        <w:shd w:val="clear"/>
        <w:jc w:val="both"/>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各转运站均设有检修用的电动葫芦。为满足环保要求，各转运站、通廊采用全封闭结构，各交料点、受料点进行除尘。</w:t>
      </w:r>
    </w:p>
    <w:p w14:paraId="62CB4A5B">
      <w:pPr>
        <w:shd w:val="clear"/>
        <w:jc w:val="both"/>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带式输送机选用DTⅡ(A)标准，两侧全程设计加装安全防护，</w:t>
      </w:r>
      <w:r>
        <w:rPr>
          <w:rFonts w:ascii="Times New Roman" w:hAnsi="Times New Roman" w:cs="Times New Roman"/>
          <w:color w:val="auto"/>
          <w:highlight w:val="none"/>
        </w:rPr>
        <w:t>头部漏斗物料接触面采用料磨料形式，合金耐磨条厚度50mm</w:t>
      </w:r>
      <w:r>
        <w:rPr>
          <w:rFonts w:ascii="Times New Roman" w:hAnsi="Times New Roman" w:cs="Times New Roman"/>
          <w:bCs/>
          <w:color w:val="auto"/>
          <w:kern w:val="0"/>
          <w:szCs w:val="20"/>
          <w:highlight w:val="none"/>
        </w:rPr>
        <w:t>，各衬板的装配结构形式要牢固，且要便于拆卸和更换。为方便安装除尘管道，头部护罩均采用直角面过渡形式。带式输送机溜管出料方向要与皮带运行方向一致，角度合理，落料点处于皮带中心位置。皮带机垂直拉紧装置四周</w:t>
      </w:r>
      <w:r>
        <w:rPr>
          <w:rFonts w:hint="eastAsia" w:ascii="Times New Roman" w:hAnsi="Times New Roman" w:cs="Times New Roman"/>
          <w:bCs/>
          <w:color w:val="auto"/>
          <w:kern w:val="0"/>
          <w:szCs w:val="20"/>
          <w:highlight w:val="none"/>
          <w:lang w:val="en-US" w:eastAsia="zh-CN"/>
        </w:rPr>
        <w:t>彩钢板</w:t>
      </w:r>
      <w:r>
        <w:rPr>
          <w:rFonts w:ascii="Times New Roman" w:hAnsi="Times New Roman" w:cs="Times New Roman"/>
          <w:bCs/>
          <w:color w:val="auto"/>
          <w:kern w:val="0"/>
          <w:szCs w:val="20"/>
          <w:highlight w:val="none"/>
        </w:rPr>
        <w:t>全封闭</w:t>
      </w:r>
      <w:r>
        <w:rPr>
          <w:rFonts w:hint="eastAsia" w:ascii="Times New Roman" w:hAnsi="Times New Roman" w:cs="Times New Roman"/>
          <w:bCs/>
          <w:color w:val="auto"/>
          <w:kern w:val="0"/>
          <w:szCs w:val="20"/>
          <w:highlight w:val="none"/>
          <w:lang w:eastAsia="zh-CN"/>
        </w:rPr>
        <w:t>，</w:t>
      </w:r>
      <w:r>
        <w:rPr>
          <w:rFonts w:hint="eastAsia" w:ascii="Times New Roman" w:hAnsi="Times New Roman" w:cs="Times New Roman"/>
          <w:bCs/>
          <w:color w:val="auto"/>
          <w:kern w:val="0"/>
          <w:szCs w:val="20"/>
          <w:highlight w:val="none"/>
          <w:lang w:val="en-US" w:eastAsia="zh-CN"/>
        </w:rPr>
        <w:t>在封闭里面设2m高的安全栅栏并设置防护网</w:t>
      </w:r>
      <w:r>
        <w:rPr>
          <w:rFonts w:ascii="Times New Roman" w:hAnsi="Times New Roman" w:cs="Times New Roman"/>
          <w:bCs/>
          <w:color w:val="auto"/>
          <w:kern w:val="0"/>
          <w:szCs w:val="20"/>
          <w:highlight w:val="none"/>
        </w:rPr>
        <w:t>。</w:t>
      </w:r>
    </w:p>
    <w:p w14:paraId="0F7E047E">
      <w:pPr>
        <w:shd w:val="clear"/>
        <w:ind w:firstLineChars="0"/>
        <w:jc w:val="both"/>
        <w:rPr>
          <w:rFonts w:hint="eastAsia" w:ascii="Times New Roman" w:hAnsi="Times New Roman" w:eastAsia="宋体" w:cs="Times New Roman"/>
          <w:bCs/>
          <w:color w:val="auto"/>
          <w:kern w:val="0"/>
          <w:szCs w:val="20"/>
          <w:highlight w:val="none"/>
          <w:lang w:eastAsia="zh-CN"/>
        </w:rPr>
      </w:pPr>
      <w:r>
        <w:rPr>
          <w:rFonts w:ascii="Times New Roman" w:hAnsi="Times New Roman" w:cs="Times New Roman"/>
          <w:bCs/>
          <w:color w:val="auto"/>
          <w:kern w:val="0"/>
          <w:szCs w:val="20"/>
          <w:highlight w:val="none"/>
        </w:rPr>
        <w:t>增加皮带机集中润滑系统，提高自动化水平及润滑的可靠性，减少因设备润滑不良造成的设备故障，减轻工人劳动强度和作业量。润滑系统的配套控制系统与上位机实现相互通讯，当润滑系统故障是发出报警信号。新建 1#润滑系统泵主要负责点位:改造后的酸返、碱返胶带机头部滚筒、新增FA、FB大倾角胶带机尾部滚筒、头部滚筒，新增F01胶带机尾部滚筒、头部滚筒，新增F02胶带机尾部滚筒共36个润滑点</w:t>
      </w:r>
      <w:bookmarkStart w:id="405" w:name="_Toc175944132"/>
      <w:r>
        <w:rPr>
          <w:rFonts w:hint="eastAsia" w:ascii="Times New Roman" w:hAnsi="Times New Roman" w:cs="Times New Roman"/>
          <w:bCs/>
          <w:color w:val="auto"/>
          <w:kern w:val="0"/>
          <w:szCs w:val="20"/>
          <w:highlight w:val="none"/>
          <w:lang w:eastAsia="zh-CN"/>
        </w:rPr>
        <w:t>。</w:t>
      </w:r>
    </w:p>
    <w:p w14:paraId="59382A35">
      <w:pPr>
        <w:shd w:val="clear"/>
        <w:ind w:firstLine="0" w:firstLineChars="0"/>
        <w:outlineLvl w:val="1"/>
        <w:rPr>
          <w:rFonts w:cs="Times New Roman"/>
          <w:b/>
          <w:color w:val="auto"/>
          <w:sz w:val="28"/>
          <w:szCs w:val="28"/>
          <w:highlight w:val="none"/>
        </w:rPr>
      </w:pPr>
      <w:bookmarkStart w:id="406" w:name="_Toc5600"/>
      <w:r>
        <w:rPr>
          <w:rFonts w:cs="Times New Roman"/>
          <w:b/>
          <w:color w:val="auto"/>
          <w:sz w:val="28"/>
          <w:szCs w:val="28"/>
          <w:highlight w:val="none"/>
        </w:rPr>
        <w:t>3.4返矿外送系统主要新增工艺设备</w:t>
      </w:r>
      <w:bookmarkEnd w:id="405"/>
      <w:bookmarkEnd w:id="406"/>
    </w:p>
    <w:p w14:paraId="0C06F804">
      <w:pPr>
        <w:shd w:val="clear"/>
        <w:ind w:firstLineChars="0"/>
        <w:jc w:val="both"/>
        <w:rPr>
          <w:rFonts w:ascii="Times New Roman" w:hAnsi="Times New Roman" w:cs="Times New Roman"/>
          <w:bCs/>
          <w:color w:val="auto"/>
          <w:kern w:val="0"/>
          <w:szCs w:val="20"/>
          <w:highlight w:val="none"/>
        </w:rPr>
      </w:pPr>
      <w:r>
        <w:rPr>
          <w:rFonts w:ascii="Times New Roman" w:hAnsi="Times New Roman" w:cs="Times New Roman"/>
          <w:bCs/>
          <w:color w:val="auto"/>
          <w:kern w:val="0"/>
          <w:szCs w:val="20"/>
          <w:highlight w:val="none"/>
        </w:rPr>
        <w:t>新建返矿外运系统主要新增设备参数见下表：</w:t>
      </w:r>
    </w:p>
    <w:tbl>
      <w:tblPr>
        <w:tblStyle w:val="60"/>
        <w:tblW w:w="775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727"/>
        <w:gridCol w:w="3937"/>
        <w:gridCol w:w="741"/>
        <w:gridCol w:w="653"/>
      </w:tblGrid>
      <w:tr w14:paraId="2DB706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shd w:val="clear" w:color="auto" w:fill="auto"/>
            <w:noWrap/>
            <w:vAlign w:val="center"/>
          </w:tcPr>
          <w:p w14:paraId="5C40F976">
            <w:pPr>
              <w:widowControl/>
              <w:shd w:val="clear"/>
              <w:snapToGrid w:val="0"/>
              <w:spacing w:before="94" w:beforeLines="30" w:after="94" w:afterLines="30" w:line="240" w:lineRule="auto"/>
              <w:ind w:firstLine="0" w:firstLineChars="0"/>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序号</w:t>
            </w:r>
          </w:p>
        </w:tc>
        <w:tc>
          <w:tcPr>
            <w:tcW w:w="1727" w:type="dxa"/>
            <w:shd w:val="clear" w:color="auto" w:fill="auto"/>
            <w:noWrap/>
            <w:vAlign w:val="center"/>
          </w:tcPr>
          <w:p w14:paraId="05C25571">
            <w:pPr>
              <w:widowControl/>
              <w:shd w:val="clear"/>
              <w:snapToGrid w:val="0"/>
              <w:spacing w:before="94" w:beforeLines="30" w:after="94" w:afterLines="30" w:line="240" w:lineRule="auto"/>
              <w:ind w:firstLine="0" w:firstLineChars="0"/>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设备名称</w:t>
            </w:r>
          </w:p>
        </w:tc>
        <w:tc>
          <w:tcPr>
            <w:tcW w:w="3937" w:type="dxa"/>
            <w:shd w:val="clear" w:color="auto" w:fill="auto"/>
          </w:tcPr>
          <w:p w14:paraId="6CAEEAA8">
            <w:pPr>
              <w:widowControl/>
              <w:shd w:val="clear"/>
              <w:snapToGrid w:val="0"/>
              <w:spacing w:before="94" w:beforeLines="30" w:after="94" w:afterLines="30" w:line="240" w:lineRule="auto"/>
              <w:ind w:firstLine="0" w:firstLineChars="0"/>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技术规格</w:t>
            </w:r>
          </w:p>
        </w:tc>
        <w:tc>
          <w:tcPr>
            <w:tcW w:w="741" w:type="dxa"/>
            <w:shd w:val="clear" w:color="auto" w:fill="auto"/>
            <w:vAlign w:val="center"/>
          </w:tcPr>
          <w:p w14:paraId="747E58CF">
            <w:pPr>
              <w:widowControl/>
              <w:shd w:val="clear"/>
              <w:snapToGrid w:val="0"/>
              <w:spacing w:before="94" w:beforeLines="30" w:after="94" w:afterLines="30" w:line="240" w:lineRule="auto"/>
              <w:ind w:firstLine="0" w:firstLineChars="0"/>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单位</w:t>
            </w:r>
          </w:p>
        </w:tc>
        <w:tc>
          <w:tcPr>
            <w:tcW w:w="653" w:type="dxa"/>
            <w:shd w:val="clear" w:color="auto" w:fill="auto"/>
            <w:vAlign w:val="center"/>
          </w:tcPr>
          <w:p w14:paraId="0198513E">
            <w:pPr>
              <w:widowControl/>
              <w:shd w:val="clear"/>
              <w:snapToGrid w:val="0"/>
              <w:spacing w:before="94" w:beforeLines="30" w:after="94" w:afterLines="30" w:line="240" w:lineRule="auto"/>
              <w:ind w:firstLine="0" w:firstLineChars="0"/>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数量</w:t>
            </w:r>
          </w:p>
        </w:tc>
      </w:tr>
      <w:tr w14:paraId="10F705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shd w:val="clear" w:color="auto" w:fill="auto"/>
            <w:noWrap/>
            <w:vAlign w:val="center"/>
          </w:tcPr>
          <w:p w14:paraId="6CBF0072">
            <w:pPr>
              <w:widowControl/>
              <w:shd w:val="clear"/>
              <w:snapToGrid w:val="0"/>
              <w:spacing w:before="94" w:beforeLines="30" w:after="94" w:afterLines="30" w:line="240"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1727" w:type="dxa"/>
            <w:shd w:val="clear" w:color="auto" w:fill="auto"/>
            <w:noWrap/>
            <w:vAlign w:val="center"/>
          </w:tcPr>
          <w:p w14:paraId="2D014719">
            <w:pPr>
              <w:widowControl/>
              <w:shd w:val="clear"/>
              <w:snapToGrid w:val="0"/>
              <w:spacing w:before="94" w:beforeLines="30" w:after="94" w:afterLines="30" w:line="240"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FA大倾角皮带机</w:t>
            </w:r>
          </w:p>
        </w:tc>
        <w:tc>
          <w:tcPr>
            <w:tcW w:w="3937" w:type="dxa"/>
            <w:shd w:val="clear" w:color="auto" w:fill="auto"/>
          </w:tcPr>
          <w:p w14:paraId="763F095E">
            <w:pPr>
              <w:widowControl/>
              <w:shd w:val="clear"/>
              <w:snapToGrid w:val="0"/>
              <w:spacing w:before="94" w:beforeLines="30" w:after="94" w:afterLines="30" w:line="240"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B=1000mm，V=1.6m/s，L=30m，H＝25m，Q=120t/h，P=</w:t>
            </w:r>
            <w:r>
              <w:rPr>
                <w:rFonts w:hint="eastAsia" w:ascii="Times New Roman" w:hAnsi="Times New Roman" w:cs="Times New Roman"/>
                <w:color w:val="auto"/>
                <w:sz w:val="21"/>
                <w:szCs w:val="21"/>
                <w:highlight w:val="none"/>
                <w:lang w:val="en-US" w:eastAsia="zh-CN"/>
              </w:rPr>
              <w:t>45</w:t>
            </w:r>
            <w:r>
              <w:rPr>
                <w:rFonts w:ascii="Times New Roman" w:hAnsi="Times New Roman" w:cs="Times New Roman"/>
                <w:color w:val="auto"/>
                <w:sz w:val="21"/>
                <w:szCs w:val="21"/>
                <w:highlight w:val="none"/>
              </w:rPr>
              <w:t>KW。</w:t>
            </w:r>
          </w:p>
        </w:tc>
        <w:tc>
          <w:tcPr>
            <w:tcW w:w="741" w:type="dxa"/>
            <w:shd w:val="clear" w:color="auto" w:fill="auto"/>
            <w:vAlign w:val="center"/>
          </w:tcPr>
          <w:p w14:paraId="3EB10562">
            <w:pPr>
              <w:widowControl/>
              <w:shd w:val="clear"/>
              <w:snapToGrid w:val="0"/>
              <w:spacing w:before="94" w:beforeLines="30" w:after="94" w:afterLines="30" w:line="240"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台</w:t>
            </w:r>
          </w:p>
        </w:tc>
        <w:tc>
          <w:tcPr>
            <w:tcW w:w="653" w:type="dxa"/>
            <w:shd w:val="clear" w:color="auto" w:fill="auto"/>
            <w:vAlign w:val="center"/>
          </w:tcPr>
          <w:p w14:paraId="694FC61D">
            <w:pPr>
              <w:widowControl/>
              <w:shd w:val="clear"/>
              <w:snapToGrid w:val="0"/>
              <w:spacing w:before="94" w:beforeLines="30" w:after="94" w:afterLines="30" w:line="240"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r>
      <w:tr w14:paraId="353E8A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shd w:val="clear" w:color="auto" w:fill="auto"/>
            <w:noWrap/>
            <w:vAlign w:val="center"/>
          </w:tcPr>
          <w:p w14:paraId="3B4A4435">
            <w:pPr>
              <w:widowControl/>
              <w:shd w:val="clear"/>
              <w:snapToGrid w:val="0"/>
              <w:spacing w:before="94" w:beforeLines="30" w:after="94" w:afterLines="30" w:line="240"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1727" w:type="dxa"/>
            <w:shd w:val="clear" w:color="auto" w:fill="auto"/>
            <w:noWrap/>
            <w:vAlign w:val="center"/>
          </w:tcPr>
          <w:p w14:paraId="56567216">
            <w:pPr>
              <w:widowControl/>
              <w:shd w:val="clear"/>
              <w:snapToGrid w:val="0"/>
              <w:spacing w:before="94" w:beforeLines="30" w:after="94" w:afterLines="30" w:line="240"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F</w:t>
            </w:r>
            <w:r>
              <w:rPr>
                <w:rFonts w:hint="eastAsia" w:ascii="Times New Roman" w:hAnsi="Times New Roman" w:cs="Times New Roman"/>
                <w:color w:val="auto"/>
                <w:sz w:val="21"/>
                <w:szCs w:val="21"/>
                <w:highlight w:val="none"/>
                <w:lang w:val="en-US" w:eastAsia="zh-CN"/>
              </w:rPr>
              <w:t>B</w:t>
            </w:r>
            <w:r>
              <w:rPr>
                <w:rFonts w:ascii="Times New Roman" w:hAnsi="Times New Roman" w:cs="Times New Roman"/>
                <w:color w:val="auto"/>
                <w:sz w:val="21"/>
                <w:szCs w:val="21"/>
                <w:highlight w:val="none"/>
              </w:rPr>
              <w:t>大倾角皮带机</w:t>
            </w:r>
          </w:p>
        </w:tc>
        <w:tc>
          <w:tcPr>
            <w:tcW w:w="3937" w:type="dxa"/>
            <w:shd w:val="clear" w:color="auto" w:fill="auto"/>
          </w:tcPr>
          <w:p w14:paraId="316040E7">
            <w:pPr>
              <w:widowControl/>
              <w:shd w:val="clear"/>
              <w:snapToGrid w:val="0"/>
              <w:spacing w:before="94" w:beforeLines="30" w:after="94" w:afterLines="30" w:line="240"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B=1000mm，V=1.6m/s，L=30m，H＝25m，Q=120t/h，P=</w:t>
            </w:r>
            <w:r>
              <w:rPr>
                <w:rFonts w:hint="eastAsia" w:ascii="Times New Roman" w:hAnsi="Times New Roman" w:cs="Times New Roman"/>
                <w:color w:val="auto"/>
                <w:sz w:val="21"/>
                <w:szCs w:val="21"/>
                <w:highlight w:val="none"/>
                <w:lang w:val="en-US" w:eastAsia="zh-CN"/>
              </w:rPr>
              <w:t>45</w:t>
            </w:r>
            <w:r>
              <w:rPr>
                <w:rFonts w:ascii="Times New Roman" w:hAnsi="Times New Roman" w:cs="Times New Roman"/>
                <w:color w:val="auto"/>
                <w:sz w:val="21"/>
                <w:szCs w:val="21"/>
                <w:highlight w:val="none"/>
              </w:rPr>
              <w:t>KW。</w:t>
            </w:r>
          </w:p>
        </w:tc>
        <w:tc>
          <w:tcPr>
            <w:tcW w:w="741" w:type="dxa"/>
            <w:shd w:val="clear" w:color="auto" w:fill="auto"/>
            <w:vAlign w:val="center"/>
          </w:tcPr>
          <w:p w14:paraId="3EF79DB0">
            <w:pPr>
              <w:widowControl/>
              <w:shd w:val="clear"/>
              <w:snapToGrid w:val="0"/>
              <w:spacing w:before="94" w:beforeLines="30" w:after="94" w:afterLines="30" w:line="240"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台</w:t>
            </w:r>
          </w:p>
        </w:tc>
        <w:tc>
          <w:tcPr>
            <w:tcW w:w="653" w:type="dxa"/>
            <w:shd w:val="clear" w:color="auto" w:fill="auto"/>
            <w:vAlign w:val="center"/>
          </w:tcPr>
          <w:p w14:paraId="464D40C7">
            <w:pPr>
              <w:widowControl/>
              <w:shd w:val="clear"/>
              <w:snapToGrid w:val="0"/>
              <w:spacing w:before="94" w:beforeLines="30" w:after="94" w:afterLines="30" w:line="240"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r>
    </w:tbl>
    <w:p w14:paraId="7AF6CE9E">
      <w:pPr>
        <w:shd w:val="clear"/>
        <w:ind w:firstLine="0" w:firstLineChars="0"/>
        <w:rPr>
          <w:rFonts w:ascii="Times New Roman" w:hAnsi="Times New Roman" w:cs="Times New Roman"/>
          <w:b/>
          <w:color w:val="auto"/>
          <w:highlight w:val="none"/>
        </w:rPr>
      </w:pPr>
    </w:p>
    <w:p w14:paraId="648333D1">
      <w:pPr>
        <w:shd w:val="clear"/>
        <w:rPr>
          <w:color w:val="auto"/>
          <w:highlight w:val="none"/>
        </w:rPr>
        <w:sectPr>
          <w:headerReference r:id="rId5" w:type="default"/>
          <w:footerReference r:id="rId6" w:type="default"/>
          <w:pgSz w:w="11906" w:h="16838"/>
          <w:pgMar w:top="1440" w:right="1800" w:bottom="1440" w:left="1800" w:header="935" w:footer="992" w:gutter="0"/>
          <w:pgBorders>
            <w:top w:val="none" w:sz="0" w:space="0"/>
            <w:left w:val="none" w:sz="0" w:space="0"/>
            <w:bottom w:val="none" w:sz="0" w:space="0"/>
            <w:right w:val="none" w:sz="0" w:space="0"/>
          </w:pgBorders>
          <w:pgNumType w:start="1"/>
          <w:cols w:space="708" w:num="1"/>
          <w:docGrid w:type="lines" w:linePitch="314" w:charSpace="0"/>
        </w:sectPr>
      </w:pPr>
    </w:p>
    <w:p w14:paraId="1B37F44C">
      <w:pPr>
        <w:pStyle w:val="416"/>
        <w:shd w:val="clear"/>
        <w:ind w:firstLine="0" w:firstLineChars="0"/>
        <w:rPr>
          <w:rFonts w:ascii="Times New Roman" w:hAnsi="Times New Roman" w:cs="Times New Roman"/>
          <w:color w:val="auto"/>
          <w:highlight w:val="none"/>
        </w:rPr>
      </w:pPr>
      <w:bookmarkStart w:id="407" w:name="_Toc15486"/>
      <w:bookmarkStart w:id="408" w:name="_Toc21194"/>
      <w:bookmarkStart w:id="409" w:name="_Toc11623"/>
      <w:bookmarkStart w:id="410" w:name="_Toc7715"/>
      <w:bookmarkStart w:id="411" w:name="_Toc5257"/>
      <w:bookmarkStart w:id="412" w:name="_Toc24326"/>
      <w:r>
        <w:rPr>
          <w:rFonts w:hint="eastAsia" w:ascii="Times New Roman" w:hAnsi="Times New Roman" w:cs="Times New Roman"/>
          <w:color w:val="auto"/>
          <w:highlight w:val="none"/>
        </w:rPr>
        <w:t>4 燃气设施</w:t>
      </w:r>
      <w:bookmarkEnd w:id="407"/>
      <w:bookmarkEnd w:id="408"/>
      <w:bookmarkEnd w:id="409"/>
      <w:bookmarkEnd w:id="410"/>
      <w:bookmarkEnd w:id="411"/>
      <w:bookmarkEnd w:id="412"/>
    </w:p>
    <w:p w14:paraId="35C9B12B">
      <w:pPr>
        <w:shd w:val="clear"/>
        <w:snapToGrid w:val="0"/>
        <w:ind w:firstLine="0" w:firstLineChars="0"/>
        <w:outlineLvl w:val="1"/>
        <w:rPr>
          <w:rFonts w:cs="Times New Roman"/>
          <w:b/>
          <w:color w:val="auto"/>
          <w:sz w:val="28"/>
          <w:szCs w:val="28"/>
          <w:highlight w:val="none"/>
        </w:rPr>
      </w:pPr>
      <w:bookmarkStart w:id="413" w:name="_Toc6169"/>
      <w:bookmarkStart w:id="414" w:name="_Toc5553"/>
      <w:bookmarkStart w:id="415" w:name="_Toc22315"/>
      <w:bookmarkStart w:id="416" w:name="_Toc26029"/>
      <w:bookmarkStart w:id="417" w:name="_Toc26440"/>
      <w:bookmarkStart w:id="418" w:name="_Toc15796"/>
      <w:r>
        <w:rPr>
          <w:rFonts w:hint="eastAsia" w:cs="Times New Roman"/>
          <w:b/>
          <w:color w:val="auto"/>
          <w:sz w:val="28"/>
          <w:szCs w:val="28"/>
          <w:highlight w:val="none"/>
        </w:rPr>
        <w:t>4.1 概述</w:t>
      </w:r>
      <w:bookmarkEnd w:id="413"/>
      <w:bookmarkEnd w:id="414"/>
      <w:bookmarkEnd w:id="415"/>
      <w:bookmarkEnd w:id="416"/>
      <w:bookmarkEnd w:id="417"/>
      <w:bookmarkEnd w:id="418"/>
    </w:p>
    <w:p w14:paraId="5DBF01F7">
      <w:pPr>
        <w:shd w:val="clear"/>
        <w:rPr>
          <w:color w:val="auto"/>
          <w:highlight w:val="none"/>
        </w:rPr>
      </w:pPr>
      <w:bookmarkStart w:id="419" w:name="_Toc8779"/>
      <w:bookmarkStart w:id="420" w:name="_Toc28881"/>
      <w:bookmarkStart w:id="421" w:name="_Toc19476"/>
      <w:bookmarkStart w:id="422" w:name="_Toc23805"/>
      <w:r>
        <w:rPr>
          <w:color w:val="auto"/>
          <w:highlight w:val="none"/>
        </w:rPr>
        <w:t>2号高炉燃气设施主要包括：</w:t>
      </w:r>
      <w:bookmarkEnd w:id="419"/>
      <w:bookmarkEnd w:id="420"/>
      <w:bookmarkEnd w:id="421"/>
      <w:bookmarkEnd w:id="422"/>
    </w:p>
    <w:p w14:paraId="0109E651">
      <w:pPr>
        <w:shd w:val="clear"/>
        <w:adjustRightInd w:val="0"/>
        <w:textAlignment w:val="baseline"/>
        <w:rPr>
          <w:rFonts w:cs="Times New Roman"/>
          <w:bCs/>
          <w:color w:val="auto"/>
          <w:kern w:val="0"/>
          <w:szCs w:val="20"/>
          <w:highlight w:val="none"/>
        </w:rPr>
      </w:pPr>
      <w:r>
        <w:rPr>
          <w:rFonts w:cs="Times New Roman"/>
          <w:bCs/>
          <w:color w:val="auto"/>
          <w:kern w:val="0"/>
          <w:szCs w:val="20"/>
          <w:highlight w:val="none"/>
        </w:rPr>
        <w:t>1)</w:t>
      </w:r>
      <w:r>
        <w:rPr>
          <w:rFonts w:cs="Times New Roman"/>
          <w:bCs/>
          <w:color w:val="auto"/>
          <w:kern w:val="0"/>
          <w:szCs w:val="20"/>
          <w:highlight w:val="none"/>
        </w:rPr>
        <w:tab/>
      </w:r>
      <w:r>
        <w:rPr>
          <w:rFonts w:cs="Times New Roman"/>
          <w:bCs/>
          <w:color w:val="auto"/>
          <w:kern w:val="0"/>
          <w:szCs w:val="20"/>
          <w:highlight w:val="none"/>
        </w:rPr>
        <w:t>干法除尘系统</w:t>
      </w:r>
    </w:p>
    <w:p w14:paraId="53A6FE51">
      <w:pPr>
        <w:shd w:val="clear"/>
        <w:adjustRightInd w:val="0"/>
        <w:textAlignment w:val="baseline"/>
        <w:rPr>
          <w:rFonts w:cs="Times New Roman"/>
          <w:bCs/>
          <w:color w:val="auto"/>
          <w:kern w:val="0"/>
          <w:szCs w:val="20"/>
          <w:highlight w:val="none"/>
        </w:rPr>
      </w:pPr>
      <w:r>
        <w:rPr>
          <w:rFonts w:cs="Times New Roman"/>
          <w:bCs/>
          <w:color w:val="auto"/>
          <w:kern w:val="0"/>
          <w:szCs w:val="20"/>
          <w:highlight w:val="none"/>
        </w:rPr>
        <w:t>2)</w:t>
      </w:r>
      <w:r>
        <w:rPr>
          <w:rFonts w:cs="Times New Roman"/>
          <w:bCs/>
          <w:color w:val="auto"/>
          <w:kern w:val="0"/>
          <w:szCs w:val="20"/>
          <w:highlight w:val="none"/>
        </w:rPr>
        <w:tab/>
      </w:r>
      <w:r>
        <w:rPr>
          <w:rFonts w:cs="Times New Roman"/>
          <w:bCs/>
          <w:color w:val="auto"/>
          <w:kern w:val="0"/>
          <w:szCs w:val="20"/>
          <w:highlight w:val="none"/>
        </w:rPr>
        <w:t>TRT系统</w:t>
      </w:r>
    </w:p>
    <w:p w14:paraId="5DC628AA">
      <w:pPr>
        <w:shd w:val="clear"/>
        <w:adjustRightInd w:val="0"/>
        <w:textAlignment w:val="baseline"/>
        <w:rPr>
          <w:rFonts w:cs="Times New Roman"/>
          <w:bCs/>
          <w:color w:val="auto"/>
          <w:kern w:val="0"/>
          <w:szCs w:val="20"/>
          <w:highlight w:val="none"/>
        </w:rPr>
      </w:pPr>
      <w:r>
        <w:rPr>
          <w:rFonts w:cs="Times New Roman"/>
          <w:bCs/>
          <w:color w:val="auto"/>
          <w:kern w:val="0"/>
          <w:szCs w:val="20"/>
          <w:highlight w:val="none"/>
        </w:rPr>
        <w:t>3)</w:t>
      </w:r>
      <w:r>
        <w:rPr>
          <w:rFonts w:cs="Times New Roman"/>
          <w:bCs/>
          <w:color w:val="auto"/>
          <w:kern w:val="0"/>
          <w:szCs w:val="20"/>
          <w:highlight w:val="none"/>
        </w:rPr>
        <w:tab/>
      </w:r>
      <w:r>
        <w:rPr>
          <w:rFonts w:cs="Times New Roman"/>
          <w:bCs/>
          <w:color w:val="auto"/>
          <w:kern w:val="0"/>
          <w:szCs w:val="20"/>
          <w:highlight w:val="none"/>
        </w:rPr>
        <w:t>配套综合管网系统</w:t>
      </w:r>
    </w:p>
    <w:p w14:paraId="606BA5B8">
      <w:pPr>
        <w:shd w:val="clear"/>
        <w:adjustRightInd w:val="0"/>
        <w:textAlignment w:val="baseline"/>
        <w:rPr>
          <w:rFonts w:cs="Times New Roman"/>
          <w:bCs/>
          <w:color w:val="auto"/>
          <w:kern w:val="0"/>
          <w:szCs w:val="20"/>
          <w:highlight w:val="none"/>
        </w:rPr>
      </w:pPr>
      <w:r>
        <w:rPr>
          <w:rFonts w:hint="eastAsia" w:cs="Times New Roman"/>
          <w:bCs/>
          <w:color w:val="auto"/>
          <w:kern w:val="0"/>
          <w:szCs w:val="20"/>
          <w:highlight w:val="none"/>
        </w:rPr>
        <w:t>本次高炉扩容改造，主要对原有干法除尘系统、</w:t>
      </w:r>
      <w:r>
        <w:rPr>
          <w:rFonts w:cs="Times New Roman"/>
          <w:bCs/>
          <w:color w:val="auto"/>
          <w:kern w:val="0"/>
          <w:szCs w:val="20"/>
          <w:highlight w:val="none"/>
        </w:rPr>
        <w:t>TRT系统、配套综合管网系统进行能力核算及改造，并新增均压煤气回收系统。</w:t>
      </w:r>
    </w:p>
    <w:p w14:paraId="12DAF31B">
      <w:pPr>
        <w:shd w:val="clear"/>
        <w:ind w:firstLine="0" w:firstLineChars="0"/>
        <w:outlineLvl w:val="1"/>
        <w:rPr>
          <w:rFonts w:cs="Times New Roman"/>
          <w:b/>
          <w:color w:val="auto"/>
          <w:sz w:val="28"/>
          <w:szCs w:val="28"/>
          <w:highlight w:val="none"/>
        </w:rPr>
      </w:pPr>
      <w:bookmarkStart w:id="423" w:name="_Toc16137"/>
      <w:bookmarkStart w:id="424" w:name="_Toc4396"/>
      <w:bookmarkStart w:id="425" w:name="_Toc10547"/>
      <w:bookmarkStart w:id="426" w:name="_Toc27592"/>
      <w:bookmarkStart w:id="427" w:name="_Toc175920377"/>
      <w:bookmarkStart w:id="428" w:name="_Toc31904"/>
      <w:bookmarkStart w:id="429" w:name="_Toc10724"/>
      <w:r>
        <w:rPr>
          <w:rFonts w:hint="eastAsia" w:cs="Times New Roman"/>
          <w:b/>
          <w:color w:val="auto"/>
          <w:sz w:val="28"/>
          <w:szCs w:val="28"/>
          <w:highlight w:val="none"/>
        </w:rPr>
        <w:t>4</w:t>
      </w:r>
      <w:r>
        <w:rPr>
          <w:rFonts w:cs="Times New Roman"/>
          <w:b/>
          <w:color w:val="auto"/>
          <w:sz w:val="28"/>
          <w:szCs w:val="28"/>
          <w:highlight w:val="none"/>
        </w:rPr>
        <w:t xml:space="preserve">.2 </w:t>
      </w:r>
      <w:r>
        <w:rPr>
          <w:rFonts w:hint="eastAsia" w:cs="Times New Roman"/>
          <w:b/>
          <w:color w:val="auto"/>
          <w:sz w:val="28"/>
          <w:szCs w:val="28"/>
          <w:highlight w:val="none"/>
        </w:rPr>
        <w:t>高炉煤气净化</w:t>
      </w:r>
      <w:r>
        <w:rPr>
          <w:rFonts w:cs="Times New Roman"/>
          <w:b/>
          <w:color w:val="auto"/>
          <w:sz w:val="28"/>
          <w:szCs w:val="28"/>
          <w:highlight w:val="none"/>
        </w:rPr>
        <w:t>系统</w:t>
      </w:r>
      <w:bookmarkEnd w:id="423"/>
      <w:bookmarkEnd w:id="424"/>
      <w:bookmarkEnd w:id="425"/>
      <w:bookmarkEnd w:id="426"/>
      <w:bookmarkEnd w:id="427"/>
      <w:bookmarkEnd w:id="428"/>
      <w:bookmarkEnd w:id="429"/>
    </w:p>
    <w:p w14:paraId="674C4CB6">
      <w:pPr>
        <w:shd w:val="clear"/>
        <w:ind w:firstLine="0" w:firstLineChars="0"/>
        <w:outlineLvl w:val="2"/>
        <w:rPr>
          <w:rFonts w:cs="Times New Roman"/>
          <w:color w:val="auto"/>
          <w:szCs w:val="28"/>
          <w:highlight w:val="none"/>
        </w:rPr>
      </w:pPr>
      <w:bookmarkStart w:id="430" w:name="_Toc22595"/>
      <w:r>
        <w:rPr>
          <w:rFonts w:hint="eastAsia" w:cs="Times New Roman"/>
          <w:color w:val="auto"/>
          <w:szCs w:val="28"/>
          <w:highlight w:val="none"/>
        </w:rPr>
        <w:t>4.2.1 高炉改造前后的煤气设计参数</w:t>
      </w:r>
      <w:bookmarkEnd w:id="430"/>
    </w:p>
    <w:tbl>
      <w:tblPr>
        <w:tblStyle w:val="60"/>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042"/>
        <w:gridCol w:w="1470"/>
        <w:gridCol w:w="2776"/>
        <w:gridCol w:w="2999"/>
      </w:tblGrid>
      <w:tr w14:paraId="134A39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042" w:type="dxa"/>
            <w:tcBorders>
              <w:top w:val="single" w:color="auto" w:sz="12" w:space="0"/>
              <w:left w:val="single" w:color="auto" w:sz="12" w:space="0"/>
              <w:bottom w:val="single" w:color="auto" w:sz="4" w:space="0"/>
              <w:right w:val="single" w:color="auto" w:sz="4" w:space="0"/>
            </w:tcBorders>
            <w:vAlign w:val="center"/>
          </w:tcPr>
          <w:p w14:paraId="058E96EA">
            <w:pPr>
              <w:widowControl/>
              <w:shd w:val="clear"/>
              <w:ind w:firstLine="420"/>
              <w:jc w:val="center"/>
              <w:textAlignment w:val="bottom"/>
              <w:rPr>
                <w:rFonts w:ascii="Times New Roman" w:hAnsi="Times New Roman" w:cs="Times New Roman"/>
                <w:color w:val="auto"/>
                <w:kern w:val="0"/>
                <w:sz w:val="21"/>
                <w:szCs w:val="21"/>
                <w:highlight w:val="none"/>
              </w:rPr>
            </w:pPr>
          </w:p>
        </w:tc>
        <w:tc>
          <w:tcPr>
            <w:tcW w:w="1470" w:type="dxa"/>
            <w:tcBorders>
              <w:top w:val="single" w:color="auto" w:sz="12" w:space="0"/>
              <w:left w:val="single" w:color="auto" w:sz="4" w:space="0"/>
              <w:bottom w:val="single" w:color="auto" w:sz="4" w:space="0"/>
              <w:right w:val="single" w:color="auto" w:sz="4" w:space="0"/>
            </w:tcBorders>
            <w:vAlign w:val="center"/>
          </w:tcPr>
          <w:p w14:paraId="78C81A9F">
            <w:pPr>
              <w:widowControl/>
              <w:shd w:val="clear"/>
              <w:ind w:firstLine="420"/>
              <w:jc w:val="center"/>
              <w:textAlignment w:val="bottom"/>
              <w:rPr>
                <w:rFonts w:ascii="Times New Roman" w:hAnsi="Times New Roman" w:cs="Times New Roman"/>
                <w:color w:val="auto"/>
                <w:kern w:val="0"/>
                <w:sz w:val="21"/>
                <w:szCs w:val="21"/>
                <w:highlight w:val="none"/>
              </w:rPr>
            </w:pPr>
          </w:p>
        </w:tc>
        <w:tc>
          <w:tcPr>
            <w:tcW w:w="2776" w:type="dxa"/>
            <w:tcBorders>
              <w:top w:val="single" w:color="auto" w:sz="12" w:space="0"/>
              <w:left w:val="single" w:color="auto" w:sz="4" w:space="0"/>
              <w:bottom w:val="single" w:color="auto" w:sz="4" w:space="0"/>
              <w:right w:val="single" w:color="auto" w:sz="4" w:space="0"/>
            </w:tcBorders>
            <w:vAlign w:val="center"/>
          </w:tcPr>
          <w:p w14:paraId="0ACECF0F">
            <w:pPr>
              <w:widowControl/>
              <w:shd w:val="clear"/>
              <w:ind w:firstLine="420"/>
              <w:jc w:val="center"/>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改造后参数</w:t>
            </w:r>
          </w:p>
        </w:tc>
        <w:tc>
          <w:tcPr>
            <w:tcW w:w="2999" w:type="dxa"/>
            <w:tcBorders>
              <w:top w:val="single" w:color="auto" w:sz="12" w:space="0"/>
              <w:left w:val="single" w:color="auto" w:sz="4" w:space="0"/>
              <w:bottom w:val="single" w:color="auto" w:sz="4" w:space="0"/>
              <w:right w:val="single" w:color="auto" w:sz="12" w:space="0"/>
            </w:tcBorders>
            <w:vAlign w:val="center"/>
          </w:tcPr>
          <w:p w14:paraId="234EB2C2">
            <w:pPr>
              <w:widowControl/>
              <w:shd w:val="clear"/>
              <w:ind w:firstLine="420"/>
              <w:jc w:val="center"/>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改造前参数</w:t>
            </w:r>
          </w:p>
        </w:tc>
      </w:tr>
      <w:tr w14:paraId="2DA539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042" w:type="dxa"/>
            <w:vMerge w:val="restart"/>
            <w:tcBorders>
              <w:top w:val="single" w:color="auto" w:sz="4" w:space="0"/>
              <w:left w:val="single" w:color="auto" w:sz="12" w:space="0"/>
              <w:bottom w:val="single" w:color="auto" w:sz="4" w:space="0"/>
              <w:right w:val="single" w:color="auto" w:sz="4" w:space="0"/>
            </w:tcBorders>
            <w:vAlign w:val="center"/>
          </w:tcPr>
          <w:p w14:paraId="690D00CF">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高炉煤气发生量m</w:t>
            </w:r>
            <w:r>
              <w:rPr>
                <w:rFonts w:ascii="Times New Roman" w:hAnsi="Times New Roman" w:cs="Times New Roman"/>
                <w:color w:val="auto"/>
                <w:kern w:val="0"/>
                <w:sz w:val="21"/>
                <w:szCs w:val="21"/>
                <w:highlight w:val="none"/>
                <w:vertAlign w:val="superscript"/>
              </w:rPr>
              <w:t>3</w:t>
            </w:r>
            <w:r>
              <w:rPr>
                <w:rFonts w:ascii="Times New Roman" w:hAnsi="Times New Roman" w:cs="Times New Roman"/>
                <w:color w:val="auto"/>
                <w:kern w:val="0"/>
                <w:sz w:val="21"/>
                <w:szCs w:val="21"/>
                <w:highlight w:val="none"/>
              </w:rPr>
              <w:t>/h(标况)</w:t>
            </w:r>
          </w:p>
        </w:tc>
        <w:tc>
          <w:tcPr>
            <w:tcW w:w="1470" w:type="dxa"/>
            <w:tcBorders>
              <w:top w:val="single" w:color="auto" w:sz="4" w:space="0"/>
              <w:left w:val="single" w:color="auto" w:sz="4" w:space="0"/>
              <w:bottom w:val="single" w:color="auto" w:sz="4" w:space="0"/>
              <w:right w:val="single" w:color="auto" w:sz="4" w:space="0"/>
            </w:tcBorders>
            <w:vAlign w:val="center"/>
          </w:tcPr>
          <w:p w14:paraId="53959E9C">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最大</w:t>
            </w:r>
          </w:p>
        </w:tc>
        <w:tc>
          <w:tcPr>
            <w:tcW w:w="2776" w:type="dxa"/>
            <w:tcBorders>
              <w:top w:val="single" w:color="auto" w:sz="4" w:space="0"/>
              <w:left w:val="single" w:color="auto" w:sz="4" w:space="0"/>
              <w:bottom w:val="single" w:color="auto" w:sz="4" w:space="0"/>
              <w:right w:val="single" w:color="auto" w:sz="4" w:space="0"/>
            </w:tcBorders>
            <w:vAlign w:val="center"/>
          </w:tcPr>
          <w:p w14:paraId="65CC2628">
            <w:pPr>
              <w:widowControl/>
              <w:shd w:val="clear"/>
              <w:ind w:firstLine="420"/>
              <w:jc w:val="center"/>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220000</w:t>
            </w:r>
          </w:p>
        </w:tc>
        <w:tc>
          <w:tcPr>
            <w:tcW w:w="2999" w:type="dxa"/>
            <w:tcBorders>
              <w:top w:val="single" w:color="auto" w:sz="4" w:space="0"/>
              <w:left w:val="single" w:color="auto" w:sz="4" w:space="0"/>
              <w:bottom w:val="single" w:color="auto" w:sz="4" w:space="0"/>
              <w:right w:val="single" w:color="auto" w:sz="12" w:space="0"/>
            </w:tcBorders>
            <w:vAlign w:val="center"/>
          </w:tcPr>
          <w:p w14:paraId="7CF53BCB">
            <w:pPr>
              <w:widowControl/>
              <w:shd w:val="clear"/>
              <w:ind w:firstLine="420"/>
              <w:jc w:val="center"/>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～222000</w:t>
            </w:r>
          </w:p>
        </w:tc>
      </w:tr>
      <w:tr w14:paraId="2AF451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042" w:type="dxa"/>
            <w:vMerge w:val="continue"/>
            <w:tcBorders>
              <w:top w:val="single" w:color="auto" w:sz="4" w:space="0"/>
              <w:left w:val="single" w:color="auto" w:sz="12" w:space="0"/>
              <w:bottom w:val="single" w:color="auto" w:sz="4" w:space="0"/>
              <w:right w:val="single" w:color="auto" w:sz="4" w:space="0"/>
            </w:tcBorders>
            <w:vAlign w:val="center"/>
          </w:tcPr>
          <w:p w14:paraId="46DC1697">
            <w:pPr>
              <w:widowControl/>
              <w:shd w:val="clear"/>
              <w:ind w:firstLine="420"/>
              <w:jc w:val="center"/>
              <w:textAlignment w:val="bottom"/>
              <w:rPr>
                <w:rFonts w:ascii="Times New Roman" w:hAnsi="Times New Roman" w:cs="Times New Roman"/>
                <w:color w:val="auto"/>
                <w:kern w:val="0"/>
                <w:sz w:val="21"/>
                <w:szCs w:val="21"/>
                <w:highlight w:val="none"/>
              </w:rPr>
            </w:pPr>
          </w:p>
        </w:tc>
        <w:tc>
          <w:tcPr>
            <w:tcW w:w="1470" w:type="dxa"/>
            <w:tcBorders>
              <w:top w:val="single" w:color="auto" w:sz="4" w:space="0"/>
              <w:left w:val="single" w:color="auto" w:sz="4" w:space="0"/>
              <w:bottom w:val="single" w:color="auto" w:sz="4" w:space="0"/>
              <w:right w:val="single" w:color="auto" w:sz="4" w:space="0"/>
            </w:tcBorders>
            <w:vAlign w:val="center"/>
          </w:tcPr>
          <w:p w14:paraId="3205492D">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平均</w:t>
            </w:r>
          </w:p>
        </w:tc>
        <w:tc>
          <w:tcPr>
            <w:tcW w:w="2776" w:type="dxa"/>
            <w:tcBorders>
              <w:top w:val="single" w:color="auto" w:sz="4" w:space="0"/>
              <w:left w:val="single" w:color="auto" w:sz="4" w:space="0"/>
              <w:bottom w:val="single" w:color="auto" w:sz="4" w:space="0"/>
              <w:right w:val="single" w:color="auto" w:sz="4" w:space="0"/>
            </w:tcBorders>
            <w:vAlign w:val="center"/>
          </w:tcPr>
          <w:p w14:paraId="507DEC52">
            <w:pPr>
              <w:widowControl/>
              <w:shd w:val="clear"/>
              <w:ind w:firstLine="420"/>
              <w:jc w:val="center"/>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～200000</w:t>
            </w:r>
          </w:p>
        </w:tc>
        <w:tc>
          <w:tcPr>
            <w:tcW w:w="2999" w:type="dxa"/>
            <w:tcBorders>
              <w:top w:val="single" w:color="auto" w:sz="4" w:space="0"/>
              <w:left w:val="single" w:color="auto" w:sz="4" w:space="0"/>
              <w:bottom w:val="single" w:color="auto" w:sz="4" w:space="0"/>
              <w:right w:val="single" w:color="auto" w:sz="12" w:space="0"/>
            </w:tcBorders>
            <w:vAlign w:val="center"/>
          </w:tcPr>
          <w:p w14:paraId="52FD8A29">
            <w:pPr>
              <w:widowControl/>
              <w:shd w:val="clear"/>
              <w:ind w:firstLine="420"/>
              <w:jc w:val="center"/>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～205500</w:t>
            </w:r>
          </w:p>
        </w:tc>
      </w:tr>
      <w:tr w14:paraId="3DE950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042" w:type="dxa"/>
            <w:vMerge w:val="restart"/>
            <w:tcBorders>
              <w:top w:val="single" w:color="auto" w:sz="4" w:space="0"/>
              <w:left w:val="single" w:color="auto" w:sz="12" w:space="0"/>
              <w:bottom w:val="single" w:color="auto" w:sz="4" w:space="0"/>
              <w:right w:val="single" w:color="auto" w:sz="4" w:space="0"/>
            </w:tcBorders>
            <w:vAlign w:val="center"/>
          </w:tcPr>
          <w:p w14:paraId="39E4B9DD">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高炉炉顶压力MPa（G）</w:t>
            </w:r>
          </w:p>
        </w:tc>
        <w:tc>
          <w:tcPr>
            <w:tcW w:w="1470" w:type="dxa"/>
            <w:tcBorders>
              <w:top w:val="single" w:color="auto" w:sz="4" w:space="0"/>
              <w:left w:val="single" w:color="auto" w:sz="4" w:space="0"/>
              <w:bottom w:val="single" w:color="auto" w:sz="4" w:space="0"/>
              <w:right w:val="single" w:color="auto" w:sz="4" w:space="0"/>
            </w:tcBorders>
            <w:vAlign w:val="center"/>
          </w:tcPr>
          <w:p w14:paraId="69AB5D4B">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正常</w:t>
            </w:r>
          </w:p>
        </w:tc>
        <w:tc>
          <w:tcPr>
            <w:tcW w:w="2776" w:type="dxa"/>
            <w:tcBorders>
              <w:top w:val="single" w:color="auto" w:sz="4" w:space="0"/>
              <w:left w:val="single" w:color="auto" w:sz="4" w:space="0"/>
              <w:bottom w:val="single" w:color="auto" w:sz="4" w:space="0"/>
              <w:right w:val="single" w:color="auto" w:sz="4" w:space="0"/>
            </w:tcBorders>
            <w:vAlign w:val="center"/>
          </w:tcPr>
          <w:p w14:paraId="4F39A348">
            <w:pPr>
              <w:widowControl/>
              <w:shd w:val="clear"/>
              <w:ind w:firstLine="420"/>
              <w:jc w:val="center"/>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~0.155</w:t>
            </w:r>
          </w:p>
        </w:tc>
        <w:tc>
          <w:tcPr>
            <w:tcW w:w="2999" w:type="dxa"/>
            <w:tcBorders>
              <w:top w:val="single" w:color="auto" w:sz="4" w:space="0"/>
              <w:left w:val="single" w:color="auto" w:sz="4" w:space="0"/>
              <w:bottom w:val="single" w:color="auto" w:sz="4" w:space="0"/>
              <w:right w:val="single" w:color="auto" w:sz="12" w:space="0"/>
            </w:tcBorders>
            <w:vAlign w:val="center"/>
          </w:tcPr>
          <w:p w14:paraId="41915661">
            <w:pPr>
              <w:widowControl/>
              <w:shd w:val="clear"/>
              <w:ind w:firstLine="420"/>
              <w:jc w:val="center"/>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～0.13</w:t>
            </w:r>
          </w:p>
        </w:tc>
      </w:tr>
      <w:tr w14:paraId="03F8AB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042" w:type="dxa"/>
            <w:vMerge w:val="continue"/>
            <w:tcBorders>
              <w:top w:val="single" w:color="auto" w:sz="4" w:space="0"/>
              <w:left w:val="single" w:color="auto" w:sz="12" w:space="0"/>
              <w:bottom w:val="single" w:color="auto" w:sz="4" w:space="0"/>
              <w:right w:val="single" w:color="auto" w:sz="4" w:space="0"/>
            </w:tcBorders>
            <w:vAlign w:val="center"/>
          </w:tcPr>
          <w:p w14:paraId="4FF5E1B1">
            <w:pPr>
              <w:widowControl/>
              <w:shd w:val="clear"/>
              <w:ind w:firstLine="420"/>
              <w:jc w:val="center"/>
              <w:textAlignment w:val="bottom"/>
              <w:rPr>
                <w:rFonts w:ascii="Times New Roman" w:hAnsi="Times New Roman" w:cs="Times New Roman"/>
                <w:color w:val="auto"/>
                <w:kern w:val="0"/>
                <w:sz w:val="21"/>
                <w:szCs w:val="21"/>
                <w:highlight w:val="none"/>
              </w:rPr>
            </w:pPr>
          </w:p>
        </w:tc>
        <w:tc>
          <w:tcPr>
            <w:tcW w:w="1470" w:type="dxa"/>
            <w:tcBorders>
              <w:top w:val="single" w:color="auto" w:sz="4" w:space="0"/>
              <w:left w:val="single" w:color="auto" w:sz="4" w:space="0"/>
              <w:bottom w:val="single" w:color="auto" w:sz="4" w:space="0"/>
              <w:right w:val="single" w:color="auto" w:sz="4" w:space="0"/>
            </w:tcBorders>
            <w:vAlign w:val="center"/>
          </w:tcPr>
          <w:p w14:paraId="35DE6A07">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最高</w:t>
            </w:r>
            <w:r>
              <w:rPr>
                <w:rFonts w:hint="eastAsia" w:ascii="Times New Roman" w:hAnsi="Times New Roman" w:cs="Times New Roman"/>
                <w:color w:val="auto"/>
                <w:kern w:val="0"/>
                <w:sz w:val="21"/>
                <w:szCs w:val="21"/>
                <w:highlight w:val="none"/>
              </w:rPr>
              <w:t>工作压力</w:t>
            </w:r>
          </w:p>
        </w:tc>
        <w:tc>
          <w:tcPr>
            <w:tcW w:w="2776" w:type="dxa"/>
            <w:tcBorders>
              <w:top w:val="single" w:color="auto" w:sz="4" w:space="0"/>
              <w:left w:val="single" w:color="auto" w:sz="4" w:space="0"/>
              <w:bottom w:val="single" w:color="auto" w:sz="4" w:space="0"/>
              <w:right w:val="single" w:color="auto" w:sz="4" w:space="0"/>
            </w:tcBorders>
            <w:vAlign w:val="center"/>
          </w:tcPr>
          <w:p w14:paraId="6580AC7E">
            <w:pPr>
              <w:widowControl/>
              <w:shd w:val="clear"/>
              <w:ind w:firstLine="420"/>
              <w:jc w:val="center"/>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~0.175</w:t>
            </w:r>
          </w:p>
        </w:tc>
        <w:tc>
          <w:tcPr>
            <w:tcW w:w="2999" w:type="dxa"/>
            <w:tcBorders>
              <w:top w:val="single" w:color="auto" w:sz="4" w:space="0"/>
              <w:left w:val="single" w:color="auto" w:sz="4" w:space="0"/>
              <w:bottom w:val="single" w:color="auto" w:sz="4" w:space="0"/>
              <w:right w:val="single" w:color="auto" w:sz="12" w:space="0"/>
            </w:tcBorders>
            <w:vAlign w:val="center"/>
          </w:tcPr>
          <w:p w14:paraId="6D3EBEC1">
            <w:pPr>
              <w:widowControl/>
              <w:shd w:val="clear"/>
              <w:ind w:firstLine="420"/>
              <w:jc w:val="center"/>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～0.16</w:t>
            </w:r>
          </w:p>
        </w:tc>
      </w:tr>
      <w:tr w14:paraId="6D86A1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042" w:type="dxa"/>
            <w:vMerge w:val="continue"/>
            <w:tcBorders>
              <w:top w:val="single" w:color="auto" w:sz="4" w:space="0"/>
              <w:left w:val="single" w:color="auto" w:sz="12" w:space="0"/>
              <w:bottom w:val="single" w:color="auto" w:sz="4" w:space="0"/>
              <w:right w:val="single" w:color="auto" w:sz="4" w:space="0"/>
            </w:tcBorders>
            <w:vAlign w:val="center"/>
          </w:tcPr>
          <w:p w14:paraId="227C7F3D">
            <w:pPr>
              <w:widowControl/>
              <w:shd w:val="clear"/>
              <w:ind w:firstLine="420"/>
              <w:jc w:val="center"/>
              <w:textAlignment w:val="bottom"/>
              <w:rPr>
                <w:rFonts w:ascii="Times New Roman" w:hAnsi="Times New Roman" w:cs="Times New Roman"/>
                <w:color w:val="auto"/>
                <w:kern w:val="0"/>
                <w:sz w:val="21"/>
                <w:szCs w:val="21"/>
                <w:highlight w:val="none"/>
              </w:rPr>
            </w:pPr>
          </w:p>
        </w:tc>
        <w:tc>
          <w:tcPr>
            <w:tcW w:w="1470" w:type="dxa"/>
            <w:tcBorders>
              <w:top w:val="single" w:color="auto" w:sz="4" w:space="0"/>
              <w:left w:val="single" w:color="auto" w:sz="4" w:space="0"/>
              <w:bottom w:val="single" w:color="auto" w:sz="4" w:space="0"/>
              <w:right w:val="single" w:color="auto" w:sz="4" w:space="0"/>
            </w:tcBorders>
            <w:vAlign w:val="center"/>
          </w:tcPr>
          <w:p w14:paraId="1DBEE5A0">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设计压力</w:t>
            </w:r>
          </w:p>
        </w:tc>
        <w:tc>
          <w:tcPr>
            <w:tcW w:w="2776" w:type="dxa"/>
            <w:tcBorders>
              <w:top w:val="single" w:color="auto" w:sz="4" w:space="0"/>
              <w:left w:val="single" w:color="auto" w:sz="4" w:space="0"/>
              <w:bottom w:val="single" w:color="auto" w:sz="4" w:space="0"/>
              <w:right w:val="single" w:color="auto" w:sz="4" w:space="0"/>
            </w:tcBorders>
            <w:vAlign w:val="center"/>
          </w:tcPr>
          <w:p w14:paraId="5328AF41">
            <w:pPr>
              <w:widowControl/>
              <w:shd w:val="clear"/>
              <w:ind w:firstLine="420"/>
              <w:jc w:val="center"/>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0.1</w:t>
            </w:r>
            <w:r>
              <w:rPr>
                <w:rFonts w:hint="eastAsia" w:ascii="Times New Roman" w:hAnsi="Times New Roman" w:cs="Times New Roman"/>
                <w:color w:val="auto"/>
                <w:kern w:val="0"/>
                <w:sz w:val="21"/>
                <w:szCs w:val="21"/>
                <w:highlight w:val="none"/>
              </w:rPr>
              <w:t>8</w:t>
            </w:r>
          </w:p>
        </w:tc>
        <w:tc>
          <w:tcPr>
            <w:tcW w:w="2999" w:type="dxa"/>
            <w:tcBorders>
              <w:top w:val="single" w:color="auto" w:sz="4" w:space="0"/>
              <w:left w:val="single" w:color="auto" w:sz="4" w:space="0"/>
              <w:bottom w:val="single" w:color="auto" w:sz="4" w:space="0"/>
              <w:right w:val="single" w:color="auto" w:sz="12" w:space="0"/>
            </w:tcBorders>
            <w:vAlign w:val="center"/>
          </w:tcPr>
          <w:p w14:paraId="09DE7FB5">
            <w:pPr>
              <w:widowControl/>
              <w:shd w:val="clear"/>
              <w:ind w:firstLine="420"/>
              <w:jc w:val="center"/>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0.1</w:t>
            </w:r>
            <w:r>
              <w:rPr>
                <w:rFonts w:hint="eastAsia" w:ascii="Times New Roman" w:hAnsi="Times New Roman" w:cs="Times New Roman"/>
                <w:color w:val="auto"/>
                <w:kern w:val="0"/>
                <w:sz w:val="21"/>
                <w:szCs w:val="21"/>
                <w:highlight w:val="none"/>
              </w:rPr>
              <w:t>8</w:t>
            </w:r>
          </w:p>
        </w:tc>
      </w:tr>
      <w:tr w14:paraId="4F061E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042" w:type="dxa"/>
            <w:vMerge w:val="restart"/>
            <w:tcBorders>
              <w:top w:val="single" w:color="auto" w:sz="4" w:space="0"/>
              <w:left w:val="single" w:color="auto" w:sz="12" w:space="0"/>
              <w:bottom w:val="single" w:color="auto" w:sz="4" w:space="0"/>
              <w:right w:val="single" w:color="auto" w:sz="4" w:space="0"/>
            </w:tcBorders>
            <w:vAlign w:val="center"/>
          </w:tcPr>
          <w:p w14:paraId="505DCF77">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高炉炉顶煤气温度℃</w:t>
            </w:r>
          </w:p>
        </w:tc>
        <w:tc>
          <w:tcPr>
            <w:tcW w:w="1470" w:type="dxa"/>
            <w:tcBorders>
              <w:top w:val="single" w:color="auto" w:sz="4" w:space="0"/>
              <w:left w:val="single" w:color="auto" w:sz="4" w:space="0"/>
              <w:bottom w:val="single" w:color="auto" w:sz="4" w:space="0"/>
              <w:right w:val="single" w:color="auto" w:sz="4" w:space="0"/>
            </w:tcBorders>
            <w:vAlign w:val="center"/>
          </w:tcPr>
          <w:p w14:paraId="35CA5143">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正常</w:t>
            </w:r>
          </w:p>
        </w:tc>
        <w:tc>
          <w:tcPr>
            <w:tcW w:w="2776" w:type="dxa"/>
            <w:tcBorders>
              <w:top w:val="single" w:color="auto" w:sz="4" w:space="0"/>
              <w:left w:val="single" w:color="auto" w:sz="4" w:space="0"/>
              <w:bottom w:val="single" w:color="auto" w:sz="4" w:space="0"/>
              <w:right w:val="single" w:color="auto" w:sz="4" w:space="0"/>
            </w:tcBorders>
            <w:vAlign w:val="center"/>
          </w:tcPr>
          <w:p w14:paraId="7C497DCB">
            <w:pPr>
              <w:widowControl/>
              <w:shd w:val="clear"/>
              <w:ind w:firstLine="420"/>
              <w:jc w:val="center"/>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150～250</w:t>
            </w:r>
          </w:p>
        </w:tc>
        <w:tc>
          <w:tcPr>
            <w:tcW w:w="2999" w:type="dxa"/>
            <w:tcBorders>
              <w:top w:val="single" w:color="auto" w:sz="4" w:space="0"/>
              <w:left w:val="single" w:color="auto" w:sz="4" w:space="0"/>
              <w:bottom w:val="single" w:color="auto" w:sz="4" w:space="0"/>
              <w:right w:val="single" w:color="auto" w:sz="12" w:space="0"/>
            </w:tcBorders>
            <w:vAlign w:val="center"/>
          </w:tcPr>
          <w:p w14:paraId="04570FF0">
            <w:pPr>
              <w:widowControl/>
              <w:shd w:val="clear"/>
              <w:ind w:firstLine="420"/>
              <w:jc w:val="center"/>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150～250</w:t>
            </w:r>
          </w:p>
        </w:tc>
      </w:tr>
      <w:tr w14:paraId="6FBB17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042" w:type="dxa"/>
            <w:vMerge w:val="continue"/>
            <w:tcBorders>
              <w:top w:val="single" w:color="auto" w:sz="4" w:space="0"/>
              <w:left w:val="single" w:color="auto" w:sz="12" w:space="0"/>
              <w:bottom w:val="single" w:color="auto" w:sz="4" w:space="0"/>
              <w:right w:val="single" w:color="auto" w:sz="4" w:space="0"/>
            </w:tcBorders>
            <w:vAlign w:val="center"/>
          </w:tcPr>
          <w:p w14:paraId="00D161F4">
            <w:pPr>
              <w:widowControl/>
              <w:shd w:val="clear"/>
              <w:ind w:firstLine="420"/>
              <w:jc w:val="center"/>
              <w:textAlignment w:val="bottom"/>
              <w:rPr>
                <w:rFonts w:ascii="Times New Roman" w:hAnsi="Times New Roman" w:cs="Times New Roman"/>
                <w:color w:val="auto"/>
                <w:kern w:val="0"/>
                <w:sz w:val="21"/>
                <w:szCs w:val="21"/>
                <w:highlight w:val="none"/>
              </w:rPr>
            </w:pPr>
          </w:p>
        </w:tc>
        <w:tc>
          <w:tcPr>
            <w:tcW w:w="1470" w:type="dxa"/>
            <w:tcBorders>
              <w:top w:val="single" w:color="auto" w:sz="4" w:space="0"/>
              <w:left w:val="single" w:color="auto" w:sz="4" w:space="0"/>
              <w:bottom w:val="single" w:color="auto" w:sz="4" w:space="0"/>
              <w:right w:val="single" w:color="auto" w:sz="4" w:space="0"/>
            </w:tcBorders>
            <w:vAlign w:val="center"/>
          </w:tcPr>
          <w:p w14:paraId="5B064DC4">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最低</w:t>
            </w:r>
          </w:p>
        </w:tc>
        <w:tc>
          <w:tcPr>
            <w:tcW w:w="2776" w:type="dxa"/>
            <w:tcBorders>
              <w:top w:val="single" w:color="auto" w:sz="4" w:space="0"/>
              <w:left w:val="single" w:color="auto" w:sz="4" w:space="0"/>
              <w:bottom w:val="single" w:color="auto" w:sz="4" w:space="0"/>
              <w:right w:val="single" w:color="auto" w:sz="4" w:space="0"/>
            </w:tcBorders>
            <w:vAlign w:val="center"/>
          </w:tcPr>
          <w:p w14:paraId="4479B9AA">
            <w:pPr>
              <w:widowControl/>
              <w:shd w:val="clear"/>
              <w:ind w:firstLine="420"/>
              <w:jc w:val="center"/>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100</w:t>
            </w:r>
          </w:p>
        </w:tc>
        <w:tc>
          <w:tcPr>
            <w:tcW w:w="2999" w:type="dxa"/>
            <w:tcBorders>
              <w:top w:val="single" w:color="auto" w:sz="4" w:space="0"/>
              <w:left w:val="single" w:color="auto" w:sz="4" w:space="0"/>
              <w:bottom w:val="single" w:color="auto" w:sz="4" w:space="0"/>
              <w:right w:val="single" w:color="auto" w:sz="12" w:space="0"/>
            </w:tcBorders>
            <w:vAlign w:val="center"/>
          </w:tcPr>
          <w:p w14:paraId="2B32EE37">
            <w:pPr>
              <w:widowControl/>
              <w:shd w:val="clear"/>
              <w:ind w:firstLine="420"/>
              <w:jc w:val="center"/>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100</w:t>
            </w:r>
          </w:p>
        </w:tc>
      </w:tr>
      <w:tr w14:paraId="251CE3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042" w:type="dxa"/>
            <w:vMerge w:val="continue"/>
            <w:tcBorders>
              <w:top w:val="single" w:color="auto" w:sz="4" w:space="0"/>
              <w:left w:val="single" w:color="auto" w:sz="12" w:space="0"/>
              <w:bottom w:val="single" w:color="auto" w:sz="4" w:space="0"/>
              <w:right w:val="single" w:color="auto" w:sz="4" w:space="0"/>
            </w:tcBorders>
            <w:vAlign w:val="center"/>
          </w:tcPr>
          <w:p w14:paraId="3A09A70D">
            <w:pPr>
              <w:widowControl/>
              <w:shd w:val="clear"/>
              <w:ind w:firstLine="420"/>
              <w:jc w:val="center"/>
              <w:textAlignment w:val="bottom"/>
              <w:rPr>
                <w:rFonts w:ascii="Times New Roman" w:hAnsi="Times New Roman" w:cs="Times New Roman"/>
                <w:color w:val="auto"/>
                <w:kern w:val="0"/>
                <w:sz w:val="21"/>
                <w:szCs w:val="21"/>
                <w:highlight w:val="none"/>
              </w:rPr>
            </w:pPr>
          </w:p>
        </w:tc>
        <w:tc>
          <w:tcPr>
            <w:tcW w:w="1470" w:type="dxa"/>
            <w:tcBorders>
              <w:top w:val="single" w:color="auto" w:sz="4" w:space="0"/>
              <w:left w:val="single" w:color="auto" w:sz="4" w:space="0"/>
              <w:bottom w:val="single" w:color="auto" w:sz="4" w:space="0"/>
              <w:right w:val="single" w:color="auto" w:sz="4" w:space="0"/>
            </w:tcBorders>
            <w:vAlign w:val="center"/>
          </w:tcPr>
          <w:p w14:paraId="3B47E7C1">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短时最高</w:t>
            </w:r>
          </w:p>
        </w:tc>
        <w:tc>
          <w:tcPr>
            <w:tcW w:w="2776" w:type="dxa"/>
            <w:tcBorders>
              <w:top w:val="single" w:color="auto" w:sz="4" w:space="0"/>
              <w:left w:val="single" w:color="auto" w:sz="4" w:space="0"/>
              <w:bottom w:val="single" w:color="auto" w:sz="4" w:space="0"/>
              <w:right w:val="single" w:color="auto" w:sz="4" w:space="0"/>
            </w:tcBorders>
            <w:vAlign w:val="center"/>
          </w:tcPr>
          <w:p w14:paraId="07F4F1BB">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≥250℃时炉顶打水冷却，</w:t>
            </w:r>
          </w:p>
          <w:p w14:paraId="53B81B09">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最高550℃持续时间30min。</w:t>
            </w:r>
          </w:p>
        </w:tc>
        <w:tc>
          <w:tcPr>
            <w:tcW w:w="2999" w:type="dxa"/>
            <w:tcBorders>
              <w:top w:val="single" w:color="auto" w:sz="4" w:space="0"/>
              <w:left w:val="single" w:color="auto" w:sz="4" w:space="0"/>
              <w:bottom w:val="single" w:color="auto" w:sz="4" w:space="0"/>
              <w:right w:val="single" w:color="auto" w:sz="12" w:space="0"/>
            </w:tcBorders>
            <w:vAlign w:val="center"/>
          </w:tcPr>
          <w:p w14:paraId="0A46BED9">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≥250℃时炉顶打水冷却，</w:t>
            </w:r>
          </w:p>
          <w:p w14:paraId="05AFB734">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最高550℃持续时间30min。</w:t>
            </w:r>
          </w:p>
        </w:tc>
      </w:tr>
      <w:tr w14:paraId="7A22FA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042" w:type="dxa"/>
            <w:vMerge w:val="restart"/>
            <w:tcBorders>
              <w:top w:val="single" w:color="auto" w:sz="4" w:space="0"/>
              <w:left w:val="single" w:color="auto" w:sz="12" w:space="0"/>
              <w:bottom w:val="single" w:color="auto" w:sz="4" w:space="0"/>
              <w:right w:val="single" w:color="auto" w:sz="4" w:space="0"/>
            </w:tcBorders>
            <w:vAlign w:val="center"/>
          </w:tcPr>
          <w:p w14:paraId="6D3530E0">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来自重力除尘器的半净煤气含尘量g/m</w:t>
            </w:r>
            <w:r>
              <w:rPr>
                <w:rFonts w:ascii="Times New Roman" w:hAnsi="Times New Roman" w:cs="Times New Roman"/>
                <w:color w:val="auto"/>
                <w:kern w:val="0"/>
                <w:sz w:val="21"/>
                <w:szCs w:val="21"/>
                <w:highlight w:val="none"/>
                <w:vertAlign w:val="superscript"/>
              </w:rPr>
              <w:t>3</w:t>
            </w:r>
            <w:r>
              <w:rPr>
                <w:rFonts w:ascii="Times New Roman" w:hAnsi="Times New Roman" w:cs="Times New Roman"/>
                <w:color w:val="auto"/>
                <w:kern w:val="0"/>
                <w:sz w:val="21"/>
                <w:szCs w:val="21"/>
                <w:highlight w:val="none"/>
              </w:rPr>
              <w:t>(标况)</w:t>
            </w:r>
          </w:p>
        </w:tc>
        <w:tc>
          <w:tcPr>
            <w:tcW w:w="1470" w:type="dxa"/>
            <w:tcBorders>
              <w:top w:val="single" w:color="auto" w:sz="4" w:space="0"/>
              <w:left w:val="single" w:color="auto" w:sz="4" w:space="0"/>
              <w:bottom w:val="single" w:color="auto" w:sz="4" w:space="0"/>
              <w:right w:val="single" w:color="auto" w:sz="4" w:space="0"/>
            </w:tcBorders>
            <w:vAlign w:val="center"/>
          </w:tcPr>
          <w:p w14:paraId="53FDE77D">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炉顶高压时</w:t>
            </w:r>
          </w:p>
        </w:tc>
        <w:tc>
          <w:tcPr>
            <w:tcW w:w="2776" w:type="dxa"/>
            <w:tcBorders>
              <w:top w:val="single" w:color="auto" w:sz="4" w:space="0"/>
              <w:left w:val="single" w:color="auto" w:sz="4" w:space="0"/>
              <w:bottom w:val="single" w:color="auto" w:sz="4" w:space="0"/>
              <w:right w:val="single" w:color="auto" w:sz="4" w:space="0"/>
            </w:tcBorders>
            <w:vAlign w:val="center"/>
          </w:tcPr>
          <w:p w14:paraId="16B1B380">
            <w:pPr>
              <w:widowControl/>
              <w:shd w:val="clear"/>
              <w:ind w:firstLine="420"/>
              <w:jc w:val="center"/>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6</w:t>
            </w:r>
          </w:p>
        </w:tc>
        <w:tc>
          <w:tcPr>
            <w:tcW w:w="2999" w:type="dxa"/>
            <w:tcBorders>
              <w:top w:val="single" w:color="auto" w:sz="4" w:space="0"/>
              <w:left w:val="single" w:color="auto" w:sz="4" w:space="0"/>
              <w:bottom w:val="single" w:color="auto" w:sz="4" w:space="0"/>
              <w:right w:val="single" w:color="auto" w:sz="12" w:space="0"/>
            </w:tcBorders>
            <w:vAlign w:val="center"/>
          </w:tcPr>
          <w:p w14:paraId="2769EC3A">
            <w:pPr>
              <w:widowControl/>
              <w:shd w:val="clear"/>
              <w:ind w:firstLine="420"/>
              <w:jc w:val="center"/>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～10</w:t>
            </w:r>
          </w:p>
        </w:tc>
      </w:tr>
      <w:tr w14:paraId="377D8D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042" w:type="dxa"/>
            <w:vMerge w:val="continue"/>
            <w:tcBorders>
              <w:top w:val="single" w:color="auto" w:sz="4" w:space="0"/>
              <w:left w:val="single" w:color="auto" w:sz="12" w:space="0"/>
              <w:bottom w:val="single" w:color="auto" w:sz="4" w:space="0"/>
              <w:right w:val="single" w:color="auto" w:sz="4" w:space="0"/>
            </w:tcBorders>
            <w:vAlign w:val="center"/>
          </w:tcPr>
          <w:p w14:paraId="23CC45A1">
            <w:pPr>
              <w:widowControl/>
              <w:shd w:val="clear"/>
              <w:ind w:firstLine="0" w:firstLineChars="0"/>
              <w:textAlignment w:val="bottom"/>
              <w:rPr>
                <w:rFonts w:ascii="Times New Roman" w:hAnsi="Times New Roman" w:cs="Times New Roman"/>
                <w:color w:val="auto"/>
                <w:kern w:val="0"/>
                <w:sz w:val="21"/>
                <w:szCs w:val="21"/>
                <w:highlight w:val="none"/>
              </w:rPr>
            </w:pPr>
          </w:p>
        </w:tc>
        <w:tc>
          <w:tcPr>
            <w:tcW w:w="1470" w:type="dxa"/>
            <w:tcBorders>
              <w:top w:val="single" w:color="auto" w:sz="4" w:space="0"/>
              <w:left w:val="single" w:color="auto" w:sz="4" w:space="0"/>
              <w:bottom w:val="single" w:color="auto" w:sz="4" w:space="0"/>
              <w:right w:val="single" w:color="auto" w:sz="4" w:space="0"/>
            </w:tcBorders>
            <w:vAlign w:val="center"/>
          </w:tcPr>
          <w:p w14:paraId="401B9A00">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炉顶常压时</w:t>
            </w:r>
          </w:p>
        </w:tc>
        <w:tc>
          <w:tcPr>
            <w:tcW w:w="2776" w:type="dxa"/>
            <w:tcBorders>
              <w:top w:val="single" w:color="auto" w:sz="4" w:space="0"/>
              <w:left w:val="single" w:color="auto" w:sz="4" w:space="0"/>
              <w:bottom w:val="single" w:color="auto" w:sz="4" w:space="0"/>
              <w:right w:val="single" w:color="auto" w:sz="4" w:space="0"/>
            </w:tcBorders>
            <w:vAlign w:val="center"/>
          </w:tcPr>
          <w:p w14:paraId="711195FB">
            <w:pPr>
              <w:widowControl/>
              <w:shd w:val="clear"/>
              <w:ind w:firstLine="420"/>
              <w:jc w:val="center"/>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12</w:t>
            </w:r>
          </w:p>
        </w:tc>
        <w:tc>
          <w:tcPr>
            <w:tcW w:w="2999" w:type="dxa"/>
            <w:tcBorders>
              <w:top w:val="single" w:color="auto" w:sz="4" w:space="0"/>
              <w:left w:val="single" w:color="auto" w:sz="4" w:space="0"/>
              <w:bottom w:val="single" w:color="auto" w:sz="4" w:space="0"/>
              <w:right w:val="single" w:color="auto" w:sz="12" w:space="0"/>
            </w:tcBorders>
            <w:vAlign w:val="center"/>
          </w:tcPr>
          <w:p w14:paraId="3B4C9D12">
            <w:pPr>
              <w:widowControl/>
              <w:shd w:val="clear"/>
              <w:ind w:firstLine="420"/>
              <w:jc w:val="center"/>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～15</w:t>
            </w:r>
          </w:p>
        </w:tc>
      </w:tr>
      <w:tr w14:paraId="3621D7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042" w:type="dxa"/>
            <w:vMerge w:val="restart"/>
            <w:tcBorders>
              <w:top w:val="single" w:color="auto" w:sz="4" w:space="0"/>
              <w:left w:val="single" w:color="auto" w:sz="12" w:space="0"/>
              <w:bottom w:val="single" w:color="auto" w:sz="4" w:space="0"/>
              <w:right w:val="single" w:color="auto" w:sz="4" w:space="0"/>
            </w:tcBorders>
            <w:vAlign w:val="center"/>
          </w:tcPr>
          <w:p w14:paraId="2E2204FA">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荒煤气含水量 g/m</w:t>
            </w:r>
            <w:r>
              <w:rPr>
                <w:rFonts w:ascii="Times New Roman" w:hAnsi="Times New Roman" w:cs="Times New Roman"/>
                <w:color w:val="auto"/>
                <w:kern w:val="0"/>
                <w:sz w:val="21"/>
                <w:szCs w:val="21"/>
                <w:highlight w:val="none"/>
                <w:vertAlign w:val="superscript"/>
              </w:rPr>
              <w:t>3</w:t>
            </w:r>
            <w:r>
              <w:rPr>
                <w:rFonts w:ascii="Times New Roman" w:hAnsi="Times New Roman" w:cs="Times New Roman"/>
                <w:color w:val="auto"/>
                <w:kern w:val="0"/>
                <w:sz w:val="21"/>
                <w:szCs w:val="21"/>
                <w:highlight w:val="none"/>
              </w:rPr>
              <w:t>(标况)</w:t>
            </w:r>
          </w:p>
        </w:tc>
        <w:tc>
          <w:tcPr>
            <w:tcW w:w="1470" w:type="dxa"/>
            <w:tcBorders>
              <w:top w:val="single" w:color="auto" w:sz="4" w:space="0"/>
              <w:left w:val="single" w:color="auto" w:sz="4" w:space="0"/>
              <w:bottom w:val="single" w:color="auto" w:sz="4" w:space="0"/>
              <w:right w:val="single" w:color="auto" w:sz="4" w:space="0"/>
            </w:tcBorders>
            <w:vAlign w:val="center"/>
          </w:tcPr>
          <w:p w14:paraId="6CBC5CA8">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正常</w:t>
            </w:r>
          </w:p>
        </w:tc>
        <w:tc>
          <w:tcPr>
            <w:tcW w:w="2776" w:type="dxa"/>
            <w:tcBorders>
              <w:top w:val="single" w:color="auto" w:sz="4" w:space="0"/>
              <w:left w:val="single" w:color="auto" w:sz="4" w:space="0"/>
              <w:bottom w:val="single" w:color="auto" w:sz="4" w:space="0"/>
              <w:right w:val="single" w:color="auto" w:sz="4" w:space="0"/>
            </w:tcBorders>
            <w:vAlign w:val="center"/>
          </w:tcPr>
          <w:p w14:paraId="0D5DE8E8">
            <w:pPr>
              <w:widowControl/>
              <w:shd w:val="clear"/>
              <w:ind w:firstLine="420"/>
              <w:jc w:val="center"/>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30~40</w:t>
            </w:r>
          </w:p>
        </w:tc>
        <w:tc>
          <w:tcPr>
            <w:tcW w:w="2999" w:type="dxa"/>
            <w:tcBorders>
              <w:top w:val="single" w:color="auto" w:sz="4" w:space="0"/>
              <w:left w:val="single" w:color="auto" w:sz="4" w:space="0"/>
              <w:bottom w:val="single" w:color="auto" w:sz="4" w:space="0"/>
              <w:right w:val="single" w:color="auto" w:sz="12" w:space="0"/>
            </w:tcBorders>
            <w:vAlign w:val="center"/>
          </w:tcPr>
          <w:p w14:paraId="19E7641A">
            <w:pPr>
              <w:widowControl/>
              <w:shd w:val="clear"/>
              <w:ind w:firstLine="420"/>
              <w:jc w:val="center"/>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30~40</w:t>
            </w:r>
          </w:p>
        </w:tc>
      </w:tr>
      <w:tr w14:paraId="4C57B6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042" w:type="dxa"/>
            <w:vMerge w:val="continue"/>
            <w:tcBorders>
              <w:top w:val="single" w:color="auto" w:sz="4" w:space="0"/>
              <w:left w:val="single" w:color="auto" w:sz="12" w:space="0"/>
              <w:bottom w:val="single" w:color="auto" w:sz="12" w:space="0"/>
              <w:right w:val="single" w:color="auto" w:sz="4" w:space="0"/>
            </w:tcBorders>
            <w:vAlign w:val="center"/>
          </w:tcPr>
          <w:p w14:paraId="61E6CF5D">
            <w:pPr>
              <w:widowControl/>
              <w:shd w:val="clear"/>
              <w:ind w:firstLine="420"/>
              <w:jc w:val="center"/>
              <w:textAlignment w:val="bottom"/>
              <w:rPr>
                <w:rFonts w:ascii="Times New Roman" w:hAnsi="Times New Roman" w:cs="Times New Roman"/>
                <w:color w:val="auto"/>
                <w:kern w:val="0"/>
                <w:sz w:val="21"/>
                <w:szCs w:val="21"/>
                <w:highlight w:val="none"/>
              </w:rPr>
            </w:pPr>
          </w:p>
        </w:tc>
        <w:tc>
          <w:tcPr>
            <w:tcW w:w="1470" w:type="dxa"/>
            <w:tcBorders>
              <w:top w:val="single" w:color="auto" w:sz="4" w:space="0"/>
              <w:left w:val="single" w:color="auto" w:sz="4" w:space="0"/>
              <w:bottom w:val="single" w:color="auto" w:sz="12" w:space="0"/>
              <w:right w:val="single" w:color="auto" w:sz="4" w:space="0"/>
            </w:tcBorders>
            <w:vAlign w:val="center"/>
          </w:tcPr>
          <w:p w14:paraId="1EEECC6C">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最高</w:t>
            </w:r>
          </w:p>
        </w:tc>
        <w:tc>
          <w:tcPr>
            <w:tcW w:w="2776" w:type="dxa"/>
            <w:tcBorders>
              <w:top w:val="single" w:color="auto" w:sz="4" w:space="0"/>
              <w:left w:val="single" w:color="auto" w:sz="4" w:space="0"/>
              <w:bottom w:val="single" w:color="auto" w:sz="12" w:space="0"/>
              <w:right w:val="single" w:color="auto" w:sz="4" w:space="0"/>
            </w:tcBorders>
            <w:vAlign w:val="center"/>
          </w:tcPr>
          <w:p w14:paraId="424DBB17">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250（短期炉顶洒水时）</w:t>
            </w:r>
          </w:p>
        </w:tc>
        <w:tc>
          <w:tcPr>
            <w:tcW w:w="2999" w:type="dxa"/>
            <w:tcBorders>
              <w:top w:val="single" w:color="auto" w:sz="4" w:space="0"/>
              <w:left w:val="single" w:color="auto" w:sz="4" w:space="0"/>
              <w:bottom w:val="single" w:color="auto" w:sz="12" w:space="0"/>
              <w:right w:val="single" w:color="auto" w:sz="12" w:space="0"/>
            </w:tcBorders>
            <w:vAlign w:val="center"/>
          </w:tcPr>
          <w:p w14:paraId="5315570F">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250（短期炉顶洒水时）</w:t>
            </w:r>
          </w:p>
        </w:tc>
      </w:tr>
    </w:tbl>
    <w:p w14:paraId="0C9A467F">
      <w:pPr>
        <w:shd w:val="clear"/>
        <w:ind w:firstLine="0" w:firstLineChars="0"/>
        <w:outlineLvl w:val="2"/>
        <w:rPr>
          <w:rFonts w:cs="Times New Roman"/>
          <w:color w:val="auto"/>
          <w:szCs w:val="28"/>
          <w:highlight w:val="none"/>
        </w:rPr>
      </w:pPr>
      <w:bookmarkStart w:id="431" w:name="_Toc25881"/>
      <w:r>
        <w:rPr>
          <w:rFonts w:hint="eastAsia" w:cs="Times New Roman"/>
          <w:color w:val="auto"/>
          <w:szCs w:val="28"/>
          <w:highlight w:val="none"/>
        </w:rPr>
        <w:t>4.2.2 高炉煤气净化系统改造内容</w:t>
      </w:r>
      <w:bookmarkEnd w:id="431"/>
    </w:p>
    <w:p w14:paraId="015AB77B">
      <w:pPr>
        <w:shd w:val="clear"/>
        <w:rPr>
          <w:color w:val="auto"/>
          <w:highlight w:val="none"/>
        </w:rPr>
      </w:pPr>
      <w:r>
        <w:rPr>
          <w:rFonts w:hint="eastAsia"/>
          <w:color w:val="auto"/>
          <w:highlight w:val="none"/>
        </w:rPr>
        <w:t>原布袋除尘系统于2013年建设，原有筒体按照11个DN4300筒体、1个灰仓布置。原筒体、管道设计压力为0.18Mpa，实际工作压力为0.15MPa，本次改造后的工作压力为0.175MPa，设计压力0.18MPa仍能够满足要求。</w:t>
      </w:r>
    </w:p>
    <w:p w14:paraId="52F0286E">
      <w:pPr>
        <w:shd w:val="clear"/>
        <w:rPr>
          <w:color w:val="auto"/>
          <w:highlight w:val="none"/>
        </w:rPr>
      </w:pPr>
      <w:r>
        <w:rPr>
          <w:rFonts w:hint="eastAsia"/>
          <w:color w:val="auto"/>
          <w:highlight w:val="none"/>
        </w:rPr>
        <w:t>高炉改造前后煤气干法布袋除尘系统运行参数见下表：</w:t>
      </w:r>
    </w:p>
    <w:tbl>
      <w:tblPr>
        <w:tblStyle w:val="60"/>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738"/>
        <w:gridCol w:w="2041"/>
        <w:gridCol w:w="1802"/>
        <w:gridCol w:w="1317"/>
        <w:gridCol w:w="2765"/>
        <w:gridCol w:w="624"/>
      </w:tblGrid>
      <w:tr w14:paraId="17521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543" w:hRule="atLeast"/>
          <w:tblHeader/>
          <w:jc w:val="center"/>
        </w:trPr>
        <w:tc>
          <w:tcPr>
            <w:tcW w:w="738" w:type="dxa"/>
            <w:tcBorders>
              <w:top w:val="single" w:color="000000" w:sz="12" w:space="0"/>
              <w:left w:val="single" w:color="000000" w:sz="12" w:space="0"/>
              <w:bottom w:val="single" w:color="000000" w:sz="4" w:space="0"/>
              <w:right w:val="single" w:color="000000" w:sz="4" w:space="0"/>
            </w:tcBorders>
            <w:noWrap/>
            <w:vAlign w:val="center"/>
          </w:tcPr>
          <w:p w14:paraId="3164C153">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序号</w:t>
            </w:r>
          </w:p>
        </w:tc>
        <w:tc>
          <w:tcPr>
            <w:tcW w:w="2041" w:type="dxa"/>
            <w:tcBorders>
              <w:top w:val="single" w:color="000000" w:sz="12" w:space="0"/>
              <w:left w:val="single" w:color="000000" w:sz="4" w:space="0"/>
              <w:bottom w:val="single" w:color="000000" w:sz="4" w:space="0"/>
              <w:right w:val="single" w:color="000000" w:sz="4" w:space="0"/>
            </w:tcBorders>
            <w:noWrap/>
            <w:vAlign w:val="center"/>
          </w:tcPr>
          <w:p w14:paraId="5F4AFE49">
            <w:pPr>
              <w:widowControl/>
              <w:shd w:val="clear"/>
              <w:ind w:firstLine="420"/>
              <w:jc w:val="center"/>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项目</w:t>
            </w:r>
          </w:p>
        </w:tc>
        <w:tc>
          <w:tcPr>
            <w:tcW w:w="3119" w:type="dxa"/>
            <w:gridSpan w:val="2"/>
            <w:tcBorders>
              <w:top w:val="single" w:color="000000" w:sz="12" w:space="0"/>
              <w:left w:val="single" w:color="000000" w:sz="4" w:space="0"/>
              <w:bottom w:val="single" w:color="000000" w:sz="4" w:space="0"/>
              <w:right w:val="single" w:color="000000" w:sz="4" w:space="0"/>
            </w:tcBorders>
            <w:noWrap/>
            <w:vAlign w:val="center"/>
          </w:tcPr>
          <w:p w14:paraId="2121FD53">
            <w:pPr>
              <w:widowControl/>
              <w:shd w:val="clear"/>
              <w:ind w:firstLine="0" w:firstLineChars="0"/>
              <w:jc w:val="center"/>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改造后技术参数</w:t>
            </w:r>
          </w:p>
        </w:tc>
        <w:tc>
          <w:tcPr>
            <w:tcW w:w="3389" w:type="dxa"/>
            <w:gridSpan w:val="2"/>
            <w:tcBorders>
              <w:top w:val="single" w:color="000000" w:sz="12" w:space="0"/>
              <w:left w:val="single" w:color="000000" w:sz="4" w:space="0"/>
              <w:bottom w:val="single" w:color="000000" w:sz="4" w:space="0"/>
              <w:right w:val="single" w:color="000000" w:sz="12" w:space="0"/>
            </w:tcBorders>
            <w:noWrap/>
            <w:vAlign w:val="center"/>
          </w:tcPr>
          <w:p w14:paraId="77EF27B2">
            <w:pPr>
              <w:widowControl/>
              <w:shd w:val="clear"/>
              <w:ind w:firstLine="0" w:firstLineChars="0"/>
              <w:jc w:val="center"/>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改造前技术参数</w:t>
            </w:r>
          </w:p>
        </w:tc>
      </w:tr>
      <w:tr w14:paraId="5D1AB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288" w:hRule="atLeast"/>
          <w:jc w:val="center"/>
        </w:trPr>
        <w:tc>
          <w:tcPr>
            <w:tcW w:w="738" w:type="dxa"/>
            <w:tcBorders>
              <w:top w:val="single" w:color="000000" w:sz="4" w:space="0"/>
              <w:left w:val="single" w:color="000000" w:sz="12" w:space="0"/>
              <w:bottom w:val="single" w:color="000000" w:sz="4" w:space="0"/>
              <w:right w:val="single" w:color="000000" w:sz="4" w:space="0"/>
            </w:tcBorders>
            <w:noWrap/>
            <w:vAlign w:val="center"/>
          </w:tcPr>
          <w:p w14:paraId="1008D0B5">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1</w:t>
            </w:r>
          </w:p>
        </w:tc>
        <w:tc>
          <w:tcPr>
            <w:tcW w:w="2041" w:type="dxa"/>
            <w:tcBorders>
              <w:top w:val="single" w:color="000000" w:sz="4" w:space="0"/>
              <w:left w:val="single" w:color="000000" w:sz="4" w:space="0"/>
              <w:bottom w:val="single" w:color="000000" w:sz="4" w:space="0"/>
              <w:right w:val="single" w:color="000000" w:sz="4" w:space="0"/>
            </w:tcBorders>
            <w:noWrap/>
            <w:vAlign w:val="center"/>
          </w:tcPr>
          <w:p w14:paraId="3180FF28">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设备名称</w:t>
            </w:r>
          </w:p>
        </w:tc>
        <w:tc>
          <w:tcPr>
            <w:tcW w:w="3119" w:type="dxa"/>
            <w:gridSpan w:val="2"/>
            <w:tcBorders>
              <w:top w:val="single" w:color="000000" w:sz="4" w:space="0"/>
              <w:left w:val="single" w:color="000000" w:sz="4" w:space="0"/>
              <w:bottom w:val="single" w:color="000000" w:sz="4" w:space="0"/>
              <w:right w:val="single" w:color="000000" w:sz="4" w:space="0"/>
            </w:tcBorders>
            <w:noWrap/>
            <w:vAlign w:val="center"/>
          </w:tcPr>
          <w:p w14:paraId="7603CBEF">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高炉煤气干法布袋除尘器</w:t>
            </w:r>
          </w:p>
        </w:tc>
        <w:tc>
          <w:tcPr>
            <w:tcW w:w="3389" w:type="dxa"/>
            <w:gridSpan w:val="2"/>
            <w:tcBorders>
              <w:top w:val="single" w:color="000000" w:sz="4" w:space="0"/>
              <w:left w:val="single" w:color="000000" w:sz="4" w:space="0"/>
              <w:bottom w:val="single" w:color="000000" w:sz="4" w:space="0"/>
              <w:right w:val="single" w:color="000000" w:sz="12" w:space="0"/>
            </w:tcBorders>
            <w:noWrap/>
            <w:vAlign w:val="center"/>
          </w:tcPr>
          <w:p w14:paraId="4E3B7003">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高炉煤气干法布袋除尘器</w:t>
            </w:r>
          </w:p>
        </w:tc>
      </w:tr>
      <w:tr w14:paraId="3726D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08" w:hRule="atLeast"/>
          <w:jc w:val="center"/>
        </w:trPr>
        <w:tc>
          <w:tcPr>
            <w:tcW w:w="738" w:type="dxa"/>
            <w:tcBorders>
              <w:top w:val="single" w:color="000000" w:sz="4" w:space="0"/>
              <w:left w:val="single" w:color="000000" w:sz="12" w:space="0"/>
              <w:bottom w:val="single" w:color="000000" w:sz="4" w:space="0"/>
              <w:right w:val="single" w:color="000000" w:sz="4" w:space="0"/>
            </w:tcBorders>
            <w:noWrap/>
            <w:vAlign w:val="center"/>
          </w:tcPr>
          <w:p w14:paraId="56797A68">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2</w:t>
            </w:r>
          </w:p>
        </w:tc>
        <w:tc>
          <w:tcPr>
            <w:tcW w:w="2041" w:type="dxa"/>
            <w:tcBorders>
              <w:top w:val="single" w:color="000000" w:sz="4" w:space="0"/>
              <w:left w:val="single" w:color="000000" w:sz="4" w:space="0"/>
              <w:bottom w:val="single" w:color="000000" w:sz="4" w:space="0"/>
              <w:right w:val="single" w:color="000000" w:sz="4" w:space="0"/>
            </w:tcBorders>
            <w:noWrap/>
            <w:vAlign w:val="center"/>
          </w:tcPr>
          <w:p w14:paraId="6B2091F4">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处理煤气量</w:t>
            </w:r>
          </w:p>
        </w:tc>
        <w:tc>
          <w:tcPr>
            <w:tcW w:w="3119" w:type="dxa"/>
            <w:gridSpan w:val="2"/>
            <w:tcBorders>
              <w:top w:val="single" w:color="000000" w:sz="4" w:space="0"/>
              <w:left w:val="single" w:color="000000" w:sz="4" w:space="0"/>
              <w:bottom w:val="single" w:color="000000" w:sz="4" w:space="0"/>
              <w:right w:val="single" w:color="000000" w:sz="4" w:space="0"/>
            </w:tcBorders>
            <w:noWrap/>
            <w:vAlign w:val="center"/>
          </w:tcPr>
          <w:p w14:paraId="40AC5C52">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最大：220000Nm</w:t>
            </w:r>
            <w:r>
              <w:rPr>
                <w:rFonts w:ascii="Times New Roman" w:hAnsi="Times New Roman" w:cs="Times New Roman"/>
                <w:color w:val="auto"/>
                <w:kern w:val="0"/>
                <w:sz w:val="21"/>
                <w:szCs w:val="21"/>
                <w:highlight w:val="none"/>
                <w:vertAlign w:val="superscript"/>
              </w:rPr>
              <w:t>3</w:t>
            </w:r>
            <w:r>
              <w:rPr>
                <w:rFonts w:ascii="Times New Roman" w:hAnsi="Times New Roman" w:cs="Times New Roman"/>
                <w:color w:val="auto"/>
                <w:kern w:val="0"/>
                <w:sz w:val="21"/>
                <w:szCs w:val="21"/>
                <w:highlight w:val="none"/>
              </w:rPr>
              <w:t>/h　</w:t>
            </w:r>
          </w:p>
          <w:p w14:paraId="3FEF925C">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正常：200000Nm</w:t>
            </w:r>
            <w:r>
              <w:rPr>
                <w:rFonts w:ascii="Times New Roman" w:hAnsi="Times New Roman" w:cs="Times New Roman"/>
                <w:color w:val="auto"/>
                <w:kern w:val="0"/>
                <w:sz w:val="21"/>
                <w:szCs w:val="21"/>
                <w:highlight w:val="none"/>
                <w:vertAlign w:val="superscript"/>
              </w:rPr>
              <w:t>3</w:t>
            </w:r>
            <w:r>
              <w:rPr>
                <w:rFonts w:ascii="Times New Roman" w:hAnsi="Times New Roman" w:cs="Times New Roman"/>
                <w:color w:val="auto"/>
                <w:kern w:val="0"/>
                <w:sz w:val="21"/>
                <w:szCs w:val="21"/>
                <w:highlight w:val="none"/>
              </w:rPr>
              <w:t>/h</w:t>
            </w:r>
          </w:p>
        </w:tc>
        <w:tc>
          <w:tcPr>
            <w:tcW w:w="3389" w:type="dxa"/>
            <w:gridSpan w:val="2"/>
            <w:tcBorders>
              <w:top w:val="single" w:color="000000" w:sz="4" w:space="0"/>
              <w:left w:val="single" w:color="000000" w:sz="4" w:space="0"/>
              <w:bottom w:val="single" w:color="000000" w:sz="4" w:space="0"/>
              <w:right w:val="single" w:color="000000" w:sz="12" w:space="0"/>
            </w:tcBorders>
            <w:noWrap/>
            <w:vAlign w:val="center"/>
          </w:tcPr>
          <w:p w14:paraId="4FAAC461">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最大：222000Nm</w:t>
            </w:r>
            <w:r>
              <w:rPr>
                <w:rFonts w:ascii="Times New Roman" w:hAnsi="Times New Roman" w:cs="Times New Roman"/>
                <w:color w:val="auto"/>
                <w:kern w:val="0"/>
                <w:sz w:val="21"/>
                <w:szCs w:val="21"/>
                <w:highlight w:val="none"/>
                <w:vertAlign w:val="superscript"/>
              </w:rPr>
              <w:t>3</w:t>
            </w:r>
            <w:r>
              <w:rPr>
                <w:rFonts w:ascii="Times New Roman" w:hAnsi="Times New Roman" w:cs="Times New Roman"/>
                <w:color w:val="auto"/>
                <w:kern w:val="0"/>
                <w:sz w:val="21"/>
                <w:szCs w:val="21"/>
                <w:highlight w:val="none"/>
              </w:rPr>
              <w:t>/h　</w:t>
            </w:r>
          </w:p>
          <w:p w14:paraId="71720F67">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正常：205500Nm</w:t>
            </w:r>
            <w:r>
              <w:rPr>
                <w:rFonts w:ascii="Times New Roman" w:hAnsi="Times New Roman" w:cs="Times New Roman"/>
                <w:color w:val="auto"/>
                <w:kern w:val="0"/>
                <w:sz w:val="21"/>
                <w:szCs w:val="21"/>
                <w:highlight w:val="none"/>
                <w:vertAlign w:val="superscript"/>
              </w:rPr>
              <w:t>3</w:t>
            </w:r>
            <w:r>
              <w:rPr>
                <w:rFonts w:ascii="Times New Roman" w:hAnsi="Times New Roman" w:cs="Times New Roman"/>
                <w:color w:val="auto"/>
                <w:kern w:val="0"/>
                <w:sz w:val="21"/>
                <w:szCs w:val="21"/>
                <w:highlight w:val="none"/>
              </w:rPr>
              <w:t>/h</w:t>
            </w:r>
          </w:p>
        </w:tc>
      </w:tr>
      <w:tr w14:paraId="642C2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27" w:hRule="atLeast"/>
          <w:jc w:val="center"/>
        </w:trPr>
        <w:tc>
          <w:tcPr>
            <w:tcW w:w="738" w:type="dxa"/>
            <w:tcBorders>
              <w:top w:val="single" w:color="000000" w:sz="4" w:space="0"/>
              <w:left w:val="single" w:color="000000" w:sz="12" w:space="0"/>
              <w:bottom w:val="single" w:color="000000" w:sz="4" w:space="0"/>
              <w:right w:val="single" w:color="000000" w:sz="4" w:space="0"/>
            </w:tcBorders>
            <w:noWrap/>
            <w:vAlign w:val="center"/>
          </w:tcPr>
          <w:p w14:paraId="249E9B2D">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3</w:t>
            </w:r>
          </w:p>
        </w:tc>
        <w:tc>
          <w:tcPr>
            <w:tcW w:w="2041" w:type="dxa"/>
            <w:tcBorders>
              <w:top w:val="single" w:color="000000" w:sz="4" w:space="0"/>
              <w:left w:val="single" w:color="000000" w:sz="4" w:space="0"/>
              <w:bottom w:val="single" w:color="000000" w:sz="4" w:space="0"/>
              <w:right w:val="single" w:color="000000" w:sz="4" w:space="0"/>
            </w:tcBorders>
            <w:noWrap/>
            <w:vAlign w:val="center"/>
          </w:tcPr>
          <w:p w14:paraId="69EB7D4C">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炉顶煤气压力</w:t>
            </w:r>
          </w:p>
        </w:tc>
        <w:tc>
          <w:tcPr>
            <w:tcW w:w="3119" w:type="dxa"/>
            <w:gridSpan w:val="2"/>
            <w:tcBorders>
              <w:top w:val="single" w:color="000000" w:sz="4" w:space="0"/>
              <w:left w:val="single" w:color="000000" w:sz="4" w:space="0"/>
              <w:bottom w:val="single" w:color="000000" w:sz="4" w:space="0"/>
              <w:right w:val="single" w:color="000000" w:sz="4" w:space="0"/>
            </w:tcBorders>
            <w:noWrap/>
            <w:vAlign w:val="center"/>
          </w:tcPr>
          <w:p w14:paraId="1468539F">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正常：150~17</w:t>
            </w:r>
            <w:r>
              <w:rPr>
                <w:rFonts w:hint="eastAsia" w:ascii="Times New Roman" w:hAnsi="Times New Roman" w:cs="Times New Roman"/>
                <w:color w:val="auto"/>
                <w:kern w:val="0"/>
                <w:sz w:val="21"/>
                <w:szCs w:val="21"/>
                <w:highlight w:val="none"/>
              </w:rPr>
              <w:t>5</w:t>
            </w:r>
            <w:r>
              <w:rPr>
                <w:rFonts w:ascii="Times New Roman" w:hAnsi="Times New Roman" w:cs="Times New Roman"/>
                <w:color w:val="auto"/>
                <w:kern w:val="0"/>
                <w:sz w:val="21"/>
                <w:szCs w:val="21"/>
                <w:highlight w:val="none"/>
              </w:rPr>
              <w:t>kPa</w:t>
            </w:r>
          </w:p>
          <w:p w14:paraId="4E464E15">
            <w:pPr>
              <w:shd w:val="clear"/>
              <w:ind w:firstLine="0" w:firstLineChars="0"/>
              <w:rPr>
                <w:b/>
                <w:bCs/>
                <w:color w:val="auto"/>
                <w:sz w:val="18"/>
                <w:szCs w:val="18"/>
                <w:highlight w:val="none"/>
              </w:rPr>
            </w:pPr>
            <w:r>
              <w:rPr>
                <w:rFonts w:hint="eastAsia" w:ascii="Times New Roman" w:hAnsi="Times New Roman" w:cs="Times New Roman"/>
                <w:b/>
                <w:bCs/>
                <w:color w:val="auto"/>
                <w:kern w:val="0"/>
                <w:sz w:val="21"/>
                <w:szCs w:val="21"/>
                <w:highlight w:val="none"/>
              </w:rPr>
              <w:t>设计压力：180</w:t>
            </w:r>
          </w:p>
        </w:tc>
        <w:tc>
          <w:tcPr>
            <w:tcW w:w="3389" w:type="dxa"/>
            <w:gridSpan w:val="2"/>
            <w:tcBorders>
              <w:top w:val="single" w:color="000000" w:sz="4" w:space="0"/>
              <w:left w:val="single" w:color="000000" w:sz="4" w:space="0"/>
              <w:bottom w:val="single" w:color="000000" w:sz="4" w:space="0"/>
              <w:right w:val="single" w:color="000000" w:sz="12" w:space="0"/>
            </w:tcBorders>
            <w:noWrap/>
            <w:vAlign w:val="center"/>
          </w:tcPr>
          <w:p w14:paraId="529B1D48">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正常：130~160kPa</w:t>
            </w:r>
          </w:p>
          <w:p w14:paraId="0844CE64">
            <w:pPr>
              <w:shd w:val="clear"/>
              <w:ind w:firstLine="0" w:firstLineChars="0"/>
              <w:rPr>
                <w:b/>
                <w:bCs/>
                <w:color w:val="auto"/>
                <w:sz w:val="18"/>
                <w:szCs w:val="18"/>
                <w:highlight w:val="none"/>
              </w:rPr>
            </w:pPr>
            <w:r>
              <w:rPr>
                <w:rFonts w:hint="eastAsia" w:ascii="Times New Roman" w:hAnsi="Times New Roman" w:cs="Times New Roman"/>
                <w:b/>
                <w:bCs/>
                <w:color w:val="auto"/>
                <w:kern w:val="0"/>
                <w:sz w:val="21"/>
                <w:szCs w:val="21"/>
                <w:highlight w:val="none"/>
              </w:rPr>
              <w:t>设计压力：180</w:t>
            </w:r>
          </w:p>
        </w:tc>
      </w:tr>
      <w:tr w14:paraId="76E91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219" w:hRule="atLeast"/>
          <w:jc w:val="center"/>
        </w:trPr>
        <w:tc>
          <w:tcPr>
            <w:tcW w:w="738" w:type="dxa"/>
            <w:tcBorders>
              <w:top w:val="single" w:color="000000" w:sz="4" w:space="0"/>
              <w:left w:val="single" w:color="000000" w:sz="12" w:space="0"/>
              <w:bottom w:val="single" w:color="000000" w:sz="4" w:space="0"/>
              <w:right w:val="single" w:color="000000" w:sz="4" w:space="0"/>
            </w:tcBorders>
            <w:noWrap/>
            <w:vAlign w:val="center"/>
          </w:tcPr>
          <w:p w14:paraId="67AF4600">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4</w:t>
            </w:r>
          </w:p>
        </w:tc>
        <w:tc>
          <w:tcPr>
            <w:tcW w:w="2041" w:type="dxa"/>
            <w:tcBorders>
              <w:top w:val="single" w:color="000000" w:sz="4" w:space="0"/>
              <w:left w:val="single" w:color="000000" w:sz="4" w:space="0"/>
              <w:bottom w:val="single" w:color="000000" w:sz="4" w:space="0"/>
              <w:right w:val="single" w:color="000000" w:sz="4" w:space="0"/>
            </w:tcBorders>
            <w:noWrap/>
            <w:vAlign w:val="center"/>
          </w:tcPr>
          <w:p w14:paraId="40614185">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炉顶煤气温度</w:t>
            </w:r>
          </w:p>
        </w:tc>
        <w:tc>
          <w:tcPr>
            <w:tcW w:w="3119" w:type="dxa"/>
            <w:gridSpan w:val="2"/>
            <w:tcBorders>
              <w:top w:val="single" w:color="000000" w:sz="4" w:space="0"/>
              <w:left w:val="single" w:color="000000" w:sz="4" w:space="0"/>
              <w:bottom w:val="single" w:color="000000" w:sz="4" w:space="0"/>
              <w:right w:val="single" w:color="000000" w:sz="4" w:space="0"/>
            </w:tcBorders>
            <w:noWrap/>
            <w:vAlign w:val="center"/>
          </w:tcPr>
          <w:p w14:paraId="03A6ACFE">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正常：150℃～250℃</w:t>
            </w:r>
          </w:p>
        </w:tc>
        <w:tc>
          <w:tcPr>
            <w:tcW w:w="3389" w:type="dxa"/>
            <w:gridSpan w:val="2"/>
            <w:tcBorders>
              <w:top w:val="single" w:color="000000" w:sz="4" w:space="0"/>
              <w:left w:val="single" w:color="000000" w:sz="4" w:space="0"/>
              <w:bottom w:val="single" w:color="000000" w:sz="4" w:space="0"/>
              <w:right w:val="single" w:color="000000" w:sz="12" w:space="0"/>
            </w:tcBorders>
            <w:noWrap/>
            <w:vAlign w:val="center"/>
          </w:tcPr>
          <w:p w14:paraId="5EBEC81C">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正常：150℃～250℃</w:t>
            </w:r>
          </w:p>
        </w:tc>
      </w:tr>
      <w:tr w14:paraId="31674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26" w:hRule="atLeast"/>
          <w:jc w:val="center"/>
        </w:trPr>
        <w:tc>
          <w:tcPr>
            <w:tcW w:w="738" w:type="dxa"/>
            <w:tcBorders>
              <w:top w:val="single" w:color="000000" w:sz="4" w:space="0"/>
              <w:left w:val="single" w:color="000000" w:sz="12" w:space="0"/>
              <w:bottom w:val="single" w:color="000000" w:sz="4" w:space="0"/>
              <w:right w:val="single" w:color="000000" w:sz="4" w:space="0"/>
            </w:tcBorders>
            <w:noWrap/>
            <w:vAlign w:val="center"/>
          </w:tcPr>
          <w:p w14:paraId="306BBE45">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5</w:t>
            </w:r>
          </w:p>
        </w:tc>
        <w:tc>
          <w:tcPr>
            <w:tcW w:w="2041" w:type="dxa"/>
            <w:tcBorders>
              <w:top w:val="single" w:color="000000" w:sz="4" w:space="0"/>
              <w:left w:val="single" w:color="000000" w:sz="4" w:space="0"/>
              <w:bottom w:val="single" w:color="000000" w:sz="4" w:space="0"/>
              <w:right w:val="single" w:color="000000" w:sz="4" w:space="0"/>
            </w:tcBorders>
            <w:noWrap/>
            <w:vAlign w:val="center"/>
          </w:tcPr>
          <w:p w14:paraId="037285C8">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单箱体/总过滤面积</w:t>
            </w:r>
          </w:p>
        </w:tc>
        <w:tc>
          <w:tcPr>
            <w:tcW w:w="3119" w:type="dxa"/>
            <w:gridSpan w:val="2"/>
            <w:tcBorders>
              <w:top w:val="single" w:color="000000" w:sz="4" w:space="0"/>
              <w:left w:val="single" w:color="000000" w:sz="4" w:space="0"/>
              <w:bottom w:val="single" w:color="000000" w:sz="4" w:space="0"/>
              <w:right w:val="single" w:color="000000" w:sz="4" w:space="0"/>
            </w:tcBorders>
            <w:noWrap/>
            <w:vAlign w:val="center"/>
          </w:tcPr>
          <w:p w14:paraId="12E342E4">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622m</w:t>
            </w:r>
            <w:r>
              <w:rPr>
                <w:rFonts w:ascii="Times New Roman" w:hAnsi="Times New Roman" w:cs="Times New Roman"/>
                <w:color w:val="auto"/>
                <w:kern w:val="0"/>
                <w:sz w:val="21"/>
                <w:szCs w:val="21"/>
                <w:highlight w:val="none"/>
                <w:vertAlign w:val="superscript"/>
              </w:rPr>
              <w:t>2</w:t>
            </w:r>
            <w:r>
              <w:rPr>
                <w:rFonts w:ascii="Times New Roman" w:hAnsi="Times New Roman" w:cs="Times New Roman"/>
                <w:color w:val="auto"/>
                <w:kern w:val="0"/>
                <w:sz w:val="21"/>
                <w:szCs w:val="21"/>
                <w:highlight w:val="none"/>
              </w:rPr>
              <w:t>/8086m</w:t>
            </w:r>
            <w:r>
              <w:rPr>
                <w:rFonts w:ascii="Times New Roman" w:hAnsi="Times New Roman" w:cs="Times New Roman"/>
                <w:color w:val="auto"/>
                <w:kern w:val="0"/>
                <w:sz w:val="21"/>
                <w:szCs w:val="21"/>
                <w:highlight w:val="none"/>
                <w:vertAlign w:val="superscript"/>
              </w:rPr>
              <w:t>2</w:t>
            </w:r>
          </w:p>
        </w:tc>
        <w:tc>
          <w:tcPr>
            <w:tcW w:w="3389" w:type="dxa"/>
            <w:gridSpan w:val="2"/>
            <w:tcBorders>
              <w:top w:val="single" w:color="000000" w:sz="4" w:space="0"/>
              <w:left w:val="single" w:color="000000" w:sz="4" w:space="0"/>
              <w:bottom w:val="single" w:color="000000" w:sz="4" w:space="0"/>
              <w:right w:val="single" w:color="000000" w:sz="12" w:space="0"/>
            </w:tcBorders>
            <w:noWrap/>
            <w:vAlign w:val="center"/>
          </w:tcPr>
          <w:p w14:paraId="7345D326">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622m</w:t>
            </w:r>
            <w:r>
              <w:rPr>
                <w:rFonts w:ascii="Times New Roman" w:hAnsi="Times New Roman" w:cs="Times New Roman"/>
                <w:color w:val="auto"/>
                <w:kern w:val="0"/>
                <w:sz w:val="21"/>
                <w:szCs w:val="21"/>
                <w:highlight w:val="none"/>
                <w:vertAlign w:val="superscript"/>
              </w:rPr>
              <w:t>2</w:t>
            </w:r>
            <w:r>
              <w:rPr>
                <w:rFonts w:ascii="Times New Roman" w:hAnsi="Times New Roman" w:cs="Times New Roman"/>
                <w:color w:val="auto"/>
                <w:kern w:val="0"/>
                <w:sz w:val="21"/>
                <w:szCs w:val="21"/>
                <w:highlight w:val="none"/>
              </w:rPr>
              <w:t>/8086m</w:t>
            </w:r>
            <w:r>
              <w:rPr>
                <w:rFonts w:ascii="Times New Roman" w:hAnsi="Times New Roman" w:cs="Times New Roman"/>
                <w:color w:val="auto"/>
                <w:kern w:val="0"/>
                <w:sz w:val="21"/>
                <w:szCs w:val="21"/>
                <w:highlight w:val="none"/>
                <w:vertAlign w:val="superscript"/>
              </w:rPr>
              <w:t>2</w:t>
            </w:r>
          </w:p>
        </w:tc>
      </w:tr>
      <w:tr w14:paraId="39333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33" w:hRule="atLeast"/>
          <w:jc w:val="center"/>
        </w:trPr>
        <w:tc>
          <w:tcPr>
            <w:tcW w:w="738" w:type="dxa"/>
            <w:tcBorders>
              <w:top w:val="single" w:color="000000" w:sz="4" w:space="0"/>
              <w:left w:val="single" w:color="000000" w:sz="12" w:space="0"/>
              <w:bottom w:val="single" w:color="000000" w:sz="4" w:space="0"/>
              <w:right w:val="single" w:color="000000" w:sz="4" w:space="0"/>
            </w:tcBorders>
            <w:noWrap/>
            <w:vAlign w:val="center"/>
          </w:tcPr>
          <w:p w14:paraId="5C954431">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6</w:t>
            </w:r>
          </w:p>
        </w:tc>
        <w:tc>
          <w:tcPr>
            <w:tcW w:w="2041" w:type="dxa"/>
            <w:tcBorders>
              <w:top w:val="single" w:color="000000" w:sz="4" w:space="0"/>
              <w:left w:val="single" w:color="000000" w:sz="4" w:space="0"/>
              <w:bottom w:val="single" w:color="000000" w:sz="4" w:space="0"/>
              <w:right w:val="single" w:color="000000" w:sz="4" w:space="0"/>
            </w:tcBorders>
            <w:noWrap/>
            <w:vAlign w:val="center"/>
          </w:tcPr>
          <w:p w14:paraId="6914744C">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荒煤气含尘量</w:t>
            </w:r>
          </w:p>
        </w:tc>
        <w:tc>
          <w:tcPr>
            <w:tcW w:w="3119" w:type="dxa"/>
            <w:gridSpan w:val="2"/>
            <w:tcBorders>
              <w:top w:val="single" w:color="000000" w:sz="4" w:space="0"/>
              <w:left w:val="single" w:color="000000" w:sz="4" w:space="0"/>
              <w:bottom w:val="single" w:color="000000" w:sz="4" w:space="0"/>
              <w:right w:val="single" w:color="000000" w:sz="4" w:space="0"/>
            </w:tcBorders>
            <w:noWrap/>
            <w:vAlign w:val="center"/>
          </w:tcPr>
          <w:p w14:paraId="66176127">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6～12g/Nm</w:t>
            </w:r>
            <w:r>
              <w:rPr>
                <w:rFonts w:ascii="Times New Roman" w:hAnsi="Times New Roman" w:cs="Times New Roman"/>
                <w:color w:val="auto"/>
                <w:kern w:val="0"/>
                <w:sz w:val="21"/>
                <w:szCs w:val="21"/>
                <w:highlight w:val="none"/>
                <w:vertAlign w:val="superscript"/>
              </w:rPr>
              <w:t>3</w:t>
            </w:r>
          </w:p>
        </w:tc>
        <w:tc>
          <w:tcPr>
            <w:tcW w:w="3389" w:type="dxa"/>
            <w:gridSpan w:val="2"/>
            <w:tcBorders>
              <w:top w:val="single" w:color="000000" w:sz="4" w:space="0"/>
              <w:left w:val="single" w:color="000000" w:sz="4" w:space="0"/>
              <w:bottom w:val="single" w:color="000000" w:sz="4" w:space="0"/>
              <w:right w:val="single" w:color="000000" w:sz="12" w:space="0"/>
            </w:tcBorders>
            <w:noWrap/>
            <w:vAlign w:val="center"/>
          </w:tcPr>
          <w:p w14:paraId="192387B5">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10～15g/Nm</w:t>
            </w:r>
            <w:r>
              <w:rPr>
                <w:rFonts w:ascii="Times New Roman" w:hAnsi="Times New Roman" w:cs="Times New Roman"/>
                <w:color w:val="auto"/>
                <w:kern w:val="0"/>
                <w:sz w:val="21"/>
                <w:szCs w:val="21"/>
                <w:highlight w:val="none"/>
                <w:vertAlign w:val="superscript"/>
              </w:rPr>
              <w:t>3</w:t>
            </w:r>
          </w:p>
        </w:tc>
      </w:tr>
      <w:tr w14:paraId="2FD7C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77" w:hRule="atLeast"/>
          <w:jc w:val="center"/>
        </w:trPr>
        <w:tc>
          <w:tcPr>
            <w:tcW w:w="738" w:type="dxa"/>
            <w:tcBorders>
              <w:top w:val="single" w:color="000000" w:sz="4" w:space="0"/>
              <w:left w:val="single" w:color="000000" w:sz="12" w:space="0"/>
              <w:bottom w:val="single" w:color="000000" w:sz="4" w:space="0"/>
              <w:right w:val="single" w:color="000000" w:sz="4" w:space="0"/>
            </w:tcBorders>
            <w:noWrap/>
            <w:vAlign w:val="center"/>
          </w:tcPr>
          <w:p w14:paraId="2D709A28">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7</w:t>
            </w:r>
          </w:p>
        </w:tc>
        <w:tc>
          <w:tcPr>
            <w:tcW w:w="2041" w:type="dxa"/>
            <w:tcBorders>
              <w:top w:val="single" w:color="000000" w:sz="4" w:space="0"/>
              <w:left w:val="single" w:color="000000" w:sz="4" w:space="0"/>
              <w:bottom w:val="single" w:color="000000" w:sz="4" w:space="0"/>
              <w:right w:val="single" w:color="000000" w:sz="4" w:space="0"/>
            </w:tcBorders>
            <w:noWrap/>
            <w:vAlign w:val="center"/>
          </w:tcPr>
          <w:p w14:paraId="1C255E6B">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净煤气含尘量</w:t>
            </w:r>
          </w:p>
        </w:tc>
        <w:tc>
          <w:tcPr>
            <w:tcW w:w="3119" w:type="dxa"/>
            <w:gridSpan w:val="2"/>
            <w:tcBorders>
              <w:top w:val="single" w:color="000000" w:sz="4" w:space="0"/>
              <w:left w:val="single" w:color="000000" w:sz="4" w:space="0"/>
              <w:bottom w:val="single" w:color="000000" w:sz="4" w:space="0"/>
              <w:right w:val="single" w:color="000000" w:sz="4" w:space="0"/>
            </w:tcBorders>
            <w:noWrap/>
            <w:vAlign w:val="center"/>
          </w:tcPr>
          <w:p w14:paraId="2B77071B">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≤5mg/Nm</w:t>
            </w:r>
            <w:r>
              <w:rPr>
                <w:rFonts w:ascii="Times New Roman" w:hAnsi="Times New Roman" w:cs="Times New Roman"/>
                <w:color w:val="auto"/>
                <w:kern w:val="0"/>
                <w:sz w:val="21"/>
                <w:szCs w:val="21"/>
                <w:highlight w:val="none"/>
                <w:vertAlign w:val="superscript"/>
              </w:rPr>
              <w:t>3</w:t>
            </w:r>
          </w:p>
        </w:tc>
        <w:tc>
          <w:tcPr>
            <w:tcW w:w="3389" w:type="dxa"/>
            <w:gridSpan w:val="2"/>
            <w:tcBorders>
              <w:top w:val="single" w:color="000000" w:sz="4" w:space="0"/>
              <w:left w:val="single" w:color="000000" w:sz="4" w:space="0"/>
              <w:bottom w:val="single" w:color="000000" w:sz="4" w:space="0"/>
              <w:right w:val="single" w:color="000000" w:sz="12" w:space="0"/>
            </w:tcBorders>
            <w:noWrap/>
            <w:vAlign w:val="center"/>
          </w:tcPr>
          <w:p w14:paraId="765D02A1">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≤5mg/Nm</w:t>
            </w:r>
            <w:r>
              <w:rPr>
                <w:rFonts w:ascii="Times New Roman" w:hAnsi="Times New Roman" w:cs="Times New Roman"/>
                <w:color w:val="auto"/>
                <w:kern w:val="0"/>
                <w:sz w:val="21"/>
                <w:szCs w:val="21"/>
                <w:highlight w:val="none"/>
                <w:vertAlign w:val="superscript"/>
              </w:rPr>
              <w:t>3</w:t>
            </w:r>
          </w:p>
        </w:tc>
      </w:tr>
      <w:tr w14:paraId="07684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635" w:hRule="atLeast"/>
          <w:jc w:val="center"/>
        </w:trPr>
        <w:tc>
          <w:tcPr>
            <w:tcW w:w="738" w:type="dxa"/>
            <w:vMerge w:val="restart"/>
            <w:tcBorders>
              <w:top w:val="single" w:color="000000" w:sz="4" w:space="0"/>
              <w:left w:val="single" w:color="000000" w:sz="12" w:space="0"/>
              <w:bottom w:val="single" w:color="000000" w:sz="4" w:space="0"/>
              <w:right w:val="single" w:color="000000" w:sz="4" w:space="0"/>
            </w:tcBorders>
            <w:noWrap/>
            <w:vAlign w:val="center"/>
          </w:tcPr>
          <w:p w14:paraId="36EBC6CC">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8</w:t>
            </w:r>
          </w:p>
        </w:tc>
        <w:tc>
          <w:tcPr>
            <w:tcW w:w="2041" w:type="dxa"/>
            <w:vMerge w:val="restart"/>
            <w:tcBorders>
              <w:top w:val="single" w:color="000000" w:sz="4" w:space="0"/>
              <w:left w:val="single" w:color="000000" w:sz="4" w:space="0"/>
              <w:bottom w:val="single" w:color="000000" w:sz="4" w:space="0"/>
              <w:right w:val="single" w:color="000000" w:sz="4" w:space="0"/>
            </w:tcBorders>
            <w:noWrap/>
            <w:vAlign w:val="center"/>
          </w:tcPr>
          <w:p w14:paraId="034D5548">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过滤负荷</w:t>
            </w:r>
          </w:p>
        </w:tc>
        <w:tc>
          <w:tcPr>
            <w:tcW w:w="1802" w:type="dxa"/>
            <w:tcBorders>
              <w:top w:val="single" w:color="000000" w:sz="4" w:space="0"/>
              <w:left w:val="single" w:color="000000" w:sz="4" w:space="0"/>
              <w:bottom w:val="single" w:color="000000" w:sz="4" w:space="0"/>
              <w:right w:val="single" w:color="000000" w:sz="4" w:space="0"/>
            </w:tcBorders>
            <w:noWrap/>
            <w:vAlign w:val="center"/>
          </w:tcPr>
          <w:p w14:paraId="0D188B5E">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（按标况最大煤气量220000Nm</w:t>
            </w:r>
            <w:r>
              <w:rPr>
                <w:rFonts w:ascii="Times New Roman" w:hAnsi="Times New Roman" w:cs="Times New Roman"/>
                <w:color w:val="auto"/>
                <w:kern w:val="0"/>
                <w:sz w:val="21"/>
                <w:szCs w:val="21"/>
                <w:highlight w:val="none"/>
                <w:vertAlign w:val="superscript"/>
              </w:rPr>
              <w:t>3</w:t>
            </w:r>
            <w:r>
              <w:rPr>
                <w:rFonts w:ascii="Times New Roman" w:hAnsi="Times New Roman" w:cs="Times New Roman"/>
                <w:color w:val="auto"/>
                <w:kern w:val="0"/>
                <w:sz w:val="21"/>
                <w:szCs w:val="21"/>
                <w:highlight w:val="none"/>
              </w:rPr>
              <w:t>/h，转换为工况温度200℃，压力0.175MPa时，煤气量为155753m</w:t>
            </w:r>
            <w:r>
              <w:rPr>
                <w:rFonts w:ascii="Times New Roman" w:hAnsi="Times New Roman" w:cs="Times New Roman"/>
                <w:color w:val="auto"/>
                <w:kern w:val="0"/>
                <w:sz w:val="21"/>
                <w:szCs w:val="21"/>
                <w:highlight w:val="none"/>
                <w:vertAlign w:val="superscript"/>
              </w:rPr>
              <w:t>3</w:t>
            </w:r>
            <w:r>
              <w:rPr>
                <w:rFonts w:ascii="Times New Roman" w:hAnsi="Times New Roman" w:cs="Times New Roman"/>
                <w:color w:val="auto"/>
                <w:kern w:val="0"/>
                <w:sz w:val="21"/>
                <w:szCs w:val="21"/>
                <w:highlight w:val="none"/>
              </w:rPr>
              <w:t>/h）11个箱体过滤时</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00FB67DA">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0.35m/min</w:t>
            </w:r>
          </w:p>
        </w:tc>
        <w:tc>
          <w:tcPr>
            <w:tcW w:w="2765" w:type="dxa"/>
            <w:tcBorders>
              <w:top w:val="single" w:color="000000" w:sz="4" w:space="0"/>
              <w:left w:val="single" w:color="000000" w:sz="4" w:space="0"/>
              <w:bottom w:val="single" w:color="000000" w:sz="4" w:space="0"/>
              <w:right w:val="single" w:color="000000" w:sz="4" w:space="0"/>
            </w:tcBorders>
            <w:noWrap/>
            <w:vAlign w:val="center"/>
          </w:tcPr>
          <w:p w14:paraId="5E3D4DB6">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（按标况最大煤气量222000Nm</w:t>
            </w:r>
            <w:r>
              <w:rPr>
                <w:rFonts w:ascii="Times New Roman" w:hAnsi="Times New Roman" w:cs="Times New Roman"/>
                <w:color w:val="auto"/>
                <w:kern w:val="0"/>
                <w:sz w:val="21"/>
                <w:szCs w:val="21"/>
                <w:highlight w:val="none"/>
                <w:vertAlign w:val="superscript"/>
              </w:rPr>
              <w:t>3</w:t>
            </w:r>
            <w:r>
              <w:rPr>
                <w:rFonts w:ascii="Times New Roman" w:hAnsi="Times New Roman" w:cs="Times New Roman"/>
                <w:color w:val="auto"/>
                <w:kern w:val="0"/>
                <w:sz w:val="21"/>
                <w:szCs w:val="21"/>
                <w:highlight w:val="none"/>
              </w:rPr>
              <w:t>/h，转换为工况温度200℃，压力0.14MPa时，煤气量为145307m</w:t>
            </w:r>
            <w:r>
              <w:rPr>
                <w:rFonts w:ascii="Times New Roman" w:hAnsi="Times New Roman" w:cs="Times New Roman"/>
                <w:color w:val="auto"/>
                <w:kern w:val="0"/>
                <w:sz w:val="21"/>
                <w:szCs w:val="21"/>
                <w:highlight w:val="none"/>
                <w:vertAlign w:val="superscript"/>
              </w:rPr>
              <w:t>3</w:t>
            </w:r>
            <w:r>
              <w:rPr>
                <w:rFonts w:ascii="Times New Roman" w:hAnsi="Times New Roman" w:cs="Times New Roman"/>
                <w:color w:val="auto"/>
                <w:kern w:val="0"/>
                <w:sz w:val="21"/>
                <w:szCs w:val="21"/>
                <w:highlight w:val="none"/>
              </w:rPr>
              <w:t>/h）11个箱体过滤时</w:t>
            </w:r>
          </w:p>
        </w:tc>
        <w:tc>
          <w:tcPr>
            <w:tcW w:w="624" w:type="dxa"/>
            <w:tcBorders>
              <w:top w:val="single" w:color="000000" w:sz="4" w:space="0"/>
              <w:left w:val="single" w:color="000000" w:sz="4" w:space="0"/>
              <w:bottom w:val="single" w:color="000000" w:sz="4" w:space="0"/>
              <w:right w:val="single" w:color="000000" w:sz="12" w:space="0"/>
            </w:tcBorders>
            <w:noWrap/>
            <w:vAlign w:val="center"/>
          </w:tcPr>
          <w:p w14:paraId="795A954D">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0.35m/min</w:t>
            </w:r>
          </w:p>
        </w:tc>
      </w:tr>
      <w:tr w14:paraId="77A1B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831" w:hRule="atLeast"/>
          <w:jc w:val="center"/>
        </w:trPr>
        <w:tc>
          <w:tcPr>
            <w:tcW w:w="738" w:type="dxa"/>
            <w:vMerge w:val="continue"/>
            <w:tcBorders>
              <w:top w:val="single" w:color="000000" w:sz="4" w:space="0"/>
              <w:left w:val="single" w:color="000000" w:sz="12" w:space="0"/>
              <w:bottom w:val="single" w:color="000000" w:sz="12" w:space="0"/>
              <w:right w:val="single" w:color="000000" w:sz="4" w:space="0"/>
            </w:tcBorders>
            <w:noWrap/>
            <w:vAlign w:val="center"/>
          </w:tcPr>
          <w:p w14:paraId="69783A3B">
            <w:pPr>
              <w:widowControl/>
              <w:shd w:val="clear"/>
              <w:ind w:firstLine="420"/>
              <w:jc w:val="center"/>
              <w:textAlignment w:val="bottom"/>
              <w:rPr>
                <w:rFonts w:ascii="Times New Roman" w:hAnsi="Times New Roman" w:cs="Times New Roman"/>
                <w:color w:val="auto"/>
                <w:kern w:val="0"/>
                <w:sz w:val="21"/>
                <w:szCs w:val="21"/>
                <w:highlight w:val="none"/>
              </w:rPr>
            </w:pPr>
          </w:p>
        </w:tc>
        <w:tc>
          <w:tcPr>
            <w:tcW w:w="2041" w:type="dxa"/>
            <w:vMerge w:val="continue"/>
            <w:tcBorders>
              <w:top w:val="single" w:color="000000" w:sz="4" w:space="0"/>
              <w:left w:val="single" w:color="000000" w:sz="4" w:space="0"/>
              <w:bottom w:val="single" w:color="000000" w:sz="12" w:space="0"/>
              <w:right w:val="single" w:color="000000" w:sz="4" w:space="0"/>
            </w:tcBorders>
            <w:noWrap/>
            <w:vAlign w:val="center"/>
          </w:tcPr>
          <w:p w14:paraId="01B7AA13">
            <w:pPr>
              <w:widowControl/>
              <w:shd w:val="clear"/>
              <w:ind w:firstLine="420"/>
              <w:textAlignment w:val="bottom"/>
              <w:rPr>
                <w:rFonts w:ascii="Times New Roman" w:hAnsi="Times New Roman" w:cs="Times New Roman"/>
                <w:color w:val="auto"/>
                <w:kern w:val="0"/>
                <w:sz w:val="21"/>
                <w:szCs w:val="21"/>
                <w:highlight w:val="none"/>
              </w:rPr>
            </w:pPr>
          </w:p>
        </w:tc>
        <w:tc>
          <w:tcPr>
            <w:tcW w:w="1802" w:type="dxa"/>
            <w:tcBorders>
              <w:top w:val="single" w:color="000000" w:sz="4" w:space="0"/>
              <w:left w:val="single" w:color="000000" w:sz="4" w:space="0"/>
              <w:bottom w:val="single" w:color="000000" w:sz="12" w:space="0"/>
              <w:right w:val="single" w:color="000000" w:sz="4" w:space="0"/>
            </w:tcBorders>
            <w:noWrap/>
            <w:vAlign w:val="center"/>
          </w:tcPr>
          <w:p w14:paraId="460122C8">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1个箱体清灰1个箱体检修时（9个箱体过滤）</w:t>
            </w:r>
          </w:p>
        </w:tc>
        <w:tc>
          <w:tcPr>
            <w:tcW w:w="1317" w:type="dxa"/>
            <w:tcBorders>
              <w:top w:val="single" w:color="000000" w:sz="4" w:space="0"/>
              <w:left w:val="single" w:color="000000" w:sz="4" w:space="0"/>
              <w:bottom w:val="single" w:color="000000" w:sz="12" w:space="0"/>
              <w:right w:val="single" w:color="000000" w:sz="4" w:space="0"/>
            </w:tcBorders>
            <w:noWrap/>
            <w:vAlign w:val="center"/>
          </w:tcPr>
          <w:p w14:paraId="13FC1D8E">
            <w:pPr>
              <w:widowControl/>
              <w:shd w:val="clear"/>
              <w:ind w:firstLine="420"/>
              <w:jc w:val="center"/>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0.43m/min</w:t>
            </w:r>
          </w:p>
        </w:tc>
        <w:tc>
          <w:tcPr>
            <w:tcW w:w="2765" w:type="dxa"/>
            <w:tcBorders>
              <w:top w:val="single" w:color="000000" w:sz="4" w:space="0"/>
              <w:left w:val="single" w:color="000000" w:sz="4" w:space="0"/>
              <w:bottom w:val="single" w:color="000000" w:sz="12" w:space="0"/>
              <w:right w:val="single" w:color="000000" w:sz="4" w:space="0"/>
            </w:tcBorders>
            <w:noWrap/>
            <w:vAlign w:val="center"/>
          </w:tcPr>
          <w:p w14:paraId="46055AB4">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1个箱体清灰1个箱体检修时（9个箱体过滤）</w:t>
            </w:r>
          </w:p>
        </w:tc>
        <w:tc>
          <w:tcPr>
            <w:tcW w:w="624" w:type="dxa"/>
            <w:tcBorders>
              <w:top w:val="single" w:color="000000" w:sz="4" w:space="0"/>
              <w:left w:val="single" w:color="000000" w:sz="4" w:space="0"/>
              <w:bottom w:val="single" w:color="000000" w:sz="12" w:space="0"/>
              <w:right w:val="single" w:color="000000" w:sz="12" w:space="0"/>
            </w:tcBorders>
            <w:noWrap/>
            <w:vAlign w:val="center"/>
          </w:tcPr>
          <w:p w14:paraId="07121276">
            <w:pPr>
              <w:widowControl/>
              <w:shd w:val="clear"/>
              <w:ind w:firstLine="420"/>
              <w:jc w:val="center"/>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0.43m/min</w:t>
            </w:r>
          </w:p>
        </w:tc>
      </w:tr>
    </w:tbl>
    <w:p w14:paraId="5E147BF6">
      <w:pPr>
        <w:shd w:val="clear"/>
        <w:rPr>
          <w:color w:val="auto"/>
          <w:highlight w:val="none"/>
        </w:rPr>
      </w:pPr>
      <w:r>
        <w:rPr>
          <w:rFonts w:hint="eastAsia"/>
          <w:color w:val="auto"/>
          <w:highlight w:val="none"/>
        </w:rPr>
        <w:t>现有布袋除尘筒体为φ4328×14筒体，筒体材质Q235B，由于之前筒体设计压力为0.18MPa，本次改造筒体能够承压，筒体壁厚14mm满足要求。</w:t>
      </w:r>
    </w:p>
    <w:p w14:paraId="24C99C53">
      <w:pPr>
        <w:shd w:val="clear"/>
        <w:rPr>
          <w:color w:val="auto"/>
          <w:highlight w:val="none"/>
        </w:rPr>
      </w:pPr>
      <w:r>
        <w:rPr>
          <w:rFonts w:hint="eastAsia"/>
          <w:color w:val="auto"/>
          <w:highlight w:val="none"/>
        </w:rPr>
        <w:t>原布袋除尘箱体内未设料位计，不符合《高炉煤气干法袋式除尘设计规范》（GB 50505-2009）中条款7.3.1第5条的规定：箱体灰斗、中间仓灰斗、大灰仓灰斗等位置应进行高低灰位检测及低灰位报警。在每个布袋除尘箱体上增设</w:t>
      </w:r>
      <w:r>
        <w:rPr>
          <w:rFonts w:hint="eastAsia"/>
          <w:color w:val="auto"/>
          <w:highlight w:val="none"/>
          <w:shd w:val="clear" w:color="auto"/>
        </w:rPr>
        <w:t>高低料位计，在大灰仓增设高中低料位计，共25</w:t>
      </w:r>
      <w:r>
        <w:rPr>
          <w:rFonts w:hint="eastAsia"/>
          <w:color w:val="auto"/>
          <w:highlight w:val="none"/>
          <w:shd w:val="clear" w:color="auto"/>
          <w:lang w:val="en-US" w:eastAsia="zh-CN"/>
        </w:rPr>
        <w:t>套</w:t>
      </w:r>
      <w:r>
        <w:rPr>
          <w:rFonts w:hint="eastAsia"/>
          <w:color w:val="auto"/>
          <w:highlight w:val="none"/>
          <w:shd w:val="clear" w:color="auto"/>
        </w:rPr>
        <w:t>。布袋箱体及灰仓进、出口更换压力变送器，共24套。</w:t>
      </w:r>
      <w:r>
        <w:rPr>
          <w:rFonts w:hint="eastAsia"/>
          <w:color w:val="auto"/>
          <w:highlight w:val="none"/>
        </w:rPr>
        <w:t>原布袋除尘筒体进出口支管电动盲板阀（DN700）因经常卡顿，需要更换。</w:t>
      </w:r>
    </w:p>
    <w:p w14:paraId="487A823F">
      <w:pPr>
        <w:shd w:val="clear"/>
        <w:rPr>
          <w:color w:val="auto"/>
          <w:highlight w:val="none"/>
        </w:rPr>
      </w:pPr>
      <w:r>
        <w:rPr>
          <w:rFonts w:hint="eastAsia"/>
          <w:color w:val="auto"/>
          <w:highlight w:val="none"/>
        </w:rPr>
        <w:t>本次气力输灰系统仅对卸灰封闭房干涉处进行改造，其他不作改造。</w:t>
      </w:r>
    </w:p>
    <w:p w14:paraId="086F4904">
      <w:pPr>
        <w:shd w:val="clear"/>
        <w:jc w:val="both"/>
        <w:rPr>
          <w:color w:val="auto"/>
          <w:highlight w:val="none"/>
        </w:rPr>
      </w:pPr>
      <w:r>
        <w:rPr>
          <w:color w:val="auto"/>
          <w:highlight w:val="none"/>
        </w:rPr>
        <w:t>为了达到超低排放要求，减少</w:t>
      </w:r>
      <w:r>
        <w:rPr>
          <w:rFonts w:hint="eastAsia"/>
          <w:color w:val="auto"/>
          <w:highlight w:val="none"/>
        </w:rPr>
        <w:t>卸灰装车时</w:t>
      </w:r>
      <w:r>
        <w:rPr>
          <w:color w:val="auto"/>
          <w:highlight w:val="none"/>
        </w:rPr>
        <w:t>粉尘外溢，</w:t>
      </w:r>
      <w:r>
        <w:rPr>
          <w:rFonts w:hint="eastAsia"/>
          <w:color w:val="auto"/>
          <w:highlight w:val="none"/>
        </w:rPr>
        <w:t>干法布袋除尘灰目前采用的卸灰加湿机更换为</w:t>
      </w:r>
      <w:r>
        <w:rPr>
          <w:rFonts w:hint="eastAsia"/>
          <w:color w:val="auto"/>
          <w:highlight w:val="none"/>
          <w:shd w:val="clear" w:color="auto"/>
        </w:rPr>
        <w:t>双轴加湿搅拌机</w:t>
      </w:r>
      <w:r>
        <w:rPr>
          <w:rFonts w:hint="eastAsia"/>
          <w:color w:val="auto"/>
          <w:highlight w:val="none"/>
        </w:rPr>
        <w:t>；同时预留接至吸引压送密闭罐车的卸灰接口</w:t>
      </w:r>
      <w:r>
        <w:rPr>
          <w:rFonts w:hint="eastAsia"/>
          <w:color w:val="auto"/>
          <w:highlight w:val="none"/>
          <w:lang w:eastAsia="zh-CN"/>
        </w:rPr>
        <w:t>，</w:t>
      </w:r>
      <w:r>
        <w:rPr>
          <w:rFonts w:hint="eastAsia"/>
          <w:color w:val="auto"/>
          <w:highlight w:val="none"/>
          <w:lang w:val="en-US" w:eastAsia="zh-CN"/>
        </w:rPr>
        <w:t>在大灰仓下锥体开孔，设1台DN300气动卸灰阀后</w:t>
      </w:r>
      <w:r>
        <w:rPr>
          <w:rFonts w:hint="eastAsia"/>
          <w:color w:val="auto"/>
          <w:highlight w:val="none"/>
          <w:shd w:val="clear" w:color="auto"/>
        </w:rPr>
        <w:t>用盲板法兰封住</w:t>
      </w:r>
      <w:r>
        <w:rPr>
          <w:rFonts w:hint="eastAsia"/>
          <w:color w:val="auto"/>
          <w:highlight w:val="none"/>
          <w:shd w:val="clear" w:color="auto"/>
          <w:lang w:eastAsia="zh-CN"/>
        </w:rPr>
        <w:t>，</w:t>
      </w:r>
      <w:r>
        <w:rPr>
          <w:rFonts w:hint="eastAsia"/>
          <w:color w:val="auto"/>
          <w:highlight w:val="none"/>
          <w:shd w:val="clear" w:color="auto"/>
          <w:lang w:val="en-US" w:eastAsia="zh-CN"/>
        </w:rPr>
        <w:t>并设氮气助吹装置（包括DN50截止阀、减压阀、压力表、支架等）安装于地面上，就近接通氮气管道，以供以后吸排罐车卸灰使用。</w:t>
      </w:r>
      <w:r>
        <w:rPr>
          <w:rFonts w:hint="eastAsia"/>
          <w:color w:val="auto"/>
          <w:highlight w:val="none"/>
          <w:shd w:val="clear" w:color="auto"/>
        </w:rPr>
        <w:t>2号炉干法除尘</w:t>
      </w:r>
      <w:r>
        <w:rPr>
          <w:rFonts w:hint="eastAsia"/>
          <w:color w:val="auto"/>
          <w:highlight w:val="none"/>
        </w:rPr>
        <w:t>卸灰处三面</w:t>
      </w:r>
      <w:r>
        <w:rPr>
          <w:rFonts w:hint="eastAsia"/>
          <w:color w:val="auto"/>
          <w:highlight w:val="none"/>
          <w:shd w:val="clear" w:color="auto"/>
        </w:rPr>
        <w:t>采用压型钢板进行</w:t>
      </w:r>
      <w:r>
        <w:rPr>
          <w:rFonts w:hint="eastAsia"/>
          <w:color w:val="auto"/>
          <w:highlight w:val="none"/>
        </w:rPr>
        <w:t>封闭、一面</w:t>
      </w:r>
      <w:r>
        <w:rPr>
          <w:rFonts w:hint="eastAsia"/>
          <w:color w:val="auto"/>
          <w:highlight w:val="none"/>
          <w:shd w:val="clear" w:color="auto"/>
        </w:rPr>
        <w:t>设置电动</w:t>
      </w:r>
      <w:r>
        <w:rPr>
          <w:rFonts w:hint="eastAsia"/>
          <w:color w:val="auto"/>
          <w:highlight w:val="none"/>
        </w:rPr>
        <w:t>卷帘门，设置一路除尘管道接到出铁场除尘总管，除尘风量参数见除尘专业章节。卸灰车车长约9米，卸灰封闭空间需满足卸灰车</w:t>
      </w:r>
      <w:r>
        <w:rPr>
          <w:rFonts w:hint="eastAsia"/>
          <w:color w:val="auto"/>
          <w:highlight w:val="none"/>
          <w:lang w:val="en-US" w:eastAsia="zh-CN"/>
        </w:rPr>
        <w:t>在封闭区域内放灰</w:t>
      </w:r>
      <w:r>
        <w:rPr>
          <w:rFonts w:hint="eastAsia"/>
          <w:color w:val="auto"/>
          <w:highlight w:val="none"/>
        </w:rPr>
        <w:t>要求。</w:t>
      </w:r>
    </w:p>
    <w:p w14:paraId="4A5842BF">
      <w:pPr>
        <w:shd w:val="clear"/>
        <w:ind w:firstLine="560"/>
        <w:jc w:val="center"/>
        <w:rPr>
          <w:rFonts w:cs="Times New Roman"/>
          <w:color w:val="auto"/>
          <w:sz w:val="28"/>
          <w:szCs w:val="28"/>
          <w:highlight w:val="none"/>
        </w:rPr>
      </w:pPr>
      <w:r>
        <w:rPr>
          <w:rFonts w:hint="eastAsia" w:ascii="Times New Roman" w:hAnsi="Times New Roman" w:cs="Times New Roman"/>
          <w:color w:val="auto"/>
          <w:sz w:val="28"/>
          <w:szCs w:val="20"/>
          <w:highlight w:val="none"/>
        </w:rPr>
        <w:drawing>
          <wp:inline distT="0" distB="0" distL="114300" distR="114300">
            <wp:extent cx="3792220" cy="2869565"/>
            <wp:effectExtent l="0" t="0" r="5080" b="635"/>
            <wp:docPr id="21" name="图片 58"/>
            <wp:cNvGraphicFramePr/>
            <a:graphic xmlns:a="http://schemas.openxmlformats.org/drawingml/2006/main">
              <a:graphicData uri="http://schemas.openxmlformats.org/drawingml/2006/picture">
                <pic:pic xmlns:pic="http://schemas.openxmlformats.org/drawingml/2006/picture">
                  <pic:nvPicPr>
                    <pic:cNvPr id="21" name="图片 58"/>
                    <pic:cNvPicPr/>
                  </pic:nvPicPr>
                  <pic:blipFill>
                    <a:blip r:embed="rId14" cstate="print"/>
                    <a:stretch>
                      <a:fillRect/>
                    </a:stretch>
                  </pic:blipFill>
                  <pic:spPr>
                    <a:xfrm>
                      <a:off x="0" y="0"/>
                      <a:ext cx="3792220" cy="2869565"/>
                    </a:xfrm>
                    <a:prstGeom prst="rect">
                      <a:avLst/>
                    </a:prstGeom>
                    <a:noFill/>
                    <a:ln>
                      <a:noFill/>
                    </a:ln>
                  </pic:spPr>
                </pic:pic>
              </a:graphicData>
            </a:graphic>
          </wp:inline>
        </w:drawing>
      </w:r>
    </w:p>
    <w:p w14:paraId="7653FAF8">
      <w:pPr>
        <w:shd w:val="clear"/>
        <w:jc w:val="center"/>
        <w:rPr>
          <w:rFonts w:ascii="Times New Roman" w:hAnsi="Times New Roman" w:cs="Times New Roman"/>
          <w:color w:val="auto"/>
          <w:sz w:val="28"/>
          <w:szCs w:val="20"/>
          <w:highlight w:val="none"/>
        </w:rPr>
      </w:pPr>
      <w:r>
        <w:rPr>
          <w:rFonts w:hint="eastAsia" w:ascii="Times New Roman" w:hAnsi="Times New Roman" w:cs="Times New Roman"/>
          <w:color w:val="auto"/>
          <w:highlight w:val="none"/>
        </w:rPr>
        <w:t>图</w:t>
      </w:r>
      <w:r>
        <w:rPr>
          <w:rFonts w:ascii="Times New Roman" w:hAnsi="Times New Roman" w:cs="Times New Roman"/>
          <w:color w:val="auto"/>
          <w:highlight w:val="none"/>
        </w:rPr>
        <w:t>4</w:t>
      </w:r>
      <w:r>
        <w:rPr>
          <w:rFonts w:hint="eastAsia" w:ascii="Times New Roman" w:hAnsi="Times New Roman" w:cs="Times New Roman"/>
          <w:color w:val="auto"/>
          <w:highlight w:val="none"/>
        </w:rPr>
        <w:t>-</w:t>
      </w:r>
      <w:r>
        <w:rPr>
          <w:rFonts w:ascii="Times New Roman" w:hAnsi="Times New Roman" w:cs="Times New Roman"/>
          <w:color w:val="auto"/>
          <w:highlight w:val="none"/>
        </w:rPr>
        <w:t xml:space="preserve">1  </w:t>
      </w:r>
      <w:r>
        <w:rPr>
          <w:rFonts w:hint="eastAsia" w:ascii="Times New Roman" w:hAnsi="Times New Roman" w:cs="Times New Roman"/>
          <w:color w:val="auto"/>
          <w:highlight w:val="none"/>
        </w:rPr>
        <w:t>干法布袋除尘灰卸灰</w:t>
      </w:r>
      <w:r>
        <w:rPr>
          <w:rFonts w:ascii="Times New Roman" w:hAnsi="Times New Roman" w:cs="Times New Roman"/>
          <w:color w:val="auto"/>
          <w:highlight w:val="none"/>
        </w:rPr>
        <w:t>现</w:t>
      </w:r>
      <w:r>
        <w:rPr>
          <w:rFonts w:hint="eastAsia" w:ascii="Times New Roman" w:hAnsi="Times New Roman" w:cs="Times New Roman"/>
          <w:color w:val="auto"/>
          <w:highlight w:val="none"/>
        </w:rPr>
        <w:t>场</w:t>
      </w:r>
      <w:r>
        <w:rPr>
          <w:rFonts w:ascii="Times New Roman" w:hAnsi="Times New Roman" w:cs="Times New Roman"/>
          <w:color w:val="auto"/>
          <w:highlight w:val="none"/>
        </w:rPr>
        <w:t>图片</w:t>
      </w:r>
    </w:p>
    <w:p w14:paraId="26BA34B4">
      <w:pPr>
        <w:shd w:val="clear"/>
        <w:rPr>
          <w:color w:val="auto"/>
          <w:highlight w:val="none"/>
        </w:rPr>
      </w:pPr>
      <w:r>
        <w:rPr>
          <w:rFonts w:hint="eastAsia"/>
          <w:color w:val="auto"/>
          <w:highlight w:val="none"/>
        </w:rPr>
        <w:t>为了减少从重力除尘至干法除尘之间半净煤气管道内的积灰及管道磨损，同时根据规范要求，从重力除尘至干法除尘管段流速控制在15～20m/s，经过计算，该段管道需要由原来的DN2000（φ2020×10）变为DN1</w:t>
      </w:r>
      <w:r>
        <w:rPr>
          <w:color w:val="auto"/>
          <w:highlight w:val="none"/>
        </w:rPr>
        <w:t>8</w:t>
      </w:r>
      <w:r>
        <w:rPr>
          <w:rFonts w:hint="eastAsia"/>
          <w:color w:val="auto"/>
          <w:highlight w:val="none"/>
        </w:rPr>
        <w:t>00（φ1</w:t>
      </w:r>
      <w:r>
        <w:rPr>
          <w:color w:val="auto"/>
          <w:highlight w:val="none"/>
        </w:rPr>
        <w:t>8</w:t>
      </w:r>
      <w:r>
        <w:rPr>
          <w:rFonts w:hint="eastAsia"/>
          <w:color w:val="auto"/>
          <w:highlight w:val="none"/>
        </w:rPr>
        <w:t>20×10），弯头部位及弯头两端直管段各2m使用耐磨浇注料进行浇筑，其它直管段使用耐磨喷涂料（5</w:t>
      </w:r>
      <w:r>
        <w:rPr>
          <w:color w:val="auto"/>
          <w:highlight w:val="none"/>
        </w:rPr>
        <w:t>0mm</w:t>
      </w:r>
      <w:r>
        <w:rPr>
          <w:rFonts w:hint="eastAsia"/>
          <w:color w:val="auto"/>
          <w:highlight w:val="none"/>
        </w:rPr>
        <w:t>），此时管道流速1</w:t>
      </w:r>
      <w:r>
        <w:rPr>
          <w:color w:val="auto"/>
          <w:highlight w:val="none"/>
        </w:rPr>
        <w:t>6</w:t>
      </w:r>
      <w:r>
        <w:rPr>
          <w:rFonts w:hint="eastAsia"/>
          <w:color w:val="auto"/>
          <w:highlight w:val="none"/>
        </w:rPr>
        <w:t>～1</w:t>
      </w:r>
      <w:r>
        <w:rPr>
          <w:color w:val="auto"/>
          <w:highlight w:val="none"/>
        </w:rPr>
        <w:t>8</w:t>
      </w:r>
      <w:r>
        <w:rPr>
          <w:rFonts w:hint="eastAsia"/>
          <w:color w:val="auto"/>
          <w:highlight w:val="none"/>
        </w:rPr>
        <w:t>m/s内，满足规范要求。同时此段补偿器需要相应更换，总管上对应设置检修人孔。</w:t>
      </w:r>
    </w:p>
    <w:p w14:paraId="32758836">
      <w:pPr>
        <w:shd w:val="clear"/>
        <w:ind w:firstLineChars="0"/>
        <w:rPr>
          <w:rFonts w:cs="宋体"/>
          <w:color w:val="auto"/>
          <w:highlight w:val="none"/>
        </w:rPr>
      </w:pPr>
      <w:r>
        <w:rPr>
          <w:rFonts w:hint="eastAsia" w:cs="宋体"/>
          <w:color w:val="auto"/>
          <w:highlight w:val="none"/>
        </w:rPr>
        <w:t>荒煤气管道更换的范围：自重力除尘器出口管变径处至荒煤气管道末端，各荒煤气支管的管口。荒煤气管道材质：Q355B。荒煤气总管共设置8个清灰孔；其中，荒煤气管末端的清灰孔设置在放散孔处的斜下方，重力出口的清灰孔密封采用金属密封垫，其余清灰孔的密封采用硅胶绳。干法除尘框架内的荒煤气管道逐级缩径，保证煤气流速合理。弯头部位及弯头两端直管段各2m使用耐磨浇注料进行浇筑，其它直管段使用耐磨喷涂料（50mm），支管内壁使用喷涂料（支管喷涂部位包括利旧的支管）。耐磨浇注料指标见表2.5-2，喷涂料指标见表2.5-3。</w:t>
      </w:r>
    </w:p>
    <w:tbl>
      <w:tblPr>
        <w:tblStyle w:val="60"/>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87"/>
        <w:gridCol w:w="1466"/>
        <w:gridCol w:w="2680"/>
        <w:gridCol w:w="3005"/>
        <w:gridCol w:w="727"/>
        <w:gridCol w:w="922"/>
      </w:tblGrid>
      <w:tr w14:paraId="249856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87" w:type="dxa"/>
            <w:vAlign w:val="center"/>
          </w:tcPr>
          <w:p w14:paraId="157A4405">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序号</w:t>
            </w:r>
          </w:p>
        </w:tc>
        <w:tc>
          <w:tcPr>
            <w:tcW w:w="1466" w:type="dxa"/>
            <w:vAlign w:val="center"/>
          </w:tcPr>
          <w:p w14:paraId="53CD3041">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设备位置</w:t>
            </w:r>
          </w:p>
        </w:tc>
        <w:tc>
          <w:tcPr>
            <w:tcW w:w="2680" w:type="dxa"/>
            <w:vAlign w:val="center"/>
          </w:tcPr>
          <w:p w14:paraId="7DAD46B0">
            <w:pPr>
              <w:widowControl/>
              <w:shd w:val="clear"/>
              <w:ind w:firstLine="210" w:firstLineChars="10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原有设备规格</w:t>
            </w:r>
          </w:p>
        </w:tc>
        <w:tc>
          <w:tcPr>
            <w:tcW w:w="3005" w:type="dxa"/>
            <w:vAlign w:val="center"/>
          </w:tcPr>
          <w:p w14:paraId="1F36A95C">
            <w:pPr>
              <w:widowControl/>
              <w:shd w:val="clear"/>
              <w:ind w:firstLine="210" w:firstLineChars="10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更换后设备规格</w:t>
            </w:r>
          </w:p>
        </w:tc>
        <w:tc>
          <w:tcPr>
            <w:tcW w:w="727" w:type="dxa"/>
            <w:vAlign w:val="center"/>
          </w:tcPr>
          <w:p w14:paraId="404F819E">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数量</w:t>
            </w:r>
          </w:p>
        </w:tc>
        <w:tc>
          <w:tcPr>
            <w:tcW w:w="922" w:type="dxa"/>
            <w:vAlign w:val="center"/>
          </w:tcPr>
          <w:p w14:paraId="73FF064B">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备注</w:t>
            </w:r>
          </w:p>
        </w:tc>
      </w:tr>
      <w:tr w14:paraId="784D39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87" w:type="dxa"/>
            <w:vAlign w:val="center"/>
          </w:tcPr>
          <w:p w14:paraId="3E819D2A">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1</w:t>
            </w:r>
          </w:p>
        </w:tc>
        <w:tc>
          <w:tcPr>
            <w:tcW w:w="1466" w:type="dxa"/>
            <w:vAlign w:val="center"/>
          </w:tcPr>
          <w:p w14:paraId="7D6EBD49">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重力除尘到干法除尘之间</w:t>
            </w:r>
          </w:p>
        </w:tc>
        <w:tc>
          <w:tcPr>
            <w:tcW w:w="2680" w:type="dxa"/>
            <w:vAlign w:val="center"/>
          </w:tcPr>
          <w:p w14:paraId="3BBA15F9">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DN2000大拉杆补偿器，规格：DN2000 0.25MPa，横向变形Y≥280mm，刚度Ky≤150N/mm，长L=5000mm</w:t>
            </w:r>
          </w:p>
        </w:tc>
        <w:tc>
          <w:tcPr>
            <w:tcW w:w="3005" w:type="dxa"/>
            <w:vAlign w:val="center"/>
          </w:tcPr>
          <w:p w14:paraId="1379F48B">
            <w:pPr>
              <w:widowControl/>
              <w:shd w:val="clear"/>
              <w:ind w:firstLine="0" w:firstLineChars="0"/>
              <w:textAlignment w:val="bottom"/>
              <w:rPr>
                <w:rFonts w:ascii="Times New Roman" w:hAnsi="Times New Roman" w:cs="Times New Roman"/>
                <w:color w:val="auto"/>
                <w:kern w:val="0"/>
                <w:sz w:val="21"/>
                <w:szCs w:val="21"/>
                <w:highlight w:val="none"/>
              </w:rPr>
            </w:pPr>
            <w:r>
              <w:rPr>
                <w:color w:val="auto"/>
                <w:kern w:val="0"/>
                <w:szCs w:val="21"/>
                <w:highlight w:val="none"/>
              </w:rPr>
              <w:t>DN1800大拉杆补偿器，规格 DN1800 PN</w:t>
            </w:r>
            <w:r>
              <w:rPr>
                <w:rFonts w:ascii="Times New Roman" w:hAnsi="Times New Roman" w:cs="Times New Roman"/>
                <w:color w:val="auto"/>
                <w:kern w:val="0"/>
                <w:sz w:val="21"/>
                <w:szCs w:val="21"/>
                <w:highlight w:val="none"/>
              </w:rPr>
              <w:t>0.25MPa 横向变形Y≥280mm，刚度Ky≤150N/mm，长L=5000mm</w:t>
            </w:r>
          </w:p>
        </w:tc>
        <w:tc>
          <w:tcPr>
            <w:tcW w:w="727" w:type="dxa"/>
            <w:vAlign w:val="center"/>
          </w:tcPr>
          <w:p w14:paraId="4B0AB92F">
            <w:pPr>
              <w:widowControl/>
              <w:shd w:val="clear"/>
              <w:ind w:firstLine="210" w:firstLineChars="10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1</w:t>
            </w:r>
          </w:p>
        </w:tc>
        <w:tc>
          <w:tcPr>
            <w:tcW w:w="922" w:type="dxa"/>
            <w:vAlign w:val="center"/>
          </w:tcPr>
          <w:p w14:paraId="02966F97">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内衬耐磨材料</w:t>
            </w:r>
          </w:p>
        </w:tc>
      </w:tr>
      <w:tr w14:paraId="6482BA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87" w:type="dxa"/>
            <w:vAlign w:val="center"/>
          </w:tcPr>
          <w:p w14:paraId="1D8AFD45">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2</w:t>
            </w:r>
          </w:p>
        </w:tc>
        <w:tc>
          <w:tcPr>
            <w:tcW w:w="1466" w:type="dxa"/>
            <w:vAlign w:val="center"/>
          </w:tcPr>
          <w:p w14:paraId="4679DF17">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干法除尘半净煤气盲板阀</w:t>
            </w:r>
          </w:p>
        </w:tc>
        <w:tc>
          <w:tcPr>
            <w:tcW w:w="2680" w:type="dxa"/>
            <w:vAlign w:val="center"/>
          </w:tcPr>
          <w:p w14:paraId="1C175578">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DN700电动盲板阀，规格 F943X-2.5C</w:t>
            </w:r>
          </w:p>
        </w:tc>
        <w:tc>
          <w:tcPr>
            <w:tcW w:w="3005" w:type="dxa"/>
            <w:vAlign w:val="center"/>
          </w:tcPr>
          <w:p w14:paraId="17781EBE">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 xml:space="preserve">DN700电动盲板阀，规格 </w:t>
            </w:r>
            <w:r>
              <w:rPr>
                <w:rFonts w:ascii="Times New Roman" w:hAnsi="Times New Roman" w:cs="Times New Roman"/>
                <w:color w:val="auto"/>
                <w:kern w:val="0"/>
                <w:sz w:val="21"/>
                <w:szCs w:val="21"/>
                <w:highlight w:val="none"/>
                <w:shd w:val="clear" w:color="auto"/>
              </w:rPr>
              <w:t>F943X，工作温度250℃，压力0.18MPa。</w:t>
            </w:r>
          </w:p>
        </w:tc>
        <w:tc>
          <w:tcPr>
            <w:tcW w:w="727" w:type="dxa"/>
            <w:vAlign w:val="center"/>
          </w:tcPr>
          <w:p w14:paraId="47775EA5">
            <w:pPr>
              <w:widowControl/>
              <w:shd w:val="clear"/>
              <w:ind w:firstLine="210" w:firstLineChars="10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11</w:t>
            </w:r>
          </w:p>
        </w:tc>
        <w:tc>
          <w:tcPr>
            <w:tcW w:w="922" w:type="dxa"/>
            <w:vAlign w:val="center"/>
          </w:tcPr>
          <w:p w14:paraId="62E3105D">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内衬耐磨材料</w:t>
            </w:r>
          </w:p>
        </w:tc>
      </w:tr>
      <w:tr w14:paraId="53C385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87" w:type="dxa"/>
            <w:vAlign w:val="center"/>
          </w:tcPr>
          <w:p w14:paraId="320DE3DF">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3</w:t>
            </w:r>
          </w:p>
        </w:tc>
        <w:tc>
          <w:tcPr>
            <w:tcW w:w="1466" w:type="dxa"/>
            <w:vAlign w:val="center"/>
          </w:tcPr>
          <w:p w14:paraId="67B5AF0A">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干法除尘净煤气盲板阀</w:t>
            </w:r>
          </w:p>
        </w:tc>
        <w:tc>
          <w:tcPr>
            <w:tcW w:w="2680" w:type="dxa"/>
            <w:vAlign w:val="center"/>
          </w:tcPr>
          <w:p w14:paraId="6F40BAFF">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DN700电动盲板阀，规格 F943X-2.5C</w:t>
            </w:r>
          </w:p>
        </w:tc>
        <w:tc>
          <w:tcPr>
            <w:tcW w:w="3005" w:type="dxa"/>
            <w:vAlign w:val="center"/>
          </w:tcPr>
          <w:p w14:paraId="6E093284">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 xml:space="preserve">DN700电动盲板阀，规格 </w:t>
            </w:r>
            <w:r>
              <w:rPr>
                <w:rFonts w:ascii="Times New Roman" w:hAnsi="Times New Roman" w:cs="Times New Roman"/>
                <w:color w:val="auto"/>
                <w:kern w:val="0"/>
                <w:sz w:val="21"/>
                <w:szCs w:val="21"/>
                <w:highlight w:val="none"/>
                <w:shd w:val="clear" w:color="auto"/>
              </w:rPr>
              <w:t>F943X，工作温度250℃，压力0.18MPa。</w:t>
            </w:r>
          </w:p>
        </w:tc>
        <w:tc>
          <w:tcPr>
            <w:tcW w:w="727" w:type="dxa"/>
            <w:vAlign w:val="center"/>
          </w:tcPr>
          <w:p w14:paraId="56D49873">
            <w:pPr>
              <w:widowControl/>
              <w:shd w:val="clear"/>
              <w:ind w:firstLine="210" w:firstLineChars="10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11</w:t>
            </w:r>
          </w:p>
        </w:tc>
        <w:tc>
          <w:tcPr>
            <w:tcW w:w="922" w:type="dxa"/>
            <w:vAlign w:val="center"/>
          </w:tcPr>
          <w:p w14:paraId="7ED78488">
            <w:pPr>
              <w:widowControl/>
              <w:shd w:val="clear"/>
              <w:ind w:firstLine="420"/>
              <w:jc w:val="center"/>
              <w:textAlignment w:val="bottom"/>
              <w:rPr>
                <w:rFonts w:ascii="Times New Roman" w:hAnsi="Times New Roman" w:cs="Times New Roman"/>
                <w:color w:val="auto"/>
                <w:kern w:val="0"/>
                <w:sz w:val="21"/>
                <w:szCs w:val="21"/>
                <w:highlight w:val="none"/>
              </w:rPr>
            </w:pPr>
          </w:p>
        </w:tc>
      </w:tr>
      <w:tr w14:paraId="21CFA7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87" w:type="dxa"/>
            <w:vAlign w:val="center"/>
          </w:tcPr>
          <w:p w14:paraId="0DA64FE1">
            <w:pPr>
              <w:widowControl/>
              <w:shd w:val="clear"/>
              <w:ind w:firstLine="0" w:firstLineChars="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4</w:t>
            </w:r>
          </w:p>
        </w:tc>
        <w:tc>
          <w:tcPr>
            <w:tcW w:w="1466" w:type="dxa"/>
            <w:vAlign w:val="center"/>
          </w:tcPr>
          <w:p w14:paraId="5685DB22">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卸灰系统</w:t>
            </w:r>
          </w:p>
        </w:tc>
        <w:tc>
          <w:tcPr>
            <w:tcW w:w="2680" w:type="dxa"/>
            <w:vAlign w:val="center"/>
          </w:tcPr>
          <w:p w14:paraId="4DE36D2B">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加湿机，处理灰量60t/h</w:t>
            </w:r>
          </w:p>
        </w:tc>
        <w:tc>
          <w:tcPr>
            <w:tcW w:w="3005" w:type="dxa"/>
            <w:vAlign w:val="center"/>
          </w:tcPr>
          <w:p w14:paraId="7B6B5AE0">
            <w:pPr>
              <w:widowControl/>
              <w:shd w:val="clear"/>
              <w:ind w:firstLine="0" w:firstLineChars="0"/>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shd w:val="clear" w:color="auto"/>
              </w:rPr>
              <w:t>双轴搅拌加湿机</w:t>
            </w:r>
            <w:r>
              <w:rPr>
                <w:rFonts w:ascii="Times New Roman" w:hAnsi="Times New Roman" w:cs="Times New Roman"/>
                <w:color w:val="auto"/>
                <w:kern w:val="0"/>
                <w:sz w:val="21"/>
                <w:szCs w:val="21"/>
                <w:highlight w:val="none"/>
              </w:rPr>
              <w:t>，处理灰量60t/h</w:t>
            </w:r>
          </w:p>
        </w:tc>
        <w:tc>
          <w:tcPr>
            <w:tcW w:w="727" w:type="dxa"/>
            <w:vAlign w:val="center"/>
          </w:tcPr>
          <w:p w14:paraId="1A6D4175">
            <w:pPr>
              <w:widowControl/>
              <w:shd w:val="clear"/>
              <w:ind w:firstLine="210" w:firstLineChars="100"/>
              <w:jc w:val="both"/>
              <w:textAlignment w:val="bottom"/>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1</w:t>
            </w:r>
          </w:p>
        </w:tc>
        <w:tc>
          <w:tcPr>
            <w:tcW w:w="922" w:type="dxa"/>
            <w:vAlign w:val="center"/>
          </w:tcPr>
          <w:p w14:paraId="53C3EF25">
            <w:pPr>
              <w:widowControl/>
              <w:shd w:val="clear"/>
              <w:ind w:firstLine="420"/>
              <w:jc w:val="center"/>
              <w:textAlignment w:val="bottom"/>
              <w:rPr>
                <w:rFonts w:ascii="Times New Roman" w:hAnsi="Times New Roman" w:cs="Times New Roman"/>
                <w:color w:val="auto"/>
                <w:kern w:val="0"/>
                <w:sz w:val="21"/>
                <w:szCs w:val="21"/>
                <w:highlight w:val="none"/>
              </w:rPr>
            </w:pPr>
          </w:p>
        </w:tc>
      </w:tr>
    </w:tbl>
    <w:p w14:paraId="6ED5B8C5">
      <w:pPr>
        <w:shd w:val="clear"/>
        <w:rPr>
          <w:color w:val="auto"/>
          <w:highlight w:val="none"/>
        </w:rPr>
      </w:pPr>
      <w:r>
        <w:rPr>
          <w:rFonts w:hint="eastAsia"/>
          <w:color w:val="auto"/>
          <w:highlight w:val="none"/>
        </w:rPr>
        <w:t>而区域其余阀门、补偿器、管道设计压力均为0.18MPa，此次高炉改造后仍能满足炉顶压力提升要求，本次不进行更换。</w:t>
      </w:r>
    </w:p>
    <w:p w14:paraId="6EC25AA8">
      <w:pPr>
        <w:widowControl/>
        <w:shd w:val="clear"/>
        <w:spacing w:before="120" w:beforeLines="50"/>
        <w:ind w:firstLine="506" w:firstLineChars="211"/>
        <w:rPr>
          <w:color w:val="auto"/>
          <w:highlight w:val="none"/>
        </w:rPr>
      </w:pPr>
      <w:r>
        <w:rPr>
          <w:rFonts w:hint="eastAsia"/>
          <w:color w:val="auto"/>
          <w:highlight w:val="none"/>
        </w:rPr>
        <w:t>对净煤气主管进行改造，增设流量计。原净煤气主管北侧出口侧设封头盲死（此段管道煤气流向改为向南），原净煤气主管南侧增加管件下至脉冲平台，在脉冲平台增设净煤气主管及补偿器（此段管道煤气流向为向北），脉冲平台新增的净煤气主管设流量计。新增净煤气主管至干法除尘北侧后，向下接燃气专业净煤气主管并去往调压阀组和TRT。</w:t>
      </w:r>
    </w:p>
    <w:p w14:paraId="7EE2747A">
      <w:pPr>
        <w:widowControl/>
        <w:shd w:val="clear"/>
        <w:spacing w:before="120" w:beforeLines="50"/>
        <w:ind w:firstLine="506" w:firstLineChars="211"/>
        <w:rPr>
          <w:rFonts w:hint="eastAsia"/>
          <w:color w:val="auto"/>
          <w:highlight w:val="none"/>
        </w:rPr>
      </w:pPr>
      <w:r>
        <w:rPr>
          <w:rFonts w:hint="eastAsia"/>
          <w:color w:val="auto"/>
          <w:highlight w:val="none"/>
        </w:rPr>
        <w:t>更换的荒煤气管道和新增净煤气管道保温采用岩棉，外包0.</w:t>
      </w:r>
      <w:r>
        <w:rPr>
          <w:rFonts w:hint="eastAsia"/>
          <w:color w:val="auto"/>
          <w:highlight w:val="none"/>
          <w:lang w:val="en-US" w:eastAsia="zh-CN"/>
        </w:rPr>
        <w:t>75</w:t>
      </w:r>
      <w:r>
        <w:rPr>
          <w:rFonts w:hint="eastAsia"/>
          <w:color w:val="auto"/>
          <w:highlight w:val="none"/>
        </w:rPr>
        <w:t>m镀锌铁皮，保温厚度 100mm。</w:t>
      </w:r>
    </w:p>
    <w:p w14:paraId="3D6E626C">
      <w:pPr>
        <w:widowControl/>
        <w:shd w:val="clear"/>
        <w:spacing w:before="120" w:beforeLines="50"/>
        <w:ind w:firstLine="506" w:firstLineChars="211"/>
        <w:rPr>
          <w:rFonts w:hint="default" w:eastAsia="宋体"/>
          <w:color w:val="auto"/>
          <w:highlight w:val="none"/>
          <w:lang w:val="en-US" w:eastAsia="zh-CN"/>
        </w:rPr>
      </w:pPr>
      <w:r>
        <w:rPr>
          <w:rFonts w:hint="eastAsia"/>
          <w:color w:val="auto"/>
          <w:highlight w:val="none"/>
        </w:rPr>
        <w:t>各管段的放散阀、吹扫阀需设置完善，保证各管段的吹扫。各氮气接口、各吹扫口的阀门均为2道手动阀。放散管道的高度需满足规范要求。取样管设置2道手动阀。净煤气总管改造后，北侧封头处的放散阀利旧原南侧的放散阀。</w:t>
      </w:r>
      <w:bookmarkStart w:id="432" w:name="_Toc29853"/>
      <w:bookmarkStart w:id="433" w:name="_Toc6632"/>
      <w:bookmarkStart w:id="434" w:name="_Toc22961"/>
      <w:bookmarkStart w:id="435" w:name="_Toc175920378"/>
      <w:bookmarkStart w:id="436" w:name="_Toc25735"/>
      <w:bookmarkStart w:id="437" w:name="_Toc15749"/>
      <w:r>
        <w:rPr>
          <w:rFonts w:hint="eastAsia"/>
          <w:color w:val="auto"/>
          <w:highlight w:val="none"/>
          <w:lang w:val="en-US" w:eastAsia="zh-CN"/>
        </w:rPr>
        <w:t>电动放散阀规格和原图纸一致。</w:t>
      </w:r>
    </w:p>
    <w:p w14:paraId="65CA515F">
      <w:pPr>
        <w:widowControl/>
        <w:shd w:val="clear"/>
        <w:spacing w:before="120" w:beforeLines="50"/>
        <w:ind w:firstLine="593" w:firstLineChars="211"/>
        <w:rPr>
          <w:rFonts w:cs="Times New Roman"/>
          <w:b/>
          <w:color w:val="auto"/>
          <w:sz w:val="28"/>
          <w:szCs w:val="28"/>
          <w:highlight w:val="none"/>
        </w:rPr>
      </w:pPr>
      <w:r>
        <w:rPr>
          <w:rFonts w:hint="eastAsia" w:cs="Times New Roman"/>
          <w:b/>
          <w:color w:val="auto"/>
          <w:sz w:val="28"/>
          <w:szCs w:val="28"/>
          <w:highlight w:val="none"/>
        </w:rPr>
        <w:t>4.3 炉顶均压煤气回收系统</w:t>
      </w:r>
      <w:bookmarkEnd w:id="432"/>
      <w:bookmarkEnd w:id="433"/>
      <w:bookmarkEnd w:id="434"/>
      <w:bookmarkEnd w:id="435"/>
      <w:bookmarkEnd w:id="436"/>
      <w:bookmarkEnd w:id="437"/>
    </w:p>
    <w:p w14:paraId="29F3F923">
      <w:pPr>
        <w:shd w:val="clear"/>
        <w:rPr>
          <w:rFonts w:ascii="Times New Roman" w:hAnsi="Times New Roman"/>
          <w:color w:val="auto"/>
          <w:highlight w:val="none"/>
        </w:rPr>
      </w:pPr>
      <w:r>
        <w:rPr>
          <w:rFonts w:hint="eastAsia" w:ascii="Times New Roman" w:hAnsi="Times New Roman"/>
          <w:color w:val="auto"/>
          <w:highlight w:val="none"/>
        </w:rPr>
        <w:t>由于高压煤气快速进入筒体，压力释放后又处于低压工况，因此该筒体承受循环交变荷载，筒体设计考虑疲劳载荷。并且在回收过程中，除尘器承受较大压差。除尘器设计为侧进顶出的进出气方式。箱体上部设有氮气脉冲喷吹装置，喷吹氮气压力为0.3～0.35MPa。</w:t>
      </w:r>
    </w:p>
    <w:p w14:paraId="53D8B621">
      <w:pPr>
        <w:shd w:val="clear"/>
        <w:rPr>
          <w:rFonts w:ascii="Times New Roman" w:hAnsi="Times New Roman"/>
          <w:color w:val="auto"/>
          <w:highlight w:val="none"/>
        </w:rPr>
      </w:pPr>
      <w:r>
        <w:rPr>
          <w:rFonts w:hint="eastAsia" w:ascii="Times New Roman" w:hAnsi="Times New Roman"/>
          <w:color w:val="auto"/>
          <w:highlight w:val="none"/>
        </w:rPr>
        <w:t>设备主要特点如下：</w:t>
      </w:r>
    </w:p>
    <w:p w14:paraId="61480BFF">
      <w:pPr>
        <w:shd w:val="clear"/>
        <w:rPr>
          <w:rFonts w:ascii="Times New Roman" w:hAnsi="Times New Roman"/>
          <w:color w:val="auto"/>
          <w:highlight w:val="none"/>
        </w:rPr>
      </w:pPr>
      <w:r>
        <w:rPr>
          <w:rFonts w:hint="eastAsia" w:ascii="Times New Roman" w:hAnsi="Times New Roman"/>
          <w:color w:val="auto"/>
          <w:highlight w:val="none"/>
        </w:rPr>
        <w:t>1）为了使得引入箱体的煤气气场分布均匀、稳定、防冲刷、箱体抗压差，采取了如下措施：</w:t>
      </w:r>
    </w:p>
    <w:p w14:paraId="50A75823">
      <w:pPr>
        <w:shd w:val="clear"/>
        <w:rPr>
          <w:rFonts w:ascii="Times New Roman" w:hAnsi="Times New Roman"/>
          <w:color w:val="auto"/>
          <w:highlight w:val="none"/>
        </w:rPr>
      </w:pPr>
      <w:r>
        <w:rPr>
          <w:rFonts w:hint="eastAsia" w:ascii="Times New Roman" w:hAnsi="Times New Roman"/>
          <w:color w:val="auto"/>
          <w:highlight w:val="none"/>
        </w:rPr>
        <w:t>a）采用在进口处设导流板，增强气流在筒体内流动稳定性，并且花格板受力均压，减少滤袋间的磨损，延长滤袋使用寿命。</w:t>
      </w:r>
    </w:p>
    <w:p w14:paraId="0773A27B">
      <w:pPr>
        <w:shd w:val="clear"/>
        <w:rPr>
          <w:rFonts w:ascii="Times New Roman" w:hAnsi="Times New Roman"/>
          <w:color w:val="auto"/>
          <w:highlight w:val="none"/>
        </w:rPr>
      </w:pPr>
      <w:r>
        <w:rPr>
          <w:rFonts w:hint="eastAsia" w:ascii="Times New Roman" w:hAnsi="Times New Roman"/>
          <w:color w:val="auto"/>
          <w:highlight w:val="none"/>
        </w:rPr>
        <w:t>b）增大入风口至滤袋底的净高度，保证气流到达滤袋底前已经充分的均匀扩散，进一步获得稳定的气流场，确保所有滤袋同时均匀过滤。</w:t>
      </w:r>
    </w:p>
    <w:p w14:paraId="738D0C87">
      <w:pPr>
        <w:shd w:val="clear"/>
        <w:rPr>
          <w:rFonts w:ascii="Times New Roman" w:hAnsi="Times New Roman"/>
          <w:color w:val="auto"/>
          <w:highlight w:val="none"/>
        </w:rPr>
      </w:pPr>
      <w:r>
        <w:rPr>
          <w:rFonts w:hint="eastAsia" w:ascii="Times New Roman" w:hAnsi="Times New Roman"/>
          <w:color w:val="auto"/>
          <w:highlight w:val="none"/>
        </w:rPr>
        <w:t>2）滤袋：滤袋规格：Φ160×7020mm；材质为超细氟美斯9806，即P84与超细玻璃纤维的复合滤料，与煤气干法除尘的滤料规格保持一致，方便备件的采购和管理。</w:t>
      </w:r>
    </w:p>
    <w:p w14:paraId="5FAD35F9">
      <w:pPr>
        <w:shd w:val="clear"/>
        <w:rPr>
          <w:rFonts w:ascii="Times New Roman" w:hAnsi="Times New Roman"/>
          <w:color w:val="auto"/>
          <w:highlight w:val="none"/>
        </w:rPr>
      </w:pPr>
      <w:r>
        <w:rPr>
          <w:rFonts w:hint="eastAsia" w:ascii="Times New Roman" w:hAnsi="Times New Roman"/>
          <w:color w:val="auto"/>
          <w:highlight w:val="none"/>
        </w:rPr>
        <w:t>3) 笼骨：规格为：φ155×7000mm，笼骨分三节，每节之间通过卡扣联接。材质选用冷拔钢丝，确保其焊缝表面光滑、无毛刺不划袋，表面进行酸洗镀有机硅处理。</w:t>
      </w:r>
    </w:p>
    <w:p w14:paraId="682894E6">
      <w:pPr>
        <w:shd w:val="clear"/>
        <w:rPr>
          <w:rFonts w:ascii="Times New Roman" w:hAnsi="Times New Roman"/>
          <w:color w:val="auto"/>
          <w:highlight w:val="none"/>
        </w:rPr>
      </w:pPr>
      <w:r>
        <w:rPr>
          <w:rFonts w:hint="eastAsia" w:ascii="Times New Roman" w:hAnsi="Times New Roman"/>
          <w:color w:val="auto"/>
          <w:highlight w:val="none"/>
        </w:rPr>
        <w:t>笼骨配筋比常规密集，可减少滤袋折弯程度，提高滤袋寿命。</w:t>
      </w:r>
    </w:p>
    <w:p w14:paraId="5F7BC2A1">
      <w:pPr>
        <w:shd w:val="clear"/>
        <w:rPr>
          <w:rFonts w:ascii="Times New Roman" w:hAnsi="Times New Roman"/>
          <w:color w:val="auto"/>
          <w:highlight w:val="none"/>
        </w:rPr>
      </w:pPr>
      <w:r>
        <w:rPr>
          <w:rFonts w:hint="eastAsia" w:ascii="Times New Roman" w:hAnsi="Times New Roman"/>
          <w:color w:val="auto"/>
          <w:highlight w:val="none"/>
        </w:rPr>
        <w:t>4) 花板材质与结构特点：Q345R，花板上部和下部均设有横梁支撑、下部设有加强筋，防止承重变形，保证其在工作时不因上下压差较大而产生变形（≮50kPa）。花保证足够的袋间距。</w:t>
      </w:r>
    </w:p>
    <w:p w14:paraId="79F223DB">
      <w:pPr>
        <w:shd w:val="clear"/>
        <w:rPr>
          <w:rFonts w:ascii="Times New Roman" w:hAnsi="Times New Roman"/>
          <w:color w:val="auto"/>
          <w:highlight w:val="none"/>
        </w:rPr>
      </w:pPr>
      <w:r>
        <w:rPr>
          <w:rFonts w:hint="eastAsia" w:ascii="Times New Roman" w:hAnsi="Times New Roman"/>
          <w:color w:val="auto"/>
          <w:highlight w:val="none"/>
        </w:rPr>
        <w:t>5）脉冲喷吹装置：每个箱体设置两套脉冲喷吹装置，主要由喷吹气包、 “淹埋式脉冲阀、喷吹管、24V电磁阀、手动球阀、喷吹管、排污阀、压力表、截止阀及防雨罩等组成。</w:t>
      </w:r>
    </w:p>
    <w:p w14:paraId="27C7BA94">
      <w:pPr>
        <w:shd w:val="clear"/>
        <w:rPr>
          <w:rFonts w:ascii="Times New Roman" w:hAnsi="Times New Roman"/>
          <w:color w:val="auto"/>
          <w:highlight w:val="none"/>
        </w:rPr>
      </w:pPr>
      <w:r>
        <w:rPr>
          <w:rFonts w:hint="eastAsia" w:ascii="Times New Roman" w:hAnsi="Times New Roman"/>
          <w:color w:val="auto"/>
          <w:highlight w:val="none"/>
        </w:rPr>
        <w:t>6）保温：整个筒体进行保温，保温层厚度100mm。下部灰仓采用蒸汽伴热。</w:t>
      </w:r>
    </w:p>
    <w:p w14:paraId="6A8FD608">
      <w:pPr>
        <w:shd w:val="clear"/>
        <w:ind w:firstLine="0" w:firstLineChars="0"/>
        <w:jc w:val="center"/>
        <w:rPr>
          <w:rFonts w:ascii="Times New Roman" w:hAnsi="Times New Roman"/>
          <w:color w:val="auto"/>
          <w:highlight w:val="none"/>
        </w:rPr>
      </w:pPr>
      <w:r>
        <w:rPr>
          <w:rFonts w:hint="eastAsia" w:ascii="Times New Roman" w:hAnsi="Times New Roman"/>
          <w:color w:val="auto"/>
          <w:highlight w:val="none"/>
        </w:rPr>
        <w:t>表4.3-1均压煤气回收布袋除尘器技术参数表</w:t>
      </w:r>
    </w:p>
    <w:tbl>
      <w:tblPr>
        <w:tblStyle w:val="6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8"/>
        <w:gridCol w:w="3085"/>
        <w:gridCol w:w="5312"/>
      </w:tblGrid>
      <w:tr w14:paraId="2B8FC2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trPr>
        <w:tc>
          <w:tcPr>
            <w:tcW w:w="888" w:type="dxa"/>
            <w:vAlign w:val="center"/>
          </w:tcPr>
          <w:p w14:paraId="4D141099">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序号</w:t>
            </w:r>
          </w:p>
        </w:tc>
        <w:tc>
          <w:tcPr>
            <w:tcW w:w="3085" w:type="dxa"/>
            <w:vAlign w:val="center"/>
          </w:tcPr>
          <w:p w14:paraId="24F986A0">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项  目</w:t>
            </w:r>
          </w:p>
        </w:tc>
        <w:tc>
          <w:tcPr>
            <w:tcW w:w="5312" w:type="dxa"/>
            <w:vAlign w:val="center"/>
          </w:tcPr>
          <w:p w14:paraId="0CAB25C2">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技术参数</w:t>
            </w:r>
          </w:p>
        </w:tc>
      </w:tr>
      <w:tr w14:paraId="504787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59" w:hRule="atLeast"/>
        </w:trPr>
        <w:tc>
          <w:tcPr>
            <w:tcW w:w="888" w:type="dxa"/>
            <w:vAlign w:val="center"/>
          </w:tcPr>
          <w:p w14:paraId="0FBC0F94">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3085" w:type="dxa"/>
            <w:vAlign w:val="center"/>
          </w:tcPr>
          <w:p w14:paraId="637CCA36">
            <w:pPr>
              <w:shd w:val="clear"/>
              <w:spacing w:line="312"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煤气处理量</w:t>
            </w:r>
          </w:p>
        </w:tc>
        <w:tc>
          <w:tcPr>
            <w:tcW w:w="5312" w:type="dxa"/>
            <w:vAlign w:val="center"/>
          </w:tcPr>
          <w:p w14:paraId="3DA769A3">
            <w:pPr>
              <w:shd w:val="clear"/>
              <w:spacing w:line="312"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978～1141Nm</w:t>
            </w:r>
            <w:r>
              <w:rPr>
                <w:rFonts w:ascii="Times New Roman" w:hAnsi="Times New Roman" w:cs="Times New Roman"/>
                <w:color w:val="auto"/>
                <w:sz w:val="21"/>
                <w:szCs w:val="21"/>
                <w:highlight w:val="none"/>
                <w:vertAlign w:val="superscript"/>
              </w:rPr>
              <w:t>3</w:t>
            </w:r>
            <w:r>
              <w:rPr>
                <w:rFonts w:ascii="Times New Roman" w:hAnsi="Times New Roman" w:cs="Times New Roman"/>
                <w:color w:val="auto"/>
                <w:sz w:val="21"/>
                <w:szCs w:val="21"/>
                <w:highlight w:val="none"/>
              </w:rPr>
              <w:t>/h；瞬时：305.76 Nm</w:t>
            </w:r>
            <w:r>
              <w:rPr>
                <w:rFonts w:ascii="Times New Roman" w:hAnsi="Times New Roman" w:cs="Times New Roman"/>
                <w:color w:val="auto"/>
                <w:sz w:val="21"/>
                <w:szCs w:val="21"/>
                <w:highlight w:val="none"/>
                <w:vertAlign w:val="superscript"/>
              </w:rPr>
              <w:t>3</w:t>
            </w:r>
            <w:r>
              <w:rPr>
                <w:rFonts w:ascii="Times New Roman" w:hAnsi="Times New Roman" w:cs="Times New Roman"/>
                <w:color w:val="auto"/>
                <w:sz w:val="21"/>
                <w:szCs w:val="21"/>
                <w:highlight w:val="none"/>
              </w:rPr>
              <w:t>/min</w:t>
            </w:r>
          </w:p>
        </w:tc>
      </w:tr>
      <w:tr w14:paraId="399EBD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88" w:type="dxa"/>
            <w:vAlign w:val="center"/>
          </w:tcPr>
          <w:p w14:paraId="1357853E">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3085" w:type="dxa"/>
            <w:vAlign w:val="center"/>
          </w:tcPr>
          <w:p w14:paraId="409927A2">
            <w:pPr>
              <w:shd w:val="clear"/>
              <w:spacing w:line="312"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正常煤气温度</w:t>
            </w:r>
          </w:p>
        </w:tc>
        <w:tc>
          <w:tcPr>
            <w:tcW w:w="5312" w:type="dxa"/>
            <w:vAlign w:val="center"/>
          </w:tcPr>
          <w:p w14:paraId="51B962ED">
            <w:pPr>
              <w:shd w:val="clear"/>
              <w:spacing w:line="312"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＜200℃</w:t>
            </w:r>
          </w:p>
        </w:tc>
      </w:tr>
      <w:tr w14:paraId="755D87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88" w:type="dxa"/>
            <w:vAlign w:val="center"/>
          </w:tcPr>
          <w:p w14:paraId="64687CFA">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w:t>
            </w:r>
          </w:p>
        </w:tc>
        <w:tc>
          <w:tcPr>
            <w:tcW w:w="3085" w:type="dxa"/>
            <w:vAlign w:val="center"/>
          </w:tcPr>
          <w:p w14:paraId="5069B03F">
            <w:pPr>
              <w:shd w:val="clear"/>
              <w:spacing w:line="312"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炉顶回收煤气压力（表压）</w:t>
            </w:r>
          </w:p>
        </w:tc>
        <w:tc>
          <w:tcPr>
            <w:tcW w:w="5312" w:type="dxa"/>
            <w:vAlign w:val="center"/>
          </w:tcPr>
          <w:p w14:paraId="09D0A48F">
            <w:pPr>
              <w:shd w:val="clear"/>
              <w:spacing w:line="312" w:lineRule="auto"/>
              <w:ind w:firstLine="0" w:firstLineChars="0"/>
              <w:jc w:val="both"/>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最大工作压力</w:t>
            </w:r>
            <w:r>
              <w:rPr>
                <w:rFonts w:ascii="Times New Roman" w:hAnsi="Times New Roman" w:cs="Times New Roman"/>
                <w:color w:val="auto"/>
                <w:sz w:val="21"/>
                <w:szCs w:val="21"/>
                <w:highlight w:val="none"/>
              </w:rPr>
              <w:t>0.175MPa</w:t>
            </w:r>
            <w:r>
              <w:rPr>
                <w:rFonts w:hint="eastAsia" w:ascii="Times New Roman" w:hAnsi="Times New Roman" w:cs="Times New Roman"/>
                <w:color w:val="auto"/>
                <w:sz w:val="21"/>
                <w:szCs w:val="21"/>
                <w:highlight w:val="none"/>
              </w:rPr>
              <w:t>，设计压力0.18MPa</w:t>
            </w:r>
          </w:p>
        </w:tc>
      </w:tr>
      <w:tr w14:paraId="6962D1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88" w:type="dxa"/>
            <w:vAlign w:val="center"/>
          </w:tcPr>
          <w:p w14:paraId="60981466">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w:t>
            </w:r>
          </w:p>
        </w:tc>
        <w:tc>
          <w:tcPr>
            <w:tcW w:w="3085" w:type="dxa"/>
            <w:vAlign w:val="center"/>
          </w:tcPr>
          <w:p w14:paraId="2416DD74">
            <w:pPr>
              <w:shd w:val="clear"/>
              <w:spacing w:line="312"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复合布袋除尘器台数</w:t>
            </w:r>
          </w:p>
        </w:tc>
        <w:tc>
          <w:tcPr>
            <w:tcW w:w="5312" w:type="dxa"/>
            <w:vAlign w:val="center"/>
          </w:tcPr>
          <w:p w14:paraId="6B29DAF9">
            <w:pPr>
              <w:shd w:val="clear"/>
              <w:spacing w:line="312"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1台</w:t>
            </w:r>
          </w:p>
        </w:tc>
      </w:tr>
      <w:tr w14:paraId="4C4BCA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88" w:type="dxa"/>
            <w:vAlign w:val="center"/>
          </w:tcPr>
          <w:p w14:paraId="2770D164">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w:t>
            </w:r>
          </w:p>
        </w:tc>
        <w:tc>
          <w:tcPr>
            <w:tcW w:w="3085" w:type="dxa"/>
            <w:vAlign w:val="center"/>
          </w:tcPr>
          <w:p w14:paraId="51CD7E10">
            <w:pPr>
              <w:shd w:val="clear"/>
              <w:spacing w:line="312"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布袋除尘器过滤面积</w:t>
            </w:r>
          </w:p>
        </w:tc>
        <w:tc>
          <w:tcPr>
            <w:tcW w:w="5312" w:type="dxa"/>
            <w:vAlign w:val="center"/>
          </w:tcPr>
          <w:p w14:paraId="35E54CD9">
            <w:pPr>
              <w:shd w:val="clear"/>
              <w:spacing w:line="312"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509m</w:t>
            </w:r>
            <w:r>
              <w:rPr>
                <w:rFonts w:ascii="Times New Roman" w:hAnsi="Times New Roman" w:cs="Times New Roman"/>
                <w:color w:val="auto"/>
                <w:sz w:val="21"/>
                <w:szCs w:val="21"/>
                <w:highlight w:val="none"/>
                <w:vertAlign w:val="superscript"/>
              </w:rPr>
              <w:t>2</w:t>
            </w:r>
          </w:p>
        </w:tc>
      </w:tr>
      <w:tr w14:paraId="005CB8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88" w:type="dxa"/>
            <w:vAlign w:val="center"/>
          </w:tcPr>
          <w:p w14:paraId="2E882FBE">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6</w:t>
            </w:r>
          </w:p>
        </w:tc>
        <w:tc>
          <w:tcPr>
            <w:tcW w:w="3085" w:type="dxa"/>
            <w:vAlign w:val="center"/>
          </w:tcPr>
          <w:p w14:paraId="3AC96E82">
            <w:pPr>
              <w:shd w:val="clear"/>
              <w:spacing w:line="312"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工况过滤风速</w:t>
            </w:r>
          </w:p>
          <w:p w14:paraId="6BAEAAE3">
            <w:pPr>
              <w:shd w:val="clear"/>
              <w:spacing w:line="312"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（100℃，0.2MPa）</w:t>
            </w:r>
          </w:p>
        </w:tc>
        <w:tc>
          <w:tcPr>
            <w:tcW w:w="5312" w:type="dxa"/>
            <w:vAlign w:val="center"/>
          </w:tcPr>
          <w:p w14:paraId="3F8D8A06">
            <w:pPr>
              <w:shd w:val="clear"/>
              <w:spacing w:line="312"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平均：0.6m/min；</w:t>
            </w:r>
          </w:p>
        </w:tc>
      </w:tr>
      <w:tr w14:paraId="4422DA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88" w:type="dxa"/>
            <w:vAlign w:val="center"/>
          </w:tcPr>
          <w:p w14:paraId="33308352">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7</w:t>
            </w:r>
          </w:p>
        </w:tc>
        <w:tc>
          <w:tcPr>
            <w:tcW w:w="3085" w:type="dxa"/>
            <w:vAlign w:val="center"/>
          </w:tcPr>
          <w:p w14:paraId="781690FC">
            <w:pPr>
              <w:shd w:val="clear"/>
              <w:spacing w:line="312"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荒煤气含尘量</w:t>
            </w:r>
          </w:p>
        </w:tc>
        <w:tc>
          <w:tcPr>
            <w:tcW w:w="5312" w:type="dxa"/>
            <w:vAlign w:val="center"/>
          </w:tcPr>
          <w:p w14:paraId="01CA8DF0">
            <w:pPr>
              <w:shd w:val="clear"/>
              <w:spacing w:line="312"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5～8g/Nm</w:t>
            </w:r>
            <w:r>
              <w:rPr>
                <w:rFonts w:ascii="Times New Roman" w:hAnsi="Times New Roman" w:cs="Times New Roman"/>
                <w:color w:val="auto"/>
                <w:sz w:val="21"/>
                <w:szCs w:val="21"/>
                <w:highlight w:val="none"/>
                <w:vertAlign w:val="superscript"/>
              </w:rPr>
              <w:t>3</w:t>
            </w:r>
          </w:p>
        </w:tc>
      </w:tr>
      <w:tr w14:paraId="3AA844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88" w:type="dxa"/>
            <w:vAlign w:val="center"/>
          </w:tcPr>
          <w:p w14:paraId="566B40C0">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w:t>
            </w:r>
          </w:p>
        </w:tc>
        <w:tc>
          <w:tcPr>
            <w:tcW w:w="3085" w:type="dxa"/>
            <w:vAlign w:val="center"/>
          </w:tcPr>
          <w:p w14:paraId="493AB004">
            <w:pPr>
              <w:shd w:val="clear"/>
              <w:spacing w:line="312"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净煤气含尘量</w:t>
            </w:r>
          </w:p>
        </w:tc>
        <w:tc>
          <w:tcPr>
            <w:tcW w:w="5312" w:type="dxa"/>
            <w:vAlign w:val="center"/>
          </w:tcPr>
          <w:p w14:paraId="39DB4FFA">
            <w:pPr>
              <w:shd w:val="clear"/>
              <w:spacing w:line="312"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≤5mg/Nm</w:t>
            </w:r>
            <w:r>
              <w:rPr>
                <w:rFonts w:ascii="Times New Roman" w:hAnsi="Times New Roman" w:cs="Times New Roman"/>
                <w:color w:val="auto"/>
                <w:sz w:val="21"/>
                <w:szCs w:val="21"/>
                <w:highlight w:val="none"/>
                <w:vertAlign w:val="superscript"/>
              </w:rPr>
              <w:t>3</w:t>
            </w:r>
          </w:p>
        </w:tc>
      </w:tr>
      <w:tr w14:paraId="58F4B8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88" w:type="dxa"/>
            <w:vAlign w:val="center"/>
          </w:tcPr>
          <w:p w14:paraId="34264B32">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9</w:t>
            </w:r>
          </w:p>
        </w:tc>
        <w:tc>
          <w:tcPr>
            <w:tcW w:w="3085" w:type="dxa"/>
            <w:vAlign w:val="center"/>
          </w:tcPr>
          <w:p w14:paraId="2AA28BC7">
            <w:pPr>
              <w:shd w:val="clear"/>
              <w:spacing w:line="312"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阻力损失</w:t>
            </w:r>
          </w:p>
        </w:tc>
        <w:tc>
          <w:tcPr>
            <w:tcW w:w="5312" w:type="dxa"/>
            <w:vAlign w:val="center"/>
          </w:tcPr>
          <w:p w14:paraId="5DBC50F3">
            <w:pPr>
              <w:shd w:val="clear"/>
              <w:spacing w:line="312"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≤1500Pa</w:t>
            </w:r>
          </w:p>
        </w:tc>
      </w:tr>
      <w:tr w14:paraId="314D05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88" w:type="dxa"/>
            <w:vAlign w:val="center"/>
          </w:tcPr>
          <w:p w14:paraId="58C9997E">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w:t>
            </w:r>
          </w:p>
        </w:tc>
        <w:tc>
          <w:tcPr>
            <w:tcW w:w="3085" w:type="dxa"/>
            <w:vAlign w:val="center"/>
          </w:tcPr>
          <w:p w14:paraId="7B285A38">
            <w:pPr>
              <w:shd w:val="clear"/>
              <w:spacing w:line="312"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筒体直径</w:t>
            </w:r>
          </w:p>
        </w:tc>
        <w:tc>
          <w:tcPr>
            <w:tcW w:w="5312" w:type="dxa"/>
            <w:vAlign w:val="center"/>
          </w:tcPr>
          <w:p w14:paraId="61D845B8">
            <w:pPr>
              <w:shd w:val="clear"/>
              <w:spacing w:line="312"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Φ</w:t>
            </w:r>
            <w:r>
              <w:rPr>
                <w:rFonts w:ascii="Times New Roman" w:hAnsi="Times New Roman" w:cs="Times New Roman"/>
                <w:color w:val="auto"/>
                <w:sz w:val="21"/>
                <w:szCs w:val="21"/>
                <w:highlight w:val="none"/>
                <w:vertAlign w:val="subscript"/>
              </w:rPr>
              <w:t>内</w:t>
            </w:r>
            <w:r>
              <w:rPr>
                <w:rFonts w:ascii="Times New Roman" w:hAnsi="Times New Roman" w:cs="Times New Roman"/>
                <w:color w:val="auto"/>
                <w:sz w:val="21"/>
                <w:szCs w:val="21"/>
                <w:highlight w:val="none"/>
              </w:rPr>
              <w:t>4000mm</w:t>
            </w:r>
          </w:p>
        </w:tc>
      </w:tr>
      <w:tr w14:paraId="5AEAED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88" w:type="dxa"/>
            <w:vAlign w:val="center"/>
          </w:tcPr>
          <w:p w14:paraId="2FEB70C9">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w:t>
            </w:r>
          </w:p>
        </w:tc>
        <w:tc>
          <w:tcPr>
            <w:tcW w:w="3085" w:type="dxa"/>
            <w:vAlign w:val="center"/>
          </w:tcPr>
          <w:p w14:paraId="5DC63565">
            <w:pPr>
              <w:shd w:val="clear"/>
              <w:spacing w:line="312"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布袋除尘器滤袋条数</w:t>
            </w:r>
          </w:p>
        </w:tc>
        <w:tc>
          <w:tcPr>
            <w:tcW w:w="5312" w:type="dxa"/>
            <w:vAlign w:val="center"/>
          </w:tcPr>
          <w:p w14:paraId="34BB8B8E">
            <w:pPr>
              <w:shd w:val="clear"/>
              <w:spacing w:line="312"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178条</w:t>
            </w:r>
          </w:p>
        </w:tc>
      </w:tr>
      <w:tr w14:paraId="29DC87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88" w:type="dxa"/>
            <w:vAlign w:val="center"/>
          </w:tcPr>
          <w:p w14:paraId="455457F1">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12</w:t>
            </w:r>
          </w:p>
        </w:tc>
        <w:tc>
          <w:tcPr>
            <w:tcW w:w="3085" w:type="dxa"/>
            <w:vAlign w:val="center"/>
          </w:tcPr>
          <w:p w14:paraId="579E1653">
            <w:pPr>
              <w:shd w:val="clear"/>
              <w:spacing w:line="312"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滤袋规格</w:t>
            </w:r>
          </w:p>
        </w:tc>
        <w:tc>
          <w:tcPr>
            <w:tcW w:w="5312" w:type="dxa"/>
            <w:vAlign w:val="center"/>
          </w:tcPr>
          <w:p w14:paraId="05F2E309">
            <w:pPr>
              <w:shd w:val="clear"/>
              <w:spacing w:line="312"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φ1</w:t>
            </w:r>
            <w:r>
              <w:rPr>
                <w:rFonts w:hint="eastAsia" w:ascii="Times New Roman" w:hAnsi="Times New Roman" w:cs="Times New Roman"/>
                <w:color w:val="auto"/>
                <w:sz w:val="21"/>
                <w:szCs w:val="21"/>
                <w:highlight w:val="none"/>
              </w:rPr>
              <w:t>6</w:t>
            </w:r>
            <w:r>
              <w:rPr>
                <w:rFonts w:ascii="Times New Roman" w:hAnsi="Times New Roman" w:cs="Times New Roman"/>
                <w:color w:val="auto"/>
                <w:sz w:val="21"/>
                <w:szCs w:val="21"/>
                <w:highlight w:val="none"/>
              </w:rPr>
              <w:t>0×7020mm</w:t>
            </w:r>
          </w:p>
        </w:tc>
      </w:tr>
      <w:tr w14:paraId="3A3D1A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88" w:type="dxa"/>
            <w:vAlign w:val="center"/>
          </w:tcPr>
          <w:p w14:paraId="036FA484">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13</w:t>
            </w:r>
          </w:p>
        </w:tc>
        <w:tc>
          <w:tcPr>
            <w:tcW w:w="3085" w:type="dxa"/>
            <w:vAlign w:val="center"/>
          </w:tcPr>
          <w:p w14:paraId="026FAA0B">
            <w:pPr>
              <w:shd w:val="clear"/>
              <w:spacing w:line="312"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滤袋材质</w:t>
            </w:r>
          </w:p>
        </w:tc>
        <w:tc>
          <w:tcPr>
            <w:tcW w:w="5312" w:type="dxa"/>
            <w:vAlign w:val="center"/>
          </w:tcPr>
          <w:p w14:paraId="5DB216DD">
            <w:pPr>
              <w:shd w:val="clear"/>
              <w:spacing w:line="312"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超细氟美斯9806；密度800g/m</w:t>
            </w:r>
            <w:r>
              <w:rPr>
                <w:rFonts w:ascii="Times New Roman" w:hAnsi="Times New Roman" w:cs="Times New Roman"/>
                <w:color w:val="auto"/>
                <w:sz w:val="21"/>
                <w:szCs w:val="21"/>
                <w:highlight w:val="none"/>
                <w:vertAlign w:val="superscript"/>
              </w:rPr>
              <w:t>2</w:t>
            </w:r>
          </w:p>
        </w:tc>
      </w:tr>
      <w:tr w14:paraId="1CCDA3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88" w:type="dxa"/>
            <w:vAlign w:val="center"/>
          </w:tcPr>
          <w:p w14:paraId="2AF6835D">
            <w:pPr>
              <w:shd w:val="clear"/>
              <w:spacing w:line="312"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14</w:t>
            </w:r>
          </w:p>
        </w:tc>
        <w:tc>
          <w:tcPr>
            <w:tcW w:w="3085" w:type="dxa"/>
            <w:vAlign w:val="center"/>
          </w:tcPr>
          <w:p w14:paraId="77A86003">
            <w:pPr>
              <w:shd w:val="clear"/>
              <w:spacing w:line="312"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进出口管径</w:t>
            </w:r>
          </w:p>
        </w:tc>
        <w:tc>
          <w:tcPr>
            <w:tcW w:w="5312" w:type="dxa"/>
            <w:vAlign w:val="center"/>
          </w:tcPr>
          <w:p w14:paraId="09778603">
            <w:pPr>
              <w:shd w:val="clear"/>
              <w:spacing w:line="312"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DN600</w:t>
            </w:r>
          </w:p>
        </w:tc>
      </w:tr>
    </w:tbl>
    <w:p w14:paraId="5EED1020">
      <w:pPr>
        <w:shd w:val="clear"/>
        <w:rPr>
          <w:rFonts w:ascii="Times New Roman" w:hAnsi="Times New Roman"/>
          <w:color w:val="auto"/>
          <w:highlight w:val="none"/>
        </w:rPr>
      </w:pPr>
      <w:r>
        <w:rPr>
          <w:rFonts w:hint="eastAsia" w:ascii="Times New Roman" w:hAnsi="Times New Roman"/>
          <w:color w:val="auto"/>
          <w:highlight w:val="none"/>
        </w:rPr>
        <w:t>7）输卸灰系统</w:t>
      </w:r>
    </w:p>
    <w:p w14:paraId="31FBB864">
      <w:pPr>
        <w:shd w:val="clear"/>
        <w:rPr>
          <w:color w:val="auto"/>
          <w:highlight w:val="none"/>
        </w:rPr>
      </w:pPr>
      <w:r>
        <w:rPr>
          <w:rFonts w:hint="eastAsia"/>
          <w:color w:val="auto"/>
          <w:highlight w:val="none"/>
        </w:rPr>
        <w:t>输卸灰系统采用吸排罐车外运。</w:t>
      </w:r>
    </w:p>
    <w:p w14:paraId="0F69A897">
      <w:pPr>
        <w:shd w:val="clear"/>
        <w:rPr>
          <w:color w:val="auto"/>
          <w:highlight w:val="none"/>
        </w:rPr>
      </w:pPr>
      <w:r>
        <w:rPr>
          <w:rFonts w:hint="eastAsia"/>
          <w:color w:val="auto"/>
          <w:highlight w:val="none"/>
        </w:rPr>
        <w:t>布袋除尘器下部设2.5m</w:t>
      </w:r>
      <w:r>
        <w:rPr>
          <w:rFonts w:hint="eastAsia"/>
          <w:color w:val="auto"/>
          <w:highlight w:val="none"/>
          <w:vertAlign w:val="superscript"/>
        </w:rPr>
        <w:t>3</w:t>
      </w:r>
      <w:r>
        <w:rPr>
          <w:rFonts w:hint="eastAsia"/>
          <w:color w:val="auto"/>
          <w:highlight w:val="none"/>
        </w:rPr>
        <w:t>小灰罐。</w:t>
      </w:r>
    </w:p>
    <w:p w14:paraId="2412943B">
      <w:pPr>
        <w:shd w:val="clear"/>
        <w:jc w:val="both"/>
        <w:rPr>
          <w:color w:val="auto"/>
          <w:szCs w:val="28"/>
          <w:highlight w:val="none"/>
        </w:rPr>
      </w:pPr>
      <w:r>
        <w:rPr>
          <w:rFonts w:hint="eastAsia"/>
          <w:color w:val="auto"/>
          <w:szCs w:val="28"/>
          <w:highlight w:val="none"/>
        </w:rPr>
        <w:t>布袋除尘器内煤气灰通过2台</w:t>
      </w:r>
      <w:r>
        <w:rPr>
          <w:rFonts w:hint="eastAsia" w:ascii="Times New Roman" w:hAnsi="Times New Roman"/>
          <w:color w:val="auto"/>
          <w:highlight w:val="none"/>
        </w:rPr>
        <w:t>DN</w:t>
      </w:r>
      <w:r>
        <w:rPr>
          <w:rFonts w:hint="eastAsia" w:ascii="Times New Roman" w:hAnsi="Times New Roman"/>
          <w:color w:val="auto"/>
          <w:highlight w:val="none"/>
          <w:lang w:val="en-US" w:eastAsia="zh-CN"/>
        </w:rPr>
        <w:t>2</w:t>
      </w:r>
      <w:r>
        <w:rPr>
          <w:rFonts w:hint="eastAsia" w:ascii="Times New Roman" w:hAnsi="Times New Roman"/>
          <w:color w:val="auto"/>
          <w:highlight w:val="none"/>
        </w:rPr>
        <w:t>00气动卸灰球阀</w:t>
      </w:r>
      <w:r>
        <w:rPr>
          <w:rFonts w:hint="eastAsia"/>
          <w:color w:val="auto"/>
          <w:szCs w:val="28"/>
          <w:highlight w:val="none"/>
        </w:rPr>
        <w:t>先卸入小灰罐（灰罐内卸灰前先通氮气吹扫，放散通过小型布袋除尘器排入大气），然后再由灰罐通过</w:t>
      </w:r>
      <w:r>
        <w:rPr>
          <w:rFonts w:hint="eastAsia"/>
          <w:color w:val="auto"/>
          <w:szCs w:val="28"/>
          <w:highlight w:val="none"/>
          <w:lang w:val="en-US" w:eastAsia="zh-CN"/>
        </w:rPr>
        <w:t>1台</w:t>
      </w:r>
      <w:r>
        <w:rPr>
          <w:rFonts w:hint="eastAsia" w:ascii="Times New Roman" w:hAnsi="Times New Roman"/>
          <w:color w:val="auto"/>
          <w:highlight w:val="none"/>
        </w:rPr>
        <w:t>DN</w:t>
      </w:r>
      <w:r>
        <w:rPr>
          <w:rFonts w:hint="eastAsia" w:ascii="Times New Roman" w:hAnsi="Times New Roman"/>
          <w:color w:val="auto"/>
          <w:highlight w:val="none"/>
          <w:lang w:val="en-US" w:eastAsia="zh-CN"/>
        </w:rPr>
        <w:t>2</w:t>
      </w:r>
      <w:r>
        <w:rPr>
          <w:rFonts w:hint="eastAsia" w:ascii="Times New Roman" w:hAnsi="Times New Roman"/>
          <w:color w:val="auto"/>
          <w:highlight w:val="none"/>
        </w:rPr>
        <w:t>00</w:t>
      </w:r>
      <w:r>
        <w:rPr>
          <w:rFonts w:hint="eastAsia"/>
          <w:color w:val="auto"/>
          <w:szCs w:val="28"/>
          <w:highlight w:val="none"/>
        </w:rPr>
        <w:t>气动卸灰球阀输出到吸排罐车，吸排罐车输灰接口与重力除尘灰吸排罐车接口一致。小灰罐需设备用外排口，备用外排口设</w:t>
      </w:r>
      <w:r>
        <w:rPr>
          <w:rFonts w:hint="eastAsia"/>
          <w:color w:val="auto"/>
          <w:szCs w:val="28"/>
          <w:highlight w:val="none"/>
          <w:lang w:val="en-US" w:eastAsia="zh-CN"/>
        </w:rPr>
        <w:t>1台</w:t>
      </w:r>
      <w:r>
        <w:rPr>
          <w:rFonts w:hint="eastAsia" w:ascii="Times New Roman" w:hAnsi="Times New Roman"/>
          <w:color w:val="auto"/>
          <w:highlight w:val="none"/>
        </w:rPr>
        <w:t>DN</w:t>
      </w:r>
      <w:r>
        <w:rPr>
          <w:rFonts w:hint="eastAsia" w:ascii="Times New Roman" w:hAnsi="Times New Roman"/>
          <w:color w:val="auto"/>
          <w:highlight w:val="none"/>
          <w:lang w:val="en-US" w:eastAsia="zh-CN"/>
        </w:rPr>
        <w:t>2</w:t>
      </w:r>
      <w:r>
        <w:rPr>
          <w:rFonts w:hint="eastAsia" w:ascii="Times New Roman" w:hAnsi="Times New Roman"/>
          <w:color w:val="auto"/>
          <w:highlight w:val="none"/>
        </w:rPr>
        <w:t>00</w:t>
      </w:r>
      <w:r>
        <w:rPr>
          <w:rFonts w:hint="eastAsia"/>
          <w:color w:val="auto"/>
          <w:szCs w:val="28"/>
          <w:highlight w:val="none"/>
        </w:rPr>
        <w:t>气动卸灰球阀。</w:t>
      </w:r>
    </w:p>
    <w:p w14:paraId="332AA018">
      <w:pPr>
        <w:shd w:val="clear"/>
        <w:rPr>
          <w:rFonts w:hint="default" w:eastAsia="宋体" w:cs="宋体"/>
          <w:color w:val="auto"/>
          <w:highlight w:val="none"/>
          <w:lang w:val="en-US" w:eastAsia="zh-CN"/>
        </w:rPr>
      </w:pPr>
      <w:r>
        <w:rPr>
          <w:rFonts w:hint="eastAsia" w:cs="宋体"/>
          <w:color w:val="auto"/>
          <w:highlight w:val="none"/>
        </w:rPr>
        <w:t>均压煤气回收的卸灰处两面封闭+两面卷帘门，其中东侧和西侧为卷帘门，下部空间满足叉车东西向通行要求，以满足热风炉助燃风机房检修要求。</w:t>
      </w:r>
      <w:r>
        <w:rPr>
          <w:rFonts w:hint="eastAsia" w:cs="宋体"/>
          <w:color w:val="auto"/>
          <w:highlight w:val="none"/>
          <w:lang w:val="en-US" w:eastAsia="zh-CN"/>
        </w:rPr>
        <w:t>封闭后增设co报警器一台。</w:t>
      </w:r>
    </w:p>
    <w:p w14:paraId="4F9167E1">
      <w:pPr>
        <w:shd w:val="clear"/>
        <w:rPr>
          <w:color w:val="auto"/>
          <w:highlight w:val="none"/>
        </w:rPr>
      </w:pPr>
      <w:r>
        <w:rPr>
          <w:rFonts w:hint="eastAsia" w:cs="宋体"/>
          <w:color w:val="auto"/>
          <w:highlight w:val="none"/>
        </w:rPr>
        <w:t>8）筒体放散阀前需设置一道手动阀，手动阀设置铅封。</w:t>
      </w:r>
    </w:p>
    <w:p w14:paraId="6A8CD262">
      <w:pPr>
        <w:shd w:val="clear"/>
        <w:snapToGrid w:val="0"/>
        <w:ind w:firstLine="0" w:firstLineChars="0"/>
        <w:outlineLvl w:val="1"/>
        <w:rPr>
          <w:rFonts w:cs="Times New Roman"/>
          <w:b/>
          <w:color w:val="auto"/>
          <w:sz w:val="28"/>
          <w:szCs w:val="28"/>
          <w:highlight w:val="none"/>
        </w:rPr>
      </w:pPr>
      <w:bookmarkStart w:id="438" w:name="_Toc22202"/>
      <w:bookmarkStart w:id="439" w:name="_Toc17161"/>
      <w:bookmarkStart w:id="440" w:name="_Toc15134"/>
      <w:bookmarkStart w:id="441" w:name="_Toc11139"/>
      <w:bookmarkStart w:id="442" w:name="_Toc2101"/>
      <w:bookmarkStart w:id="443" w:name="_Toc21376"/>
      <w:r>
        <w:rPr>
          <w:rFonts w:hint="eastAsia" w:cs="Times New Roman"/>
          <w:b/>
          <w:color w:val="auto"/>
          <w:sz w:val="28"/>
          <w:szCs w:val="28"/>
          <w:highlight w:val="none"/>
        </w:rPr>
        <w:t xml:space="preserve">4.4 </w:t>
      </w:r>
      <w:r>
        <w:rPr>
          <w:rFonts w:cs="Times New Roman"/>
          <w:b/>
          <w:color w:val="auto"/>
          <w:sz w:val="28"/>
          <w:szCs w:val="28"/>
          <w:highlight w:val="none"/>
        </w:rPr>
        <w:t>TRT系统</w:t>
      </w:r>
      <w:bookmarkEnd w:id="438"/>
      <w:bookmarkEnd w:id="439"/>
      <w:bookmarkEnd w:id="440"/>
      <w:bookmarkEnd w:id="441"/>
      <w:bookmarkEnd w:id="442"/>
      <w:bookmarkEnd w:id="443"/>
    </w:p>
    <w:p w14:paraId="0CE74F38">
      <w:pPr>
        <w:pStyle w:val="74"/>
        <w:shd w:val="clear"/>
        <w:rPr>
          <w:color w:val="auto"/>
          <w:highlight w:val="none"/>
        </w:rPr>
      </w:pPr>
      <w:r>
        <w:rPr>
          <w:rFonts w:hint="eastAsia"/>
          <w:color w:val="auto"/>
          <w:highlight w:val="none"/>
        </w:rPr>
        <w:t>由于煤气流量变化不大，现有</w:t>
      </w:r>
      <w:r>
        <w:rPr>
          <w:color w:val="auto"/>
          <w:highlight w:val="none"/>
        </w:rPr>
        <w:t>TRT装置设计承压能力为0.18MPa，而本次炉顶压力设计为0.175MPa，TRT及管道、管道上阀门、补偿器设备承压均能满足改造要求，本次TRT及管道、管道上阀门、补偿器等不进行改造。</w:t>
      </w:r>
    </w:p>
    <w:p w14:paraId="4C1548C5">
      <w:pPr>
        <w:pStyle w:val="74"/>
        <w:shd w:val="clear"/>
        <w:rPr>
          <w:color w:val="auto"/>
          <w:highlight w:val="none"/>
        </w:rPr>
      </w:pPr>
      <w:r>
        <w:rPr>
          <w:color w:val="auto"/>
          <w:highlight w:val="none"/>
        </w:rPr>
        <w:t>2#高炉配套2#TRT 控制系统于2013年建设运行</w:t>
      </w:r>
      <w:r>
        <w:rPr>
          <w:rFonts w:hint="eastAsia"/>
          <w:color w:val="auto"/>
          <w:highlight w:val="none"/>
        </w:rPr>
        <w:t>,</w:t>
      </w:r>
      <w:r>
        <w:rPr>
          <w:color w:val="auto"/>
          <w:highlight w:val="none"/>
        </w:rPr>
        <w:t>操作系统为 WindowsXP，系统落后</w:t>
      </w:r>
      <w:r>
        <w:rPr>
          <w:rFonts w:hint="eastAsia"/>
          <w:color w:val="auto"/>
          <w:highlight w:val="none"/>
        </w:rPr>
        <w:t>。</w:t>
      </w:r>
      <w:r>
        <w:rPr>
          <w:color w:val="auto"/>
          <w:highlight w:val="none"/>
        </w:rPr>
        <w:t>控制器和部分IO模块已停产，控制系统为和利时SM系列</w:t>
      </w:r>
      <w:r>
        <w:rPr>
          <w:rFonts w:hint="eastAsia"/>
          <w:color w:val="auto"/>
          <w:highlight w:val="none"/>
        </w:rPr>
        <w:t>，</w:t>
      </w:r>
      <w:r>
        <w:rPr>
          <w:color w:val="auto"/>
          <w:highlight w:val="none"/>
        </w:rPr>
        <w:t>MACS6.5系列</w:t>
      </w:r>
      <w:r>
        <w:rPr>
          <w:rFonts w:hint="eastAsia"/>
          <w:color w:val="auto"/>
          <w:highlight w:val="none"/>
        </w:rPr>
        <w:t>。</w:t>
      </w:r>
      <w:r>
        <w:rPr>
          <w:color w:val="auto"/>
          <w:highlight w:val="none"/>
        </w:rPr>
        <w:t>目前运行期间已陆续出现数据包丢失、硬件报错、硬件通道故障等问题</w:t>
      </w:r>
      <w:r>
        <w:rPr>
          <w:rFonts w:hint="eastAsia"/>
          <w:color w:val="auto"/>
          <w:highlight w:val="none"/>
        </w:rPr>
        <w:t>，</w:t>
      </w:r>
      <w:r>
        <w:rPr>
          <w:color w:val="auto"/>
          <w:highlight w:val="none"/>
        </w:rPr>
        <w:t>尤其伺服控制器运行不稳定，信号丢失现象频发</w:t>
      </w:r>
      <w:r>
        <w:rPr>
          <w:rFonts w:hint="eastAsia"/>
          <w:color w:val="auto"/>
          <w:highlight w:val="none"/>
        </w:rPr>
        <w:t>。</w:t>
      </w:r>
      <w:r>
        <w:rPr>
          <w:color w:val="auto"/>
          <w:highlight w:val="none"/>
        </w:rPr>
        <w:t>需对控制系统软硬件进行升级改造</w:t>
      </w:r>
      <w:r>
        <w:rPr>
          <w:rFonts w:hint="eastAsia"/>
          <w:color w:val="auto"/>
          <w:highlight w:val="none"/>
        </w:rPr>
        <w:t>。</w:t>
      </w:r>
    </w:p>
    <w:p w14:paraId="73A7AAFE">
      <w:pPr>
        <w:shd w:val="clear"/>
        <w:snapToGrid w:val="0"/>
        <w:ind w:firstLine="0" w:firstLineChars="0"/>
        <w:outlineLvl w:val="2"/>
        <w:rPr>
          <w:rFonts w:cs="Times New Roman"/>
          <w:color w:val="auto"/>
          <w:szCs w:val="28"/>
          <w:highlight w:val="none"/>
        </w:rPr>
      </w:pPr>
      <w:bookmarkStart w:id="444" w:name="_Toc7287"/>
      <w:r>
        <w:rPr>
          <w:rFonts w:hint="eastAsia" w:cs="Times New Roman"/>
          <w:color w:val="auto"/>
          <w:szCs w:val="28"/>
          <w:highlight w:val="none"/>
        </w:rPr>
        <w:t xml:space="preserve">4.4.1 </w:t>
      </w:r>
      <w:r>
        <w:rPr>
          <w:rFonts w:cs="Times New Roman"/>
          <w:color w:val="auto"/>
          <w:szCs w:val="28"/>
          <w:highlight w:val="none"/>
        </w:rPr>
        <w:t>需要更换控制系统硬件</w:t>
      </w:r>
      <w:bookmarkEnd w:id="444"/>
    </w:p>
    <w:p w14:paraId="16FEED4E">
      <w:pPr>
        <w:pStyle w:val="74"/>
        <w:shd w:val="clear"/>
        <w:rPr>
          <w:color w:val="auto"/>
          <w:highlight w:val="none"/>
        </w:rPr>
      </w:pPr>
      <w:r>
        <w:rPr>
          <w:color w:val="auto"/>
          <w:highlight w:val="none"/>
        </w:rPr>
        <w:t>包含本特利轴系框架表1套、静叶和旁通伺服控制器3台、DCS控制系统 1 套（测点共389个，操作员站 三台，一台工程师站）、AITEK_转速表及控制模块1套），配置GPS系统和MIS系统各一套（包含网闸和采数计算机一套，并完成报表自动采集功能），实现DCS系统实现时钟同步和生产日报表自动采集，电子无饶切换装置一台（型号APC AP7724）。控制电缆需全部更换； 完成改造后的控制系统安装调试和与高炉侧的功能调试。</w:t>
      </w:r>
    </w:p>
    <w:p w14:paraId="7C0D8DFE">
      <w:pPr>
        <w:shd w:val="clear"/>
        <w:snapToGrid w:val="0"/>
        <w:ind w:firstLine="0" w:firstLineChars="0"/>
        <w:outlineLvl w:val="2"/>
        <w:rPr>
          <w:rFonts w:cs="Times New Roman"/>
          <w:color w:val="auto"/>
          <w:szCs w:val="28"/>
          <w:highlight w:val="none"/>
        </w:rPr>
      </w:pPr>
      <w:bookmarkStart w:id="445" w:name="_Toc23904"/>
      <w:r>
        <w:rPr>
          <w:rFonts w:hint="eastAsia" w:cs="Times New Roman"/>
          <w:color w:val="auto"/>
          <w:szCs w:val="28"/>
          <w:highlight w:val="none"/>
        </w:rPr>
        <w:t>4.4.2 控制系统相关技术要求</w:t>
      </w:r>
      <w:bookmarkEnd w:id="445"/>
    </w:p>
    <w:p w14:paraId="2FD50AEA">
      <w:pPr>
        <w:pStyle w:val="74"/>
        <w:shd w:val="clear"/>
        <w:rPr>
          <w:color w:val="auto"/>
          <w:highlight w:val="none"/>
        </w:rPr>
      </w:pPr>
      <w:r>
        <w:rPr>
          <w:rFonts w:hint="eastAsia"/>
          <w:color w:val="auto"/>
          <w:highlight w:val="none"/>
        </w:rPr>
        <w:t>能量回收透平发电机组</w:t>
      </w:r>
      <w:r>
        <w:rPr>
          <w:color w:val="auto"/>
          <w:highlight w:val="none"/>
        </w:rPr>
        <w:t>(简称:TRT)自控系统原则为满足在确保高炉正常生产的前提下，尽量多发电；任何情况下保证该机组的安全和转速不超过允许范围；系统具备自动启动、自动调速、自动调功率、高炉顶压自动调节及停机联锁与保护功能。</w:t>
      </w:r>
    </w:p>
    <w:p w14:paraId="26F1A45C">
      <w:pPr>
        <w:pStyle w:val="74"/>
        <w:shd w:val="clear"/>
        <w:rPr>
          <w:color w:val="auto"/>
          <w:highlight w:val="none"/>
        </w:rPr>
      </w:pPr>
      <w:r>
        <w:rPr>
          <w:rFonts w:hint="eastAsia"/>
          <w:color w:val="auto"/>
          <w:highlight w:val="none"/>
        </w:rPr>
        <w:t>本项目</w:t>
      </w:r>
      <w:r>
        <w:rPr>
          <w:color w:val="auto"/>
          <w:highlight w:val="none"/>
        </w:rPr>
        <w:t>TRT机组DCS控制系统采用国产和利时最新K系列6.5.4DCS系统（电厂版本），配置OPC接口和GPS系统，本特利框架表测点同时通过硬线方式进入DCS系统显示；控制系统入口电源为两路，一路UPS、一路厂电，配置电子式冗余切换装置，电源分别给DCS和本特利框架表提供两路电源进行供电；电源、控制器、通讯冗余配置；完成跳闸信号和电动泵信号的SOE功能配置，控制系统I/O点数预留15%的余量，10%空槽位，40%内存余量。完成机组所必须的过程控制、逻辑控制和过程监视功能。</w:t>
      </w:r>
    </w:p>
    <w:p w14:paraId="64CD0DA9">
      <w:pPr>
        <w:pStyle w:val="74"/>
        <w:shd w:val="clear"/>
        <w:rPr>
          <w:color w:val="auto"/>
          <w:highlight w:val="none"/>
        </w:rPr>
      </w:pPr>
      <w:r>
        <w:rPr>
          <w:color w:val="auto"/>
          <w:highlight w:val="none"/>
        </w:rPr>
        <w:t>DCS提供以太网接口，中文操作平台。DCS系统DI板卡带SOE功能。DCS系统带OPC接口。</w:t>
      </w:r>
    </w:p>
    <w:p w14:paraId="7BE0085B">
      <w:pPr>
        <w:pStyle w:val="74"/>
        <w:shd w:val="clear"/>
        <w:rPr>
          <w:color w:val="auto"/>
          <w:highlight w:val="none"/>
        </w:rPr>
      </w:pPr>
      <w:r>
        <w:rPr>
          <w:rFonts w:hint="eastAsia"/>
          <w:color w:val="auto"/>
          <w:highlight w:val="none"/>
        </w:rPr>
        <w:t>系统设置操作员站三台，一台工程师站，实现远方操控，</w:t>
      </w:r>
      <w:r>
        <w:rPr>
          <w:color w:val="auto"/>
          <w:highlight w:val="none"/>
        </w:rPr>
        <w:t>CPU：I7、四核、3.0GHz；RAM 16G；1T固态硬盘；DVD刻录光驱/27寸曲面显示器，交换机使用工业级以太网交换机，确保机组DCS控制信号传输准确。</w:t>
      </w:r>
    </w:p>
    <w:p w14:paraId="2D2DC2BB">
      <w:pPr>
        <w:pStyle w:val="74"/>
        <w:shd w:val="clear"/>
        <w:rPr>
          <w:color w:val="auto"/>
          <w:highlight w:val="none"/>
        </w:rPr>
      </w:pPr>
      <w:r>
        <w:rPr>
          <w:rFonts w:hint="eastAsia"/>
          <w:color w:val="auto"/>
          <w:highlight w:val="none"/>
        </w:rPr>
        <w:t>系统配置</w:t>
      </w:r>
      <w:r>
        <w:rPr>
          <w:color w:val="auto"/>
          <w:highlight w:val="none"/>
        </w:rPr>
        <w:t>1台彩色喷墨打印机和1台黑色打印机（A4幅面）。</w:t>
      </w:r>
    </w:p>
    <w:p w14:paraId="1C289179">
      <w:pPr>
        <w:pStyle w:val="74"/>
        <w:shd w:val="clear"/>
        <w:rPr>
          <w:color w:val="auto"/>
          <w:highlight w:val="none"/>
        </w:rPr>
      </w:pPr>
      <w:r>
        <w:rPr>
          <w:rFonts w:hint="eastAsia"/>
          <w:color w:val="auto"/>
          <w:highlight w:val="none"/>
        </w:rPr>
        <w:t>操作站与控制系统采用工业以太网通讯，完成对机组的所有数据采集、储存、过程调节、逻辑控制及保护操作功能。预留与其他控制系统的以太网通讯接口。</w:t>
      </w:r>
    </w:p>
    <w:p w14:paraId="251E80D0">
      <w:pPr>
        <w:pStyle w:val="74"/>
        <w:shd w:val="clear"/>
        <w:rPr>
          <w:color w:val="auto"/>
          <w:highlight w:val="none"/>
        </w:rPr>
      </w:pPr>
      <w:r>
        <w:rPr>
          <w:rFonts w:hint="eastAsia"/>
          <w:color w:val="auto"/>
          <w:highlight w:val="none"/>
        </w:rPr>
        <w:t>机组控制系统配置：三面机柜</w:t>
      </w:r>
    </w:p>
    <w:p w14:paraId="3ABB3261">
      <w:pPr>
        <w:shd w:val="clear"/>
        <w:snapToGrid w:val="0"/>
        <w:ind w:firstLine="0" w:firstLineChars="0"/>
        <w:outlineLvl w:val="2"/>
        <w:rPr>
          <w:rFonts w:cs="Times New Roman"/>
          <w:color w:val="auto"/>
          <w:szCs w:val="28"/>
          <w:highlight w:val="none"/>
        </w:rPr>
      </w:pPr>
      <w:bookmarkStart w:id="446" w:name="_Toc14266"/>
      <w:r>
        <w:rPr>
          <w:rFonts w:hint="eastAsia" w:cs="Times New Roman"/>
          <w:color w:val="auto"/>
          <w:szCs w:val="28"/>
          <w:highlight w:val="none"/>
        </w:rPr>
        <w:t>4.4.3 控制系统主要控制功能</w:t>
      </w:r>
      <w:bookmarkEnd w:id="446"/>
    </w:p>
    <w:p w14:paraId="5D962073">
      <w:pPr>
        <w:shd w:val="clear"/>
        <w:snapToGrid w:val="0"/>
        <w:ind w:firstLine="0" w:firstLineChars="0"/>
        <w:outlineLvl w:val="3"/>
        <w:rPr>
          <w:rFonts w:cs="Times New Roman"/>
          <w:color w:val="auto"/>
          <w:szCs w:val="28"/>
          <w:highlight w:val="none"/>
        </w:rPr>
      </w:pPr>
      <w:r>
        <w:rPr>
          <w:rFonts w:hint="eastAsia" w:cs="Times New Roman"/>
          <w:color w:val="auto"/>
          <w:szCs w:val="28"/>
          <w:highlight w:val="none"/>
        </w:rPr>
        <w:t>4.4.3.1 机组启机控制</w:t>
      </w:r>
    </w:p>
    <w:p w14:paraId="59839611">
      <w:pPr>
        <w:pStyle w:val="74"/>
        <w:shd w:val="clear"/>
        <w:rPr>
          <w:color w:val="auto"/>
          <w:highlight w:val="none"/>
        </w:rPr>
      </w:pPr>
      <w:r>
        <w:rPr>
          <w:rFonts w:hint="eastAsia"/>
          <w:color w:val="auto"/>
          <w:highlight w:val="none"/>
        </w:rPr>
        <w:t>机组启机条件为：润滑油油压正常、润滑油温正常、动力油油压正常、静叶全关、大型阀门投自控、盘车投运、所有试验开关复位、系统存储器复位，只有当以上所有条件满足并经确认后，方可向高炉中控室发出</w:t>
      </w:r>
      <w:r>
        <w:rPr>
          <w:color w:val="auto"/>
          <w:highlight w:val="none"/>
        </w:rPr>
        <w:t>TRT申请启动信号，当高炉中控室接收到TRT的申请启动信号后，高炉中控室在高炉运行状况允许的情况下向TRT中控室发出高炉允许TRT启动信号，之后机组启动指令才有效，打开入口碟阀，TRT机组启动并转入转速控制调节功能。实现一键启机并网功能。</w:t>
      </w:r>
    </w:p>
    <w:p w14:paraId="2AA5CBD7">
      <w:pPr>
        <w:shd w:val="clear"/>
        <w:snapToGrid w:val="0"/>
        <w:ind w:firstLine="0" w:firstLineChars="0"/>
        <w:outlineLvl w:val="3"/>
        <w:rPr>
          <w:rFonts w:cs="Times New Roman"/>
          <w:color w:val="auto"/>
          <w:szCs w:val="28"/>
          <w:highlight w:val="none"/>
        </w:rPr>
      </w:pPr>
      <w:r>
        <w:rPr>
          <w:rFonts w:hint="eastAsia" w:cs="Times New Roman"/>
          <w:color w:val="auto"/>
          <w:szCs w:val="28"/>
          <w:highlight w:val="none"/>
        </w:rPr>
        <w:t>4.4.3.2 转速调节保护系统</w:t>
      </w:r>
    </w:p>
    <w:p w14:paraId="4C0FF3EF">
      <w:pPr>
        <w:pStyle w:val="74"/>
        <w:shd w:val="clear"/>
        <w:rPr>
          <w:color w:val="auto"/>
          <w:highlight w:val="none"/>
        </w:rPr>
      </w:pPr>
      <w:r>
        <w:rPr>
          <w:color w:val="auto"/>
          <w:highlight w:val="none"/>
        </w:rPr>
        <w:t>TRT机组转速控制调节功能分手动、自动两种形式，完成机组转速从0至3000r/min的升速控制。自动控制调节功能由机组转速检测信号、机组自动升速曲线及煤气透平静叶构成转速控制调节回路功能，完成机组升速、临界转速超越及将机组转速稳定在发电机并网发电转速。</w:t>
      </w:r>
    </w:p>
    <w:p w14:paraId="02B655CE">
      <w:pPr>
        <w:shd w:val="clear"/>
        <w:snapToGrid w:val="0"/>
        <w:ind w:firstLine="0" w:firstLineChars="0"/>
        <w:outlineLvl w:val="3"/>
        <w:rPr>
          <w:rFonts w:cs="Times New Roman"/>
          <w:color w:val="auto"/>
          <w:szCs w:val="28"/>
          <w:highlight w:val="none"/>
        </w:rPr>
      </w:pPr>
      <w:r>
        <w:rPr>
          <w:rFonts w:hint="eastAsia" w:cs="Times New Roman"/>
          <w:color w:val="auto"/>
          <w:szCs w:val="28"/>
          <w:highlight w:val="none"/>
        </w:rPr>
        <w:t>4.4.3.3 功率调节系统</w:t>
      </w:r>
    </w:p>
    <w:p w14:paraId="32E55E2F">
      <w:pPr>
        <w:pStyle w:val="74"/>
        <w:shd w:val="clear"/>
        <w:rPr>
          <w:color w:val="auto"/>
          <w:highlight w:val="none"/>
        </w:rPr>
      </w:pPr>
      <w:r>
        <w:rPr>
          <w:rFonts w:hint="eastAsia"/>
          <w:color w:val="auto"/>
          <w:highlight w:val="none"/>
        </w:rPr>
        <w:t>自控系统接收到发电机并网信号后自动转入</w:t>
      </w:r>
      <w:r>
        <w:rPr>
          <w:color w:val="auto"/>
          <w:highlight w:val="none"/>
        </w:rPr>
        <w:t>TRT机组功率控制调节功能，通过调节煤气透平静叶的开度达到对发电机发电功率的控制调节。</w:t>
      </w:r>
    </w:p>
    <w:p w14:paraId="2F45ED56">
      <w:pPr>
        <w:shd w:val="clear"/>
        <w:snapToGrid w:val="0"/>
        <w:ind w:firstLine="0" w:firstLineChars="0"/>
        <w:outlineLvl w:val="3"/>
        <w:rPr>
          <w:rFonts w:cs="Times New Roman"/>
          <w:color w:val="auto"/>
          <w:szCs w:val="28"/>
          <w:highlight w:val="none"/>
        </w:rPr>
      </w:pPr>
      <w:r>
        <w:rPr>
          <w:rFonts w:hint="eastAsia" w:cs="Times New Roman"/>
          <w:color w:val="auto"/>
          <w:szCs w:val="28"/>
          <w:highlight w:val="none"/>
        </w:rPr>
        <w:t>4.4.3.4 炉顶压力调节系统</w:t>
      </w:r>
    </w:p>
    <w:p w14:paraId="17A4DDAF">
      <w:pPr>
        <w:pStyle w:val="74"/>
        <w:shd w:val="clear"/>
        <w:rPr>
          <w:color w:val="auto"/>
          <w:highlight w:val="none"/>
        </w:rPr>
      </w:pPr>
      <w:r>
        <w:rPr>
          <w:rFonts w:hint="eastAsia"/>
          <w:color w:val="auto"/>
          <w:highlight w:val="none"/>
        </w:rPr>
        <w:t>高炉顶压控制回路由煤气透平静叶、高炉顶压测量信号、高炉顶压设定值构成</w:t>
      </w:r>
      <w:r>
        <w:rPr>
          <w:color w:val="auto"/>
          <w:highlight w:val="none"/>
        </w:rPr>
        <w:t>PID控制调节功能，以保证高炉顶压的稳定。</w:t>
      </w:r>
    </w:p>
    <w:p w14:paraId="07FFF737">
      <w:pPr>
        <w:pStyle w:val="74"/>
        <w:shd w:val="clear"/>
        <w:rPr>
          <w:color w:val="auto"/>
          <w:highlight w:val="none"/>
        </w:rPr>
      </w:pPr>
      <w:r>
        <w:rPr>
          <w:rFonts w:hint="eastAsia"/>
          <w:color w:val="auto"/>
          <w:highlight w:val="none"/>
        </w:rPr>
        <w:t>正常运行时：压力波动＜</w:t>
      </w:r>
      <w:r>
        <w:rPr>
          <w:color w:val="auto"/>
          <w:highlight w:val="none"/>
        </w:rPr>
        <w:t>3KPa（±3KPa）</w:t>
      </w:r>
    </w:p>
    <w:p w14:paraId="33151B34">
      <w:pPr>
        <w:pStyle w:val="74"/>
        <w:shd w:val="clear"/>
        <w:rPr>
          <w:color w:val="auto"/>
          <w:highlight w:val="none"/>
        </w:rPr>
      </w:pPr>
      <w:r>
        <w:rPr>
          <w:rFonts w:hint="eastAsia"/>
          <w:color w:val="auto"/>
          <w:highlight w:val="none"/>
        </w:rPr>
        <w:t>紧急停机时：压力波动＜</w:t>
      </w:r>
      <w:r>
        <w:rPr>
          <w:color w:val="auto"/>
          <w:highlight w:val="none"/>
        </w:rPr>
        <w:t>5KPa（±5KPa）</w:t>
      </w:r>
    </w:p>
    <w:p w14:paraId="6B47C836">
      <w:pPr>
        <w:shd w:val="clear"/>
        <w:snapToGrid w:val="0"/>
        <w:ind w:firstLine="0" w:firstLineChars="0"/>
        <w:outlineLvl w:val="3"/>
        <w:rPr>
          <w:rFonts w:cs="Times New Roman"/>
          <w:color w:val="auto"/>
          <w:szCs w:val="28"/>
          <w:highlight w:val="none"/>
        </w:rPr>
      </w:pPr>
      <w:r>
        <w:rPr>
          <w:rFonts w:hint="eastAsia" w:cs="Times New Roman"/>
          <w:color w:val="auto"/>
          <w:szCs w:val="28"/>
          <w:highlight w:val="none"/>
        </w:rPr>
        <w:t>4.4.3.5 氮封差压调节系统</w:t>
      </w:r>
    </w:p>
    <w:p w14:paraId="0FA90CE8">
      <w:pPr>
        <w:pStyle w:val="74"/>
        <w:shd w:val="clear"/>
        <w:rPr>
          <w:color w:val="auto"/>
          <w:highlight w:val="none"/>
        </w:rPr>
      </w:pPr>
      <w:r>
        <w:rPr>
          <w:rFonts w:hint="eastAsia"/>
          <w:color w:val="auto"/>
          <w:highlight w:val="none"/>
        </w:rPr>
        <w:t>为防止煤气透平机内一氧化碳气体由轴端泄漏特设置了轴端氮气密封控制调节功能，该控制回路由密封氮气压力、煤气透平进口压力及密封氮气压力调节阀组成，调节密封氮气压力，使密封氮气压力高于轴端密封处煤气压力约</w:t>
      </w:r>
      <w:r>
        <w:rPr>
          <w:color w:val="auto"/>
          <w:highlight w:val="none"/>
        </w:rPr>
        <w:t>20～30KPa。</w:t>
      </w:r>
    </w:p>
    <w:p w14:paraId="55567BB5">
      <w:pPr>
        <w:shd w:val="clear"/>
        <w:snapToGrid w:val="0"/>
        <w:ind w:firstLine="0" w:firstLineChars="0"/>
        <w:outlineLvl w:val="3"/>
        <w:rPr>
          <w:rFonts w:cs="Times New Roman"/>
          <w:color w:val="auto"/>
          <w:szCs w:val="28"/>
          <w:highlight w:val="none"/>
        </w:rPr>
      </w:pPr>
      <w:r>
        <w:rPr>
          <w:rFonts w:hint="eastAsia" w:cs="Times New Roman"/>
          <w:color w:val="auto"/>
          <w:szCs w:val="28"/>
          <w:highlight w:val="none"/>
        </w:rPr>
        <w:t>4.4.3.6 轴振动、轴位移监测保护系统</w:t>
      </w:r>
    </w:p>
    <w:p w14:paraId="72F661BA">
      <w:pPr>
        <w:pStyle w:val="74"/>
        <w:shd w:val="clear"/>
        <w:rPr>
          <w:color w:val="auto"/>
          <w:highlight w:val="none"/>
        </w:rPr>
      </w:pPr>
      <w:r>
        <w:rPr>
          <w:rFonts w:hint="eastAsia"/>
          <w:color w:val="auto"/>
          <w:highlight w:val="none"/>
        </w:rPr>
        <w:t>通过检测煤气透平进</w:t>
      </w:r>
      <w:r>
        <w:rPr>
          <w:color w:val="auto"/>
          <w:highlight w:val="none"/>
        </w:rPr>
        <w:t>/排气侧轴振动、轴位移，从而完成联锁保护功能。</w:t>
      </w:r>
    </w:p>
    <w:p w14:paraId="3355992D">
      <w:pPr>
        <w:shd w:val="clear"/>
        <w:snapToGrid w:val="0"/>
        <w:ind w:firstLine="0" w:firstLineChars="0"/>
        <w:outlineLvl w:val="3"/>
        <w:rPr>
          <w:rFonts w:cs="Times New Roman"/>
          <w:color w:val="auto"/>
          <w:szCs w:val="28"/>
          <w:highlight w:val="none"/>
        </w:rPr>
      </w:pPr>
      <w:r>
        <w:rPr>
          <w:rFonts w:hint="eastAsia" w:cs="Times New Roman"/>
          <w:color w:val="auto"/>
          <w:szCs w:val="28"/>
          <w:highlight w:val="none"/>
        </w:rPr>
        <w:t>4.4.3.7 机组轴承温度监测保护系统</w:t>
      </w:r>
    </w:p>
    <w:p w14:paraId="2A27E809">
      <w:pPr>
        <w:pStyle w:val="74"/>
        <w:shd w:val="clear"/>
        <w:rPr>
          <w:color w:val="auto"/>
          <w:highlight w:val="none"/>
        </w:rPr>
      </w:pPr>
      <w:r>
        <w:rPr>
          <w:rFonts w:hint="eastAsia"/>
          <w:color w:val="auto"/>
          <w:highlight w:val="none"/>
        </w:rPr>
        <w:t>通过检测煤气透平前、后支承轴瓦温度监测、止推轴瓦温度、发电机前后支承轴瓦温度，从而完成联锁保护功能。</w:t>
      </w:r>
    </w:p>
    <w:p w14:paraId="5FA87832">
      <w:pPr>
        <w:shd w:val="clear"/>
        <w:snapToGrid w:val="0"/>
        <w:ind w:firstLine="0" w:firstLineChars="0"/>
        <w:outlineLvl w:val="3"/>
        <w:rPr>
          <w:rFonts w:cs="Times New Roman"/>
          <w:color w:val="auto"/>
          <w:szCs w:val="28"/>
          <w:highlight w:val="none"/>
        </w:rPr>
      </w:pPr>
      <w:r>
        <w:rPr>
          <w:rFonts w:hint="eastAsia" w:cs="Times New Roman"/>
          <w:color w:val="auto"/>
          <w:szCs w:val="28"/>
          <w:highlight w:val="none"/>
        </w:rPr>
        <w:t>4.4.3.8 停机联锁保护系统</w:t>
      </w:r>
      <w:r>
        <w:rPr>
          <w:rFonts w:cs="Times New Roman"/>
          <w:color w:val="auto"/>
          <w:szCs w:val="28"/>
          <w:highlight w:val="none"/>
        </w:rPr>
        <w:t xml:space="preserve"> </w:t>
      </w:r>
    </w:p>
    <w:p w14:paraId="74FF9521">
      <w:pPr>
        <w:pStyle w:val="74"/>
        <w:shd w:val="clear"/>
        <w:rPr>
          <w:color w:val="auto"/>
          <w:highlight w:val="none"/>
        </w:rPr>
      </w:pPr>
      <w:r>
        <w:rPr>
          <w:rFonts w:hint="eastAsia"/>
          <w:color w:val="auto"/>
          <w:highlight w:val="none"/>
        </w:rPr>
        <w:t>停机条件有：润滑油压力过低（三取二表决）；动力油压力过低（三取二表决）；轴位移过大（二取二表决）；机组转速过高（三取二表决）；电气事故停机；手动紧急停机；轴振动过高；轴系温度过高。</w:t>
      </w:r>
    </w:p>
    <w:p w14:paraId="7251E583">
      <w:pPr>
        <w:pStyle w:val="74"/>
        <w:shd w:val="clear"/>
        <w:rPr>
          <w:color w:val="auto"/>
          <w:highlight w:val="none"/>
        </w:rPr>
      </w:pPr>
      <w:r>
        <w:rPr>
          <w:rFonts w:hint="eastAsia"/>
          <w:color w:val="auto"/>
          <w:highlight w:val="none"/>
        </w:rPr>
        <w:t>当以上任一条件发生时，都将实施机组紧急停机联锁。</w:t>
      </w:r>
    </w:p>
    <w:p w14:paraId="2DE65CE9">
      <w:pPr>
        <w:shd w:val="clear"/>
        <w:snapToGrid w:val="0"/>
        <w:ind w:firstLine="0" w:firstLineChars="0"/>
        <w:outlineLvl w:val="3"/>
        <w:rPr>
          <w:rFonts w:cs="Times New Roman"/>
          <w:color w:val="auto"/>
          <w:szCs w:val="28"/>
          <w:highlight w:val="none"/>
        </w:rPr>
      </w:pPr>
      <w:r>
        <w:rPr>
          <w:rFonts w:hint="eastAsia" w:cs="Times New Roman"/>
          <w:color w:val="auto"/>
          <w:szCs w:val="28"/>
          <w:highlight w:val="none"/>
        </w:rPr>
        <w:t>4.4.3.9 润滑油、动力油监控系统</w:t>
      </w:r>
    </w:p>
    <w:p w14:paraId="3250C59F">
      <w:pPr>
        <w:pStyle w:val="74"/>
        <w:shd w:val="clear"/>
        <w:rPr>
          <w:color w:val="auto"/>
          <w:highlight w:val="none"/>
        </w:rPr>
      </w:pPr>
      <w:r>
        <w:rPr>
          <w:rFonts w:hint="eastAsia"/>
          <w:color w:val="auto"/>
          <w:highlight w:val="none"/>
        </w:rPr>
        <w:t>该系统主要包括以下控制功能：润滑油油压、动力油油压、油温、油箱液位（仅检测、不控制）、滤油器压差等参数的监测联锁。</w:t>
      </w:r>
    </w:p>
    <w:p w14:paraId="51D0FC5F">
      <w:pPr>
        <w:shd w:val="clear"/>
        <w:snapToGrid w:val="0"/>
        <w:ind w:firstLine="0" w:firstLineChars="0"/>
        <w:outlineLvl w:val="3"/>
        <w:rPr>
          <w:rFonts w:cs="Times New Roman"/>
          <w:color w:val="auto"/>
          <w:szCs w:val="28"/>
          <w:highlight w:val="none"/>
        </w:rPr>
      </w:pPr>
      <w:r>
        <w:rPr>
          <w:rFonts w:hint="eastAsia" w:cs="Times New Roman"/>
          <w:color w:val="auto"/>
          <w:szCs w:val="28"/>
          <w:highlight w:val="none"/>
        </w:rPr>
        <w:t>4.4.3.10 机组盘车控制系统</w:t>
      </w:r>
    </w:p>
    <w:p w14:paraId="4F94F1E2">
      <w:pPr>
        <w:pStyle w:val="74"/>
        <w:shd w:val="clear"/>
        <w:rPr>
          <w:color w:val="auto"/>
          <w:highlight w:val="none"/>
        </w:rPr>
      </w:pPr>
      <w:r>
        <w:rPr>
          <w:rFonts w:hint="eastAsia"/>
          <w:color w:val="auto"/>
          <w:highlight w:val="none"/>
        </w:rPr>
        <w:t>在机组开机前与停车后，为方便启机和避免转子热变。机组盘车装置必须投运，因此该控制功能通过必要的条件和逻辑保证机组盘车及时正常启动。</w:t>
      </w:r>
    </w:p>
    <w:p w14:paraId="2A6733F0">
      <w:pPr>
        <w:shd w:val="clear"/>
        <w:snapToGrid w:val="0"/>
        <w:ind w:firstLine="0" w:firstLineChars="0"/>
        <w:outlineLvl w:val="2"/>
        <w:rPr>
          <w:rFonts w:cs="Times New Roman"/>
          <w:color w:val="auto"/>
          <w:szCs w:val="28"/>
          <w:highlight w:val="none"/>
        </w:rPr>
      </w:pPr>
      <w:bookmarkStart w:id="447" w:name="_Toc5914"/>
      <w:r>
        <w:rPr>
          <w:rFonts w:hint="eastAsia" w:cs="Times New Roman"/>
          <w:color w:val="auto"/>
          <w:szCs w:val="28"/>
          <w:highlight w:val="none"/>
        </w:rPr>
        <w:t xml:space="preserve">4.4.4 </w:t>
      </w:r>
      <w:r>
        <w:rPr>
          <w:rFonts w:cs="Times New Roman"/>
          <w:color w:val="auto"/>
          <w:szCs w:val="28"/>
          <w:highlight w:val="none"/>
        </w:rPr>
        <w:t>操作站HMI上显示以下画面：</w:t>
      </w:r>
      <w:bookmarkEnd w:id="447"/>
    </w:p>
    <w:p w14:paraId="6170944F">
      <w:pPr>
        <w:numPr>
          <w:ilvl w:val="0"/>
          <w:numId w:val="6"/>
        </w:numPr>
        <w:shd w:val="clear"/>
        <w:adjustRightInd w:val="0"/>
        <w:ind w:firstLine="480" w:firstLineChars="0"/>
        <w:textAlignment w:val="baseline"/>
        <w:rPr>
          <w:rFonts w:cs="Times New Roman"/>
          <w:bCs/>
          <w:color w:val="auto"/>
          <w:kern w:val="0"/>
          <w:szCs w:val="20"/>
          <w:highlight w:val="none"/>
        </w:rPr>
      </w:pPr>
      <w:r>
        <w:rPr>
          <w:rFonts w:hint="eastAsia" w:cs="Times New Roman"/>
          <w:bCs/>
          <w:color w:val="auto"/>
          <w:kern w:val="0"/>
          <w:szCs w:val="20"/>
          <w:highlight w:val="none"/>
        </w:rPr>
        <w:t>主煤气系统流程</w:t>
      </w:r>
    </w:p>
    <w:p w14:paraId="07642EE9">
      <w:pPr>
        <w:numPr>
          <w:ilvl w:val="0"/>
          <w:numId w:val="6"/>
        </w:numPr>
        <w:shd w:val="clear"/>
        <w:adjustRightInd w:val="0"/>
        <w:ind w:firstLine="480" w:firstLineChars="0"/>
        <w:textAlignment w:val="baseline"/>
        <w:rPr>
          <w:rFonts w:cs="Times New Roman"/>
          <w:bCs/>
          <w:color w:val="auto"/>
          <w:kern w:val="0"/>
          <w:szCs w:val="20"/>
          <w:highlight w:val="none"/>
        </w:rPr>
      </w:pPr>
      <w:r>
        <w:rPr>
          <w:rFonts w:hint="eastAsia" w:cs="Times New Roman"/>
          <w:bCs/>
          <w:color w:val="auto"/>
          <w:kern w:val="0"/>
          <w:szCs w:val="20"/>
          <w:highlight w:val="none"/>
        </w:rPr>
        <w:t>氮气密封系统流程</w:t>
      </w:r>
    </w:p>
    <w:p w14:paraId="025966D0">
      <w:pPr>
        <w:numPr>
          <w:ilvl w:val="0"/>
          <w:numId w:val="6"/>
        </w:numPr>
        <w:shd w:val="clear"/>
        <w:adjustRightInd w:val="0"/>
        <w:ind w:firstLine="480" w:firstLineChars="0"/>
        <w:textAlignment w:val="baseline"/>
        <w:rPr>
          <w:rFonts w:cs="Times New Roman"/>
          <w:bCs/>
          <w:color w:val="auto"/>
          <w:kern w:val="0"/>
          <w:szCs w:val="20"/>
          <w:highlight w:val="none"/>
        </w:rPr>
      </w:pPr>
      <w:r>
        <w:rPr>
          <w:rFonts w:hint="eastAsia" w:cs="Times New Roman"/>
          <w:bCs/>
          <w:color w:val="auto"/>
          <w:kern w:val="0"/>
          <w:szCs w:val="20"/>
          <w:highlight w:val="none"/>
        </w:rPr>
        <w:t>润滑油系统流程</w:t>
      </w:r>
    </w:p>
    <w:p w14:paraId="1C6DADB8">
      <w:pPr>
        <w:numPr>
          <w:ilvl w:val="0"/>
          <w:numId w:val="6"/>
        </w:numPr>
        <w:shd w:val="clear"/>
        <w:adjustRightInd w:val="0"/>
        <w:ind w:firstLine="480" w:firstLineChars="0"/>
        <w:textAlignment w:val="baseline"/>
        <w:rPr>
          <w:rFonts w:cs="Times New Roman"/>
          <w:bCs/>
          <w:color w:val="auto"/>
          <w:kern w:val="0"/>
          <w:szCs w:val="20"/>
          <w:highlight w:val="none"/>
        </w:rPr>
      </w:pPr>
      <w:r>
        <w:rPr>
          <w:rFonts w:hint="eastAsia" w:cs="Times New Roman"/>
          <w:bCs/>
          <w:color w:val="auto"/>
          <w:kern w:val="0"/>
          <w:szCs w:val="20"/>
          <w:highlight w:val="none"/>
        </w:rPr>
        <w:t>动力油系统流程</w:t>
      </w:r>
    </w:p>
    <w:p w14:paraId="7A8678B6">
      <w:pPr>
        <w:numPr>
          <w:ilvl w:val="0"/>
          <w:numId w:val="6"/>
        </w:numPr>
        <w:shd w:val="clear"/>
        <w:adjustRightInd w:val="0"/>
        <w:ind w:firstLine="480" w:firstLineChars="0"/>
        <w:textAlignment w:val="baseline"/>
        <w:rPr>
          <w:rFonts w:cs="Times New Roman"/>
          <w:bCs/>
          <w:color w:val="auto"/>
          <w:kern w:val="0"/>
          <w:szCs w:val="20"/>
          <w:highlight w:val="none"/>
        </w:rPr>
      </w:pPr>
      <w:r>
        <w:rPr>
          <w:rFonts w:hint="eastAsia" w:cs="Times New Roman"/>
          <w:bCs/>
          <w:color w:val="auto"/>
          <w:kern w:val="0"/>
          <w:szCs w:val="20"/>
          <w:highlight w:val="none"/>
        </w:rPr>
        <w:t>轴系监测系统流程</w:t>
      </w:r>
    </w:p>
    <w:p w14:paraId="3D39DE92">
      <w:pPr>
        <w:numPr>
          <w:ilvl w:val="0"/>
          <w:numId w:val="6"/>
        </w:numPr>
        <w:shd w:val="clear"/>
        <w:adjustRightInd w:val="0"/>
        <w:ind w:firstLine="480" w:firstLineChars="0"/>
        <w:textAlignment w:val="baseline"/>
        <w:rPr>
          <w:rFonts w:cs="Times New Roman"/>
          <w:bCs/>
          <w:color w:val="auto"/>
          <w:kern w:val="0"/>
          <w:szCs w:val="20"/>
          <w:highlight w:val="none"/>
        </w:rPr>
      </w:pPr>
      <w:r>
        <w:rPr>
          <w:rFonts w:hint="eastAsia" w:cs="Times New Roman"/>
          <w:bCs/>
          <w:color w:val="auto"/>
          <w:kern w:val="0"/>
          <w:szCs w:val="20"/>
          <w:highlight w:val="none"/>
        </w:rPr>
        <w:t>机组启动过程监视</w:t>
      </w:r>
    </w:p>
    <w:p w14:paraId="4E012A22">
      <w:pPr>
        <w:numPr>
          <w:ilvl w:val="0"/>
          <w:numId w:val="6"/>
        </w:numPr>
        <w:shd w:val="clear"/>
        <w:adjustRightInd w:val="0"/>
        <w:ind w:firstLine="480" w:firstLineChars="0"/>
        <w:textAlignment w:val="baseline"/>
        <w:rPr>
          <w:rFonts w:cs="Times New Roman"/>
          <w:bCs/>
          <w:color w:val="auto"/>
          <w:kern w:val="0"/>
          <w:szCs w:val="20"/>
          <w:highlight w:val="none"/>
        </w:rPr>
      </w:pPr>
      <w:r>
        <w:rPr>
          <w:rFonts w:hint="eastAsia" w:cs="Times New Roman"/>
          <w:bCs/>
          <w:color w:val="auto"/>
          <w:kern w:val="0"/>
          <w:szCs w:val="20"/>
          <w:highlight w:val="none"/>
        </w:rPr>
        <w:t>机组运行操作参数监视（分组）</w:t>
      </w:r>
    </w:p>
    <w:p w14:paraId="2D027653">
      <w:pPr>
        <w:numPr>
          <w:ilvl w:val="0"/>
          <w:numId w:val="6"/>
        </w:numPr>
        <w:shd w:val="clear"/>
        <w:adjustRightInd w:val="0"/>
        <w:ind w:firstLine="480" w:firstLineChars="0"/>
        <w:textAlignment w:val="baseline"/>
        <w:rPr>
          <w:rFonts w:cs="Times New Roman"/>
          <w:bCs/>
          <w:color w:val="auto"/>
          <w:kern w:val="0"/>
          <w:szCs w:val="20"/>
          <w:highlight w:val="none"/>
        </w:rPr>
      </w:pPr>
      <w:r>
        <w:rPr>
          <w:rFonts w:hint="eastAsia" w:cs="Times New Roman"/>
          <w:bCs/>
          <w:color w:val="auto"/>
          <w:kern w:val="0"/>
          <w:szCs w:val="20"/>
          <w:highlight w:val="none"/>
        </w:rPr>
        <w:t>机组运行报警画面</w:t>
      </w:r>
    </w:p>
    <w:p w14:paraId="60D5FC3B">
      <w:pPr>
        <w:numPr>
          <w:ilvl w:val="0"/>
          <w:numId w:val="6"/>
        </w:numPr>
        <w:shd w:val="clear"/>
        <w:adjustRightInd w:val="0"/>
        <w:ind w:firstLine="480" w:firstLineChars="0"/>
        <w:textAlignment w:val="baseline"/>
        <w:rPr>
          <w:rFonts w:cs="Times New Roman"/>
          <w:bCs/>
          <w:color w:val="auto"/>
          <w:kern w:val="0"/>
          <w:szCs w:val="20"/>
          <w:highlight w:val="none"/>
        </w:rPr>
      </w:pPr>
      <w:r>
        <w:rPr>
          <w:rFonts w:hint="eastAsia" w:cs="Times New Roman"/>
          <w:bCs/>
          <w:color w:val="auto"/>
          <w:kern w:val="0"/>
          <w:szCs w:val="20"/>
          <w:highlight w:val="none"/>
        </w:rPr>
        <w:t>机组运行参数趋势画面</w:t>
      </w:r>
    </w:p>
    <w:p w14:paraId="7AB9BD77">
      <w:pPr>
        <w:numPr>
          <w:ilvl w:val="0"/>
          <w:numId w:val="6"/>
        </w:numPr>
        <w:shd w:val="clear"/>
        <w:adjustRightInd w:val="0"/>
        <w:ind w:firstLine="480" w:firstLineChars="0"/>
        <w:textAlignment w:val="baseline"/>
        <w:rPr>
          <w:rFonts w:cs="Times New Roman"/>
          <w:bCs/>
          <w:color w:val="auto"/>
          <w:kern w:val="0"/>
          <w:szCs w:val="20"/>
          <w:highlight w:val="none"/>
        </w:rPr>
      </w:pPr>
      <w:r>
        <w:rPr>
          <w:rFonts w:hint="eastAsia" w:cs="Times New Roman"/>
          <w:bCs/>
          <w:color w:val="auto"/>
          <w:kern w:val="0"/>
          <w:szCs w:val="20"/>
          <w:highlight w:val="none"/>
        </w:rPr>
        <w:t>历史参数存储及显示</w:t>
      </w:r>
    </w:p>
    <w:p w14:paraId="0BA70C05">
      <w:pPr>
        <w:numPr>
          <w:ilvl w:val="0"/>
          <w:numId w:val="6"/>
        </w:numPr>
        <w:shd w:val="clear"/>
        <w:adjustRightInd w:val="0"/>
        <w:ind w:firstLine="480" w:firstLineChars="0"/>
        <w:textAlignment w:val="baseline"/>
        <w:rPr>
          <w:rFonts w:cs="Times New Roman"/>
          <w:bCs/>
          <w:color w:val="auto"/>
          <w:kern w:val="0"/>
          <w:szCs w:val="20"/>
          <w:highlight w:val="none"/>
        </w:rPr>
      </w:pPr>
      <w:r>
        <w:rPr>
          <w:rFonts w:hint="eastAsia" w:cs="Times New Roman"/>
          <w:bCs/>
          <w:color w:val="auto"/>
          <w:kern w:val="0"/>
          <w:szCs w:val="20"/>
          <w:highlight w:val="none"/>
        </w:rPr>
        <w:t>控制系统配置画面</w:t>
      </w:r>
    </w:p>
    <w:p w14:paraId="543DE7B6">
      <w:pPr>
        <w:numPr>
          <w:ilvl w:val="0"/>
          <w:numId w:val="6"/>
        </w:numPr>
        <w:shd w:val="clear"/>
        <w:adjustRightInd w:val="0"/>
        <w:ind w:firstLine="480" w:firstLineChars="0"/>
        <w:textAlignment w:val="baseline"/>
        <w:rPr>
          <w:rFonts w:cs="Times New Roman"/>
          <w:bCs/>
          <w:color w:val="auto"/>
          <w:kern w:val="0"/>
          <w:szCs w:val="20"/>
          <w:highlight w:val="none"/>
        </w:rPr>
      </w:pPr>
      <w:r>
        <w:rPr>
          <w:rFonts w:hint="eastAsia" w:cs="Times New Roman"/>
          <w:bCs/>
          <w:color w:val="auto"/>
          <w:kern w:val="0"/>
          <w:szCs w:val="20"/>
          <w:highlight w:val="none"/>
        </w:rPr>
        <w:t>首出故障记录（</w:t>
      </w:r>
      <w:r>
        <w:rPr>
          <w:rFonts w:cs="Times New Roman"/>
          <w:bCs/>
          <w:color w:val="auto"/>
          <w:kern w:val="0"/>
          <w:szCs w:val="20"/>
          <w:highlight w:val="none"/>
        </w:rPr>
        <w:t>SOE功能）</w:t>
      </w:r>
    </w:p>
    <w:p w14:paraId="44DC7310">
      <w:pPr>
        <w:pStyle w:val="74"/>
        <w:shd w:val="clear"/>
        <w:rPr>
          <w:color w:val="auto"/>
          <w:highlight w:val="none"/>
        </w:rPr>
      </w:pPr>
      <w:r>
        <w:rPr>
          <w:rFonts w:hint="eastAsia"/>
          <w:color w:val="auto"/>
          <w:highlight w:val="none"/>
        </w:rPr>
        <w:t>设置包括不限于上述画面，最终以三方最终协商达成一致的为准</w:t>
      </w:r>
    </w:p>
    <w:p w14:paraId="29D95197">
      <w:pPr>
        <w:shd w:val="clear"/>
        <w:snapToGrid w:val="0"/>
        <w:ind w:firstLine="0" w:firstLineChars="0"/>
        <w:outlineLvl w:val="2"/>
        <w:rPr>
          <w:rFonts w:cs="Times New Roman"/>
          <w:color w:val="auto"/>
          <w:szCs w:val="28"/>
          <w:highlight w:val="none"/>
        </w:rPr>
      </w:pPr>
      <w:bookmarkStart w:id="448" w:name="_Toc7326"/>
      <w:r>
        <w:rPr>
          <w:rFonts w:hint="eastAsia" w:cs="Times New Roman"/>
          <w:color w:val="auto"/>
          <w:szCs w:val="28"/>
          <w:highlight w:val="none"/>
        </w:rPr>
        <w:t>4</w:t>
      </w:r>
      <w:r>
        <w:rPr>
          <w:rFonts w:cs="Times New Roman"/>
          <w:color w:val="auto"/>
          <w:szCs w:val="28"/>
          <w:highlight w:val="none"/>
        </w:rPr>
        <w:t>.4.5 配置GPS系统，实现控制系统时间同步。</w:t>
      </w:r>
      <w:bookmarkEnd w:id="448"/>
    </w:p>
    <w:p w14:paraId="5ABDAE3B">
      <w:pPr>
        <w:shd w:val="clear"/>
        <w:snapToGrid w:val="0"/>
        <w:ind w:firstLine="0" w:firstLineChars="0"/>
        <w:outlineLvl w:val="2"/>
        <w:rPr>
          <w:rFonts w:cs="Times New Roman"/>
          <w:bCs/>
          <w:color w:val="auto"/>
          <w:kern w:val="0"/>
          <w:szCs w:val="20"/>
          <w:highlight w:val="none"/>
        </w:rPr>
      </w:pPr>
      <w:bookmarkStart w:id="449" w:name="_Toc5208"/>
      <w:r>
        <w:rPr>
          <w:rFonts w:hint="eastAsia" w:cs="Times New Roman"/>
          <w:color w:val="auto"/>
          <w:szCs w:val="28"/>
          <w:highlight w:val="none"/>
        </w:rPr>
        <w:t>4.4.</w:t>
      </w:r>
      <w:r>
        <w:rPr>
          <w:rFonts w:cs="Times New Roman"/>
          <w:color w:val="auto"/>
          <w:szCs w:val="28"/>
          <w:highlight w:val="none"/>
        </w:rPr>
        <w:t xml:space="preserve">6 </w:t>
      </w:r>
      <w:r>
        <w:rPr>
          <w:rFonts w:cs="Times New Roman"/>
          <w:bCs/>
          <w:color w:val="auto"/>
          <w:kern w:val="0"/>
          <w:szCs w:val="20"/>
          <w:highlight w:val="none"/>
        </w:rPr>
        <w:t>配置MIS接口机、网闸、相关辅件，制作报表，实现报表自动生成功能。</w:t>
      </w:r>
      <w:bookmarkEnd w:id="449"/>
      <w:r>
        <w:rPr>
          <w:rFonts w:cs="Times New Roman"/>
          <w:bCs/>
          <w:color w:val="auto"/>
          <w:kern w:val="0"/>
          <w:szCs w:val="20"/>
          <w:highlight w:val="none"/>
        </w:rPr>
        <w:t xml:space="preserve"> </w:t>
      </w:r>
    </w:p>
    <w:p w14:paraId="7F1D8562">
      <w:pPr>
        <w:pStyle w:val="74"/>
        <w:shd w:val="clear"/>
        <w:rPr>
          <w:color w:val="auto"/>
          <w:highlight w:val="none"/>
        </w:rPr>
      </w:pPr>
      <w:r>
        <w:rPr>
          <w:color w:val="auto"/>
          <w:highlight w:val="none"/>
        </w:rPr>
        <w:t>MIS系统配置接口机，还需配置相关附件（网线等）；接口机通过网络进入最近酒钢集团办公网络系统。</w:t>
      </w:r>
    </w:p>
    <w:p w14:paraId="047747E1">
      <w:pPr>
        <w:pStyle w:val="74"/>
        <w:shd w:val="clear"/>
        <w:rPr>
          <w:color w:val="auto"/>
          <w:highlight w:val="none"/>
        </w:rPr>
      </w:pPr>
      <w:r>
        <w:rPr>
          <w:rFonts w:hint="eastAsia"/>
          <w:color w:val="auto"/>
          <w:highlight w:val="none"/>
        </w:rPr>
        <w:t>由</w:t>
      </w:r>
      <w:r>
        <w:rPr>
          <w:color w:val="auto"/>
          <w:highlight w:val="none"/>
        </w:rPr>
        <w:t>MIS厂家完成报表制作，实现在宏晟电热公司原MIS平台单向取数报表自动生成功能。</w:t>
      </w:r>
    </w:p>
    <w:p w14:paraId="2D8447FA">
      <w:pPr>
        <w:pStyle w:val="74"/>
        <w:shd w:val="clear"/>
        <w:rPr>
          <w:color w:val="auto"/>
          <w:highlight w:val="none"/>
        </w:rPr>
      </w:pPr>
      <w:r>
        <w:rPr>
          <w:rFonts w:hint="eastAsia"/>
          <w:color w:val="auto"/>
          <w:highlight w:val="none"/>
        </w:rPr>
        <w:t>控制系统给</w:t>
      </w:r>
      <w:r>
        <w:rPr>
          <w:color w:val="auto"/>
          <w:highlight w:val="none"/>
        </w:rPr>
        <w:t>MIS系统留有OPC接口。</w:t>
      </w:r>
    </w:p>
    <w:p w14:paraId="1D30546A">
      <w:pPr>
        <w:shd w:val="clear"/>
        <w:snapToGrid w:val="0"/>
        <w:ind w:firstLine="0" w:firstLineChars="0"/>
        <w:outlineLvl w:val="1"/>
        <w:rPr>
          <w:rFonts w:cs="Times New Roman"/>
          <w:b/>
          <w:color w:val="auto"/>
          <w:sz w:val="28"/>
          <w:szCs w:val="28"/>
          <w:highlight w:val="none"/>
        </w:rPr>
      </w:pPr>
      <w:bookmarkStart w:id="450" w:name="_Toc31430"/>
      <w:bookmarkStart w:id="451" w:name="_Toc27983"/>
      <w:bookmarkStart w:id="452" w:name="_Toc30518"/>
      <w:bookmarkStart w:id="453" w:name="_Toc7304"/>
      <w:bookmarkStart w:id="454" w:name="_Toc30359"/>
      <w:bookmarkStart w:id="455" w:name="_Toc31483"/>
      <w:r>
        <w:rPr>
          <w:rFonts w:hint="eastAsia" w:cs="Times New Roman"/>
          <w:b/>
          <w:color w:val="auto"/>
          <w:sz w:val="28"/>
          <w:szCs w:val="28"/>
          <w:highlight w:val="none"/>
        </w:rPr>
        <w:t>4.5 调压阀组及净煤气管道改造</w:t>
      </w:r>
      <w:bookmarkEnd w:id="450"/>
      <w:bookmarkEnd w:id="451"/>
      <w:bookmarkEnd w:id="452"/>
      <w:bookmarkEnd w:id="453"/>
      <w:bookmarkEnd w:id="454"/>
      <w:bookmarkEnd w:id="455"/>
    </w:p>
    <w:p w14:paraId="4DF7FF8C">
      <w:pPr>
        <w:pStyle w:val="74"/>
        <w:shd w:val="clear"/>
        <w:rPr>
          <w:color w:val="auto"/>
          <w:highlight w:val="none"/>
        </w:rPr>
      </w:pPr>
      <w:r>
        <w:rPr>
          <w:rFonts w:hint="eastAsia"/>
          <w:color w:val="auto"/>
          <w:highlight w:val="none"/>
        </w:rPr>
        <w:t>减压阀组能满足改造后顶压要求，按整体利旧考虑。</w:t>
      </w:r>
    </w:p>
    <w:p w14:paraId="02626675">
      <w:pPr>
        <w:pStyle w:val="74"/>
        <w:shd w:val="clear"/>
        <w:rPr>
          <w:color w:val="auto"/>
          <w:highlight w:val="none"/>
        </w:rPr>
      </w:pPr>
      <w:r>
        <w:rPr>
          <w:rFonts w:hint="eastAsia"/>
          <w:color w:val="auto"/>
          <w:highlight w:val="none"/>
        </w:rPr>
        <w:t>调压阀组入口煤气管道接自干法除尘改造后的净煤气管道出口，煤气流量计设在干法除尘框架内。</w:t>
      </w:r>
    </w:p>
    <w:p w14:paraId="30695018">
      <w:pPr>
        <w:shd w:val="clear"/>
        <w:snapToGrid w:val="0"/>
        <w:ind w:firstLine="0" w:firstLineChars="0"/>
        <w:outlineLvl w:val="1"/>
        <w:rPr>
          <w:rFonts w:cs="Times New Roman"/>
          <w:b/>
          <w:color w:val="auto"/>
          <w:sz w:val="28"/>
          <w:szCs w:val="28"/>
          <w:highlight w:val="none"/>
        </w:rPr>
      </w:pPr>
      <w:bookmarkStart w:id="456" w:name="_Toc1875"/>
      <w:bookmarkStart w:id="457" w:name="_Toc27483"/>
      <w:bookmarkStart w:id="458" w:name="_Toc31316"/>
      <w:bookmarkStart w:id="459" w:name="_Toc1492"/>
      <w:bookmarkStart w:id="460" w:name="_Toc11713"/>
      <w:bookmarkStart w:id="461" w:name="_Toc26398"/>
      <w:r>
        <w:rPr>
          <w:rFonts w:hint="eastAsia" w:ascii="Times New Roman" w:hAnsi="Times New Roman" w:cs="Times New Roman"/>
          <w:b/>
          <w:color w:val="auto"/>
          <w:sz w:val="28"/>
          <w:szCs w:val="28"/>
          <w:highlight w:val="none"/>
        </w:rPr>
        <w:t>4.6 区域管网及高炉富氧系统</w:t>
      </w:r>
      <w:bookmarkEnd w:id="456"/>
      <w:bookmarkEnd w:id="457"/>
      <w:bookmarkEnd w:id="458"/>
      <w:bookmarkEnd w:id="459"/>
      <w:bookmarkEnd w:id="460"/>
      <w:bookmarkEnd w:id="461"/>
    </w:p>
    <w:p w14:paraId="3C620943">
      <w:pPr>
        <w:shd w:val="clear"/>
        <w:snapToGrid w:val="0"/>
        <w:ind w:firstLine="0" w:firstLineChars="0"/>
        <w:outlineLvl w:val="2"/>
        <w:rPr>
          <w:rFonts w:cs="Times New Roman"/>
          <w:color w:val="auto"/>
          <w:szCs w:val="28"/>
          <w:highlight w:val="none"/>
        </w:rPr>
      </w:pPr>
      <w:bookmarkStart w:id="462" w:name="_Toc18418"/>
      <w:r>
        <w:rPr>
          <w:rFonts w:hint="eastAsia" w:cs="Times New Roman"/>
          <w:color w:val="auto"/>
          <w:szCs w:val="28"/>
          <w:highlight w:val="none"/>
        </w:rPr>
        <w:t>4.6.1 高炉煤气管道</w:t>
      </w:r>
      <w:bookmarkEnd w:id="462"/>
    </w:p>
    <w:p w14:paraId="6D2B65B4">
      <w:pPr>
        <w:pStyle w:val="74"/>
        <w:shd w:val="clear"/>
        <w:rPr>
          <w:color w:val="auto"/>
          <w:highlight w:val="none"/>
        </w:rPr>
      </w:pPr>
      <w:r>
        <w:rPr>
          <w:rFonts w:hint="eastAsia"/>
          <w:color w:val="auto"/>
          <w:highlight w:val="none"/>
        </w:rPr>
        <w:t>区域内的高炉煤气管道按利旧考虑。</w:t>
      </w:r>
    </w:p>
    <w:p w14:paraId="044A1972">
      <w:pPr>
        <w:shd w:val="clear"/>
        <w:snapToGrid w:val="0"/>
        <w:ind w:firstLine="0" w:firstLineChars="0"/>
        <w:outlineLvl w:val="2"/>
        <w:rPr>
          <w:rFonts w:cs="Times New Roman"/>
          <w:bCs/>
          <w:color w:val="auto"/>
          <w:szCs w:val="28"/>
          <w:highlight w:val="none"/>
        </w:rPr>
      </w:pPr>
      <w:bookmarkStart w:id="463" w:name="_Toc6488"/>
      <w:r>
        <w:rPr>
          <w:rFonts w:hint="eastAsia" w:cs="Times New Roman"/>
          <w:color w:val="auto"/>
          <w:szCs w:val="28"/>
          <w:highlight w:val="none"/>
        </w:rPr>
        <w:t>4.6.2 氧气管道</w:t>
      </w:r>
      <w:bookmarkEnd w:id="463"/>
    </w:p>
    <w:p w14:paraId="0776DC67">
      <w:pPr>
        <w:shd w:val="clear"/>
        <w:snapToGrid w:val="0"/>
        <w:ind w:firstLine="0" w:firstLineChars="0"/>
        <w:outlineLvl w:val="3"/>
        <w:rPr>
          <w:rFonts w:cs="Times New Roman"/>
          <w:bCs/>
          <w:color w:val="auto"/>
          <w:szCs w:val="28"/>
          <w:highlight w:val="none"/>
        </w:rPr>
      </w:pPr>
      <w:r>
        <w:rPr>
          <w:rFonts w:hint="eastAsia" w:cs="Times New Roman"/>
          <w:color w:val="auto"/>
          <w:szCs w:val="28"/>
          <w:highlight w:val="none"/>
        </w:rPr>
        <w:t>4.6.2.1 富氧阀组改造</w:t>
      </w:r>
    </w:p>
    <w:p w14:paraId="6592EF87">
      <w:pPr>
        <w:pStyle w:val="74"/>
        <w:shd w:val="clear"/>
        <w:rPr>
          <w:color w:val="auto"/>
          <w:highlight w:val="none"/>
        </w:rPr>
      </w:pPr>
      <w:r>
        <w:rPr>
          <w:rFonts w:hint="eastAsia"/>
          <w:color w:val="auto"/>
          <w:highlight w:val="none"/>
        </w:rPr>
        <w:t>原有富氧阀组设计最大能力9</w:t>
      </w:r>
      <w:r>
        <w:rPr>
          <w:color w:val="auto"/>
          <w:highlight w:val="none"/>
        </w:rPr>
        <w:t>000Nm³/h</w:t>
      </w:r>
      <w:r>
        <w:rPr>
          <w:rFonts w:hint="eastAsia"/>
          <w:color w:val="auto"/>
          <w:highlight w:val="none"/>
        </w:rPr>
        <w:t>，可满足高炉5</w:t>
      </w:r>
      <w:r>
        <w:rPr>
          <w:color w:val="auto"/>
          <w:highlight w:val="none"/>
        </w:rPr>
        <w:t>.6</w:t>
      </w:r>
      <w:r>
        <w:rPr>
          <w:rFonts w:hint="eastAsia"/>
          <w:color w:val="auto"/>
          <w:highlight w:val="none"/>
        </w:rPr>
        <w:t>%富氧率的供气需求。富氧阀组运行时间长，现有自力式压力调节阀调压不稳，调节阀动作频繁导致流量经常出现波动现象。本次高炉改造，富氧阀组入口过滤器更换，自力式压力调节阀更换为1个气动调节阀，相关要求见仪表专业说明。</w:t>
      </w:r>
    </w:p>
    <w:p w14:paraId="6B6680C0">
      <w:pPr>
        <w:shd w:val="clear"/>
        <w:snapToGrid w:val="0"/>
        <w:ind w:firstLine="0" w:firstLineChars="0"/>
        <w:outlineLvl w:val="3"/>
        <w:rPr>
          <w:rFonts w:cs="Times New Roman"/>
          <w:color w:val="auto"/>
          <w:szCs w:val="28"/>
          <w:highlight w:val="none"/>
        </w:rPr>
      </w:pPr>
      <w:r>
        <w:rPr>
          <w:rFonts w:hint="eastAsia" w:cs="Times New Roman"/>
          <w:color w:val="auto"/>
          <w:szCs w:val="28"/>
          <w:highlight w:val="none"/>
        </w:rPr>
        <w:t>4.6.2.2 氧气主管改造</w:t>
      </w:r>
    </w:p>
    <w:p w14:paraId="3AD3E0B2">
      <w:pPr>
        <w:pStyle w:val="74"/>
        <w:shd w:val="clear"/>
        <w:rPr>
          <w:color w:val="auto"/>
          <w:highlight w:val="none"/>
        </w:rPr>
      </w:pPr>
      <w:bookmarkStart w:id="464" w:name="_Toc22804"/>
      <w:r>
        <w:rPr>
          <w:rFonts w:hint="eastAsia"/>
          <w:color w:val="auto"/>
          <w:highlight w:val="none"/>
        </w:rPr>
        <w:t>现供</w:t>
      </w:r>
      <w:r>
        <w:rPr>
          <w:color w:val="auto"/>
          <w:highlight w:val="none"/>
        </w:rPr>
        <w:t>1号、2号高炉氧气管道经特检所检验，发现焊缝等部位已不满足安全运行要求，判定为检测不合格。新敷设氧气管道接自动力厂配套新3号高炉建设的氧气管道（设计供气能力25600Nm³/h，管径为DN250，设计压力1.6MPa），接点在14号路南侧（钢5#路东侧）送3号高炉氮气一次减压平台DN150氧气专用阀门。此阀目前通过连通管与氮气管道阀门相连，作为氧气管道吹、扫置换用，考虑到2号高炉优化升级后管道置换、吹扫，需在此阀后加装成品三通及DN150氧气专用阀，管道沿11#路东侧由南向北沿现有高煤管道敷设至一喷煤南</w:t>
      </w:r>
      <w:r>
        <w:rPr>
          <w:rFonts w:hint="eastAsia"/>
          <w:color w:val="auto"/>
          <w:highlight w:val="none"/>
        </w:rPr>
        <w:t>侧跨路煤气管道处，沿跨路煤气管道转入西侧管廊向北敷设与现有</w:t>
      </w:r>
      <w:r>
        <w:rPr>
          <w:color w:val="auto"/>
          <w:highlight w:val="none"/>
        </w:rPr>
        <w:t>2号高炉炉前氧气管道、富氧管道对接后再向北敷设30米与1号高炉DN150连通阀对接。</w:t>
      </w:r>
      <w:r>
        <w:rPr>
          <w:rFonts w:hint="eastAsia"/>
          <w:color w:val="auto"/>
          <w:highlight w:val="none"/>
        </w:rPr>
        <w:t>新增氧气管道沿高煤管道背管敷设，管道总长度约</w:t>
      </w:r>
      <w:r>
        <w:rPr>
          <w:color w:val="auto"/>
          <w:highlight w:val="none"/>
        </w:rPr>
        <w:t>400m。</w:t>
      </w:r>
    </w:p>
    <w:p w14:paraId="7BA73F1D">
      <w:pPr>
        <w:pStyle w:val="74"/>
        <w:shd w:val="clear"/>
        <w:rPr>
          <w:color w:val="auto"/>
          <w:highlight w:val="none"/>
        </w:rPr>
      </w:pPr>
      <w:r>
        <w:rPr>
          <w:rFonts w:hint="eastAsia"/>
          <w:color w:val="auto"/>
          <w:highlight w:val="none"/>
        </w:rPr>
        <w:t>氧气管道设计压力1</w:t>
      </w:r>
      <w:r>
        <w:rPr>
          <w:color w:val="auto"/>
          <w:highlight w:val="none"/>
        </w:rPr>
        <w:t>.6MP</w:t>
      </w:r>
      <w:r>
        <w:rPr>
          <w:rFonts w:hint="eastAsia"/>
          <w:color w:val="auto"/>
          <w:highlight w:val="none"/>
        </w:rPr>
        <w:t>a。采用D</w:t>
      </w:r>
      <w:r>
        <w:rPr>
          <w:color w:val="auto"/>
          <w:highlight w:val="none"/>
        </w:rPr>
        <w:t xml:space="preserve">159x4.5 </w:t>
      </w:r>
      <w:r>
        <w:rPr>
          <w:rFonts w:hint="eastAsia"/>
          <w:color w:val="auto"/>
          <w:highlight w:val="none"/>
        </w:rPr>
        <w:t>0</w:t>
      </w:r>
      <w:r>
        <w:rPr>
          <w:color w:val="auto"/>
          <w:highlight w:val="none"/>
        </w:rPr>
        <w:t>6C</w:t>
      </w:r>
      <w:r>
        <w:rPr>
          <w:rFonts w:hint="eastAsia"/>
          <w:color w:val="auto"/>
          <w:highlight w:val="none"/>
        </w:rPr>
        <w:t>r</w:t>
      </w:r>
      <w:r>
        <w:rPr>
          <w:color w:val="auto"/>
          <w:highlight w:val="none"/>
        </w:rPr>
        <w:t>19Ni10</w:t>
      </w:r>
      <w:r>
        <w:rPr>
          <w:rFonts w:hint="eastAsia"/>
          <w:color w:val="auto"/>
          <w:highlight w:val="none"/>
        </w:rPr>
        <w:t>材质 不锈钢无缝钢管（G</w:t>
      </w:r>
      <w:r>
        <w:rPr>
          <w:color w:val="auto"/>
          <w:highlight w:val="none"/>
        </w:rPr>
        <w:t>B/T</w:t>
      </w:r>
      <w:r>
        <w:rPr>
          <w:rFonts w:hint="eastAsia"/>
          <w:color w:val="auto"/>
          <w:highlight w:val="none"/>
          <w:lang w:val="en-US" w:eastAsia="zh-CN"/>
        </w:rPr>
        <w:t xml:space="preserve"> </w:t>
      </w:r>
      <w:r>
        <w:rPr>
          <w:color w:val="auto"/>
          <w:highlight w:val="none"/>
        </w:rPr>
        <w:t>40317-2021）</w:t>
      </w:r>
      <w:r>
        <w:rPr>
          <w:rFonts w:hint="eastAsia"/>
          <w:color w:val="auto"/>
          <w:highlight w:val="none"/>
        </w:rPr>
        <w:t>。氧气沿现有煤气管道背管架设，采用自然补偿。</w:t>
      </w:r>
    </w:p>
    <w:p w14:paraId="02CE4A94">
      <w:pPr>
        <w:shd w:val="clear"/>
        <w:snapToGrid w:val="0"/>
        <w:ind w:firstLine="0" w:firstLineChars="0"/>
        <w:outlineLvl w:val="2"/>
        <w:rPr>
          <w:rFonts w:cs="Times New Roman"/>
          <w:color w:val="auto"/>
          <w:szCs w:val="28"/>
          <w:highlight w:val="none"/>
        </w:rPr>
      </w:pPr>
      <w:r>
        <w:rPr>
          <w:rFonts w:hint="eastAsia" w:cs="Times New Roman"/>
          <w:color w:val="auto"/>
          <w:szCs w:val="28"/>
          <w:highlight w:val="none"/>
        </w:rPr>
        <w:t>4.6.3 氮气管道</w:t>
      </w:r>
      <w:bookmarkEnd w:id="464"/>
    </w:p>
    <w:p w14:paraId="462F07EA">
      <w:pPr>
        <w:pStyle w:val="74"/>
        <w:shd w:val="clear"/>
        <w:rPr>
          <w:color w:val="auto"/>
          <w:highlight w:val="none"/>
        </w:rPr>
      </w:pPr>
      <w:bookmarkStart w:id="465" w:name="_Hlk182904843"/>
      <w:r>
        <w:rPr>
          <w:rFonts w:hint="eastAsia"/>
          <w:color w:val="auto"/>
          <w:highlight w:val="none"/>
        </w:rPr>
        <w:t>本改造工程增加的氮气用户及耗量如下：</w:t>
      </w:r>
    </w:p>
    <w:bookmarkEnd w:id="465"/>
    <w:p w14:paraId="74933F42">
      <w:pPr>
        <w:pStyle w:val="74"/>
        <w:shd w:val="clear"/>
        <w:ind w:firstLine="0" w:firstLineChars="0"/>
        <w:jc w:val="center"/>
        <w:rPr>
          <w:color w:val="auto"/>
          <w:highlight w:val="none"/>
        </w:rPr>
      </w:pPr>
      <w:r>
        <w:rPr>
          <w:rFonts w:hint="eastAsia"/>
          <w:color w:val="auto"/>
          <w:highlight w:val="none"/>
        </w:rPr>
        <w:t>表</w:t>
      </w:r>
      <w:r>
        <w:rPr>
          <w:color w:val="auto"/>
          <w:highlight w:val="none"/>
        </w:rPr>
        <w:t xml:space="preserve">4.6-1    </w:t>
      </w:r>
      <w:r>
        <w:rPr>
          <w:rFonts w:hint="eastAsia"/>
          <w:color w:val="auto"/>
          <w:highlight w:val="none"/>
        </w:rPr>
        <w:t>新增氮气用户耗量</w:t>
      </w:r>
      <w:r>
        <w:rPr>
          <w:color w:val="auto"/>
          <w:highlight w:val="none"/>
        </w:rPr>
        <w:t>表</w:t>
      </w:r>
    </w:p>
    <w:tbl>
      <w:tblPr>
        <w:tblStyle w:val="6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604"/>
        <w:gridCol w:w="3544"/>
        <w:gridCol w:w="850"/>
        <w:gridCol w:w="993"/>
        <w:gridCol w:w="992"/>
        <w:gridCol w:w="744"/>
      </w:tblGrid>
      <w:tr w14:paraId="5E129B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4" w:type="dxa"/>
            <w:vMerge w:val="restart"/>
            <w:vAlign w:val="center"/>
          </w:tcPr>
          <w:p w14:paraId="0C096D67">
            <w:pPr>
              <w:widowControl/>
              <w:shd w:val="clear"/>
              <w:snapToGrid w:val="0"/>
              <w:spacing w:before="72" w:beforeLines="30" w:after="72" w:afterLines="30" w:line="240" w:lineRule="auto"/>
              <w:ind w:firstLine="0" w:firstLineChars="0"/>
              <w:jc w:val="center"/>
              <w:rPr>
                <w:color w:val="auto"/>
                <w:sz w:val="21"/>
                <w:szCs w:val="21"/>
                <w:highlight w:val="none"/>
              </w:rPr>
            </w:pPr>
            <w:r>
              <w:rPr>
                <w:color w:val="auto"/>
                <w:sz w:val="21"/>
                <w:szCs w:val="21"/>
                <w:highlight w:val="none"/>
              </w:rPr>
              <w:t>序号</w:t>
            </w:r>
          </w:p>
        </w:tc>
        <w:tc>
          <w:tcPr>
            <w:tcW w:w="3544" w:type="dxa"/>
            <w:vMerge w:val="restart"/>
            <w:vAlign w:val="center"/>
          </w:tcPr>
          <w:p w14:paraId="5A8C2A4D">
            <w:pPr>
              <w:widowControl/>
              <w:shd w:val="clear"/>
              <w:snapToGrid w:val="0"/>
              <w:spacing w:before="72" w:beforeLines="30" w:after="72" w:afterLines="30" w:line="240" w:lineRule="auto"/>
              <w:ind w:firstLine="0" w:firstLineChars="0"/>
              <w:jc w:val="center"/>
              <w:rPr>
                <w:color w:val="auto"/>
                <w:sz w:val="21"/>
                <w:szCs w:val="21"/>
                <w:highlight w:val="none"/>
              </w:rPr>
            </w:pPr>
            <w:r>
              <w:rPr>
                <w:color w:val="auto"/>
                <w:sz w:val="21"/>
                <w:szCs w:val="21"/>
                <w:highlight w:val="none"/>
              </w:rPr>
              <w:t>用户</w:t>
            </w:r>
          </w:p>
        </w:tc>
        <w:tc>
          <w:tcPr>
            <w:tcW w:w="1843" w:type="dxa"/>
            <w:gridSpan w:val="2"/>
            <w:vAlign w:val="center"/>
          </w:tcPr>
          <w:p w14:paraId="6102C19D">
            <w:pPr>
              <w:widowControl/>
              <w:shd w:val="clear"/>
              <w:snapToGrid w:val="0"/>
              <w:spacing w:before="72" w:beforeLines="30" w:after="72" w:afterLines="30" w:line="240" w:lineRule="auto"/>
              <w:ind w:firstLine="0" w:firstLineChars="0"/>
              <w:jc w:val="center"/>
              <w:rPr>
                <w:color w:val="auto"/>
                <w:sz w:val="21"/>
                <w:szCs w:val="21"/>
                <w:highlight w:val="none"/>
              </w:rPr>
            </w:pPr>
            <w:r>
              <w:rPr>
                <w:color w:val="auto"/>
                <w:sz w:val="21"/>
                <w:szCs w:val="21"/>
                <w:highlight w:val="none"/>
              </w:rPr>
              <w:t>用量Nm3/h</w:t>
            </w:r>
          </w:p>
        </w:tc>
        <w:tc>
          <w:tcPr>
            <w:tcW w:w="992" w:type="dxa"/>
            <w:vAlign w:val="center"/>
          </w:tcPr>
          <w:p w14:paraId="582289C4">
            <w:pPr>
              <w:widowControl/>
              <w:shd w:val="clear"/>
              <w:snapToGrid w:val="0"/>
              <w:spacing w:before="72" w:beforeLines="30" w:after="72" w:afterLines="30" w:line="240" w:lineRule="auto"/>
              <w:ind w:firstLine="0" w:firstLineChars="0"/>
              <w:jc w:val="center"/>
              <w:rPr>
                <w:color w:val="auto"/>
                <w:sz w:val="21"/>
                <w:szCs w:val="21"/>
                <w:highlight w:val="none"/>
              </w:rPr>
            </w:pPr>
            <w:r>
              <w:rPr>
                <w:color w:val="auto"/>
                <w:sz w:val="21"/>
                <w:szCs w:val="21"/>
                <w:highlight w:val="none"/>
              </w:rPr>
              <w:t>压力MPa</w:t>
            </w:r>
          </w:p>
        </w:tc>
        <w:tc>
          <w:tcPr>
            <w:tcW w:w="744" w:type="dxa"/>
            <w:vAlign w:val="center"/>
          </w:tcPr>
          <w:p w14:paraId="5EAA1005">
            <w:pPr>
              <w:widowControl/>
              <w:shd w:val="clear"/>
              <w:snapToGrid w:val="0"/>
              <w:spacing w:before="72" w:beforeLines="30" w:after="72" w:afterLines="30" w:line="240" w:lineRule="auto"/>
              <w:ind w:firstLine="0" w:firstLineChars="0"/>
              <w:jc w:val="center"/>
              <w:rPr>
                <w:color w:val="auto"/>
                <w:sz w:val="21"/>
                <w:szCs w:val="21"/>
                <w:highlight w:val="none"/>
              </w:rPr>
            </w:pPr>
            <w:r>
              <w:rPr>
                <w:color w:val="auto"/>
                <w:sz w:val="21"/>
                <w:szCs w:val="21"/>
                <w:highlight w:val="none"/>
              </w:rPr>
              <w:t>备注</w:t>
            </w:r>
          </w:p>
        </w:tc>
      </w:tr>
      <w:tr w14:paraId="3AFCFD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4" w:type="dxa"/>
            <w:vMerge w:val="continue"/>
            <w:vAlign w:val="center"/>
          </w:tcPr>
          <w:p w14:paraId="771F22C7">
            <w:pPr>
              <w:widowControl/>
              <w:shd w:val="clear"/>
              <w:snapToGrid w:val="0"/>
              <w:spacing w:before="72" w:beforeLines="30" w:after="72" w:afterLines="30" w:line="240" w:lineRule="auto"/>
              <w:ind w:firstLine="0" w:firstLineChars="0"/>
              <w:jc w:val="center"/>
              <w:rPr>
                <w:color w:val="auto"/>
                <w:sz w:val="21"/>
                <w:szCs w:val="21"/>
                <w:highlight w:val="none"/>
              </w:rPr>
            </w:pPr>
          </w:p>
        </w:tc>
        <w:tc>
          <w:tcPr>
            <w:tcW w:w="3544" w:type="dxa"/>
            <w:vMerge w:val="continue"/>
            <w:vAlign w:val="center"/>
          </w:tcPr>
          <w:p w14:paraId="007880BA">
            <w:pPr>
              <w:widowControl/>
              <w:shd w:val="clear"/>
              <w:snapToGrid w:val="0"/>
              <w:spacing w:before="72" w:beforeLines="30" w:after="72" w:afterLines="30" w:line="240" w:lineRule="auto"/>
              <w:ind w:firstLine="0" w:firstLineChars="0"/>
              <w:jc w:val="center"/>
              <w:rPr>
                <w:color w:val="auto"/>
                <w:sz w:val="21"/>
                <w:szCs w:val="21"/>
                <w:highlight w:val="none"/>
              </w:rPr>
            </w:pPr>
          </w:p>
        </w:tc>
        <w:tc>
          <w:tcPr>
            <w:tcW w:w="850" w:type="dxa"/>
            <w:vAlign w:val="center"/>
          </w:tcPr>
          <w:p w14:paraId="600B9A87">
            <w:pPr>
              <w:widowControl/>
              <w:shd w:val="clear"/>
              <w:snapToGrid w:val="0"/>
              <w:spacing w:before="72" w:beforeLines="30" w:after="72" w:afterLines="30" w:line="240" w:lineRule="auto"/>
              <w:ind w:firstLine="0" w:firstLineChars="0"/>
              <w:jc w:val="center"/>
              <w:rPr>
                <w:color w:val="auto"/>
                <w:sz w:val="21"/>
                <w:szCs w:val="21"/>
                <w:highlight w:val="none"/>
              </w:rPr>
            </w:pPr>
            <w:r>
              <w:rPr>
                <w:color w:val="auto"/>
                <w:sz w:val="21"/>
                <w:szCs w:val="21"/>
                <w:highlight w:val="none"/>
              </w:rPr>
              <w:t>平均</w:t>
            </w:r>
          </w:p>
        </w:tc>
        <w:tc>
          <w:tcPr>
            <w:tcW w:w="993" w:type="dxa"/>
            <w:vAlign w:val="center"/>
          </w:tcPr>
          <w:p w14:paraId="68D8A30C">
            <w:pPr>
              <w:widowControl/>
              <w:shd w:val="clear"/>
              <w:snapToGrid w:val="0"/>
              <w:spacing w:before="72" w:beforeLines="30" w:after="72" w:afterLines="30" w:line="240" w:lineRule="auto"/>
              <w:ind w:firstLine="0" w:firstLineChars="0"/>
              <w:jc w:val="center"/>
              <w:rPr>
                <w:color w:val="auto"/>
                <w:sz w:val="21"/>
                <w:szCs w:val="21"/>
                <w:highlight w:val="none"/>
              </w:rPr>
            </w:pPr>
            <w:r>
              <w:rPr>
                <w:color w:val="auto"/>
                <w:sz w:val="21"/>
                <w:szCs w:val="21"/>
                <w:highlight w:val="none"/>
              </w:rPr>
              <w:t>最大</w:t>
            </w:r>
          </w:p>
        </w:tc>
        <w:tc>
          <w:tcPr>
            <w:tcW w:w="992" w:type="dxa"/>
            <w:vAlign w:val="center"/>
          </w:tcPr>
          <w:p w14:paraId="3B187EC6">
            <w:pPr>
              <w:widowControl/>
              <w:shd w:val="clear"/>
              <w:snapToGrid w:val="0"/>
              <w:spacing w:before="72" w:beforeLines="30" w:after="72" w:afterLines="30" w:line="240" w:lineRule="auto"/>
              <w:ind w:firstLine="0" w:firstLineChars="0"/>
              <w:jc w:val="center"/>
              <w:rPr>
                <w:color w:val="auto"/>
                <w:sz w:val="21"/>
                <w:szCs w:val="21"/>
                <w:highlight w:val="none"/>
              </w:rPr>
            </w:pPr>
          </w:p>
        </w:tc>
        <w:tc>
          <w:tcPr>
            <w:tcW w:w="744" w:type="dxa"/>
            <w:vAlign w:val="center"/>
          </w:tcPr>
          <w:p w14:paraId="77C49276">
            <w:pPr>
              <w:widowControl/>
              <w:shd w:val="clear"/>
              <w:snapToGrid w:val="0"/>
              <w:spacing w:before="72" w:beforeLines="30" w:after="72" w:afterLines="30" w:line="240" w:lineRule="auto"/>
              <w:ind w:firstLine="0" w:firstLineChars="0"/>
              <w:jc w:val="center"/>
              <w:rPr>
                <w:color w:val="auto"/>
                <w:sz w:val="21"/>
                <w:szCs w:val="21"/>
                <w:highlight w:val="none"/>
              </w:rPr>
            </w:pPr>
          </w:p>
        </w:tc>
      </w:tr>
      <w:tr w14:paraId="397CD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79" w:hRule="atLeast"/>
          <w:jc w:val="center"/>
        </w:trPr>
        <w:tc>
          <w:tcPr>
            <w:tcW w:w="604" w:type="dxa"/>
            <w:vAlign w:val="center"/>
          </w:tcPr>
          <w:p w14:paraId="6E01C64D">
            <w:pPr>
              <w:widowControl/>
              <w:shd w:val="clear"/>
              <w:snapToGrid w:val="0"/>
              <w:spacing w:before="72" w:beforeLines="30" w:after="72" w:afterLines="30" w:line="240" w:lineRule="auto"/>
              <w:ind w:firstLine="0" w:firstLineChars="0"/>
              <w:jc w:val="center"/>
              <w:rPr>
                <w:color w:val="auto"/>
                <w:sz w:val="21"/>
                <w:szCs w:val="21"/>
                <w:highlight w:val="none"/>
              </w:rPr>
            </w:pPr>
            <w:r>
              <w:rPr>
                <w:color w:val="auto"/>
                <w:sz w:val="21"/>
                <w:szCs w:val="21"/>
                <w:highlight w:val="none"/>
              </w:rPr>
              <w:t>1</w:t>
            </w:r>
          </w:p>
        </w:tc>
        <w:tc>
          <w:tcPr>
            <w:tcW w:w="3544" w:type="dxa"/>
            <w:vAlign w:val="center"/>
          </w:tcPr>
          <w:p w14:paraId="7FB6F546">
            <w:pPr>
              <w:widowControl/>
              <w:shd w:val="clear"/>
              <w:snapToGrid w:val="0"/>
              <w:spacing w:before="72" w:beforeLines="30" w:after="72" w:afterLines="30" w:line="240" w:lineRule="auto"/>
              <w:ind w:firstLine="0" w:firstLineChars="0"/>
              <w:rPr>
                <w:color w:val="auto"/>
                <w:sz w:val="21"/>
                <w:szCs w:val="21"/>
                <w:highlight w:val="none"/>
              </w:rPr>
            </w:pPr>
            <w:r>
              <w:rPr>
                <w:color w:val="auto"/>
                <w:sz w:val="21"/>
                <w:szCs w:val="21"/>
                <w:highlight w:val="none"/>
              </w:rPr>
              <w:t>1#高炉</w:t>
            </w:r>
            <w:r>
              <w:rPr>
                <w:rFonts w:hint="eastAsia"/>
                <w:color w:val="auto"/>
                <w:sz w:val="21"/>
                <w:szCs w:val="21"/>
                <w:highlight w:val="none"/>
              </w:rPr>
              <w:t>重力除尘</w:t>
            </w:r>
            <w:r>
              <w:rPr>
                <w:color w:val="auto"/>
                <w:sz w:val="21"/>
                <w:szCs w:val="21"/>
                <w:highlight w:val="none"/>
              </w:rPr>
              <w:t>新增气力输灰系统</w:t>
            </w:r>
          </w:p>
        </w:tc>
        <w:tc>
          <w:tcPr>
            <w:tcW w:w="850" w:type="dxa"/>
            <w:vAlign w:val="center"/>
          </w:tcPr>
          <w:p w14:paraId="4022FFD5">
            <w:pPr>
              <w:widowControl/>
              <w:shd w:val="clear"/>
              <w:snapToGrid w:val="0"/>
              <w:spacing w:before="72" w:beforeLines="30" w:after="72" w:afterLines="30" w:line="240" w:lineRule="auto"/>
              <w:ind w:firstLine="0" w:firstLineChars="0"/>
              <w:jc w:val="center"/>
              <w:rPr>
                <w:color w:val="auto"/>
                <w:sz w:val="21"/>
                <w:szCs w:val="21"/>
                <w:highlight w:val="none"/>
              </w:rPr>
            </w:pPr>
            <w:r>
              <w:rPr>
                <w:color w:val="auto"/>
                <w:sz w:val="21"/>
                <w:szCs w:val="21"/>
                <w:highlight w:val="none"/>
              </w:rPr>
              <w:t>-</w:t>
            </w:r>
          </w:p>
        </w:tc>
        <w:tc>
          <w:tcPr>
            <w:tcW w:w="993" w:type="dxa"/>
            <w:vAlign w:val="center"/>
          </w:tcPr>
          <w:p w14:paraId="132C226B">
            <w:pPr>
              <w:widowControl/>
              <w:shd w:val="clear"/>
              <w:snapToGrid w:val="0"/>
              <w:spacing w:before="72" w:beforeLines="30" w:after="72" w:afterLines="30" w:line="240" w:lineRule="auto"/>
              <w:ind w:firstLine="0" w:firstLineChars="0"/>
              <w:jc w:val="center"/>
              <w:rPr>
                <w:color w:val="auto"/>
                <w:sz w:val="21"/>
                <w:szCs w:val="21"/>
                <w:highlight w:val="none"/>
              </w:rPr>
            </w:pPr>
            <w:r>
              <w:rPr>
                <w:color w:val="auto"/>
                <w:sz w:val="21"/>
                <w:szCs w:val="21"/>
                <w:highlight w:val="none"/>
              </w:rPr>
              <w:t>800</w:t>
            </w:r>
          </w:p>
        </w:tc>
        <w:tc>
          <w:tcPr>
            <w:tcW w:w="992" w:type="dxa"/>
            <w:vAlign w:val="center"/>
          </w:tcPr>
          <w:p w14:paraId="0ABB799C">
            <w:pPr>
              <w:widowControl/>
              <w:shd w:val="clear"/>
              <w:snapToGrid w:val="0"/>
              <w:spacing w:before="72" w:beforeLines="30" w:after="72" w:afterLines="30" w:line="240" w:lineRule="auto"/>
              <w:ind w:firstLine="0" w:firstLineChars="0"/>
              <w:jc w:val="center"/>
              <w:rPr>
                <w:color w:val="auto"/>
                <w:sz w:val="21"/>
                <w:szCs w:val="21"/>
                <w:highlight w:val="none"/>
              </w:rPr>
            </w:pPr>
            <w:r>
              <w:rPr>
                <w:rFonts w:hint="eastAsia"/>
                <w:color w:val="auto"/>
                <w:sz w:val="21"/>
                <w:szCs w:val="21"/>
                <w:highlight w:val="none"/>
              </w:rPr>
              <w:t>0.6</w:t>
            </w:r>
          </w:p>
        </w:tc>
        <w:tc>
          <w:tcPr>
            <w:tcW w:w="744" w:type="dxa"/>
            <w:vAlign w:val="center"/>
          </w:tcPr>
          <w:p w14:paraId="1255A62D">
            <w:pPr>
              <w:widowControl/>
              <w:shd w:val="clear"/>
              <w:snapToGrid w:val="0"/>
              <w:spacing w:before="72" w:beforeLines="30" w:after="72" w:afterLines="30" w:line="240" w:lineRule="auto"/>
              <w:ind w:firstLine="0" w:firstLineChars="0"/>
              <w:jc w:val="center"/>
              <w:rPr>
                <w:color w:val="auto"/>
                <w:sz w:val="21"/>
                <w:szCs w:val="21"/>
                <w:highlight w:val="none"/>
              </w:rPr>
            </w:pPr>
            <w:r>
              <w:rPr>
                <w:rFonts w:hint="eastAsia"/>
                <w:color w:val="auto"/>
                <w:sz w:val="21"/>
                <w:szCs w:val="21"/>
                <w:highlight w:val="none"/>
              </w:rPr>
              <w:t>间断</w:t>
            </w:r>
          </w:p>
        </w:tc>
      </w:tr>
      <w:tr w14:paraId="5083B0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4" w:type="dxa"/>
            <w:vAlign w:val="center"/>
          </w:tcPr>
          <w:p w14:paraId="02C91568">
            <w:pPr>
              <w:widowControl/>
              <w:shd w:val="clear"/>
              <w:snapToGrid w:val="0"/>
              <w:spacing w:before="72" w:beforeLines="30" w:after="72" w:afterLines="30" w:line="240" w:lineRule="auto"/>
              <w:ind w:firstLine="0" w:firstLineChars="0"/>
              <w:jc w:val="center"/>
              <w:rPr>
                <w:color w:val="auto"/>
                <w:sz w:val="21"/>
                <w:szCs w:val="21"/>
                <w:highlight w:val="none"/>
              </w:rPr>
            </w:pPr>
            <w:r>
              <w:rPr>
                <w:rFonts w:hint="eastAsia"/>
                <w:color w:val="auto"/>
                <w:sz w:val="21"/>
                <w:szCs w:val="21"/>
                <w:highlight w:val="none"/>
              </w:rPr>
              <w:t>2</w:t>
            </w:r>
          </w:p>
        </w:tc>
        <w:tc>
          <w:tcPr>
            <w:tcW w:w="3544" w:type="dxa"/>
            <w:vAlign w:val="center"/>
          </w:tcPr>
          <w:p w14:paraId="0950D566">
            <w:pPr>
              <w:widowControl/>
              <w:shd w:val="clear"/>
              <w:snapToGrid w:val="0"/>
              <w:spacing w:before="72" w:beforeLines="30" w:after="72" w:afterLines="30" w:line="240" w:lineRule="auto"/>
              <w:ind w:firstLine="0" w:firstLineChars="0"/>
              <w:rPr>
                <w:color w:val="auto"/>
                <w:sz w:val="21"/>
                <w:szCs w:val="21"/>
                <w:highlight w:val="none"/>
              </w:rPr>
            </w:pPr>
            <w:r>
              <w:rPr>
                <w:color w:val="auto"/>
                <w:sz w:val="21"/>
                <w:szCs w:val="21"/>
                <w:highlight w:val="none"/>
              </w:rPr>
              <w:t>2#高炉</w:t>
            </w:r>
            <w:r>
              <w:rPr>
                <w:rFonts w:hint="eastAsia"/>
                <w:color w:val="auto"/>
                <w:sz w:val="21"/>
                <w:szCs w:val="21"/>
                <w:highlight w:val="none"/>
              </w:rPr>
              <w:t>重力除尘</w:t>
            </w:r>
            <w:r>
              <w:rPr>
                <w:color w:val="auto"/>
                <w:sz w:val="21"/>
                <w:szCs w:val="21"/>
                <w:highlight w:val="none"/>
              </w:rPr>
              <w:t>新增仓泵气力输灰系统</w:t>
            </w:r>
          </w:p>
        </w:tc>
        <w:tc>
          <w:tcPr>
            <w:tcW w:w="850" w:type="dxa"/>
            <w:vAlign w:val="center"/>
          </w:tcPr>
          <w:p w14:paraId="43161ED2">
            <w:pPr>
              <w:widowControl/>
              <w:shd w:val="clear"/>
              <w:snapToGrid w:val="0"/>
              <w:spacing w:before="72" w:beforeLines="30" w:after="72" w:afterLines="30" w:line="240" w:lineRule="auto"/>
              <w:ind w:firstLine="0" w:firstLineChars="0"/>
              <w:jc w:val="center"/>
              <w:rPr>
                <w:color w:val="auto"/>
                <w:sz w:val="21"/>
                <w:szCs w:val="21"/>
                <w:highlight w:val="none"/>
              </w:rPr>
            </w:pPr>
            <w:r>
              <w:rPr>
                <w:color w:val="auto"/>
                <w:sz w:val="21"/>
                <w:szCs w:val="21"/>
                <w:highlight w:val="none"/>
              </w:rPr>
              <w:t>-</w:t>
            </w:r>
          </w:p>
        </w:tc>
        <w:tc>
          <w:tcPr>
            <w:tcW w:w="993" w:type="dxa"/>
            <w:vAlign w:val="center"/>
          </w:tcPr>
          <w:p w14:paraId="6F56C918">
            <w:pPr>
              <w:widowControl/>
              <w:shd w:val="clear"/>
              <w:snapToGrid w:val="0"/>
              <w:spacing w:before="72" w:beforeLines="30" w:after="72" w:afterLines="30" w:line="240" w:lineRule="auto"/>
              <w:ind w:firstLine="0" w:firstLineChars="0"/>
              <w:jc w:val="center"/>
              <w:rPr>
                <w:color w:val="auto"/>
                <w:sz w:val="21"/>
                <w:szCs w:val="21"/>
                <w:highlight w:val="none"/>
              </w:rPr>
            </w:pPr>
            <w:r>
              <w:rPr>
                <w:color w:val="auto"/>
                <w:sz w:val="21"/>
                <w:szCs w:val="21"/>
                <w:highlight w:val="none"/>
              </w:rPr>
              <w:t>500</w:t>
            </w:r>
          </w:p>
        </w:tc>
        <w:tc>
          <w:tcPr>
            <w:tcW w:w="992" w:type="dxa"/>
            <w:vAlign w:val="center"/>
          </w:tcPr>
          <w:p w14:paraId="3FE70938">
            <w:pPr>
              <w:widowControl/>
              <w:shd w:val="clear"/>
              <w:snapToGrid w:val="0"/>
              <w:spacing w:before="72" w:beforeLines="30" w:after="72" w:afterLines="30" w:line="240" w:lineRule="auto"/>
              <w:ind w:firstLine="0" w:firstLineChars="0"/>
              <w:jc w:val="center"/>
              <w:rPr>
                <w:color w:val="auto"/>
                <w:sz w:val="21"/>
                <w:szCs w:val="21"/>
                <w:highlight w:val="none"/>
              </w:rPr>
            </w:pPr>
            <w:r>
              <w:rPr>
                <w:color w:val="auto"/>
                <w:sz w:val="21"/>
                <w:szCs w:val="21"/>
                <w:highlight w:val="none"/>
              </w:rPr>
              <w:t>0.6</w:t>
            </w:r>
          </w:p>
        </w:tc>
        <w:tc>
          <w:tcPr>
            <w:tcW w:w="744" w:type="dxa"/>
            <w:vAlign w:val="center"/>
          </w:tcPr>
          <w:p w14:paraId="388F57AC">
            <w:pPr>
              <w:widowControl/>
              <w:shd w:val="clear"/>
              <w:snapToGrid w:val="0"/>
              <w:spacing w:before="72" w:beforeLines="30" w:after="72" w:afterLines="30" w:line="240" w:lineRule="auto"/>
              <w:ind w:firstLine="0" w:firstLineChars="0"/>
              <w:jc w:val="center"/>
              <w:rPr>
                <w:color w:val="auto"/>
                <w:sz w:val="21"/>
                <w:szCs w:val="21"/>
                <w:highlight w:val="none"/>
              </w:rPr>
            </w:pPr>
            <w:r>
              <w:rPr>
                <w:rFonts w:hint="eastAsia"/>
                <w:color w:val="auto"/>
                <w:sz w:val="21"/>
                <w:szCs w:val="21"/>
                <w:highlight w:val="none"/>
              </w:rPr>
              <w:t>间断</w:t>
            </w:r>
          </w:p>
        </w:tc>
      </w:tr>
      <w:tr w14:paraId="3A0915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4" w:type="dxa"/>
            <w:vAlign w:val="center"/>
          </w:tcPr>
          <w:p w14:paraId="0BA0C1E4">
            <w:pPr>
              <w:widowControl/>
              <w:shd w:val="clear"/>
              <w:snapToGrid w:val="0"/>
              <w:spacing w:before="72" w:beforeLines="30" w:after="72" w:afterLines="30" w:line="240" w:lineRule="auto"/>
              <w:ind w:firstLine="0" w:firstLineChars="0"/>
              <w:jc w:val="center"/>
              <w:rPr>
                <w:color w:val="auto"/>
                <w:sz w:val="21"/>
                <w:szCs w:val="21"/>
                <w:highlight w:val="none"/>
              </w:rPr>
            </w:pPr>
            <w:r>
              <w:rPr>
                <w:color w:val="auto"/>
                <w:sz w:val="21"/>
                <w:szCs w:val="21"/>
                <w:highlight w:val="none"/>
              </w:rPr>
              <w:t>3</w:t>
            </w:r>
          </w:p>
        </w:tc>
        <w:tc>
          <w:tcPr>
            <w:tcW w:w="3544" w:type="dxa"/>
            <w:vAlign w:val="center"/>
          </w:tcPr>
          <w:p w14:paraId="21FBFE2B">
            <w:pPr>
              <w:widowControl/>
              <w:shd w:val="clear"/>
              <w:snapToGrid w:val="0"/>
              <w:spacing w:before="72" w:beforeLines="30" w:after="72" w:afterLines="30" w:line="240" w:lineRule="auto"/>
              <w:ind w:firstLine="0" w:firstLineChars="0"/>
              <w:rPr>
                <w:color w:val="auto"/>
                <w:sz w:val="21"/>
                <w:szCs w:val="21"/>
                <w:highlight w:val="none"/>
              </w:rPr>
            </w:pPr>
            <w:r>
              <w:rPr>
                <w:rFonts w:hint="eastAsia"/>
                <w:color w:val="auto"/>
                <w:sz w:val="21"/>
                <w:szCs w:val="21"/>
                <w:highlight w:val="none"/>
              </w:rPr>
              <w:t>重力除尘新建灰仓脉冲喷吹</w:t>
            </w:r>
          </w:p>
        </w:tc>
        <w:tc>
          <w:tcPr>
            <w:tcW w:w="850" w:type="dxa"/>
            <w:vAlign w:val="center"/>
          </w:tcPr>
          <w:p w14:paraId="1429B675">
            <w:pPr>
              <w:widowControl/>
              <w:shd w:val="clear"/>
              <w:snapToGrid w:val="0"/>
              <w:spacing w:before="72" w:beforeLines="30" w:after="72" w:afterLines="30" w:line="240" w:lineRule="auto"/>
              <w:ind w:firstLine="0" w:firstLineChars="0"/>
              <w:jc w:val="center"/>
              <w:rPr>
                <w:color w:val="auto"/>
                <w:sz w:val="21"/>
                <w:szCs w:val="21"/>
                <w:highlight w:val="none"/>
              </w:rPr>
            </w:pPr>
            <w:r>
              <w:rPr>
                <w:color w:val="auto"/>
                <w:sz w:val="21"/>
                <w:szCs w:val="21"/>
                <w:highlight w:val="none"/>
              </w:rPr>
              <w:t>-</w:t>
            </w:r>
          </w:p>
        </w:tc>
        <w:tc>
          <w:tcPr>
            <w:tcW w:w="993" w:type="dxa"/>
            <w:vAlign w:val="center"/>
          </w:tcPr>
          <w:p w14:paraId="324085A2">
            <w:pPr>
              <w:widowControl/>
              <w:shd w:val="clear"/>
              <w:snapToGrid w:val="0"/>
              <w:spacing w:before="72" w:beforeLines="30" w:after="72" w:afterLines="30" w:line="240" w:lineRule="auto"/>
              <w:ind w:firstLine="0" w:firstLineChars="0"/>
              <w:jc w:val="center"/>
              <w:rPr>
                <w:color w:val="auto"/>
                <w:sz w:val="21"/>
                <w:szCs w:val="21"/>
                <w:highlight w:val="none"/>
              </w:rPr>
            </w:pPr>
            <w:r>
              <w:rPr>
                <w:rFonts w:hint="eastAsia"/>
                <w:color w:val="auto"/>
                <w:sz w:val="21"/>
                <w:szCs w:val="21"/>
                <w:highlight w:val="none"/>
              </w:rPr>
              <w:t>4</w:t>
            </w:r>
            <w:r>
              <w:rPr>
                <w:color w:val="auto"/>
                <w:sz w:val="21"/>
                <w:szCs w:val="21"/>
                <w:highlight w:val="none"/>
              </w:rPr>
              <w:t>00</w:t>
            </w:r>
          </w:p>
        </w:tc>
        <w:tc>
          <w:tcPr>
            <w:tcW w:w="992" w:type="dxa"/>
            <w:vAlign w:val="center"/>
          </w:tcPr>
          <w:p w14:paraId="74DBDB25">
            <w:pPr>
              <w:widowControl/>
              <w:shd w:val="clear"/>
              <w:snapToGrid w:val="0"/>
              <w:spacing w:before="72" w:beforeLines="30" w:after="72" w:afterLines="30" w:line="240" w:lineRule="auto"/>
              <w:ind w:firstLine="0" w:firstLineChars="0"/>
              <w:jc w:val="center"/>
              <w:rPr>
                <w:color w:val="auto"/>
                <w:sz w:val="21"/>
                <w:szCs w:val="21"/>
                <w:highlight w:val="none"/>
              </w:rPr>
            </w:pPr>
            <w:r>
              <w:rPr>
                <w:rFonts w:hint="eastAsia"/>
                <w:color w:val="auto"/>
                <w:sz w:val="21"/>
                <w:szCs w:val="21"/>
                <w:highlight w:val="none"/>
              </w:rPr>
              <w:t>0</w:t>
            </w:r>
            <w:r>
              <w:rPr>
                <w:color w:val="auto"/>
                <w:sz w:val="21"/>
                <w:szCs w:val="21"/>
                <w:highlight w:val="none"/>
              </w:rPr>
              <w:t>.35</w:t>
            </w:r>
          </w:p>
        </w:tc>
        <w:tc>
          <w:tcPr>
            <w:tcW w:w="744" w:type="dxa"/>
            <w:vAlign w:val="center"/>
          </w:tcPr>
          <w:p w14:paraId="385786C5">
            <w:pPr>
              <w:widowControl/>
              <w:shd w:val="clear"/>
              <w:snapToGrid w:val="0"/>
              <w:spacing w:before="72" w:beforeLines="30" w:after="72" w:afterLines="30" w:line="240" w:lineRule="auto"/>
              <w:ind w:firstLine="0" w:firstLineChars="0"/>
              <w:jc w:val="center"/>
              <w:rPr>
                <w:color w:val="auto"/>
                <w:sz w:val="21"/>
                <w:szCs w:val="21"/>
                <w:highlight w:val="none"/>
              </w:rPr>
            </w:pPr>
            <w:r>
              <w:rPr>
                <w:rFonts w:hint="eastAsia"/>
                <w:color w:val="auto"/>
                <w:sz w:val="21"/>
                <w:szCs w:val="21"/>
                <w:highlight w:val="none"/>
              </w:rPr>
              <w:t>间断</w:t>
            </w:r>
          </w:p>
        </w:tc>
      </w:tr>
      <w:tr w14:paraId="6B9785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4" w:type="dxa"/>
            <w:vAlign w:val="center"/>
          </w:tcPr>
          <w:p w14:paraId="1D1E9B4B">
            <w:pPr>
              <w:widowControl/>
              <w:shd w:val="clear"/>
              <w:snapToGrid w:val="0"/>
              <w:spacing w:before="72" w:beforeLines="30" w:after="72" w:afterLines="30" w:line="240" w:lineRule="auto"/>
              <w:ind w:firstLine="0" w:firstLineChars="0"/>
              <w:jc w:val="center"/>
              <w:rPr>
                <w:color w:val="auto"/>
                <w:sz w:val="21"/>
                <w:szCs w:val="21"/>
                <w:highlight w:val="none"/>
              </w:rPr>
            </w:pPr>
            <w:r>
              <w:rPr>
                <w:rFonts w:hint="eastAsia"/>
                <w:color w:val="auto"/>
                <w:sz w:val="21"/>
                <w:szCs w:val="21"/>
                <w:highlight w:val="none"/>
              </w:rPr>
              <w:t>4</w:t>
            </w:r>
          </w:p>
        </w:tc>
        <w:tc>
          <w:tcPr>
            <w:tcW w:w="3544" w:type="dxa"/>
            <w:vAlign w:val="center"/>
          </w:tcPr>
          <w:p w14:paraId="5F879439">
            <w:pPr>
              <w:widowControl/>
              <w:shd w:val="clear"/>
              <w:snapToGrid w:val="0"/>
              <w:spacing w:before="72" w:beforeLines="30" w:after="72" w:afterLines="30" w:line="240" w:lineRule="auto"/>
              <w:ind w:firstLine="0" w:firstLineChars="0"/>
              <w:rPr>
                <w:color w:val="auto"/>
                <w:sz w:val="21"/>
                <w:szCs w:val="21"/>
                <w:highlight w:val="none"/>
              </w:rPr>
            </w:pPr>
            <w:r>
              <w:rPr>
                <w:rFonts w:hint="eastAsia"/>
                <w:color w:val="auto"/>
                <w:sz w:val="21"/>
                <w:szCs w:val="21"/>
                <w:highlight w:val="none"/>
              </w:rPr>
              <w:t>重力除尘新建灰仓吹扫及吸引装置用气</w:t>
            </w:r>
          </w:p>
        </w:tc>
        <w:tc>
          <w:tcPr>
            <w:tcW w:w="850" w:type="dxa"/>
            <w:vAlign w:val="center"/>
          </w:tcPr>
          <w:p w14:paraId="5EBBAFF9">
            <w:pPr>
              <w:widowControl/>
              <w:shd w:val="clear"/>
              <w:snapToGrid w:val="0"/>
              <w:spacing w:before="72" w:beforeLines="30" w:after="72" w:afterLines="30" w:line="240" w:lineRule="auto"/>
              <w:ind w:firstLine="0" w:firstLineChars="0"/>
              <w:jc w:val="center"/>
              <w:rPr>
                <w:color w:val="auto"/>
                <w:sz w:val="21"/>
                <w:szCs w:val="21"/>
                <w:highlight w:val="none"/>
              </w:rPr>
            </w:pPr>
            <w:r>
              <w:rPr>
                <w:color w:val="auto"/>
                <w:sz w:val="21"/>
                <w:szCs w:val="21"/>
                <w:highlight w:val="none"/>
              </w:rPr>
              <w:t>-</w:t>
            </w:r>
          </w:p>
        </w:tc>
        <w:tc>
          <w:tcPr>
            <w:tcW w:w="993" w:type="dxa"/>
            <w:vAlign w:val="center"/>
          </w:tcPr>
          <w:p w14:paraId="3CFB2955">
            <w:pPr>
              <w:widowControl/>
              <w:shd w:val="clear"/>
              <w:snapToGrid w:val="0"/>
              <w:spacing w:before="72" w:beforeLines="30" w:after="72" w:afterLines="30" w:line="240" w:lineRule="auto"/>
              <w:ind w:firstLine="0" w:firstLineChars="0"/>
              <w:jc w:val="center"/>
              <w:rPr>
                <w:color w:val="auto"/>
                <w:sz w:val="21"/>
                <w:szCs w:val="21"/>
                <w:highlight w:val="none"/>
              </w:rPr>
            </w:pPr>
            <w:r>
              <w:rPr>
                <w:rFonts w:hint="eastAsia"/>
                <w:color w:val="auto"/>
                <w:sz w:val="21"/>
                <w:szCs w:val="21"/>
                <w:highlight w:val="none"/>
              </w:rPr>
              <w:t>3</w:t>
            </w:r>
            <w:r>
              <w:rPr>
                <w:color w:val="auto"/>
                <w:sz w:val="21"/>
                <w:szCs w:val="21"/>
                <w:highlight w:val="none"/>
              </w:rPr>
              <w:t>00</w:t>
            </w:r>
          </w:p>
        </w:tc>
        <w:tc>
          <w:tcPr>
            <w:tcW w:w="992" w:type="dxa"/>
            <w:vAlign w:val="center"/>
          </w:tcPr>
          <w:p w14:paraId="41AE7A7D">
            <w:pPr>
              <w:widowControl/>
              <w:shd w:val="clear"/>
              <w:snapToGrid w:val="0"/>
              <w:spacing w:before="72" w:beforeLines="30" w:after="72" w:afterLines="30" w:line="240" w:lineRule="auto"/>
              <w:ind w:firstLine="0" w:firstLineChars="0"/>
              <w:jc w:val="center"/>
              <w:rPr>
                <w:color w:val="auto"/>
                <w:sz w:val="21"/>
                <w:szCs w:val="21"/>
                <w:highlight w:val="none"/>
              </w:rPr>
            </w:pPr>
            <w:r>
              <w:rPr>
                <w:rFonts w:hint="eastAsia"/>
                <w:color w:val="auto"/>
                <w:sz w:val="21"/>
                <w:szCs w:val="21"/>
                <w:highlight w:val="none"/>
              </w:rPr>
              <w:t>0</w:t>
            </w:r>
            <w:r>
              <w:rPr>
                <w:color w:val="auto"/>
                <w:sz w:val="21"/>
                <w:szCs w:val="21"/>
                <w:highlight w:val="none"/>
              </w:rPr>
              <w:t>.6</w:t>
            </w:r>
          </w:p>
        </w:tc>
        <w:tc>
          <w:tcPr>
            <w:tcW w:w="744" w:type="dxa"/>
            <w:vAlign w:val="center"/>
          </w:tcPr>
          <w:p w14:paraId="3F6888DA">
            <w:pPr>
              <w:widowControl/>
              <w:shd w:val="clear"/>
              <w:snapToGrid w:val="0"/>
              <w:spacing w:before="72" w:beforeLines="30" w:after="72" w:afterLines="30" w:line="240" w:lineRule="auto"/>
              <w:ind w:firstLine="0" w:firstLineChars="0"/>
              <w:jc w:val="center"/>
              <w:rPr>
                <w:color w:val="auto"/>
                <w:sz w:val="21"/>
                <w:szCs w:val="21"/>
                <w:highlight w:val="none"/>
              </w:rPr>
            </w:pPr>
            <w:r>
              <w:rPr>
                <w:rFonts w:hint="eastAsia"/>
                <w:color w:val="auto"/>
                <w:sz w:val="21"/>
                <w:szCs w:val="21"/>
                <w:highlight w:val="none"/>
              </w:rPr>
              <w:t>间断</w:t>
            </w:r>
          </w:p>
        </w:tc>
      </w:tr>
      <w:tr w14:paraId="490EEF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4" w:type="dxa"/>
            <w:vAlign w:val="center"/>
          </w:tcPr>
          <w:p w14:paraId="376B36ED">
            <w:pPr>
              <w:widowControl/>
              <w:shd w:val="clear"/>
              <w:snapToGrid w:val="0"/>
              <w:spacing w:before="72" w:beforeLines="30" w:after="72" w:afterLines="30" w:line="240" w:lineRule="auto"/>
              <w:ind w:firstLine="0" w:firstLineChars="0"/>
              <w:jc w:val="center"/>
              <w:rPr>
                <w:color w:val="auto"/>
                <w:sz w:val="21"/>
                <w:szCs w:val="21"/>
                <w:highlight w:val="none"/>
              </w:rPr>
            </w:pPr>
            <w:r>
              <w:rPr>
                <w:color w:val="auto"/>
                <w:sz w:val="21"/>
                <w:szCs w:val="21"/>
                <w:highlight w:val="none"/>
              </w:rPr>
              <w:t>5</w:t>
            </w:r>
          </w:p>
        </w:tc>
        <w:tc>
          <w:tcPr>
            <w:tcW w:w="3544" w:type="dxa"/>
            <w:vAlign w:val="center"/>
          </w:tcPr>
          <w:p w14:paraId="54C449BA">
            <w:pPr>
              <w:widowControl/>
              <w:shd w:val="clear"/>
              <w:snapToGrid w:val="0"/>
              <w:spacing w:before="72" w:beforeLines="30" w:after="72" w:afterLines="30" w:line="240" w:lineRule="auto"/>
              <w:ind w:firstLine="0" w:firstLineChars="0"/>
              <w:rPr>
                <w:color w:val="auto"/>
                <w:sz w:val="21"/>
                <w:szCs w:val="21"/>
                <w:highlight w:val="none"/>
              </w:rPr>
            </w:pPr>
            <w:r>
              <w:rPr>
                <w:rFonts w:hint="eastAsia" w:ascii="Arial" w:hAnsi="Arial"/>
                <w:color w:val="auto"/>
                <w:sz w:val="21"/>
                <w:szCs w:val="21"/>
                <w:highlight w:val="none"/>
              </w:rPr>
              <w:t>新烧结配料室吸排罐车气源</w:t>
            </w:r>
          </w:p>
        </w:tc>
        <w:tc>
          <w:tcPr>
            <w:tcW w:w="850" w:type="dxa"/>
            <w:vAlign w:val="center"/>
          </w:tcPr>
          <w:p w14:paraId="01B9EF09">
            <w:pPr>
              <w:widowControl/>
              <w:shd w:val="clear"/>
              <w:snapToGrid w:val="0"/>
              <w:spacing w:before="72" w:beforeLines="30" w:after="72" w:afterLines="30" w:line="240" w:lineRule="auto"/>
              <w:ind w:firstLine="0" w:firstLineChars="0"/>
              <w:jc w:val="center"/>
              <w:rPr>
                <w:color w:val="auto"/>
                <w:sz w:val="21"/>
                <w:szCs w:val="21"/>
                <w:highlight w:val="none"/>
              </w:rPr>
            </w:pPr>
            <w:r>
              <w:rPr>
                <w:color w:val="auto"/>
                <w:sz w:val="21"/>
                <w:szCs w:val="21"/>
                <w:highlight w:val="none"/>
              </w:rPr>
              <w:t>-</w:t>
            </w:r>
          </w:p>
        </w:tc>
        <w:tc>
          <w:tcPr>
            <w:tcW w:w="993" w:type="dxa"/>
            <w:vAlign w:val="center"/>
          </w:tcPr>
          <w:p w14:paraId="69B40757">
            <w:pPr>
              <w:widowControl/>
              <w:shd w:val="clear"/>
              <w:snapToGrid w:val="0"/>
              <w:spacing w:before="72" w:beforeLines="30" w:after="72" w:afterLines="30" w:line="240" w:lineRule="auto"/>
              <w:ind w:firstLine="0" w:firstLineChars="0"/>
              <w:jc w:val="center"/>
              <w:rPr>
                <w:color w:val="auto"/>
                <w:sz w:val="21"/>
                <w:szCs w:val="21"/>
                <w:highlight w:val="none"/>
              </w:rPr>
            </w:pPr>
            <w:r>
              <w:rPr>
                <w:rFonts w:hint="eastAsia"/>
                <w:color w:val="auto"/>
                <w:sz w:val="21"/>
                <w:szCs w:val="21"/>
                <w:highlight w:val="none"/>
              </w:rPr>
              <w:t>900</w:t>
            </w:r>
          </w:p>
        </w:tc>
        <w:tc>
          <w:tcPr>
            <w:tcW w:w="992" w:type="dxa"/>
            <w:vAlign w:val="center"/>
          </w:tcPr>
          <w:p w14:paraId="0DE7F8EC">
            <w:pPr>
              <w:widowControl/>
              <w:shd w:val="clear"/>
              <w:snapToGrid w:val="0"/>
              <w:spacing w:before="72" w:beforeLines="30" w:after="72" w:afterLines="30" w:line="240" w:lineRule="auto"/>
              <w:ind w:firstLine="0" w:firstLineChars="0"/>
              <w:jc w:val="center"/>
              <w:rPr>
                <w:color w:val="auto"/>
                <w:sz w:val="21"/>
                <w:szCs w:val="21"/>
                <w:highlight w:val="none"/>
              </w:rPr>
            </w:pPr>
            <w:r>
              <w:rPr>
                <w:rFonts w:hint="eastAsia"/>
                <w:color w:val="auto"/>
                <w:sz w:val="21"/>
                <w:szCs w:val="21"/>
                <w:highlight w:val="none"/>
              </w:rPr>
              <w:t>0.6</w:t>
            </w:r>
          </w:p>
        </w:tc>
        <w:tc>
          <w:tcPr>
            <w:tcW w:w="744" w:type="dxa"/>
            <w:vAlign w:val="center"/>
          </w:tcPr>
          <w:p w14:paraId="0FC5BFCF">
            <w:pPr>
              <w:widowControl/>
              <w:shd w:val="clear"/>
              <w:snapToGrid w:val="0"/>
              <w:spacing w:before="72" w:beforeLines="30" w:after="72" w:afterLines="30" w:line="240" w:lineRule="auto"/>
              <w:ind w:firstLine="0" w:firstLineChars="0"/>
              <w:jc w:val="center"/>
              <w:rPr>
                <w:color w:val="auto"/>
                <w:sz w:val="21"/>
                <w:szCs w:val="21"/>
                <w:highlight w:val="none"/>
              </w:rPr>
            </w:pPr>
            <w:r>
              <w:rPr>
                <w:rFonts w:hint="eastAsia"/>
                <w:color w:val="auto"/>
                <w:sz w:val="21"/>
                <w:szCs w:val="21"/>
                <w:highlight w:val="none"/>
              </w:rPr>
              <w:t>间断</w:t>
            </w:r>
          </w:p>
        </w:tc>
      </w:tr>
      <w:tr w14:paraId="7CD683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4" w:type="dxa"/>
            <w:vAlign w:val="center"/>
          </w:tcPr>
          <w:p w14:paraId="48561B1C">
            <w:pPr>
              <w:widowControl/>
              <w:shd w:val="clear"/>
              <w:snapToGrid w:val="0"/>
              <w:spacing w:before="72" w:beforeLines="30" w:after="72" w:afterLines="30" w:line="240" w:lineRule="auto"/>
              <w:ind w:firstLine="0" w:firstLineChars="0"/>
              <w:jc w:val="center"/>
              <w:rPr>
                <w:color w:val="auto"/>
                <w:sz w:val="21"/>
                <w:szCs w:val="21"/>
                <w:highlight w:val="none"/>
              </w:rPr>
            </w:pPr>
            <w:r>
              <w:rPr>
                <w:rFonts w:hint="eastAsia"/>
                <w:color w:val="auto"/>
                <w:sz w:val="21"/>
                <w:szCs w:val="21"/>
                <w:highlight w:val="none"/>
              </w:rPr>
              <w:t>6</w:t>
            </w:r>
          </w:p>
        </w:tc>
        <w:tc>
          <w:tcPr>
            <w:tcW w:w="3544" w:type="dxa"/>
            <w:vAlign w:val="center"/>
          </w:tcPr>
          <w:p w14:paraId="5C46E11D">
            <w:pPr>
              <w:widowControl/>
              <w:shd w:val="clear"/>
              <w:snapToGrid w:val="0"/>
              <w:spacing w:before="72" w:beforeLines="30" w:after="72" w:afterLines="30" w:line="240" w:lineRule="auto"/>
              <w:ind w:firstLine="0" w:firstLineChars="0"/>
              <w:rPr>
                <w:rFonts w:hint="eastAsia" w:ascii="Arial" w:hAnsi="Arial"/>
                <w:color w:val="auto"/>
                <w:sz w:val="21"/>
                <w:szCs w:val="21"/>
                <w:highlight w:val="none"/>
              </w:rPr>
            </w:pPr>
            <w:r>
              <w:rPr>
                <w:rFonts w:hint="eastAsia"/>
                <w:color w:val="auto"/>
                <w:sz w:val="21"/>
                <w:szCs w:val="21"/>
                <w:highlight w:val="none"/>
              </w:rPr>
              <w:t>炉顶下阀箱</w:t>
            </w:r>
          </w:p>
        </w:tc>
        <w:tc>
          <w:tcPr>
            <w:tcW w:w="850" w:type="dxa"/>
            <w:vAlign w:val="center"/>
          </w:tcPr>
          <w:p w14:paraId="4844E1CE">
            <w:pPr>
              <w:widowControl/>
              <w:shd w:val="clear"/>
              <w:snapToGrid w:val="0"/>
              <w:spacing w:before="72" w:beforeLines="30" w:after="72" w:afterLines="30" w:line="240" w:lineRule="auto"/>
              <w:ind w:firstLine="0" w:firstLineChars="0"/>
              <w:jc w:val="center"/>
              <w:rPr>
                <w:color w:val="auto"/>
                <w:sz w:val="21"/>
                <w:szCs w:val="21"/>
                <w:highlight w:val="none"/>
              </w:rPr>
            </w:pPr>
            <w:r>
              <w:rPr>
                <w:color w:val="auto"/>
                <w:sz w:val="21"/>
                <w:szCs w:val="21"/>
                <w:highlight w:val="none"/>
              </w:rPr>
              <w:t>300</w:t>
            </w:r>
          </w:p>
        </w:tc>
        <w:tc>
          <w:tcPr>
            <w:tcW w:w="993" w:type="dxa"/>
            <w:vAlign w:val="center"/>
          </w:tcPr>
          <w:p w14:paraId="46F9364A">
            <w:pPr>
              <w:widowControl/>
              <w:shd w:val="clear"/>
              <w:snapToGrid w:val="0"/>
              <w:spacing w:before="72" w:beforeLines="30" w:after="72" w:afterLines="30" w:line="240" w:lineRule="auto"/>
              <w:ind w:firstLine="0" w:firstLineChars="0"/>
              <w:jc w:val="center"/>
              <w:rPr>
                <w:rFonts w:hint="eastAsia"/>
                <w:color w:val="auto"/>
                <w:sz w:val="21"/>
                <w:szCs w:val="21"/>
                <w:highlight w:val="none"/>
              </w:rPr>
            </w:pPr>
            <w:r>
              <w:rPr>
                <w:rFonts w:hint="eastAsia"/>
                <w:color w:val="auto"/>
                <w:sz w:val="21"/>
                <w:szCs w:val="21"/>
                <w:highlight w:val="none"/>
              </w:rPr>
              <w:t>5</w:t>
            </w:r>
            <w:r>
              <w:rPr>
                <w:color w:val="auto"/>
                <w:sz w:val="21"/>
                <w:szCs w:val="21"/>
                <w:highlight w:val="none"/>
              </w:rPr>
              <w:t>00</w:t>
            </w:r>
          </w:p>
        </w:tc>
        <w:tc>
          <w:tcPr>
            <w:tcW w:w="992" w:type="dxa"/>
            <w:vAlign w:val="center"/>
          </w:tcPr>
          <w:p w14:paraId="663FD44F">
            <w:pPr>
              <w:widowControl/>
              <w:shd w:val="clear"/>
              <w:snapToGrid w:val="0"/>
              <w:spacing w:before="72" w:beforeLines="30" w:after="72" w:afterLines="30" w:line="240" w:lineRule="auto"/>
              <w:ind w:firstLine="0" w:firstLineChars="0"/>
              <w:jc w:val="center"/>
              <w:rPr>
                <w:rFonts w:hint="eastAsia"/>
                <w:color w:val="auto"/>
                <w:sz w:val="21"/>
                <w:szCs w:val="21"/>
                <w:highlight w:val="none"/>
              </w:rPr>
            </w:pPr>
            <w:r>
              <w:rPr>
                <w:rFonts w:hint="eastAsia"/>
                <w:color w:val="auto"/>
                <w:sz w:val="21"/>
                <w:szCs w:val="21"/>
                <w:highlight w:val="none"/>
              </w:rPr>
              <w:t>0</w:t>
            </w:r>
            <w:r>
              <w:rPr>
                <w:color w:val="auto"/>
                <w:sz w:val="21"/>
                <w:szCs w:val="21"/>
                <w:highlight w:val="none"/>
              </w:rPr>
              <w:t>.6</w:t>
            </w:r>
          </w:p>
        </w:tc>
        <w:tc>
          <w:tcPr>
            <w:tcW w:w="744" w:type="dxa"/>
            <w:vAlign w:val="center"/>
          </w:tcPr>
          <w:p w14:paraId="1F1CF789">
            <w:pPr>
              <w:widowControl/>
              <w:shd w:val="clear"/>
              <w:snapToGrid w:val="0"/>
              <w:spacing w:before="72" w:beforeLines="30" w:after="72" w:afterLines="30" w:line="240" w:lineRule="auto"/>
              <w:ind w:firstLine="0" w:firstLineChars="0"/>
              <w:jc w:val="center"/>
              <w:rPr>
                <w:rFonts w:hint="eastAsia"/>
                <w:color w:val="auto"/>
                <w:sz w:val="21"/>
                <w:szCs w:val="21"/>
                <w:highlight w:val="none"/>
              </w:rPr>
            </w:pPr>
            <w:r>
              <w:rPr>
                <w:rFonts w:hint="eastAsia"/>
                <w:color w:val="auto"/>
                <w:sz w:val="21"/>
                <w:szCs w:val="21"/>
                <w:highlight w:val="none"/>
              </w:rPr>
              <w:t>持续</w:t>
            </w:r>
          </w:p>
        </w:tc>
      </w:tr>
      <w:tr w14:paraId="1846B6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4" w:type="dxa"/>
            <w:vAlign w:val="center"/>
          </w:tcPr>
          <w:p w14:paraId="05C1D68F">
            <w:pPr>
              <w:widowControl/>
              <w:shd w:val="clear"/>
              <w:snapToGrid w:val="0"/>
              <w:spacing w:before="72" w:beforeLines="30" w:after="72" w:afterLines="30" w:line="240" w:lineRule="auto"/>
              <w:ind w:firstLine="0" w:firstLineChars="0"/>
              <w:jc w:val="center"/>
              <w:rPr>
                <w:rFonts w:hint="eastAsia"/>
                <w:color w:val="auto"/>
                <w:sz w:val="21"/>
                <w:szCs w:val="21"/>
                <w:highlight w:val="none"/>
              </w:rPr>
            </w:pPr>
            <w:r>
              <w:rPr>
                <w:rFonts w:hint="eastAsia"/>
                <w:color w:val="auto"/>
                <w:sz w:val="21"/>
                <w:szCs w:val="21"/>
                <w:highlight w:val="none"/>
              </w:rPr>
              <w:t>7</w:t>
            </w:r>
          </w:p>
        </w:tc>
        <w:tc>
          <w:tcPr>
            <w:tcW w:w="3544" w:type="dxa"/>
            <w:vAlign w:val="center"/>
          </w:tcPr>
          <w:p w14:paraId="17010604">
            <w:pPr>
              <w:widowControl/>
              <w:shd w:val="clear"/>
              <w:snapToGrid w:val="0"/>
              <w:spacing w:before="72" w:beforeLines="30" w:after="72" w:afterLines="30" w:line="240" w:lineRule="auto"/>
              <w:ind w:firstLine="0" w:firstLineChars="0"/>
              <w:rPr>
                <w:rFonts w:hint="eastAsia"/>
                <w:color w:val="auto"/>
                <w:sz w:val="21"/>
                <w:szCs w:val="21"/>
                <w:highlight w:val="none"/>
              </w:rPr>
            </w:pPr>
            <w:r>
              <w:rPr>
                <w:rFonts w:hint="eastAsia"/>
                <w:color w:val="auto"/>
                <w:sz w:val="21"/>
                <w:szCs w:val="21"/>
                <w:highlight w:val="none"/>
              </w:rPr>
              <w:t>均压煤气回收布袋反吹及小灰罐排灰</w:t>
            </w:r>
          </w:p>
        </w:tc>
        <w:tc>
          <w:tcPr>
            <w:tcW w:w="850" w:type="dxa"/>
            <w:vAlign w:val="center"/>
          </w:tcPr>
          <w:p w14:paraId="2B69EC37">
            <w:pPr>
              <w:widowControl/>
              <w:shd w:val="clear"/>
              <w:snapToGrid w:val="0"/>
              <w:spacing w:before="72" w:beforeLines="30" w:after="72" w:afterLines="30" w:line="240" w:lineRule="auto"/>
              <w:ind w:firstLine="0" w:firstLineChars="0"/>
              <w:jc w:val="center"/>
              <w:rPr>
                <w:color w:val="auto"/>
                <w:sz w:val="21"/>
                <w:szCs w:val="21"/>
                <w:highlight w:val="none"/>
              </w:rPr>
            </w:pPr>
            <w:r>
              <w:rPr>
                <w:color w:val="auto"/>
                <w:sz w:val="21"/>
                <w:szCs w:val="21"/>
                <w:highlight w:val="none"/>
              </w:rPr>
              <w:t>-</w:t>
            </w:r>
          </w:p>
        </w:tc>
        <w:tc>
          <w:tcPr>
            <w:tcW w:w="993" w:type="dxa"/>
            <w:vAlign w:val="center"/>
          </w:tcPr>
          <w:p w14:paraId="7CB3E1CF">
            <w:pPr>
              <w:widowControl/>
              <w:shd w:val="clear"/>
              <w:snapToGrid w:val="0"/>
              <w:spacing w:before="72" w:beforeLines="30" w:after="72" w:afterLines="30" w:line="240" w:lineRule="auto"/>
              <w:ind w:firstLine="0" w:firstLineChars="0"/>
              <w:jc w:val="center"/>
              <w:rPr>
                <w:rFonts w:hint="eastAsia"/>
                <w:color w:val="auto"/>
                <w:sz w:val="21"/>
                <w:szCs w:val="21"/>
                <w:highlight w:val="none"/>
              </w:rPr>
            </w:pPr>
            <w:r>
              <w:rPr>
                <w:rFonts w:hint="eastAsia"/>
                <w:color w:val="auto"/>
                <w:sz w:val="21"/>
                <w:szCs w:val="21"/>
                <w:highlight w:val="none"/>
              </w:rPr>
              <w:t>5</w:t>
            </w:r>
            <w:r>
              <w:rPr>
                <w:color w:val="auto"/>
                <w:sz w:val="21"/>
                <w:szCs w:val="21"/>
                <w:highlight w:val="none"/>
              </w:rPr>
              <w:t>00</w:t>
            </w:r>
          </w:p>
        </w:tc>
        <w:tc>
          <w:tcPr>
            <w:tcW w:w="992" w:type="dxa"/>
            <w:vAlign w:val="center"/>
          </w:tcPr>
          <w:p w14:paraId="1A1F0DCC">
            <w:pPr>
              <w:widowControl/>
              <w:shd w:val="clear"/>
              <w:snapToGrid w:val="0"/>
              <w:spacing w:before="72" w:beforeLines="30" w:after="72" w:afterLines="30" w:line="240" w:lineRule="auto"/>
              <w:ind w:firstLine="0" w:firstLineChars="0"/>
              <w:jc w:val="center"/>
              <w:rPr>
                <w:rFonts w:hint="eastAsia"/>
                <w:color w:val="auto"/>
                <w:sz w:val="21"/>
                <w:szCs w:val="21"/>
                <w:highlight w:val="none"/>
              </w:rPr>
            </w:pPr>
            <w:r>
              <w:rPr>
                <w:rFonts w:hint="eastAsia"/>
                <w:color w:val="auto"/>
                <w:sz w:val="21"/>
                <w:szCs w:val="21"/>
                <w:highlight w:val="none"/>
              </w:rPr>
              <w:t>0</w:t>
            </w:r>
            <w:r>
              <w:rPr>
                <w:color w:val="auto"/>
                <w:sz w:val="21"/>
                <w:szCs w:val="21"/>
                <w:highlight w:val="none"/>
              </w:rPr>
              <w:t>.6</w:t>
            </w:r>
          </w:p>
        </w:tc>
        <w:tc>
          <w:tcPr>
            <w:tcW w:w="744" w:type="dxa"/>
            <w:vAlign w:val="center"/>
          </w:tcPr>
          <w:p w14:paraId="47DA8708">
            <w:pPr>
              <w:widowControl/>
              <w:shd w:val="clear"/>
              <w:snapToGrid w:val="0"/>
              <w:spacing w:before="72" w:beforeLines="30" w:after="72" w:afterLines="30" w:line="240" w:lineRule="auto"/>
              <w:ind w:firstLine="0" w:firstLineChars="0"/>
              <w:jc w:val="center"/>
              <w:rPr>
                <w:rFonts w:hint="eastAsia"/>
                <w:color w:val="auto"/>
                <w:sz w:val="21"/>
                <w:szCs w:val="21"/>
                <w:highlight w:val="none"/>
              </w:rPr>
            </w:pPr>
            <w:r>
              <w:rPr>
                <w:rFonts w:hint="eastAsia"/>
                <w:color w:val="auto"/>
                <w:sz w:val="21"/>
                <w:szCs w:val="21"/>
                <w:highlight w:val="none"/>
              </w:rPr>
              <w:t>间断</w:t>
            </w:r>
          </w:p>
        </w:tc>
      </w:tr>
    </w:tbl>
    <w:p w14:paraId="02A6F8FD">
      <w:pPr>
        <w:shd w:val="clear"/>
        <w:rPr>
          <w:color w:val="auto"/>
          <w:highlight w:val="none"/>
        </w:rPr>
      </w:pPr>
      <w:r>
        <w:rPr>
          <w:rFonts w:hint="eastAsia"/>
          <w:color w:val="auto"/>
          <w:highlight w:val="none"/>
        </w:rPr>
        <w:t>现有氮气供应干管经核算能满足新增用户后的使用要求，因此氮气总管不用改造。各用户氮气均分别接自就近内部氮气管网，用户处设切断阀门，罐前设止回阀。低压用户采用减压阀调压。</w:t>
      </w:r>
      <w:bookmarkStart w:id="466" w:name="_Hlk185782598"/>
    </w:p>
    <w:p w14:paraId="453692E5">
      <w:pPr>
        <w:shd w:val="clear"/>
        <w:rPr>
          <w:rFonts w:ascii="Arial" w:hAnsi="Arial"/>
          <w:color w:val="auto"/>
          <w:szCs w:val="21"/>
          <w:highlight w:val="none"/>
        </w:rPr>
      </w:pPr>
      <w:r>
        <w:rPr>
          <w:rFonts w:hint="eastAsia" w:ascii="Arial" w:hAnsi="Arial"/>
          <w:color w:val="auto"/>
          <w:szCs w:val="21"/>
          <w:highlight w:val="none"/>
        </w:rPr>
        <w:t>新烧结配料室</w:t>
      </w:r>
      <w:bookmarkEnd w:id="466"/>
      <w:r>
        <w:rPr>
          <w:rFonts w:hint="eastAsia" w:ascii="Arial" w:hAnsi="Arial"/>
          <w:color w:val="auto"/>
          <w:szCs w:val="21"/>
          <w:highlight w:val="none"/>
        </w:rPr>
        <w:t>除尘灰灰仓吸排罐车上料系统的吸排罐车接口旁设一个容积5m</w:t>
      </w:r>
      <w:r>
        <w:rPr>
          <w:rFonts w:hint="eastAsia" w:ascii="Arial" w:hAnsi="Arial"/>
          <w:color w:val="auto"/>
          <w:szCs w:val="21"/>
          <w:highlight w:val="none"/>
          <w:vertAlign w:val="superscript"/>
        </w:rPr>
        <w:t>3</w:t>
      </w:r>
      <w:r>
        <w:rPr>
          <w:rFonts w:hint="eastAsia" w:ascii="Arial" w:hAnsi="Arial"/>
          <w:color w:val="auto"/>
          <w:szCs w:val="21"/>
          <w:highlight w:val="none"/>
        </w:rPr>
        <w:t>氮气罐，作为吸排罐车的气源。</w:t>
      </w:r>
    </w:p>
    <w:p w14:paraId="3A002268">
      <w:pPr>
        <w:pStyle w:val="74"/>
        <w:shd w:val="clear"/>
        <w:rPr>
          <w:color w:val="auto"/>
          <w:highlight w:val="none"/>
        </w:rPr>
      </w:pPr>
      <w:r>
        <w:rPr>
          <w:rFonts w:hint="eastAsia"/>
          <w:color w:val="auto"/>
          <w:highlight w:val="none"/>
        </w:rPr>
        <w:t>氮气管道均接自内部管网，管道沿现有支架或管道架设，采用自然补偿。管道采用2</w:t>
      </w:r>
      <w:r>
        <w:rPr>
          <w:color w:val="auto"/>
          <w:highlight w:val="none"/>
        </w:rPr>
        <w:t>0</w:t>
      </w:r>
      <w:r>
        <w:rPr>
          <w:rFonts w:hint="eastAsia"/>
          <w:color w:val="auto"/>
          <w:highlight w:val="none"/>
        </w:rPr>
        <w:t>钢无缝钢管（G</w:t>
      </w:r>
      <w:r>
        <w:rPr>
          <w:color w:val="auto"/>
          <w:highlight w:val="none"/>
        </w:rPr>
        <w:t>B/T8163-2018）</w:t>
      </w:r>
      <w:r>
        <w:rPr>
          <w:rFonts w:hint="eastAsia"/>
          <w:color w:val="auto"/>
          <w:highlight w:val="none"/>
        </w:rPr>
        <w:t>。</w:t>
      </w:r>
    </w:p>
    <w:p w14:paraId="1250A93E">
      <w:pPr>
        <w:shd w:val="clear"/>
        <w:rPr>
          <w:color w:val="auto"/>
          <w:highlight w:val="none"/>
        </w:rPr>
        <w:sectPr>
          <w:footerReference r:id="rId7" w:type="default"/>
          <w:pgSz w:w="11906" w:h="16838"/>
          <w:pgMar w:top="1418" w:right="1134" w:bottom="1134" w:left="1134" w:header="624" w:footer="992" w:gutter="567"/>
          <w:pgBorders>
            <w:top w:val="none" w:sz="0" w:space="0"/>
            <w:left w:val="none" w:sz="0" w:space="0"/>
            <w:bottom w:val="none" w:sz="0" w:space="0"/>
            <w:right w:val="none" w:sz="0" w:space="0"/>
          </w:pgBorders>
          <w:cols w:space="708" w:num="1"/>
          <w:docGrid w:linePitch="312" w:charSpace="0"/>
        </w:sectPr>
      </w:pPr>
    </w:p>
    <w:p w14:paraId="6A4F7170">
      <w:pPr>
        <w:shd w:val="clear"/>
        <w:snapToGrid w:val="0"/>
        <w:ind w:firstLine="0" w:firstLineChars="0"/>
        <w:jc w:val="center"/>
        <w:outlineLvl w:val="0"/>
        <w:rPr>
          <w:rFonts w:ascii="Times New Roman" w:hAnsi="Times New Roman" w:cs="Times New Roman"/>
          <w:b/>
          <w:color w:val="auto"/>
          <w:kern w:val="0"/>
          <w:sz w:val="30"/>
          <w:szCs w:val="28"/>
          <w:highlight w:val="none"/>
        </w:rPr>
      </w:pPr>
      <w:bookmarkStart w:id="467" w:name="_Toc11882"/>
      <w:bookmarkStart w:id="468" w:name="_Toc21373"/>
      <w:bookmarkStart w:id="469" w:name="_Toc457"/>
      <w:bookmarkStart w:id="470" w:name="_Toc11637"/>
      <w:bookmarkStart w:id="471" w:name="_Toc826"/>
      <w:bookmarkStart w:id="472" w:name="_Toc26076"/>
      <w:r>
        <w:rPr>
          <w:rFonts w:hint="eastAsia" w:ascii="Times New Roman" w:hAnsi="Times New Roman" w:cs="Times New Roman"/>
          <w:b/>
          <w:color w:val="auto"/>
          <w:kern w:val="0"/>
          <w:sz w:val="30"/>
          <w:szCs w:val="28"/>
          <w:highlight w:val="none"/>
        </w:rPr>
        <w:t>5 热力</w:t>
      </w:r>
      <w:r>
        <w:rPr>
          <w:rFonts w:ascii="Times New Roman" w:hAnsi="Times New Roman" w:cs="Times New Roman"/>
          <w:b/>
          <w:color w:val="auto"/>
          <w:kern w:val="0"/>
          <w:sz w:val="30"/>
          <w:szCs w:val="28"/>
          <w:highlight w:val="none"/>
        </w:rPr>
        <w:t>设施</w:t>
      </w:r>
      <w:bookmarkEnd w:id="467"/>
      <w:bookmarkEnd w:id="468"/>
      <w:bookmarkEnd w:id="469"/>
      <w:bookmarkEnd w:id="470"/>
      <w:bookmarkEnd w:id="471"/>
      <w:bookmarkEnd w:id="472"/>
    </w:p>
    <w:p w14:paraId="4FCD788B">
      <w:pPr>
        <w:shd w:val="clear"/>
        <w:snapToGrid w:val="0"/>
        <w:ind w:firstLine="0" w:firstLineChars="0"/>
        <w:outlineLvl w:val="1"/>
        <w:rPr>
          <w:rFonts w:cs="Times New Roman"/>
          <w:b/>
          <w:color w:val="auto"/>
          <w:sz w:val="28"/>
          <w:szCs w:val="28"/>
          <w:highlight w:val="none"/>
        </w:rPr>
      </w:pPr>
      <w:bookmarkStart w:id="473" w:name="_Toc28368"/>
      <w:bookmarkStart w:id="474" w:name="_Toc1246"/>
      <w:bookmarkStart w:id="475" w:name="_Toc27112"/>
      <w:bookmarkStart w:id="476" w:name="_Toc11039"/>
      <w:bookmarkStart w:id="477" w:name="_Toc8171"/>
      <w:bookmarkStart w:id="478" w:name="_Toc27520"/>
      <w:r>
        <w:rPr>
          <w:rFonts w:hint="eastAsia" w:cs="Times New Roman"/>
          <w:b/>
          <w:color w:val="auto"/>
          <w:sz w:val="28"/>
          <w:szCs w:val="28"/>
          <w:highlight w:val="none"/>
        </w:rPr>
        <w:t xml:space="preserve">5.1 </w:t>
      </w:r>
      <w:r>
        <w:rPr>
          <w:rFonts w:cs="Times New Roman"/>
          <w:b/>
          <w:color w:val="auto"/>
          <w:sz w:val="28"/>
          <w:szCs w:val="28"/>
          <w:highlight w:val="none"/>
        </w:rPr>
        <w:t>概述</w:t>
      </w:r>
      <w:bookmarkEnd w:id="473"/>
      <w:bookmarkEnd w:id="474"/>
      <w:bookmarkEnd w:id="475"/>
      <w:bookmarkEnd w:id="476"/>
      <w:bookmarkEnd w:id="477"/>
      <w:bookmarkEnd w:id="478"/>
    </w:p>
    <w:p w14:paraId="59D7F907">
      <w:pPr>
        <w:pStyle w:val="74"/>
        <w:shd w:val="clear"/>
        <w:rPr>
          <w:color w:val="auto"/>
          <w:highlight w:val="none"/>
        </w:rPr>
      </w:pPr>
      <w:r>
        <w:rPr>
          <w:rFonts w:hint="eastAsia"/>
          <w:color w:val="auto"/>
          <w:highlight w:val="none"/>
        </w:rPr>
        <w:t>本次高炉扩容改造，热力设施改造内容主要包括：高炉鼓风机站、压缩空气供应，蒸汽供应。</w:t>
      </w:r>
    </w:p>
    <w:p w14:paraId="6FDF80DB">
      <w:pPr>
        <w:shd w:val="clear"/>
        <w:snapToGrid w:val="0"/>
        <w:ind w:firstLine="0" w:firstLineChars="0"/>
        <w:outlineLvl w:val="1"/>
        <w:rPr>
          <w:rFonts w:cs="Times New Roman"/>
          <w:b/>
          <w:color w:val="auto"/>
          <w:sz w:val="28"/>
          <w:szCs w:val="28"/>
          <w:highlight w:val="none"/>
        </w:rPr>
      </w:pPr>
      <w:bookmarkStart w:id="479" w:name="_Toc1169"/>
      <w:bookmarkStart w:id="480" w:name="_Toc9516"/>
      <w:bookmarkStart w:id="481" w:name="_Toc19752"/>
      <w:bookmarkStart w:id="482" w:name="_Toc27925"/>
      <w:bookmarkStart w:id="483" w:name="_Toc12077"/>
      <w:bookmarkStart w:id="484" w:name="_Toc14023"/>
      <w:r>
        <w:rPr>
          <w:rFonts w:hint="eastAsia" w:cs="Times New Roman"/>
          <w:b/>
          <w:color w:val="auto"/>
          <w:sz w:val="28"/>
          <w:szCs w:val="28"/>
          <w:highlight w:val="none"/>
        </w:rPr>
        <w:t>5.2 高炉鼓风机改造</w:t>
      </w:r>
      <w:bookmarkEnd w:id="479"/>
      <w:bookmarkEnd w:id="480"/>
      <w:bookmarkEnd w:id="481"/>
      <w:bookmarkEnd w:id="482"/>
      <w:bookmarkEnd w:id="483"/>
      <w:bookmarkEnd w:id="484"/>
    </w:p>
    <w:p w14:paraId="178BF0E8">
      <w:pPr>
        <w:shd w:val="clear"/>
        <w:snapToGrid w:val="0"/>
        <w:ind w:firstLine="0" w:firstLineChars="0"/>
        <w:outlineLvl w:val="2"/>
        <w:rPr>
          <w:rFonts w:cs="Times New Roman"/>
          <w:color w:val="auto"/>
          <w:szCs w:val="28"/>
          <w:highlight w:val="none"/>
        </w:rPr>
      </w:pPr>
      <w:bookmarkStart w:id="485" w:name="_Toc9230"/>
      <w:r>
        <w:rPr>
          <w:rFonts w:hint="eastAsia" w:cs="Times New Roman"/>
          <w:color w:val="auto"/>
          <w:szCs w:val="28"/>
          <w:highlight w:val="none"/>
        </w:rPr>
        <w:t xml:space="preserve">5.2.1 </w:t>
      </w:r>
      <w:r>
        <w:rPr>
          <w:rFonts w:cs="Times New Roman"/>
          <w:color w:val="auto"/>
          <w:szCs w:val="28"/>
          <w:highlight w:val="none"/>
        </w:rPr>
        <w:t>鼓风机</w:t>
      </w:r>
      <w:r>
        <w:rPr>
          <w:rFonts w:hint="eastAsia" w:cs="Times New Roman"/>
          <w:color w:val="auto"/>
          <w:szCs w:val="28"/>
          <w:highlight w:val="none"/>
        </w:rPr>
        <w:t>现状</w:t>
      </w:r>
      <w:bookmarkEnd w:id="485"/>
    </w:p>
    <w:p w14:paraId="1EFB62EA">
      <w:pPr>
        <w:pStyle w:val="74"/>
        <w:shd w:val="clear"/>
        <w:rPr>
          <w:color w:val="auto"/>
          <w:highlight w:val="none"/>
        </w:rPr>
      </w:pPr>
      <w:r>
        <w:rPr>
          <w:color w:val="auto"/>
          <w:highlight w:val="none"/>
        </w:rPr>
        <w:t>目前2号高炉送风的高炉鼓风机是位于宏晟电热热力分公司鼓风机站厂房内的2#汽动鼓风机组，</w:t>
      </w:r>
      <w:r>
        <w:rPr>
          <w:rFonts w:hint="eastAsia"/>
          <w:color w:val="auto"/>
          <w:highlight w:val="none"/>
        </w:rPr>
        <w:t>原设计参数如下表：</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3"/>
        <w:gridCol w:w="1654"/>
        <w:gridCol w:w="1733"/>
        <w:gridCol w:w="1694"/>
        <w:gridCol w:w="1685"/>
        <w:gridCol w:w="10"/>
      </w:tblGrid>
      <w:tr w14:paraId="73ECF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 w:hRule="atLeast"/>
          <w:jc w:val="center"/>
        </w:trPr>
        <w:tc>
          <w:tcPr>
            <w:tcW w:w="1743" w:type="dxa"/>
            <w:vAlign w:val="center"/>
          </w:tcPr>
          <w:p w14:paraId="40020BBA">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参数项目</w:t>
            </w:r>
          </w:p>
        </w:tc>
        <w:tc>
          <w:tcPr>
            <w:tcW w:w="1654" w:type="dxa"/>
            <w:vAlign w:val="center"/>
          </w:tcPr>
          <w:p w14:paraId="6CA5672E">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单位</w:t>
            </w:r>
          </w:p>
        </w:tc>
        <w:tc>
          <w:tcPr>
            <w:tcW w:w="1733" w:type="dxa"/>
            <w:vAlign w:val="center"/>
          </w:tcPr>
          <w:p w14:paraId="606C3500">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A</w:t>
            </w:r>
          </w:p>
        </w:tc>
        <w:tc>
          <w:tcPr>
            <w:tcW w:w="1694" w:type="dxa"/>
            <w:vAlign w:val="center"/>
          </w:tcPr>
          <w:p w14:paraId="6186729B">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D</w:t>
            </w:r>
          </w:p>
        </w:tc>
        <w:tc>
          <w:tcPr>
            <w:tcW w:w="1695" w:type="dxa"/>
            <w:gridSpan w:val="2"/>
            <w:vAlign w:val="center"/>
          </w:tcPr>
          <w:p w14:paraId="6B1D3104">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E</w:t>
            </w:r>
          </w:p>
        </w:tc>
      </w:tr>
      <w:tr w14:paraId="50AE1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43" w:type="dxa"/>
            <w:vAlign w:val="center"/>
          </w:tcPr>
          <w:p w14:paraId="36454CE2">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入口压力</w:t>
            </w:r>
          </w:p>
        </w:tc>
        <w:tc>
          <w:tcPr>
            <w:tcW w:w="1654" w:type="dxa"/>
            <w:vAlign w:val="center"/>
          </w:tcPr>
          <w:p w14:paraId="77694FA5">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MPa（A）</w:t>
            </w:r>
          </w:p>
        </w:tc>
        <w:tc>
          <w:tcPr>
            <w:tcW w:w="1733" w:type="dxa"/>
            <w:vAlign w:val="center"/>
          </w:tcPr>
          <w:p w14:paraId="15B84F75">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0.083</w:t>
            </w:r>
          </w:p>
        </w:tc>
        <w:tc>
          <w:tcPr>
            <w:tcW w:w="1694" w:type="dxa"/>
            <w:vAlign w:val="center"/>
          </w:tcPr>
          <w:p w14:paraId="4BF79B81">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0.084</w:t>
            </w:r>
          </w:p>
        </w:tc>
        <w:tc>
          <w:tcPr>
            <w:tcW w:w="1695" w:type="dxa"/>
            <w:gridSpan w:val="2"/>
            <w:vAlign w:val="center"/>
          </w:tcPr>
          <w:p w14:paraId="0A22A632">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0.083</w:t>
            </w:r>
          </w:p>
        </w:tc>
      </w:tr>
      <w:tr w14:paraId="707C1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43" w:type="dxa"/>
            <w:vAlign w:val="center"/>
          </w:tcPr>
          <w:p w14:paraId="0FB8D6F9">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入口温度</w:t>
            </w:r>
          </w:p>
        </w:tc>
        <w:tc>
          <w:tcPr>
            <w:tcW w:w="1654" w:type="dxa"/>
            <w:vAlign w:val="center"/>
          </w:tcPr>
          <w:p w14:paraId="168527BB">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w:t>
            </w:r>
          </w:p>
        </w:tc>
        <w:tc>
          <w:tcPr>
            <w:tcW w:w="1733" w:type="dxa"/>
            <w:vAlign w:val="center"/>
          </w:tcPr>
          <w:p w14:paraId="36865A8D">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28.5</w:t>
            </w:r>
          </w:p>
        </w:tc>
        <w:tc>
          <w:tcPr>
            <w:tcW w:w="1694" w:type="dxa"/>
            <w:vAlign w:val="center"/>
          </w:tcPr>
          <w:p w14:paraId="55184563">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-12.8</w:t>
            </w:r>
          </w:p>
        </w:tc>
        <w:tc>
          <w:tcPr>
            <w:tcW w:w="1695" w:type="dxa"/>
            <w:gridSpan w:val="2"/>
            <w:vAlign w:val="center"/>
          </w:tcPr>
          <w:p w14:paraId="160B7354">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7.3</w:t>
            </w:r>
          </w:p>
        </w:tc>
      </w:tr>
      <w:tr w14:paraId="1B2D4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43" w:type="dxa"/>
            <w:vAlign w:val="center"/>
          </w:tcPr>
          <w:p w14:paraId="4EDD6612">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进气流量</w:t>
            </w:r>
          </w:p>
        </w:tc>
        <w:tc>
          <w:tcPr>
            <w:tcW w:w="1654" w:type="dxa"/>
            <w:vAlign w:val="center"/>
          </w:tcPr>
          <w:p w14:paraId="74675598">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Nm³/min</w:t>
            </w:r>
          </w:p>
        </w:tc>
        <w:tc>
          <w:tcPr>
            <w:tcW w:w="1733" w:type="dxa"/>
            <w:vAlign w:val="center"/>
          </w:tcPr>
          <w:p w14:paraId="40794B16">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2600</w:t>
            </w:r>
          </w:p>
        </w:tc>
        <w:tc>
          <w:tcPr>
            <w:tcW w:w="1694" w:type="dxa"/>
            <w:vAlign w:val="center"/>
          </w:tcPr>
          <w:p w14:paraId="3D5E7A34">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2260</w:t>
            </w:r>
          </w:p>
        </w:tc>
        <w:tc>
          <w:tcPr>
            <w:tcW w:w="1695" w:type="dxa"/>
            <w:gridSpan w:val="2"/>
            <w:vAlign w:val="center"/>
          </w:tcPr>
          <w:p w14:paraId="00D83295">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2260</w:t>
            </w:r>
          </w:p>
        </w:tc>
      </w:tr>
      <w:tr w14:paraId="6BFCB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43" w:type="dxa"/>
            <w:vAlign w:val="center"/>
          </w:tcPr>
          <w:p w14:paraId="763029F3">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出口压力</w:t>
            </w:r>
          </w:p>
        </w:tc>
        <w:tc>
          <w:tcPr>
            <w:tcW w:w="1654" w:type="dxa"/>
            <w:vAlign w:val="center"/>
          </w:tcPr>
          <w:p w14:paraId="27CD89A1">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MPa（A）</w:t>
            </w:r>
          </w:p>
        </w:tc>
        <w:tc>
          <w:tcPr>
            <w:tcW w:w="1733" w:type="dxa"/>
            <w:vAlign w:val="center"/>
          </w:tcPr>
          <w:p w14:paraId="745E8DF3">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0.4</w:t>
            </w:r>
          </w:p>
        </w:tc>
        <w:tc>
          <w:tcPr>
            <w:tcW w:w="1694" w:type="dxa"/>
            <w:vAlign w:val="center"/>
          </w:tcPr>
          <w:p w14:paraId="6026A20E">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0.4</w:t>
            </w:r>
          </w:p>
        </w:tc>
        <w:tc>
          <w:tcPr>
            <w:tcW w:w="1695" w:type="dxa"/>
            <w:gridSpan w:val="2"/>
            <w:vAlign w:val="center"/>
          </w:tcPr>
          <w:p w14:paraId="3D555347">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0.4</w:t>
            </w:r>
          </w:p>
        </w:tc>
      </w:tr>
      <w:tr w14:paraId="3C08C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43" w:type="dxa"/>
            <w:vAlign w:val="center"/>
          </w:tcPr>
          <w:p w14:paraId="6CF81E89">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轴功率</w:t>
            </w:r>
          </w:p>
        </w:tc>
        <w:tc>
          <w:tcPr>
            <w:tcW w:w="1654" w:type="dxa"/>
            <w:vAlign w:val="center"/>
          </w:tcPr>
          <w:p w14:paraId="652E4766">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k</w:t>
            </w:r>
            <w:r>
              <w:rPr>
                <w:color w:val="auto"/>
                <w:sz w:val="21"/>
                <w:szCs w:val="21"/>
                <w:highlight w:val="none"/>
              </w:rPr>
              <w:t>W</w:t>
            </w:r>
          </w:p>
        </w:tc>
        <w:tc>
          <w:tcPr>
            <w:tcW w:w="1733" w:type="dxa"/>
            <w:vAlign w:val="center"/>
          </w:tcPr>
          <w:p w14:paraId="2D5C4E63">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11633</w:t>
            </w:r>
          </w:p>
        </w:tc>
        <w:tc>
          <w:tcPr>
            <w:tcW w:w="1694" w:type="dxa"/>
            <w:vAlign w:val="center"/>
          </w:tcPr>
          <w:p w14:paraId="75D1770D">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8830</w:t>
            </w:r>
          </w:p>
        </w:tc>
        <w:tc>
          <w:tcPr>
            <w:tcW w:w="1695" w:type="dxa"/>
            <w:gridSpan w:val="2"/>
            <w:vAlign w:val="center"/>
          </w:tcPr>
          <w:p w14:paraId="614802A3">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9400</w:t>
            </w:r>
          </w:p>
        </w:tc>
      </w:tr>
      <w:tr w14:paraId="5FA5D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jc w:val="center"/>
        </w:trPr>
        <w:tc>
          <w:tcPr>
            <w:tcW w:w="1743" w:type="dxa"/>
            <w:vAlign w:val="center"/>
          </w:tcPr>
          <w:p w14:paraId="33206F57">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工作转速</w:t>
            </w:r>
          </w:p>
        </w:tc>
        <w:tc>
          <w:tcPr>
            <w:tcW w:w="1654" w:type="dxa"/>
            <w:vAlign w:val="center"/>
          </w:tcPr>
          <w:p w14:paraId="04338DE9">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r/min</w:t>
            </w:r>
          </w:p>
        </w:tc>
        <w:tc>
          <w:tcPr>
            <w:tcW w:w="5112" w:type="dxa"/>
            <w:gridSpan w:val="3"/>
            <w:vAlign w:val="center"/>
          </w:tcPr>
          <w:p w14:paraId="3409EA0C">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5150</w:t>
            </w:r>
          </w:p>
        </w:tc>
      </w:tr>
    </w:tbl>
    <w:p w14:paraId="09C8EDC9">
      <w:pPr>
        <w:shd w:val="clear"/>
        <w:snapToGrid w:val="0"/>
        <w:ind w:firstLine="0" w:firstLineChars="0"/>
        <w:outlineLvl w:val="2"/>
        <w:rPr>
          <w:rFonts w:cs="Times New Roman"/>
          <w:color w:val="auto"/>
          <w:szCs w:val="28"/>
          <w:highlight w:val="none"/>
        </w:rPr>
      </w:pPr>
      <w:bookmarkStart w:id="486" w:name="_Toc12984"/>
      <w:bookmarkStart w:id="487" w:name="_Hlk175926846"/>
      <w:r>
        <w:rPr>
          <w:rFonts w:hint="eastAsia" w:cs="Times New Roman"/>
          <w:color w:val="auto"/>
          <w:szCs w:val="28"/>
          <w:highlight w:val="none"/>
        </w:rPr>
        <w:t>5.2.2 预期参数</w:t>
      </w:r>
      <w:bookmarkEnd w:id="486"/>
    </w:p>
    <w:p w14:paraId="2C11CEE4">
      <w:pPr>
        <w:pStyle w:val="74"/>
        <w:shd w:val="clear"/>
        <w:rPr>
          <w:color w:val="auto"/>
          <w:highlight w:val="none"/>
        </w:rPr>
      </w:pPr>
      <w:r>
        <w:rPr>
          <w:rFonts w:hint="eastAsia"/>
          <w:color w:val="auto"/>
          <w:highlight w:val="none"/>
        </w:rPr>
        <w:t>由于</w:t>
      </w:r>
      <w:r>
        <w:rPr>
          <w:color w:val="auto"/>
          <w:highlight w:val="none"/>
        </w:rPr>
        <w:t>酒钢</w:t>
      </w:r>
      <w:r>
        <w:rPr>
          <w:rFonts w:hint="eastAsia"/>
          <w:color w:val="auto"/>
          <w:highlight w:val="none"/>
        </w:rPr>
        <w:t>本部高炉</w:t>
      </w:r>
      <w:r>
        <w:rPr>
          <w:color w:val="auto"/>
          <w:highlight w:val="none"/>
        </w:rPr>
        <w:t>受资源条件的限制，原料品位较低</w:t>
      </w:r>
      <w:r>
        <w:rPr>
          <w:rFonts w:hint="eastAsia"/>
          <w:color w:val="auto"/>
          <w:highlight w:val="none"/>
        </w:rPr>
        <w:t>，料柱透气性较差，且需适应冶炼钒钛磁铁矿，为消除炉渣粘度增加对高炉生产造成的不利影响，考虑对高炉鼓风机进行改造，适当提高风压、活跃炉缸。</w:t>
      </w:r>
      <w:bookmarkEnd w:id="487"/>
      <w:r>
        <w:rPr>
          <w:rFonts w:hint="eastAsia"/>
          <w:color w:val="auto"/>
          <w:highlight w:val="none"/>
        </w:rPr>
        <w:t>高炉改造后鼓风机预计需达到的参数如下：</w:t>
      </w:r>
    </w:p>
    <w:tbl>
      <w:tblPr>
        <w:tblStyle w:val="60"/>
        <w:tblW w:w="0" w:type="auto"/>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907"/>
        <w:gridCol w:w="1438"/>
        <w:gridCol w:w="2034"/>
        <w:gridCol w:w="1666"/>
        <w:gridCol w:w="1474"/>
      </w:tblGrid>
      <w:tr w14:paraId="17C9B81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97" w:hRule="atLeast"/>
          <w:jc w:val="center"/>
        </w:trPr>
        <w:tc>
          <w:tcPr>
            <w:tcW w:w="7045" w:type="dxa"/>
            <w:gridSpan w:val="4"/>
            <w:vAlign w:val="center"/>
          </w:tcPr>
          <w:p w14:paraId="72F3261A">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2号高炉鼓风机所需参数</w:t>
            </w:r>
          </w:p>
        </w:tc>
        <w:tc>
          <w:tcPr>
            <w:tcW w:w="1474" w:type="dxa"/>
            <w:vAlign w:val="center"/>
          </w:tcPr>
          <w:p w14:paraId="0EB41FEE">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合计</w:t>
            </w:r>
          </w:p>
        </w:tc>
      </w:tr>
      <w:tr w14:paraId="7C7E616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88" w:hRule="atLeast"/>
          <w:jc w:val="center"/>
        </w:trPr>
        <w:tc>
          <w:tcPr>
            <w:tcW w:w="1907" w:type="dxa"/>
            <w:vMerge w:val="restart"/>
            <w:vAlign w:val="center"/>
          </w:tcPr>
          <w:p w14:paraId="1F45CF95">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风量(Nm3/min)</w:t>
            </w:r>
          </w:p>
        </w:tc>
        <w:tc>
          <w:tcPr>
            <w:tcW w:w="1438" w:type="dxa"/>
            <w:vMerge w:val="restart"/>
            <w:vAlign w:val="center"/>
          </w:tcPr>
          <w:p w14:paraId="5DA80B41">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2100-2300</w:t>
            </w:r>
          </w:p>
        </w:tc>
        <w:tc>
          <w:tcPr>
            <w:tcW w:w="3700" w:type="dxa"/>
            <w:gridSpan w:val="2"/>
            <w:vAlign w:val="center"/>
          </w:tcPr>
          <w:p w14:paraId="16257947">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放风量损失（含调整期放风量）</w:t>
            </w:r>
          </w:p>
        </w:tc>
        <w:tc>
          <w:tcPr>
            <w:tcW w:w="1474" w:type="dxa"/>
            <w:vMerge w:val="restart"/>
            <w:vAlign w:val="center"/>
          </w:tcPr>
          <w:p w14:paraId="03A95A75">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2250-2450</w:t>
            </w:r>
          </w:p>
        </w:tc>
      </w:tr>
      <w:tr w14:paraId="5C5B19A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907" w:type="dxa"/>
            <w:vMerge w:val="continue"/>
            <w:vAlign w:val="center"/>
          </w:tcPr>
          <w:p w14:paraId="0FD8411F">
            <w:pPr>
              <w:widowControl/>
              <w:shd w:val="clear"/>
              <w:snapToGrid w:val="0"/>
              <w:spacing w:before="93" w:beforeLines="30" w:after="93" w:afterLines="30" w:line="240" w:lineRule="auto"/>
              <w:ind w:firstLine="0" w:firstLineChars="0"/>
              <w:rPr>
                <w:color w:val="auto"/>
                <w:sz w:val="21"/>
                <w:szCs w:val="21"/>
                <w:highlight w:val="none"/>
              </w:rPr>
            </w:pPr>
          </w:p>
        </w:tc>
        <w:tc>
          <w:tcPr>
            <w:tcW w:w="1438" w:type="dxa"/>
            <w:vMerge w:val="continue"/>
            <w:vAlign w:val="center"/>
          </w:tcPr>
          <w:p w14:paraId="22D6A387">
            <w:pPr>
              <w:widowControl/>
              <w:shd w:val="clear"/>
              <w:snapToGrid w:val="0"/>
              <w:spacing w:before="93" w:beforeLines="30" w:after="93" w:afterLines="30" w:line="240" w:lineRule="auto"/>
              <w:ind w:firstLine="0" w:firstLineChars="0"/>
              <w:rPr>
                <w:color w:val="auto"/>
                <w:sz w:val="21"/>
                <w:szCs w:val="21"/>
                <w:highlight w:val="none"/>
              </w:rPr>
            </w:pPr>
          </w:p>
        </w:tc>
        <w:tc>
          <w:tcPr>
            <w:tcW w:w="3700" w:type="dxa"/>
            <w:gridSpan w:val="2"/>
            <w:vAlign w:val="center"/>
          </w:tcPr>
          <w:p w14:paraId="0566279C">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150</w:t>
            </w:r>
          </w:p>
        </w:tc>
        <w:tc>
          <w:tcPr>
            <w:tcW w:w="1474" w:type="dxa"/>
            <w:vMerge w:val="continue"/>
            <w:vAlign w:val="center"/>
          </w:tcPr>
          <w:p w14:paraId="2A207A19">
            <w:pPr>
              <w:widowControl/>
              <w:shd w:val="clear"/>
              <w:snapToGrid w:val="0"/>
              <w:spacing w:before="93" w:beforeLines="30" w:after="93" w:afterLines="30" w:line="240" w:lineRule="auto"/>
              <w:ind w:firstLine="0" w:firstLineChars="0"/>
              <w:rPr>
                <w:color w:val="auto"/>
                <w:sz w:val="21"/>
                <w:szCs w:val="21"/>
                <w:highlight w:val="none"/>
              </w:rPr>
            </w:pPr>
          </w:p>
        </w:tc>
      </w:tr>
      <w:tr w14:paraId="2CDEEE4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907" w:type="dxa"/>
            <w:vMerge w:val="restart"/>
            <w:vAlign w:val="center"/>
          </w:tcPr>
          <w:p w14:paraId="711FCCB7">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热风压力(KPa)</w:t>
            </w:r>
          </w:p>
        </w:tc>
        <w:tc>
          <w:tcPr>
            <w:tcW w:w="1438" w:type="dxa"/>
            <w:vMerge w:val="restart"/>
            <w:vAlign w:val="center"/>
          </w:tcPr>
          <w:p w14:paraId="45AC2A88">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320</w:t>
            </w:r>
          </w:p>
        </w:tc>
        <w:tc>
          <w:tcPr>
            <w:tcW w:w="2034" w:type="dxa"/>
            <w:vAlign w:val="center"/>
          </w:tcPr>
          <w:p w14:paraId="496D6BF4">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管道损失</w:t>
            </w:r>
          </w:p>
        </w:tc>
        <w:tc>
          <w:tcPr>
            <w:tcW w:w="1666" w:type="dxa"/>
            <w:vAlign w:val="center"/>
          </w:tcPr>
          <w:p w14:paraId="6D39F2FA">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当地大气压</w:t>
            </w:r>
          </w:p>
        </w:tc>
        <w:tc>
          <w:tcPr>
            <w:tcW w:w="1474" w:type="dxa"/>
            <w:vMerge w:val="restart"/>
            <w:vAlign w:val="center"/>
          </w:tcPr>
          <w:p w14:paraId="7049F7DB">
            <w:pPr>
              <w:widowControl/>
              <w:shd w:val="clear"/>
              <w:snapToGrid w:val="0"/>
              <w:spacing w:before="93" w:beforeLines="30" w:after="93" w:afterLines="30" w:line="240" w:lineRule="auto"/>
              <w:ind w:firstLine="0" w:firstLineChars="0"/>
              <w:rPr>
                <w:color w:val="auto"/>
                <w:sz w:val="21"/>
                <w:szCs w:val="21"/>
                <w:highlight w:val="none"/>
              </w:rPr>
            </w:pPr>
            <w:r>
              <w:rPr>
                <w:color w:val="auto"/>
                <w:sz w:val="21"/>
                <w:szCs w:val="21"/>
                <w:highlight w:val="none"/>
              </w:rPr>
              <w:t>430(A)</w:t>
            </w:r>
          </w:p>
        </w:tc>
      </w:tr>
      <w:tr w14:paraId="6DC3AA8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907" w:type="dxa"/>
            <w:vMerge w:val="continue"/>
            <w:vAlign w:val="center"/>
          </w:tcPr>
          <w:p w14:paraId="3E33DE32">
            <w:pPr>
              <w:shd w:val="clear"/>
              <w:jc w:val="center"/>
              <w:rPr>
                <w:rFonts w:ascii="Times New Roman" w:hAnsi="Times New Roman" w:eastAsia="等线"/>
                <w:color w:val="auto"/>
                <w:highlight w:val="none"/>
                <w:shd w:val="pct10" w:color="auto" w:fill="FFFFFF"/>
              </w:rPr>
            </w:pPr>
          </w:p>
        </w:tc>
        <w:tc>
          <w:tcPr>
            <w:tcW w:w="1438" w:type="dxa"/>
            <w:vMerge w:val="continue"/>
            <w:vAlign w:val="center"/>
          </w:tcPr>
          <w:p w14:paraId="1D4D35C2">
            <w:pPr>
              <w:shd w:val="clear"/>
              <w:jc w:val="center"/>
              <w:rPr>
                <w:rFonts w:ascii="Times New Roman" w:hAnsi="Times New Roman" w:eastAsia="等线"/>
                <w:color w:val="auto"/>
                <w:highlight w:val="none"/>
                <w:shd w:val="pct10" w:color="auto" w:fill="FFFFFF"/>
              </w:rPr>
            </w:pPr>
          </w:p>
        </w:tc>
        <w:tc>
          <w:tcPr>
            <w:tcW w:w="2034" w:type="dxa"/>
            <w:vAlign w:val="center"/>
          </w:tcPr>
          <w:p w14:paraId="40F57A13">
            <w:pPr>
              <w:pStyle w:val="206"/>
              <w:shd w:val="clear"/>
              <w:ind w:firstLine="420"/>
              <w:rPr>
                <w:color w:val="auto"/>
                <w:highlight w:val="none"/>
              </w:rPr>
            </w:pPr>
            <w:r>
              <w:rPr>
                <w:color w:val="auto"/>
                <w:highlight w:val="none"/>
              </w:rPr>
              <w:t>25</w:t>
            </w:r>
          </w:p>
        </w:tc>
        <w:tc>
          <w:tcPr>
            <w:tcW w:w="1666" w:type="dxa"/>
            <w:vAlign w:val="center"/>
          </w:tcPr>
          <w:p w14:paraId="3DC3D2F5">
            <w:pPr>
              <w:pStyle w:val="206"/>
              <w:shd w:val="clear"/>
              <w:ind w:firstLine="420"/>
              <w:rPr>
                <w:color w:val="auto"/>
                <w:highlight w:val="none"/>
              </w:rPr>
            </w:pPr>
            <w:r>
              <w:rPr>
                <w:color w:val="auto"/>
                <w:highlight w:val="none"/>
              </w:rPr>
              <w:t>85</w:t>
            </w:r>
          </w:p>
        </w:tc>
        <w:tc>
          <w:tcPr>
            <w:tcW w:w="1474" w:type="dxa"/>
            <w:vMerge w:val="continue"/>
            <w:vAlign w:val="center"/>
          </w:tcPr>
          <w:p w14:paraId="5A144442">
            <w:pPr>
              <w:shd w:val="clear"/>
              <w:jc w:val="center"/>
              <w:rPr>
                <w:rFonts w:ascii="Times New Roman" w:hAnsi="Times New Roman" w:eastAsia="等线"/>
                <w:color w:val="auto"/>
                <w:highlight w:val="none"/>
                <w:shd w:val="pct10" w:color="auto" w:fill="FFFFFF"/>
              </w:rPr>
            </w:pPr>
          </w:p>
        </w:tc>
      </w:tr>
    </w:tbl>
    <w:p w14:paraId="36D05A54">
      <w:pPr>
        <w:shd w:val="clear"/>
        <w:snapToGrid w:val="0"/>
        <w:ind w:firstLine="0" w:firstLineChars="0"/>
        <w:outlineLvl w:val="2"/>
        <w:rPr>
          <w:rFonts w:cs="Times New Roman"/>
          <w:bCs/>
          <w:color w:val="auto"/>
          <w:szCs w:val="28"/>
          <w:highlight w:val="none"/>
        </w:rPr>
      </w:pPr>
      <w:bookmarkStart w:id="488" w:name="_Toc9404"/>
      <w:r>
        <w:rPr>
          <w:rFonts w:hint="eastAsia" w:cs="Times New Roman"/>
          <w:color w:val="auto"/>
          <w:szCs w:val="28"/>
          <w:highlight w:val="none"/>
        </w:rPr>
        <w:t>5.2.3 汽轮鼓风机加级改造内容</w:t>
      </w:r>
      <w:bookmarkEnd w:id="488"/>
    </w:p>
    <w:p w14:paraId="3711355A">
      <w:pPr>
        <w:pStyle w:val="74"/>
        <w:shd w:val="clear"/>
        <w:rPr>
          <w:color w:val="auto"/>
          <w:highlight w:val="none"/>
        </w:rPr>
      </w:pPr>
      <w:r>
        <w:rPr>
          <w:rFonts w:hint="eastAsia"/>
          <w:color w:val="auto"/>
          <w:highlight w:val="none"/>
        </w:rPr>
        <w:t>对</w:t>
      </w:r>
      <w:r>
        <w:rPr>
          <w:rFonts w:hint="eastAsia"/>
          <w:color w:val="auto"/>
          <w:highlight w:val="none"/>
          <w:lang w:val="zh-CN"/>
        </w:rPr>
        <w:t>AV63-15转子</w:t>
      </w:r>
      <w:r>
        <w:rPr>
          <w:rFonts w:hint="eastAsia"/>
          <w:color w:val="auto"/>
          <w:highlight w:val="none"/>
        </w:rPr>
        <w:t>动叶进行</w:t>
      </w:r>
      <w:r>
        <w:rPr>
          <w:rFonts w:hint="eastAsia"/>
          <w:color w:val="auto"/>
          <w:highlight w:val="none"/>
          <w:lang w:val="zh-CN"/>
        </w:rPr>
        <w:t>改造。将现有</w:t>
      </w:r>
      <w:r>
        <w:rPr>
          <w:color w:val="auto"/>
          <w:highlight w:val="none"/>
          <w:lang w:val="zh-CN"/>
        </w:rPr>
        <w:t>AV63-15鼓风机本体及基础、配套汽轮机等附属设施按利旧考虑</w:t>
      </w:r>
      <w:r>
        <w:rPr>
          <w:rFonts w:hint="eastAsia"/>
          <w:color w:val="auto"/>
          <w:highlight w:val="none"/>
          <w:lang w:val="zh-CN"/>
        </w:rPr>
        <w:t>。</w:t>
      </w:r>
      <w:r>
        <w:rPr>
          <w:rFonts w:hint="eastAsia"/>
          <w:color w:val="auto"/>
          <w:highlight w:val="none"/>
        </w:rPr>
        <w:t>增加</w:t>
      </w:r>
      <w:r>
        <w:rPr>
          <w:rFonts w:hint="eastAsia"/>
          <w:color w:val="auto"/>
          <w:highlight w:val="none"/>
          <w:lang w:val="zh-CN"/>
        </w:rPr>
        <w:t>转子第16级动叶片及锁紧组隔叶块等</w:t>
      </w:r>
      <w:r>
        <w:rPr>
          <w:rFonts w:hint="eastAsia"/>
          <w:color w:val="auto"/>
          <w:highlight w:val="none"/>
        </w:rPr>
        <w:t>，改造</w:t>
      </w:r>
      <w:r>
        <w:rPr>
          <w:rFonts w:hint="eastAsia"/>
          <w:color w:val="auto"/>
          <w:highlight w:val="none"/>
          <w:lang w:val="zh-CN"/>
        </w:rPr>
        <w:t>为AV63-16</w:t>
      </w:r>
      <w:r>
        <w:rPr>
          <w:rFonts w:hint="eastAsia"/>
          <w:color w:val="auto"/>
          <w:highlight w:val="none"/>
        </w:rPr>
        <w:t>机组，需对</w:t>
      </w:r>
      <w:r>
        <w:rPr>
          <w:rFonts w:hint="eastAsia"/>
          <w:color w:val="auto"/>
          <w:highlight w:val="none"/>
          <w:lang w:val="zh-CN"/>
        </w:rPr>
        <w:t>转子的气动性能、结构强度核算，支撑及推力轴瓦强度的校核，动叶片的设计、选型、转子的GD2计算与确定，</w:t>
      </w:r>
      <w:r>
        <w:rPr>
          <w:rFonts w:hint="eastAsia"/>
          <w:color w:val="auto"/>
          <w:highlight w:val="none"/>
        </w:rPr>
        <w:t>同时对原所有动静叶进行更换，对原机组轴进行</w:t>
      </w:r>
      <w:r>
        <w:rPr>
          <w:rFonts w:hint="eastAsia"/>
          <w:color w:val="auto"/>
          <w:highlight w:val="none"/>
          <w:lang w:val="zh-CN"/>
        </w:rPr>
        <w:t>清理、打表，</w:t>
      </w:r>
      <w:r>
        <w:rPr>
          <w:rFonts w:hint="eastAsia"/>
          <w:color w:val="auto"/>
          <w:highlight w:val="none"/>
        </w:rPr>
        <w:t>改造后进行</w:t>
      </w:r>
      <w:r>
        <w:rPr>
          <w:rFonts w:hint="eastAsia"/>
          <w:color w:val="auto"/>
          <w:highlight w:val="none"/>
          <w:lang w:val="zh-CN"/>
        </w:rPr>
        <w:t>转子高速动平衡试验，</w:t>
      </w:r>
      <w:r>
        <w:rPr>
          <w:rFonts w:hint="eastAsia"/>
          <w:color w:val="auto"/>
          <w:highlight w:val="none"/>
        </w:rPr>
        <w:t>试验合格后返厂回装，并进行喘振性能试验及标定。</w:t>
      </w:r>
    </w:p>
    <w:p w14:paraId="2AA4BAEF">
      <w:pPr>
        <w:shd w:val="clear"/>
        <w:snapToGrid w:val="0"/>
        <w:ind w:firstLine="0" w:firstLineChars="0"/>
        <w:outlineLvl w:val="3"/>
        <w:rPr>
          <w:rFonts w:cs="Times New Roman"/>
          <w:color w:val="auto"/>
          <w:szCs w:val="28"/>
          <w:highlight w:val="none"/>
        </w:rPr>
      </w:pPr>
      <w:r>
        <w:rPr>
          <w:rFonts w:hint="eastAsia" w:cs="Times New Roman"/>
          <w:color w:val="auto"/>
          <w:szCs w:val="28"/>
          <w:highlight w:val="none"/>
        </w:rPr>
        <w:t>5.2.3.1 动叶增一级后AV63-16需达到以下参数：</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1297"/>
        <w:gridCol w:w="942"/>
        <w:gridCol w:w="1067"/>
        <w:gridCol w:w="1067"/>
        <w:gridCol w:w="930"/>
        <w:gridCol w:w="942"/>
        <w:gridCol w:w="917"/>
      </w:tblGrid>
      <w:tr w14:paraId="78AD7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tcPr>
          <w:p w14:paraId="346C26AA">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项目</w:t>
            </w:r>
          </w:p>
        </w:tc>
        <w:tc>
          <w:tcPr>
            <w:tcW w:w="1297" w:type="dxa"/>
          </w:tcPr>
          <w:p w14:paraId="04C81320">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单位</w:t>
            </w:r>
          </w:p>
        </w:tc>
        <w:tc>
          <w:tcPr>
            <w:tcW w:w="942" w:type="dxa"/>
          </w:tcPr>
          <w:p w14:paraId="430AA06B">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A点</w:t>
            </w:r>
          </w:p>
        </w:tc>
        <w:tc>
          <w:tcPr>
            <w:tcW w:w="1067" w:type="dxa"/>
          </w:tcPr>
          <w:p w14:paraId="1CE81938">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B点</w:t>
            </w:r>
          </w:p>
        </w:tc>
        <w:tc>
          <w:tcPr>
            <w:tcW w:w="1067" w:type="dxa"/>
          </w:tcPr>
          <w:p w14:paraId="2200F56A">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C点</w:t>
            </w:r>
          </w:p>
        </w:tc>
        <w:tc>
          <w:tcPr>
            <w:tcW w:w="930" w:type="dxa"/>
          </w:tcPr>
          <w:p w14:paraId="0118C818">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D点</w:t>
            </w:r>
          </w:p>
        </w:tc>
        <w:tc>
          <w:tcPr>
            <w:tcW w:w="942" w:type="dxa"/>
          </w:tcPr>
          <w:p w14:paraId="141AB634">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E点</w:t>
            </w:r>
          </w:p>
        </w:tc>
        <w:tc>
          <w:tcPr>
            <w:tcW w:w="917" w:type="dxa"/>
          </w:tcPr>
          <w:p w14:paraId="0C1C96F2">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F点</w:t>
            </w:r>
          </w:p>
        </w:tc>
      </w:tr>
      <w:tr w14:paraId="06698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tcPr>
          <w:p w14:paraId="04AAB5C0">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入口风量</w:t>
            </w:r>
          </w:p>
        </w:tc>
        <w:tc>
          <w:tcPr>
            <w:tcW w:w="1297" w:type="dxa"/>
          </w:tcPr>
          <w:p w14:paraId="273777EC">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Nm³/min</w:t>
            </w:r>
          </w:p>
        </w:tc>
        <w:tc>
          <w:tcPr>
            <w:tcW w:w="942" w:type="dxa"/>
          </w:tcPr>
          <w:p w14:paraId="57E2B3B2">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2600</w:t>
            </w:r>
          </w:p>
        </w:tc>
        <w:tc>
          <w:tcPr>
            <w:tcW w:w="1067" w:type="dxa"/>
          </w:tcPr>
          <w:p w14:paraId="5B691C6A">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2250</w:t>
            </w:r>
          </w:p>
        </w:tc>
        <w:tc>
          <w:tcPr>
            <w:tcW w:w="1067" w:type="dxa"/>
          </w:tcPr>
          <w:p w14:paraId="50E11F54">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2600</w:t>
            </w:r>
          </w:p>
        </w:tc>
        <w:tc>
          <w:tcPr>
            <w:tcW w:w="930" w:type="dxa"/>
          </w:tcPr>
          <w:p w14:paraId="657C8BA6">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2250</w:t>
            </w:r>
          </w:p>
        </w:tc>
        <w:tc>
          <w:tcPr>
            <w:tcW w:w="942" w:type="dxa"/>
          </w:tcPr>
          <w:p w14:paraId="78E8C8B0">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2600</w:t>
            </w:r>
          </w:p>
        </w:tc>
        <w:tc>
          <w:tcPr>
            <w:tcW w:w="917" w:type="dxa"/>
          </w:tcPr>
          <w:p w14:paraId="5061C775">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2250</w:t>
            </w:r>
          </w:p>
        </w:tc>
      </w:tr>
      <w:tr w14:paraId="13D17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tcPr>
          <w:p w14:paraId="17D2794B">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出口压力</w:t>
            </w:r>
          </w:p>
        </w:tc>
        <w:tc>
          <w:tcPr>
            <w:tcW w:w="1297" w:type="dxa"/>
          </w:tcPr>
          <w:p w14:paraId="3DF284C1">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bar(A)</w:t>
            </w:r>
          </w:p>
        </w:tc>
        <w:tc>
          <w:tcPr>
            <w:tcW w:w="942" w:type="dxa"/>
          </w:tcPr>
          <w:p w14:paraId="7FC1C74A">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4.3</w:t>
            </w:r>
          </w:p>
        </w:tc>
        <w:tc>
          <w:tcPr>
            <w:tcW w:w="1067" w:type="dxa"/>
          </w:tcPr>
          <w:p w14:paraId="44CAC82C">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4.3</w:t>
            </w:r>
          </w:p>
        </w:tc>
        <w:tc>
          <w:tcPr>
            <w:tcW w:w="1067" w:type="dxa"/>
          </w:tcPr>
          <w:p w14:paraId="70EA90F1">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4.3</w:t>
            </w:r>
          </w:p>
        </w:tc>
        <w:tc>
          <w:tcPr>
            <w:tcW w:w="930" w:type="dxa"/>
          </w:tcPr>
          <w:p w14:paraId="5C9A624C">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4.3</w:t>
            </w:r>
          </w:p>
        </w:tc>
        <w:tc>
          <w:tcPr>
            <w:tcW w:w="942" w:type="dxa"/>
          </w:tcPr>
          <w:p w14:paraId="6A8C7183">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4.3</w:t>
            </w:r>
          </w:p>
        </w:tc>
        <w:tc>
          <w:tcPr>
            <w:tcW w:w="917" w:type="dxa"/>
          </w:tcPr>
          <w:p w14:paraId="78FADF8F">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4.3</w:t>
            </w:r>
          </w:p>
        </w:tc>
      </w:tr>
      <w:tr w14:paraId="24D1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tcPr>
          <w:p w14:paraId="72E3F8D5">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轴功率</w:t>
            </w:r>
          </w:p>
        </w:tc>
        <w:tc>
          <w:tcPr>
            <w:tcW w:w="1297" w:type="dxa"/>
          </w:tcPr>
          <w:p w14:paraId="50FDD9E5">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kW</w:t>
            </w:r>
          </w:p>
        </w:tc>
        <w:tc>
          <w:tcPr>
            <w:tcW w:w="942" w:type="dxa"/>
          </w:tcPr>
          <w:p w14:paraId="2B4115BD">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12300</w:t>
            </w:r>
          </w:p>
        </w:tc>
        <w:tc>
          <w:tcPr>
            <w:tcW w:w="1067" w:type="dxa"/>
          </w:tcPr>
          <w:p w14:paraId="0025ECF6">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10611</w:t>
            </w:r>
          </w:p>
        </w:tc>
        <w:tc>
          <w:tcPr>
            <w:tcW w:w="1067" w:type="dxa"/>
          </w:tcPr>
          <w:p w14:paraId="691A3DB7">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11110</w:t>
            </w:r>
          </w:p>
        </w:tc>
        <w:tc>
          <w:tcPr>
            <w:tcW w:w="930" w:type="dxa"/>
          </w:tcPr>
          <w:p w14:paraId="4795300B">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9618</w:t>
            </w:r>
          </w:p>
        </w:tc>
        <w:tc>
          <w:tcPr>
            <w:tcW w:w="942" w:type="dxa"/>
          </w:tcPr>
          <w:p w14:paraId="4E4DEA08">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11700</w:t>
            </w:r>
          </w:p>
        </w:tc>
        <w:tc>
          <w:tcPr>
            <w:tcW w:w="917" w:type="dxa"/>
          </w:tcPr>
          <w:p w14:paraId="3111A3A2">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10121</w:t>
            </w:r>
          </w:p>
        </w:tc>
      </w:tr>
      <w:tr w14:paraId="0D81B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tcPr>
          <w:p w14:paraId="4A13F5B4">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额定转速</w:t>
            </w:r>
          </w:p>
        </w:tc>
        <w:tc>
          <w:tcPr>
            <w:tcW w:w="1297" w:type="dxa"/>
          </w:tcPr>
          <w:p w14:paraId="6295F7DF">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r/min</w:t>
            </w:r>
          </w:p>
        </w:tc>
        <w:tc>
          <w:tcPr>
            <w:tcW w:w="5865" w:type="dxa"/>
            <w:gridSpan w:val="6"/>
          </w:tcPr>
          <w:p w14:paraId="237B83C0">
            <w:pPr>
              <w:widowControl/>
              <w:shd w:val="clear"/>
              <w:snapToGrid w:val="0"/>
              <w:spacing w:before="93" w:beforeLines="30" w:after="93" w:afterLines="30" w:line="240" w:lineRule="auto"/>
              <w:ind w:firstLine="0" w:firstLineChars="0"/>
              <w:rPr>
                <w:color w:val="auto"/>
                <w:sz w:val="21"/>
                <w:szCs w:val="21"/>
                <w:highlight w:val="none"/>
              </w:rPr>
            </w:pPr>
            <w:r>
              <w:rPr>
                <w:rFonts w:hint="eastAsia"/>
                <w:color w:val="auto"/>
                <w:sz w:val="21"/>
                <w:szCs w:val="21"/>
                <w:highlight w:val="none"/>
              </w:rPr>
              <w:t>5150</w:t>
            </w:r>
          </w:p>
        </w:tc>
      </w:tr>
    </w:tbl>
    <w:p w14:paraId="444C355A">
      <w:pPr>
        <w:shd w:val="clear"/>
        <w:snapToGrid w:val="0"/>
        <w:ind w:firstLine="0" w:firstLineChars="0"/>
        <w:outlineLvl w:val="3"/>
        <w:rPr>
          <w:rFonts w:cs="Times New Roman"/>
          <w:color w:val="auto"/>
          <w:szCs w:val="28"/>
          <w:highlight w:val="none"/>
        </w:rPr>
      </w:pPr>
      <w:r>
        <w:rPr>
          <w:rFonts w:hint="eastAsia" w:cs="Times New Roman"/>
          <w:color w:val="auto"/>
          <w:szCs w:val="28"/>
          <w:highlight w:val="none"/>
        </w:rPr>
        <w:t>5.2.3.2 具体改造内容：</w:t>
      </w:r>
    </w:p>
    <w:p w14:paraId="19701FD3">
      <w:pPr>
        <w:numPr>
          <w:ilvl w:val="0"/>
          <w:numId w:val="21"/>
        </w:numPr>
        <w:shd w:val="clear"/>
        <w:adjustRightInd w:val="0"/>
        <w:ind w:firstLineChars="0"/>
        <w:textAlignment w:val="baseline"/>
        <w:rPr>
          <w:rFonts w:cs="Times New Roman"/>
          <w:bCs/>
          <w:color w:val="auto"/>
          <w:kern w:val="0"/>
          <w:szCs w:val="20"/>
          <w:highlight w:val="none"/>
        </w:rPr>
      </w:pPr>
      <w:r>
        <w:rPr>
          <w:rFonts w:hint="eastAsia" w:cs="Times New Roman"/>
          <w:bCs/>
          <w:color w:val="auto"/>
          <w:kern w:val="0"/>
          <w:szCs w:val="20"/>
          <w:highlight w:val="none"/>
        </w:rPr>
        <w:t>加工第16级叶片安装槽。</w:t>
      </w:r>
    </w:p>
    <w:p w14:paraId="62AAB564">
      <w:pPr>
        <w:numPr>
          <w:ilvl w:val="0"/>
          <w:numId w:val="21"/>
        </w:numPr>
        <w:shd w:val="clear"/>
        <w:adjustRightInd w:val="0"/>
        <w:ind w:firstLineChars="0"/>
        <w:textAlignment w:val="baseline"/>
        <w:rPr>
          <w:rFonts w:cs="Times New Roman"/>
          <w:bCs/>
          <w:color w:val="auto"/>
          <w:kern w:val="0"/>
          <w:szCs w:val="20"/>
          <w:highlight w:val="none"/>
        </w:rPr>
      </w:pPr>
      <w:r>
        <w:rPr>
          <w:rFonts w:hint="eastAsia" w:cs="Times New Roman"/>
          <w:bCs/>
          <w:color w:val="auto"/>
          <w:kern w:val="0"/>
          <w:szCs w:val="20"/>
          <w:highlight w:val="none"/>
        </w:rPr>
        <w:t>新增第16级动叶、锁紧组、秤重、排序、装配，转子组气密封片装配。</w:t>
      </w:r>
    </w:p>
    <w:p w14:paraId="6860025D">
      <w:pPr>
        <w:numPr>
          <w:ilvl w:val="0"/>
          <w:numId w:val="21"/>
        </w:numPr>
        <w:shd w:val="clear"/>
        <w:adjustRightInd w:val="0"/>
        <w:ind w:firstLineChars="0"/>
        <w:textAlignment w:val="baseline"/>
        <w:rPr>
          <w:rFonts w:cs="Times New Roman"/>
          <w:bCs/>
          <w:color w:val="auto"/>
          <w:kern w:val="0"/>
          <w:szCs w:val="20"/>
          <w:highlight w:val="none"/>
        </w:rPr>
      </w:pPr>
      <w:r>
        <w:rPr>
          <w:rFonts w:hint="eastAsia" w:cs="Times New Roman"/>
          <w:bCs/>
          <w:color w:val="auto"/>
          <w:kern w:val="0"/>
          <w:szCs w:val="20"/>
          <w:highlight w:val="none"/>
        </w:rPr>
        <w:t>新增第16级动叶、锁紧组车叶顶，叶顶归圆、间隙检测、气密封片配车。</w:t>
      </w:r>
    </w:p>
    <w:p w14:paraId="3CD8C75E">
      <w:pPr>
        <w:numPr>
          <w:ilvl w:val="0"/>
          <w:numId w:val="21"/>
        </w:numPr>
        <w:shd w:val="clear"/>
        <w:adjustRightInd w:val="0"/>
        <w:ind w:firstLineChars="0"/>
        <w:textAlignment w:val="baseline"/>
        <w:rPr>
          <w:rFonts w:cs="Times New Roman"/>
          <w:bCs/>
          <w:color w:val="auto"/>
          <w:kern w:val="0"/>
          <w:highlight w:val="none"/>
        </w:rPr>
      </w:pPr>
      <w:r>
        <w:rPr>
          <w:rFonts w:hint="eastAsia" w:cs="Times New Roman"/>
          <w:bCs/>
          <w:color w:val="auto"/>
          <w:kern w:val="0"/>
          <w:szCs w:val="20"/>
          <w:highlight w:val="none"/>
        </w:rPr>
        <w:t>补制并更换所有动叶片；所有静叶片（主要零部件材质动叶片SGD001；静叶片 SGJ001）。</w:t>
      </w:r>
    </w:p>
    <w:p w14:paraId="094C684D">
      <w:pPr>
        <w:numPr>
          <w:ilvl w:val="0"/>
          <w:numId w:val="21"/>
        </w:numPr>
        <w:shd w:val="clear"/>
        <w:adjustRightInd w:val="0"/>
        <w:ind w:firstLineChars="0"/>
        <w:textAlignment w:val="baseline"/>
        <w:rPr>
          <w:rFonts w:cs="Times New Roman"/>
          <w:bCs/>
          <w:color w:val="auto"/>
          <w:kern w:val="0"/>
          <w:szCs w:val="20"/>
          <w:highlight w:val="none"/>
        </w:rPr>
      </w:pPr>
      <w:r>
        <w:rPr>
          <w:rFonts w:hint="eastAsia" w:cs="Times New Roman"/>
          <w:bCs/>
          <w:color w:val="auto"/>
          <w:kern w:val="0"/>
          <w:szCs w:val="20"/>
          <w:highlight w:val="none"/>
        </w:rPr>
        <w:t>补制并更换转子组密封片、压条、平衡块、叶片锁紧组、螺钉等。</w:t>
      </w:r>
    </w:p>
    <w:p w14:paraId="1B36123A">
      <w:pPr>
        <w:numPr>
          <w:ilvl w:val="0"/>
          <w:numId w:val="21"/>
        </w:numPr>
        <w:shd w:val="clear"/>
        <w:adjustRightInd w:val="0"/>
        <w:ind w:firstLineChars="0"/>
        <w:textAlignment w:val="baseline"/>
        <w:rPr>
          <w:rFonts w:cs="Times New Roman"/>
          <w:bCs/>
          <w:color w:val="auto"/>
          <w:kern w:val="0"/>
          <w:szCs w:val="20"/>
          <w:highlight w:val="none"/>
        </w:rPr>
      </w:pPr>
      <w:r>
        <w:rPr>
          <w:rFonts w:hint="eastAsia" w:cs="Times New Roman"/>
          <w:bCs/>
          <w:color w:val="auto"/>
          <w:kern w:val="0"/>
          <w:szCs w:val="20"/>
          <w:highlight w:val="none"/>
        </w:rPr>
        <w:t>补制并更换所有静叶轴承、曲柄、滑块、密封环、止动垫片、密封圈等。</w:t>
      </w:r>
    </w:p>
    <w:p w14:paraId="4D586B1C">
      <w:pPr>
        <w:numPr>
          <w:ilvl w:val="0"/>
          <w:numId w:val="21"/>
        </w:numPr>
        <w:shd w:val="clear"/>
        <w:adjustRightInd w:val="0"/>
        <w:ind w:firstLineChars="0"/>
        <w:textAlignment w:val="baseline"/>
        <w:rPr>
          <w:rFonts w:cs="Times New Roman"/>
          <w:bCs/>
          <w:color w:val="auto"/>
          <w:kern w:val="0"/>
          <w:szCs w:val="20"/>
          <w:highlight w:val="none"/>
        </w:rPr>
      </w:pPr>
      <w:r>
        <w:rPr>
          <w:rFonts w:hint="eastAsia" w:cs="Times New Roman"/>
          <w:bCs/>
          <w:color w:val="auto"/>
          <w:kern w:val="0"/>
          <w:szCs w:val="20"/>
          <w:highlight w:val="none"/>
        </w:rPr>
        <w:t>转子返厂喷砂除垢清理、打表检查各部位跳动，轴颈及推力盘着色探伤检查。</w:t>
      </w:r>
    </w:p>
    <w:p w14:paraId="7F58E100">
      <w:pPr>
        <w:numPr>
          <w:ilvl w:val="0"/>
          <w:numId w:val="21"/>
        </w:numPr>
        <w:shd w:val="clear"/>
        <w:adjustRightInd w:val="0"/>
        <w:ind w:firstLineChars="0"/>
        <w:textAlignment w:val="baseline"/>
        <w:rPr>
          <w:rFonts w:cs="Times New Roman"/>
          <w:bCs/>
          <w:color w:val="auto"/>
          <w:kern w:val="0"/>
          <w:szCs w:val="20"/>
          <w:highlight w:val="none"/>
        </w:rPr>
      </w:pPr>
      <w:r>
        <w:rPr>
          <w:rFonts w:hint="eastAsia" w:cs="Times New Roman"/>
          <w:bCs/>
          <w:color w:val="auto"/>
          <w:kern w:val="0"/>
          <w:szCs w:val="20"/>
          <w:highlight w:val="none"/>
        </w:rPr>
        <w:t>转子动叶片、密封片配车加工及动叶片叶顶归圆。</w:t>
      </w:r>
    </w:p>
    <w:p w14:paraId="274DC3A2">
      <w:pPr>
        <w:numPr>
          <w:ilvl w:val="0"/>
          <w:numId w:val="21"/>
        </w:numPr>
        <w:shd w:val="clear"/>
        <w:adjustRightInd w:val="0"/>
        <w:ind w:firstLineChars="0"/>
        <w:textAlignment w:val="baseline"/>
        <w:rPr>
          <w:rFonts w:cs="Times New Roman"/>
          <w:bCs/>
          <w:color w:val="auto"/>
          <w:kern w:val="0"/>
          <w:szCs w:val="20"/>
          <w:highlight w:val="none"/>
        </w:rPr>
      </w:pPr>
      <w:r>
        <w:rPr>
          <w:rFonts w:hint="eastAsia" w:cs="Times New Roman"/>
          <w:bCs/>
          <w:color w:val="auto"/>
          <w:kern w:val="0"/>
          <w:szCs w:val="20"/>
          <w:highlight w:val="none"/>
        </w:rPr>
        <w:t>转子修机械及电气不圆度。</w:t>
      </w:r>
    </w:p>
    <w:p w14:paraId="362570A9">
      <w:pPr>
        <w:numPr>
          <w:ilvl w:val="0"/>
          <w:numId w:val="21"/>
        </w:numPr>
        <w:shd w:val="clear"/>
        <w:adjustRightInd w:val="0"/>
        <w:ind w:firstLineChars="0"/>
        <w:textAlignment w:val="baseline"/>
        <w:rPr>
          <w:rFonts w:cs="Times New Roman"/>
          <w:bCs/>
          <w:color w:val="auto"/>
          <w:kern w:val="0"/>
          <w:szCs w:val="20"/>
          <w:highlight w:val="none"/>
        </w:rPr>
      </w:pPr>
      <w:r>
        <w:rPr>
          <w:rFonts w:hint="eastAsia" w:cs="Times New Roman"/>
          <w:bCs/>
          <w:color w:val="auto"/>
          <w:kern w:val="0"/>
          <w:szCs w:val="20"/>
          <w:highlight w:val="none"/>
        </w:rPr>
        <w:t>静叶承缸返厂清理，检查承缸尺寸。</w:t>
      </w:r>
    </w:p>
    <w:p w14:paraId="132503A1">
      <w:pPr>
        <w:numPr>
          <w:ilvl w:val="0"/>
          <w:numId w:val="21"/>
        </w:numPr>
        <w:shd w:val="clear"/>
        <w:adjustRightInd w:val="0"/>
        <w:ind w:firstLineChars="0"/>
        <w:textAlignment w:val="baseline"/>
        <w:rPr>
          <w:rFonts w:cs="Times New Roman"/>
          <w:bCs/>
          <w:color w:val="auto"/>
          <w:kern w:val="0"/>
          <w:szCs w:val="20"/>
          <w:highlight w:val="none"/>
        </w:rPr>
      </w:pPr>
      <w:r>
        <w:rPr>
          <w:rFonts w:hint="eastAsia" w:cs="Times New Roman"/>
          <w:bCs/>
          <w:color w:val="auto"/>
          <w:kern w:val="0"/>
          <w:szCs w:val="20"/>
          <w:highlight w:val="none"/>
        </w:rPr>
        <w:t>转子与承缸扣合，测量叶顶间隙，确保检修后转子的动叶片与静叶承缸的静叶片相关尺寸符合机组使用要求。</w:t>
      </w:r>
    </w:p>
    <w:p w14:paraId="5F4344A0">
      <w:pPr>
        <w:numPr>
          <w:ilvl w:val="0"/>
          <w:numId w:val="21"/>
        </w:numPr>
        <w:shd w:val="clear"/>
        <w:adjustRightInd w:val="0"/>
        <w:ind w:firstLineChars="0"/>
        <w:textAlignment w:val="baseline"/>
        <w:rPr>
          <w:rFonts w:cs="Times New Roman"/>
          <w:bCs/>
          <w:color w:val="auto"/>
          <w:kern w:val="0"/>
          <w:szCs w:val="20"/>
          <w:highlight w:val="none"/>
        </w:rPr>
      </w:pPr>
      <w:r>
        <w:rPr>
          <w:rFonts w:hint="eastAsia" w:cs="Times New Roman"/>
          <w:bCs/>
          <w:color w:val="auto"/>
          <w:kern w:val="0"/>
          <w:szCs w:val="20"/>
          <w:highlight w:val="none"/>
        </w:rPr>
        <w:t>更换一套原机组支撑轴瓦（图号4050.813；材质：XCrMo+涂层；椭圆瓦）。</w:t>
      </w:r>
    </w:p>
    <w:p w14:paraId="46632EA1">
      <w:pPr>
        <w:shd w:val="clear"/>
        <w:adjustRightInd w:val="0"/>
        <w:ind w:firstLine="0" w:firstLineChars="0"/>
        <w:textAlignment w:val="baseline"/>
        <w:rPr>
          <w:rFonts w:cs="Times New Roman"/>
          <w:bCs/>
          <w:color w:val="auto"/>
          <w:kern w:val="0"/>
          <w:szCs w:val="20"/>
          <w:highlight w:val="none"/>
        </w:rPr>
      </w:pPr>
      <w:r>
        <w:rPr>
          <w:rFonts w:hint="eastAsia" w:cs="Times New Roman"/>
          <w:bCs/>
          <w:color w:val="auto"/>
          <w:kern w:val="0"/>
          <w:szCs w:val="20"/>
          <w:highlight w:val="none"/>
        </w:rPr>
        <w:t>5.2.3.3 改造后的效果</w:t>
      </w:r>
    </w:p>
    <w:p w14:paraId="154C2D46">
      <w:pPr>
        <w:pStyle w:val="106"/>
        <w:numPr>
          <w:ilvl w:val="0"/>
          <w:numId w:val="22"/>
        </w:numPr>
        <w:shd w:val="clear"/>
        <w:rPr>
          <w:color w:val="auto"/>
          <w:highlight w:val="none"/>
        </w:rPr>
      </w:pPr>
      <w:r>
        <w:rPr>
          <w:color w:val="auto"/>
          <w:highlight w:val="none"/>
        </w:rPr>
        <w:t>高炉正常生产期间，轴流压缩机静叶角度调整范围50-65°；机组达到额定转速后，风机出口管道不得有异音、共振等异常现象。</w:t>
      </w:r>
    </w:p>
    <w:p w14:paraId="07646CC0">
      <w:pPr>
        <w:pStyle w:val="106"/>
        <w:shd w:val="clear"/>
        <w:rPr>
          <w:color w:val="auto"/>
          <w:highlight w:val="none"/>
        </w:rPr>
      </w:pPr>
      <w:r>
        <w:rPr>
          <w:color w:val="auto"/>
          <w:highlight w:val="none"/>
        </w:rPr>
        <w:t>要求叶片使用寿命：≥60000h。风机质量保证期内在设计转速下连续运转期间，机械运转应达到如下要求：</w:t>
      </w:r>
    </w:p>
    <w:p w14:paraId="189A14A1">
      <w:pPr>
        <w:pStyle w:val="74"/>
        <w:shd w:val="clear"/>
        <w:ind w:left="708" w:leftChars="200" w:hanging="228" w:hangingChars="95"/>
        <w:rPr>
          <w:color w:val="auto"/>
          <w:highlight w:val="none"/>
        </w:rPr>
      </w:pPr>
      <w:r>
        <w:rPr>
          <w:color w:val="auto"/>
          <w:highlight w:val="none"/>
        </w:rPr>
        <w:t>轴振动：</w:t>
      </w:r>
      <w:r>
        <w:rPr>
          <w:color w:val="auto"/>
          <w:highlight w:val="none"/>
        </w:rPr>
        <w:tab/>
      </w:r>
      <w:r>
        <w:rPr>
          <w:color w:val="auto"/>
          <w:highlight w:val="none"/>
        </w:rPr>
        <w:t xml:space="preserve">         ＜50 μm</w:t>
      </w:r>
    </w:p>
    <w:p w14:paraId="47ED6C85">
      <w:pPr>
        <w:pStyle w:val="74"/>
        <w:shd w:val="clear"/>
        <w:ind w:left="708" w:leftChars="200" w:hanging="228" w:hangingChars="95"/>
        <w:rPr>
          <w:color w:val="auto"/>
          <w:highlight w:val="none"/>
        </w:rPr>
      </w:pPr>
      <w:r>
        <w:rPr>
          <w:color w:val="auto"/>
          <w:highlight w:val="none"/>
        </w:rPr>
        <w:t>径向轴承温度：</w:t>
      </w:r>
      <w:r>
        <w:rPr>
          <w:color w:val="auto"/>
          <w:highlight w:val="none"/>
        </w:rPr>
        <w:tab/>
      </w:r>
      <w:r>
        <w:rPr>
          <w:color w:val="auto"/>
          <w:highlight w:val="none"/>
        </w:rPr>
        <w:tab/>
      </w:r>
      <w:r>
        <w:rPr>
          <w:color w:val="auto"/>
          <w:highlight w:val="none"/>
        </w:rPr>
        <w:t>＜ 90 ℃</w:t>
      </w:r>
    </w:p>
    <w:p w14:paraId="3BB45873">
      <w:pPr>
        <w:pStyle w:val="74"/>
        <w:shd w:val="clear"/>
        <w:ind w:left="708" w:leftChars="200" w:hanging="228" w:hangingChars="95"/>
        <w:rPr>
          <w:color w:val="auto"/>
          <w:highlight w:val="none"/>
        </w:rPr>
      </w:pPr>
      <w:r>
        <w:rPr>
          <w:color w:val="auto"/>
          <w:highlight w:val="none"/>
        </w:rPr>
        <w:t>推力轴承温度：</w:t>
      </w:r>
      <w:r>
        <w:rPr>
          <w:color w:val="auto"/>
          <w:highlight w:val="none"/>
        </w:rPr>
        <w:tab/>
      </w:r>
      <w:r>
        <w:rPr>
          <w:color w:val="auto"/>
          <w:highlight w:val="none"/>
        </w:rPr>
        <w:tab/>
      </w:r>
      <w:r>
        <w:rPr>
          <w:color w:val="auto"/>
          <w:highlight w:val="none"/>
        </w:rPr>
        <w:t>＜ 90 ℃</w:t>
      </w:r>
    </w:p>
    <w:p w14:paraId="57309BE7">
      <w:pPr>
        <w:pStyle w:val="106"/>
        <w:shd w:val="clear"/>
        <w:rPr>
          <w:color w:val="auto"/>
          <w:highlight w:val="none"/>
        </w:rPr>
      </w:pPr>
      <w:r>
        <w:rPr>
          <w:color w:val="auto"/>
          <w:highlight w:val="none"/>
        </w:rPr>
        <w:t>机组在甲方现场进行机械运转试验，按照JB／T4359标准执行；转子振动考核执行SULZER标准（峰-峰振幅值≤4500/n0.5）。</w:t>
      </w:r>
    </w:p>
    <w:p w14:paraId="3AA594C5">
      <w:pPr>
        <w:pStyle w:val="106"/>
        <w:shd w:val="clear"/>
        <w:rPr>
          <w:color w:val="auto"/>
          <w:highlight w:val="none"/>
        </w:rPr>
      </w:pPr>
      <w:r>
        <w:rPr>
          <w:color w:val="auto"/>
          <w:highlight w:val="none"/>
        </w:rPr>
        <w:t>材料标准：按技术要求择优选用行业标准、部标，国标，对从国外引进材料按国际标准或引进国标准。压缩机：参照API617、国标、部标(行业标准)及厂标，参照ASME—PTC—10、JB/T3165《离心和轴流式鼓风机压缩机热力性能试验》。非接触式轴振动、轴位移测量系统：参照API670。转子动平衡标准：ISO1940，API617、612中有关标准、部标、厂标。</w:t>
      </w:r>
    </w:p>
    <w:p w14:paraId="561767C4">
      <w:pPr>
        <w:shd w:val="clear"/>
        <w:snapToGrid w:val="0"/>
        <w:ind w:firstLine="0" w:firstLineChars="0"/>
        <w:outlineLvl w:val="2"/>
        <w:rPr>
          <w:rFonts w:cs="Times New Roman"/>
          <w:color w:val="auto"/>
          <w:szCs w:val="28"/>
          <w:highlight w:val="none"/>
        </w:rPr>
      </w:pPr>
      <w:bookmarkStart w:id="489" w:name="_Toc29913"/>
      <w:r>
        <w:rPr>
          <w:rFonts w:hint="eastAsia" w:cs="Times New Roman"/>
          <w:color w:val="auto"/>
          <w:szCs w:val="28"/>
          <w:highlight w:val="none"/>
        </w:rPr>
        <w:t xml:space="preserve">5.2.4 </w:t>
      </w:r>
      <w:r>
        <w:rPr>
          <w:rFonts w:cs="Times New Roman"/>
          <w:color w:val="auto"/>
          <w:szCs w:val="28"/>
          <w:highlight w:val="none"/>
        </w:rPr>
        <w:t>2</w:t>
      </w:r>
      <w:r>
        <w:rPr>
          <w:rFonts w:hint="eastAsia" w:cs="Times New Roman"/>
          <w:color w:val="auto"/>
          <w:szCs w:val="28"/>
          <w:highlight w:val="none"/>
        </w:rPr>
        <w:t>#汽动鼓风机静叶伺服系统改造内容</w:t>
      </w:r>
      <w:bookmarkEnd w:id="489"/>
    </w:p>
    <w:p w14:paraId="45751B09">
      <w:pPr>
        <w:pStyle w:val="74"/>
        <w:shd w:val="clear"/>
        <w:rPr>
          <w:color w:val="auto"/>
          <w:highlight w:val="none"/>
        </w:rPr>
      </w:pPr>
      <w:r>
        <w:rPr>
          <w:rFonts w:hint="eastAsia"/>
          <w:color w:val="auto"/>
          <w:highlight w:val="none"/>
        </w:rPr>
        <w:t>现</w:t>
      </w:r>
      <w:r>
        <w:rPr>
          <w:color w:val="auto"/>
          <w:highlight w:val="none"/>
        </w:rPr>
        <w:t>2#鼓风机使用的静叶控制系统为液压站式的伺服调节系统，存在静叶卡涩、漂移、调整精确度差、能耗高、泄漏点大、不易维护等问题。本次改造，将采用静叶REXA调节系统替代原液压伺服调节系统，达到简化系统，降低事故风险点、减小能耗且进一步提高风机静叶调节系统运行的安全性和可靠性。</w:t>
      </w:r>
    </w:p>
    <w:p w14:paraId="1CC48193">
      <w:pPr>
        <w:shd w:val="clear"/>
        <w:snapToGrid w:val="0"/>
        <w:ind w:firstLine="0" w:firstLineChars="0"/>
        <w:outlineLvl w:val="3"/>
        <w:rPr>
          <w:rFonts w:cs="Times New Roman"/>
          <w:snapToGrid w:val="0"/>
          <w:color w:val="auto"/>
          <w:szCs w:val="28"/>
          <w:highlight w:val="none"/>
        </w:rPr>
      </w:pPr>
      <w:r>
        <w:rPr>
          <w:rFonts w:hint="eastAsia" w:cs="Times New Roman"/>
          <w:snapToGrid w:val="0"/>
          <w:color w:val="auto"/>
          <w:szCs w:val="28"/>
          <w:highlight w:val="none"/>
        </w:rPr>
        <w:t>5.2.4.1 静叶伺服系统改造内容</w:t>
      </w:r>
    </w:p>
    <w:p w14:paraId="172C67BA">
      <w:pPr>
        <w:numPr>
          <w:ilvl w:val="0"/>
          <w:numId w:val="23"/>
        </w:numPr>
        <w:shd w:val="clear"/>
        <w:adjustRightInd w:val="0"/>
        <w:ind w:firstLineChars="0"/>
        <w:textAlignment w:val="baseline"/>
        <w:rPr>
          <w:rFonts w:cs="Times New Roman"/>
          <w:bCs/>
          <w:snapToGrid w:val="0"/>
          <w:color w:val="auto"/>
          <w:kern w:val="0"/>
          <w:szCs w:val="20"/>
          <w:highlight w:val="none"/>
        </w:rPr>
      </w:pPr>
      <w:r>
        <w:rPr>
          <w:rFonts w:hint="eastAsia" w:cs="Times New Roman"/>
          <w:bCs/>
          <w:snapToGrid w:val="0"/>
          <w:color w:val="auto"/>
          <w:kern w:val="0"/>
          <w:szCs w:val="20"/>
          <w:highlight w:val="none"/>
        </w:rPr>
        <w:t>对#2高炉配套AV63轴流压缩机本体部分不做改动，只改造静叶调节系统部分，即采用REXA替代原液压伺服调节系统作为新的静叶调节用执行器。</w:t>
      </w:r>
    </w:p>
    <w:p w14:paraId="400FA4F5">
      <w:pPr>
        <w:numPr>
          <w:ilvl w:val="0"/>
          <w:numId w:val="23"/>
        </w:numPr>
        <w:shd w:val="clear"/>
        <w:adjustRightInd w:val="0"/>
        <w:ind w:firstLineChars="0"/>
        <w:textAlignment w:val="baseline"/>
        <w:rPr>
          <w:rFonts w:cs="Times New Roman"/>
          <w:bCs/>
          <w:snapToGrid w:val="0"/>
          <w:color w:val="auto"/>
          <w:kern w:val="0"/>
          <w:szCs w:val="20"/>
          <w:highlight w:val="none"/>
        </w:rPr>
      </w:pPr>
      <w:r>
        <w:rPr>
          <w:rFonts w:hint="eastAsia" w:cs="Times New Roman"/>
          <w:bCs/>
          <w:snapToGrid w:val="0"/>
          <w:color w:val="auto"/>
          <w:kern w:val="0"/>
          <w:szCs w:val="20"/>
          <w:highlight w:val="none"/>
        </w:rPr>
        <w:t>匹配REXA执行器、控制箱及支架（GL30000-3-2D-P-2S型REXA执行器，2套伺服电机、液压泵和流量匹配阀，1台调节阀NPS 18 8532 1061 Size 100 DVC6205+DVC6215失气快开型）。</w:t>
      </w:r>
    </w:p>
    <w:p w14:paraId="5DDC87A8">
      <w:pPr>
        <w:numPr>
          <w:ilvl w:val="0"/>
          <w:numId w:val="23"/>
        </w:numPr>
        <w:shd w:val="clear"/>
        <w:adjustRightInd w:val="0"/>
        <w:ind w:firstLineChars="0"/>
        <w:textAlignment w:val="baseline"/>
        <w:rPr>
          <w:rFonts w:cs="Times New Roman"/>
          <w:bCs/>
          <w:snapToGrid w:val="0"/>
          <w:color w:val="auto"/>
          <w:kern w:val="0"/>
          <w:szCs w:val="20"/>
          <w:highlight w:val="none"/>
        </w:rPr>
      </w:pPr>
      <w:r>
        <w:rPr>
          <w:rFonts w:hint="eastAsia" w:cs="Times New Roman"/>
          <w:bCs/>
          <w:snapToGrid w:val="0"/>
          <w:color w:val="auto"/>
          <w:kern w:val="0"/>
          <w:szCs w:val="20"/>
          <w:highlight w:val="none"/>
        </w:rPr>
        <w:t>REXA执行器配套专用屏蔽电缆。</w:t>
      </w:r>
    </w:p>
    <w:p w14:paraId="7CAE4AC9">
      <w:pPr>
        <w:numPr>
          <w:ilvl w:val="0"/>
          <w:numId w:val="23"/>
        </w:numPr>
        <w:shd w:val="clear"/>
        <w:adjustRightInd w:val="0"/>
        <w:ind w:firstLineChars="0"/>
        <w:textAlignment w:val="baseline"/>
        <w:rPr>
          <w:rFonts w:cs="Times New Roman"/>
          <w:bCs/>
          <w:snapToGrid w:val="0"/>
          <w:color w:val="auto"/>
          <w:kern w:val="0"/>
          <w:szCs w:val="20"/>
          <w:highlight w:val="none"/>
        </w:rPr>
      </w:pPr>
      <w:r>
        <w:rPr>
          <w:rFonts w:hint="eastAsia" w:cs="Times New Roman"/>
          <w:bCs/>
          <w:snapToGrid w:val="0"/>
          <w:color w:val="auto"/>
          <w:kern w:val="0"/>
          <w:szCs w:val="20"/>
          <w:highlight w:val="none"/>
        </w:rPr>
        <w:t>配套所需电源及信号电缆：</w:t>
      </w:r>
    </w:p>
    <w:p w14:paraId="594F4443">
      <w:pPr>
        <w:pStyle w:val="74"/>
        <w:numPr>
          <w:ilvl w:val="0"/>
          <w:numId w:val="24"/>
        </w:numPr>
        <w:shd w:val="clear"/>
        <w:ind w:firstLineChars="0"/>
        <w:rPr>
          <w:snapToGrid w:val="0"/>
          <w:color w:val="auto"/>
          <w:highlight w:val="none"/>
        </w:rPr>
      </w:pPr>
      <w:r>
        <w:rPr>
          <w:rFonts w:hint="eastAsia"/>
          <w:snapToGrid w:val="0"/>
          <w:color w:val="auto"/>
          <w:highlight w:val="none"/>
        </w:rPr>
        <w:t>电源电缆 3×4.0mm</w:t>
      </w:r>
      <w:r>
        <w:rPr>
          <w:rFonts w:hint="eastAsia"/>
          <w:snapToGrid w:val="0"/>
          <w:color w:val="auto"/>
          <w:highlight w:val="none"/>
          <w:vertAlign w:val="superscript"/>
        </w:rPr>
        <w:t>2</w:t>
      </w:r>
      <w:r>
        <w:rPr>
          <w:rFonts w:hint="eastAsia"/>
          <w:snapToGrid w:val="0"/>
          <w:color w:val="auto"/>
          <w:highlight w:val="none"/>
        </w:rPr>
        <w:t>：220VAC50Hz/4kW；电缆应采用屏蔽控制电缆KVVP，共计200米；</w:t>
      </w:r>
    </w:p>
    <w:p w14:paraId="3CE5F90E">
      <w:pPr>
        <w:pStyle w:val="74"/>
        <w:numPr>
          <w:ilvl w:val="0"/>
          <w:numId w:val="24"/>
        </w:numPr>
        <w:shd w:val="clear"/>
        <w:ind w:firstLineChars="0"/>
        <w:rPr>
          <w:snapToGrid w:val="0"/>
          <w:color w:val="auto"/>
          <w:highlight w:val="none"/>
        </w:rPr>
      </w:pPr>
      <w:r>
        <w:rPr>
          <w:rFonts w:hint="eastAsia"/>
          <w:snapToGrid w:val="0"/>
          <w:color w:val="auto"/>
          <w:highlight w:val="none"/>
        </w:rPr>
        <w:t>输入控制和输出位移信号 4×1.5mm</w:t>
      </w:r>
      <w:r>
        <w:rPr>
          <w:rFonts w:hint="eastAsia"/>
          <w:snapToGrid w:val="0"/>
          <w:color w:val="auto"/>
          <w:highlight w:val="none"/>
          <w:vertAlign w:val="superscript"/>
        </w:rPr>
        <w:t>2</w:t>
      </w:r>
      <w:r>
        <w:rPr>
          <w:rFonts w:hint="eastAsia"/>
          <w:snapToGrid w:val="0"/>
          <w:color w:val="auto"/>
          <w:highlight w:val="none"/>
        </w:rPr>
        <w:t>：4-20mA 模拟量信号；电缆应采用屏蔽控制电缆KVVP，各150米，共计300米；</w:t>
      </w:r>
    </w:p>
    <w:p w14:paraId="08513019">
      <w:pPr>
        <w:pStyle w:val="74"/>
        <w:numPr>
          <w:ilvl w:val="0"/>
          <w:numId w:val="24"/>
        </w:numPr>
        <w:shd w:val="clear"/>
        <w:ind w:firstLineChars="0"/>
        <w:rPr>
          <w:snapToGrid w:val="0"/>
          <w:color w:val="auto"/>
          <w:highlight w:val="none"/>
        </w:rPr>
      </w:pPr>
      <w:r>
        <w:rPr>
          <w:rFonts w:hint="eastAsia"/>
          <w:snapToGrid w:val="0"/>
          <w:color w:val="auto"/>
          <w:highlight w:val="none"/>
        </w:rPr>
        <w:t>开关量故障报警信号（无源干结点）2×1.5mm</w:t>
      </w:r>
      <w:r>
        <w:rPr>
          <w:rFonts w:hint="eastAsia"/>
          <w:snapToGrid w:val="0"/>
          <w:color w:val="auto"/>
          <w:highlight w:val="none"/>
          <w:vertAlign w:val="superscript"/>
        </w:rPr>
        <w:t>2</w:t>
      </w:r>
      <w:r>
        <w:rPr>
          <w:rFonts w:hint="eastAsia"/>
          <w:snapToGrid w:val="0"/>
          <w:color w:val="auto"/>
          <w:highlight w:val="none"/>
        </w:rPr>
        <w:t>；电缆应采用屏蔽控制电缆KVVP，共计150米；</w:t>
      </w:r>
    </w:p>
    <w:p w14:paraId="1F934A4B">
      <w:pPr>
        <w:numPr>
          <w:ilvl w:val="0"/>
          <w:numId w:val="23"/>
        </w:numPr>
        <w:shd w:val="clear"/>
        <w:adjustRightInd w:val="0"/>
        <w:ind w:firstLineChars="0"/>
        <w:textAlignment w:val="baseline"/>
        <w:rPr>
          <w:rFonts w:cs="Times New Roman"/>
          <w:bCs/>
          <w:snapToGrid w:val="0"/>
          <w:color w:val="auto"/>
          <w:kern w:val="0"/>
          <w:szCs w:val="20"/>
          <w:highlight w:val="none"/>
        </w:rPr>
      </w:pPr>
      <w:r>
        <w:rPr>
          <w:rFonts w:hint="eastAsia" w:cs="Times New Roman"/>
          <w:bCs/>
          <w:snapToGrid w:val="0"/>
          <w:color w:val="auto"/>
          <w:kern w:val="0"/>
          <w:szCs w:val="20"/>
          <w:highlight w:val="none"/>
        </w:rPr>
        <w:t>供美孚</w:t>
      </w:r>
      <w:r>
        <w:rPr>
          <w:rFonts w:cs="Times New Roman"/>
          <w:bCs/>
          <w:snapToGrid w:val="0"/>
          <w:color w:val="auto"/>
          <w:kern w:val="0"/>
          <w:szCs w:val="20"/>
          <w:highlight w:val="none"/>
        </w:rPr>
        <w:t>5W-40机油：12升；REXA专用注油枪（装有Schrader接头）：1只；单台套所需专用工具壹套</w:t>
      </w:r>
      <w:r>
        <w:rPr>
          <w:rFonts w:hint="eastAsia" w:cs="Times New Roman"/>
          <w:bCs/>
          <w:snapToGrid w:val="0"/>
          <w:color w:val="auto"/>
          <w:kern w:val="0"/>
          <w:szCs w:val="20"/>
          <w:highlight w:val="none"/>
        </w:rPr>
        <w:t>。</w:t>
      </w:r>
    </w:p>
    <w:p w14:paraId="0565B2B0">
      <w:pPr>
        <w:numPr>
          <w:ilvl w:val="0"/>
          <w:numId w:val="23"/>
        </w:numPr>
        <w:shd w:val="clear"/>
        <w:adjustRightInd w:val="0"/>
        <w:ind w:firstLineChars="0"/>
        <w:textAlignment w:val="baseline"/>
        <w:rPr>
          <w:rFonts w:cs="Times New Roman"/>
          <w:bCs/>
          <w:snapToGrid w:val="0"/>
          <w:color w:val="auto"/>
          <w:kern w:val="0"/>
          <w:szCs w:val="20"/>
          <w:highlight w:val="none"/>
        </w:rPr>
      </w:pPr>
      <w:r>
        <w:rPr>
          <w:rFonts w:hint="eastAsia" w:cs="Times New Roman"/>
          <w:bCs/>
          <w:snapToGrid w:val="0"/>
          <w:color w:val="auto"/>
          <w:kern w:val="0"/>
          <w:szCs w:val="20"/>
          <w:highlight w:val="none"/>
        </w:rPr>
        <w:t>现场静叶REXA所有设备、控制箱、电缆、电缆桥架、安装支架、镀锌钢管、管接头、角钢等备件材料以及安装辅料的购置及安装。</w:t>
      </w:r>
    </w:p>
    <w:p w14:paraId="0A9B2AE5">
      <w:pPr>
        <w:shd w:val="clear"/>
        <w:snapToGrid w:val="0"/>
        <w:ind w:firstLine="0" w:firstLineChars="0"/>
        <w:outlineLvl w:val="3"/>
        <w:rPr>
          <w:rFonts w:cs="Times New Roman"/>
          <w:color w:val="auto"/>
          <w:szCs w:val="28"/>
          <w:highlight w:val="none"/>
        </w:rPr>
      </w:pPr>
      <w:r>
        <w:rPr>
          <w:rFonts w:hint="eastAsia" w:cs="Times New Roman"/>
          <w:color w:val="auto"/>
          <w:szCs w:val="28"/>
          <w:highlight w:val="none"/>
        </w:rPr>
        <w:t>5.2.4.2 静叶伺服系统改造技术要求</w:t>
      </w:r>
    </w:p>
    <w:p w14:paraId="36207906">
      <w:pPr>
        <w:numPr>
          <w:ilvl w:val="0"/>
          <w:numId w:val="25"/>
        </w:numPr>
        <w:shd w:val="clear"/>
        <w:adjustRightInd w:val="0"/>
        <w:ind w:firstLineChars="0"/>
        <w:textAlignment w:val="baseline"/>
        <w:rPr>
          <w:rFonts w:cs="Times New Roman"/>
          <w:bCs/>
          <w:color w:val="auto"/>
          <w:kern w:val="0"/>
          <w:szCs w:val="20"/>
          <w:highlight w:val="none"/>
        </w:rPr>
      </w:pPr>
      <w:r>
        <w:rPr>
          <w:rFonts w:hint="eastAsia" w:cs="Times New Roman"/>
          <w:bCs/>
          <w:color w:val="auto"/>
          <w:kern w:val="0"/>
          <w:szCs w:val="20"/>
          <w:highlight w:val="none"/>
        </w:rPr>
        <w:t>REXA静叶调节系统定位精度≤全行程的0.15%；线性度：≤全行程的0.1%；重复率≤全行程的0.1%；调节精度≤全行程的0.1%。左、右伺服油缸要求同步，同步数值公差范围0～0.50mm。</w:t>
      </w:r>
    </w:p>
    <w:p w14:paraId="4278FBBE">
      <w:pPr>
        <w:numPr>
          <w:ilvl w:val="0"/>
          <w:numId w:val="25"/>
        </w:numPr>
        <w:shd w:val="clear"/>
        <w:adjustRightInd w:val="0"/>
        <w:ind w:firstLineChars="0"/>
        <w:textAlignment w:val="baseline"/>
        <w:rPr>
          <w:rFonts w:cs="Times New Roman"/>
          <w:bCs/>
          <w:color w:val="auto"/>
          <w:kern w:val="0"/>
          <w:szCs w:val="20"/>
          <w:highlight w:val="none"/>
        </w:rPr>
      </w:pPr>
      <w:r>
        <w:rPr>
          <w:rFonts w:hint="eastAsia" w:cs="Times New Roman"/>
          <w:bCs/>
          <w:color w:val="auto"/>
          <w:kern w:val="0"/>
          <w:szCs w:val="20"/>
          <w:highlight w:val="none"/>
        </w:rPr>
        <w:t>断电、断信号时油缸保位，故障时输出综合故障报警信号；信号丢失时，动力油缸保持原位；就地和远程控制切换为无扰切换，若信号偏差大于5%时，动力油缸保持原位；当执行器不能达到目标位置，最后试动作5次后，电机停止动作，输出报警信号；故障时，输出综合故障报警信号；同时，DCS控制系统逻辑中保持控制信号输出不变，需排除故障后才能接受操作员的操作指令；</w:t>
      </w:r>
    </w:p>
    <w:p w14:paraId="051FC108">
      <w:pPr>
        <w:numPr>
          <w:ilvl w:val="0"/>
          <w:numId w:val="25"/>
        </w:numPr>
        <w:shd w:val="clear"/>
        <w:adjustRightInd w:val="0"/>
        <w:ind w:firstLineChars="0"/>
        <w:textAlignment w:val="baseline"/>
        <w:rPr>
          <w:rFonts w:cs="Times New Roman"/>
          <w:bCs/>
          <w:color w:val="auto"/>
          <w:kern w:val="0"/>
          <w:szCs w:val="20"/>
          <w:highlight w:val="none"/>
        </w:rPr>
      </w:pPr>
      <w:r>
        <w:rPr>
          <w:rFonts w:hint="eastAsia" w:cs="Times New Roman"/>
          <w:bCs/>
          <w:color w:val="auto"/>
          <w:kern w:val="0"/>
          <w:szCs w:val="20"/>
          <w:highlight w:val="none"/>
        </w:rPr>
        <w:t>自动控制时指令输入：4-20mA；带现场手动操作机构及电控箱；带就地位置指示器及位置变送器输出（1套位置传感器）：4-20mA（4mA对应22°，20mA对应79°）；</w:t>
      </w:r>
    </w:p>
    <w:p w14:paraId="6D3F6911">
      <w:pPr>
        <w:numPr>
          <w:ilvl w:val="0"/>
          <w:numId w:val="21"/>
        </w:numPr>
        <w:shd w:val="clear"/>
        <w:adjustRightInd w:val="0"/>
        <w:ind w:firstLineChars="0"/>
        <w:textAlignment w:val="baseline"/>
        <w:rPr>
          <w:rFonts w:cs="Times New Roman"/>
          <w:bCs/>
          <w:color w:val="auto"/>
          <w:kern w:val="0"/>
          <w:szCs w:val="20"/>
          <w:highlight w:val="none"/>
        </w:rPr>
      </w:pPr>
      <w:r>
        <w:rPr>
          <w:rFonts w:hint="eastAsia" w:cs="Times New Roman"/>
          <w:bCs/>
          <w:color w:val="auto"/>
          <w:kern w:val="0"/>
          <w:szCs w:val="20"/>
          <w:highlight w:val="none"/>
        </w:rPr>
        <w:t>动力模块部分防护等级为NEMA 4X；供电电源：220VAC/4000W；工作环境温度：控制箱部分为-20℃～+60℃，液压本体部分为-12℃～+120℃；</w:t>
      </w:r>
    </w:p>
    <w:p w14:paraId="13530B33">
      <w:pPr>
        <w:pStyle w:val="331"/>
        <w:shd w:val="clear"/>
        <w:rPr>
          <w:color w:val="auto"/>
          <w:highlight w:val="none"/>
        </w:rPr>
      </w:pPr>
      <w:bookmarkStart w:id="490" w:name="_Toc20853"/>
      <w:r>
        <w:rPr>
          <w:rFonts w:hint="eastAsia"/>
          <w:color w:val="auto"/>
          <w:highlight w:val="none"/>
        </w:rPr>
        <w:t>5.2.4.3 提供的调节阀NPS 18 8532 1061 Size 100 DVC6205+DVC6215失气快开型应满足以下设备使用要求：</w:t>
      </w:r>
      <w:bookmarkEnd w:id="490"/>
      <w:r>
        <w:rPr>
          <w:rFonts w:hint="eastAsia"/>
          <w:color w:val="auto"/>
          <w:highlight w:val="none"/>
        </w:rPr>
        <w:t xml:space="preserve"> </w:t>
      </w:r>
    </w:p>
    <w:p w14:paraId="2CFB34C5">
      <w:pPr>
        <w:pStyle w:val="106"/>
        <w:numPr>
          <w:ilvl w:val="0"/>
          <w:numId w:val="26"/>
        </w:numPr>
        <w:shd w:val="clear"/>
        <w:rPr>
          <w:color w:val="auto"/>
          <w:highlight w:val="none"/>
        </w:rPr>
      </w:pPr>
      <w:r>
        <w:rPr>
          <w:rFonts w:hint="eastAsia"/>
          <w:color w:val="auto"/>
          <w:highlight w:val="none"/>
        </w:rPr>
        <w:t>调节阀各项尺寸、参数、技术等级应与现场管道系统设计相一致，且满足现场实际工况下各项技术要求及阀门调节特性，阀体采用碳钢，门杆及阀板等采用不锈钢。</w:t>
      </w:r>
    </w:p>
    <w:p w14:paraId="2B383E31">
      <w:pPr>
        <w:pStyle w:val="106"/>
        <w:numPr>
          <w:ilvl w:val="0"/>
          <w:numId w:val="27"/>
        </w:numPr>
        <w:shd w:val="clear"/>
        <w:rPr>
          <w:color w:val="auto"/>
          <w:highlight w:val="none"/>
        </w:rPr>
      </w:pPr>
      <w:r>
        <w:rPr>
          <w:rFonts w:hint="eastAsia"/>
          <w:color w:val="auto"/>
          <w:highlight w:val="none"/>
        </w:rPr>
        <w:t>调节阀应是成套的标准配置产品，带集成式分体控制系统，包含气动执行机构、定位器、保位阀、减压阀、电磁阀等，以及产品在现场安装所需的所有附件。</w:t>
      </w:r>
    </w:p>
    <w:p w14:paraId="571576A3">
      <w:pPr>
        <w:pStyle w:val="106"/>
        <w:numPr>
          <w:ilvl w:val="0"/>
          <w:numId w:val="27"/>
        </w:numPr>
        <w:shd w:val="clear"/>
        <w:rPr>
          <w:color w:val="auto"/>
          <w:highlight w:val="none"/>
        </w:rPr>
      </w:pPr>
      <w:r>
        <w:rPr>
          <w:rFonts w:hint="eastAsia"/>
          <w:color w:val="auto"/>
          <w:highlight w:val="none"/>
        </w:rPr>
        <w:t>调节阀应是整体、成套的产品，产品到达现场后通过整体吊装安装调试后便可投入运行。</w:t>
      </w:r>
    </w:p>
    <w:p w14:paraId="5163B7CD">
      <w:pPr>
        <w:pStyle w:val="106"/>
        <w:numPr>
          <w:ilvl w:val="0"/>
          <w:numId w:val="27"/>
        </w:numPr>
        <w:shd w:val="clear"/>
        <w:rPr>
          <w:color w:val="auto"/>
          <w:highlight w:val="none"/>
        </w:rPr>
      </w:pPr>
      <w:r>
        <w:rPr>
          <w:rFonts w:hint="eastAsia"/>
          <w:color w:val="auto"/>
          <w:highlight w:val="none"/>
        </w:rPr>
        <w:t>调节阀的设计、制造和质量检验必须符合ANSI B16.34，ASME等标准（现行版本）和ANSI B16.37检测标准,质量保证符合ISO9001（现行版本）。</w:t>
      </w:r>
    </w:p>
    <w:p w14:paraId="20E3E879">
      <w:pPr>
        <w:pStyle w:val="106"/>
        <w:numPr>
          <w:ilvl w:val="0"/>
          <w:numId w:val="27"/>
        </w:numPr>
        <w:shd w:val="clear"/>
        <w:rPr>
          <w:color w:val="auto"/>
          <w:highlight w:val="none"/>
        </w:rPr>
      </w:pPr>
      <w:r>
        <w:rPr>
          <w:rFonts w:hint="eastAsia"/>
          <w:color w:val="auto"/>
          <w:highlight w:val="none"/>
        </w:rPr>
        <w:t>调节阀出厂时，均达到不需解体的安装条件，阀门与管道的连接采用对夹式法兰连接，阀门接口尺寸与配管一致。</w:t>
      </w:r>
    </w:p>
    <w:p w14:paraId="65FB6E12">
      <w:pPr>
        <w:pStyle w:val="106"/>
        <w:numPr>
          <w:ilvl w:val="0"/>
          <w:numId w:val="27"/>
        </w:numPr>
        <w:shd w:val="clear"/>
        <w:rPr>
          <w:color w:val="auto"/>
          <w:highlight w:val="none"/>
        </w:rPr>
      </w:pPr>
      <w:r>
        <w:rPr>
          <w:rFonts w:hint="eastAsia"/>
          <w:color w:val="auto"/>
          <w:highlight w:val="none"/>
        </w:rPr>
        <w:t>调节阀具有很好的调节性能，并附有能满足自动控制要求的调节特性曲线，阀门关闭后严密不漏。</w:t>
      </w:r>
    </w:p>
    <w:p w14:paraId="45ED813C">
      <w:pPr>
        <w:pStyle w:val="106"/>
        <w:numPr>
          <w:ilvl w:val="0"/>
          <w:numId w:val="27"/>
        </w:numPr>
        <w:shd w:val="clear"/>
        <w:rPr>
          <w:color w:val="auto"/>
          <w:highlight w:val="none"/>
        </w:rPr>
      </w:pPr>
      <w:r>
        <w:rPr>
          <w:rFonts w:hint="eastAsia"/>
          <w:color w:val="auto"/>
          <w:highlight w:val="none"/>
        </w:rPr>
        <w:t>调节阀整体必须是进口一线品牌，在酒钢自备电厂及分子公司厂矿鼓风机风系统相同工位服役使用的成熟产品。</w:t>
      </w:r>
    </w:p>
    <w:p w14:paraId="7E6300FB">
      <w:pPr>
        <w:pStyle w:val="106"/>
        <w:numPr>
          <w:ilvl w:val="0"/>
          <w:numId w:val="27"/>
        </w:numPr>
        <w:shd w:val="clear"/>
        <w:rPr>
          <w:color w:val="auto"/>
          <w:highlight w:val="none"/>
        </w:rPr>
      </w:pPr>
      <w:r>
        <w:rPr>
          <w:rFonts w:hint="eastAsia"/>
          <w:color w:val="auto"/>
          <w:highlight w:val="none"/>
        </w:rPr>
        <w:t>调节阀应满足该工位环境温度-30℃-300℃的工况下，长期服役且调节性能不受影响，阀门各部件正常运行的要求。</w:t>
      </w:r>
    </w:p>
    <w:p w14:paraId="0C763F32">
      <w:pPr>
        <w:pStyle w:val="106"/>
        <w:numPr>
          <w:ilvl w:val="0"/>
          <w:numId w:val="27"/>
        </w:numPr>
        <w:shd w:val="clear"/>
        <w:rPr>
          <w:color w:val="auto"/>
          <w:highlight w:val="none"/>
        </w:rPr>
      </w:pPr>
      <w:r>
        <w:rPr>
          <w:rFonts w:hint="eastAsia"/>
          <w:color w:val="auto"/>
          <w:highlight w:val="none"/>
        </w:rPr>
        <w:t>具有集成控制系统及配套设施</w:t>
      </w:r>
    </w:p>
    <w:p w14:paraId="570A2F65">
      <w:pPr>
        <w:pStyle w:val="106"/>
        <w:numPr>
          <w:ilvl w:val="0"/>
          <w:numId w:val="27"/>
        </w:numPr>
        <w:shd w:val="clear"/>
        <w:rPr>
          <w:color w:val="auto"/>
          <w:highlight w:val="none"/>
        </w:rPr>
      </w:pPr>
      <w:r>
        <w:rPr>
          <w:rFonts w:hint="eastAsia"/>
          <w:color w:val="auto"/>
          <w:highlight w:val="none"/>
        </w:rPr>
        <w:t>集成控制系统型号</w:t>
      </w:r>
      <w:r>
        <w:rPr>
          <w:rFonts w:hint="eastAsia"/>
          <w:color w:val="auto"/>
          <w:highlight w:val="none"/>
        </w:rPr>
        <w:tab/>
      </w:r>
      <w:r>
        <w:rPr>
          <w:rFonts w:hint="eastAsia"/>
          <w:color w:val="auto"/>
          <w:highlight w:val="none"/>
        </w:rPr>
        <w:t>DOUBLE ACTION</w:t>
      </w:r>
    </w:p>
    <w:p w14:paraId="7D47C0B7">
      <w:pPr>
        <w:pStyle w:val="106"/>
        <w:numPr>
          <w:ilvl w:val="0"/>
          <w:numId w:val="27"/>
        </w:numPr>
        <w:shd w:val="clear"/>
        <w:rPr>
          <w:color w:val="auto"/>
          <w:highlight w:val="none"/>
        </w:rPr>
      </w:pPr>
      <w:r>
        <w:rPr>
          <w:rFonts w:hint="eastAsia"/>
          <w:color w:val="auto"/>
          <w:highlight w:val="none"/>
        </w:rPr>
        <w:t>控制信号</w:t>
      </w:r>
      <w:r>
        <w:rPr>
          <w:rFonts w:hint="eastAsia"/>
          <w:color w:val="auto"/>
          <w:highlight w:val="none"/>
        </w:rPr>
        <w:tab/>
      </w:r>
      <w:r>
        <w:rPr>
          <w:rFonts w:hint="eastAsia"/>
          <w:color w:val="auto"/>
          <w:highlight w:val="none"/>
        </w:rPr>
        <w:t>4-20mA</w:t>
      </w:r>
    </w:p>
    <w:p w14:paraId="6C9D31A9">
      <w:pPr>
        <w:pStyle w:val="106"/>
        <w:numPr>
          <w:ilvl w:val="0"/>
          <w:numId w:val="27"/>
        </w:numPr>
        <w:shd w:val="clear"/>
        <w:rPr>
          <w:color w:val="auto"/>
          <w:highlight w:val="none"/>
        </w:rPr>
      </w:pPr>
      <w:r>
        <w:rPr>
          <w:rFonts w:hint="eastAsia"/>
          <w:color w:val="auto"/>
          <w:highlight w:val="none"/>
        </w:rPr>
        <w:t>反馈信号</w:t>
      </w:r>
      <w:r>
        <w:rPr>
          <w:rFonts w:hint="eastAsia"/>
          <w:color w:val="auto"/>
          <w:highlight w:val="none"/>
        </w:rPr>
        <w:tab/>
      </w:r>
      <w:r>
        <w:rPr>
          <w:rFonts w:hint="eastAsia"/>
          <w:color w:val="auto"/>
          <w:highlight w:val="none"/>
        </w:rPr>
        <w:t>4-20mA C</w:t>
      </w:r>
    </w:p>
    <w:p w14:paraId="168DB4DF">
      <w:pPr>
        <w:pStyle w:val="106"/>
        <w:numPr>
          <w:ilvl w:val="0"/>
          <w:numId w:val="27"/>
        </w:numPr>
        <w:shd w:val="clear"/>
        <w:rPr>
          <w:color w:val="auto"/>
          <w:highlight w:val="none"/>
        </w:rPr>
      </w:pPr>
      <w:r>
        <w:rPr>
          <w:rFonts w:hint="eastAsia"/>
          <w:color w:val="auto"/>
          <w:highlight w:val="none"/>
        </w:rPr>
        <w:t>电磁阀电源</w:t>
      </w:r>
      <w:r>
        <w:rPr>
          <w:rFonts w:hint="eastAsia"/>
          <w:color w:val="auto"/>
          <w:highlight w:val="none"/>
        </w:rPr>
        <w:tab/>
      </w:r>
      <w:r>
        <w:rPr>
          <w:rFonts w:hint="eastAsia"/>
          <w:color w:val="auto"/>
          <w:highlight w:val="none"/>
        </w:rPr>
        <w:t>24V DC</w:t>
      </w:r>
    </w:p>
    <w:p w14:paraId="40DC100A">
      <w:pPr>
        <w:pStyle w:val="106"/>
        <w:numPr>
          <w:ilvl w:val="0"/>
          <w:numId w:val="27"/>
        </w:numPr>
        <w:shd w:val="clear"/>
        <w:rPr>
          <w:color w:val="auto"/>
          <w:highlight w:val="none"/>
        </w:rPr>
      </w:pPr>
      <w:r>
        <w:rPr>
          <w:rFonts w:hint="eastAsia"/>
          <w:color w:val="auto"/>
          <w:highlight w:val="none"/>
        </w:rPr>
        <w:t>工作压力</w:t>
      </w:r>
      <w:r>
        <w:rPr>
          <w:rFonts w:hint="eastAsia"/>
          <w:color w:val="auto"/>
          <w:highlight w:val="none"/>
        </w:rPr>
        <w:tab/>
      </w:r>
      <w:r>
        <w:rPr>
          <w:rFonts w:hint="eastAsia"/>
          <w:color w:val="auto"/>
          <w:highlight w:val="none"/>
        </w:rPr>
        <w:t>1.0MPa</w:t>
      </w:r>
    </w:p>
    <w:p w14:paraId="506AE33E">
      <w:pPr>
        <w:pStyle w:val="106"/>
        <w:numPr>
          <w:ilvl w:val="0"/>
          <w:numId w:val="27"/>
        </w:numPr>
        <w:shd w:val="clear"/>
        <w:rPr>
          <w:color w:val="auto"/>
          <w:highlight w:val="none"/>
        </w:rPr>
      </w:pPr>
      <w:r>
        <w:rPr>
          <w:rFonts w:hint="eastAsia"/>
          <w:color w:val="auto"/>
          <w:highlight w:val="none"/>
        </w:rPr>
        <w:t>工作温度</w:t>
      </w:r>
      <w:r>
        <w:rPr>
          <w:rFonts w:hint="eastAsia"/>
          <w:color w:val="auto"/>
          <w:highlight w:val="none"/>
        </w:rPr>
        <w:tab/>
      </w:r>
      <w:r>
        <w:rPr>
          <w:rFonts w:hint="eastAsia"/>
          <w:color w:val="auto"/>
          <w:highlight w:val="none"/>
        </w:rPr>
        <w:t>300℃(最高)</w:t>
      </w:r>
    </w:p>
    <w:p w14:paraId="54F64D02">
      <w:pPr>
        <w:pStyle w:val="106"/>
        <w:numPr>
          <w:ilvl w:val="0"/>
          <w:numId w:val="27"/>
        </w:numPr>
        <w:shd w:val="clear"/>
        <w:rPr>
          <w:color w:val="auto"/>
          <w:highlight w:val="none"/>
        </w:rPr>
      </w:pPr>
      <w:r>
        <w:rPr>
          <w:rFonts w:hint="eastAsia"/>
          <w:color w:val="auto"/>
          <w:highlight w:val="none"/>
        </w:rPr>
        <w:t>气源介质</w:t>
      </w:r>
      <w:r>
        <w:rPr>
          <w:rFonts w:hint="eastAsia"/>
          <w:color w:val="auto"/>
          <w:highlight w:val="none"/>
        </w:rPr>
        <w:tab/>
      </w:r>
      <w:r>
        <w:rPr>
          <w:rFonts w:hint="eastAsia"/>
          <w:color w:val="auto"/>
          <w:highlight w:val="none"/>
        </w:rPr>
        <w:t>氮气/压缩空气</w:t>
      </w:r>
    </w:p>
    <w:p w14:paraId="46815585">
      <w:pPr>
        <w:pStyle w:val="106"/>
        <w:numPr>
          <w:ilvl w:val="0"/>
          <w:numId w:val="27"/>
        </w:numPr>
        <w:shd w:val="clear"/>
        <w:rPr>
          <w:color w:val="auto"/>
          <w:highlight w:val="none"/>
        </w:rPr>
      </w:pPr>
      <w:r>
        <w:rPr>
          <w:rFonts w:hint="eastAsia"/>
          <w:color w:val="auto"/>
          <w:highlight w:val="none"/>
        </w:rPr>
        <w:t>快开时间</w:t>
      </w:r>
      <w:r>
        <w:rPr>
          <w:rFonts w:hint="eastAsia"/>
          <w:color w:val="auto"/>
          <w:highlight w:val="none"/>
        </w:rPr>
        <w:tab/>
      </w:r>
      <w:r>
        <w:rPr>
          <w:rFonts w:hint="eastAsia"/>
          <w:color w:val="auto"/>
          <w:highlight w:val="none"/>
        </w:rPr>
        <w:t>快开≤2s</w:t>
      </w:r>
    </w:p>
    <w:p w14:paraId="1646DBC6">
      <w:pPr>
        <w:pStyle w:val="106"/>
        <w:numPr>
          <w:ilvl w:val="0"/>
          <w:numId w:val="27"/>
        </w:numPr>
        <w:shd w:val="clear"/>
        <w:rPr>
          <w:color w:val="auto"/>
          <w:highlight w:val="none"/>
        </w:rPr>
      </w:pPr>
      <w:r>
        <w:rPr>
          <w:rFonts w:hint="eastAsia"/>
          <w:color w:val="auto"/>
          <w:highlight w:val="none"/>
        </w:rPr>
        <w:t>储气罐型号</w:t>
      </w:r>
      <w:r>
        <w:rPr>
          <w:rFonts w:hint="eastAsia"/>
          <w:color w:val="auto"/>
          <w:highlight w:val="none"/>
        </w:rPr>
        <w:tab/>
      </w:r>
      <w:r>
        <w:rPr>
          <w:rFonts w:hint="eastAsia"/>
          <w:color w:val="auto"/>
          <w:highlight w:val="none"/>
        </w:rPr>
        <w:t>DY02-17-531-00</w:t>
      </w:r>
    </w:p>
    <w:p w14:paraId="3D6428E3">
      <w:pPr>
        <w:pStyle w:val="106"/>
        <w:numPr>
          <w:ilvl w:val="0"/>
          <w:numId w:val="27"/>
        </w:numPr>
        <w:shd w:val="clear"/>
        <w:rPr>
          <w:color w:val="auto"/>
          <w:highlight w:val="none"/>
        </w:rPr>
      </w:pPr>
      <w:r>
        <w:rPr>
          <w:rFonts w:hint="eastAsia"/>
          <w:color w:val="auto"/>
          <w:highlight w:val="none"/>
        </w:rPr>
        <w:t>过滤减压阀</w:t>
      </w:r>
      <w:r>
        <w:rPr>
          <w:rFonts w:hint="eastAsia"/>
          <w:color w:val="auto"/>
          <w:highlight w:val="none"/>
        </w:rPr>
        <w:tab/>
      </w:r>
      <w:r>
        <w:rPr>
          <w:rFonts w:hint="eastAsia"/>
          <w:color w:val="auto"/>
          <w:highlight w:val="none"/>
        </w:rPr>
        <w:t>0.05—0.7MPA/＜60℃</w:t>
      </w:r>
    </w:p>
    <w:p w14:paraId="529694BC">
      <w:pPr>
        <w:pStyle w:val="106"/>
        <w:numPr>
          <w:ilvl w:val="0"/>
          <w:numId w:val="27"/>
        </w:numPr>
        <w:shd w:val="clear"/>
        <w:rPr>
          <w:color w:val="auto"/>
          <w:highlight w:val="none"/>
        </w:rPr>
      </w:pPr>
      <w:r>
        <w:rPr>
          <w:rFonts w:hint="eastAsia"/>
          <w:color w:val="auto"/>
          <w:highlight w:val="none"/>
        </w:rPr>
        <w:t>定位器</w:t>
      </w:r>
      <w:r>
        <w:rPr>
          <w:rFonts w:hint="eastAsia"/>
          <w:color w:val="auto"/>
          <w:highlight w:val="none"/>
        </w:rPr>
        <w:tab/>
      </w:r>
      <w:r>
        <w:rPr>
          <w:rFonts w:hint="eastAsia"/>
          <w:color w:val="auto"/>
          <w:highlight w:val="none"/>
        </w:rPr>
        <w:t>DVC6215</w:t>
      </w:r>
    </w:p>
    <w:p w14:paraId="5F89FAB2">
      <w:pPr>
        <w:pStyle w:val="106"/>
        <w:numPr>
          <w:ilvl w:val="0"/>
          <w:numId w:val="27"/>
        </w:numPr>
        <w:shd w:val="clear"/>
        <w:rPr>
          <w:color w:val="auto"/>
          <w:highlight w:val="none"/>
        </w:rPr>
      </w:pPr>
      <w:r>
        <w:rPr>
          <w:rFonts w:hint="eastAsia"/>
          <w:color w:val="auto"/>
          <w:highlight w:val="none"/>
        </w:rPr>
        <w:t>三通电磁阀</w:t>
      </w:r>
      <w:r>
        <w:rPr>
          <w:rFonts w:hint="eastAsia"/>
          <w:color w:val="auto"/>
          <w:highlight w:val="none"/>
        </w:rPr>
        <w:tab/>
      </w:r>
      <w:r>
        <w:rPr>
          <w:rFonts w:hint="eastAsia"/>
          <w:color w:val="auto"/>
          <w:highlight w:val="none"/>
        </w:rPr>
        <w:t>ASCO 24V DC</w:t>
      </w:r>
    </w:p>
    <w:p w14:paraId="23BF8DC8">
      <w:pPr>
        <w:pStyle w:val="106"/>
        <w:numPr>
          <w:ilvl w:val="0"/>
          <w:numId w:val="27"/>
        </w:numPr>
        <w:shd w:val="clear"/>
        <w:rPr>
          <w:color w:val="auto"/>
          <w:highlight w:val="none"/>
        </w:rPr>
      </w:pPr>
      <w:r>
        <w:rPr>
          <w:rFonts w:hint="eastAsia"/>
          <w:color w:val="auto"/>
          <w:highlight w:val="none"/>
        </w:rPr>
        <w:t>两通电磁阀</w:t>
      </w:r>
      <w:r>
        <w:rPr>
          <w:rFonts w:hint="eastAsia"/>
          <w:color w:val="auto"/>
          <w:highlight w:val="none"/>
        </w:rPr>
        <w:tab/>
      </w:r>
      <w:r>
        <w:rPr>
          <w:rFonts w:hint="eastAsia"/>
          <w:color w:val="auto"/>
          <w:highlight w:val="none"/>
        </w:rPr>
        <w:t>ASCO 24V DC</w:t>
      </w:r>
    </w:p>
    <w:p w14:paraId="4723D216">
      <w:pPr>
        <w:pStyle w:val="106"/>
        <w:numPr>
          <w:ilvl w:val="0"/>
          <w:numId w:val="27"/>
        </w:numPr>
        <w:shd w:val="clear"/>
        <w:rPr>
          <w:color w:val="auto"/>
          <w:highlight w:val="none"/>
        </w:rPr>
      </w:pPr>
      <w:r>
        <w:rPr>
          <w:rFonts w:hint="eastAsia"/>
          <w:color w:val="auto"/>
          <w:highlight w:val="none"/>
        </w:rPr>
        <w:t>多路转换器</w:t>
      </w:r>
      <w:r>
        <w:rPr>
          <w:rFonts w:hint="eastAsia"/>
          <w:color w:val="auto"/>
          <w:highlight w:val="none"/>
        </w:rPr>
        <w:tab/>
      </w:r>
      <w:r>
        <w:rPr>
          <w:rFonts w:hint="eastAsia"/>
          <w:color w:val="auto"/>
          <w:highlight w:val="none"/>
        </w:rPr>
        <w:t>377</w:t>
      </w:r>
    </w:p>
    <w:p w14:paraId="05A48AD5">
      <w:pPr>
        <w:pStyle w:val="106"/>
        <w:numPr>
          <w:ilvl w:val="0"/>
          <w:numId w:val="27"/>
        </w:numPr>
        <w:shd w:val="clear"/>
        <w:rPr>
          <w:color w:val="auto"/>
          <w:highlight w:val="none"/>
        </w:rPr>
      </w:pPr>
      <w:r>
        <w:rPr>
          <w:rFonts w:hint="eastAsia"/>
          <w:color w:val="auto"/>
          <w:highlight w:val="none"/>
        </w:rPr>
        <w:t>气动放大器</w:t>
      </w:r>
      <w:r>
        <w:rPr>
          <w:rFonts w:hint="eastAsia"/>
          <w:color w:val="auto"/>
          <w:highlight w:val="none"/>
        </w:rPr>
        <w:tab/>
      </w:r>
      <w:r>
        <w:rPr>
          <w:rFonts w:hint="eastAsia"/>
          <w:color w:val="auto"/>
          <w:highlight w:val="none"/>
        </w:rPr>
        <w:t>2625</w:t>
      </w:r>
    </w:p>
    <w:p w14:paraId="529DDC99">
      <w:pPr>
        <w:pStyle w:val="106"/>
        <w:numPr>
          <w:ilvl w:val="0"/>
          <w:numId w:val="27"/>
        </w:numPr>
        <w:shd w:val="clear"/>
        <w:rPr>
          <w:color w:val="auto"/>
          <w:highlight w:val="none"/>
        </w:rPr>
      </w:pPr>
      <w:r>
        <w:rPr>
          <w:rFonts w:hint="eastAsia"/>
          <w:color w:val="auto"/>
          <w:highlight w:val="none"/>
        </w:rPr>
        <w:t>快排阀</w:t>
      </w:r>
      <w:r>
        <w:rPr>
          <w:rFonts w:hint="eastAsia"/>
          <w:color w:val="auto"/>
          <w:highlight w:val="none"/>
        </w:rPr>
        <w:tab/>
      </w:r>
      <w:r>
        <w:rPr>
          <w:rFonts w:hint="eastAsia"/>
          <w:color w:val="auto"/>
          <w:highlight w:val="none"/>
        </w:rPr>
        <w:t>V1959</w:t>
      </w:r>
    </w:p>
    <w:p w14:paraId="57076B94">
      <w:pPr>
        <w:pStyle w:val="106"/>
        <w:numPr>
          <w:ilvl w:val="0"/>
          <w:numId w:val="27"/>
        </w:numPr>
        <w:shd w:val="clear"/>
        <w:rPr>
          <w:color w:val="auto"/>
          <w:highlight w:val="none"/>
        </w:rPr>
      </w:pPr>
      <w:r>
        <w:rPr>
          <w:rFonts w:hint="eastAsia"/>
          <w:color w:val="auto"/>
          <w:highlight w:val="none"/>
        </w:rPr>
        <w:t>定位器</w:t>
      </w:r>
      <w:r>
        <w:rPr>
          <w:rFonts w:hint="eastAsia"/>
          <w:color w:val="auto"/>
          <w:highlight w:val="none"/>
        </w:rPr>
        <w:tab/>
      </w:r>
      <w:r>
        <w:rPr>
          <w:rFonts w:hint="eastAsia"/>
          <w:color w:val="auto"/>
          <w:highlight w:val="none"/>
        </w:rPr>
        <w:t>DVC6200</w:t>
      </w:r>
    </w:p>
    <w:p w14:paraId="6F098D6B">
      <w:pPr>
        <w:pStyle w:val="106"/>
        <w:numPr>
          <w:ilvl w:val="0"/>
          <w:numId w:val="27"/>
        </w:numPr>
        <w:shd w:val="clear"/>
        <w:rPr>
          <w:color w:val="auto"/>
          <w:highlight w:val="none"/>
        </w:rPr>
      </w:pPr>
      <w:r>
        <w:rPr>
          <w:rFonts w:hint="eastAsia"/>
          <w:color w:val="auto"/>
          <w:highlight w:val="none"/>
        </w:rPr>
        <w:t>气动Fisher蝶阀调节</w:t>
      </w:r>
      <w:r>
        <w:rPr>
          <w:rFonts w:hint="eastAsia"/>
          <w:color w:val="auto"/>
          <w:highlight w:val="none"/>
        </w:rPr>
        <w:tab/>
      </w:r>
      <w:r>
        <w:rPr>
          <w:rFonts w:hint="eastAsia"/>
          <w:color w:val="auto"/>
          <w:highlight w:val="none"/>
        </w:rPr>
        <w:t>带HART协议 475可调</w:t>
      </w:r>
    </w:p>
    <w:p w14:paraId="1838D15C">
      <w:pPr>
        <w:pStyle w:val="106"/>
        <w:numPr>
          <w:ilvl w:val="0"/>
          <w:numId w:val="27"/>
        </w:numPr>
        <w:shd w:val="clear"/>
        <w:rPr>
          <w:color w:val="auto"/>
          <w:highlight w:val="none"/>
        </w:rPr>
      </w:pPr>
      <w:r>
        <w:rPr>
          <w:rFonts w:hint="eastAsia"/>
          <w:color w:val="auto"/>
          <w:highlight w:val="none"/>
        </w:rPr>
        <w:t>气动Fisher蝶阀执行机构</w:t>
      </w:r>
      <w:r>
        <w:rPr>
          <w:rFonts w:hint="eastAsia"/>
          <w:color w:val="auto"/>
          <w:highlight w:val="none"/>
        </w:rPr>
        <w:tab/>
      </w:r>
      <w:r>
        <w:rPr>
          <w:rFonts w:hint="eastAsia"/>
          <w:color w:val="auto"/>
          <w:highlight w:val="none"/>
        </w:rPr>
        <w:t>1061</w:t>
      </w:r>
    </w:p>
    <w:p w14:paraId="565512E1">
      <w:pPr>
        <w:pStyle w:val="106"/>
        <w:numPr>
          <w:ilvl w:val="0"/>
          <w:numId w:val="27"/>
        </w:numPr>
        <w:shd w:val="clear"/>
        <w:rPr>
          <w:color w:val="auto"/>
          <w:highlight w:val="none"/>
        </w:rPr>
      </w:pPr>
      <w:r>
        <w:rPr>
          <w:rFonts w:hint="eastAsia"/>
          <w:color w:val="auto"/>
          <w:highlight w:val="none"/>
        </w:rPr>
        <w:t>气动Fisher蝶阀本体</w:t>
      </w:r>
      <w:r>
        <w:rPr>
          <w:rFonts w:hint="eastAsia"/>
          <w:color w:val="auto"/>
          <w:highlight w:val="none"/>
        </w:rPr>
        <w:tab/>
      </w:r>
      <w:r>
        <w:rPr>
          <w:rFonts w:hint="eastAsia"/>
          <w:color w:val="auto"/>
          <w:highlight w:val="none"/>
        </w:rPr>
        <w:t>8592</w:t>
      </w:r>
    </w:p>
    <w:p w14:paraId="4CE1E07E">
      <w:pPr>
        <w:pStyle w:val="106"/>
        <w:numPr>
          <w:ilvl w:val="0"/>
          <w:numId w:val="27"/>
        </w:numPr>
        <w:shd w:val="clear"/>
        <w:rPr>
          <w:color w:val="auto"/>
          <w:highlight w:val="none"/>
        </w:rPr>
      </w:pPr>
      <w:r>
        <w:rPr>
          <w:rFonts w:hint="eastAsia"/>
          <w:color w:val="auto"/>
          <w:highlight w:val="none"/>
        </w:rPr>
        <w:t>连接管路</w:t>
      </w:r>
      <w:r>
        <w:rPr>
          <w:rFonts w:hint="eastAsia"/>
          <w:color w:val="auto"/>
          <w:highlight w:val="none"/>
        </w:rPr>
        <w:tab/>
      </w:r>
      <w:r>
        <w:rPr>
          <w:rFonts w:hint="eastAsia"/>
          <w:color w:val="auto"/>
          <w:highlight w:val="none"/>
        </w:rPr>
        <w:t>根据现场实际管径制作，气动Fisher蝶阀气缸与集成控制装置连接气源管路≥6米；耐压等级大于等于5MPa；集成控制箱内连接管路采用不锈钢；</w:t>
      </w:r>
    </w:p>
    <w:p w14:paraId="2284420D">
      <w:pPr>
        <w:pStyle w:val="106"/>
        <w:numPr>
          <w:ilvl w:val="0"/>
          <w:numId w:val="27"/>
        </w:numPr>
        <w:shd w:val="clear"/>
        <w:rPr>
          <w:color w:val="auto"/>
          <w:highlight w:val="none"/>
        </w:rPr>
      </w:pPr>
      <w:r>
        <w:rPr>
          <w:rFonts w:hint="eastAsia"/>
          <w:color w:val="auto"/>
          <w:highlight w:val="none"/>
        </w:rPr>
        <w:t>针形阀</w:t>
      </w:r>
      <w:r>
        <w:rPr>
          <w:rFonts w:hint="eastAsia"/>
          <w:color w:val="auto"/>
          <w:highlight w:val="none"/>
        </w:rPr>
        <w:tab/>
      </w:r>
      <w:r>
        <w:rPr>
          <w:rFonts w:hint="eastAsia"/>
          <w:color w:val="auto"/>
          <w:highlight w:val="none"/>
        </w:rPr>
        <w:t>根据实际接口安装,耐压等级大于等于5MPa；</w:t>
      </w:r>
    </w:p>
    <w:p w14:paraId="10EF1DCD">
      <w:pPr>
        <w:pStyle w:val="145"/>
        <w:shd w:val="clear"/>
        <w:rPr>
          <w:color w:val="auto"/>
          <w:highlight w:val="none"/>
        </w:rPr>
      </w:pPr>
      <w:bookmarkStart w:id="491" w:name="_Toc22131"/>
      <w:r>
        <w:rPr>
          <w:rFonts w:hint="eastAsia"/>
          <w:color w:val="auto"/>
          <w:highlight w:val="none"/>
        </w:rPr>
        <w:t>5.2.5 管道系统</w:t>
      </w:r>
      <w:bookmarkEnd w:id="491"/>
    </w:p>
    <w:p w14:paraId="1F527E60">
      <w:pPr>
        <w:pStyle w:val="74"/>
        <w:shd w:val="clear"/>
        <w:rPr>
          <w:rFonts w:hint="default" w:eastAsia="宋体"/>
          <w:color w:val="auto"/>
          <w:highlight w:val="none"/>
          <w:lang w:val="en-US" w:eastAsia="zh-CN"/>
        </w:rPr>
      </w:pPr>
      <w:r>
        <w:rPr>
          <w:rFonts w:hint="eastAsia"/>
          <w:color w:val="auto"/>
          <w:highlight w:val="none"/>
          <w:lang w:val="en-US" w:eastAsia="zh-CN"/>
        </w:rPr>
        <w:t>能源介质管道破损修复，并包镀锌铁皮0.5mm。</w:t>
      </w:r>
    </w:p>
    <w:p w14:paraId="2DCBF5EB">
      <w:pPr>
        <w:pStyle w:val="74"/>
        <w:shd w:val="clear"/>
        <w:rPr>
          <w:color w:val="auto"/>
          <w:highlight w:val="none"/>
        </w:rPr>
      </w:pPr>
      <w:r>
        <w:rPr>
          <w:rFonts w:hint="eastAsia"/>
          <w:color w:val="auto"/>
          <w:highlight w:val="none"/>
        </w:rPr>
        <w:t>中科建检测技术服务（河北）</w:t>
      </w:r>
      <w:r>
        <w:rPr>
          <w:color w:val="auto"/>
          <w:highlight w:val="none"/>
        </w:rPr>
        <w:t xml:space="preserve"> 有限公司</w:t>
      </w:r>
      <w:r>
        <w:rPr>
          <w:rFonts w:hint="eastAsia"/>
          <w:color w:val="auto"/>
          <w:highlight w:val="none"/>
        </w:rPr>
        <w:t>对冷风管道进行了现场检测，抽检报告结论如下：</w:t>
      </w:r>
    </w:p>
    <w:p w14:paraId="46A59732">
      <w:pPr>
        <w:pStyle w:val="106"/>
        <w:numPr>
          <w:ilvl w:val="0"/>
          <w:numId w:val="28"/>
        </w:numPr>
        <w:shd w:val="clear"/>
        <w:rPr>
          <w:color w:val="auto"/>
          <w:highlight w:val="none"/>
        </w:rPr>
      </w:pPr>
      <w:bookmarkStart w:id="492" w:name="_Hlk183002352"/>
      <w:r>
        <w:rPr>
          <w:color w:val="auto"/>
          <w:highlight w:val="none"/>
        </w:rPr>
        <w:t>所检钢管</w:t>
      </w:r>
      <w:bookmarkEnd w:id="492"/>
      <w:r>
        <w:rPr>
          <w:color w:val="auto"/>
          <w:highlight w:val="none"/>
        </w:rPr>
        <w:t>截面尺寸</w:t>
      </w:r>
      <w:r>
        <w:rPr>
          <w:rFonts w:hint="eastAsia"/>
          <w:color w:val="auto"/>
          <w:highlight w:val="none"/>
        </w:rPr>
        <w:t>显示直径均大于8</w:t>
      </w:r>
      <w:r>
        <w:rPr>
          <w:color w:val="auto"/>
          <w:highlight w:val="none"/>
        </w:rPr>
        <w:t>90mm,所检钢管</w:t>
      </w:r>
      <w:r>
        <w:rPr>
          <w:rFonts w:hint="eastAsia"/>
          <w:color w:val="auto"/>
          <w:highlight w:val="none"/>
        </w:rPr>
        <w:t>壁厚平均值为7</w:t>
      </w:r>
      <w:r>
        <w:rPr>
          <w:color w:val="auto"/>
          <w:highlight w:val="none"/>
        </w:rPr>
        <w:t>.5</w:t>
      </w:r>
      <w:r>
        <w:rPr>
          <w:rFonts w:hint="eastAsia"/>
          <w:color w:val="auto"/>
          <w:highlight w:val="none"/>
        </w:rPr>
        <w:t>~</w:t>
      </w:r>
      <w:r>
        <w:rPr>
          <w:color w:val="auto"/>
          <w:highlight w:val="none"/>
        </w:rPr>
        <w:t>8.0mm</w:t>
      </w:r>
      <w:r>
        <w:rPr>
          <w:rFonts w:hint="eastAsia"/>
          <w:color w:val="auto"/>
          <w:highlight w:val="none"/>
        </w:rPr>
        <w:t>，满足偏差规范偏差要求；</w:t>
      </w:r>
    </w:p>
    <w:p w14:paraId="0EC2157E">
      <w:pPr>
        <w:pStyle w:val="106"/>
        <w:numPr>
          <w:ilvl w:val="0"/>
          <w:numId w:val="28"/>
        </w:numPr>
        <w:shd w:val="clear"/>
        <w:rPr>
          <w:color w:val="auto"/>
          <w:highlight w:val="none"/>
        </w:rPr>
      </w:pPr>
      <w:r>
        <w:rPr>
          <w:rFonts w:cs="Arial"/>
          <w:bCs w:val="0"/>
          <w:color w:val="auto"/>
          <w:kern w:val="2"/>
          <w:sz w:val="22"/>
          <w:szCs w:val="22"/>
          <w:highlight w:val="none"/>
        </w:rPr>
        <w:t>所检钢管防腐涂层厚度</w:t>
      </w:r>
      <w:r>
        <w:rPr>
          <w:rFonts w:hint="eastAsia" w:cs="Arial"/>
          <w:bCs w:val="0"/>
          <w:color w:val="auto"/>
          <w:kern w:val="2"/>
          <w:sz w:val="22"/>
          <w:szCs w:val="22"/>
          <w:highlight w:val="none"/>
        </w:rPr>
        <w:t>平均值在1</w:t>
      </w:r>
      <w:r>
        <w:rPr>
          <w:rFonts w:cs="Arial"/>
          <w:bCs w:val="0"/>
          <w:color w:val="auto"/>
          <w:kern w:val="2"/>
          <w:sz w:val="22"/>
          <w:szCs w:val="22"/>
          <w:highlight w:val="none"/>
        </w:rPr>
        <w:t>58.3</w:t>
      </w:r>
      <w:r>
        <w:rPr>
          <w:rFonts w:hint="eastAsia" w:cs="Arial"/>
          <w:bCs w:val="0"/>
          <w:color w:val="auto"/>
          <w:kern w:val="2"/>
          <w:sz w:val="22"/>
          <w:szCs w:val="22"/>
          <w:highlight w:val="none"/>
        </w:rPr>
        <w:t>~</w:t>
      </w:r>
      <w:r>
        <w:rPr>
          <w:rFonts w:cs="Arial"/>
          <w:bCs w:val="0"/>
          <w:color w:val="auto"/>
          <w:kern w:val="2"/>
          <w:sz w:val="22"/>
          <w:szCs w:val="22"/>
          <w:highlight w:val="none"/>
        </w:rPr>
        <w:t>161.8</w:t>
      </w:r>
      <w:r>
        <w:rPr>
          <w:rFonts w:hint="eastAsia" w:cs="Arial"/>
          <w:bCs w:val="0"/>
          <w:color w:val="auto"/>
          <w:kern w:val="2"/>
          <w:sz w:val="22"/>
          <w:szCs w:val="22"/>
          <w:highlight w:val="none"/>
        </w:rPr>
        <w:t>μ</w:t>
      </w:r>
      <w:r>
        <w:rPr>
          <w:rFonts w:cs="Arial"/>
          <w:bCs w:val="0"/>
          <w:color w:val="auto"/>
          <w:kern w:val="2"/>
          <w:sz w:val="22"/>
          <w:szCs w:val="22"/>
          <w:highlight w:val="none"/>
        </w:rPr>
        <w:t>m</w:t>
      </w:r>
      <w:r>
        <w:rPr>
          <w:rFonts w:hint="eastAsia" w:cs="Arial"/>
          <w:bCs w:val="0"/>
          <w:color w:val="auto"/>
          <w:kern w:val="2"/>
          <w:sz w:val="22"/>
          <w:szCs w:val="22"/>
          <w:highlight w:val="none"/>
        </w:rPr>
        <w:t>之间</w:t>
      </w:r>
      <w:r>
        <w:rPr>
          <w:rFonts w:cs="Arial"/>
          <w:bCs w:val="0"/>
          <w:color w:val="auto"/>
          <w:kern w:val="2"/>
          <w:sz w:val="22"/>
          <w:szCs w:val="22"/>
          <w:highlight w:val="none"/>
        </w:rPr>
        <w:t>，不满足偏差规范偏差要求</w:t>
      </w:r>
      <w:r>
        <w:rPr>
          <w:rFonts w:hint="eastAsia" w:cs="Arial"/>
          <w:bCs w:val="0"/>
          <w:color w:val="auto"/>
          <w:kern w:val="2"/>
          <w:sz w:val="22"/>
          <w:szCs w:val="22"/>
          <w:highlight w:val="none"/>
        </w:rPr>
        <w:t>；</w:t>
      </w:r>
    </w:p>
    <w:p w14:paraId="0733D70B">
      <w:pPr>
        <w:pStyle w:val="106"/>
        <w:numPr>
          <w:ilvl w:val="0"/>
          <w:numId w:val="28"/>
        </w:numPr>
        <w:shd w:val="clear"/>
        <w:rPr>
          <w:color w:val="auto"/>
          <w:highlight w:val="none"/>
        </w:rPr>
      </w:pPr>
      <w:r>
        <w:rPr>
          <w:rFonts w:hint="eastAsia"/>
          <w:color w:val="auto"/>
          <w:highlight w:val="none"/>
        </w:rPr>
        <w:t>所检钢材抗拉强度推定值均</w:t>
      </w:r>
      <w:r>
        <w:rPr>
          <w:color w:val="auto"/>
          <w:highlight w:val="none"/>
        </w:rPr>
        <w:t>达到 Q235 强度；</w:t>
      </w:r>
    </w:p>
    <w:p w14:paraId="6CEFDAC1">
      <w:pPr>
        <w:pStyle w:val="106"/>
        <w:numPr>
          <w:ilvl w:val="0"/>
          <w:numId w:val="28"/>
        </w:numPr>
        <w:shd w:val="clear"/>
        <w:rPr>
          <w:color w:val="auto"/>
          <w:highlight w:val="none"/>
        </w:rPr>
      </w:pPr>
      <w:r>
        <w:rPr>
          <w:color w:val="auto"/>
          <w:highlight w:val="none"/>
        </w:rPr>
        <w:t>所检焊缝外观无缺陷，经超声波探伤检测，未发现超标缺陷</w:t>
      </w:r>
      <w:r>
        <w:rPr>
          <w:rFonts w:hint="eastAsia"/>
          <w:color w:val="auto"/>
          <w:highlight w:val="none"/>
        </w:rPr>
        <w:t>，</w:t>
      </w:r>
      <w:r>
        <w:rPr>
          <w:color w:val="auto"/>
          <w:highlight w:val="none"/>
        </w:rPr>
        <w:t>所测焊缝满足二级焊缝内部质量的要求；</w:t>
      </w:r>
    </w:p>
    <w:p w14:paraId="3D420F6C">
      <w:pPr>
        <w:pStyle w:val="74"/>
        <w:shd w:val="clear"/>
        <w:rPr>
          <w:color w:val="auto"/>
          <w:highlight w:val="none"/>
        </w:rPr>
      </w:pPr>
      <w:r>
        <w:rPr>
          <w:rFonts w:hint="eastAsia"/>
          <w:color w:val="auto"/>
          <w:highlight w:val="none"/>
        </w:rPr>
        <w:t>冷风管道长度约2</w:t>
      </w:r>
      <w:r>
        <w:rPr>
          <w:color w:val="auto"/>
          <w:highlight w:val="none"/>
        </w:rPr>
        <w:t>55</w:t>
      </w:r>
      <w:r>
        <w:rPr>
          <w:rFonts w:hint="eastAsia"/>
          <w:color w:val="auto"/>
          <w:highlight w:val="none"/>
        </w:rPr>
        <w:t>m</w:t>
      </w:r>
      <w:r>
        <w:rPr>
          <w:color w:val="auto"/>
          <w:highlight w:val="none"/>
        </w:rPr>
        <w:t>,</w:t>
      </w:r>
      <w:r>
        <w:rPr>
          <w:rFonts w:hint="eastAsia"/>
          <w:color w:val="auto"/>
          <w:highlight w:val="none"/>
        </w:rPr>
        <w:t>按照管道内径8</w:t>
      </w:r>
      <w:r>
        <w:rPr>
          <w:color w:val="auto"/>
          <w:highlight w:val="none"/>
        </w:rPr>
        <w:t>70mm</w:t>
      </w:r>
      <w:r>
        <w:rPr>
          <w:rFonts w:hint="eastAsia"/>
          <w:color w:val="auto"/>
          <w:highlight w:val="none"/>
        </w:rPr>
        <w:t>保守计算，风量</w:t>
      </w:r>
      <w:r>
        <w:rPr>
          <w:color w:val="auto"/>
          <w:sz w:val="21"/>
          <w:szCs w:val="21"/>
          <w:highlight w:val="none"/>
        </w:rPr>
        <w:t>2450</w:t>
      </w:r>
      <w:r>
        <w:rPr>
          <w:rFonts w:hint="eastAsia"/>
          <w:color w:val="auto"/>
          <w:sz w:val="21"/>
          <w:szCs w:val="21"/>
          <w:highlight w:val="none"/>
        </w:rPr>
        <w:t xml:space="preserve"> Nm</w:t>
      </w:r>
      <w:r>
        <w:rPr>
          <w:rFonts w:hint="eastAsia"/>
          <w:color w:val="auto"/>
          <w:sz w:val="21"/>
          <w:szCs w:val="21"/>
          <w:highlight w:val="none"/>
          <w:vertAlign w:val="superscript"/>
        </w:rPr>
        <w:t>3</w:t>
      </w:r>
      <w:r>
        <w:rPr>
          <w:rFonts w:hint="eastAsia"/>
          <w:color w:val="auto"/>
          <w:sz w:val="21"/>
          <w:szCs w:val="21"/>
          <w:highlight w:val="none"/>
        </w:rPr>
        <w:t>/min时的</w:t>
      </w:r>
      <w:r>
        <w:rPr>
          <w:rFonts w:hint="eastAsia"/>
          <w:color w:val="auto"/>
          <w:highlight w:val="none"/>
        </w:rPr>
        <w:t>压损约为</w:t>
      </w:r>
      <w:r>
        <w:rPr>
          <w:color w:val="auto"/>
          <w:highlight w:val="none"/>
        </w:rPr>
        <w:t>15</w:t>
      </w:r>
      <w:r>
        <w:rPr>
          <w:rFonts w:hint="eastAsia"/>
          <w:color w:val="auto"/>
          <w:highlight w:val="none"/>
        </w:rPr>
        <w:t>k</w:t>
      </w:r>
      <w:r>
        <w:rPr>
          <w:color w:val="auto"/>
          <w:highlight w:val="none"/>
        </w:rPr>
        <w:t>Pa</w:t>
      </w:r>
      <w:r>
        <w:rPr>
          <w:rFonts w:hint="eastAsia"/>
          <w:color w:val="auto"/>
          <w:highlight w:val="none"/>
        </w:rPr>
        <w:t>；</w:t>
      </w:r>
    </w:p>
    <w:p w14:paraId="203B41BB">
      <w:pPr>
        <w:pStyle w:val="74"/>
        <w:shd w:val="clear"/>
        <w:rPr>
          <w:color w:val="auto"/>
          <w:highlight w:val="none"/>
        </w:rPr>
      </w:pPr>
      <w:r>
        <w:rPr>
          <w:rFonts w:hint="eastAsia"/>
          <w:color w:val="auto"/>
          <w:highlight w:val="none"/>
        </w:rPr>
        <w:t>根据管道检测结论及阻损计算结果，管道系统可利旧。</w:t>
      </w:r>
    </w:p>
    <w:p w14:paraId="03EFE2E9">
      <w:pPr>
        <w:pStyle w:val="74"/>
        <w:shd w:val="clear"/>
        <w:rPr>
          <w:color w:val="auto"/>
          <w:highlight w:val="none"/>
        </w:rPr>
      </w:pPr>
      <w:r>
        <w:rPr>
          <w:rFonts w:hint="eastAsia"/>
          <w:color w:val="auto"/>
          <w:highlight w:val="none"/>
        </w:rPr>
        <w:t>鼓风机组防喘振放风管道系统维持现状。</w:t>
      </w:r>
    </w:p>
    <w:p w14:paraId="12F41D45">
      <w:pPr>
        <w:shd w:val="clear"/>
        <w:snapToGrid w:val="0"/>
        <w:ind w:firstLine="0" w:firstLineChars="0"/>
        <w:outlineLvl w:val="1"/>
        <w:rPr>
          <w:rFonts w:cs="Times New Roman"/>
          <w:b/>
          <w:color w:val="auto"/>
          <w:sz w:val="28"/>
          <w:szCs w:val="28"/>
          <w:highlight w:val="none"/>
        </w:rPr>
      </w:pPr>
      <w:bookmarkStart w:id="493" w:name="_Toc12789"/>
      <w:bookmarkStart w:id="494" w:name="_Toc15140"/>
      <w:bookmarkStart w:id="495" w:name="_Toc6952"/>
      <w:bookmarkStart w:id="496" w:name="_Toc25036"/>
      <w:bookmarkStart w:id="497" w:name="_Toc31312"/>
      <w:bookmarkStart w:id="498" w:name="_Toc21113"/>
      <w:r>
        <w:rPr>
          <w:rFonts w:hint="eastAsia" w:cs="Times New Roman"/>
          <w:b/>
          <w:color w:val="auto"/>
          <w:sz w:val="28"/>
          <w:szCs w:val="28"/>
          <w:highlight w:val="none"/>
        </w:rPr>
        <w:t xml:space="preserve">5.3 </w:t>
      </w:r>
      <w:r>
        <w:rPr>
          <w:rFonts w:cs="Times New Roman"/>
          <w:b/>
          <w:color w:val="auto"/>
          <w:sz w:val="28"/>
          <w:szCs w:val="28"/>
          <w:highlight w:val="none"/>
        </w:rPr>
        <w:t>压缩空气、蒸汽供应</w:t>
      </w:r>
      <w:bookmarkEnd w:id="493"/>
      <w:bookmarkEnd w:id="494"/>
      <w:bookmarkEnd w:id="495"/>
      <w:bookmarkEnd w:id="496"/>
      <w:bookmarkEnd w:id="497"/>
      <w:bookmarkEnd w:id="498"/>
    </w:p>
    <w:p w14:paraId="36E8EFF1">
      <w:pPr>
        <w:shd w:val="clear"/>
        <w:snapToGrid w:val="0"/>
        <w:ind w:firstLine="0" w:firstLineChars="0"/>
        <w:outlineLvl w:val="2"/>
        <w:rPr>
          <w:rFonts w:cs="Times New Roman"/>
          <w:color w:val="auto"/>
          <w:szCs w:val="28"/>
          <w:highlight w:val="none"/>
        </w:rPr>
      </w:pPr>
      <w:bookmarkStart w:id="499" w:name="_Toc28465"/>
      <w:r>
        <w:rPr>
          <w:rFonts w:hint="eastAsia" w:cs="Times New Roman"/>
          <w:color w:val="auto"/>
          <w:szCs w:val="28"/>
          <w:highlight w:val="none"/>
        </w:rPr>
        <w:t xml:space="preserve">5.3.1 </w:t>
      </w:r>
      <w:r>
        <w:rPr>
          <w:rFonts w:cs="Times New Roman"/>
          <w:color w:val="auto"/>
          <w:szCs w:val="28"/>
          <w:highlight w:val="none"/>
        </w:rPr>
        <w:t>压缩空气供应</w:t>
      </w:r>
      <w:bookmarkEnd w:id="499"/>
    </w:p>
    <w:p w14:paraId="34B732DC">
      <w:pPr>
        <w:pStyle w:val="74"/>
        <w:shd w:val="clear"/>
        <w:jc w:val="both"/>
        <w:rPr>
          <w:color w:val="auto"/>
          <w:highlight w:val="none"/>
        </w:rPr>
      </w:pPr>
      <w:r>
        <w:rPr>
          <w:rFonts w:hint="eastAsia"/>
          <w:color w:val="auto"/>
          <w:highlight w:val="none"/>
        </w:rPr>
        <w:t>根据可研方案，本工程新增环境除尘气力输灰系统。经核算，新增环境除尘气力输灰系统后，2号高炉压缩空气综合耗量将增加6</w:t>
      </w:r>
      <w:r>
        <w:rPr>
          <w:color w:val="auto"/>
          <w:highlight w:val="none"/>
        </w:rPr>
        <w:t>8Nm</w:t>
      </w:r>
      <w:r>
        <w:rPr>
          <w:color w:val="auto"/>
          <w:highlight w:val="none"/>
          <w:vertAlign w:val="superscript"/>
        </w:rPr>
        <w:t>3</w:t>
      </w:r>
      <w:r>
        <w:rPr>
          <w:color w:val="auto"/>
          <w:highlight w:val="none"/>
        </w:rPr>
        <w:t>/min</w:t>
      </w:r>
      <w:r>
        <w:rPr>
          <w:rFonts w:hint="eastAsia"/>
          <w:color w:val="auto"/>
          <w:highlight w:val="none"/>
        </w:rPr>
        <w:t>。考虑1号高炉超低排放改造及大修项目初步设计中实施后增加的34.3</w:t>
      </w:r>
      <w:r>
        <w:rPr>
          <w:color w:val="auto"/>
          <w:highlight w:val="none"/>
        </w:rPr>
        <w:t>Nm</w:t>
      </w:r>
      <w:r>
        <w:rPr>
          <w:color w:val="auto"/>
          <w:highlight w:val="none"/>
          <w:vertAlign w:val="superscript"/>
        </w:rPr>
        <w:t>3</w:t>
      </w:r>
      <w:r>
        <w:rPr>
          <w:color w:val="auto"/>
          <w:highlight w:val="none"/>
        </w:rPr>
        <w:t>/min</w:t>
      </w:r>
      <w:r>
        <w:rPr>
          <w:rFonts w:hint="eastAsia"/>
          <w:color w:val="auto"/>
          <w:highlight w:val="none"/>
        </w:rPr>
        <w:t>气耗，届时现有的空压机站将无法保供。</w:t>
      </w:r>
    </w:p>
    <w:p w14:paraId="7D28A314">
      <w:pPr>
        <w:pStyle w:val="74"/>
        <w:shd w:val="clear"/>
        <w:jc w:val="both"/>
        <w:rPr>
          <w:color w:val="auto"/>
          <w:highlight w:val="none"/>
        </w:rPr>
      </w:pPr>
      <w:r>
        <w:rPr>
          <w:rFonts w:hint="eastAsia"/>
          <w:color w:val="auto"/>
          <w:highlight w:val="none"/>
        </w:rPr>
        <w:t>经过方案对比，取消2号高炉优化升级及超低排放改造项目中环境除尘的气力输灰系统，改用刮板机和罐车输灰。参考1号高炉改造后除尘灰量，预计2号高炉每天运输除尘灰约</w:t>
      </w:r>
      <w:r>
        <w:rPr>
          <w:color w:val="auto"/>
          <w:highlight w:val="none"/>
        </w:rPr>
        <w:t>5车</w:t>
      </w:r>
      <w:r>
        <w:rPr>
          <w:rFonts w:hint="eastAsia"/>
          <w:color w:val="auto"/>
          <w:highlight w:val="none"/>
        </w:rPr>
        <w:t>。</w:t>
      </w:r>
      <w:r>
        <w:rPr>
          <w:color w:val="auto"/>
          <w:highlight w:val="none"/>
        </w:rPr>
        <w:t>1台罐车每天运输时间450-500分钟，需增加1台罐车。同时考虑罐车故障及检修维护，需增加1台罐车作为备用。因此需要在2号高炉优化升级及超低排放改造项目中增加采购2台罐车</w:t>
      </w:r>
      <w:r>
        <w:rPr>
          <w:rFonts w:hint="eastAsia"/>
          <w:color w:val="auto"/>
          <w:highlight w:val="none"/>
        </w:rPr>
        <w:t>。</w:t>
      </w:r>
    </w:p>
    <w:p w14:paraId="6953D42F">
      <w:pPr>
        <w:pStyle w:val="74"/>
        <w:shd w:val="clear"/>
        <w:jc w:val="both"/>
        <w:rPr>
          <w:color w:val="auto"/>
          <w:highlight w:val="none"/>
        </w:rPr>
      </w:pPr>
      <w:r>
        <w:rPr>
          <w:rFonts w:hint="eastAsia"/>
          <w:color w:val="auto"/>
          <w:highlight w:val="none"/>
        </w:rPr>
        <w:t>照此方案，2号高炉改造完成出铁场除尘器新增压缩空气用量约5Nm</w:t>
      </w:r>
      <w:r>
        <w:rPr>
          <w:rFonts w:hint="eastAsia"/>
          <w:color w:val="auto"/>
          <w:highlight w:val="none"/>
          <w:vertAlign w:val="superscript"/>
        </w:rPr>
        <w:t>3</w:t>
      </w:r>
      <w:r>
        <w:rPr>
          <w:rFonts w:hint="eastAsia"/>
          <w:color w:val="auto"/>
          <w:highlight w:val="none"/>
        </w:rPr>
        <w:t>/min，</w:t>
      </w:r>
      <w:bookmarkStart w:id="500" w:name="_Hlk185854899"/>
      <w:r>
        <w:rPr>
          <w:rFonts w:hint="eastAsia"/>
          <w:color w:val="auto"/>
          <w:highlight w:val="none"/>
        </w:rPr>
        <w:t>2号高炉热风炉烟气脱硫</w:t>
      </w:r>
      <w:bookmarkEnd w:id="500"/>
      <w:r>
        <w:rPr>
          <w:rFonts w:hint="eastAsia"/>
          <w:color w:val="auto"/>
          <w:highlight w:val="none"/>
        </w:rPr>
        <w:t>系统</w:t>
      </w:r>
      <w:r>
        <w:rPr>
          <w:color w:val="auto"/>
          <w:highlight w:val="none"/>
        </w:rPr>
        <w:t>卸料用单体除尘器</w:t>
      </w:r>
      <w:r>
        <w:rPr>
          <w:rFonts w:hint="eastAsia"/>
          <w:color w:val="auto"/>
          <w:highlight w:val="none"/>
        </w:rPr>
        <w:t>新增压缩空气</w:t>
      </w:r>
      <w:r>
        <w:rPr>
          <w:color w:val="auto"/>
          <w:highlight w:val="none"/>
        </w:rPr>
        <w:t>1</w:t>
      </w:r>
      <w:r>
        <w:rPr>
          <w:rFonts w:hint="eastAsia"/>
          <w:color w:val="auto"/>
          <w:highlight w:val="none"/>
        </w:rPr>
        <w:t>Nm</w:t>
      </w:r>
      <w:r>
        <w:rPr>
          <w:rFonts w:hint="eastAsia"/>
          <w:color w:val="auto"/>
          <w:highlight w:val="none"/>
          <w:vertAlign w:val="superscript"/>
        </w:rPr>
        <w:t>3</w:t>
      </w:r>
      <w:r>
        <w:rPr>
          <w:rFonts w:hint="eastAsia"/>
          <w:color w:val="auto"/>
          <w:highlight w:val="none"/>
        </w:rPr>
        <w:t>/min（仅卸料时使用）。综合考虑零星仪表吹扫等，2号高炉改造完成后，整体新增压缩空气用量约</w:t>
      </w:r>
      <w:r>
        <w:rPr>
          <w:color w:val="auto"/>
          <w:highlight w:val="none"/>
        </w:rPr>
        <w:t>7</w:t>
      </w:r>
      <w:r>
        <w:rPr>
          <w:rFonts w:hint="eastAsia"/>
          <w:color w:val="auto"/>
          <w:highlight w:val="none"/>
        </w:rPr>
        <w:t>Nm</w:t>
      </w:r>
      <w:r>
        <w:rPr>
          <w:rFonts w:hint="eastAsia"/>
          <w:color w:val="auto"/>
          <w:highlight w:val="none"/>
          <w:vertAlign w:val="superscript"/>
        </w:rPr>
        <w:t>3</w:t>
      </w:r>
      <w:r>
        <w:rPr>
          <w:rFonts w:hint="eastAsia"/>
          <w:color w:val="auto"/>
          <w:highlight w:val="none"/>
        </w:rPr>
        <w:t>/min。</w:t>
      </w:r>
    </w:p>
    <w:p w14:paraId="624D5411">
      <w:pPr>
        <w:pStyle w:val="74"/>
        <w:shd w:val="clear"/>
        <w:jc w:val="both"/>
        <w:rPr>
          <w:color w:val="auto"/>
          <w:highlight w:val="none"/>
        </w:rPr>
      </w:pPr>
      <w:r>
        <w:rPr>
          <w:rFonts w:hint="eastAsia"/>
          <w:color w:val="auto"/>
          <w:highlight w:val="none"/>
        </w:rPr>
        <w:t>除新建设施供气外，需额外考虑以下区域压缩空气管道：</w:t>
      </w:r>
    </w:p>
    <w:p w14:paraId="528E6765">
      <w:pPr>
        <w:pStyle w:val="74"/>
        <w:shd w:val="clear"/>
        <w:ind w:left="426" w:firstLine="0" w:firstLineChars="0"/>
        <w:jc w:val="both"/>
        <w:rPr>
          <w:color w:val="auto"/>
          <w:highlight w:val="none"/>
        </w:rPr>
      </w:pPr>
      <w:r>
        <w:rPr>
          <w:color w:val="auto"/>
          <w:highlight w:val="none"/>
        </w:rPr>
        <w:t>1).</w:t>
      </w:r>
      <w:r>
        <w:rPr>
          <w:rFonts w:hint="eastAsia"/>
          <w:color w:val="auto"/>
          <w:highlight w:val="none"/>
        </w:rPr>
        <w:t>新建烧结区域环境除尘吸排罐车接口旁边设置一路压缩空气管道，管径DN100，接口处设置法兰截止阀。</w:t>
      </w:r>
    </w:p>
    <w:p w14:paraId="62BF5376">
      <w:pPr>
        <w:pStyle w:val="74"/>
        <w:shd w:val="clear"/>
        <w:jc w:val="both"/>
        <w:rPr>
          <w:color w:val="auto"/>
          <w:highlight w:val="none"/>
        </w:rPr>
      </w:pPr>
      <w:r>
        <w:rPr>
          <w:color w:val="auto"/>
          <w:highlight w:val="none"/>
        </w:rPr>
        <w:t>新增出铁场及矿焦槽除尘用压缩空气均接自原址除尘器用气接口。</w:t>
      </w:r>
      <w:r>
        <w:rPr>
          <w:rFonts w:hint="eastAsia"/>
          <w:color w:val="auto"/>
          <w:highlight w:val="none"/>
        </w:rPr>
        <w:t>其余压缩空气管道均就近接引至内部管网，管道沿大管道或钢结构架空敷设至压缩空气用户，压缩空气管道采用自然补偿，压缩空气管材采用</w:t>
      </w:r>
      <w:r>
        <w:rPr>
          <w:color w:val="auto"/>
          <w:highlight w:val="none"/>
        </w:rPr>
        <w:t>20钢</w:t>
      </w:r>
      <w:r>
        <w:rPr>
          <w:rFonts w:hint="eastAsia"/>
          <w:color w:val="auto"/>
          <w:highlight w:val="none"/>
        </w:rPr>
        <w:t>内外</w:t>
      </w:r>
      <w:r>
        <w:rPr>
          <w:color w:val="auto"/>
          <w:highlight w:val="none"/>
        </w:rPr>
        <w:t>镀锌无缝钢管</w:t>
      </w:r>
      <w:r>
        <w:rPr>
          <w:rFonts w:hint="eastAsia"/>
          <w:color w:val="auto"/>
          <w:highlight w:val="none"/>
        </w:rPr>
        <w:t>（G</w:t>
      </w:r>
      <w:r>
        <w:rPr>
          <w:color w:val="auto"/>
          <w:highlight w:val="none"/>
        </w:rPr>
        <w:t>B/T8163-2018）</w:t>
      </w:r>
      <w:r>
        <w:rPr>
          <w:rFonts w:hint="eastAsia"/>
          <w:color w:val="auto"/>
          <w:highlight w:val="none"/>
        </w:rPr>
        <w:t>。</w:t>
      </w:r>
    </w:p>
    <w:p w14:paraId="221DF834">
      <w:pPr>
        <w:shd w:val="clear"/>
        <w:snapToGrid w:val="0"/>
        <w:ind w:firstLine="0" w:firstLineChars="0"/>
        <w:outlineLvl w:val="2"/>
        <w:rPr>
          <w:rFonts w:cs="宋体"/>
          <w:color w:val="auto"/>
          <w:highlight w:val="none"/>
        </w:rPr>
      </w:pPr>
      <w:r>
        <w:rPr>
          <w:rFonts w:hint="eastAsia" w:cs="宋体"/>
          <w:color w:val="auto"/>
          <w:highlight w:val="none"/>
        </w:rPr>
        <w:t>5.3.2 压缩空气用量说明</w:t>
      </w:r>
    </w:p>
    <w:p w14:paraId="72CC7DBF">
      <w:pPr>
        <w:pStyle w:val="74"/>
        <w:shd w:val="clear"/>
        <w:rPr>
          <w:rFonts w:cs="宋体"/>
          <w:color w:val="auto"/>
          <w:szCs w:val="24"/>
          <w:highlight w:val="none"/>
        </w:rPr>
      </w:pPr>
      <w:r>
        <w:rPr>
          <w:rFonts w:cs="宋体"/>
          <w:color w:val="auto"/>
          <w:szCs w:val="24"/>
          <w:highlight w:val="none"/>
        </w:rPr>
        <w:t>1.1号高炉超低排放改造及大修项目初步设计中实施后，压缩空气用量增加34.3m3/min，2号高炉优化升级及超低排放改造项目</w:t>
      </w:r>
      <w:r>
        <w:rPr>
          <w:rFonts w:hint="eastAsia" w:cs="宋体"/>
          <w:color w:val="auto"/>
          <w:szCs w:val="24"/>
          <w:highlight w:val="none"/>
        </w:rPr>
        <w:t>原</w:t>
      </w:r>
      <w:r>
        <w:rPr>
          <w:rFonts w:cs="宋体"/>
          <w:color w:val="auto"/>
          <w:szCs w:val="24"/>
          <w:highlight w:val="none"/>
        </w:rPr>
        <w:t>初步设计中压缩空气耗量68Nm3/min。合计增加压缩空气用量102.5Nm3/min。</w:t>
      </w:r>
      <w:r>
        <w:rPr>
          <w:rFonts w:hint="eastAsia" w:cs="宋体"/>
          <w:color w:val="auto"/>
          <w:szCs w:val="24"/>
          <w:highlight w:val="none"/>
        </w:rPr>
        <w:t>动力厂反馈目前压缩空气供应量不足，无法满足改造后压缩空气供应。</w:t>
      </w:r>
    </w:p>
    <w:p w14:paraId="66320D8C">
      <w:pPr>
        <w:pStyle w:val="74"/>
        <w:shd w:val="clear"/>
        <w:rPr>
          <w:rFonts w:cs="宋体"/>
          <w:color w:val="auto"/>
          <w:szCs w:val="24"/>
          <w:highlight w:val="none"/>
        </w:rPr>
      </w:pPr>
      <w:r>
        <w:rPr>
          <w:rFonts w:cs="宋体"/>
          <w:color w:val="auto"/>
          <w:szCs w:val="24"/>
          <w:highlight w:val="none"/>
        </w:rPr>
        <w:t>2.通过咨询动力厂在3#空压站能够增加2台200Nm3/min空压机位置，其中一台已在储运部物料运输超低排放改造项目增加1台200Nm3/min空压机位置，储运部项目目前处于可研阶段。目前仍有1台空压机安装位置。</w:t>
      </w:r>
    </w:p>
    <w:p w14:paraId="7627D0C4">
      <w:pPr>
        <w:shd w:val="clear"/>
        <w:snapToGrid w:val="0"/>
        <w:ind w:firstLine="0" w:firstLineChars="0"/>
        <w:outlineLvl w:val="2"/>
        <w:rPr>
          <w:rFonts w:cs="宋体"/>
          <w:color w:val="auto"/>
          <w:highlight w:val="none"/>
        </w:rPr>
      </w:pPr>
      <w:r>
        <w:rPr>
          <w:rFonts w:hint="eastAsia" w:cs="宋体"/>
          <w:color w:val="auto"/>
          <w:highlight w:val="none"/>
        </w:rPr>
        <w:t>5.3.3</w:t>
      </w:r>
      <w:r>
        <w:rPr>
          <w:rFonts w:cs="宋体"/>
          <w:color w:val="auto"/>
          <w:highlight w:val="none"/>
        </w:rPr>
        <w:t>处理</w:t>
      </w:r>
      <w:r>
        <w:rPr>
          <w:rFonts w:cs="Times New Roman"/>
          <w:color w:val="auto"/>
          <w:szCs w:val="28"/>
          <w:highlight w:val="none"/>
        </w:rPr>
        <w:t>方案</w:t>
      </w:r>
    </w:p>
    <w:p w14:paraId="242F609A">
      <w:pPr>
        <w:pStyle w:val="74"/>
        <w:shd w:val="clear"/>
        <w:rPr>
          <w:rFonts w:cs="宋体"/>
          <w:color w:val="auto"/>
          <w:szCs w:val="24"/>
          <w:highlight w:val="none"/>
        </w:rPr>
      </w:pPr>
      <w:r>
        <w:rPr>
          <w:rFonts w:cs="宋体"/>
          <w:color w:val="auto"/>
          <w:szCs w:val="24"/>
          <w:highlight w:val="none"/>
        </w:rPr>
        <w:t>方案1：1号高炉、2号高炉项目实施后增加压缩空气用量102.5Nm3/min，动力反馈压缩空气用量无法进行保供，需在3#空压站增加1台200Nm3/min空压机及2台配套冷却</w:t>
      </w:r>
      <w:r>
        <w:rPr>
          <w:rFonts w:hint="eastAsia" w:cs="宋体"/>
          <w:color w:val="auto"/>
          <w:szCs w:val="24"/>
          <w:highlight w:val="none"/>
          <w:lang w:val="en-US" w:eastAsia="zh-CN"/>
        </w:rPr>
        <w:t>设施</w:t>
      </w:r>
      <w:r>
        <w:rPr>
          <w:rFonts w:cs="宋体"/>
          <w:color w:val="auto"/>
          <w:szCs w:val="24"/>
          <w:highlight w:val="none"/>
        </w:rPr>
        <w:t>，通过咨询储运部物料运输超低排放改造项目可研情况，预计投资增加650万元左右。</w:t>
      </w:r>
    </w:p>
    <w:p w14:paraId="47018B75">
      <w:pPr>
        <w:pStyle w:val="74"/>
        <w:shd w:val="clear"/>
        <w:rPr>
          <w:rFonts w:cs="宋体"/>
          <w:color w:val="auto"/>
          <w:szCs w:val="24"/>
          <w:highlight w:val="none"/>
        </w:rPr>
      </w:pPr>
      <w:r>
        <w:rPr>
          <w:rFonts w:cs="宋体"/>
          <w:color w:val="auto"/>
          <w:szCs w:val="24"/>
          <w:highlight w:val="none"/>
        </w:rPr>
        <w:t>方案2:2号高炉优化升级及超低排放改造项目中，取消2号高炉环境除尘系统气力输灰系统，使用罐车运输，仅出铁场除尘器风量由75万m3增加至120万m3新增压缩空气用量约5Nm3/min。参考1号高炉改造后除尘灰量，预计2号高炉矿槽除尘30t/d、地沟除尘50t/d、出铁场除尘20t/d、4#矿槽除尘40t/d。按照目前新3号高炉配备3台罐车，在增加1号高炉重力除尘器灰量每天50t左右、2号高炉重力除尘器灰量每天45t左右运输量后。3台罐车左右时间为540-600分钟，且没有备用罐车。</w:t>
      </w:r>
    </w:p>
    <w:p w14:paraId="5918BA9A">
      <w:pPr>
        <w:pStyle w:val="74"/>
        <w:shd w:val="clear"/>
        <w:rPr>
          <w:rFonts w:cs="宋体"/>
          <w:color w:val="auto"/>
          <w:szCs w:val="24"/>
          <w:highlight w:val="none"/>
        </w:rPr>
      </w:pPr>
      <w:r>
        <w:rPr>
          <w:rFonts w:cs="宋体"/>
          <w:color w:val="auto"/>
          <w:szCs w:val="24"/>
          <w:highlight w:val="none"/>
        </w:rPr>
        <w:t>新增2号高炉每天运输除尘灰约5车，1台罐车每天运输时间450-500分钟，需增加1台罐车。同时考虑罐车故障及检修维护，需增加1台罐车作为备用。因此需要在2号高炉优化升级及超低排放改造项目中增加采购2台罐车，新建烧结机2个除尘灰仓增加进气管道及阀门，取消气力输灰，总体投资费用不增加。</w:t>
      </w:r>
    </w:p>
    <w:p w14:paraId="3040907D">
      <w:pPr>
        <w:pStyle w:val="74"/>
        <w:shd w:val="clear"/>
        <w:rPr>
          <w:rFonts w:cs="宋体"/>
          <w:color w:val="auto"/>
          <w:szCs w:val="24"/>
          <w:highlight w:val="none"/>
        </w:rPr>
      </w:pPr>
      <w:r>
        <w:rPr>
          <w:rFonts w:cs="宋体"/>
          <w:color w:val="auto"/>
          <w:szCs w:val="24"/>
          <w:highlight w:val="none"/>
        </w:rPr>
        <w:t>综合比较二个方案，在2号高炉优化升级及超低排放改造项目中增加采购2台罐车，新建烧结机2个除尘灰仓增加进气管道及阀门</w:t>
      </w:r>
      <w:r>
        <w:rPr>
          <w:rFonts w:hint="eastAsia" w:cs="宋体"/>
          <w:color w:val="auto"/>
          <w:szCs w:val="24"/>
          <w:highlight w:val="none"/>
        </w:rPr>
        <w:t>，</w:t>
      </w:r>
      <w:r>
        <w:rPr>
          <w:rFonts w:cs="宋体"/>
          <w:color w:val="auto"/>
          <w:szCs w:val="24"/>
          <w:highlight w:val="none"/>
        </w:rPr>
        <w:t>取消气力输灰。</w:t>
      </w:r>
    </w:p>
    <w:p w14:paraId="01397F1B">
      <w:pPr>
        <w:shd w:val="clear"/>
        <w:snapToGrid w:val="0"/>
        <w:ind w:firstLine="0" w:firstLineChars="0"/>
        <w:outlineLvl w:val="2"/>
        <w:rPr>
          <w:rFonts w:cs="Times New Roman"/>
          <w:color w:val="auto"/>
          <w:szCs w:val="28"/>
          <w:highlight w:val="none"/>
        </w:rPr>
      </w:pPr>
      <w:r>
        <w:rPr>
          <w:rFonts w:hint="eastAsia" w:cs="Times New Roman"/>
          <w:color w:val="auto"/>
          <w:szCs w:val="28"/>
          <w:highlight w:val="none"/>
        </w:rPr>
        <w:t>5.3.4 蒸汽</w:t>
      </w:r>
      <w:r>
        <w:rPr>
          <w:rFonts w:cs="宋体"/>
          <w:color w:val="auto"/>
          <w:highlight w:val="none"/>
        </w:rPr>
        <w:t>供应</w:t>
      </w:r>
    </w:p>
    <w:p w14:paraId="35A5925C">
      <w:pPr>
        <w:pStyle w:val="74"/>
        <w:shd w:val="clear"/>
        <w:rPr>
          <w:color w:val="auto"/>
          <w:szCs w:val="21"/>
          <w:highlight w:val="none"/>
        </w:rPr>
      </w:pPr>
      <w:bookmarkStart w:id="501" w:name="_Toc27870"/>
      <w:bookmarkStart w:id="502" w:name="_Toc14384"/>
      <w:bookmarkStart w:id="503" w:name="_Toc8947"/>
      <w:r>
        <w:rPr>
          <w:rFonts w:hint="eastAsia"/>
          <w:color w:val="auto"/>
          <w:highlight w:val="none"/>
        </w:rPr>
        <w:t>本改造工程，主要新增用户为</w:t>
      </w:r>
      <w:r>
        <w:rPr>
          <w:rFonts w:hint="eastAsia"/>
          <w:color w:val="auto"/>
          <w:szCs w:val="21"/>
          <w:highlight w:val="none"/>
        </w:rPr>
        <w:t>1#、2#重力除尘器新增气力输灰系统新建灰仓保温用汽、</w:t>
      </w:r>
      <w:r>
        <w:rPr>
          <w:rFonts w:hint="eastAsia"/>
          <w:color w:val="auto"/>
          <w:highlight w:val="none"/>
        </w:rPr>
        <w:t>均压煤气回收筒体灰斗伴热用蒸汽及润滑管道伴热用蒸汽</w:t>
      </w:r>
      <w:r>
        <w:rPr>
          <w:rFonts w:hint="eastAsia"/>
          <w:color w:val="auto"/>
          <w:szCs w:val="21"/>
          <w:highlight w:val="none"/>
        </w:rPr>
        <w:t>：</w:t>
      </w:r>
    </w:p>
    <w:p w14:paraId="7EFB6CDD">
      <w:pPr>
        <w:pStyle w:val="74"/>
        <w:shd w:val="clear"/>
        <w:rPr>
          <w:color w:val="auto"/>
          <w:highlight w:val="none"/>
        </w:rPr>
      </w:pPr>
      <w:r>
        <w:rPr>
          <w:rFonts w:hint="eastAsia"/>
          <w:color w:val="auto"/>
          <w:highlight w:val="none"/>
        </w:rPr>
        <w:t>饱和蒸汽：压力0.6</w:t>
      </w:r>
      <w:r>
        <w:rPr>
          <w:color w:val="auto"/>
          <w:highlight w:val="none"/>
        </w:rPr>
        <w:t>~0.8</w:t>
      </w:r>
      <w:r>
        <w:rPr>
          <w:rFonts w:hint="eastAsia"/>
          <w:color w:val="auto"/>
          <w:highlight w:val="none"/>
        </w:rPr>
        <w:t>MPa，新增最大耗量：~0.</w:t>
      </w:r>
      <w:r>
        <w:rPr>
          <w:color w:val="auto"/>
          <w:highlight w:val="none"/>
        </w:rPr>
        <w:t>8</w:t>
      </w:r>
      <w:r>
        <w:rPr>
          <w:rFonts w:hint="eastAsia"/>
          <w:color w:val="auto"/>
          <w:highlight w:val="none"/>
        </w:rPr>
        <w:t>t/h，连续使用。</w:t>
      </w:r>
    </w:p>
    <w:p w14:paraId="466830FC">
      <w:pPr>
        <w:pStyle w:val="74"/>
        <w:shd w:val="clear"/>
        <w:rPr>
          <w:color w:val="auto"/>
          <w:highlight w:val="none"/>
        </w:rPr>
      </w:pPr>
      <w:r>
        <w:rPr>
          <w:rFonts w:hint="eastAsia"/>
          <w:color w:val="auto"/>
          <w:highlight w:val="none"/>
        </w:rPr>
        <w:t>蒸汽接自就近内部蒸汽管网，管道沿现有支架或管道架设，采用自然补偿或П型补偿。管道采用2</w:t>
      </w:r>
      <w:r>
        <w:rPr>
          <w:color w:val="auto"/>
          <w:highlight w:val="none"/>
        </w:rPr>
        <w:t>0</w:t>
      </w:r>
      <w:r>
        <w:rPr>
          <w:rFonts w:hint="eastAsia"/>
          <w:color w:val="auto"/>
          <w:highlight w:val="none"/>
        </w:rPr>
        <w:t>钢无缝钢管（G</w:t>
      </w:r>
      <w:r>
        <w:rPr>
          <w:color w:val="auto"/>
          <w:highlight w:val="none"/>
        </w:rPr>
        <w:t>B/T8163-2018）</w:t>
      </w:r>
      <w:r>
        <w:rPr>
          <w:rFonts w:hint="eastAsia"/>
          <w:color w:val="auto"/>
          <w:highlight w:val="none"/>
        </w:rPr>
        <w:t>。蒸汽管道保温材选用岩棉，保护层采用镀锌铁皮结构形式。</w:t>
      </w:r>
    </w:p>
    <w:bookmarkEnd w:id="501"/>
    <w:bookmarkEnd w:id="502"/>
    <w:bookmarkEnd w:id="503"/>
    <w:p w14:paraId="3DFE1B80">
      <w:pPr>
        <w:shd w:val="clear"/>
        <w:spacing w:line="312" w:lineRule="auto"/>
        <w:ind w:firstLine="0" w:firstLineChars="0"/>
        <w:rPr>
          <w:rFonts w:ascii="Times New Roman" w:hAnsi="Times New Roman" w:cs="Times New Roman"/>
          <w:color w:val="auto"/>
          <w:kern w:val="0"/>
          <w:sz w:val="20"/>
          <w:szCs w:val="20"/>
          <w:highlight w:val="none"/>
        </w:rPr>
      </w:pPr>
      <w:bookmarkStart w:id="504" w:name="_Toc66113604"/>
    </w:p>
    <w:p w14:paraId="48934E19">
      <w:pPr>
        <w:shd w:val="clear"/>
        <w:snapToGrid w:val="0"/>
        <w:ind w:firstLine="0" w:firstLineChars="0"/>
        <w:jc w:val="center"/>
        <w:outlineLvl w:val="0"/>
        <w:rPr>
          <w:b/>
          <w:color w:val="auto"/>
          <w:kern w:val="0"/>
          <w:sz w:val="30"/>
          <w:szCs w:val="28"/>
          <w:highlight w:val="none"/>
        </w:rPr>
      </w:pPr>
      <w:r>
        <w:rPr>
          <w:rFonts w:hint="eastAsia"/>
          <w:b/>
          <w:color w:val="auto"/>
          <w:kern w:val="0"/>
          <w:sz w:val="30"/>
          <w:szCs w:val="28"/>
          <w:highlight w:val="none"/>
        </w:rPr>
        <w:br w:type="page"/>
      </w:r>
      <w:bookmarkStart w:id="505" w:name="_Toc23551"/>
      <w:bookmarkStart w:id="506" w:name="_Toc20199"/>
      <w:bookmarkStart w:id="507" w:name="_Toc109"/>
      <w:bookmarkStart w:id="508" w:name="_Toc27690"/>
      <w:bookmarkStart w:id="509" w:name="_Toc6489"/>
      <w:bookmarkStart w:id="510" w:name="_Toc21573"/>
      <w:r>
        <w:rPr>
          <w:rFonts w:hint="eastAsia"/>
          <w:b/>
          <w:color w:val="auto"/>
          <w:kern w:val="0"/>
          <w:sz w:val="30"/>
          <w:szCs w:val="28"/>
          <w:highlight w:val="none"/>
        </w:rPr>
        <w:t xml:space="preserve">6 </w:t>
      </w:r>
      <w:bookmarkEnd w:id="504"/>
      <w:r>
        <w:rPr>
          <w:rFonts w:hint="eastAsia"/>
          <w:b/>
          <w:color w:val="auto"/>
          <w:kern w:val="0"/>
          <w:sz w:val="30"/>
          <w:szCs w:val="28"/>
          <w:highlight w:val="none"/>
        </w:rPr>
        <w:t>给排水设施</w:t>
      </w:r>
      <w:bookmarkEnd w:id="505"/>
      <w:bookmarkEnd w:id="506"/>
      <w:bookmarkEnd w:id="507"/>
      <w:bookmarkEnd w:id="508"/>
      <w:bookmarkEnd w:id="509"/>
      <w:bookmarkEnd w:id="510"/>
    </w:p>
    <w:p w14:paraId="6DFEB2CD">
      <w:pPr>
        <w:shd w:val="clear"/>
        <w:ind w:firstLine="0" w:firstLineChars="0"/>
        <w:outlineLvl w:val="1"/>
        <w:rPr>
          <w:rFonts w:cs="Times New Roman"/>
          <w:b/>
          <w:color w:val="auto"/>
          <w:sz w:val="28"/>
          <w:szCs w:val="28"/>
          <w:highlight w:val="none"/>
        </w:rPr>
      </w:pPr>
      <w:bookmarkStart w:id="511" w:name="_Toc14145"/>
      <w:bookmarkStart w:id="512" w:name="_Toc12252"/>
      <w:bookmarkStart w:id="513" w:name="_Toc393719826"/>
      <w:bookmarkStart w:id="514" w:name="_Toc447034236"/>
      <w:bookmarkStart w:id="515" w:name="_Toc11891"/>
      <w:bookmarkStart w:id="516" w:name="_Toc109244663"/>
      <w:bookmarkStart w:id="517" w:name="_Toc12824"/>
      <w:bookmarkStart w:id="518" w:name="_Toc3713"/>
      <w:bookmarkStart w:id="519" w:name="_Toc184"/>
      <w:bookmarkStart w:id="520" w:name="_Toc31802"/>
      <w:bookmarkStart w:id="521" w:name="_Toc11322"/>
      <w:bookmarkStart w:id="522" w:name="_Toc28585"/>
      <w:r>
        <w:rPr>
          <w:rFonts w:hint="eastAsia" w:cs="Times New Roman"/>
          <w:b/>
          <w:color w:val="auto"/>
          <w:sz w:val="28"/>
          <w:szCs w:val="28"/>
          <w:highlight w:val="none"/>
        </w:rPr>
        <w:t>6.1</w:t>
      </w:r>
      <w:r>
        <w:rPr>
          <w:rFonts w:cs="Times New Roman"/>
          <w:b/>
          <w:color w:val="auto"/>
          <w:sz w:val="28"/>
          <w:szCs w:val="28"/>
          <w:highlight w:val="none"/>
        </w:rPr>
        <w:t xml:space="preserve"> </w:t>
      </w:r>
      <w:bookmarkEnd w:id="511"/>
      <w:bookmarkEnd w:id="512"/>
      <w:bookmarkEnd w:id="513"/>
      <w:bookmarkEnd w:id="514"/>
      <w:bookmarkEnd w:id="515"/>
      <w:bookmarkEnd w:id="516"/>
      <w:r>
        <w:rPr>
          <w:rFonts w:hint="eastAsia" w:cs="Times New Roman"/>
          <w:b/>
          <w:color w:val="auto"/>
          <w:sz w:val="28"/>
          <w:szCs w:val="28"/>
          <w:highlight w:val="none"/>
        </w:rPr>
        <w:t>概述</w:t>
      </w:r>
      <w:bookmarkEnd w:id="517"/>
      <w:bookmarkEnd w:id="518"/>
      <w:bookmarkEnd w:id="519"/>
      <w:bookmarkEnd w:id="520"/>
      <w:bookmarkEnd w:id="521"/>
      <w:bookmarkEnd w:id="522"/>
    </w:p>
    <w:p w14:paraId="4185D6AF">
      <w:pPr>
        <w:shd w:val="clear"/>
        <w:jc w:val="both"/>
        <w:rPr>
          <w:rFonts w:cs="宋体"/>
          <w:color w:val="auto"/>
          <w:highlight w:val="none"/>
        </w:rPr>
      </w:pPr>
      <w:bookmarkStart w:id="523" w:name="_Toc27883"/>
      <w:r>
        <w:rPr>
          <w:rFonts w:hint="eastAsia" w:cs="宋体"/>
          <w:color w:val="auto"/>
          <w:highlight w:val="none"/>
        </w:rPr>
        <w:t>本设计篇章为甘肃酒钢集团宏兴钢铁股份有限公司炼铁厂2号高炉优化升级及超低排改造项目给排水部分，根据工艺资料，结合厂区现有水系统情况进行的方案设计。</w:t>
      </w:r>
    </w:p>
    <w:bookmarkEnd w:id="523"/>
    <w:p w14:paraId="7C170281">
      <w:pPr>
        <w:shd w:val="clear"/>
        <w:ind w:firstLine="0" w:firstLineChars="0"/>
        <w:outlineLvl w:val="1"/>
        <w:rPr>
          <w:rFonts w:cs="Times New Roman"/>
          <w:b/>
          <w:color w:val="auto"/>
          <w:sz w:val="28"/>
          <w:szCs w:val="28"/>
          <w:highlight w:val="none"/>
        </w:rPr>
      </w:pPr>
      <w:bookmarkStart w:id="524" w:name="_Toc26906"/>
      <w:bookmarkStart w:id="525" w:name="_Toc29706"/>
      <w:bookmarkStart w:id="526" w:name="_Toc11747"/>
      <w:bookmarkStart w:id="527" w:name="_Toc13423"/>
      <w:bookmarkStart w:id="528" w:name="_Toc21272"/>
      <w:bookmarkStart w:id="529" w:name="_Toc9826"/>
      <w:r>
        <w:rPr>
          <w:rFonts w:hint="eastAsia" w:cs="Times New Roman"/>
          <w:b/>
          <w:color w:val="auto"/>
          <w:sz w:val="28"/>
          <w:szCs w:val="28"/>
          <w:highlight w:val="none"/>
        </w:rPr>
        <w:t>6.2 设计原则</w:t>
      </w:r>
      <w:bookmarkEnd w:id="524"/>
      <w:bookmarkEnd w:id="525"/>
      <w:bookmarkEnd w:id="526"/>
      <w:bookmarkEnd w:id="527"/>
      <w:bookmarkEnd w:id="528"/>
      <w:bookmarkEnd w:id="529"/>
    </w:p>
    <w:p w14:paraId="5BB45FFB">
      <w:pPr>
        <w:shd w:val="clear"/>
        <w:jc w:val="both"/>
        <w:rPr>
          <w:rFonts w:cs="宋体"/>
          <w:color w:val="auto"/>
          <w:highlight w:val="none"/>
        </w:rPr>
      </w:pPr>
      <w:r>
        <w:rPr>
          <w:rFonts w:hint="eastAsia" w:cs="宋体"/>
          <w:color w:val="auto"/>
          <w:highlight w:val="none"/>
        </w:rPr>
        <w:t>采用先进、成熟、可靠、实用的工艺流程及设备。</w:t>
      </w:r>
    </w:p>
    <w:p w14:paraId="3A35D5AD">
      <w:pPr>
        <w:shd w:val="clear"/>
        <w:jc w:val="both"/>
        <w:rPr>
          <w:rFonts w:cs="宋体"/>
          <w:color w:val="auto"/>
          <w:highlight w:val="none"/>
        </w:rPr>
      </w:pPr>
      <w:r>
        <w:rPr>
          <w:rFonts w:hint="eastAsia" w:cs="宋体"/>
          <w:color w:val="auto"/>
          <w:highlight w:val="none"/>
        </w:rPr>
        <w:t xml:space="preserve">本着节约用水、节约能源、减少环境污染、提高生产用水的重复利用率，尽量减少废水排放的原则进行设计。 </w:t>
      </w:r>
    </w:p>
    <w:p w14:paraId="0B1F96EE">
      <w:pPr>
        <w:shd w:val="clear"/>
        <w:jc w:val="both"/>
        <w:rPr>
          <w:rFonts w:ascii="Arial"/>
          <w:color w:val="auto"/>
          <w:highlight w:val="none"/>
        </w:rPr>
      </w:pPr>
      <w:r>
        <w:rPr>
          <w:rFonts w:hint="eastAsia" w:cs="宋体"/>
          <w:color w:val="auto"/>
          <w:highlight w:val="none"/>
        </w:rPr>
        <w:t>集中管理，提高自动化水平，降低劳动强度提高生产率。</w:t>
      </w:r>
    </w:p>
    <w:p w14:paraId="477164A2">
      <w:pPr>
        <w:shd w:val="clear"/>
        <w:ind w:firstLine="0" w:firstLineChars="0"/>
        <w:outlineLvl w:val="1"/>
        <w:rPr>
          <w:rFonts w:cs="Times New Roman"/>
          <w:b/>
          <w:color w:val="auto"/>
          <w:sz w:val="28"/>
          <w:szCs w:val="28"/>
          <w:highlight w:val="none"/>
        </w:rPr>
      </w:pPr>
      <w:bookmarkStart w:id="530" w:name="_Toc32719"/>
      <w:bookmarkStart w:id="531" w:name="_Toc11746"/>
      <w:bookmarkStart w:id="532" w:name="_Toc25272"/>
      <w:bookmarkStart w:id="533" w:name="_Toc10858"/>
      <w:bookmarkStart w:id="534" w:name="_Toc5490"/>
      <w:bookmarkStart w:id="535" w:name="_Toc15853"/>
      <w:r>
        <w:rPr>
          <w:rFonts w:hint="eastAsia" w:cs="Times New Roman"/>
          <w:b/>
          <w:color w:val="auto"/>
          <w:sz w:val="28"/>
          <w:szCs w:val="28"/>
          <w:highlight w:val="none"/>
        </w:rPr>
        <w:t>6.3 改造内容</w:t>
      </w:r>
      <w:bookmarkEnd w:id="530"/>
      <w:bookmarkEnd w:id="531"/>
      <w:bookmarkEnd w:id="532"/>
      <w:bookmarkEnd w:id="533"/>
      <w:bookmarkEnd w:id="534"/>
      <w:bookmarkEnd w:id="535"/>
    </w:p>
    <w:p w14:paraId="2FAAAF58">
      <w:pPr>
        <w:shd w:val="clear"/>
        <w:ind w:firstLine="0" w:firstLineChars="0"/>
        <w:outlineLvl w:val="2"/>
        <w:rPr>
          <w:rFonts w:cs="Times New Roman"/>
          <w:color w:val="auto"/>
          <w:szCs w:val="28"/>
          <w:highlight w:val="none"/>
        </w:rPr>
      </w:pPr>
      <w:bookmarkStart w:id="536" w:name="_Toc6526"/>
      <w:r>
        <w:rPr>
          <w:rFonts w:hint="eastAsia" w:cs="Times New Roman"/>
          <w:color w:val="auto"/>
          <w:szCs w:val="28"/>
          <w:highlight w:val="none"/>
        </w:rPr>
        <w:t>6.3.1 软水系统改造</w:t>
      </w:r>
      <w:bookmarkEnd w:id="536"/>
    </w:p>
    <w:p w14:paraId="04B24960">
      <w:pPr>
        <w:shd w:val="clear"/>
        <w:ind w:firstLine="0" w:firstLineChars="0"/>
        <w:outlineLvl w:val="3"/>
        <w:rPr>
          <w:color w:val="auto"/>
          <w:highlight w:val="none"/>
        </w:rPr>
      </w:pPr>
      <w:bookmarkStart w:id="537" w:name="_Toc21568"/>
      <w:r>
        <w:rPr>
          <w:rFonts w:hint="eastAsia"/>
          <w:color w:val="auto"/>
          <w:highlight w:val="none"/>
        </w:rPr>
        <w:t>6.3.1.1 蒸发空冷器的改造</w:t>
      </w:r>
      <w:bookmarkEnd w:id="537"/>
    </w:p>
    <w:p w14:paraId="37F96316">
      <w:pPr>
        <w:shd w:val="clear"/>
        <w:jc w:val="both"/>
        <w:rPr>
          <w:rFonts w:cs="宋体"/>
          <w:color w:val="auto"/>
          <w:highlight w:val="none"/>
        </w:rPr>
      </w:pPr>
      <w:r>
        <w:rPr>
          <w:rFonts w:hint="eastAsia" w:cs="宋体"/>
          <w:color w:val="auto"/>
          <w:highlight w:val="none"/>
        </w:rPr>
        <w:t>蒸发空冷器设备运行多年，换热效率降低，且设备进出口阀门存在卡涩、关闭不严的现象。因蒸发空冷器为炉体冷却的核心关键设备，为保证高炉生产安全，本次高炉改造对蒸发空冷器全部更换，配套新增更换软水进出水阀门及喷淋水进水阀，共计18台阀门更换。</w:t>
      </w:r>
    </w:p>
    <w:p w14:paraId="283C843E">
      <w:pPr>
        <w:shd w:val="clear"/>
        <w:jc w:val="both"/>
        <w:rPr>
          <w:rFonts w:cs="宋体"/>
          <w:color w:val="auto"/>
          <w:highlight w:val="none"/>
        </w:rPr>
      </w:pPr>
      <w:r>
        <w:rPr>
          <w:rFonts w:hint="eastAsia" w:cs="宋体"/>
          <w:color w:val="auto"/>
          <w:highlight w:val="none"/>
        </w:rPr>
        <w:t>原空冷器为软水2根进水管、2根出水管、1根喷淋进水管，设置5道阀门，新更换空冷器可设置软水1根总进水管、1根总出水管、1根喷淋进水管，设置3道阀门，阀门大小可根据配备空冷器重新选择口径，公称压力等级PN16。</w:t>
      </w:r>
    </w:p>
    <w:p w14:paraId="4C84F86A">
      <w:pPr>
        <w:shd w:val="clear"/>
        <w:jc w:val="both"/>
        <w:rPr>
          <w:rFonts w:cs="宋体"/>
          <w:color w:val="auto"/>
          <w:highlight w:val="none"/>
        </w:rPr>
      </w:pPr>
      <w:r>
        <w:rPr>
          <w:rFonts w:hint="eastAsia" w:cs="宋体"/>
          <w:color w:val="auto"/>
          <w:highlight w:val="none"/>
        </w:rPr>
        <w:t>原有6台蒸发冷却器拆除，新设计6台蒸发冷却器（带填料，闭式冷却塔），安装于原来的基础上，新设计蒸发冷却器的处理能力、喷淋水量不变，具体参数如下：单台处理水量Q=600m</w:t>
      </w:r>
      <w:r>
        <w:rPr>
          <w:rFonts w:hint="eastAsia" w:cs="宋体"/>
          <w:color w:val="auto"/>
          <w:highlight w:val="none"/>
          <w:vertAlign w:val="superscript"/>
        </w:rPr>
        <w:t>3</w:t>
      </w:r>
      <w:r>
        <w:rPr>
          <w:rFonts w:hint="eastAsia" w:cs="宋体"/>
          <w:color w:val="auto"/>
          <w:highlight w:val="none"/>
        </w:rPr>
        <w:t>/h，进水温度t1=52℃，出水温度t2=40℃，带填料，喷淋水量160m</w:t>
      </w:r>
      <w:r>
        <w:rPr>
          <w:rFonts w:hint="eastAsia" w:cs="宋体"/>
          <w:color w:val="auto"/>
          <w:highlight w:val="none"/>
          <w:vertAlign w:val="superscript"/>
        </w:rPr>
        <w:t>3</w:t>
      </w:r>
      <w:r>
        <w:rPr>
          <w:rFonts w:hint="eastAsia" w:cs="宋体"/>
          <w:color w:val="auto"/>
          <w:highlight w:val="none"/>
        </w:rPr>
        <w:t>/h。同时更换每台蒸发冷却器配套的软水进出水、喷淋水进水管路与主管路重新设计并敷设连接；新更换的蒸发冷却器集水盘底部设置清理排污管口，与现有的清理排污管路连接。新设计的蒸发冷却器随着高度的增加，需要配套对管路进行接引，并对设备顶部平台进行相应改造、更换。</w:t>
      </w:r>
    </w:p>
    <w:p w14:paraId="13E618FF">
      <w:pPr>
        <w:shd w:val="clear"/>
        <w:ind w:firstLine="0" w:firstLineChars="0"/>
        <w:outlineLvl w:val="3"/>
        <w:rPr>
          <w:color w:val="auto"/>
          <w:highlight w:val="none"/>
        </w:rPr>
      </w:pPr>
      <w:bookmarkStart w:id="538" w:name="_Toc26862"/>
      <w:r>
        <w:rPr>
          <w:rFonts w:hint="eastAsia"/>
          <w:color w:val="auto"/>
          <w:highlight w:val="none"/>
        </w:rPr>
        <w:t>6.3.1.2 风口小套高压供水泵改造</w:t>
      </w:r>
      <w:bookmarkEnd w:id="538"/>
    </w:p>
    <w:p w14:paraId="1C4C84FD">
      <w:pPr>
        <w:shd w:val="clear"/>
        <w:jc w:val="both"/>
        <w:rPr>
          <w:rFonts w:cs="宋体"/>
          <w:color w:val="auto"/>
          <w:highlight w:val="none"/>
        </w:rPr>
      </w:pPr>
      <w:r>
        <w:rPr>
          <w:rFonts w:hint="eastAsia" w:cs="宋体"/>
          <w:color w:val="auto"/>
          <w:highlight w:val="none"/>
        </w:rPr>
        <w:t>根据业主要求，本次改造后风口小套软水供水量由现在的630m³/h提高至720m³/h，水泵扬程不变。</w:t>
      </w:r>
    </w:p>
    <w:p w14:paraId="3AB7CD1E">
      <w:pPr>
        <w:shd w:val="clear"/>
        <w:jc w:val="both"/>
        <w:rPr>
          <w:rFonts w:cs="宋体"/>
          <w:color w:val="auto"/>
          <w:highlight w:val="none"/>
        </w:rPr>
      </w:pPr>
      <w:r>
        <w:rPr>
          <w:rFonts w:hint="eastAsia" w:cs="宋体"/>
          <w:color w:val="auto"/>
          <w:highlight w:val="none"/>
        </w:rPr>
        <w:t>主要设备选型：</w:t>
      </w:r>
    </w:p>
    <w:p w14:paraId="7EF248FA">
      <w:pPr>
        <w:shd w:val="clear"/>
        <w:jc w:val="both"/>
        <w:rPr>
          <w:rFonts w:cs="宋体"/>
          <w:color w:val="auto"/>
          <w:highlight w:val="none"/>
        </w:rPr>
      </w:pPr>
      <w:r>
        <w:rPr>
          <w:rFonts w:hint="eastAsia" w:cs="宋体"/>
          <w:color w:val="auto"/>
          <w:highlight w:val="none"/>
        </w:rPr>
        <w:t>风口小套高压供水泵    设备数量：2台</w:t>
      </w:r>
    </w:p>
    <w:p w14:paraId="1EA41838">
      <w:pPr>
        <w:shd w:val="clear"/>
        <w:jc w:val="both"/>
        <w:rPr>
          <w:rFonts w:cs="宋体"/>
          <w:color w:val="auto"/>
          <w:highlight w:val="none"/>
        </w:rPr>
      </w:pPr>
      <w:r>
        <w:rPr>
          <w:rFonts w:hint="eastAsia" w:cs="宋体"/>
          <w:color w:val="auto"/>
          <w:highlight w:val="none"/>
        </w:rPr>
        <w:t>流量：Q=720m</w:t>
      </w:r>
      <w:r>
        <w:rPr>
          <w:rFonts w:hint="eastAsia" w:cs="宋体"/>
          <w:color w:val="auto"/>
          <w:highlight w:val="none"/>
          <w:vertAlign w:val="superscript"/>
        </w:rPr>
        <w:t>3</w:t>
      </w:r>
      <w:r>
        <w:rPr>
          <w:rFonts w:hint="eastAsia" w:cs="宋体"/>
          <w:color w:val="auto"/>
          <w:highlight w:val="none"/>
        </w:rPr>
        <w:t>/h，扬程：H=92m</w:t>
      </w:r>
    </w:p>
    <w:p w14:paraId="559F6260">
      <w:pPr>
        <w:shd w:val="clear"/>
        <w:jc w:val="both"/>
        <w:rPr>
          <w:rFonts w:cs="宋体"/>
          <w:color w:val="auto"/>
          <w:highlight w:val="none"/>
        </w:rPr>
      </w:pPr>
      <w:r>
        <w:rPr>
          <w:rFonts w:hint="eastAsia" w:cs="宋体"/>
          <w:color w:val="auto"/>
          <w:highlight w:val="none"/>
        </w:rPr>
        <w:t>配套电机：315kW/10kV</w:t>
      </w:r>
    </w:p>
    <w:p w14:paraId="72CEF0D4">
      <w:pPr>
        <w:shd w:val="clear"/>
        <w:ind w:firstLine="0" w:firstLineChars="0"/>
        <w:outlineLvl w:val="3"/>
        <w:rPr>
          <w:color w:val="auto"/>
          <w:highlight w:val="none"/>
        </w:rPr>
      </w:pPr>
      <w:bookmarkStart w:id="539" w:name="_Toc25333"/>
      <w:r>
        <w:rPr>
          <w:rFonts w:hint="eastAsia"/>
          <w:color w:val="auto"/>
          <w:highlight w:val="none"/>
        </w:rPr>
        <w:t>6.3.1.3 软水系统阀门更换</w:t>
      </w:r>
      <w:bookmarkEnd w:id="539"/>
    </w:p>
    <w:p w14:paraId="72B6C00D">
      <w:pPr>
        <w:shd w:val="clear"/>
        <w:jc w:val="both"/>
        <w:rPr>
          <w:rFonts w:cs="宋体"/>
          <w:color w:val="auto"/>
          <w:highlight w:val="none"/>
        </w:rPr>
      </w:pPr>
      <w:r>
        <w:rPr>
          <w:rFonts w:hint="eastAsia" w:cs="宋体"/>
          <w:color w:val="auto"/>
          <w:highlight w:val="none"/>
        </w:rPr>
        <w:t>软环系统供水8台泵（含主供水柴油机泵）出口逆止阀更换为多功能水力阀，共8台。</w:t>
      </w:r>
    </w:p>
    <w:p w14:paraId="22B7FF8A">
      <w:pPr>
        <w:shd w:val="clear"/>
        <w:jc w:val="both"/>
        <w:rPr>
          <w:rFonts w:cs="宋体"/>
          <w:color w:val="auto"/>
          <w:highlight w:val="none"/>
        </w:rPr>
      </w:pPr>
      <w:r>
        <w:rPr>
          <w:rFonts w:hint="eastAsia" w:cs="宋体"/>
          <w:color w:val="auto"/>
          <w:highlight w:val="none"/>
        </w:rPr>
        <w:t>软环系统的3台管道过滤器的3台滤芯更换。</w:t>
      </w:r>
    </w:p>
    <w:p w14:paraId="2444B66D">
      <w:pPr>
        <w:shd w:val="clear"/>
        <w:jc w:val="both"/>
        <w:rPr>
          <w:rFonts w:cs="宋体"/>
          <w:color w:val="auto"/>
          <w:highlight w:val="none"/>
        </w:rPr>
      </w:pPr>
      <w:r>
        <w:rPr>
          <w:rFonts w:hint="eastAsia" w:cs="宋体"/>
          <w:color w:val="auto"/>
          <w:highlight w:val="none"/>
        </w:rPr>
        <w:t>软环系统3台管道过滤器的进水阀、出水阀、旁通阀共计9台阀门更换。</w:t>
      </w:r>
    </w:p>
    <w:p w14:paraId="23AD9738">
      <w:pPr>
        <w:shd w:val="clear"/>
        <w:jc w:val="both"/>
        <w:rPr>
          <w:rFonts w:cs="宋体"/>
          <w:color w:val="auto"/>
          <w:highlight w:val="none"/>
        </w:rPr>
      </w:pPr>
      <w:r>
        <w:rPr>
          <w:rFonts w:hint="eastAsia" w:cs="宋体"/>
          <w:color w:val="auto"/>
          <w:highlight w:val="none"/>
        </w:rPr>
        <w:t>软环系统中压、高压事故管道逆止阀共2台更换。</w:t>
      </w:r>
    </w:p>
    <w:p w14:paraId="6C4F4DE3">
      <w:pPr>
        <w:shd w:val="clear"/>
        <w:jc w:val="both"/>
        <w:rPr>
          <w:rFonts w:cs="宋体"/>
          <w:color w:val="auto"/>
          <w:highlight w:val="none"/>
        </w:rPr>
      </w:pPr>
      <w:r>
        <w:rPr>
          <w:rFonts w:hint="eastAsia" w:cs="宋体"/>
          <w:color w:val="auto"/>
          <w:highlight w:val="none"/>
        </w:rPr>
        <w:t>6.3.1.4 其它</w:t>
      </w:r>
    </w:p>
    <w:p w14:paraId="09686467">
      <w:pPr>
        <w:shd w:val="clear"/>
        <w:jc w:val="both"/>
        <w:rPr>
          <w:rFonts w:cs="宋体"/>
          <w:color w:val="auto"/>
          <w:highlight w:val="none"/>
        </w:rPr>
      </w:pPr>
      <w:r>
        <w:rPr>
          <w:rFonts w:hint="eastAsia" w:cs="宋体"/>
          <w:color w:val="auto"/>
          <w:highlight w:val="none"/>
        </w:rPr>
        <w:t>本次高炉改造，软水泵组、过滤器、加药装置及电动单梁悬挂起重机等设备均按利旧考虑，仅利用高炉改造的机会进行全面检修，由业主自行按需更换备品备件。</w:t>
      </w:r>
    </w:p>
    <w:p w14:paraId="2969E1BB">
      <w:pPr>
        <w:shd w:val="clear"/>
        <w:jc w:val="both"/>
        <w:rPr>
          <w:rFonts w:cs="宋体"/>
          <w:color w:val="auto"/>
          <w:highlight w:val="none"/>
        </w:rPr>
      </w:pPr>
      <w:r>
        <w:rPr>
          <w:rFonts w:hint="eastAsia" w:cs="宋体"/>
          <w:color w:val="auto"/>
          <w:highlight w:val="none"/>
        </w:rPr>
        <w:t>软水池池壁已出现多处渗漏点，本次改造需对软水池内壁重新全部进行防渗、防腐、修复处理。</w:t>
      </w:r>
    </w:p>
    <w:p w14:paraId="4F1827FA">
      <w:pPr>
        <w:shd w:val="clear"/>
        <w:jc w:val="both"/>
        <w:rPr>
          <w:rFonts w:cs="宋体"/>
          <w:color w:val="auto"/>
          <w:highlight w:val="none"/>
        </w:rPr>
      </w:pPr>
      <w:r>
        <w:rPr>
          <w:rFonts w:hint="eastAsia" w:cs="宋体"/>
          <w:color w:val="auto"/>
          <w:highlight w:val="none"/>
        </w:rPr>
        <w:t>2号高炉水系统UPS现为单套设置，一旦UPS出现故障将造成供水泵组停运，影响高炉系统的正常冷却用水。2号高炉水系统增加冗余UPS一套，详见高炉自动化章节，并在该章节详细描述。</w:t>
      </w:r>
    </w:p>
    <w:p w14:paraId="375C2DB6">
      <w:pPr>
        <w:shd w:val="clear"/>
        <w:jc w:val="both"/>
        <w:rPr>
          <w:rFonts w:cs="宋体"/>
          <w:color w:val="auto"/>
          <w:highlight w:val="none"/>
        </w:rPr>
      </w:pPr>
      <w:r>
        <w:rPr>
          <w:rFonts w:hint="eastAsia" w:cs="宋体"/>
          <w:color w:val="auto"/>
          <w:highlight w:val="none"/>
        </w:rPr>
        <w:t>软环系统所有的加药管更换为不锈钢材质，原路由更换DN20，40m。</w:t>
      </w:r>
    </w:p>
    <w:p w14:paraId="583F06E5">
      <w:pPr>
        <w:shd w:val="clear"/>
        <w:ind w:firstLine="0" w:firstLineChars="0"/>
        <w:outlineLvl w:val="2"/>
        <w:rPr>
          <w:rFonts w:cs="Times New Roman"/>
          <w:color w:val="auto"/>
          <w:szCs w:val="28"/>
          <w:highlight w:val="none"/>
        </w:rPr>
      </w:pPr>
      <w:bookmarkStart w:id="540" w:name="_Toc30684"/>
      <w:r>
        <w:rPr>
          <w:rFonts w:hint="eastAsia" w:cs="Times New Roman"/>
          <w:color w:val="auto"/>
          <w:szCs w:val="28"/>
          <w:highlight w:val="none"/>
        </w:rPr>
        <w:t>6.3.2 净环水系统改造</w:t>
      </w:r>
      <w:bookmarkEnd w:id="540"/>
    </w:p>
    <w:p w14:paraId="3AECFF26">
      <w:pPr>
        <w:shd w:val="clear"/>
        <w:ind w:firstLine="0" w:firstLineChars="0"/>
        <w:outlineLvl w:val="3"/>
        <w:rPr>
          <w:color w:val="auto"/>
          <w:highlight w:val="none"/>
        </w:rPr>
      </w:pPr>
      <w:bookmarkStart w:id="541" w:name="_Toc28322"/>
      <w:r>
        <w:rPr>
          <w:rFonts w:hint="eastAsia"/>
          <w:color w:val="auto"/>
          <w:highlight w:val="none"/>
        </w:rPr>
        <w:t>6.3.2.1 冷却塔改造</w:t>
      </w:r>
      <w:bookmarkEnd w:id="541"/>
    </w:p>
    <w:p w14:paraId="6EE05865">
      <w:pPr>
        <w:shd w:val="clear"/>
        <w:jc w:val="both"/>
        <w:rPr>
          <w:rFonts w:cs="宋体"/>
          <w:color w:val="auto"/>
          <w:highlight w:val="none"/>
        </w:rPr>
      </w:pPr>
      <w:r>
        <w:rPr>
          <w:rFonts w:hint="eastAsia" w:cs="宋体"/>
          <w:color w:val="auto"/>
          <w:highlight w:val="none"/>
        </w:rPr>
        <w:t>现1号高炉与2号高炉净环水系统冷却塔共用，目前已使用20年。2座高炉连续生产，冷却塔无法单独退出检维修，目前塔体支架、顶板等部位锈蚀严重，运行过程存在较大的安全隐患，且维修费用高。因此，本次高炉改造时，针对2号高炉净环水系统实际用水量，重新建设1座450m</w:t>
      </w:r>
      <w:r>
        <w:rPr>
          <w:rFonts w:hint="eastAsia" w:cs="宋体"/>
          <w:color w:val="auto"/>
          <w:highlight w:val="none"/>
          <w:vertAlign w:val="superscript"/>
        </w:rPr>
        <w:t>3</w:t>
      </w:r>
      <w:r>
        <w:rPr>
          <w:rFonts w:hint="eastAsia" w:cs="宋体"/>
          <w:color w:val="auto"/>
          <w:highlight w:val="none"/>
        </w:rPr>
        <w:t>/h冷却塔，配套阀门及管道等。供2号高炉净循环水系统独立使用。新增冷却塔风机等用电设备，电源取自1#泵站电气室。同时，新增设备接入1#泵站现有PLC系统，具备远程操作功能。</w:t>
      </w:r>
    </w:p>
    <w:p w14:paraId="3D8DDC8F">
      <w:pPr>
        <w:shd w:val="clear"/>
        <w:jc w:val="both"/>
        <w:rPr>
          <w:rFonts w:cs="宋体"/>
          <w:color w:val="auto"/>
          <w:highlight w:val="none"/>
        </w:rPr>
      </w:pPr>
      <w:r>
        <w:rPr>
          <w:rFonts w:hint="eastAsia" w:cs="宋体"/>
          <w:color w:val="auto"/>
          <w:highlight w:val="none"/>
        </w:rPr>
        <w:t>新建冷却塔，需要在2号炉停水后对2号炉净环水系统回水总管在冷却塔区域彻底带压封堵，切断串水管道。</w:t>
      </w:r>
    </w:p>
    <w:p w14:paraId="558B9A31">
      <w:pPr>
        <w:shd w:val="clear"/>
        <w:jc w:val="both"/>
        <w:rPr>
          <w:rFonts w:cs="宋体"/>
          <w:color w:val="auto"/>
          <w:highlight w:val="none"/>
        </w:rPr>
      </w:pPr>
      <w:r>
        <w:rPr>
          <w:rFonts w:hint="eastAsia" w:cs="宋体"/>
          <w:color w:val="auto"/>
          <w:highlight w:val="none"/>
        </w:rPr>
        <w:t>主要设备选型：</w:t>
      </w:r>
    </w:p>
    <w:p w14:paraId="1DDC088B">
      <w:pPr>
        <w:shd w:val="clear"/>
        <w:jc w:val="both"/>
        <w:rPr>
          <w:rFonts w:cs="宋体"/>
          <w:color w:val="auto"/>
          <w:highlight w:val="none"/>
        </w:rPr>
      </w:pPr>
      <w:r>
        <w:rPr>
          <w:rFonts w:hint="eastAsia" w:cs="宋体"/>
          <w:color w:val="auto"/>
          <w:highlight w:val="none"/>
        </w:rPr>
        <w:t>净环水系统冷却塔（带填料、集水盘）    设备数量：1台</w:t>
      </w:r>
    </w:p>
    <w:p w14:paraId="734CBBA9">
      <w:pPr>
        <w:shd w:val="clear"/>
        <w:jc w:val="both"/>
        <w:rPr>
          <w:rFonts w:cs="宋体"/>
          <w:color w:val="auto"/>
          <w:highlight w:val="none"/>
        </w:rPr>
      </w:pPr>
      <w:r>
        <w:rPr>
          <w:rFonts w:hint="eastAsia" w:cs="宋体"/>
          <w:color w:val="auto"/>
          <w:highlight w:val="none"/>
        </w:rPr>
        <w:t>单台处理能力：Q=450m</w:t>
      </w:r>
      <w:r>
        <w:rPr>
          <w:rFonts w:hint="eastAsia" w:cs="宋体"/>
          <w:color w:val="auto"/>
          <w:highlight w:val="none"/>
          <w:vertAlign w:val="superscript"/>
        </w:rPr>
        <w:t>3</w:t>
      </w:r>
      <w:r>
        <w:rPr>
          <w:rFonts w:hint="eastAsia" w:cs="宋体"/>
          <w:color w:val="auto"/>
          <w:highlight w:val="none"/>
        </w:rPr>
        <w:t>/h</w:t>
      </w:r>
    </w:p>
    <w:p w14:paraId="78B56580">
      <w:pPr>
        <w:shd w:val="clear"/>
        <w:jc w:val="both"/>
        <w:rPr>
          <w:rFonts w:cs="宋体"/>
          <w:color w:val="auto"/>
          <w:highlight w:val="none"/>
        </w:rPr>
      </w:pPr>
      <w:r>
        <w:rPr>
          <w:rFonts w:hint="eastAsia" w:cs="宋体"/>
          <w:color w:val="auto"/>
          <w:highlight w:val="none"/>
        </w:rPr>
        <w:t>进出水温度：45/32℃</w:t>
      </w:r>
    </w:p>
    <w:p w14:paraId="1B4C6C94">
      <w:pPr>
        <w:shd w:val="clear"/>
        <w:ind w:firstLine="0" w:firstLineChars="0"/>
        <w:outlineLvl w:val="3"/>
        <w:rPr>
          <w:color w:val="auto"/>
          <w:highlight w:val="none"/>
        </w:rPr>
      </w:pPr>
      <w:bookmarkStart w:id="542" w:name="_Toc28307"/>
      <w:r>
        <w:rPr>
          <w:rFonts w:hint="eastAsia"/>
          <w:color w:val="auto"/>
          <w:highlight w:val="none"/>
        </w:rPr>
        <w:t>6.3.2.2 净环水系统阀门更换</w:t>
      </w:r>
      <w:bookmarkEnd w:id="542"/>
    </w:p>
    <w:p w14:paraId="4B68C16B">
      <w:pPr>
        <w:shd w:val="clear"/>
        <w:jc w:val="both"/>
        <w:rPr>
          <w:rFonts w:cs="宋体"/>
          <w:color w:val="auto"/>
          <w:highlight w:val="none"/>
        </w:rPr>
      </w:pPr>
      <w:r>
        <w:rPr>
          <w:rFonts w:hint="eastAsia" w:cs="宋体"/>
          <w:color w:val="auto"/>
          <w:highlight w:val="none"/>
        </w:rPr>
        <w:t>净环水、增压水、喷淋水系统供水泵进、出口阀门及多功能水力控制阀更换，共计24台。</w:t>
      </w:r>
    </w:p>
    <w:p w14:paraId="5FB36515">
      <w:pPr>
        <w:shd w:val="clear"/>
        <w:jc w:val="both"/>
        <w:rPr>
          <w:rFonts w:cs="宋体"/>
          <w:color w:val="auto"/>
          <w:highlight w:val="none"/>
        </w:rPr>
      </w:pPr>
      <w:r>
        <w:rPr>
          <w:rFonts w:hint="eastAsia" w:cs="宋体"/>
          <w:color w:val="auto"/>
          <w:highlight w:val="none"/>
        </w:rPr>
        <w:t>净环水、增压水系统共3台管道过滤器的3台滤芯更换。</w:t>
      </w:r>
    </w:p>
    <w:p w14:paraId="21E1EEFF">
      <w:pPr>
        <w:shd w:val="clear"/>
        <w:rPr>
          <w:color w:val="auto"/>
          <w:highlight w:val="none"/>
        </w:rPr>
      </w:pPr>
      <w:bookmarkStart w:id="543" w:name="_Toc8120"/>
      <w:bookmarkStart w:id="544" w:name="_Toc6307"/>
      <w:bookmarkStart w:id="545" w:name="_Toc21463"/>
      <w:bookmarkStart w:id="546" w:name="_Toc23204"/>
      <w:r>
        <w:rPr>
          <w:rFonts w:hint="eastAsia"/>
          <w:color w:val="auto"/>
          <w:highlight w:val="none"/>
        </w:rPr>
        <w:t>3台管道过滤器的进水阀、出水阀、旁通阀共计9台阀门更换。</w:t>
      </w:r>
      <w:bookmarkEnd w:id="543"/>
      <w:bookmarkEnd w:id="544"/>
      <w:bookmarkEnd w:id="545"/>
      <w:bookmarkEnd w:id="546"/>
    </w:p>
    <w:p w14:paraId="793A08E1">
      <w:pPr>
        <w:shd w:val="clear"/>
        <w:ind w:firstLine="0" w:firstLineChars="0"/>
        <w:outlineLvl w:val="1"/>
        <w:rPr>
          <w:rFonts w:cs="Times New Roman"/>
          <w:color w:val="auto"/>
          <w:szCs w:val="28"/>
          <w:highlight w:val="none"/>
        </w:rPr>
      </w:pPr>
      <w:bookmarkStart w:id="547" w:name="_Toc15922"/>
      <w:bookmarkStart w:id="548" w:name="_Toc19286"/>
      <w:bookmarkStart w:id="549" w:name="_Toc16583"/>
      <w:bookmarkStart w:id="550" w:name="_Toc29670"/>
      <w:bookmarkStart w:id="551" w:name="_Toc2267"/>
      <w:bookmarkStart w:id="552" w:name="_Toc1535"/>
      <w:bookmarkStart w:id="553" w:name="_Toc1037"/>
      <w:r>
        <w:rPr>
          <w:rFonts w:hint="eastAsia" w:cs="Times New Roman"/>
          <w:color w:val="auto"/>
          <w:szCs w:val="28"/>
          <w:highlight w:val="none"/>
        </w:rPr>
        <w:t>6.3.3 增压水系统改造</w:t>
      </w:r>
      <w:bookmarkEnd w:id="547"/>
      <w:bookmarkEnd w:id="548"/>
      <w:bookmarkEnd w:id="549"/>
      <w:bookmarkEnd w:id="550"/>
      <w:bookmarkEnd w:id="551"/>
      <w:bookmarkEnd w:id="552"/>
      <w:bookmarkEnd w:id="553"/>
    </w:p>
    <w:p w14:paraId="21F2B319">
      <w:pPr>
        <w:shd w:val="clear"/>
        <w:jc w:val="both"/>
        <w:rPr>
          <w:rFonts w:cs="宋体"/>
          <w:color w:val="auto"/>
          <w:highlight w:val="none"/>
        </w:rPr>
      </w:pPr>
      <w:r>
        <w:rPr>
          <w:rFonts w:hint="eastAsia" w:cs="宋体"/>
          <w:color w:val="auto"/>
          <w:highlight w:val="none"/>
        </w:rPr>
        <w:t>增压回水水池上增加提升泵2台，泵房外</w:t>
      </w:r>
      <w:r>
        <w:rPr>
          <w:rFonts w:hint="eastAsia" w:cs="宋体"/>
          <w:color w:val="auto"/>
          <w:highlight w:val="none"/>
          <w:lang w:val="en-US" w:eastAsia="zh-CN"/>
        </w:rPr>
        <w:t>(现有1号高炉净环水冷却塔附近)</w:t>
      </w:r>
      <w:r>
        <w:rPr>
          <w:rFonts w:hint="eastAsia" w:cs="宋体"/>
          <w:color w:val="auto"/>
          <w:highlight w:val="none"/>
        </w:rPr>
        <w:t>，并增加相应管道和阀门，自吸泵从回水池吸水，送至冷却塔冷却，冷却后的水回至水池。</w:t>
      </w:r>
    </w:p>
    <w:p w14:paraId="4F70C483">
      <w:pPr>
        <w:shd w:val="clear"/>
        <w:jc w:val="both"/>
        <w:rPr>
          <w:rFonts w:cs="宋体"/>
          <w:color w:val="auto"/>
          <w:highlight w:val="none"/>
        </w:rPr>
      </w:pPr>
      <w:r>
        <w:rPr>
          <w:rFonts w:hint="eastAsia" w:cs="宋体"/>
          <w:color w:val="auto"/>
          <w:highlight w:val="none"/>
        </w:rPr>
        <w:t>主要设备选型：</w:t>
      </w:r>
    </w:p>
    <w:p w14:paraId="7C26EFDF">
      <w:pPr>
        <w:shd w:val="clear"/>
        <w:jc w:val="both"/>
        <w:rPr>
          <w:rFonts w:cs="宋体"/>
          <w:color w:val="auto"/>
          <w:highlight w:val="none"/>
        </w:rPr>
      </w:pPr>
      <w:r>
        <w:rPr>
          <w:rFonts w:hint="eastAsia" w:cs="宋体"/>
          <w:color w:val="auto"/>
          <w:highlight w:val="none"/>
        </w:rPr>
        <w:t>增压水系统冷却塔（带填料、集水盘）    设备数量：1台</w:t>
      </w:r>
    </w:p>
    <w:p w14:paraId="107F45CB">
      <w:pPr>
        <w:shd w:val="clear"/>
        <w:jc w:val="both"/>
        <w:rPr>
          <w:rFonts w:cs="宋体"/>
          <w:color w:val="auto"/>
          <w:highlight w:val="none"/>
        </w:rPr>
      </w:pPr>
      <w:r>
        <w:rPr>
          <w:rFonts w:hint="eastAsia" w:cs="宋体"/>
          <w:color w:val="auto"/>
          <w:highlight w:val="none"/>
        </w:rPr>
        <w:t>单台处理能力：Q=150m</w:t>
      </w:r>
      <w:r>
        <w:rPr>
          <w:rFonts w:hint="eastAsia" w:cs="宋体"/>
          <w:color w:val="auto"/>
          <w:highlight w:val="none"/>
          <w:vertAlign w:val="superscript"/>
        </w:rPr>
        <w:t>3</w:t>
      </w:r>
      <w:r>
        <w:rPr>
          <w:rFonts w:hint="eastAsia" w:cs="宋体"/>
          <w:color w:val="auto"/>
          <w:highlight w:val="none"/>
        </w:rPr>
        <w:t>/h</w:t>
      </w:r>
    </w:p>
    <w:p w14:paraId="3B678918">
      <w:pPr>
        <w:shd w:val="clear"/>
        <w:jc w:val="both"/>
        <w:rPr>
          <w:rFonts w:cs="宋体"/>
          <w:color w:val="auto"/>
          <w:highlight w:val="none"/>
        </w:rPr>
      </w:pPr>
      <w:r>
        <w:rPr>
          <w:rFonts w:hint="eastAsia" w:cs="宋体"/>
          <w:color w:val="auto"/>
          <w:highlight w:val="none"/>
        </w:rPr>
        <w:t>进出水温度：45/32℃</w:t>
      </w:r>
    </w:p>
    <w:p w14:paraId="0BE553F5">
      <w:pPr>
        <w:shd w:val="clear"/>
        <w:jc w:val="both"/>
        <w:rPr>
          <w:rFonts w:cs="宋体"/>
          <w:color w:val="auto"/>
          <w:highlight w:val="none"/>
        </w:rPr>
      </w:pPr>
      <w:r>
        <w:rPr>
          <w:rFonts w:hint="eastAsia" w:cs="宋体"/>
          <w:color w:val="auto"/>
          <w:highlight w:val="none"/>
        </w:rPr>
        <w:t>热水上塔泵（自吸泵）    设备数量：2台</w:t>
      </w:r>
    </w:p>
    <w:p w14:paraId="38E61FBE">
      <w:pPr>
        <w:shd w:val="clear"/>
        <w:jc w:val="both"/>
        <w:rPr>
          <w:rFonts w:cs="宋体"/>
          <w:color w:val="auto"/>
          <w:highlight w:val="none"/>
        </w:rPr>
      </w:pPr>
      <w:r>
        <w:rPr>
          <w:rFonts w:hint="eastAsia" w:cs="宋体"/>
          <w:color w:val="auto"/>
          <w:highlight w:val="none"/>
        </w:rPr>
        <w:t>流量：Q=150m</w:t>
      </w:r>
      <w:r>
        <w:rPr>
          <w:rFonts w:hint="eastAsia" w:cs="宋体"/>
          <w:color w:val="auto"/>
          <w:highlight w:val="none"/>
          <w:vertAlign w:val="superscript"/>
        </w:rPr>
        <w:t>3</w:t>
      </w:r>
      <w:r>
        <w:rPr>
          <w:rFonts w:hint="eastAsia" w:cs="宋体"/>
          <w:color w:val="auto"/>
          <w:highlight w:val="none"/>
        </w:rPr>
        <w:t>/h，扬程：H=40m、</w:t>
      </w:r>
    </w:p>
    <w:p w14:paraId="110D7027">
      <w:pPr>
        <w:shd w:val="clear"/>
        <w:jc w:val="both"/>
        <w:rPr>
          <w:rFonts w:cs="宋体"/>
          <w:color w:val="auto"/>
          <w:highlight w:val="none"/>
        </w:rPr>
      </w:pPr>
      <w:r>
        <w:rPr>
          <w:rFonts w:hint="eastAsia" w:cs="宋体"/>
          <w:color w:val="auto"/>
          <w:highlight w:val="none"/>
        </w:rPr>
        <w:t>配套电机：37kW/380V，1480r/min；</w:t>
      </w:r>
    </w:p>
    <w:p w14:paraId="36CAF0C0">
      <w:pPr>
        <w:shd w:val="clear"/>
        <w:jc w:val="both"/>
        <w:rPr>
          <w:rFonts w:cs="宋体"/>
          <w:color w:val="auto"/>
          <w:highlight w:val="none"/>
        </w:rPr>
      </w:pPr>
      <w:r>
        <w:rPr>
          <w:rFonts w:hint="eastAsia" w:cs="宋体"/>
          <w:color w:val="auto"/>
          <w:highlight w:val="none"/>
        </w:rPr>
        <w:t>防护等级：IP54</w:t>
      </w:r>
    </w:p>
    <w:p w14:paraId="749CAD7F">
      <w:pPr>
        <w:shd w:val="clear"/>
        <w:jc w:val="both"/>
        <w:rPr>
          <w:rFonts w:cs="宋体"/>
          <w:color w:val="auto"/>
          <w:highlight w:val="none"/>
        </w:rPr>
      </w:pPr>
      <w:r>
        <w:rPr>
          <w:rFonts w:hint="eastAsia" w:cs="宋体"/>
          <w:color w:val="auto"/>
          <w:highlight w:val="none"/>
        </w:rPr>
        <w:t>新增冷却塔风机、2台提升水泵等用电设备，电源取自2#软水泵房电气室。同时，新增设备接入2#软水泵房现有 PLC 系统，具备远程操作功能。</w:t>
      </w:r>
    </w:p>
    <w:p w14:paraId="2083410C">
      <w:pPr>
        <w:shd w:val="clear"/>
        <w:ind w:firstLine="0" w:firstLineChars="0"/>
        <w:outlineLvl w:val="1"/>
        <w:rPr>
          <w:rFonts w:cs="Times New Roman"/>
          <w:color w:val="auto"/>
          <w:szCs w:val="28"/>
          <w:highlight w:val="none"/>
        </w:rPr>
      </w:pPr>
      <w:bookmarkStart w:id="554" w:name="_Toc13521"/>
      <w:bookmarkStart w:id="555" w:name="_Toc20155"/>
      <w:bookmarkStart w:id="556" w:name="_Toc23633"/>
      <w:bookmarkStart w:id="557" w:name="_Toc26227"/>
      <w:bookmarkStart w:id="558" w:name="_Toc32430"/>
      <w:bookmarkStart w:id="559" w:name="_Toc2449"/>
      <w:bookmarkStart w:id="560" w:name="_Toc26265"/>
      <w:r>
        <w:rPr>
          <w:rFonts w:hint="eastAsia" w:cs="Times New Roman"/>
          <w:color w:val="auto"/>
          <w:szCs w:val="28"/>
          <w:highlight w:val="none"/>
        </w:rPr>
        <w:t>6.3.4 改造内容清单</w:t>
      </w:r>
      <w:bookmarkEnd w:id="554"/>
      <w:bookmarkEnd w:id="555"/>
      <w:bookmarkEnd w:id="556"/>
      <w:bookmarkEnd w:id="557"/>
      <w:bookmarkEnd w:id="558"/>
      <w:bookmarkEnd w:id="559"/>
      <w:bookmarkEnd w:id="560"/>
    </w:p>
    <w:p w14:paraId="541143E1">
      <w:pPr>
        <w:shd w:val="clear"/>
        <w:jc w:val="both"/>
        <w:rPr>
          <w:rFonts w:cs="宋体"/>
          <w:color w:val="auto"/>
          <w:highlight w:val="none"/>
        </w:rPr>
      </w:pPr>
      <w:r>
        <w:rPr>
          <w:rFonts w:hint="eastAsia" w:cs="宋体"/>
          <w:color w:val="auto"/>
          <w:highlight w:val="none"/>
        </w:rPr>
        <w:t>改造内容清单，若与现场实际存在出入的，详细设计时具体现场实际情况为准，需满足现场设备、设施的安装与操作功能。</w:t>
      </w:r>
    </w:p>
    <w:tbl>
      <w:tblPr>
        <w:tblStyle w:val="60"/>
        <w:tblW w:w="0" w:type="auto"/>
        <w:jc w:val="center"/>
        <w:tblLayout w:type="fixed"/>
        <w:tblCellMar>
          <w:top w:w="0" w:type="dxa"/>
          <w:left w:w="108" w:type="dxa"/>
          <w:bottom w:w="0" w:type="dxa"/>
          <w:right w:w="108" w:type="dxa"/>
        </w:tblCellMar>
      </w:tblPr>
      <w:tblGrid>
        <w:gridCol w:w="500"/>
        <w:gridCol w:w="2255"/>
        <w:gridCol w:w="2954"/>
        <w:gridCol w:w="723"/>
        <w:gridCol w:w="977"/>
        <w:gridCol w:w="1113"/>
      </w:tblGrid>
      <w:tr w14:paraId="24521F13">
        <w:tblPrEx>
          <w:tblCellMar>
            <w:top w:w="0" w:type="dxa"/>
            <w:left w:w="108" w:type="dxa"/>
            <w:bottom w:w="0" w:type="dxa"/>
            <w:right w:w="108" w:type="dxa"/>
          </w:tblCellMar>
        </w:tblPrEx>
        <w:trPr>
          <w:trHeight w:val="700" w:hRule="atLeast"/>
          <w:jc w:val="center"/>
        </w:trPr>
        <w:tc>
          <w:tcPr>
            <w:tcW w:w="8522" w:type="dxa"/>
            <w:gridSpan w:val="6"/>
            <w:tcBorders>
              <w:top w:val="nil"/>
              <w:left w:val="nil"/>
              <w:bottom w:val="nil"/>
              <w:right w:val="nil"/>
            </w:tcBorders>
            <w:noWrap/>
            <w:vAlign w:val="center"/>
          </w:tcPr>
          <w:p w14:paraId="5976A436">
            <w:pPr>
              <w:widowControl/>
              <w:shd w:val="clear"/>
              <w:ind w:firstLine="0" w:firstLineChars="0"/>
              <w:jc w:val="center"/>
              <w:textAlignment w:val="center"/>
              <w:rPr>
                <w:rFonts w:cs="宋体"/>
                <w:b/>
                <w:bCs/>
                <w:color w:val="auto"/>
                <w:sz w:val="21"/>
                <w:szCs w:val="21"/>
                <w:highlight w:val="none"/>
              </w:rPr>
            </w:pPr>
            <w:r>
              <w:rPr>
                <w:rFonts w:hint="eastAsia" w:cs="宋体"/>
                <w:b/>
                <w:bCs/>
                <w:color w:val="auto"/>
                <w:kern w:val="0"/>
                <w:sz w:val="21"/>
                <w:szCs w:val="21"/>
                <w:highlight w:val="none"/>
                <w:lang w:bidi="ar"/>
              </w:rPr>
              <w:t>炼铁厂2号高炉优化升级及超低排放改造项目水系统改造内容清单</w:t>
            </w:r>
          </w:p>
        </w:tc>
      </w:tr>
      <w:tr w14:paraId="27781A9F">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23065891">
            <w:pPr>
              <w:widowControl/>
              <w:shd w:val="clear"/>
              <w:ind w:firstLine="0" w:firstLineChars="0"/>
              <w:jc w:val="center"/>
              <w:textAlignment w:val="center"/>
              <w:rPr>
                <w:rFonts w:cs="宋体"/>
                <w:b/>
                <w:bCs/>
                <w:color w:val="auto"/>
                <w:sz w:val="21"/>
                <w:szCs w:val="21"/>
                <w:highlight w:val="none"/>
              </w:rPr>
            </w:pPr>
            <w:r>
              <w:rPr>
                <w:rFonts w:hint="eastAsia" w:cs="宋体"/>
                <w:b/>
                <w:bCs/>
                <w:color w:val="auto"/>
                <w:kern w:val="0"/>
                <w:sz w:val="21"/>
                <w:szCs w:val="21"/>
                <w:highlight w:val="none"/>
                <w:lang w:bidi="ar"/>
              </w:rPr>
              <w:t>序号</w:t>
            </w:r>
          </w:p>
        </w:tc>
        <w:tc>
          <w:tcPr>
            <w:tcW w:w="2255" w:type="dxa"/>
            <w:tcBorders>
              <w:top w:val="single" w:color="000000" w:sz="4" w:space="0"/>
              <w:left w:val="single" w:color="000000" w:sz="4" w:space="0"/>
              <w:bottom w:val="single" w:color="000000" w:sz="4" w:space="0"/>
              <w:right w:val="single" w:color="000000" w:sz="4" w:space="0"/>
            </w:tcBorders>
            <w:vAlign w:val="center"/>
          </w:tcPr>
          <w:p w14:paraId="2DBC785F">
            <w:pPr>
              <w:widowControl/>
              <w:shd w:val="clear"/>
              <w:ind w:firstLine="0" w:firstLineChars="0"/>
              <w:jc w:val="center"/>
              <w:textAlignment w:val="center"/>
              <w:rPr>
                <w:rFonts w:cs="宋体"/>
                <w:b/>
                <w:bCs/>
                <w:color w:val="auto"/>
                <w:sz w:val="21"/>
                <w:szCs w:val="21"/>
                <w:highlight w:val="none"/>
              </w:rPr>
            </w:pPr>
            <w:r>
              <w:rPr>
                <w:rFonts w:hint="eastAsia" w:cs="宋体"/>
                <w:b/>
                <w:bCs/>
                <w:color w:val="auto"/>
                <w:kern w:val="0"/>
                <w:sz w:val="21"/>
                <w:szCs w:val="21"/>
                <w:highlight w:val="none"/>
                <w:lang w:bidi="ar"/>
              </w:rPr>
              <w:t>设备名称</w:t>
            </w:r>
          </w:p>
        </w:tc>
        <w:tc>
          <w:tcPr>
            <w:tcW w:w="2954" w:type="dxa"/>
            <w:tcBorders>
              <w:top w:val="single" w:color="000000" w:sz="4" w:space="0"/>
              <w:left w:val="single" w:color="000000" w:sz="4" w:space="0"/>
              <w:bottom w:val="single" w:color="000000" w:sz="4" w:space="0"/>
              <w:right w:val="single" w:color="000000" w:sz="4" w:space="0"/>
            </w:tcBorders>
            <w:vAlign w:val="center"/>
          </w:tcPr>
          <w:p w14:paraId="657AB04F">
            <w:pPr>
              <w:widowControl/>
              <w:shd w:val="clear"/>
              <w:ind w:firstLine="0" w:firstLineChars="0"/>
              <w:jc w:val="center"/>
              <w:textAlignment w:val="center"/>
              <w:rPr>
                <w:rFonts w:cs="宋体"/>
                <w:b/>
                <w:bCs/>
                <w:color w:val="auto"/>
                <w:sz w:val="21"/>
                <w:szCs w:val="21"/>
                <w:highlight w:val="none"/>
              </w:rPr>
            </w:pPr>
            <w:r>
              <w:rPr>
                <w:rFonts w:hint="eastAsia" w:cs="宋体"/>
                <w:b/>
                <w:bCs/>
                <w:color w:val="auto"/>
                <w:kern w:val="0"/>
                <w:sz w:val="21"/>
                <w:szCs w:val="21"/>
                <w:highlight w:val="none"/>
                <w:lang w:bidi="ar"/>
              </w:rPr>
              <w:t>型号、规格及技术性能</w:t>
            </w:r>
          </w:p>
        </w:tc>
        <w:tc>
          <w:tcPr>
            <w:tcW w:w="723" w:type="dxa"/>
            <w:tcBorders>
              <w:top w:val="single" w:color="000000" w:sz="4" w:space="0"/>
              <w:left w:val="single" w:color="000000" w:sz="4" w:space="0"/>
              <w:bottom w:val="single" w:color="000000" w:sz="4" w:space="0"/>
              <w:right w:val="single" w:color="000000" w:sz="4" w:space="0"/>
            </w:tcBorders>
            <w:vAlign w:val="center"/>
          </w:tcPr>
          <w:p w14:paraId="66A97C22">
            <w:pPr>
              <w:widowControl/>
              <w:shd w:val="clear"/>
              <w:ind w:firstLine="0" w:firstLineChars="0"/>
              <w:jc w:val="center"/>
              <w:textAlignment w:val="center"/>
              <w:rPr>
                <w:rFonts w:cs="宋体"/>
                <w:b/>
                <w:bCs/>
                <w:color w:val="auto"/>
                <w:sz w:val="21"/>
                <w:szCs w:val="21"/>
                <w:highlight w:val="none"/>
              </w:rPr>
            </w:pPr>
            <w:r>
              <w:rPr>
                <w:rFonts w:hint="eastAsia" w:cs="宋体"/>
                <w:b/>
                <w:bCs/>
                <w:color w:val="auto"/>
                <w:kern w:val="0"/>
                <w:sz w:val="21"/>
                <w:szCs w:val="21"/>
                <w:highlight w:val="none"/>
                <w:lang w:bidi="ar"/>
              </w:rPr>
              <w:t>单位</w:t>
            </w:r>
          </w:p>
        </w:tc>
        <w:tc>
          <w:tcPr>
            <w:tcW w:w="977" w:type="dxa"/>
            <w:tcBorders>
              <w:top w:val="single" w:color="000000" w:sz="4" w:space="0"/>
              <w:left w:val="single" w:color="000000" w:sz="4" w:space="0"/>
              <w:bottom w:val="single" w:color="000000" w:sz="4" w:space="0"/>
              <w:right w:val="single" w:color="000000" w:sz="4" w:space="0"/>
            </w:tcBorders>
            <w:vAlign w:val="center"/>
          </w:tcPr>
          <w:p w14:paraId="5BA51FB4">
            <w:pPr>
              <w:widowControl/>
              <w:shd w:val="clear"/>
              <w:ind w:firstLine="0" w:firstLineChars="0"/>
              <w:jc w:val="center"/>
              <w:textAlignment w:val="center"/>
              <w:rPr>
                <w:rFonts w:cs="宋体"/>
                <w:b/>
                <w:bCs/>
                <w:color w:val="auto"/>
                <w:sz w:val="21"/>
                <w:szCs w:val="21"/>
                <w:highlight w:val="none"/>
              </w:rPr>
            </w:pPr>
            <w:r>
              <w:rPr>
                <w:rFonts w:hint="eastAsia" w:cs="宋体"/>
                <w:b/>
                <w:bCs/>
                <w:color w:val="auto"/>
                <w:kern w:val="0"/>
                <w:sz w:val="21"/>
                <w:szCs w:val="21"/>
                <w:highlight w:val="none"/>
                <w:lang w:bidi="ar"/>
              </w:rPr>
              <w:t>数量</w:t>
            </w:r>
          </w:p>
        </w:tc>
        <w:tc>
          <w:tcPr>
            <w:tcW w:w="1113" w:type="dxa"/>
            <w:tcBorders>
              <w:top w:val="single" w:color="000000" w:sz="4" w:space="0"/>
              <w:left w:val="single" w:color="000000" w:sz="4" w:space="0"/>
              <w:bottom w:val="single" w:color="000000" w:sz="4" w:space="0"/>
              <w:right w:val="single" w:color="000000" w:sz="4" w:space="0"/>
            </w:tcBorders>
            <w:vAlign w:val="center"/>
          </w:tcPr>
          <w:p w14:paraId="24B5246E">
            <w:pPr>
              <w:widowControl/>
              <w:shd w:val="clear"/>
              <w:ind w:firstLine="0" w:firstLineChars="0"/>
              <w:jc w:val="center"/>
              <w:textAlignment w:val="center"/>
              <w:rPr>
                <w:rFonts w:cs="宋体"/>
                <w:b/>
                <w:bCs/>
                <w:color w:val="auto"/>
                <w:sz w:val="21"/>
                <w:szCs w:val="21"/>
                <w:highlight w:val="none"/>
              </w:rPr>
            </w:pPr>
            <w:r>
              <w:rPr>
                <w:rFonts w:hint="eastAsia" w:cs="宋体"/>
                <w:b/>
                <w:bCs/>
                <w:color w:val="auto"/>
                <w:kern w:val="0"/>
                <w:sz w:val="21"/>
                <w:szCs w:val="21"/>
                <w:highlight w:val="none"/>
                <w:lang w:bidi="ar"/>
              </w:rPr>
              <w:t>备注</w:t>
            </w:r>
          </w:p>
        </w:tc>
      </w:tr>
      <w:tr w14:paraId="37D8C692">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6ACB66C4">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w:t>
            </w:r>
          </w:p>
        </w:tc>
        <w:tc>
          <w:tcPr>
            <w:tcW w:w="2255" w:type="dxa"/>
            <w:tcBorders>
              <w:top w:val="single" w:color="000000" w:sz="4" w:space="0"/>
              <w:left w:val="single" w:color="000000" w:sz="4" w:space="0"/>
              <w:bottom w:val="single" w:color="000000" w:sz="4" w:space="0"/>
              <w:right w:val="single" w:color="000000" w:sz="4" w:space="0"/>
            </w:tcBorders>
            <w:vAlign w:val="center"/>
          </w:tcPr>
          <w:p w14:paraId="1AC2F176">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蒸发空冷器（闭式冷却塔，含平台对应配套改造）</w:t>
            </w:r>
          </w:p>
        </w:tc>
        <w:tc>
          <w:tcPr>
            <w:tcW w:w="2954" w:type="dxa"/>
            <w:tcBorders>
              <w:top w:val="single" w:color="000000" w:sz="4" w:space="0"/>
              <w:left w:val="single" w:color="000000" w:sz="4" w:space="0"/>
              <w:bottom w:val="single" w:color="000000" w:sz="4" w:space="0"/>
              <w:right w:val="single" w:color="000000" w:sz="4" w:space="0"/>
            </w:tcBorders>
            <w:vAlign w:val="center"/>
          </w:tcPr>
          <w:p w14:paraId="2D7E86EB">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根据设计选型</w:t>
            </w:r>
          </w:p>
        </w:tc>
        <w:tc>
          <w:tcPr>
            <w:tcW w:w="723" w:type="dxa"/>
            <w:tcBorders>
              <w:top w:val="single" w:color="000000" w:sz="4" w:space="0"/>
              <w:left w:val="single" w:color="000000" w:sz="4" w:space="0"/>
              <w:bottom w:val="single" w:color="000000" w:sz="4" w:space="0"/>
              <w:right w:val="single" w:color="000000" w:sz="4" w:space="0"/>
            </w:tcBorders>
            <w:vAlign w:val="center"/>
          </w:tcPr>
          <w:p w14:paraId="14460CC9">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1DAC56B3">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6</w:t>
            </w:r>
          </w:p>
        </w:tc>
        <w:tc>
          <w:tcPr>
            <w:tcW w:w="1113" w:type="dxa"/>
            <w:tcBorders>
              <w:top w:val="single" w:color="000000" w:sz="4" w:space="0"/>
              <w:left w:val="single" w:color="000000" w:sz="4" w:space="0"/>
              <w:bottom w:val="single" w:color="000000" w:sz="4" w:space="0"/>
              <w:right w:val="single" w:color="000000" w:sz="4" w:space="0"/>
            </w:tcBorders>
            <w:vAlign w:val="center"/>
          </w:tcPr>
          <w:p w14:paraId="532CF8EA">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闭式冷却塔</w:t>
            </w:r>
          </w:p>
        </w:tc>
      </w:tr>
      <w:tr w14:paraId="63A5840A">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6B7F24BA">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2</w:t>
            </w:r>
          </w:p>
        </w:tc>
        <w:tc>
          <w:tcPr>
            <w:tcW w:w="2255" w:type="dxa"/>
            <w:tcBorders>
              <w:top w:val="single" w:color="000000" w:sz="4" w:space="0"/>
              <w:left w:val="single" w:color="000000" w:sz="4" w:space="0"/>
              <w:bottom w:val="single" w:color="000000" w:sz="4" w:space="0"/>
              <w:right w:val="single" w:color="000000" w:sz="4" w:space="0"/>
            </w:tcBorders>
            <w:vAlign w:val="center"/>
          </w:tcPr>
          <w:p w14:paraId="06541740">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蒸发空冷器软水进水阀</w:t>
            </w:r>
          </w:p>
        </w:tc>
        <w:tc>
          <w:tcPr>
            <w:tcW w:w="2954" w:type="dxa"/>
            <w:vMerge w:val="restart"/>
            <w:tcBorders>
              <w:top w:val="single" w:color="000000" w:sz="4" w:space="0"/>
              <w:left w:val="single" w:color="000000" w:sz="4" w:space="0"/>
              <w:bottom w:val="single" w:color="000000" w:sz="4" w:space="0"/>
              <w:right w:val="single" w:color="000000" w:sz="4" w:space="0"/>
            </w:tcBorders>
            <w:vAlign w:val="center"/>
          </w:tcPr>
          <w:p w14:paraId="76F9BE4D">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原空冷器为2根进水管、2根出水管，设置4道阀门，新更换空冷器可设置1根总进水管、1根总出水管，设置2道阀门，阀门大小可根据配备空冷器重新选择口径，公称压力等级PN16</w:t>
            </w:r>
          </w:p>
        </w:tc>
        <w:tc>
          <w:tcPr>
            <w:tcW w:w="723" w:type="dxa"/>
            <w:tcBorders>
              <w:top w:val="single" w:color="000000" w:sz="4" w:space="0"/>
              <w:left w:val="single" w:color="000000" w:sz="4" w:space="0"/>
              <w:bottom w:val="single" w:color="000000" w:sz="4" w:space="0"/>
              <w:right w:val="single" w:color="000000" w:sz="4" w:space="0"/>
            </w:tcBorders>
            <w:vAlign w:val="center"/>
          </w:tcPr>
          <w:p w14:paraId="0599D08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1648C42A">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6</w:t>
            </w:r>
          </w:p>
        </w:tc>
        <w:tc>
          <w:tcPr>
            <w:tcW w:w="1113" w:type="dxa"/>
            <w:tcBorders>
              <w:top w:val="single" w:color="000000" w:sz="4" w:space="0"/>
              <w:left w:val="single" w:color="000000" w:sz="4" w:space="0"/>
              <w:bottom w:val="single" w:color="000000" w:sz="4" w:space="0"/>
              <w:right w:val="single" w:color="000000" w:sz="4" w:space="0"/>
            </w:tcBorders>
            <w:vAlign w:val="center"/>
          </w:tcPr>
          <w:p w14:paraId="75AD5191">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蝶阀</w:t>
            </w:r>
          </w:p>
        </w:tc>
      </w:tr>
      <w:tr w14:paraId="150BC075">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75F79438">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3</w:t>
            </w:r>
          </w:p>
        </w:tc>
        <w:tc>
          <w:tcPr>
            <w:tcW w:w="2255" w:type="dxa"/>
            <w:tcBorders>
              <w:top w:val="single" w:color="000000" w:sz="4" w:space="0"/>
              <w:left w:val="single" w:color="000000" w:sz="4" w:space="0"/>
              <w:bottom w:val="single" w:color="000000" w:sz="4" w:space="0"/>
              <w:right w:val="single" w:color="000000" w:sz="4" w:space="0"/>
            </w:tcBorders>
            <w:vAlign w:val="center"/>
          </w:tcPr>
          <w:p w14:paraId="091348C8">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蒸发空冷器软水出水阀</w:t>
            </w:r>
          </w:p>
        </w:tc>
        <w:tc>
          <w:tcPr>
            <w:tcW w:w="2954" w:type="dxa"/>
            <w:vMerge w:val="continue"/>
            <w:tcBorders>
              <w:top w:val="single" w:color="000000" w:sz="4" w:space="0"/>
              <w:left w:val="single" w:color="000000" w:sz="4" w:space="0"/>
              <w:bottom w:val="single" w:color="000000" w:sz="4" w:space="0"/>
              <w:right w:val="single" w:color="000000" w:sz="4" w:space="0"/>
            </w:tcBorders>
            <w:vAlign w:val="center"/>
          </w:tcPr>
          <w:p w14:paraId="206AAE3F">
            <w:pPr>
              <w:shd w:val="clear"/>
              <w:ind w:firstLine="0" w:firstLineChars="0"/>
              <w:jc w:val="center"/>
              <w:rPr>
                <w:rFonts w:cs="宋体"/>
                <w:color w:val="auto"/>
                <w:sz w:val="21"/>
                <w:szCs w:val="21"/>
                <w:highlight w:val="none"/>
              </w:rPr>
            </w:pPr>
          </w:p>
        </w:tc>
        <w:tc>
          <w:tcPr>
            <w:tcW w:w="723" w:type="dxa"/>
            <w:tcBorders>
              <w:top w:val="single" w:color="000000" w:sz="4" w:space="0"/>
              <w:left w:val="single" w:color="000000" w:sz="4" w:space="0"/>
              <w:bottom w:val="single" w:color="000000" w:sz="4" w:space="0"/>
              <w:right w:val="single" w:color="000000" w:sz="4" w:space="0"/>
            </w:tcBorders>
            <w:vAlign w:val="center"/>
          </w:tcPr>
          <w:p w14:paraId="6410D9B6">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2E871620">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6</w:t>
            </w:r>
          </w:p>
        </w:tc>
        <w:tc>
          <w:tcPr>
            <w:tcW w:w="1113" w:type="dxa"/>
            <w:tcBorders>
              <w:top w:val="single" w:color="000000" w:sz="4" w:space="0"/>
              <w:left w:val="single" w:color="000000" w:sz="4" w:space="0"/>
              <w:bottom w:val="single" w:color="000000" w:sz="4" w:space="0"/>
              <w:right w:val="single" w:color="000000" w:sz="4" w:space="0"/>
            </w:tcBorders>
            <w:vAlign w:val="center"/>
          </w:tcPr>
          <w:p w14:paraId="02443B8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蝶阀</w:t>
            </w:r>
          </w:p>
        </w:tc>
      </w:tr>
      <w:tr w14:paraId="7375EF7A">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5B6ABC8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4</w:t>
            </w:r>
          </w:p>
        </w:tc>
        <w:tc>
          <w:tcPr>
            <w:tcW w:w="2255" w:type="dxa"/>
            <w:tcBorders>
              <w:top w:val="single" w:color="000000" w:sz="4" w:space="0"/>
              <w:left w:val="single" w:color="000000" w:sz="4" w:space="0"/>
              <w:bottom w:val="single" w:color="000000" w:sz="4" w:space="0"/>
              <w:right w:val="single" w:color="000000" w:sz="4" w:space="0"/>
            </w:tcBorders>
            <w:vAlign w:val="center"/>
          </w:tcPr>
          <w:p w14:paraId="79CEEC34">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蒸发空冷器</w:t>
            </w:r>
            <w:r>
              <w:rPr>
                <w:rFonts w:hint="eastAsia" w:cs="宋体"/>
                <w:color w:val="auto"/>
                <w:sz w:val="21"/>
                <w:szCs w:val="21"/>
                <w:highlight w:val="none"/>
                <w:lang w:bidi="ar"/>
              </w:rPr>
              <w:t>喷淋水进水阀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3EF6115A">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DN150 PN16（该阀门根据选型的空冷器匹配阀门口径）</w:t>
            </w:r>
          </w:p>
        </w:tc>
        <w:tc>
          <w:tcPr>
            <w:tcW w:w="723" w:type="dxa"/>
            <w:tcBorders>
              <w:top w:val="single" w:color="000000" w:sz="4" w:space="0"/>
              <w:left w:val="single" w:color="000000" w:sz="4" w:space="0"/>
              <w:bottom w:val="single" w:color="000000" w:sz="4" w:space="0"/>
              <w:right w:val="single" w:color="000000" w:sz="4" w:space="0"/>
            </w:tcBorders>
            <w:vAlign w:val="center"/>
          </w:tcPr>
          <w:p w14:paraId="0B274BC7">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0235EB27">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6</w:t>
            </w:r>
          </w:p>
        </w:tc>
        <w:tc>
          <w:tcPr>
            <w:tcW w:w="1113" w:type="dxa"/>
            <w:tcBorders>
              <w:top w:val="single" w:color="000000" w:sz="4" w:space="0"/>
              <w:left w:val="single" w:color="000000" w:sz="4" w:space="0"/>
              <w:bottom w:val="single" w:color="000000" w:sz="4" w:space="0"/>
              <w:right w:val="single" w:color="000000" w:sz="4" w:space="0"/>
            </w:tcBorders>
            <w:vAlign w:val="center"/>
          </w:tcPr>
          <w:p w14:paraId="41ECE913">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蝶阀</w:t>
            </w:r>
          </w:p>
        </w:tc>
      </w:tr>
      <w:tr w14:paraId="7E106442">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247F7C32">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5</w:t>
            </w:r>
          </w:p>
        </w:tc>
        <w:tc>
          <w:tcPr>
            <w:tcW w:w="2255" w:type="dxa"/>
            <w:tcBorders>
              <w:top w:val="single" w:color="000000" w:sz="4" w:space="0"/>
              <w:left w:val="single" w:color="000000" w:sz="4" w:space="0"/>
              <w:bottom w:val="single" w:color="000000" w:sz="4" w:space="0"/>
              <w:right w:val="single" w:color="000000" w:sz="4" w:space="0"/>
            </w:tcBorders>
            <w:vAlign w:val="center"/>
          </w:tcPr>
          <w:p w14:paraId="53563823">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软环主供水泵出口水力阀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6AAD035A">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DN500 PN25</w:t>
            </w:r>
          </w:p>
        </w:tc>
        <w:tc>
          <w:tcPr>
            <w:tcW w:w="723" w:type="dxa"/>
            <w:tcBorders>
              <w:top w:val="single" w:color="000000" w:sz="4" w:space="0"/>
              <w:left w:val="single" w:color="000000" w:sz="4" w:space="0"/>
              <w:bottom w:val="single" w:color="000000" w:sz="4" w:space="0"/>
              <w:right w:val="single" w:color="000000" w:sz="4" w:space="0"/>
            </w:tcBorders>
            <w:vAlign w:val="center"/>
          </w:tcPr>
          <w:p w14:paraId="45E56544">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76AF6D6C">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3</w:t>
            </w:r>
          </w:p>
        </w:tc>
        <w:tc>
          <w:tcPr>
            <w:tcW w:w="1113" w:type="dxa"/>
            <w:tcBorders>
              <w:top w:val="single" w:color="000000" w:sz="4" w:space="0"/>
              <w:left w:val="single" w:color="000000" w:sz="4" w:space="0"/>
              <w:bottom w:val="single" w:color="000000" w:sz="4" w:space="0"/>
              <w:right w:val="single" w:color="000000" w:sz="4" w:space="0"/>
            </w:tcBorders>
            <w:vAlign w:val="center"/>
          </w:tcPr>
          <w:p w14:paraId="6A022E45">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水力阀</w:t>
            </w:r>
          </w:p>
        </w:tc>
      </w:tr>
      <w:tr w14:paraId="0F5EBDD5">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14CE6D7A">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6</w:t>
            </w:r>
          </w:p>
        </w:tc>
        <w:tc>
          <w:tcPr>
            <w:tcW w:w="2255" w:type="dxa"/>
            <w:tcBorders>
              <w:top w:val="single" w:color="000000" w:sz="4" w:space="0"/>
              <w:left w:val="single" w:color="000000" w:sz="4" w:space="0"/>
              <w:bottom w:val="single" w:color="000000" w:sz="4" w:space="0"/>
              <w:right w:val="single" w:color="000000" w:sz="4" w:space="0"/>
            </w:tcBorders>
            <w:vAlign w:val="center"/>
          </w:tcPr>
          <w:p w14:paraId="671642DC">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软环高压供水泵出口水力阀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253FA1E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DN350 PN25</w:t>
            </w:r>
          </w:p>
        </w:tc>
        <w:tc>
          <w:tcPr>
            <w:tcW w:w="723" w:type="dxa"/>
            <w:tcBorders>
              <w:top w:val="single" w:color="000000" w:sz="4" w:space="0"/>
              <w:left w:val="single" w:color="000000" w:sz="4" w:space="0"/>
              <w:bottom w:val="single" w:color="000000" w:sz="4" w:space="0"/>
              <w:right w:val="single" w:color="000000" w:sz="4" w:space="0"/>
            </w:tcBorders>
            <w:vAlign w:val="center"/>
          </w:tcPr>
          <w:p w14:paraId="11D41A01">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10FB516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2</w:t>
            </w:r>
          </w:p>
        </w:tc>
        <w:tc>
          <w:tcPr>
            <w:tcW w:w="1113" w:type="dxa"/>
            <w:tcBorders>
              <w:top w:val="single" w:color="000000" w:sz="4" w:space="0"/>
              <w:left w:val="single" w:color="000000" w:sz="4" w:space="0"/>
              <w:bottom w:val="single" w:color="000000" w:sz="4" w:space="0"/>
              <w:right w:val="single" w:color="000000" w:sz="4" w:space="0"/>
            </w:tcBorders>
            <w:vAlign w:val="center"/>
          </w:tcPr>
          <w:p w14:paraId="163E5D62">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水力阀</w:t>
            </w:r>
          </w:p>
        </w:tc>
      </w:tr>
      <w:tr w14:paraId="67C71598">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0FC72952">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7</w:t>
            </w:r>
          </w:p>
        </w:tc>
        <w:tc>
          <w:tcPr>
            <w:tcW w:w="2255" w:type="dxa"/>
            <w:tcBorders>
              <w:top w:val="single" w:color="000000" w:sz="4" w:space="0"/>
              <w:left w:val="single" w:color="000000" w:sz="4" w:space="0"/>
              <w:bottom w:val="single" w:color="000000" w:sz="4" w:space="0"/>
              <w:right w:val="single" w:color="000000" w:sz="4" w:space="0"/>
            </w:tcBorders>
            <w:vAlign w:val="center"/>
          </w:tcPr>
          <w:p w14:paraId="6373DC42">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软环中压供水泵出口水力阀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4E467E25">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DN450 PN25</w:t>
            </w:r>
          </w:p>
        </w:tc>
        <w:tc>
          <w:tcPr>
            <w:tcW w:w="723" w:type="dxa"/>
            <w:tcBorders>
              <w:top w:val="single" w:color="000000" w:sz="4" w:space="0"/>
              <w:left w:val="single" w:color="000000" w:sz="4" w:space="0"/>
              <w:bottom w:val="single" w:color="000000" w:sz="4" w:space="0"/>
              <w:right w:val="single" w:color="000000" w:sz="4" w:space="0"/>
            </w:tcBorders>
            <w:vAlign w:val="center"/>
          </w:tcPr>
          <w:p w14:paraId="4FB55C5B">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479C0454">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2</w:t>
            </w:r>
          </w:p>
        </w:tc>
        <w:tc>
          <w:tcPr>
            <w:tcW w:w="1113" w:type="dxa"/>
            <w:tcBorders>
              <w:top w:val="single" w:color="000000" w:sz="4" w:space="0"/>
              <w:left w:val="single" w:color="000000" w:sz="4" w:space="0"/>
              <w:bottom w:val="single" w:color="000000" w:sz="4" w:space="0"/>
              <w:right w:val="single" w:color="000000" w:sz="4" w:space="0"/>
            </w:tcBorders>
            <w:vAlign w:val="center"/>
          </w:tcPr>
          <w:p w14:paraId="3E557051">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水力阀</w:t>
            </w:r>
          </w:p>
        </w:tc>
      </w:tr>
      <w:tr w14:paraId="5A8CEFCA">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35CB08F0">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8</w:t>
            </w:r>
          </w:p>
        </w:tc>
        <w:tc>
          <w:tcPr>
            <w:tcW w:w="2255" w:type="dxa"/>
            <w:tcBorders>
              <w:top w:val="single" w:color="000000" w:sz="4" w:space="0"/>
              <w:left w:val="single" w:color="000000" w:sz="4" w:space="0"/>
              <w:bottom w:val="single" w:color="000000" w:sz="4" w:space="0"/>
              <w:right w:val="single" w:color="000000" w:sz="4" w:space="0"/>
            </w:tcBorders>
            <w:vAlign w:val="center"/>
          </w:tcPr>
          <w:p w14:paraId="7DCD64AA">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软环主供水柴油机泵出口水力阀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01E950F8">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DN500 PN25</w:t>
            </w:r>
          </w:p>
        </w:tc>
        <w:tc>
          <w:tcPr>
            <w:tcW w:w="723" w:type="dxa"/>
            <w:tcBorders>
              <w:top w:val="single" w:color="000000" w:sz="4" w:space="0"/>
              <w:left w:val="single" w:color="000000" w:sz="4" w:space="0"/>
              <w:bottom w:val="single" w:color="000000" w:sz="4" w:space="0"/>
              <w:right w:val="single" w:color="000000" w:sz="4" w:space="0"/>
            </w:tcBorders>
            <w:vAlign w:val="center"/>
          </w:tcPr>
          <w:p w14:paraId="504066BA">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76EB74F0">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w:t>
            </w:r>
          </w:p>
        </w:tc>
        <w:tc>
          <w:tcPr>
            <w:tcW w:w="1113" w:type="dxa"/>
            <w:tcBorders>
              <w:top w:val="single" w:color="000000" w:sz="4" w:space="0"/>
              <w:left w:val="single" w:color="000000" w:sz="4" w:space="0"/>
              <w:bottom w:val="single" w:color="000000" w:sz="4" w:space="0"/>
              <w:right w:val="single" w:color="000000" w:sz="4" w:space="0"/>
            </w:tcBorders>
            <w:vAlign w:val="center"/>
          </w:tcPr>
          <w:p w14:paraId="6133ED64">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水力阀</w:t>
            </w:r>
          </w:p>
        </w:tc>
      </w:tr>
      <w:tr w14:paraId="61835407">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5787FA1B">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9</w:t>
            </w:r>
          </w:p>
        </w:tc>
        <w:tc>
          <w:tcPr>
            <w:tcW w:w="2255" w:type="dxa"/>
            <w:tcBorders>
              <w:top w:val="single" w:color="000000" w:sz="4" w:space="0"/>
              <w:left w:val="single" w:color="000000" w:sz="4" w:space="0"/>
              <w:bottom w:val="single" w:color="000000" w:sz="4" w:space="0"/>
              <w:right w:val="single" w:color="000000" w:sz="4" w:space="0"/>
            </w:tcBorders>
            <w:vAlign w:val="center"/>
          </w:tcPr>
          <w:p w14:paraId="65193C84">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软环主供水管道过滤器进水阀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7DD16ED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DN700 PN16</w:t>
            </w:r>
          </w:p>
        </w:tc>
        <w:tc>
          <w:tcPr>
            <w:tcW w:w="723" w:type="dxa"/>
            <w:tcBorders>
              <w:top w:val="single" w:color="000000" w:sz="4" w:space="0"/>
              <w:left w:val="single" w:color="000000" w:sz="4" w:space="0"/>
              <w:bottom w:val="single" w:color="000000" w:sz="4" w:space="0"/>
              <w:right w:val="single" w:color="000000" w:sz="4" w:space="0"/>
            </w:tcBorders>
            <w:vAlign w:val="center"/>
          </w:tcPr>
          <w:p w14:paraId="295852E3">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4A5D34F5">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w:t>
            </w:r>
          </w:p>
        </w:tc>
        <w:tc>
          <w:tcPr>
            <w:tcW w:w="1113" w:type="dxa"/>
            <w:tcBorders>
              <w:top w:val="single" w:color="000000" w:sz="4" w:space="0"/>
              <w:left w:val="single" w:color="000000" w:sz="4" w:space="0"/>
              <w:bottom w:val="single" w:color="000000" w:sz="4" w:space="0"/>
              <w:right w:val="single" w:color="000000" w:sz="4" w:space="0"/>
            </w:tcBorders>
            <w:vAlign w:val="center"/>
          </w:tcPr>
          <w:p w14:paraId="7157697F">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蝶阀</w:t>
            </w:r>
          </w:p>
        </w:tc>
      </w:tr>
      <w:tr w14:paraId="55BA60FF">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355759E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10</w:t>
            </w:r>
          </w:p>
        </w:tc>
        <w:tc>
          <w:tcPr>
            <w:tcW w:w="2255" w:type="dxa"/>
            <w:tcBorders>
              <w:top w:val="single" w:color="000000" w:sz="4" w:space="0"/>
              <w:left w:val="single" w:color="000000" w:sz="4" w:space="0"/>
              <w:bottom w:val="single" w:color="000000" w:sz="4" w:space="0"/>
              <w:right w:val="single" w:color="000000" w:sz="4" w:space="0"/>
            </w:tcBorders>
            <w:vAlign w:val="center"/>
          </w:tcPr>
          <w:p w14:paraId="3635158B">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软环主供水管道过滤器出水阀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35B0D716">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DN700 PN16</w:t>
            </w:r>
          </w:p>
        </w:tc>
        <w:tc>
          <w:tcPr>
            <w:tcW w:w="723" w:type="dxa"/>
            <w:tcBorders>
              <w:top w:val="single" w:color="000000" w:sz="4" w:space="0"/>
              <w:left w:val="single" w:color="000000" w:sz="4" w:space="0"/>
              <w:bottom w:val="single" w:color="000000" w:sz="4" w:space="0"/>
              <w:right w:val="single" w:color="000000" w:sz="4" w:space="0"/>
            </w:tcBorders>
            <w:vAlign w:val="center"/>
          </w:tcPr>
          <w:p w14:paraId="22D1D7E0">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771A9971">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w:t>
            </w:r>
          </w:p>
        </w:tc>
        <w:tc>
          <w:tcPr>
            <w:tcW w:w="1113" w:type="dxa"/>
            <w:tcBorders>
              <w:top w:val="single" w:color="000000" w:sz="4" w:space="0"/>
              <w:left w:val="single" w:color="000000" w:sz="4" w:space="0"/>
              <w:bottom w:val="single" w:color="000000" w:sz="4" w:space="0"/>
              <w:right w:val="single" w:color="000000" w:sz="4" w:space="0"/>
            </w:tcBorders>
            <w:vAlign w:val="center"/>
          </w:tcPr>
          <w:p w14:paraId="0FA67B32">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蝶阀</w:t>
            </w:r>
          </w:p>
        </w:tc>
      </w:tr>
      <w:tr w14:paraId="6725CE36">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3DB8744A">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11</w:t>
            </w:r>
          </w:p>
        </w:tc>
        <w:tc>
          <w:tcPr>
            <w:tcW w:w="2255" w:type="dxa"/>
            <w:tcBorders>
              <w:top w:val="single" w:color="000000" w:sz="4" w:space="0"/>
              <w:left w:val="single" w:color="000000" w:sz="4" w:space="0"/>
              <w:bottom w:val="single" w:color="000000" w:sz="4" w:space="0"/>
              <w:right w:val="single" w:color="000000" w:sz="4" w:space="0"/>
            </w:tcBorders>
            <w:vAlign w:val="center"/>
          </w:tcPr>
          <w:p w14:paraId="3C1EDF5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软环主供水管道过滤器旁通阀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34D0246F">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DN700 PN16</w:t>
            </w:r>
          </w:p>
        </w:tc>
        <w:tc>
          <w:tcPr>
            <w:tcW w:w="723" w:type="dxa"/>
            <w:tcBorders>
              <w:top w:val="single" w:color="000000" w:sz="4" w:space="0"/>
              <w:left w:val="single" w:color="000000" w:sz="4" w:space="0"/>
              <w:bottom w:val="single" w:color="000000" w:sz="4" w:space="0"/>
              <w:right w:val="single" w:color="000000" w:sz="4" w:space="0"/>
            </w:tcBorders>
            <w:vAlign w:val="center"/>
          </w:tcPr>
          <w:p w14:paraId="4E08DBE2">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4CA66DA0">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w:t>
            </w:r>
          </w:p>
        </w:tc>
        <w:tc>
          <w:tcPr>
            <w:tcW w:w="1113" w:type="dxa"/>
            <w:tcBorders>
              <w:top w:val="single" w:color="000000" w:sz="4" w:space="0"/>
              <w:left w:val="single" w:color="000000" w:sz="4" w:space="0"/>
              <w:bottom w:val="single" w:color="000000" w:sz="4" w:space="0"/>
              <w:right w:val="single" w:color="000000" w:sz="4" w:space="0"/>
            </w:tcBorders>
            <w:vAlign w:val="center"/>
          </w:tcPr>
          <w:p w14:paraId="4527EBA4">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蝶阀</w:t>
            </w:r>
          </w:p>
        </w:tc>
      </w:tr>
      <w:tr w14:paraId="2A04ADAF">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173C02E8">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12</w:t>
            </w:r>
          </w:p>
        </w:tc>
        <w:tc>
          <w:tcPr>
            <w:tcW w:w="2255" w:type="dxa"/>
            <w:tcBorders>
              <w:top w:val="single" w:color="000000" w:sz="4" w:space="0"/>
              <w:left w:val="single" w:color="000000" w:sz="4" w:space="0"/>
              <w:bottom w:val="single" w:color="000000" w:sz="4" w:space="0"/>
              <w:right w:val="single" w:color="000000" w:sz="4" w:space="0"/>
            </w:tcBorders>
            <w:vAlign w:val="center"/>
          </w:tcPr>
          <w:p w14:paraId="6A54E5C0">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软环高压供水管道过滤器进水阀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29810CD5">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DN350 PN25</w:t>
            </w:r>
          </w:p>
        </w:tc>
        <w:tc>
          <w:tcPr>
            <w:tcW w:w="723" w:type="dxa"/>
            <w:tcBorders>
              <w:top w:val="single" w:color="000000" w:sz="4" w:space="0"/>
              <w:left w:val="single" w:color="000000" w:sz="4" w:space="0"/>
              <w:bottom w:val="single" w:color="000000" w:sz="4" w:space="0"/>
              <w:right w:val="single" w:color="000000" w:sz="4" w:space="0"/>
            </w:tcBorders>
            <w:vAlign w:val="center"/>
          </w:tcPr>
          <w:p w14:paraId="06EFF811">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7EC107A8">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w:t>
            </w:r>
          </w:p>
        </w:tc>
        <w:tc>
          <w:tcPr>
            <w:tcW w:w="1113" w:type="dxa"/>
            <w:tcBorders>
              <w:top w:val="single" w:color="000000" w:sz="4" w:space="0"/>
              <w:left w:val="single" w:color="000000" w:sz="4" w:space="0"/>
              <w:bottom w:val="single" w:color="000000" w:sz="4" w:space="0"/>
              <w:right w:val="single" w:color="000000" w:sz="4" w:space="0"/>
            </w:tcBorders>
            <w:vAlign w:val="center"/>
          </w:tcPr>
          <w:p w14:paraId="6C4FCAA0">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蝶阀</w:t>
            </w:r>
          </w:p>
        </w:tc>
      </w:tr>
      <w:tr w14:paraId="0A87F1AC">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0BFAC10C">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13</w:t>
            </w:r>
          </w:p>
        </w:tc>
        <w:tc>
          <w:tcPr>
            <w:tcW w:w="2255" w:type="dxa"/>
            <w:tcBorders>
              <w:top w:val="single" w:color="000000" w:sz="4" w:space="0"/>
              <w:left w:val="single" w:color="000000" w:sz="4" w:space="0"/>
              <w:bottom w:val="single" w:color="000000" w:sz="4" w:space="0"/>
              <w:right w:val="single" w:color="000000" w:sz="4" w:space="0"/>
            </w:tcBorders>
            <w:vAlign w:val="center"/>
          </w:tcPr>
          <w:p w14:paraId="3FD2605B">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软环高压供水管道过滤器出水阀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21C00081">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DN350 PN25</w:t>
            </w:r>
          </w:p>
        </w:tc>
        <w:tc>
          <w:tcPr>
            <w:tcW w:w="723" w:type="dxa"/>
            <w:tcBorders>
              <w:top w:val="single" w:color="000000" w:sz="4" w:space="0"/>
              <w:left w:val="single" w:color="000000" w:sz="4" w:space="0"/>
              <w:bottom w:val="single" w:color="000000" w:sz="4" w:space="0"/>
              <w:right w:val="single" w:color="000000" w:sz="4" w:space="0"/>
            </w:tcBorders>
            <w:vAlign w:val="center"/>
          </w:tcPr>
          <w:p w14:paraId="5193E401">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601B32DF">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w:t>
            </w:r>
          </w:p>
        </w:tc>
        <w:tc>
          <w:tcPr>
            <w:tcW w:w="1113" w:type="dxa"/>
            <w:tcBorders>
              <w:top w:val="single" w:color="000000" w:sz="4" w:space="0"/>
              <w:left w:val="single" w:color="000000" w:sz="4" w:space="0"/>
              <w:bottom w:val="single" w:color="000000" w:sz="4" w:space="0"/>
              <w:right w:val="single" w:color="000000" w:sz="4" w:space="0"/>
            </w:tcBorders>
            <w:vAlign w:val="center"/>
          </w:tcPr>
          <w:p w14:paraId="3D35CFDF">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蝶阀</w:t>
            </w:r>
          </w:p>
        </w:tc>
      </w:tr>
      <w:tr w14:paraId="1EA331B6">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733EC800">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14</w:t>
            </w:r>
          </w:p>
        </w:tc>
        <w:tc>
          <w:tcPr>
            <w:tcW w:w="2255" w:type="dxa"/>
            <w:tcBorders>
              <w:top w:val="single" w:color="000000" w:sz="4" w:space="0"/>
              <w:left w:val="single" w:color="000000" w:sz="4" w:space="0"/>
              <w:bottom w:val="single" w:color="000000" w:sz="4" w:space="0"/>
              <w:right w:val="single" w:color="000000" w:sz="4" w:space="0"/>
            </w:tcBorders>
            <w:vAlign w:val="center"/>
          </w:tcPr>
          <w:p w14:paraId="6D8EB53B">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软环高压供水管道过滤器旁通阀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124D7E96">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DN350 PN25</w:t>
            </w:r>
          </w:p>
        </w:tc>
        <w:tc>
          <w:tcPr>
            <w:tcW w:w="723" w:type="dxa"/>
            <w:tcBorders>
              <w:top w:val="single" w:color="000000" w:sz="4" w:space="0"/>
              <w:left w:val="single" w:color="000000" w:sz="4" w:space="0"/>
              <w:bottom w:val="single" w:color="000000" w:sz="4" w:space="0"/>
              <w:right w:val="single" w:color="000000" w:sz="4" w:space="0"/>
            </w:tcBorders>
            <w:vAlign w:val="center"/>
          </w:tcPr>
          <w:p w14:paraId="7194DC26">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50670DCF">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w:t>
            </w:r>
          </w:p>
        </w:tc>
        <w:tc>
          <w:tcPr>
            <w:tcW w:w="1113" w:type="dxa"/>
            <w:tcBorders>
              <w:top w:val="single" w:color="000000" w:sz="4" w:space="0"/>
              <w:left w:val="single" w:color="000000" w:sz="4" w:space="0"/>
              <w:bottom w:val="single" w:color="000000" w:sz="4" w:space="0"/>
              <w:right w:val="single" w:color="000000" w:sz="4" w:space="0"/>
            </w:tcBorders>
            <w:vAlign w:val="center"/>
          </w:tcPr>
          <w:p w14:paraId="698A0E77">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蝶阀</w:t>
            </w:r>
          </w:p>
        </w:tc>
      </w:tr>
      <w:tr w14:paraId="5030FC15">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14FE471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15</w:t>
            </w:r>
          </w:p>
        </w:tc>
        <w:tc>
          <w:tcPr>
            <w:tcW w:w="2255" w:type="dxa"/>
            <w:tcBorders>
              <w:top w:val="single" w:color="000000" w:sz="4" w:space="0"/>
              <w:left w:val="single" w:color="000000" w:sz="4" w:space="0"/>
              <w:bottom w:val="single" w:color="000000" w:sz="4" w:space="0"/>
              <w:right w:val="single" w:color="000000" w:sz="4" w:space="0"/>
            </w:tcBorders>
            <w:vAlign w:val="center"/>
          </w:tcPr>
          <w:p w14:paraId="33FDB6C2">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软环中压供水管道过滤器进水阀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3429F5B1">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DN450 PN25</w:t>
            </w:r>
          </w:p>
        </w:tc>
        <w:tc>
          <w:tcPr>
            <w:tcW w:w="723" w:type="dxa"/>
            <w:tcBorders>
              <w:top w:val="single" w:color="000000" w:sz="4" w:space="0"/>
              <w:left w:val="single" w:color="000000" w:sz="4" w:space="0"/>
              <w:bottom w:val="single" w:color="000000" w:sz="4" w:space="0"/>
              <w:right w:val="single" w:color="000000" w:sz="4" w:space="0"/>
            </w:tcBorders>
            <w:vAlign w:val="center"/>
          </w:tcPr>
          <w:p w14:paraId="785E671D">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0453C1D8">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w:t>
            </w:r>
          </w:p>
        </w:tc>
        <w:tc>
          <w:tcPr>
            <w:tcW w:w="1113" w:type="dxa"/>
            <w:tcBorders>
              <w:top w:val="single" w:color="000000" w:sz="4" w:space="0"/>
              <w:left w:val="single" w:color="000000" w:sz="4" w:space="0"/>
              <w:bottom w:val="single" w:color="000000" w:sz="4" w:space="0"/>
              <w:right w:val="single" w:color="000000" w:sz="4" w:space="0"/>
            </w:tcBorders>
            <w:vAlign w:val="center"/>
          </w:tcPr>
          <w:p w14:paraId="3EABA400">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蝶阀</w:t>
            </w:r>
          </w:p>
        </w:tc>
      </w:tr>
      <w:tr w14:paraId="5E51A898">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60132EF1">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16</w:t>
            </w:r>
          </w:p>
        </w:tc>
        <w:tc>
          <w:tcPr>
            <w:tcW w:w="2255" w:type="dxa"/>
            <w:tcBorders>
              <w:top w:val="single" w:color="000000" w:sz="4" w:space="0"/>
              <w:left w:val="single" w:color="000000" w:sz="4" w:space="0"/>
              <w:bottom w:val="single" w:color="000000" w:sz="4" w:space="0"/>
              <w:right w:val="single" w:color="000000" w:sz="4" w:space="0"/>
            </w:tcBorders>
            <w:vAlign w:val="center"/>
          </w:tcPr>
          <w:p w14:paraId="55D10A35">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软环中压供水管道过滤器出水阀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5D3CE5DC">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DN450 PN25</w:t>
            </w:r>
          </w:p>
        </w:tc>
        <w:tc>
          <w:tcPr>
            <w:tcW w:w="723" w:type="dxa"/>
            <w:tcBorders>
              <w:top w:val="single" w:color="000000" w:sz="4" w:space="0"/>
              <w:left w:val="single" w:color="000000" w:sz="4" w:space="0"/>
              <w:bottom w:val="single" w:color="000000" w:sz="4" w:space="0"/>
              <w:right w:val="single" w:color="000000" w:sz="4" w:space="0"/>
            </w:tcBorders>
            <w:vAlign w:val="center"/>
          </w:tcPr>
          <w:p w14:paraId="296936D5">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3FC3E0C9">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w:t>
            </w:r>
          </w:p>
        </w:tc>
        <w:tc>
          <w:tcPr>
            <w:tcW w:w="1113" w:type="dxa"/>
            <w:tcBorders>
              <w:top w:val="single" w:color="000000" w:sz="4" w:space="0"/>
              <w:left w:val="single" w:color="000000" w:sz="4" w:space="0"/>
              <w:bottom w:val="single" w:color="000000" w:sz="4" w:space="0"/>
              <w:right w:val="single" w:color="000000" w:sz="4" w:space="0"/>
            </w:tcBorders>
            <w:vAlign w:val="center"/>
          </w:tcPr>
          <w:p w14:paraId="137DAFE0">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蝶阀</w:t>
            </w:r>
          </w:p>
        </w:tc>
      </w:tr>
      <w:tr w14:paraId="725F25D5">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24E5324D">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17</w:t>
            </w:r>
          </w:p>
        </w:tc>
        <w:tc>
          <w:tcPr>
            <w:tcW w:w="2255" w:type="dxa"/>
            <w:tcBorders>
              <w:top w:val="single" w:color="000000" w:sz="4" w:space="0"/>
              <w:left w:val="single" w:color="000000" w:sz="4" w:space="0"/>
              <w:bottom w:val="single" w:color="000000" w:sz="4" w:space="0"/>
              <w:right w:val="single" w:color="000000" w:sz="4" w:space="0"/>
            </w:tcBorders>
            <w:vAlign w:val="center"/>
          </w:tcPr>
          <w:p w14:paraId="5A253FBA">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软环中压供水管道过滤器旁通阀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7166D35A">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DN450 PN25</w:t>
            </w:r>
          </w:p>
        </w:tc>
        <w:tc>
          <w:tcPr>
            <w:tcW w:w="723" w:type="dxa"/>
            <w:tcBorders>
              <w:top w:val="single" w:color="000000" w:sz="4" w:space="0"/>
              <w:left w:val="single" w:color="000000" w:sz="4" w:space="0"/>
              <w:bottom w:val="single" w:color="000000" w:sz="4" w:space="0"/>
              <w:right w:val="single" w:color="000000" w:sz="4" w:space="0"/>
            </w:tcBorders>
            <w:vAlign w:val="center"/>
          </w:tcPr>
          <w:p w14:paraId="32476536">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6B3B889C">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w:t>
            </w:r>
          </w:p>
        </w:tc>
        <w:tc>
          <w:tcPr>
            <w:tcW w:w="1113" w:type="dxa"/>
            <w:tcBorders>
              <w:top w:val="single" w:color="000000" w:sz="4" w:space="0"/>
              <w:left w:val="single" w:color="000000" w:sz="4" w:space="0"/>
              <w:bottom w:val="single" w:color="000000" w:sz="4" w:space="0"/>
              <w:right w:val="single" w:color="000000" w:sz="4" w:space="0"/>
            </w:tcBorders>
            <w:vAlign w:val="center"/>
          </w:tcPr>
          <w:p w14:paraId="1EAC27DF">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蝶阀</w:t>
            </w:r>
          </w:p>
        </w:tc>
      </w:tr>
      <w:tr w14:paraId="436B49FF">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021D3790">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18</w:t>
            </w:r>
          </w:p>
        </w:tc>
        <w:tc>
          <w:tcPr>
            <w:tcW w:w="2255" w:type="dxa"/>
            <w:tcBorders>
              <w:top w:val="single" w:color="000000" w:sz="4" w:space="0"/>
              <w:left w:val="single" w:color="000000" w:sz="4" w:space="0"/>
              <w:bottom w:val="single" w:color="000000" w:sz="4" w:space="0"/>
              <w:right w:val="single" w:color="000000" w:sz="4" w:space="0"/>
            </w:tcBorders>
            <w:vAlign w:val="center"/>
          </w:tcPr>
          <w:p w14:paraId="61F1115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软环高压事故管道逆至阀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6EA38D40">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DN350 PN25</w:t>
            </w:r>
          </w:p>
        </w:tc>
        <w:tc>
          <w:tcPr>
            <w:tcW w:w="723" w:type="dxa"/>
            <w:tcBorders>
              <w:top w:val="single" w:color="000000" w:sz="4" w:space="0"/>
              <w:left w:val="single" w:color="000000" w:sz="4" w:space="0"/>
              <w:bottom w:val="single" w:color="000000" w:sz="4" w:space="0"/>
              <w:right w:val="single" w:color="000000" w:sz="4" w:space="0"/>
            </w:tcBorders>
            <w:vAlign w:val="center"/>
          </w:tcPr>
          <w:p w14:paraId="58E15CD5">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194332BF">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w:t>
            </w:r>
          </w:p>
        </w:tc>
        <w:tc>
          <w:tcPr>
            <w:tcW w:w="1113" w:type="dxa"/>
            <w:tcBorders>
              <w:top w:val="single" w:color="000000" w:sz="4" w:space="0"/>
              <w:left w:val="single" w:color="000000" w:sz="4" w:space="0"/>
              <w:bottom w:val="single" w:color="000000" w:sz="4" w:space="0"/>
              <w:right w:val="single" w:color="000000" w:sz="4" w:space="0"/>
            </w:tcBorders>
            <w:vAlign w:val="center"/>
          </w:tcPr>
          <w:p w14:paraId="72DAC3D5">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逆止阀</w:t>
            </w:r>
          </w:p>
        </w:tc>
      </w:tr>
      <w:tr w14:paraId="468254C5">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2AA3B60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19</w:t>
            </w:r>
          </w:p>
        </w:tc>
        <w:tc>
          <w:tcPr>
            <w:tcW w:w="2255" w:type="dxa"/>
            <w:tcBorders>
              <w:top w:val="single" w:color="000000" w:sz="4" w:space="0"/>
              <w:left w:val="single" w:color="000000" w:sz="4" w:space="0"/>
              <w:bottom w:val="single" w:color="000000" w:sz="4" w:space="0"/>
              <w:right w:val="single" w:color="000000" w:sz="4" w:space="0"/>
            </w:tcBorders>
            <w:vAlign w:val="center"/>
          </w:tcPr>
          <w:p w14:paraId="7DFA2B73">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软环中压事故管道逆至阀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75D44F6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DN450 PN25</w:t>
            </w:r>
          </w:p>
        </w:tc>
        <w:tc>
          <w:tcPr>
            <w:tcW w:w="723" w:type="dxa"/>
            <w:tcBorders>
              <w:top w:val="single" w:color="000000" w:sz="4" w:space="0"/>
              <w:left w:val="single" w:color="000000" w:sz="4" w:space="0"/>
              <w:bottom w:val="single" w:color="000000" w:sz="4" w:space="0"/>
              <w:right w:val="single" w:color="000000" w:sz="4" w:space="0"/>
            </w:tcBorders>
            <w:vAlign w:val="center"/>
          </w:tcPr>
          <w:p w14:paraId="662F1E7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0A9E66B3">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w:t>
            </w:r>
          </w:p>
        </w:tc>
        <w:tc>
          <w:tcPr>
            <w:tcW w:w="1113" w:type="dxa"/>
            <w:tcBorders>
              <w:top w:val="single" w:color="000000" w:sz="4" w:space="0"/>
              <w:left w:val="single" w:color="000000" w:sz="4" w:space="0"/>
              <w:bottom w:val="single" w:color="000000" w:sz="4" w:space="0"/>
              <w:right w:val="single" w:color="000000" w:sz="4" w:space="0"/>
            </w:tcBorders>
            <w:vAlign w:val="center"/>
          </w:tcPr>
          <w:p w14:paraId="2FF038CC">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逆止阀</w:t>
            </w:r>
          </w:p>
        </w:tc>
      </w:tr>
      <w:tr w14:paraId="23512B86">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3CD45F36">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20</w:t>
            </w:r>
          </w:p>
        </w:tc>
        <w:tc>
          <w:tcPr>
            <w:tcW w:w="2255" w:type="dxa"/>
            <w:tcBorders>
              <w:top w:val="single" w:color="000000" w:sz="4" w:space="0"/>
              <w:left w:val="single" w:color="000000" w:sz="4" w:space="0"/>
              <w:bottom w:val="single" w:color="000000" w:sz="4" w:space="0"/>
              <w:right w:val="single" w:color="000000" w:sz="4" w:space="0"/>
            </w:tcBorders>
            <w:vAlign w:val="center"/>
          </w:tcPr>
          <w:p w14:paraId="4523A90C">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净环炉顶供水泵进水阀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5DF1FD2A">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DN200 PN16</w:t>
            </w:r>
          </w:p>
        </w:tc>
        <w:tc>
          <w:tcPr>
            <w:tcW w:w="723" w:type="dxa"/>
            <w:tcBorders>
              <w:top w:val="single" w:color="000000" w:sz="4" w:space="0"/>
              <w:left w:val="single" w:color="000000" w:sz="4" w:space="0"/>
              <w:bottom w:val="single" w:color="000000" w:sz="4" w:space="0"/>
              <w:right w:val="single" w:color="000000" w:sz="4" w:space="0"/>
            </w:tcBorders>
            <w:vAlign w:val="center"/>
          </w:tcPr>
          <w:p w14:paraId="26CBA49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222C73C4">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2</w:t>
            </w:r>
          </w:p>
        </w:tc>
        <w:tc>
          <w:tcPr>
            <w:tcW w:w="1113" w:type="dxa"/>
            <w:tcBorders>
              <w:top w:val="single" w:color="000000" w:sz="4" w:space="0"/>
              <w:left w:val="single" w:color="000000" w:sz="4" w:space="0"/>
              <w:bottom w:val="single" w:color="000000" w:sz="4" w:space="0"/>
              <w:right w:val="single" w:color="000000" w:sz="4" w:space="0"/>
            </w:tcBorders>
            <w:vAlign w:val="center"/>
          </w:tcPr>
          <w:p w14:paraId="1F4DC2A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长杆蝶阀</w:t>
            </w:r>
          </w:p>
        </w:tc>
      </w:tr>
      <w:tr w14:paraId="16CD1A8D">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1DDC6A04">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21</w:t>
            </w:r>
          </w:p>
        </w:tc>
        <w:tc>
          <w:tcPr>
            <w:tcW w:w="2255" w:type="dxa"/>
            <w:tcBorders>
              <w:top w:val="single" w:color="000000" w:sz="4" w:space="0"/>
              <w:left w:val="single" w:color="000000" w:sz="4" w:space="0"/>
              <w:bottom w:val="single" w:color="000000" w:sz="4" w:space="0"/>
              <w:right w:val="single" w:color="000000" w:sz="4" w:space="0"/>
            </w:tcBorders>
            <w:vAlign w:val="center"/>
          </w:tcPr>
          <w:p w14:paraId="41AF220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净环炉顶供水泵出水阀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34E73E06">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DN200 PN16</w:t>
            </w:r>
          </w:p>
        </w:tc>
        <w:tc>
          <w:tcPr>
            <w:tcW w:w="723" w:type="dxa"/>
            <w:tcBorders>
              <w:top w:val="single" w:color="000000" w:sz="4" w:space="0"/>
              <w:left w:val="single" w:color="000000" w:sz="4" w:space="0"/>
              <w:bottom w:val="single" w:color="000000" w:sz="4" w:space="0"/>
              <w:right w:val="single" w:color="000000" w:sz="4" w:space="0"/>
            </w:tcBorders>
            <w:vAlign w:val="center"/>
          </w:tcPr>
          <w:p w14:paraId="7050672D">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096AC4F3">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2</w:t>
            </w:r>
          </w:p>
        </w:tc>
        <w:tc>
          <w:tcPr>
            <w:tcW w:w="1113" w:type="dxa"/>
            <w:tcBorders>
              <w:top w:val="single" w:color="000000" w:sz="4" w:space="0"/>
              <w:left w:val="single" w:color="000000" w:sz="4" w:space="0"/>
              <w:bottom w:val="single" w:color="000000" w:sz="4" w:space="0"/>
              <w:right w:val="single" w:color="000000" w:sz="4" w:space="0"/>
            </w:tcBorders>
            <w:vAlign w:val="center"/>
          </w:tcPr>
          <w:p w14:paraId="4E52D9C6">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长杆蝶阀</w:t>
            </w:r>
          </w:p>
        </w:tc>
      </w:tr>
      <w:tr w14:paraId="7F2A82DC">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5510B208">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22</w:t>
            </w:r>
          </w:p>
        </w:tc>
        <w:tc>
          <w:tcPr>
            <w:tcW w:w="2255" w:type="dxa"/>
            <w:tcBorders>
              <w:top w:val="single" w:color="000000" w:sz="4" w:space="0"/>
              <w:left w:val="single" w:color="000000" w:sz="4" w:space="0"/>
              <w:bottom w:val="single" w:color="000000" w:sz="4" w:space="0"/>
              <w:right w:val="single" w:color="000000" w:sz="4" w:space="0"/>
            </w:tcBorders>
            <w:vAlign w:val="center"/>
          </w:tcPr>
          <w:p w14:paraId="4323548F">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净环炉顶供水泵水力阀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6D183441">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DN200 PN16</w:t>
            </w:r>
          </w:p>
        </w:tc>
        <w:tc>
          <w:tcPr>
            <w:tcW w:w="723" w:type="dxa"/>
            <w:tcBorders>
              <w:top w:val="single" w:color="000000" w:sz="4" w:space="0"/>
              <w:left w:val="single" w:color="000000" w:sz="4" w:space="0"/>
              <w:bottom w:val="single" w:color="000000" w:sz="4" w:space="0"/>
              <w:right w:val="single" w:color="000000" w:sz="4" w:space="0"/>
            </w:tcBorders>
            <w:vAlign w:val="center"/>
          </w:tcPr>
          <w:p w14:paraId="2098DAE9">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6E75C4BD">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2</w:t>
            </w:r>
          </w:p>
        </w:tc>
        <w:tc>
          <w:tcPr>
            <w:tcW w:w="1113" w:type="dxa"/>
            <w:tcBorders>
              <w:top w:val="single" w:color="000000" w:sz="4" w:space="0"/>
              <w:left w:val="single" w:color="000000" w:sz="4" w:space="0"/>
              <w:bottom w:val="single" w:color="000000" w:sz="4" w:space="0"/>
              <w:right w:val="single" w:color="000000" w:sz="4" w:space="0"/>
            </w:tcBorders>
            <w:vAlign w:val="center"/>
          </w:tcPr>
          <w:p w14:paraId="0D17812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水力阀</w:t>
            </w:r>
          </w:p>
        </w:tc>
      </w:tr>
      <w:tr w14:paraId="030654F3">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26772182">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23</w:t>
            </w:r>
          </w:p>
        </w:tc>
        <w:tc>
          <w:tcPr>
            <w:tcW w:w="2255" w:type="dxa"/>
            <w:tcBorders>
              <w:top w:val="single" w:color="000000" w:sz="4" w:space="0"/>
              <w:left w:val="single" w:color="000000" w:sz="4" w:space="0"/>
              <w:bottom w:val="single" w:color="000000" w:sz="4" w:space="0"/>
              <w:right w:val="single" w:color="000000" w:sz="4" w:space="0"/>
            </w:tcBorders>
            <w:vAlign w:val="center"/>
          </w:tcPr>
          <w:p w14:paraId="6EC25C9C">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净环综合供水泵进水阀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2C3F2BEB">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DN300 PN16</w:t>
            </w:r>
          </w:p>
        </w:tc>
        <w:tc>
          <w:tcPr>
            <w:tcW w:w="723" w:type="dxa"/>
            <w:tcBorders>
              <w:top w:val="single" w:color="000000" w:sz="4" w:space="0"/>
              <w:left w:val="single" w:color="000000" w:sz="4" w:space="0"/>
              <w:bottom w:val="single" w:color="000000" w:sz="4" w:space="0"/>
              <w:right w:val="single" w:color="000000" w:sz="4" w:space="0"/>
            </w:tcBorders>
            <w:vAlign w:val="center"/>
          </w:tcPr>
          <w:p w14:paraId="323B7EFB">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4561DFCA">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2</w:t>
            </w:r>
          </w:p>
        </w:tc>
        <w:tc>
          <w:tcPr>
            <w:tcW w:w="1113" w:type="dxa"/>
            <w:tcBorders>
              <w:top w:val="single" w:color="000000" w:sz="4" w:space="0"/>
              <w:left w:val="single" w:color="000000" w:sz="4" w:space="0"/>
              <w:bottom w:val="single" w:color="000000" w:sz="4" w:space="0"/>
              <w:right w:val="single" w:color="000000" w:sz="4" w:space="0"/>
            </w:tcBorders>
            <w:vAlign w:val="center"/>
          </w:tcPr>
          <w:p w14:paraId="5130A4A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长杆蝶阀</w:t>
            </w:r>
          </w:p>
        </w:tc>
      </w:tr>
      <w:tr w14:paraId="5FD6AFA8">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743611B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24</w:t>
            </w:r>
          </w:p>
        </w:tc>
        <w:tc>
          <w:tcPr>
            <w:tcW w:w="2255" w:type="dxa"/>
            <w:tcBorders>
              <w:top w:val="single" w:color="000000" w:sz="4" w:space="0"/>
              <w:left w:val="single" w:color="000000" w:sz="4" w:space="0"/>
              <w:bottom w:val="single" w:color="000000" w:sz="4" w:space="0"/>
              <w:right w:val="single" w:color="000000" w:sz="4" w:space="0"/>
            </w:tcBorders>
            <w:vAlign w:val="center"/>
          </w:tcPr>
          <w:p w14:paraId="2C5E1313">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净环综合供水泵出水阀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68C78E04">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DN300 PN16</w:t>
            </w:r>
          </w:p>
        </w:tc>
        <w:tc>
          <w:tcPr>
            <w:tcW w:w="723" w:type="dxa"/>
            <w:tcBorders>
              <w:top w:val="single" w:color="000000" w:sz="4" w:space="0"/>
              <w:left w:val="single" w:color="000000" w:sz="4" w:space="0"/>
              <w:bottom w:val="single" w:color="000000" w:sz="4" w:space="0"/>
              <w:right w:val="single" w:color="000000" w:sz="4" w:space="0"/>
            </w:tcBorders>
            <w:vAlign w:val="center"/>
          </w:tcPr>
          <w:p w14:paraId="3E7E754A">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7F75ABFD">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2</w:t>
            </w:r>
          </w:p>
        </w:tc>
        <w:tc>
          <w:tcPr>
            <w:tcW w:w="1113" w:type="dxa"/>
            <w:tcBorders>
              <w:top w:val="single" w:color="000000" w:sz="4" w:space="0"/>
              <w:left w:val="single" w:color="000000" w:sz="4" w:space="0"/>
              <w:bottom w:val="single" w:color="000000" w:sz="4" w:space="0"/>
              <w:right w:val="single" w:color="000000" w:sz="4" w:space="0"/>
            </w:tcBorders>
            <w:vAlign w:val="center"/>
          </w:tcPr>
          <w:p w14:paraId="0C95774C">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长杆蝶阀</w:t>
            </w:r>
          </w:p>
        </w:tc>
      </w:tr>
      <w:tr w14:paraId="2633F5E0">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549851DC">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25</w:t>
            </w:r>
          </w:p>
        </w:tc>
        <w:tc>
          <w:tcPr>
            <w:tcW w:w="2255" w:type="dxa"/>
            <w:tcBorders>
              <w:top w:val="single" w:color="000000" w:sz="4" w:space="0"/>
              <w:left w:val="single" w:color="000000" w:sz="4" w:space="0"/>
              <w:bottom w:val="single" w:color="000000" w:sz="4" w:space="0"/>
              <w:right w:val="single" w:color="000000" w:sz="4" w:space="0"/>
            </w:tcBorders>
            <w:vAlign w:val="center"/>
          </w:tcPr>
          <w:p w14:paraId="1D4BE0C5">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净环综合供水泵水力阀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1FBBD795">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DN300 PN16</w:t>
            </w:r>
          </w:p>
        </w:tc>
        <w:tc>
          <w:tcPr>
            <w:tcW w:w="723" w:type="dxa"/>
            <w:tcBorders>
              <w:top w:val="single" w:color="000000" w:sz="4" w:space="0"/>
              <w:left w:val="single" w:color="000000" w:sz="4" w:space="0"/>
              <w:bottom w:val="single" w:color="000000" w:sz="4" w:space="0"/>
              <w:right w:val="single" w:color="000000" w:sz="4" w:space="0"/>
            </w:tcBorders>
            <w:vAlign w:val="center"/>
          </w:tcPr>
          <w:p w14:paraId="36B052E5">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332E9A1C">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2</w:t>
            </w:r>
          </w:p>
        </w:tc>
        <w:tc>
          <w:tcPr>
            <w:tcW w:w="1113" w:type="dxa"/>
            <w:tcBorders>
              <w:top w:val="single" w:color="000000" w:sz="4" w:space="0"/>
              <w:left w:val="single" w:color="000000" w:sz="4" w:space="0"/>
              <w:bottom w:val="single" w:color="000000" w:sz="4" w:space="0"/>
              <w:right w:val="single" w:color="000000" w:sz="4" w:space="0"/>
            </w:tcBorders>
            <w:vAlign w:val="center"/>
          </w:tcPr>
          <w:p w14:paraId="21AAA0D0">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水力阀</w:t>
            </w:r>
          </w:p>
        </w:tc>
      </w:tr>
      <w:tr w14:paraId="5A0D9B4E">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458FE50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26</w:t>
            </w:r>
          </w:p>
        </w:tc>
        <w:tc>
          <w:tcPr>
            <w:tcW w:w="2255" w:type="dxa"/>
            <w:tcBorders>
              <w:top w:val="single" w:color="000000" w:sz="4" w:space="0"/>
              <w:left w:val="single" w:color="000000" w:sz="4" w:space="0"/>
              <w:bottom w:val="single" w:color="000000" w:sz="4" w:space="0"/>
              <w:right w:val="single" w:color="000000" w:sz="4" w:space="0"/>
            </w:tcBorders>
            <w:vAlign w:val="center"/>
          </w:tcPr>
          <w:p w14:paraId="7E9CEAE6">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净环增压供水泵进水阀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5E360901">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DN300 PN16</w:t>
            </w:r>
          </w:p>
        </w:tc>
        <w:tc>
          <w:tcPr>
            <w:tcW w:w="723" w:type="dxa"/>
            <w:tcBorders>
              <w:top w:val="single" w:color="000000" w:sz="4" w:space="0"/>
              <w:left w:val="single" w:color="000000" w:sz="4" w:space="0"/>
              <w:bottom w:val="single" w:color="000000" w:sz="4" w:space="0"/>
              <w:right w:val="single" w:color="000000" w:sz="4" w:space="0"/>
            </w:tcBorders>
            <w:vAlign w:val="center"/>
          </w:tcPr>
          <w:p w14:paraId="564318EF">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0E5AB508">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2</w:t>
            </w:r>
          </w:p>
        </w:tc>
        <w:tc>
          <w:tcPr>
            <w:tcW w:w="1113" w:type="dxa"/>
            <w:tcBorders>
              <w:top w:val="single" w:color="000000" w:sz="4" w:space="0"/>
              <w:left w:val="single" w:color="000000" w:sz="4" w:space="0"/>
              <w:bottom w:val="single" w:color="000000" w:sz="4" w:space="0"/>
              <w:right w:val="single" w:color="000000" w:sz="4" w:space="0"/>
            </w:tcBorders>
            <w:vAlign w:val="center"/>
          </w:tcPr>
          <w:p w14:paraId="497F003D">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蝶阀</w:t>
            </w:r>
          </w:p>
        </w:tc>
      </w:tr>
      <w:tr w14:paraId="32CB6972">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395AADBC">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27</w:t>
            </w:r>
          </w:p>
        </w:tc>
        <w:tc>
          <w:tcPr>
            <w:tcW w:w="2255" w:type="dxa"/>
            <w:tcBorders>
              <w:top w:val="single" w:color="000000" w:sz="4" w:space="0"/>
              <w:left w:val="single" w:color="000000" w:sz="4" w:space="0"/>
              <w:bottom w:val="single" w:color="000000" w:sz="4" w:space="0"/>
              <w:right w:val="single" w:color="000000" w:sz="4" w:space="0"/>
            </w:tcBorders>
            <w:vAlign w:val="center"/>
          </w:tcPr>
          <w:p w14:paraId="0E65A41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净环增压供水泵出水阀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6D2B18F1">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DN300 PN25</w:t>
            </w:r>
          </w:p>
        </w:tc>
        <w:tc>
          <w:tcPr>
            <w:tcW w:w="723" w:type="dxa"/>
            <w:tcBorders>
              <w:top w:val="single" w:color="000000" w:sz="4" w:space="0"/>
              <w:left w:val="single" w:color="000000" w:sz="4" w:space="0"/>
              <w:bottom w:val="single" w:color="000000" w:sz="4" w:space="0"/>
              <w:right w:val="single" w:color="000000" w:sz="4" w:space="0"/>
            </w:tcBorders>
            <w:vAlign w:val="center"/>
          </w:tcPr>
          <w:p w14:paraId="7A38D17D">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036FD365">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2</w:t>
            </w:r>
          </w:p>
        </w:tc>
        <w:tc>
          <w:tcPr>
            <w:tcW w:w="1113" w:type="dxa"/>
            <w:tcBorders>
              <w:top w:val="single" w:color="000000" w:sz="4" w:space="0"/>
              <w:left w:val="single" w:color="000000" w:sz="4" w:space="0"/>
              <w:bottom w:val="single" w:color="000000" w:sz="4" w:space="0"/>
              <w:right w:val="single" w:color="000000" w:sz="4" w:space="0"/>
            </w:tcBorders>
            <w:vAlign w:val="center"/>
          </w:tcPr>
          <w:p w14:paraId="78D68305">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蝶阀</w:t>
            </w:r>
          </w:p>
        </w:tc>
      </w:tr>
      <w:tr w14:paraId="673B435E">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096AE819">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28</w:t>
            </w:r>
          </w:p>
        </w:tc>
        <w:tc>
          <w:tcPr>
            <w:tcW w:w="2255" w:type="dxa"/>
            <w:tcBorders>
              <w:top w:val="single" w:color="000000" w:sz="4" w:space="0"/>
              <w:left w:val="single" w:color="000000" w:sz="4" w:space="0"/>
              <w:bottom w:val="single" w:color="000000" w:sz="4" w:space="0"/>
              <w:right w:val="single" w:color="000000" w:sz="4" w:space="0"/>
            </w:tcBorders>
            <w:vAlign w:val="center"/>
          </w:tcPr>
          <w:p w14:paraId="58F75E26">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净环增压供水泵水力阀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00CB2498">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DN300 PN16</w:t>
            </w:r>
          </w:p>
        </w:tc>
        <w:tc>
          <w:tcPr>
            <w:tcW w:w="723" w:type="dxa"/>
            <w:tcBorders>
              <w:top w:val="single" w:color="000000" w:sz="4" w:space="0"/>
              <w:left w:val="single" w:color="000000" w:sz="4" w:space="0"/>
              <w:bottom w:val="single" w:color="000000" w:sz="4" w:space="0"/>
              <w:right w:val="single" w:color="000000" w:sz="4" w:space="0"/>
            </w:tcBorders>
            <w:vAlign w:val="center"/>
          </w:tcPr>
          <w:p w14:paraId="06AC081C">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6B500EE7">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2</w:t>
            </w:r>
          </w:p>
        </w:tc>
        <w:tc>
          <w:tcPr>
            <w:tcW w:w="1113" w:type="dxa"/>
            <w:tcBorders>
              <w:top w:val="single" w:color="000000" w:sz="4" w:space="0"/>
              <w:left w:val="single" w:color="000000" w:sz="4" w:space="0"/>
              <w:bottom w:val="single" w:color="000000" w:sz="4" w:space="0"/>
              <w:right w:val="single" w:color="000000" w:sz="4" w:space="0"/>
            </w:tcBorders>
            <w:vAlign w:val="center"/>
          </w:tcPr>
          <w:p w14:paraId="3B9CA210">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水力阀</w:t>
            </w:r>
          </w:p>
        </w:tc>
      </w:tr>
      <w:tr w14:paraId="30788C47">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07E0E911">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29</w:t>
            </w:r>
          </w:p>
        </w:tc>
        <w:tc>
          <w:tcPr>
            <w:tcW w:w="2255" w:type="dxa"/>
            <w:tcBorders>
              <w:top w:val="single" w:color="000000" w:sz="4" w:space="0"/>
              <w:left w:val="single" w:color="000000" w:sz="4" w:space="0"/>
              <w:bottom w:val="single" w:color="000000" w:sz="4" w:space="0"/>
              <w:right w:val="single" w:color="000000" w:sz="4" w:space="0"/>
            </w:tcBorders>
            <w:vAlign w:val="center"/>
          </w:tcPr>
          <w:p w14:paraId="45FA4949">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净环喷淋供水泵进水阀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04538F41">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DN500 PN16</w:t>
            </w:r>
          </w:p>
        </w:tc>
        <w:tc>
          <w:tcPr>
            <w:tcW w:w="723" w:type="dxa"/>
            <w:tcBorders>
              <w:top w:val="single" w:color="000000" w:sz="4" w:space="0"/>
              <w:left w:val="single" w:color="000000" w:sz="4" w:space="0"/>
              <w:bottom w:val="single" w:color="000000" w:sz="4" w:space="0"/>
              <w:right w:val="single" w:color="000000" w:sz="4" w:space="0"/>
            </w:tcBorders>
            <w:vAlign w:val="center"/>
          </w:tcPr>
          <w:p w14:paraId="6A1B4CEB">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69758A65">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2</w:t>
            </w:r>
          </w:p>
        </w:tc>
        <w:tc>
          <w:tcPr>
            <w:tcW w:w="1113" w:type="dxa"/>
            <w:tcBorders>
              <w:top w:val="single" w:color="000000" w:sz="4" w:space="0"/>
              <w:left w:val="single" w:color="000000" w:sz="4" w:space="0"/>
              <w:bottom w:val="single" w:color="000000" w:sz="4" w:space="0"/>
              <w:right w:val="single" w:color="000000" w:sz="4" w:space="0"/>
            </w:tcBorders>
            <w:vAlign w:val="center"/>
          </w:tcPr>
          <w:p w14:paraId="1F806AE8">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蝶阀</w:t>
            </w:r>
          </w:p>
        </w:tc>
      </w:tr>
      <w:tr w14:paraId="32856CE7">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34E8CAA2">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30</w:t>
            </w:r>
          </w:p>
        </w:tc>
        <w:tc>
          <w:tcPr>
            <w:tcW w:w="2255" w:type="dxa"/>
            <w:tcBorders>
              <w:top w:val="single" w:color="000000" w:sz="4" w:space="0"/>
              <w:left w:val="single" w:color="000000" w:sz="4" w:space="0"/>
              <w:bottom w:val="single" w:color="000000" w:sz="4" w:space="0"/>
              <w:right w:val="single" w:color="000000" w:sz="4" w:space="0"/>
            </w:tcBorders>
            <w:vAlign w:val="center"/>
          </w:tcPr>
          <w:p w14:paraId="331491F6">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净环喷淋供水泵出水阀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12C4E87C">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DN450 PN25</w:t>
            </w:r>
          </w:p>
        </w:tc>
        <w:tc>
          <w:tcPr>
            <w:tcW w:w="723" w:type="dxa"/>
            <w:tcBorders>
              <w:top w:val="single" w:color="000000" w:sz="4" w:space="0"/>
              <w:left w:val="single" w:color="000000" w:sz="4" w:space="0"/>
              <w:bottom w:val="single" w:color="000000" w:sz="4" w:space="0"/>
              <w:right w:val="single" w:color="000000" w:sz="4" w:space="0"/>
            </w:tcBorders>
            <w:vAlign w:val="center"/>
          </w:tcPr>
          <w:p w14:paraId="6224B617">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119ADA3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2</w:t>
            </w:r>
          </w:p>
        </w:tc>
        <w:tc>
          <w:tcPr>
            <w:tcW w:w="1113" w:type="dxa"/>
            <w:tcBorders>
              <w:top w:val="single" w:color="000000" w:sz="4" w:space="0"/>
              <w:left w:val="single" w:color="000000" w:sz="4" w:space="0"/>
              <w:bottom w:val="single" w:color="000000" w:sz="4" w:space="0"/>
              <w:right w:val="single" w:color="000000" w:sz="4" w:space="0"/>
            </w:tcBorders>
            <w:vAlign w:val="center"/>
          </w:tcPr>
          <w:p w14:paraId="2ECDFA6C">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蝶阀</w:t>
            </w:r>
          </w:p>
        </w:tc>
      </w:tr>
      <w:tr w14:paraId="3134D840">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0A86DA4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31</w:t>
            </w:r>
          </w:p>
        </w:tc>
        <w:tc>
          <w:tcPr>
            <w:tcW w:w="2255" w:type="dxa"/>
            <w:tcBorders>
              <w:top w:val="single" w:color="000000" w:sz="4" w:space="0"/>
              <w:left w:val="single" w:color="000000" w:sz="4" w:space="0"/>
              <w:bottom w:val="single" w:color="000000" w:sz="4" w:space="0"/>
              <w:right w:val="single" w:color="000000" w:sz="4" w:space="0"/>
            </w:tcBorders>
            <w:vAlign w:val="center"/>
          </w:tcPr>
          <w:p w14:paraId="31CB8CEB">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净环喷淋供水泵水力阀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13FAFF25">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DN450 PN16</w:t>
            </w:r>
          </w:p>
        </w:tc>
        <w:tc>
          <w:tcPr>
            <w:tcW w:w="723" w:type="dxa"/>
            <w:tcBorders>
              <w:top w:val="single" w:color="000000" w:sz="4" w:space="0"/>
              <w:left w:val="single" w:color="000000" w:sz="4" w:space="0"/>
              <w:bottom w:val="single" w:color="000000" w:sz="4" w:space="0"/>
              <w:right w:val="single" w:color="000000" w:sz="4" w:space="0"/>
            </w:tcBorders>
            <w:vAlign w:val="center"/>
          </w:tcPr>
          <w:p w14:paraId="4CE620EB">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233B0811">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2</w:t>
            </w:r>
          </w:p>
        </w:tc>
        <w:tc>
          <w:tcPr>
            <w:tcW w:w="1113" w:type="dxa"/>
            <w:tcBorders>
              <w:top w:val="single" w:color="000000" w:sz="4" w:space="0"/>
              <w:left w:val="single" w:color="000000" w:sz="4" w:space="0"/>
              <w:bottom w:val="single" w:color="000000" w:sz="4" w:space="0"/>
              <w:right w:val="single" w:color="000000" w:sz="4" w:space="0"/>
            </w:tcBorders>
            <w:vAlign w:val="center"/>
          </w:tcPr>
          <w:p w14:paraId="0F1C645C">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水力阀</w:t>
            </w:r>
          </w:p>
        </w:tc>
      </w:tr>
      <w:tr w14:paraId="38E9BB1D">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44FBA8DA">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32</w:t>
            </w:r>
          </w:p>
        </w:tc>
        <w:tc>
          <w:tcPr>
            <w:tcW w:w="2255" w:type="dxa"/>
            <w:tcBorders>
              <w:top w:val="single" w:color="000000" w:sz="4" w:space="0"/>
              <w:left w:val="single" w:color="000000" w:sz="4" w:space="0"/>
              <w:bottom w:val="single" w:color="000000" w:sz="4" w:space="0"/>
              <w:right w:val="single" w:color="000000" w:sz="4" w:space="0"/>
            </w:tcBorders>
            <w:vAlign w:val="center"/>
          </w:tcPr>
          <w:p w14:paraId="420DDC96">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净环炉顶供水管道过滤器进水阀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1BC41BFF">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DN150 PN16</w:t>
            </w:r>
          </w:p>
        </w:tc>
        <w:tc>
          <w:tcPr>
            <w:tcW w:w="723" w:type="dxa"/>
            <w:tcBorders>
              <w:top w:val="single" w:color="000000" w:sz="4" w:space="0"/>
              <w:left w:val="single" w:color="000000" w:sz="4" w:space="0"/>
              <w:bottom w:val="single" w:color="000000" w:sz="4" w:space="0"/>
              <w:right w:val="single" w:color="000000" w:sz="4" w:space="0"/>
            </w:tcBorders>
            <w:vAlign w:val="center"/>
          </w:tcPr>
          <w:p w14:paraId="67420ACA">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6297B545">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w:t>
            </w:r>
          </w:p>
        </w:tc>
        <w:tc>
          <w:tcPr>
            <w:tcW w:w="1113" w:type="dxa"/>
            <w:tcBorders>
              <w:top w:val="single" w:color="000000" w:sz="4" w:space="0"/>
              <w:left w:val="single" w:color="000000" w:sz="4" w:space="0"/>
              <w:bottom w:val="single" w:color="000000" w:sz="4" w:space="0"/>
              <w:right w:val="single" w:color="000000" w:sz="4" w:space="0"/>
            </w:tcBorders>
            <w:vAlign w:val="center"/>
          </w:tcPr>
          <w:p w14:paraId="325E4639">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蝶阀</w:t>
            </w:r>
          </w:p>
        </w:tc>
      </w:tr>
      <w:tr w14:paraId="43D1AB79">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085518F4">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33</w:t>
            </w:r>
          </w:p>
        </w:tc>
        <w:tc>
          <w:tcPr>
            <w:tcW w:w="2255" w:type="dxa"/>
            <w:tcBorders>
              <w:top w:val="single" w:color="000000" w:sz="4" w:space="0"/>
              <w:left w:val="single" w:color="000000" w:sz="4" w:space="0"/>
              <w:bottom w:val="single" w:color="000000" w:sz="4" w:space="0"/>
              <w:right w:val="single" w:color="000000" w:sz="4" w:space="0"/>
            </w:tcBorders>
            <w:vAlign w:val="center"/>
          </w:tcPr>
          <w:p w14:paraId="5BD7EFC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净环炉顶供水管道过滤器出水阀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79E39EE0">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DN150 PN16</w:t>
            </w:r>
          </w:p>
        </w:tc>
        <w:tc>
          <w:tcPr>
            <w:tcW w:w="723" w:type="dxa"/>
            <w:tcBorders>
              <w:top w:val="single" w:color="000000" w:sz="4" w:space="0"/>
              <w:left w:val="single" w:color="000000" w:sz="4" w:space="0"/>
              <w:bottom w:val="single" w:color="000000" w:sz="4" w:space="0"/>
              <w:right w:val="single" w:color="000000" w:sz="4" w:space="0"/>
            </w:tcBorders>
            <w:vAlign w:val="center"/>
          </w:tcPr>
          <w:p w14:paraId="7A0CA0DA">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3A116BD1">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w:t>
            </w:r>
          </w:p>
        </w:tc>
        <w:tc>
          <w:tcPr>
            <w:tcW w:w="1113" w:type="dxa"/>
            <w:tcBorders>
              <w:top w:val="single" w:color="000000" w:sz="4" w:space="0"/>
              <w:left w:val="single" w:color="000000" w:sz="4" w:space="0"/>
              <w:bottom w:val="single" w:color="000000" w:sz="4" w:space="0"/>
              <w:right w:val="single" w:color="000000" w:sz="4" w:space="0"/>
            </w:tcBorders>
            <w:vAlign w:val="center"/>
          </w:tcPr>
          <w:p w14:paraId="5D84F366">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蝶阀</w:t>
            </w:r>
          </w:p>
        </w:tc>
      </w:tr>
      <w:tr w14:paraId="0F75B430">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4929B6A7">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34</w:t>
            </w:r>
          </w:p>
        </w:tc>
        <w:tc>
          <w:tcPr>
            <w:tcW w:w="2255" w:type="dxa"/>
            <w:tcBorders>
              <w:top w:val="single" w:color="000000" w:sz="4" w:space="0"/>
              <w:left w:val="single" w:color="000000" w:sz="4" w:space="0"/>
              <w:bottom w:val="single" w:color="000000" w:sz="4" w:space="0"/>
              <w:right w:val="single" w:color="000000" w:sz="4" w:space="0"/>
            </w:tcBorders>
            <w:vAlign w:val="center"/>
          </w:tcPr>
          <w:p w14:paraId="2059444B">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净环炉顶供水管道过滤器旁通阀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2D98D8DA">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DN200 PN16</w:t>
            </w:r>
          </w:p>
        </w:tc>
        <w:tc>
          <w:tcPr>
            <w:tcW w:w="723" w:type="dxa"/>
            <w:tcBorders>
              <w:top w:val="single" w:color="000000" w:sz="4" w:space="0"/>
              <w:left w:val="single" w:color="000000" w:sz="4" w:space="0"/>
              <w:bottom w:val="single" w:color="000000" w:sz="4" w:space="0"/>
              <w:right w:val="single" w:color="000000" w:sz="4" w:space="0"/>
            </w:tcBorders>
            <w:vAlign w:val="center"/>
          </w:tcPr>
          <w:p w14:paraId="7DDDB78D">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1C56D5E3">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w:t>
            </w:r>
          </w:p>
        </w:tc>
        <w:tc>
          <w:tcPr>
            <w:tcW w:w="1113" w:type="dxa"/>
            <w:tcBorders>
              <w:top w:val="single" w:color="000000" w:sz="4" w:space="0"/>
              <w:left w:val="single" w:color="000000" w:sz="4" w:space="0"/>
              <w:bottom w:val="single" w:color="000000" w:sz="4" w:space="0"/>
              <w:right w:val="single" w:color="000000" w:sz="4" w:space="0"/>
            </w:tcBorders>
            <w:vAlign w:val="center"/>
          </w:tcPr>
          <w:p w14:paraId="61F91270">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蝶阀</w:t>
            </w:r>
          </w:p>
        </w:tc>
      </w:tr>
      <w:tr w14:paraId="5C48EEBD">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7E44E730">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35</w:t>
            </w:r>
          </w:p>
        </w:tc>
        <w:tc>
          <w:tcPr>
            <w:tcW w:w="2255" w:type="dxa"/>
            <w:tcBorders>
              <w:top w:val="single" w:color="000000" w:sz="4" w:space="0"/>
              <w:left w:val="single" w:color="000000" w:sz="4" w:space="0"/>
              <w:bottom w:val="single" w:color="000000" w:sz="4" w:space="0"/>
              <w:right w:val="single" w:color="000000" w:sz="4" w:space="0"/>
            </w:tcBorders>
            <w:vAlign w:val="center"/>
          </w:tcPr>
          <w:p w14:paraId="15B0917D">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净环综合供水管道过滤器进水阀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5BBE8D42">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DN250 PN16</w:t>
            </w:r>
          </w:p>
        </w:tc>
        <w:tc>
          <w:tcPr>
            <w:tcW w:w="723" w:type="dxa"/>
            <w:tcBorders>
              <w:top w:val="single" w:color="000000" w:sz="4" w:space="0"/>
              <w:left w:val="single" w:color="000000" w:sz="4" w:space="0"/>
              <w:bottom w:val="single" w:color="000000" w:sz="4" w:space="0"/>
              <w:right w:val="single" w:color="000000" w:sz="4" w:space="0"/>
            </w:tcBorders>
            <w:vAlign w:val="center"/>
          </w:tcPr>
          <w:p w14:paraId="1790D32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16B89D29">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w:t>
            </w:r>
          </w:p>
        </w:tc>
        <w:tc>
          <w:tcPr>
            <w:tcW w:w="1113" w:type="dxa"/>
            <w:tcBorders>
              <w:top w:val="single" w:color="000000" w:sz="4" w:space="0"/>
              <w:left w:val="single" w:color="000000" w:sz="4" w:space="0"/>
              <w:bottom w:val="single" w:color="000000" w:sz="4" w:space="0"/>
              <w:right w:val="single" w:color="000000" w:sz="4" w:space="0"/>
            </w:tcBorders>
            <w:vAlign w:val="center"/>
          </w:tcPr>
          <w:p w14:paraId="641FFE9F">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蝶阀</w:t>
            </w:r>
          </w:p>
        </w:tc>
      </w:tr>
      <w:tr w14:paraId="58334564">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3769330B">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36</w:t>
            </w:r>
          </w:p>
        </w:tc>
        <w:tc>
          <w:tcPr>
            <w:tcW w:w="2255" w:type="dxa"/>
            <w:tcBorders>
              <w:top w:val="single" w:color="000000" w:sz="4" w:space="0"/>
              <w:left w:val="single" w:color="000000" w:sz="4" w:space="0"/>
              <w:bottom w:val="single" w:color="000000" w:sz="4" w:space="0"/>
              <w:right w:val="single" w:color="000000" w:sz="4" w:space="0"/>
            </w:tcBorders>
            <w:vAlign w:val="center"/>
          </w:tcPr>
          <w:p w14:paraId="1D6D0F09">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净环综合供水管道过滤器出水阀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3CC48A44">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DN250 PN16</w:t>
            </w:r>
          </w:p>
        </w:tc>
        <w:tc>
          <w:tcPr>
            <w:tcW w:w="723" w:type="dxa"/>
            <w:tcBorders>
              <w:top w:val="single" w:color="000000" w:sz="4" w:space="0"/>
              <w:left w:val="single" w:color="000000" w:sz="4" w:space="0"/>
              <w:bottom w:val="single" w:color="000000" w:sz="4" w:space="0"/>
              <w:right w:val="single" w:color="000000" w:sz="4" w:space="0"/>
            </w:tcBorders>
            <w:vAlign w:val="center"/>
          </w:tcPr>
          <w:p w14:paraId="673754CB">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273AFE84">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w:t>
            </w:r>
          </w:p>
        </w:tc>
        <w:tc>
          <w:tcPr>
            <w:tcW w:w="1113" w:type="dxa"/>
            <w:tcBorders>
              <w:top w:val="single" w:color="000000" w:sz="4" w:space="0"/>
              <w:left w:val="single" w:color="000000" w:sz="4" w:space="0"/>
              <w:bottom w:val="single" w:color="000000" w:sz="4" w:space="0"/>
              <w:right w:val="single" w:color="000000" w:sz="4" w:space="0"/>
            </w:tcBorders>
            <w:vAlign w:val="center"/>
          </w:tcPr>
          <w:p w14:paraId="0DD07CDC">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蝶阀</w:t>
            </w:r>
          </w:p>
        </w:tc>
      </w:tr>
      <w:tr w14:paraId="04155D98">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19A60EA3">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37</w:t>
            </w:r>
          </w:p>
        </w:tc>
        <w:tc>
          <w:tcPr>
            <w:tcW w:w="2255" w:type="dxa"/>
            <w:tcBorders>
              <w:top w:val="single" w:color="000000" w:sz="4" w:space="0"/>
              <w:left w:val="single" w:color="000000" w:sz="4" w:space="0"/>
              <w:bottom w:val="single" w:color="000000" w:sz="4" w:space="0"/>
              <w:right w:val="single" w:color="000000" w:sz="4" w:space="0"/>
            </w:tcBorders>
            <w:vAlign w:val="center"/>
          </w:tcPr>
          <w:p w14:paraId="15606BEB">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净环综合供水管道过滤器旁通阀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13535711">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DN300 PN16</w:t>
            </w:r>
          </w:p>
        </w:tc>
        <w:tc>
          <w:tcPr>
            <w:tcW w:w="723" w:type="dxa"/>
            <w:tcBorders>
              <w:top w:val="single" w:color="000000" w:sz="4" w:space="0"/>
              <w:left w:val="single" w:color="000000" w:sz="4" w:space="0"/>
              <w:bottom w:val="single" w:color="000000" w:sz="4" w:space="0"/>
              <w:right w:val="single" w:color="000000" w:sz="4" w:space="0"/>
            </w:tcBorders>
            <w:vAlign w:val="center"/>
          </w:tcPr>
          <w:p w14:paraId="1B1EA914">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70CCBBE7">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w:t>
            </w:r>
          </w:p>
        </w:tc>
        <w:tc>
          <w:tcPr>
            <w:tcW w:w="1113" w:type="dxa"/>
            <w:tcBorders>
              <w:top w:val="single" w:color="000000" w:sz="4" w:space="0"/>
              <w:left w:val="single" w:color="000000" w:sz="4" w:space="0"/>
              <w:bottom w:val="single" w:color="000000" w:sz="4" w:space="0"/>
              <w:right w:val="single" w:color="000000" w:sz="4" w:space="0"/>
            </w:tcBorders>
            <w:vAlign w:val="center"/>
          </w:tcPr>
          <w:p w14:paraId="0CBE1D47">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蝶阀</w:t>
            </w:r>
          </w:p>
        </w:tc>
      </w:tr>
      <w:tr w14:paraId="36661726">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370E6CDF">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38</w:t>
            </w:r>
          </w:p>
        </w:tc>
        <w:tc>
          <w:tcPr>
            <w:tcW w:w="2255" w:type="dxa"/>
            <w:tcBorders>
              <w:top w:val="single" w:color="000000" w:sz="4" w:space="0"/>
              <w:left w:val="single" w:color="000000" w:sz="4" w:space="0"/>
              <w:bottom w:val="single" w:color="000000" w:sz="4" w:space="0"/>
              <w:right w:val="single" w:color="000000" w:sz="4" w:space="0"/>
            </w:tcBorders>
            <w:vAlign w:val="center"/>
          </w:tcPr>
          <w:p w14:paraId="58FBAC3F">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净环增压供水管道过滤器进水阀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603A79F3">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DN300 PN16</w:t>
            </w:r>
          </w:p>
        </w:tc>
        <w:tc>
          <w:tcPr>
            <w:tcW w:w="723" w:type="dxa"/>
            <w:tcBorders>
              <w:top w:val="single" w:color="000000" w:sz="4" w:space="0"/>
              <w:left w:val="single" w:color="000000" w:sz="4" w:space="0"/>
              <w:bottom w:val="single" w:color="000000" w:sz="4" w:space="0"/>
              <w:right w:val="single" w:color="000000" w:sz="4" w:space="0"/>
            </w:tcBorders>
            <w:vAlign w:val="center"/>
          </w:tcPr>
          <w:p w14:paraId="514B3D3C">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5F21297C">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w:t>
            </w:r>
          </w:p>
        </w:tc>
        <w:tc>
          <w:tcPr>
            <w:tcW w:w="1113" w:type="dxa"/>
            <w:tcBorders>
              <w:top w:val="single" w:color="000000" w:sz="4" w:space="0"/>
              <w:left w:val="single" w:color="000000" w:sz="4" w:space="0"/>
              <w:bottom w:val="single" w:color="000000" w:sz="4" w:space="0"/>
              <w:right w:val="single" w:color="000000" w:sz="4" w:space="0"/>
            </w:tcBorders>
            <w:vAlign w:val="center"/>
          </w:tcPr>
          <w:p w14:paraId="089986DC">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蝶阀</w:t>
            </w:r>
          </w:p>
        </w:tc>
      </w:tr>
      <w:tr w14:paraId="17869D10">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18821969">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39</w:t>
            </w:r>
          </w:p>
        </w:tc>
        <w:tc>
          <w:tcPr>
            <w:tcW w:w="2255" w:type="dxa"/>
            <w:tcBorders>
              <w:top w:val="single" w:color="000000" w:sz="4" w:space="0"/>
              <w:left w:val="single" w:color="000000" w:sz="4" w:space="0"/>
              <w:bottom w:val="single" w:color="000000" w:sz="4" w:space="0"/>
              <w:right w:val="single" w:color="000000" w:sz="4" w:space="0"/>
            </w:tcBorders>
            <w:vAlign w:val="center"/>
          </w:tcPr>
          <w:p w14:paraId="3F6F0320">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净环增压供水管道过滤器出水阀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6A5DA0B2">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DN300 PN16</w:t>
            </w:r>
          </w:p>
        </w:tc>
        <w:tc>
          <w:tcPr>
            <w:tcW w:w="723" w:type="dxa"/>
            <w:tcBorders>
              <w:top w:val="single" w:color="000000" w:sz="4" w:space="0"/>
              <w:left w:val="single" w:color="000000" w:sz="4" w:space="0"/>
              <w:bottom w:val="single" w:color="000000" w:sz="4" w:space="0"/>
              <w:right w:val="single" w:color="000000" w:sz="4" w:space="0"/>
            </w:tcBorders>
            <w:vAlign w:val="center"/>
          </w:tcPr>
          <w:p w14:paraId="6DDB30B8">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38256DE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w:t>
            </w:r>
          </w:p>
        </w:tc>
        <w:tc>
          <w:tcPr>
            <w:tcW w:w="1113" w:type="dxa"/>
            <w:tcBorders>
              <w:top w:val="single" w:color="000000" w:sz="4" w:space="0"/>
              <w:left w:val="single" w:color="000000" w:sz="4" w:space="0"/>
              <w:bottom w:val="single" w:color="000000" w:sz="4" w:space="0"/>
              <w:right w:val="single" w:color="000000" w:sz="4" w:space="0"/>
            </w:tcBorders>
            <w:vAlign w:val="center"/>
          </w:tcPr>
          <w:p w14:paraId="645F327F">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蝶阀</w:t>
            </w:r>
          </w:p>
        </w:tc>
      </w:tr>
      <w:tr w14:paraId="4DF4EC2D">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34D182BC">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40</w:t>
            </w:r>
          </w:p>
        </w:tc>
        <w:tc>
          <w:tcPr>
            <w:tcW w:w="2255" w:type="dxa"/>
            <w:tcBorders>
              <w:top w:val="single" w:color="000000" w:sz="4" w:space="0"/>
              <w:left w:val="single" w:color="000000" w:sz="4" w:space="0"/>
              <w:bottom w:val="single" w:color="000000" w:sz="4" w:space="0"/>
              <w:right w:val="single" w:color="000000" w:sz="4" w:space="0"/>
            </w:tcBorders>
            <w:vAlign w:val="center"/>
          </w:tcPr>
          <w:p w14:paraId="4015BEF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净环增压供水管道过滤器旁通阀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5824F997">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DN300 PN16</w:t>
            </w:r>
          </w:p>
        </w:tc>
        <w:tc>
          <w:tcPr>
            <w:tcW w:w="723" w:type="dxa"/>
            <w:tcBorders>
              <w:top w:val="single" w:color="000000" w:sz="4" w:space="0"/>
              <w:left w:val="single" w:color="000000" w:sz="4" w:space="0"/>
              <w:bottom w:val="single" w:color="000000" w:sz="4" w:space="0"/>
              <w:right w:val="single" w:color="000000" w:sz="4" w:space="0"/>
            </w:tcBorders>
            <w:vAlign w:val="center"/>
          </w:tcPr>
          <w:p w14:paraId="036DACA4">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7B9DFA39">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w:t>
            </w:r>
          </w:p>
        </w:tc>
        <w:tc>
          <w:tcPr>
            <w:tcW w:w="1113" w:type="dxa"/>
            <w:tcBorders>
              <w:top w:val="single" w:color="000000" w:sz="4" w:space="0"/>
              <w:left w:val="single" w:color="000000" w:sz="4" w:space="0"/>
              <w:bottom w:val="single" w:color="000000" w:sz="4" w:space="0"/>
              <w:right w:val="single" w:color="000000" w:sz="4" w:space="0"/>
            </w:tcBorders>
            <w:vAlign w:val="center"/>
          </w:tcPr>
          <w:p w14:paraId="7DBBB937">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蝶阀</w:t>
            </w:r>
          </w:p>
        </w:tc>
      </w:tr>
      <w:tr w14:paraId="3AA2E1D4">
        <w:tblPrEx>
          <w:tblCellMar>
            <w:top w:w="0" w:type="dxa"/>
            <w:left w:w="108" w:type="dxa"/>
            <w:bottom w:w="0" w:type="dxa"/>
            <w:right w:w="108" w:type="dxa"/>
          </w:tblCellMar>
        </w:tblPrEx>
        <w:trPr>
          <w:trHeight w:val="68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5D7B5941">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41</w:t>
            </w:r>
          </w:p>
        </w:tc>
        <w:tc>
          <w:tcPr>
            <w:tcW w:w="2255" w:type="dxa"/>
            <w:tcBorders>
              <w:top w:val="single" w:color="000000" w:sz="4" w:space="0"/>
              <w:left w:val="single" w:color="000000" w:sz="4" w:space="0"/>
              <w:bottom w:val="single" w:color="000000" w:sz="4" w:space="0"/>
              <w:right w:val="single" w:color="000000" w:sz="4" w:space="0"/>
            </w:tcBorders>
            <w:vAlign w:val="center"/>
          </w:tcPr>
          <w:p w14:paraId="46D152F6">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软环主供水管道过滤器滤芯</w:t>
            </w:r>
          </w:p>
        </w:tc>
        <w:tc>
          <w:tcPr>
            <w:tcW w:w="2954" w:type="dxa"/>
            <w:tcBorders>
              <w:top w:val="single" w:color="000000" w:sz="4" w:space="0"/>
              <w:left w:val="single" w:color="000000" w:sz="4" w:space="0"/>
              <w:bottom w:val="single" w:color="000000" w:sz="4" w:space="0"/>
              <w:right w:val="single" w:color="000000" w:sz="4" w:space="0"/>
            </w:tcBorders>
            <w:vAlign w:val="center"/>
          </w:tcPr>
          <w:p w14:paraId="262ED61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型号：ZQX-1600 过滤精度1000um</w:t>
            </w:r>
            <w:r>
              <w:rPr>
                <w:rFonts w:hint="eastAsia" w:cs="宋体"/>
                <w:color w:val="auto"/>
                <w:kern w:val="0"/>
                <w:sz w:val="21"/>
                <w:szCs w:val="21"/>
                <w:highlight w:val="none"/>
                <w:lang w:bidi="ar"/>
              </w:rPr>
              <w:br w:type="textWrapping"/>
            </w:r>
            <w:r>
              <w:rPr>
                <w:rFonts w:hint="eastAsia" w:cs="宋体"/>
                <w:color w:val="auto"/>
                <w:kern w:val="0"/>
                <w:sz w:val="21"/>
                <w:szCs w:val="21"/>
                <w:highlight w:val="none"/>
                <w:lang w:bidi="ar"/>
              </w:rPr>
              <w:t>流量2880m3/h、压力1.6Mpa</w:t>
            </w:r>
          </w:p>
        </w:tc>
        <w:tc>
          <w:tcPr>
            <w:tcW w:w="723" w:type="dxa"/>
            <w:tcBorders>
              <w:top w:val="single" w:color="000000" w:sz="4" w:space="0"/>
              <w:left w:val="single" w:color="000000" w:sz="4" w:space="0"/>
              <w:bottom w:val="single" w:color="000000" w:sz="4" w:space="0"/>
              <w:right w:val="single" w:color="000000" w:sz="4" w:space="0"/>
            </w:tcBorders>
            <w:vAlign w:val="center"/>
          </w:tcPr>
          <w:p w14:paraId="658F3D78">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496CD106">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w:t>
            </w:r>
          </w:p>
        </w:tc>
        <w:tc>
          <w:tcPr>
            <w:tcW w:w="1113" w:type="dxa"/>
            <w:tcBorders>
              <w:top w:val="single" w:color="000000" w:sz="4" w:space="0"/>
              <w:left w:val="single" w:color="000000" w:sz="4" w:space="0"/>
              <w:bottom w:val="single" w:color="000000" w:sz="4" w:space="0"/>
              <w:right w:val="single" w:color="000000" w:sz="4" w:space="0"/>
            </w:tcBorders>
            <w:vAlign w:val="center"/>
          </w:tcPr>
          <w:p w14:paraId="65A309B2">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滤芯</w:t>
            </w:r>
          </w:p>
        </w:tc>
      </w:tr>
      <w:tr w14:paraId="2FC12F37">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599BDE17">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42</w:t>
            </w:r>
          </w:p>
        </w:tc>
        <w:tc>
          <w:tcPr>
            <w:tcW w:w="2255" w:type="dxa"/>
            <w:tcBorders>
              <w:top w:val="single" w:color="000000" w:sz="4" w:space="0"/>
              <w:left w:val="single" w:color="000000" w:sz="4" w:space="0"/>
              <w:bottom w:val="single" w:color="000000" w:sz="4" w:space="0"/>
              <w:right w:val="single" w:color="000000" w:sz="4" w:space="0"/>
            </w:tcBorders>
            <w:vAlign w:val="center"/>
          </w:tcPr>
          <w:p w14:paraId="348B0B37">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软环高压供水管道过滤器滤芯</w:t>
            </w:r>
          </w:p>
        </w:tc>
        <w:tc>
          <w:tcPr>
            <w:tcW w:w="2954" w:type="dxa"/>
            <w:tcBorders>
              <w:top w:val="single" w:color="000000" w:sz="4" w:space="0"/>
              <w:left w:val="single" w:color="000000" w:sz="4" w:space="0"/>
              <w:bottom w:val="single" w:color="000000" w:sz="4" w:space="0"/>
              <w:right w:val="single" w:color="000000" w:sz="4" w:space="0"/>
            </w:tcBorders>
            <w:vAlign w:val="center"/>
          </w:tcPr>
          <w:p w14:paraId="408B16F5">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型号：FL-350 过滤精度1000um</w:t>
            </w:r>
            <w:r>
              <w:rPr>
                <w:rFonts w:hint="eastAsia" w:cs="宋体"/>
                <w:color w:val="auto"/>
                <w:kern w:val="0"/>
                <w:sz w:val="21"/>
                <w:szCs w:val="21"/>
                <w:highlight w:val="none"/>
                <w:lang w:bidi="ar"/>
              </w:rPr>
              <w:br w:type="textWrapping"/>
            </w:r>
            <w:r>
              <w:rPr>
                <w:rFonts w:hint="eastAsia" w:cs="宋体"/>
                <w:color w:val="auto"/>
                <w:kern w:val="0"/>
                <w:sz w:val="21"/>
                <w:szCs w:val="21"/>
                <w:highlight w:val="none"/>
                <w:lang w:bidi="ar"/>
              </w:rPr>
              <w:t>流量630m3/h、压力2.5Mpa</w:t>
            </w:r>
          </w:p>
        </w:tc>
        <w:tc>
          <w:tcPr>
            <w:tcW w:w="723" w:type="dxa"/>
            <w:tcBorders>
              <w:top w:val="single" w:color="000000" w:sz="4" w:space="0"/>
              <w:left w:val="single" w:color="000000" w:sz="4" w:space="0"/>
              <w:bottom w:val="single" w:color="000000" w:sz="4" w:space="0"/>
              <w:right w:val="single" w:color="000000" w:sz="4" w:space="0"/>
            </w:tcBorders>
            <w:vAlign w:val="center"/>
          </w:tcPr>
          <w:p w14:paraId="01DD969A">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3EF1D114">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w:t>
            </w:r>
          </w:p>
        </w:tc>
        <w:tc>
          <w:tcPr>
            <w:tcW w:w="1113" w:type="dxa"/>
            <w:tcBorders>
              <w:top w:val="single" w:color="000000" w:sz="4" w:space="0"/>
              <w:left w:val="single" w:color="000000" w:sz="4" w:space="0"/>
              <w:bottom w:val="single" w:color="000000" w:sz="4" w:space="0"/>
              <w:right w:val="single" w:color="000000" w:sz="4" w:space="0"/>
            </w:tcBorders>
            <w:vAlign w:val="center"/>
          </w:tcPr>
          <w:p w14:paraId="13B1D3B4">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滤芯</w:t>
            </w:r>
          </w:p>
        </w:tc>
      </w:tr>
      <w:tr w14:paraId="756BECCF">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304B930F">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43</w:t>
            </w:r>
          </w:p>
        </w:tc>
        <w:tc>
          <w:tcPr>
            <w:tcW w:w="2255" w:type="dxa"/>
            <w:tcBorders>
              <w:top w:val="single" w:color="000000" w:sz="4" w:space="0"/>
              <w:left w:val="single" w:color="000000" w:sz="4" w:space="0"/>
              <w:bottom w:val="single" w:color="000000" w:sz="4" w:space="0"/>
              <w:right w:val="single" w:color="000000" w:sz="4" w:space="0"/>
            </w:tcBorders>
            <w:vAlign w:val="center"/>
          </w:tcPr>
          <w:p w14:paraId="763DE748">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软环中压供水管道过滤器滤芯</w:t>
            </w:r>
          </w:p>
        </w:tc>
        <w:tc>
          <w:tcPr>
            <w:tcW w:w="2954" w:type="dxa"/>
            <w:tcBorders>
              <w:top w:val="single" w:color="000000" w:sz="4" w:space="0"/>
              <w:left w:val="single" w:color="000000" w:sz="4" w:space="0"/>
              <w:bottom w:val="single" w:color="000000" w:sz="4" w:space="0"/>
              <w:right w:val="single" w:color="000000" w:sz="4" w:space="0"/>
            </w:tcBorders>
            <w:vAlign w:val="center"/>
          </w:tcPr>
          <w:p w14:paraId="580C33A0">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型号：FL-450 过滤精度1000um</w:t>
            </w:r>
            <w:r>
              <w:rPr>
                <w:rFonts w:hint="eastAsia" w:cs="宋体"/>
                <w:color w:val="auto"/>
                <w:kern w:val="0"/>
                <w:sz w:val="21"/>
                <w:szCs w:val="21"/>
                <w:highlight w:val="none"/>
                <w:lang w:bidi="ar"/>
              </w:rPr>
              <w:br w:type="textWrapping"/>
            </w:r>
            <w:r>
              <w:rPr>
                <w:rFonts w:hint="eastAsia" w:cs="宋体"/>
                <w:color w:val="auto"/>
                <w:kern w:val="0"/>
                <w:sz w:val="21"/>
                <w:szCs w:val="21"/>
                <w:highlight w:val="none"/>
                <w:lang w:bidi="ar"/>
              </w:rPr>
              <w:t>流量1254m3/h、压力2.5Mpa</w:t>
            </w:r>
          </w:p>
        </w:tc>
        <w:tc>
          <w:tcPr>
            <w:tcW w:w="723" w:type="dxa"/>
            <w:tcBorders>
              <w:top w:val="single" w:color="000000" w:sz="4" w:space="0"/>
              <w:left w:val="single" w:color="000000" w:sz="4" w:space="0"/>
              <w:bottom w:val="single" w:color="000000" w:sz="4" w:space="0"/>
              <w:right w:val="single" w:color="000000" w:sz="4" w:space="0"/>
            </w:tcBorders>
            <w:vAlign w:val="center"/>
          </w:tcPr>
          <w:p w14:paraId="0026D3B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72FD40C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w:t>
            </w:r>
          </w:p>
        </w:tc>
        <w:tc>
          <w:tcPr>
            <w:tcW w:w="1113" w:type="dxa"/>
            <w:tcBorders>
              <w:top w:val="single" w:color="000000" w:sz="4" w:space="0"/>
              <w:left w:val="single" w:color="000000" w:sz="4" w:space="0"/>
              <w:bottom w:val="single" w:color="000000" w:sz="4" w:space="0"/>
              <w:right w:val="single" w:color="000000" w:sz="4" w:space="0"/>
            </w:tcBorders>
            <w:vAlign w:val="center"/>
          </w:tcPr>
          <w:p w14:paraId="167E3CB1">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滤芯</w:t>
            </w:r>
          </w:p>
        </w:tc>
      </w:tr>
      <w:tr w14:paraId="7B198999">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3321BBF9">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44</w:t>
            </w:r>
          </w:p>
        </w:tc>
        <w:tc>
          <w:tcPr>
            <w:tcW w:w="2255" w:type="dxa"/>
            <w:tcBorders>
              <w:top w:val="single" w:color="000000" w:sz="4" w:space="0"/>
              <w:left w:val="single" w:color="000000" w:sz="4" w:space="0"/>
              <w:bottom w:val="single" w:color="000000" w:sz="4" w:space="0"/>
              <w:right w:val="single" w:color="000000" w:sz="4" w:space="0"/>
            </w:tcBorders>
            <w:vAlign w:val="center"/>
          </w:tcPr>
          <w:p w14:paraId="41A04AB7">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净环炉顶供水管道过滤器滤芯</w:t>
            </w:r>
          </w:p>
        </w:tc>
        <w:tc>
          <w:tcPr>
            <w:tcW w:w="2954" w:type="dxa"/>
            <w:tcBorders>
              <w:top w:val="single" w:color="000000" w:sz="4" w:space="0"/>
              <w:left w:val="single" w:color="000000" w:sz="4" w:space="0"/>
              <w:bottom w:val="single" w:color="000000" w:sz="4" w:space="0"/>
              <w:right w:val="single" w:color="000000" w:sz="4" w:space="0"/>
            </w:tcBorders>
            <w:vAlign w:val="center"/>
          </w:tcPr>
          <w:p w14:paraId="78C04950">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型号：FL-150 过滤精度1000um</w:t>
            </w:r>
            <w:r>
              <w:rPr>
                <w:rFonts w:hint="eastAsia" w:cs="宋体"/>
                <w:color w:val="auto"/>
                <w:kern w:val="0"/>
                <w:sz w:val="21"/>
                <w:szCs w:val="21"/>
                <w:highlight w:val="none"/>
                <w:lang w:bidi="ar"/>
              </w:rPr>
              <w:br w:type="textWrapping"/>
            </w:r>
            <w:r>
              <w:rPr>
                <w:rFonts w:hint="eastAsia" w:cs="宋体"/>
                <w:color w:val="auto"/>
                <w:kern w:val="0"/>
                <w:sz w:val="21"/>
                <w:szCs w:val="21"/>
                <w:highlight w:val="none"/>
                <w:lang w:bidi="ar"/>
              </w:rPr>
              <w:t>流量150m3/h、压力1.6Mpa</w:t>
            </w:r>
          </w:p>
        </w:tc>
        <w:tc>
          <w:tcPr>
            <w:tcW w:w="723" w:type="dxa"/>
            <w:tcBorders>
              <w:top w:val="single" w:color="000000" w:sz="4" w:space="0"/>
              <w:left w:val="single" w:color="000000" w:sz="4" w:space="0"/>
              <w:bottom w:val="single" w:color="000000" w:sz="4" w:space="0"/>
              <w:right w:val="single" w:color="000000" w:sz="4" w:space="0"/>
            </w:tcBorders>
            <w:vAlign w:val="center"/>
          </w:tcPr>
          <w:p w14:paraId="4788EDB4">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6E30A2FD">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w:t>
            </w:r>
          </w:p>
        </w:tc>
        <w:tc>
          <w:tcPr>
            <w:tcW w:w="1113" w:type="dxa"/>
            <w:tcBorders>
              <w:top w:val="single" w:color="000000" w:sz="4" w:space="0"/>
              <w:left w:val="single" w:color="000000" w:sz="4" w:space="0"/>
              <w:bottom w:val="single" w:color="000000" w:sz="4" w:space="0"/>
              <w:right w:val="single" w:color="000000" w:sz="4" w:space="0"/>
            </w:tcBorders>
            <w:vAlign w:val="center"/>
          </w:tcPr>
          <w:p w14:paraId="25CF48B3">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滤芯</w:t>
            </w:r>
          </w:p>
        </w:tc>
      </w:tr>
      <w:tr w14:paraId="675F2532">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093F34D8">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45</w:t>
            </w:r>
          </w:p>
        </w:tc>
        <w:tc>
          <w:tcPr>
            <w:tcW w:w="2255" w:type="dxa"/>
            <w:tcBorders>
              <w:top w:val="single" w:color="000000" w:sz="4" w:space="0"/>
              <w:left w:val="single" w:color="000000" w:sz="4" w:space="0"/>
              <w:bottom w:val="single" w:color="000000" w:sz="4" w:space="0"/>
              <w:right w:val="single" w:color="000000" w:sz="4" w:space="0"/>
            </w:tcBorders>
            <w:vAlign w:val="center"/>
          </w:tcPr>
          <w:p w14:paraId="05DD5931">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净环综合供水管道过滤器滤芯</w:t>
            </w:r>
          </w:p>
        </w:tc>
        <w:tc>
          <w:tcPr>
            <w:tcW w:w="2954" w:type="dxa"/>
            <w:tcBorders>
              <w:top w:val="single" w:color="000000" w:sz="4" w:space="0"/>
              <w:left w:val="single" w:color="000000" w:sz="4" w:space="0"/>
              <w:bottom w:val="single" w:color="000000" w:sz="4" w:space="0"/>
              <w:right w:val="single" w:color="000000" w:sz="4" w:space="0"/>
            </w:tcBorders>
            <w:vAlign w:val="center"/>
          </w:tcPr>
          <w:p w14:paraId="066F12FC">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型号：FL-250 过滤精度1000um</w:t>
            </w:r>
            <w:r>
              <w:rPr>
                <w:rFonts w:hint="eastAsia" w:cs="宋体"/>
                <w:color w:val="auto"/>
                <w:kern w:val="0"/>
                <w:sz w:val="21"/>
                <w:szCs w:val="21"/>
                <w:highlight w:val="none"/>
                <w:lang w:bidi="ar"/>
              </w:rPr>
              <w:br w:type="textWrapping"/>
            </w:r>
            <w:r>
              <w:rPr>
                <w:rFonts w:hint="eastAsia" w:cs="宋体"/>
                <w:color w:val="auto"/>
                <w:kern w:val="0"/>
                <w:sz w:val="21"/>
                <w:szCs w:val="21"/>
                <w:highlight w:val="none"/>
                <w:lang w:bidi="ar"/>
              </w:rPr>
              <w:t>流量250m3/h、压力1.6Mpa</w:t>
            </w:r>
          </w:p>
        </w:tc>
        <w:tc>
          <w:tcPr>
            <w:tcW w:w="723" w:type="dxa"/>
            <w:tcBorders>
              <w:top w:val="single" w:color="000000" w:sz="4" w:space="0"/>
              <w:left w:val="single" w:color="000000" w:sz="4" w:space="0"/>
              <w:bottom w:val="single" w:color="000000" w:sz="4" w:space="0"/>
              <w:right w:val="single" w:color="000000" w:sz="4" w:space="0"/>
            </w:tcBorders>
            <w:vAlign w:val="center"/>
          </w:tcPr>
          <w:p w14:paraId="3E9B4AB6">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2156A80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w:t>
            </w:r>
          </w:p>
        </w:tc>
        <w:tc>
          <w:tcPr>
            <w:tcW w:w="1113" w:type="dxa"/>
            <w:tcBorders>
              <w:top w:val="single" w:color="000000" w:sz="4" w:space="0"/>
              <w:left w:val="single" w:color="000000" w:sz="4" w:space="0"/>
              <w:bottom w:val="single" w:color="000000" w:sz="4" w:space="0"/>
              <w:right w:val="single" w:color="000000" w:sz="4" w:space="0"/>
            </w:tcBorders>
            <w:vAlign w:val="center"/>
          </w:tcPr>
          <w:p w14:paraId="3D78B6A8">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滤芯</w:t>
            </w:r>
          </w:p>
        </w:tc>
      </w:tr>
      <w:tr w14:paraId="7F576D7D">
        <w:tblPrEx>
          <w:tblCellMar>
            <w:top w:w="0" w:type="dxa"/>
            <w:left w:w="108" w:type="dxa"/>
            <w:bottom w:w="0" w:type="dxa"/>
            <w:right w:w="108" w:type="dxa"/>
          </w:tblCellMar>
        </w:tblPrEx>
        <w:trPr>
          <w:trHeight w:val="5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01B4E7A2">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46</w:t>
            </w:r>
          </w:p>
        </w:tc>
        <w:tc>
          <w:tcPr>
            <w:tcW w:w="2255" w:type="dxa"/>
            <w:tcBorders>
              <w:top w:val="single" w:color="000000" w:sz="4" w:space="0"/>
              <w:left w:val="single" w:color="000000" w:sz="4" w:space="0"/>
              <w:bottom w:val="single" w:color="000000" w:sz="4" w:space="0"/>
              <w:right w:val="single" w:color="000000" w:sz="4" w:space="0"/>
            </w:tcBorders>
            <w:vAlign w:val="center"/>
          </w:tcPr>
          <w:p w14:paraId="728F3512">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净环增压供水管道过滤器滤芯</w:t>
            </w:r>
          </w:p>
        </w:tc>
        <w:tc>
          <w:tcPr>
            <w:tcW w:w="2954" w:type="dxa"/>
            <w:tcBorders>
              <w:top w:val="single" w:color="000000" w:sz="4" w:space="0"/>
              <w:left w:val="single" w:color="000000" w:sz="4" w:space="0"/>
              <w:bottom w:val="single" w:color="000000" w:sz="4" w:space="0"/>
              <w:right w:val="single" w:color="000000" w:sz="4" w:space="0"/>
            </w:tcBorders>
            <w:vAlign w:val="center"/>
          </w:tcPr>
          <w:p w14:paraId="3F76CCFE">
            <w:pPr>
              <w:widowControl/>
              <w:shd w:val="clear"/>
              <w:ind w:firstLine="0" w:firstLineChars="0"/>
              <w:jc w:val="center"/>
              <w:textAlignment w:val="center"/>
              <w:rPr>
                <w:rFonts w:cs="宋体"/>
                <w:color w:val="auto"/>
                <w:kern w:val="0"/>
                <w:sz w:val="21"/>
                <w:szCs w:val="21"/>
                <w:highlight w:val="none"/>
                <w:lang w:bidi="ar"/>
              </w:rPr>
            </w:pPr>
            <w:r>
              <w:rPr>
                <w:rFonts w:hint="eastAsia" w:cs="宋体"/>
                <w:color w:val="auto"/>
                <w:kern w:val="0"/>
                <w:sz w:val="21"/>
                <w:szCs w:val="21"/>
                <w:highlight w:val="none"/>
                <w:lang w:bidi="ar"/>
              </w:rPr>
              <w:t>型号：FL-250 过滤精度1000um</w:t>
            </w:r>
          </w:p>
          <w:p w14:paraId="20DBC13B">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流量320m3/h、压力1.6Mpa</w:t>
            </w:r>
          </w:p>
        </w:tc>
        <w:tc>
          <w:tcPr>
            <w:tcW w:w="723" w:type="dxa"/>
            <w:tcBorders>
              <w:top w:val="single" w:color="000000" w:sz="4" w:space="0"/>
              <w:left w:val="single" w:color="000000" w:sz="4" w:space="0"/>
              <w:bottom w:val="single" w:color="000000" w:sz="4" w:space="0"/>
              <w:right w:val="single" w:color="000000" w:sz="4" w:space="0"/>
            </w:tcBorders>
            <w:vAlign w:val="center"/>
          </w:tcPr>
          <w:p w14:paraId="28C14C57">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6723E237">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w:t>
            </w:r>
          </w:p>
        </w:tc>
        <w:tc>
          <w:tcPr>
            <w:tcW w:w="1113" w:type="dxa"/>
            <w:tcBorders>
              <w:top w:val="single" w:color="000000" w:sz="4" w:space="0"/>
              <w:left w:val="single" w:color="000000" w:sz="4" w:space="0"/>
              <w:bottom w:val="single" w:color="000000" w:sz="4" w:space="0"/>
              <w:right w:val="single" w:color="000000" w:sz="4" w:space="0"/>
            </w:tcBorders>
            <w:vAlign w:val="center"/>
          </w:tcPr>
          <w:p w14:paraId="4E1D1288">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滤芯</w:t>
            </w:r>
          </w:p>
        </w:tc>
      </w:tr>
      <w:tr w14:paraId="2084FEC7">
        <w:tblPrEx>
          <w:tblCellMar>
            <w:top w:w="0" w:type="dxa"/>
            <w:left w:w="108" w:type="dxa"/>
            <w:bottom w:w="0" w:type="dxa"/>
            <w:right w:w="108" w:type="dxa"/>
          </w:tblCellMar>
        </w:tblPrEx>
        <w:trPr>
          <w:trHeight w:val="92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296EDEBB">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47</w:t>
            </w:r>
          </w:p>
        </w:tc>
        <w:tc>
          <w:tcPr>
            <w:tcW w:w="2255" w:type="dxa"/>
            <w:tcBorders>
              <w:top w:val="single" w:color="000000" w:sz="4" w:space="0"/>
              <w:left w:val="single" w:color="000000" w:sz="4" w:space="0"/>
              <w:bottom w:val="single" w:color="000000" w:sz="4" w:space="0"/>
              <w:right w:val="single" w:color="000000" w:sz="4" w:space="0"/>
            </w:tcBorders>
            <w:vAlign w:val="center"/>
          </w:tcPr>
          <w:p w14:paraId="51ED20C6">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软环高压供水泵（配套电机）</w:t>
            </w:r>
          </w:p>
        </w:tc>
        <w:tc>
          <w:tcPr>
            <w:tcW w:w="2954" w:type="dxa"/>
            <w:tcBorders>
              <w:top w:val="single" w:color="000000" w:sz="4" w:space="0"/>
              <w:left w:val="single" w:color="000000" w:sz="4" w:space="0"/>
              <w:bottom w:val="single" w:color="000000" w:sz="4" w:space="0"/>
              <w:right w:val="single" w:color="000000" w:sz="4" w:space="0"/>
            </w:tcBorders>
            <w:vAlign w:val="center"/>
          </w:tcPr>
          <w:p w14:paraId="5C73BCFF">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根据设计选型</w:t>
            </w:r>
          </w:p>
        </w:tc>
        <w:tc>
          <w:tcPr>
            <w:tcW w:w="723" w:type="dxa"/>
            <w:tcBorders>
              <w:top w:val="single" w:color="000000" w:sz="4" w:space="0"/>
              <w:left w:val="single" w:color="000000" w:sz="4" w:space="0"/>
              <w:bottom w:val="single" w:color="000000" w:sz="4" w:space="0"/>
              <w:right w:val="single" w:color="000000" w:sz="4" w:space="0"/>
            </w:tcBorders>
            <w:vAlign w:val="center"/>
          </w:tcPr>
          <w:p w14:paraId="5F7D7AD5">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6BE2FD12">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2</w:t>
            </w:r>
          </w:p>
        </w:tc>
        <w:tc>
          <w:tcPr>
            <w:tcW w:w="1113" w:type="dxa"/>
            <w:tcBorders>
              <w:top w:val="single" w:color="000000" w:sz="4" w:space="0"/>
              <w:left w:val="single" w:color="000000" w:sz="4" w:space="0"/>
              <w:bottom w:val="single" w:color="000000" w:sz="4" w:space="0"/>
              <w:right w:val="single" w:color="000000" w:sz="4" w:space="0"/>
            </w:tcBorders>
            <w:vAlign w:val="center"/>
          </w:tcPr>
          <w:p w14:paraId="6FA2898D">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水泵（配套电机）</w:t>
            </w:r>
          </w:p>
        </w:tc>
      </w:tr>
      <w:tr w14:paraId="0DAE340E">
        <w:tblPrEx>
          <w:tblCellMar>
            <w:top w:w="0" w:type="dxa"/>
            <w:left w:w="108" w:type="dxa"/>
            <w:bottom w:w="0" w:type="dxa"/>
            <w:right w:w="108" w:type="dxa"/>
          </w:tblCellMar>
        </w:tblPrEx>
        <w:trPr>
          <w:trHeight w:val="58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5C9BE267">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48</w:t>
            </w:r>
          </w:p>
        </w:tc>
        <w:tc>
          <w:tcPr>
            <w:tcW w:w="2255" w:type="dxa"/>
            <w:tcBorders>
              <w:top w:val="single" w:color="000000" w:sz="4" w:space="0"/>
              <w:left w:val="single" w:color="000000" w:sz="4" w:space="0"/>
              <w:bottom w:val="single" w:color="000000" w:sz="4" w:space="0"/>
              <w:right w:val="single" w:color="000000" w:sz="4" w:space="0"/>
            </w:tcBorders>
            <w:vAlign w:val="center"/>
          </w:tcPr>
          <w:p w14:paraId="50E81D0D">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软水池防腐处理</w:t>
            </w:r>
          </w:p>
        </w:tc>
        <w:tc>
          <w:tcPr>
            <w:tcW w:w="2954" w:type="dxa"/>
            <w:tcBorders>
              <w:top w:val="single" w:color="000000" w:sz="4" w:space="0"/>
              <w:left w:val="single" w:color="000000" w:sz="4" w:space="0"/>
              <w:bottom w:val="single" w:color="000000" w:sz="4" w:space="0"/>
              <w:right w:val="single" w:color="000000" w:sz="4" w:space="0"/>
            </w:tcBorders>
            <w:vAlign w:val="center"/>
          </w:tcPr>
          <w:p w14:paraId="7FEECD0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w:t>
            </w:r>
          </w:p>
        </w:tc>
        <w:tc>
          <w:tcPr>
            <w:tcW w:w="723" w:type="dxa"/>
            <w:tcBorders>
              <w:top w:val="single" w:color="000000" w:sz="4" w:space="0"/>
              <w:left w:val="single" w:color="000000" w:sz="4" w:space="0"/>
              <w:bottom w:val="single" w:color="000000" w:sz="4" w:space="0"/>
              <w:right w:val="single" w:color="000000" w:sz="4" w:space="0"/>
            </w:tcBorders>
            <w:vAlign w:val="center"/>
          </w:tcPr>
          <w:p w14:paraId="4C17070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w:t>
            </w:r>
          </w:p>
        </w:tc>
        <w:tc>
          <w:tcPr>
            <w:tcW w:w="977" w:type="dxa"/>
            <w:tcBorders>
              <w:top w:val="single" w:color="000000" w:sz="4" w:space="0"/>
              <w:left w:val="single" w:color="000000" w:sz="4" w:space="0"/>
              <w:bottom w:val="single" w:color="000000" w:sz="4" w:space="0"/>
              <w:right w:val="single" w:color="000000" w:sz="4" w:space="0"/>
            </w:tcBorders>
            <w:vAlign w:val="center"/>
          </w:tcPr>
          <w:p w14:paraId="1384127A">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w:t>
            </w:r>
          </w:p>
        </w:tc>
        <w:tc>
          <w:tcPr>
            <w:tcW w:w="1113" w:type="dxa"/>
            <w:tcBorders>
              <w:top w:val="single" w:color="000000" w:sz="4" w:space="0"/>
              <w:left w:val="single" w:color="000000" w:sz="4" w:space="0"/>
              <w:bottom w:val="single" w:color="000000" w:sz="4" w:space="0"/>
              <w:right w:val="single" w:color="000000" w:sz="4" w:space="0"/>
            </w:tcBorders>
            <w:vAlign w:val="center"/>
          </w:tcPr>
          <w:p w14:paraId="49418EDA">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重新做防腐</w:t>
            </w:r>
          </w:p>
        </w:tc>
      </w:tr>
      <w:tr w14:paraId="33068A3B">
        <w:tblPrEx>
          <w:tblCellMar>
            <w:top w:w="0" w:type="dxa"/>
            <w:left w:w="108" w:type="dxa"/>
            <w:bottom w:w="0" w:type="dxa"/>
            <w:right w:w="108" w:type="dxa"/>
          </w:tblCellMar>
        </w:tblPrEx>
        <w:trPr>
          <w:trHeight w:val="52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0FC8313E">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49</w:t>
            </w:r>
          </w:p>
        </w:tc>
        <w:tc>
          <w:tcPr>
            <w:tcW w:w="2255" w:type="dxa"/>
            <w:tcBorders>
              <w:top w:val="single" w:color="000000" w:sz="4" w:space="0"/>
              <w:left w:val="single" w:color="000000" w:sz="4" w:space="0"/>
              <w:bottom w:val="single" w:color="000000" w:sz="4" w:space="0"/>
              <w:right w:val="single" w:color="000000" w:sz="4" w:space="0"/>
            </w:tcBorders>
            <w:vAlign w:val="center"/>
          </w:tcPr>
          <w:p w14:paraId="68694659">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UPS</w:t>
            </w:r>
          </w:p>
        </w:tc>
        <w:tc>
          <w:tcPr>
            <w:tcW w:w="2954" w:type="dxa"/>
            <w:tcBorders>
              <w:top w:val="single" w:color="000000" w:sz="4" w:space="0"/>
              <w:left w:val="single" w:color="000000" w:sz="4" w:space="0"/>
              <w:bottom w:val="single" w:color="000000" w:sz="4" w:space="0"/>
              <w:right w:val="single" w:color="000000" w:sz="4" w:space="0"/>
            </w:tcBorders>
            <w:vAlign w:val="center"/>
          </w:tcPr>
          <w:p w14:paraId="5959975B">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w:t>
            </w:r>
          </w:p>
        </w:tc>
        <w:tc>
          <w:tcPr>
            <w:tcW w:w="723" w:type="dxa"/>
            <w:tcBorders>
              <w:top w:val="single" w:color="000000" w:sz="4" w:space="0"/>
              <w:left w:val="single" w:color="000000" w:sz="4" w:space="0"/>
              <w:bottom w:val="single" w:color="000000" w:sz="4" w:space="0"/>
              <w:right w:val="single" w:color="000000" w:sz="4" w:space="0"/>
            </w:tcBorders>
            <w:vAlign w:val="center"/>
          </w:tcPr>
          <w:p w14:paraId="066387E5">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套</w:t>
            </w:r>
          </w:p>
        </w:tc>
        <w:tc>
          <w:tcPr>
            <w:tcW w:w="977" w:type="dxa"/>
            <w:tcBorders>
              <w:top w:val="single" w:color="000000" w:sz="4" w:space="0"/>
              <w:left w:val="single" w:color="000000" w:sz="4" w:space="0"/>
              <w:bottom w:val="single" w:color="000000" w:sz="4" w:space="0"/>
              <w:right w:val="single" w:color="000000" w:sz="4" w:space="0"/>
            </w:tcBorders>
            <w:vAlign w:val="center"/>
          </w:tcPr>
          <w:p w14:paraId="507AECB7">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w:t>
            </w:r>
          </w:p>
        </w:tc>
        <w:tc>
          <w:tcPr>
            <w:tcW w:w="1113" w:type="dxa"/>
            <w:tcBorders>
              <w:top w:val="single" w:color="000000" w:sz="4" w:space="0"/>
              <w:left w:val="single" w:color="000000" w:sz="4" w:space="0"/>
              <w:bottom w:val="single" w:color="000000" w:sz="4" w:space="0"/>
              <w:right w:val="single" w:color="000000" w:sz="4" w:space="0"/>
            </w:tcBorders>
            <w:vAlign w:val="center"/>
          </w:tcPr>
          <w:p w14:paraId="557E067B">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新增UPS一套</w:t>
            </w:r>
          </w:p>
        </w:tc>
      </w:tr>
      <w:tr w14:paraId="740EAAC8">
        <w:tblPrEx>
          <w:tblCellMar>
            <w:top w:w="0" w:type="dxa"/>
            <w:left w:w="108" w:type="dxa"/>
            <w:bottom w:w="0" w:type="dxa"/>
            <w:right w:w="108" w:type="dxa"/>
          </w:tblCellMar>
        </w:tblPrEx>
        <w:trPr>
          <w:trHeight w:val="100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77DE7477">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50</w:t>
            </w:r>
          </w:p>
        </w:tc>
        <w:tc>
          <w:tcPr>
            <w:tcW w:w="2255" w:type="dxa"/>
            <w:tcBorders>
              <w:top w:val="single" w:color="000000" w:sz="4" w:space="0"/>
              <w:left w:val="single" w:color="000000" w:sz="4" w:space="0"/>
              <w:bottom w:val="single" w:color="000000" w:sz="4" w:space="0"/>
              <w:right w:val="single" w:color="000000" w:sz="4" w:space="0"/>
            </w:tcBorders>
            <w:vAlign w:val="center"/>
          </w:tcPr>
          <w:p w14:paraId="12D8C2C4">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净环冷却塔</w:t>
            </w:r>
          </w:p>
        </w:tc>
        <w:tc>
          <w:tcPr>
            <w:tcW w:w="2954" w:type="dxa"/>
            <w:tcBorders>
              <w:top w:val="single" w:color="000000" w:sz="4" w:space="0"/>
              <w:left w:val="single" w:color="000000" w:sz="4" w:space="0"/>
              <w:bottom w:val="single" w:color="000000" w:sz="4" w:space="0"/>
              <w:right w:val="single" w:color="000000" w:sz="4" w:space="0"/>
            </w:tcBorders>
            <w:vAlign w:val="center"/>
          </w:tcPr>
          <w:p w14:paraId="4709F04D">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450m3/h</w:t>
            </w:r>
          </w:p>
        </w:tc>
        <w:tc>
          <w:tcPr>
            <w:tcW w:w="723" w:type="dxa"/>
            <w:tcBorders>
              <w:top w:val="single" w:color="000000" w:sz="4" w:space="0"/>
              <w:left w:val="single" w:color="000000" w:sz="4" w:space="0"/>
              <w:bottom w:val="single" w:color="000000" w:sz="4" w:space="0"/>
              <w:right w:val="single" w:color="000000" w:sz="4" w:space="0"/>
            </w:tcBorders>
            <w:vAlign w:val="center"/>
          </w:tcPr>
          <w:p w14:paraId="3BD702DF">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座</w:t>
            </w:r>
          </w:p>
        </w:tc>
        <w:tc>
          <w:tcPr>
            <w:tcW w:w="977" w:type="dxa"/>
            <w:tcBorders>
              <w:top w:val="single" w:color="000000" w:sz="4" w:space="0"/>
              <w:left w:val="single" w:color="000000" w:sz="4" w:space="0"/>
              <w:bottom w:val="single" w:color="000000" w:sz="4" w:space="0"/>
              <w:right w:val="single" w:color="000000" w:sz="4" w:space="0"/>
            </w:tcBorders>
            <w:vAlign w:val="center"/>
          </w:tcPr>
          <w:p w14:paraId="1098DBBF">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w:t>
            </w:r>
          </w:p>
        </w:tc>
        <w:tc>
          <w:tcPr>
            <w:tcW w:w="1113" w:type="dxa"/>
            <w:tcBorders>
              <w:top w:val="single" w:color="000000" w:sz="4" w:space="0"/>
              <w:left w:val="single" w:color="000000" w:sz="4" w:space="0"/>
              <w:bottom w:val="single" w:color="000000" w:sz="4" w:space="0"/>
              <w:right w:val="single" w:color="000000" w:sz="4" w:space="0"/>
            </w:tcBorders>
            <w:vAlign w:val="center"/>
          </w:tcPr>
          <w:p w14:paraId="5AB6BE43">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新增冷却塔，配套管路改造及冷却塔进水阀、出水阀、旁通阀、热电阻</w:t>
            </w:r>
          </w:p>
        </w:tc>
      </w:tr>
      <w:tr w14:paraId="7E6C6031">
        <w:tblPrEx>
          <w:tblCellMar>
            <w:top w:w="0" w:type="dxa"/>
            <w:left w:w="108" w:type="dxa"/>
            <w:bottom w:w="0" w:type="dxa"/>
            <w:right w:w="108" w:type="dxa"/>
          </w:tblCellMar>
        </w:tblPrEx>
        <w:trPr>
          <w:trHeight w:val="214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551EA9B6">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51</w:t>
            </w:r>
          </w:p>
        </w:tc>
        <w:tc>
          <w:tcPr>
            <w:tcW w:w="2255" w:type="dxa"/>
            <w:tcBorders>
              <w:top w:val="single" w:color="000000" w:sz="4" w:space="0"/>
              <w:left w:val="single" w:color="000000" w:sz="4" w:space="0"/>
              <w:bottom w:val="single" w:color="000000" w:sz="4" w:space="0"/>
              <w:right w:val="single" w:color="000000" w:sz="4" w:space="0"/>
            </w:tcBorders>
            <w:vAlign w:val="center"/>
          </w:tcPr>
          <w:p w14:paraId="6A051977">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增压冷却塔</w:t>
            </w:r>
          </w:p>
        </w:tc>
        <w:tc>
          <w:tcPr>
            <w:tcW w:w="2954" w:type="dxa"/>
            <w:tcBorders>
              <w:top w:val="single" w:color="000000" w:sz="4" w:space="0"/>
              <w:left w:val="single" w:color="000000" w:sz="4" w:space="0"/>
              <w:bottom w:val="single" w:color="000000" w:sz="4" w:space="0"/>
              <w:right w:val="single" w:color="000000" w:sz="4" w:space="0"/>
            </w:tcBorders>
            <w:vAlign w:val="center"/>
          </w:tcPr>
          <w:p w14:paraId="60B1AD66">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150m3/h</w:t>
            </w:r>
          </w:p>
        </w:tc>
        <w:tc>
          <w:tcPr>
            <w:tcW w:w="723" w:type="dxa"/>
            <w:tcBorders>
              <w:top w:val="single" w:color="000000" w:sz="4" w:space="0"/>
              <w:left w:val="single" w:color="000000" w:sz="4" w:space="0"/>
              <w:bottom w:val="single" w:color="000000" w:sz="4" w:space="0"/>
              <w:right w:val="single" w:color="000000" w:sz="4" w:space="0"/>
            </w:tcBorders>
            <w:vAlign w:val="center"/>
          </w:tcPr>
          <w:p w14:paraId="665E1C1F">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座</w:t>
            </w:r>
          </w:p>
        </w:tc>
        <w:tc>
          <w:tcPr>
            <w:tcW w:w="977" w:type="dxa"/>
            <w:tcBorders>
              <w:top w:val="single" w:color="000000" w:sz="4" w:space="0"/>
              <w:left w:val="single" w:color="000000" w:sz="4" w:space="0"/>
              <w:bottom w:val="single" w:color="000000" w:sz="4" w:space="0"/>
              <w:right w:val="single" w:color="000000" w:sz="4" w:space="0"/>
            </w:tcBorders>
            <w:vAlign w:val="center"/>
          </w:tcPr>
          <w:p w14:paraId="26B4E5EB">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1</w:t>
            </w:r>
          </w:p>
        </w:tc>
        <w:tc>
          <w:tcPr>
            <w:tcW w:w="1113" w:type="dxa"/>
            <w:tcBorders>
              <w:top w:val="single" w:color="000000" w:sz="4" w:space="0"/>
              <w:left w:val="single" w:color="000000" w:sz="4" w:space="0"/>
              <w:bottom w:val="single" w:color="000000" w:sz="4" w:space="0"/>
              <w:right w:val="single" w:color="000000" w:sz="4" w:space="0"/>
            </w:tcBorders>
            <w:vAlign w:val="center"/>
          </w:tcPr>
          <w:p w14:paraId="2B56552F">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新增冷却塔，配套2台提升泵、管路改造及冷却塔进水阀、出水阀、旁通阀；提升泵出水口管道配置电磁流量计、压力变送器、热电阻</w:t>
            </w:r>
          </w:p>
        </w:tc>
      </w:tr>
      <w:tr w14:paraId="3EF370D6">
        <w:tblPrEx>
          <w:tblCellMar>
            <w:top w:w="0" w:type="dxa"/>
            <w:left w:w="108" w:type="dxa"/>
            <w:bottom w:w="0" w:type="dxa"/>
            <w:right w:w="108" w:type="dxa"/>
          </w:tblCellMar>
        </w:tblPrEx>
        <w:trPr>
          <w:trHeight w:val="480" w:hRule="atLeast"/>
          <w:jc w:val="center"/>
        </w:trPr>
        <w:tc>
          <w:tcPr>
            <w:tcW w:w="500" w:type="dxa"/>
            <w:tcBorders>
              <w:top w:val="single" w:color="000000" w:sz="4" w:space="0"/>
              <w:left w:val="single" w:color="000000" w:sz="4" w:space="0"/>
              <w:bottom w:val="single" w:color="000000" w:sz="4" w:space="0"/>
              <w:right w:val="single" w:color="000000" w:sz="4" w:space="0"/>
            </w:tcBorders>
            <w:vAlign w:val="center"/>
          </w:tcPr>
          <w:p w14:paraId="0D76985B">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52</w:t>
            </w:r>
          </w:p>
        </w:tc>
        <w:tc>
          <w:tcPr>
            <w:tcW w:w="2255" w:type="dxa"/>
            <w:tcBorders>
              <w:top w:val="single" w:color="000000" w:sz="4" w:space="0"/>
              <w:left w:val="single" w:color="000000" w:sz="4" w:space="0"/>
              <w:bottom w:val="single" w:color="000000" w:sz="4" w:space="0"/>
              <w:right w:val="single" w:color="000000" w:sz="4" w:space="0"/>
            </w:tcBorders>
            <w:vAlign w:val="center"/>
          </w:tcPr>
          <w:p w14:paraId="5FACBC6F">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补水系统电动阀</w:t>
            </w:r>
          </w:p>
        </w:tc>
        <w:tc>
          <w:tcPr>
            <w:tcW w:w="2954" w:type="dxa"/>
            <w:tcBorders>
              <w:top w:val="single" w:color="000000" w:sz="4" w:space="0"/>
              <w:left w:val="single" w:color="000000" w:sz="4" w:space="0"/>
              <w:bottom w:val="single" w:color="000000" w:sz="4" w:space="0"/>
              <w:right w:val="single" w:color="000000" w:sz="4" w:space="0"/>
            </w:tcBorders>
            <w:vAlign w:val="center"/>
          </w:tcPr>
          <w:p w14:paraId="2730D5FB">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根据现场实际管径大小更换确定</w:t>
            </w:r>
          </w:p>
        </w:tc>
        <w:tc>
          <w:tcPr>
            <w:tcW w:w="723" w:type="dxa"/>
            <w:tcBorders>
              <w:top w:val="single" w:color="000000" w:sz="4" w:space="0"/>
              <w:left w:val="single" w:color="000000" w:sz="4" w:space="0"/>
              <w:bottom w:val="single" w:color="000000" w:sz="4" w:space="0"/>
              <w:right w:val="single" w:color="000000" w:sz="4" w:space="0"/>
            </w:tcBorders>
            <w:vAlign w:val="center"/>
          </w:tcPr>
          <w:p w14:paraId="20873F32">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台</w:t>
            </w:r>
          </w:p>
        </w:tc>
        <w:tc>
          <w:tcPr>
            <w:tcW w:w="977" w:type="dxa"/>
            <w:tcBorders>
              <w:top w:val="single" w:color="000000" w:sz="4" w:space="0"/>
              <w:left w:val="single" w:color="000000" w:sz="4" w:space="0"/>
              <w:bottom w:val="single" w:color="000000" w:sz="4" w:space="0"/>
              <w:right w:val="single" w:color="000000" w:sz="4" w:space="0"/>
            </w:tcBorders>
            <w:vAlign w:val="center"/>
          </w:tcPr>
          <w:p w14:paraId="6842AE07">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4</w:t>
            </w:r>
          </w:p>
        </w:tc>
        <w:tc>
          <w:tcPr>
            <w:tcW w:w="1113" w:type="dxa"/>
            <w:tcBorders>
              <w:top w:val="single" w:color="000000" w:sz="4" w:space="0"/>
              <w:left w:val="single" w:color="000000" w:sz="4" w:space="0"/>
              <w:bottom w:val="single" w:color="000000" w:sz="4" w:space="0"/>
              <w:right w:val="single" w:color="000000" w:sz="4" w:space="0"/>
            </w:tcBorders>
            <w:vAlign w:val="center"/>
          </w:tcPr>
          <w:p w14:paraId="79E52452">
            <w:pPr>
              <w:widowControl/>
              <w:shd w:val="clear"/>
              <w:ind w:firstLine="0" w:firstLineChars="0"/>
              <w:jc w:val="center"/>
              <w:textAlignment w:val="center"/>
              <w:rPr>
                <w:rFonts w:cs="宋体"/>
                <w:color w:val="auto"/>
                <w:sz w:val="21"/>
                <w:szCs w:val="21"/>
                <w:highlight w:val="none"/>
              </w:rPr>
            </w:pPr>
            <w:r>
              <w:rPr>
                <w:rFonts w:hint="eastAsia" w:cs="宋体"/>
                <w:color w:val="auto"/>
                <w:kern w:val="0"/>
                <w:sz w:val="21"/>
                <w:szCs w:val="21"/>
                <w:highlight w:val="none"/>
                <w:lang w:bidi="ar"/>
              </w:rPr>
              <w:t>接入现有的PLC系统</w:t>
            </w:r>
          </w:p>
        </w:tc>
      </w:tr>
    </w:tbl>
    <w:p w14:paraId="51BB97A3">
      <w:pPr>
        <w:shd w:val="clear"/>
        <w:ind w:firstLine="420"/>
        <w:jc w:val="both"/>
        <w:rPr>
          <w:rFonts w:cs="宋体"/>
          <w:color w:val="auto"/>
          <w:sz w:val="21"/>
          <w:szCs w:val="21"/>
          <w:highlight w:val="none"/>
        </w:rPr>
      </w:pPr>
    </w:p>
    <w:p w14:paraId="7389BB88">
      <w:pPr>
        <w:pStyle w:val="416"/>
        <w:shd w:val="clear"/>
        <w:ind w:firstLine="0" w:firstLineChars="0"/>
        <w:rPr>
          <w:color w:val="auto"/>
          <w:highlight w:val="none"/>
        </w:rPr>
      </w:pPr>
      <w:r>
        <w:rPr>
          <w:rFonts w:hint="eastAsia"/>
          <w:color w:val="auto"/>
          <w:highlight w:val="none"/>
        </w:rPr>
        <w:br w:type="page"/>
      </w:r>
      <w:bookmarkStart w:id="561" w:name="_Toc974"/>
      <w:bookmarkStart w:id="562" w:name="_Toc175920393"/>
      <w:bookmarkStart w:id="563" w:name="_Toc27737"/>
      <w:bookmarkStart w:id="564" w:name="_Toc20353"/>
      <w:bookmarkStart w:id="565" w:name="_Toc4331"/>
      <w:bookmarkStart w:id="566" w:name="_Toc20719"/>
      <w:bookmarkStart w:id="567" w:name="_Toc8521"/>
      <w:bookmarkStart w:id="568" w:name="_Toc28780"/>
      <w:bookmarkStart w:id="569" w:name="_Toc17647"/>
      <w:bookmarkStart w:id="570" w:name="_Toc11824"/>
      <w:bookmarkStart w:id="571" w:name="_Toc20311"/>
      <w:bookmarkStart w:id="572" w:name="_Toc97454840"/>
      <w:bookmarkStart w:id="573" w:name="_Toc27168"/>
      <w:r>
        <w:rPr>
          <w:rFonts w:hint="eastAsia"/>
          <w:color w:val="auto"/>
          <w:highlight w:val="none"/>
        </w:rPr>
        <w:t>7</w:t>
      </w:r>
      <w:r>
        <w:rPr>
          <w:color w:val="auto"/>
          <w:highlight w:val="none"/>
        </w:rPr>
        <w:t xml:space="preserve"> </w:t>
      </w:r>
      <w:r>
        <w:rPr>
          <w:rFonts w:hint="eastAsia"/>
          <w:color w:val="auto"/>
          <w:highlight w:val="none"/>
        </w:rPr>
        <w:t>通风空调及除尘</w:t>
      </w:r>
      <w:r>
        <w:rPr>
          <w:color w:val="auto"/>
          <w:highlight w:val="none"/>
        </w:rPr>
        <w:t>设施</w:t>
      </w:r>
      <w:bookmarkEnd w:id="561"/>
      <w:bookmarkEnd w:id="562"/>
      <w:bookmarkEnd w:id="563"/>
      <w:bookmarkEnd w:id="564"/>
      <w:bookmarkEnd w:id="565"/>
      <w:bookmarkEnd w:id="566"/>
      <w:bookmarkEnd w:id="567"/>
    </w:p>
    <w:bookmarkEnd w:id="568"/>
    <w:bookmarkEnd w:id="569"/>
    <w:bookmarkEnd w:id="570"/>
    <w:bookmarkEnd w:id="571"/>
    <w:bookmarkEnd w:id="572"/>
    <w:bookmarkEnd w:id="573"/>
    <w:p w14:paraId="074AF949">
      <w:pPr>
        <w:shd w:val="clear"/>
        <w:ind w:firstLine="0" w:firstLineChars="0"/>
        <w:outlineLvl w:val="1"/>
        <w:rPr>
          <w:rFonts w:cs="Times New Roman"/>
          <w:b/>
          <w:color w:val="auto"/>
          <w:sz w:val="28"/>
          <w:szCs w:val="28"/>
          <w:highlight w:val="none"/>
        </w:rPr>
      </w:pPr>
      <w:bookmarkStart w:id="574" w:name="_Toc175920394"/>
      <w:bookmarkStart w:id="575" w:name="_Toc30875"/>
      <w:bookmarkStart w:id="576" w:name="_Toc1335"/>
      <w:bookmarkStart w:id="577" w:name="_Toc2545"/>
      <w:bookmarkStart w:id="578" w:name="_Toc31667"/>
      <w:bookmarkStart w:id="579" w:name="_Toc30901"/>
      <w:bookmarkStart w:id="580" w:name="_Toc26261"/>
      <w:bookmarkStart w:id="581" w:name="_Toc105492964"/>
      <w:bookmarkStart w:id="582" w:name="_Toc27654"/>
      <w:bookmarkStart w:id="583" w:name="_Toc29206"/>
      <w:bookmarkStart w:id="584" w:name="_Toc12699"/>
      <w:bookmarkStart w:id="585" w:name="_Toc97454841"/>
      <w:r>
        <w:rPr>
          <w:rFonts w:hint="eastAsia" w:cs="Times New Roman"/>
          <w:b/>
          <w:color w:val="auto"/>
          <w:sz w:val="28"/>
          <w:szCs w:val="28"/>
          <w:highlight w:val="none"/>
        </w:rPr>
        <w:t>7.1 概述</w:t>
      </w:r>
      <w:bookmarkEnd w:id="574"/>
      <w:bookmarkEnd w:id="575"/>
      <w:bookmarkEnd w:id="576"/>
      <w:bookmarkEnd w:id="577"/>
      <w:bookmarkEnd w:id="578"/>
      <w:bookmarkEnd w:id="579"/>
      <w:bookmarkEnd w:id="580"/>
      <w:bookmarkEnd w:id="581"/>
    </w:p>
    <w:p w14:paraId="41D14350">
      <w:pPr>
        <w:shd w:val="clear"/>
        <w:rPr>
          <w:color w:val="auto"/>
          <w:highlight w:val="none"/>
        </w:rPr>
      </w:pPr>
      <w:r>
        <w:rPr>
          <w:rFonts w:hint="eastAsia"/>
          <w:color w:val="auto"/>
          <w:highlight w:val="none"/>
        </w:rPr>
        <w:t>2号高炉目前使用的3台除尘器，分别为2号高炉出铁场除尘、2号高炉地沟除尘、2号高炉矿槽除尘，分别是由电除尘改造投产于2013年8月12日、新建投产于2012年11月10日、由电除尘改造投产于2013年4月18日，设计风量分别为75</w:t>
      </w:r>
      <w:r>
        <w:rPr>
          <w:color w:val="auto"/>
          <w:highlight w:val="none"/>
        </w:rPr>
        <w:t>0000</w:t>
      </w:r>
      <w:r>
        <w:rPr>
          <w:rFonts w:hint="eastAsia"/>
          <w:color w:val="auto"/>
          <w:highlight w:val="none"/>
        </w:rPr>
        <w:t>m</w:t>
      </w:r>
      <w:r>
        <w:rPr>
          <w:rFonts w:hint="eastAsia"/>
          <w:color w:val="auto"/>
          <w:highlight w:val="none"/>
          <w:vertAlign w:val="superscript"/>
        </w:rPr>
        <w:t>3</w:t>
      </w:r>
      <w:r>
        <w:rPr>
          <w:rFonts w:hint="eastAsia"/>
          <w:color w:val="auto"/>
          <w:highlight w:val="none"/>
        </w:rPr>
        <w:t xml:space="preserve"> /</w:t>
      </w:r>
      <w:r>
        <w:rPr>
          <w:color w:val="auto"/>
          <w:highlight w:val="none"/>
        </w:rPr>
        <w:t>h</w:t>
      </w:r>
      <w:r>
        <w:rPr>
          <w:rFonts w:hint="eastAsia"/>
          <w:color w:val="auto"/>
          <w:highlight w:val="none"/>
        </w:rPr>
        <w:t>、400</w:t>
      </w:r>
      <w:r>
        <w:rPr>
          <w:color w:val="auto"/>
          <w:highlight w:val="none"/>
        </w:rPr>
        <w:t>000</w:t>
      </w:r>
      <w:r>
        <w:rPr>
          <w:rFonts w:hint="eastAsia"/>
          <w:color w:val="auto"/>
          <w:highlight w:val="none"/>
        </w:rPr>
        <w:t>m</w:t>
      </w:r>
      <w:r>
        <w:rPr>
          <w:rFonts w:hint="eastAsia"/>
          <w:color w:val="auto"/>
          <w:highlight w:val="none"/>
          <w:vertAlign w:val="superscript"/>
        </w:rPr>
        <w:t>3</w:t>
      </w:r>
      <w:r>
        <w:rPr>
          <w:rFonts w:hint="eastAsia"/>
          <w:color w:val="auto"/>
          <w:highlight w:val="none"/>
        </w:rPr>
        <w:t xml:space="preserve"> /</w:t>
      </w:r>
      <w:r>
        <w:rPr>
          <w:color w:val="auto"/>
          <w:highlight w:val="none"/>
        </w:rPr>
        <w:t>h</w:t>
      </w:r>
      <w:r>
        <w:rPr>
          <w:rFonts w:hint="eastAsia"/>
          <w:color w:val="auto"/>
          <w:highlight w:val="none"/>
        </w:rPr>
        <w:t>、54</w:t>
      </w:r>
      <w:r>
        <w:rPr>
          <w:color w:val="auto"/>
          <w:highlight w:val="none"/>
        </w:rPr>
        <w:t>0000</w:t>
      </w:r>
      <w:r>
        <w:rPr>
          <w:rFonts w:hint="eastAsia"/>
          <w:color w:val="auto"/>
          <w:highlight w:val="none"/>
        </w:rPr>
        <w:t>m</w:t>
      </w:r>
      <w:r>
        <w:rPr>
          <w:rFonts w:hint="eastAsia"/>
          <w:color w:val="auto"/>
          <w:highlight w:val="none"/>
          <w:vertAlign w:val="superscript"/>
        </w:rPr>
        <w:t>3</w:t>
      </w:r>
      <w:r>
        <w:rPr>
          <w:rFonts w:hint="eastAsia"/>
          <w:color w:val="auto"/>
          <w:highlight w:val="none"/>
        </w:rPr>
        <w:t xml:space="preserve"> /</w:t>
      </w:r>
      <w:r>
        <w:rPr>
          <w:color w:val="auto"/>
          <w:highlight w:val="none"/>
        </w:rPr>
        <w:t>h</w:t>
      </w:r>
      <w:r>
        <w:rPr>
          <w:rFonts w:hint="eastAsia"/>
          <w:color w:val="auto"/>
          <w:highlight w:val="none"/>
        </w:rPr>
        <w:t>。按照当时标准≤25mg/m</w:t>
      </w:r>
      <w:r>
        <w:rPr>
          <w:rFonts w:hint="eastAsia"/>
          <w:color w:val="auto"/>
          <w:highlight w:val="none"/>
          <w:vertAlign w:val="superscript"/>
        </w:rPr>
        <w:t>3</w:t>
      </w:r>
      <w:r>
        <w:rPr>
          <w:rFonts w:hint="eastAsia"/>
          <w:color w:val="auto"/>
          <w:highlight w:val="none"/>
        </w:rPr>
        <w:t>进行设计建设，实际运行各排口颗粒物浓度为8-14mg/m</w:t>
      </w:r>
      <w:r>
        <w:rPr>
          <w:rFonts w:hint="eastAsia"/>
          <w:color w:val="auto"/>
          <w:highlight w:val="none"/>
          <w:vertAlign w:val="superscript"/>
        </w:rPr>
        <w:t>3</w:t>
      </w:r>
      <w:r>
        <w:rPr>
          <w:rFonts w:hint="eastAsia"/>
          <w:color w:val="auto"/>
          <w:highlight w:val="none"/>
        </w:rPr>
        <w:t>，不满足超低排放要求的出铁场除尘及矿焦槽除尘排放口颗粒物浓度≤10mg/m</w:t>
      </w:r>
      <w:r>
        <w:rPr>
          <w:rFonts w:hint="eastAsia"/>
          <w:color w:val="auto"/>
          <w:highlight w:val="none"/>
          <w:vertAlign w:val="superscript"/>
        </w:rPr>
        <w:t>3</w:t>
      </w:r>
      <w:r>
        <w:rPr>
          <w:rFonts w:hint="eastAsia"/>
          <w:color w:val="auto"/>
          <w:highlight w:val="none"/>
        </w:rPr>
        <w:t>的标准。由于原设计工艺落后，风量偏小，设备设施落后，现场无组织排放不达标，不满足《关于推进实施钢铁行业超低排放的意见》（环大气〔2019〕35 号）的相关要求，需对矿焦槽、出铁场的环境除尘等进行超低排放改造。</w:t>
      </w:r>
    </w:p>
    <w:p w14:paraId="578838EB">
      <w:pPr>
        <w:shd w:val="clear"/>
        <w:rPr>
          <w:color w:val="auto"/>
          <w:highlight w:val="none"/>
        </w:rPr>
      </w:pPr>
      <w:r>
        <w:rPr>
          <w:rFonts w:hint="eastAsia"/>
          <w:color w:val="auto"/>
          <w:highlight w:val="none"/>
        </w:rPr>
        <w:t>2号高炉优化升级及超低排放改造项目，除尘及通风空调设施主要内容包括：出铁场除尘系统改造、矿槽除尘系统改造、地沟除尘系统改造、工艺及辅助用房的采暖、通风及空调设施。</w:t>
      </w:r>
    </w:p>
    <w:p w14:paraId="355EDA41">
      <w:pPr>
        <w:shd w:val="clear"/>
        <w:ind w:firstLine="0" w:firstLineChars="0"/>
        <w:outlineLvl w:val="1"/>
        <w:rPr>
          <w:rFonts w:cs="Times New Roman"/>
          <w:b/>
          <w:color w:val="auto"/>
          <w:sz w:val="28"/>
          <w:szCs w:val="28"/>
          <w:highlight w:val="none"/>
        </w:rPr>
      </w:pPr>
      <w:bookmarkStart w:id="586" w:name="_Toc12816"/>
      <w:bookmarkStart w:id="587" w:name="_Toc175920395"/>
      <w:bookmarkStart w:id="588" w:name="_Toc12545"/>
      <w:bookmarkStart w:id="589" w:name="_Toc105492965"/>
      <w:bookmarkStart w:id="590" w:name="_Toc32247"/>
      <w:bookmarkStart w:id="591" w:name="_Toc14458"/>
      <w:bookmarkStart w:id="592" w:name="_Toc9188"/>
      <w:bookmarkStart w:id="593" w:name="_Toc22058"/>
      <w:r>
        <w:rPr>
          <w:rFonts w:hint="eastAsia" w:cs="Times New Roman"/>
          <w:b/>
          <w:color w:val="auto"/>
          <w:sz w:val="28"/>
          <w:szCs w:val="28"/>
          <w:highlight w:val="none"/>
        </w:rPr>
        <w:t>7.2 主要设计依据</w:t>
      </w:r>
      <w:bookmarkEnd w:id="586"/>
      <w:bookmarkEnd w:id="587"/>
      <w:bookmarkEnd w:id="588"/>
      <w:bookmarkEnd w:id="589"/>
      <w:bookmarkEnd w:id="590"/>
      <w:bookmarkEnd w:id="591"/>
      <w:bookmarkEnd w:id="592"/>
      <w:bookmarkEnd w:id="593"/>
    </w:p>
    <w:p w14:paraId="0613CE50">
      <w:pPr>
        <w:shd w:val="clear"/>
        <w:rPr>
          <w:color w:val="auto"/>
          <w:highlight w:val="none"/>
        </w:rPr>
      </w:pPr>
      <w:bookmarkStart w:id="594" w:name="_Toc175920396"/>
      <w:r>
        <w:rPr>
          <w:rFonts w:hint="eastAsia"/>
          <w:color w:val="auto"/>
          <w:highlight w:val="none"/>
        </w:rPr>
        <w:t>《工业建筑供暖通风与空气调节设计规范》               GB50019-2015</w:t>
      </w:r>
    </w:p>
    <w:p w14:paraId="7409D205">
      <w:pPr>
        <w:shd w:val="clear"/>
        <w:rPr>
          <w:color w:val="auto"/>
          <w:highlight w:val="none"/>
        </w:rPr>
      </w:pPr>
      <w:r>
        <w:rPr>
          <w:rFonts w:hint="eastAsia"/>
          <w:color w:val="auto"/>
          <w:highlight w:val="none"/>
        </w:rPr>
        <w:t>《袋式除尘工程通用技术规范》                         HJ2020-2012</w:t>
      </w:r>
    </w:p>
    <w:p w14:paraId="1B7A2826">
      <w:pPr>
        <w:shd w:val="clear"/>
        <w:rPr>
          <w:color w:val="auto"/>
          <w:highlight w:val="none"/>
        </w:rPr>
      </w:pPr>
      <w:r>
        <w:rPr>
          <w:rFonts w:hint="eastAsia"/>
          <w:color w:val="auto"/>
          <w:highlight w:val="none"/>
        </w:rPr>
        <w:t>《工业企业设计卫生标准》                             GBZ1-2010</w:t>
      </w:r>
    </w:p>
    <w:p w14:paraId="57CA0168">
      <w:pPr>
        <w:shd w:val="clear"/>
        <w:rPr>
          <w:color w:val="auto"/>
          <w:highlight w:val="none"/>
        </w:rPr>
      </w:pPr>
      <w:r>
        <w:rPr>
          <w:rFonts w:hint="eastAsia"/>
          <w:color w:val="auto"/>
          <w:highlight w:val="none"/>
        </w:rPr>
        <w:t>《固定污染源烟气（SO2、NOX、颗粒物）排放连续检测技术规范》HJ75-2017</w:t>
      </w:r>
    </w:p>
    <w:p w14:paraId="0940368A">
      <w:pPr>
        <w:shd w:val="clear"/>
        <w:rPr>
          <w:color w:val="auto"/>
          <w:highlight w:val="none"/>
        </w:rPr>
      </w:pPr>
      <w:r>
        <w:rPr>
          <w:rFonts w:hint="eastAsia"/>
          <w:color w:val="auto"/>
          <w:highlight w:val="none"/>
        </w:rPr>
        <w:t>《工作场所有害因素职业接触限值第1部分：化学有害因素》GBZ2.1-2019</w:t>
      </w:r>
    </w:p>
    <w:p w14:paraId="7EECB8AB">
      <w:pPr>
        <w:shd w:val="clear"/>
        <w:rPr>
          <w:color w:val="auto"/>
          <w:highlight w:val="none"/>
        </w:rPr>
      </w:pPr>
      <w:r>
        <w:rPr>
          <w:rFonts w:hint="eastAsia"/>
          <w:color w:val="auto"/>
          <w:highlight w:val="none"/>
        </w:rPr>
        <w:t>《工业企业厂界环境噪声排放标准》       GB12348-2008</w:t>
      </w:r>
    </w:p>
    <w:p w14:paraId="3EC8463C">
      <w:pPr>
        <w:shd w:val="clear"/>
        <w:rPr>
          <w:color w:val="auto"/>
          <w:highlight w:val="none"/>
        </w:rPr>
      </w:pPr>
      <w:r>
        <w:rPr>
          <w:rFonts w:hint="eastAsia"/>
          <w:color w:val="auto"/>
          <w:highlight w:val="none"/>
        </w:rPr>
        <w:t>《炼铁工业大气污染物排放标准》         GB28663-2012</w:t>
      </w:r>
    </w:p>
    <w:p w14:paraId="6DA7EBD8">
      <w:pPr>
        <w:shd w:val="clear"/>
        <w:rPr>
          <w:color w:val="auto"/>
          <w:highlight w:val="none"/>
        </w:rPr>
      </w:pPr>
      <w:r>
        <w:rPr>
          <w:rFonts w:hint="eastAsia"/>
          <w:color w:val="auto"/>
          <w:highlight w:val="none"/>
        </w:rPr>
        <w:t>《高炉烟气通风除尘技术规范》           YBT4979-2021</w:t>
      </w:r>
    </w:p>
    <w:p w14:paraId="14FF621D">
      <w:pPr>
        <w:shd w:val="clear"/>
        <w:rPr>
          <w:color w:val="auto"/>
          <w:highlight w:val="none"/>
        </w:rPr>
      </w:pPr>
      <w:r>
        <w:rPr>
          <w:rFonts w:hint="eastAsia"/>
          <w:color w:val="auto"/>
          <w:highlight w:val="none"/>
        </w:rPr>
        <w:t>《建筑防火通用规范》                   GB 55037-2022</w:t>
      </w:r>
    </w:p>
    <w:p w14:paraId="47755578">
      <w:pPr>
        <w:shd w:val="clear"/>
        <w:rPr>
          <w:color w:val="auto"/>
          <w:highlight w:val="none"/>
        </w:rPr>
      </w:pPr>
      <w:r>
        <w:rPr>
          <w:rFonts w:hint="eastAsia"/>
          <w:color w:val="auto"/>
          <w:highlight w:val="none"/>
        </w:rPr>
        <w:t>《消防设施通用规范》                   GB 55036-2022</w:t>
      </w:r>
    </w:p>
    <w:p w14:paraId="40DB2507">
      <w:pPr>
        <w:shd w:val="clear"/>
        <w:rPr>
          <w:color w:val="auto"/>
          <w:highlight w:val="none"/>
        </w:rPr>
      </w:pPr>
      <w:r>
        <w:rPr>
          <w:rFonts w:hint="eastAsia"/>
          <w:color w:val="auto"/>
          <w:highlight w:val="none"/>
        </w:rPr>
        <w:t>《固定污染源废气排放口监测点位设置技术规范（T CAEPI46-2022）》</w:t>
      </w:r>
    </w:p>
    <w:p w14:paraId="5E14A7E3">
      <w:pPr>
        <w:shd w:val="clear"/>
        <w:rPr>
          <w:color w:val="auto"/>
          <w:highlight w:val="none"/>
        </w:rPr>
      </w:pPr>
      <w:r>
        <w:rPr>
          <w:rFonts w:hint="eastAsia"/>
          <w:color w:val="auto"/>
          <w:highlight w:val="none"/>
        </w:rPr>
        <w:t>《固定污染源排放口监测点位设置技术指南（征求意见稿）》</w:t>
      </w:r>
    </w:p>
    <w:p w14:paraId="6E7FB3A1">
      <w:pPr>
        <w:shd w:val="clear"/>
        <w:rPr>
          <w:color w:val="auto"/>
          <w:highlight w:val="none"/>
        </w:rPr>
      </w:pPr>
      <w:r>
        <w:rPr>
          <w:rFonts w:hint="eastAsia"/>
          <w:color w:val="auto"/>
          <w:highlight w:val="none"/>
        </w:rPr>
        <w:t>《固定污染源自动监控（监测）系统现场端建设技术规范（TCAEPI 11-2017）》</w:t>
      </w:r>
    </w:p>
    <w:p w14:paraId="34EC5AEF">
      <w:pPr>
        <w:shd w:val="clear"/>
        <w:rPr>
          <w:color w:val="auto"/>
          <w:highlight w:val="none"/>
        </w:rPr>
      </w:pPr>
      <w:r>
        <w:rPr>
          <w:rFonts w:hint="eastAsia"/>
          <w:color w:val="auto"/>
          <w:highlight w:val="none"/>
        </w:rPr>
        <w:t>《关于做好重点单位自动监控安装联网相关工作的通知（环办执法函〔2021〕484号）》</w:t>
      </w:r>
    </w:p>
    <w:p w14:paraId="6EB85F37">
      <w:pPr>
        <w:shd w:val="clear"/>
        <w:rPr>
          <w:color w:val="auto"/>
          <w:highlight w:val="none"/>
        </w:rPr>
      </w:pPr>
      <w:r>
        <w:rPr>
          <w:rFonts w:hint="eastAsia"/>
          <w:color w:val="auto"/>
          <w:highlight w:val="none"/>
        </w:rPr>
        <w:t>《关于推进实施钢铁行业超低排放的意见（正式版）》（环大气[2019]35号）</w:t>
      </w:r>
    </w:p>
    <w:p w14:paraId="4ABBFE2E">
      <w:pPr>
        <w:shd w:val="clear"/>
        <w:ind w:firstLine="0" w:firstLineChars="0"/>
        <w:outlineLvl w:val="1"/>
        <w:rPr>
          <w:rFonts w:cs="Times New Roman"/>
          <w:b/>
          <w:color w:val="auto"/>
          <w:sz w:val="28"/>
          <w:szCs w:val="28"/>
          <w:highlight w:val="none"/>
        </w:rPr>
      </w:pPr>
      <w:bookmarkStart w:id="595" w:name="_Toc464581309"/>
      <w:bookmarkStart w:id="596" w:name="_Toc10302"/>
      <w:bookmarkStart w:id="597" w:name="_Toc3729"/>
      <w:bookmarkStart w:id="598" w:name="_Toc9823"/>
      <w:bookmarkStart w:id="599" w:name="_Toc31411"/>
      <w:bookmarkStart w:id="600" w:name="_Toc4134"/>
      <w:bookmarkStart w:id="601" w:name="_Toc22587"/>
      <w:bookmarkStart w:id="602" w:name="_Toc485290221"/>
      <w:r>
        <w:rPr>
          <w:rFonts w:hint="eastAsia" w:cs="Times New Roman"/>
          <w:b/>
          <w:color w:val="auto"/>
          <w:sz w:val="28"/>
          <w:szCs w:val="28"/>
          <w:highlight w:val="none"/>
        </w:rPr>
        <w:t>7.3设计原则</w:t>
      </w:r>
      <w:bookmarkEnd w:id="595"/>
      <w:bookmarkEnd w:id="596"/>
      <w:bookmarkEnd w:id="597"/>
      <w:bookmarkEnd w:id="598"/>
      <w:bookmarkEnd w:id="599"/>
      <w:bookmarkEnd w:id="600"/>
      <w:bookmarkEnd w:id="601"/>
      <w:bookmarkEnd w:id="602"/>
    </w:p>
    <w:p w14:paraId="0489CEAD">
      <w:pPr>
        <w:shd w:val="clear"/>
        <w:rPr>
          <w:color w:val="auto"/>
          <w:highlight w:val="none"/>
        </w:rPr>
      </w:pPr>
      <w:r>
        <w:rPr>
          <w:rFonts w:hint="eastAsia"/>
          <w:color w:val="auto"/>
          <w:highlight w:val="none"/>
        </w:rPr>
        <w:t>（1）最大限度地减少工程改造给生产带来的影响及损失，原系统尽可能少动或保留，尽量缩短现场施工工期，减少停产时间；</w:t>
      </w:r>
    </w:p>
    <w:p w14:paraId="6751A9E8">
      <w:pPr>
        <w:shd w:val="clear"/>
        <w:rPr>
          <w:color w:val="auto"/>
          <w:highlight w:val="none"/>
        </w:rPr>
      </w:pPr>
      <w:r>
        <w:rPr>
          <w:rFonts w:hint="eastAsia"/>
          <w:color w:val="auto"/>
          <w:highlight w:val="none"/>
        </w:rPr>
        <w:t>（2）充分考虑系统改造与工艺生产的相互影响；</w:t>
      </w:r>
    </w:p>
    <w:p w14:paraId="1098E537">
      <w:pPr>
        <w:shd w:val="clear"/>
        <w:rPr>
          <w:color w:val="auto"/>
          <w:highlight w:val="none"/>
        </w:rPr>
      </w:pPr>
      <w:r>
        <w:rPr>
          <w:rFonts w:hint="eastAsia"/>
          <w:color w:val="auto"/>
          <w:highlight w:val="none"/>
        </w:rPr>
        <w:t>（3）采用成熟、可靠、先进、经济、适用的技术，确保项目改造后满足生产工艺、环保和节能要求；</w:t>
      </w:r>
    </w:p>
    <w:p w14:paraId="7CBA5E4D">
      <w:pPr>
        <w:shd w:val="clear"/>
        <w:rPr>
          <w:color w:val="auto"/>
          <w:highlight w:val="none"/>
        </w:rPr>
      </w:pPr>
      <w:r>
        <w:rPr>
          <w:rFonts w:hint="eastAsia"/>
          <w:color w:val="auto"/>
          <w:highlight w:val="none"/>
        </w:rPr>
        <w:t>（4）除尘系统改造方案要兼顾已有除尘系统，尽量利用设备检修时间完成，不影响冶炼操作；</w:t>
      </w:r>
    </w:p>
    <w:p w14:paraId="7C390F09">
      <w:pPr>
        <w:shd w:val="clear"/>
        <w:rPr>
          <w:color w:val="auto"/>
          <w:highlight w:val="none"/>
        </w:rPr>
      </w:pPr>
      <w:r>
        <w:rPr>
          <w:rFonts w:hint="eastAsia"/>
          <w:color w:val="auto"/>
          <w:highlight w:val="none"/>
        </w:rPr>
        <w:t>（5）所用技术是已在工程实践中应用证实先进、成熟的技术；</w:t>
      </w:r>
    </w:p>
    <w:p w14:paraId="1C4FE4E7">
      <w:pPr>
        <w:shd w:val="clear"/>
        <w:rPr>
          <w:color w:val="auto"/>
          <w:highlight w:val="none"/>
        </w:rPr>
      </w:pPr>
      <w:r>
        <w:rPr>
          <w:rFonts w:hint="eastAsia"/>
          <w:color w:val="auto"/>
          <w:highlight w:val="none"/>
        </w:rPr>
        <w:t>（6）优化设计，降低工程投资及运行成本。</w:t>
      </w:r>
    </w:p>
    <w:p w14:paraId="70670647">
      <w:pPr>
        <w:shd w:val="clear"/>
        <w:rPr>
          <w:rFonts w:ascii="Times New Roman" w:hAnsi="Times New Roman"/>
          <w:color w:val="auto"/>
          <w:highlight w:val="none"/>
        </w:rPr>
      </w:pPr>
      <w:r>
        <w:rPr>
          <w:rFonts w:hint="eastAsia"/>
          <w:color w:val="auto"/>
          <w:highlight w:val="none"/>
        </w:rPr>
        <w:t>（7）</w:t>
      </w:r>
      <w:r>
        <w:rPr>
          <w:rFonts w:ascii="Times New Roman" w:hAnsi="Times New Roman"/>
          <w:color w:val="auto"/>
          <w:highlight w:val="none"/>
        </w:rPr>
        <w:t>对产尘点进行</w:t>
      </w:r>
      <w:r>
        <w:rPr>
          <w:rFonts w:hint="eastAsia" w:ascii="Times New Roman" w:hAnsi="Times New Roman"/>
          <w:color w:val="auto"/>
          <w:highlight w:val="none"/>
        </w:rPr>
        <w:t>重新</w:t>
      </w:r>
      <w:r>
        <w:rPr>
          <w:rFonts w:ascii="Times New Roman" w:hAnsi="Times New Roman"/>
          <w:color w:val="auto"/>
          <w:highlight w:val="none"/>
        </w:rPr>
        <w:t>严格的局部或整体密闭，密闭罩的设计因地制宜，结合生产工艺设备的特点和实际情况进行设计。密闭罩的形式有振动筛密闭罩、卸料转运点皮带机密闭罩等，密闭罩不影响生产操作，便于维护与检修。</w:t>
      </w:r>
      <w:r>
        <w:rPr>
          <w:rFonts w:hint="eastAsia" w:ascii="Times New Roman" w:hAnsi="Times New Roman"/>
          <w:color w:val="auto"/>
          <w:highlight w:val="none"/>
          <w:lang w:val="en-US" w:eastAsia="zh-CN"/>
        </w:rPr>
        <w:t>无厂房</w:t>
      </w:r>
      <w:r>
        <w:rPr>
          <w:rFonts w:ascii="Times New Roman" w:hAnsi="Times New Roman"/>
          <w:color w:val="auto"/>
          <w:highlight w:val="none"/>
        </w:rPr>
        <w:t>含尘浓度≤</w:t>
      </w:r>
      <w:r>
        <w:rPr>
          <w:rFonts w:hint="eastAsia" w:ascii="Times New Roman" w:hAnsi="Times New Roman"/>
          <w:color w:val="auto"/>
          <w:highlight w:val="none"/>
          <w:lang w:val="en-US" w:eastAsia="zh-CN"/>
        </w:rPr>
        <w:t>5</w:t>
      </w:r>
      <w:r>
        <w:rPr>
          <w:rFonts w:ascii="Times New Roman" w:hAnsi="Times New Roman"/>
          <w:color w:val="auto"/>
          <w:highlight w:val="none"/>
        </w:rPr>
        <w:t>mg/m</w:t>
      </w:r>
      <w:r>
        <w:rPr>
          <w:rFonts w:ascii="Times New Roman" w:hAnsi="Times New Roman"/>
          <w:color w:val="auto"/>
          <w:highlight w:val="none"/>
          <w:vertAlign w:val="superscript"/>
        </w:rPr>
        <w:t>3</w:t>
      </w:r>
      <w:r>
        <w:rPr>
          <w:rFonts w:ascii="Times New Roman" w:hAnsi="Times New Roman"/>
          <w:color w:val="auto"/>
          <w:highlight w:val="none"/>
        </w:rPr>
        <w:t>，</w:t>
      </w:r>
      <w:r>
        <w:rPr>
          <w:rFonts w:hint="eastAsia" w:ascii="Times New Roman" w:hAnsi="Times New Roman"/>
          <w:color w:val="auto"/>
          <w:highlight w:val="none"/>
          <w:lang w:val="en-US" w:eastAsia="zh-CN"/>
        </w:rPr>
        <w:t>有厂房</w:t>
      </w:r>
      <w:r>
        <w:rPr>
          <w:rFonts w:ascii="Times New Roman" w:hAnsi="Times New Roman"/>
          <w:color w:val="auto"/>
          <w:highlight w:val="none"/>
        </w:rPr>
        <w:t>粉尘浓度≤8mg/m</w:t>
      </w:r>
      <w:r>
        <w:rPr>
          <w:rFonts w:ascii="Times New Roman" w:hAnsi="Times New Roman"/>
          <w:color w:val="auto"/>
          <w:highlight w:val="none"/>
          <w:vertAlign w:val="superscript"/>
        </w:rPr>
        <w:t>3</w:t>
      </w:r>
      <w:r>
        <w:rPr>
          <w:rFonts w:ascii="Times New Roman" w:hAnsi="Times New Roman"/>
          <w:color w:val="auto"/>
          <w:highlight w:val="none"/>
        </w:rPr>
        <w:t>，达到国家所规定的卫生标准。</w:t>
      </w:r>
    </w:p>
    <w:p w14:paraId="78B0D610">
      <w:pPr>
        <w:shd w:val="clear"/>
        <w:rPr>
          <w:rFonts w:ascii="Times New Roman" w:hAnsi="Times New Roman"/>
          <w:color w:val="auto"/>
          <w:highlight w:val="none"/>
        </w:rPr>
      </w:pPr>
      <w:r>
        <w:rPr>
          <w:rFonts w:hint="eastAsia" w:ascii="Times New Roman" w:hAnsi="Times New Roman"/>
          <w:color w:val="auto"/>
          <w:highlight w:val="none"/>
        </w:rPr>
        <w:t>（8）新建除尘器采用高效低压脉冲袋式除尘器，现有除尘器改造为利用现有设备基础，现有除尘器灰斗以下尽可能利旧，除尘器过滤方式更改为滤筒过滤方式，在满足改造后的除尘风量的情况下满足超低排放的要求。</w:t>
      </w:r>
    </w:p>
    <w:p w14:paraId="1108CD65">
      <w:pPr>
        <w:shd w:val="clear"/>
        <w:rPr>
          <w:rFonts w:hint="default" w:eastAsia="宋体"/>
          <w:dstrike/>
          <w:color w:val="auto"/>
          <w:highlight w:val="none"/>
          <w:lang w:val="en-US" w:eastAsia="zh-CN"/>
        </w:rPr>
      </w:pPr>
      <w:r>
        <w:rPr>
          <w:rFonts w:hint="eastAsia" w:ascii="Times New Roman" w:hAnsi="Times New Roman"/>
          <w:color w:val="auto"/>
          <w:highlight w:val="none"/>
        </w:rPr>
        <w:t>（9）对现有的集合灰仓卸灰方式进行改造，集合灰仓卸灰口改造为双卸灰口，新建的集合灰仓直接设计为双卸灰口，考虑厂区压缩空气用气量不足，两个卸灰口均按照吸排罐车卸灰考虑</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吸排灰罐车接管前增加助吹管道。</w:t>
      </w:r>
    </w:p>
    <w:p w14:paraId="3586C496">
      <w:pPr>
        <w:shd w:val="clear"/>
        <w:rPr>
          <w:rFonts w:hint="eastAsia"/>
          <w:dstrike/>
          <w:color w:val="auto"/>
          <w:highlight w:val="none"/>
        </w:rPr>
      </w:pPr>
      <w:r>
        <w:rPr>
          <w:rFonts w:hint="eastAsia"/>
          <w:color w:val="auto"/>
          <w:highlight w:val="none"/>
        </w:rPr>
        <w:t>（10）除尘阀门安装高度超过1.50m是需要做检修平台，气动阀门需要设置现场控制箱，与对应工艺设备联锁启闭，并远传DCS进行控制。</w:t>
      </w:r>
    </w:p>
    <w:p w14:paraId="2E2426FB">
      <w:pPr>
        <w:shd w:val="clear"/>
        <w:rPr>
          <w:rFonts w:ascii="Times New Roman" w:hAnsi="Times New Roman"/>
          <w:color w:val="auto"/>
          <w:highlight w:val="none"/>
        </w:rPr>
      </w:pPr>
      <w:r>
        <w:rPr>
          <w:rFonts w:hint="eastAsia" w:ascii="Times New Roman" w:hAnsi="Times New Roman"/>
          <w:color w:val="auto"/>
          <w:highlight w:val="none"/>
        </w:rPr>
        <w:t>（11）除尘管道壁厚按下表要求：</w:t>
      </w:r>
    </w:p>
    <w:p w14:paraId="3318FC82">
      <w:pPr>
        <w:shd w:val="clear"/>
        <w:rPr>
          <w:color w:val="auto"/>
          <w:highlight w:val="none"/>
        </w:rPr>
      </w:pPr>
      <w:r>
        <w:rPr>
          <w:rFonts w:hint="eastAsia"/>
          <w:color w:val="auto"/>
          <w:highlight w:val="none"/>
        </w:rPr>
        <w:t>表7.3-1  除尘管道壁厚</w:t>
      </w:r>
    </w:p>
    <w:tbl>
      <w:tblPr>
        <w:tblStyle w:val="6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0"/>
        <w:gridCol w:w="3525"/>
        <w:gridCol w:w="1605"/>
        <w:gridCol w:w="2490"/>
      </w:tblGrid>
      <w:tr w14:paraId="389464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830" w:type="dxa"/>
            <w:vMerge w:val="restart"/>
            <w:vAlign w:val="center"/>
          </w:tcPr>
          <w:p w14:paraId="2C30107A">
            <w:pPr>
              <w:shd w:val="clear"/>
              <w:ind w:firstLine="0" w:firstLineChars="0"/>
              <w:rPr>
                <w:rFonts w:cs="宋体"/>
                <w:color w:val="auto"/>
                <w:sz w:val="21"/>
                <w:szCs w:val="21"/>
                <w:highlight w:val="none"/>
              </w:rPr>
            </w:pPr>
            <w:r>
              <w:rPr>
                <w:rFonts w:hint="eastAsia" w:cs="宋体"/>
                <w:color w:val="auto"/>
                <w:sz w:val="21"/>
                <w:szCs w:val="21"/>
                <w:highlight w:val="none"/>
              </w:rPr>
              <w:t>序号</w:t>
            </w:r>
          </w:p>
        </w:tc>
        <w:tc>
          <w:tcPr>
            <w:tcW w:w="3525" w:type="dxa"/>
            <w:vMerge w:val="restart"/>
            <w:vAlign w:val="center"/>
          </w:tcPr>
          <w:p w14:paraId="21A675F9">
            <w:pPr>
              <w:shd w:val="clear"/>
              <w:ind w:firstLine="0" w:firstLineChars="0"/>
              <w:rPr>
                <w:rFonts w:cs="宋体"/>
                <w:color w:val="auto"/>
                <w:sz w:val="21"/>
                <w:szCs w:val="21"/>
                <w:highlight w:val="none"/>
              </w:rPr>
            </w:pPr>
            <w:r>
              <w:rPr>
                <w:rFonts w:hint="eastAsia" w:cs="宋体"/>
                <w:color w:val="auto"/>
                <w:sz w:val="21"/>
                <w:szCs w:val="21"/>
                <w:highlight w:val="none"/>
              </w:rPr>
              <w:t>管道直径 DN或矩形长边B（mm）</w:t>
            </w:r>
          </w:p>
        </w:tc>
        <w:tc>
          <w:tcPr>
            <w:tcW w:w="4095" w:type="dxa"/>
            <w:gridSpan w:val="2"/>
            <w:vAlign w:val="center"/>
          </w:tcPr>
          <w:p w14:paraId="16DC2C22">
            <w:pPr>
              <w:shd w:val="clear"/>
              <w:ind w:firstLine="0" w:firstLineChars="0"/>
              <w:jc w:val="center"/>
              <w:rPr>
                <w:rFonts w:cs="宋体"/>
                <w:color w:val="auto"/>
                <w:sz w:val="21"/>
                <w:szCs w:val="21"/>
                <w:highlight w:val="none"/>
              </w:rPr>
            </w:pPr>
            <w:r>
              <w:rPr>
                <w:rFonts w:hint="eastAsia" w:cs="宋体"/>
                <w:color w:val="auto"/>
                <w:sz w:val="21"/>
                <w:szCs w:val="21"/>
                <w:highlight w:val="none"/>
              </w:rPr>
              <w:t>管道壁厚（mm）</w:t>
            </w:r>
          </w:p>
        </w:tc>
      </w:tr>
      <w:tr w14:paraId="63CE76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830" w:type="dxa"/>
            <w:vMerge w:val="continue"/>
            <w:vAlign w:val="center"/>
          </w:tcPr>
          <w:p w14:paraId="4CA2E17A">
            <w:pPr>
              <w:shd w:val="clear"/>
              <w:ind w:firstLine="0" w:firstLineChars="0"/>
              <w:rPr>
                <w:rFonts w:cs="宋体"/>
                <w:color w:val="auto"/>
                <w:sz w:val="21"/>
                <w:szCs w:val="21"/>
                <w:highlight w:val="none"/>
              </w:rPr>
            </w:pPr>
          </w:p>
        </w:tc>
        <w:tc>
          <w:tcPr>
            <w:tcW w:w="3525" w:type="dxa"/>
            <w:vMerge w:val="continue"/>
            <w:vAlign w:val="center"/>
          </w:tcPr>
          <w:p w14:paraId="01F2558B">
            <w:pPr>
              <w:shd w:val="clear"/>
              <w:ind w:firstLine="0" w:firstLineChars="0"/>
              <w:rPr>
                <w:rFonts w:cs="宋体"/>
                <w:color w:val="auto"/>
                <w:sz w:val="21"/>
                <w:szCs w:val="21"/>
                <w:highlight w:val="none"/>
              </w:rPr>
            </w:pPr>
          </w:p>
        </w:tc>
        <w:tc>
          <w:tcPr>
            <w:tcW w:w="1605" w:type="dxa"/>
            <w:vAlign w:val="center"/>
          </w:tcPr>
          <w:p w14:paraId="388B0466">
            <w:pPr>
              <w:shd w:val="clear"/>
              <w:ind w:firstLine="0" w:firstLineChars="0"/>
              <w:rPr>
                <w:rFonts w:cs="宋体"/>
                <w:color w:val="auto"/>
                <w:sz w:val="21"/>
                <w:szCs w:val="21"/>
                <w:highlight w:val="none"/>
              </w:rPr>
            </w:pPr>
            <w:r>
              <w:rPr>
                <w:rFonts w:hint="eastAsia" w:cs="宋体"/>
                <w:color w:val="auto"/>
                <w:sz w:val="21"/>
                <w:szCs w:val="21"/>
                <w:highlight w:val="none"/>
              </w:rPr>
              <w:t>矩形管壁厚</w:t>
            </w:r>
          </w:p>
        </w:tc>
        <w:tc>
          <w:tcPr>
            <w:tcW w:w="2490" w:type="dxa"/>
            <w:vAlign w:val="center"/>
          </w:tcPr>
          <w:p w14:paraId="62FB5518">
            <w:pPr>
              <w:shd w:val="clear"/>
              <w:ind w:firstLine="0" w:firstLineChars="0"/>
              <w:rPr>
                <w:rFonts w:cs="宋体"/>
                <w:color w:val="auto"/>
                <w:sz w:val="21"/>
                <w:szCs w:val="21"/>
                <w:highlight w:val="none"/>
              </w:rPr>
            </w:pPr>
            <w:r>
              <w:rPr>
                <w:rFonts w:hint="eastAsia" w:cs="宋体"/>
                <w:color w:val="auto"/>
                <w:sz w:val="21"/>
                <w:szCs w:val="21"/>
                <w:highlight w:val="none"/>
              </w:rPr>
              <w:t>圆管壁厚</w:t>
            </w:r>
          </w:p>
        </w:tc>
      </w:tr>
      <w:tr w14:paraId="79DB74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0" w:type="dxa"/>
            <w:vAlign w:val="center"/>
          </w:tcPr>
          <w:p w14:paraId="38F58D9A">
            <w:pPr>
              <w:shd w:val="clear"/>
              <w:ind w:firstLine="0" w:firstLineChars="0"/>
              <w:rPr>
                <w:rFonts w:cs="宋体"/>
                <w:color w:val="auto"/>
                <w:sz w:val="21"/>
                <w:szCs w:val="21"/>
                <w:highlight w:val="none"/>
              </w:rPr>
            </w:pPr>
            <w:r>
              <w:rPr>
                <w:rFonts w:hint="eastAsia" w:cs="宋体"/>
                <w:color w:val="auto"/>
                <w:sz w:val="21"/>
                <w:szCs w:val="21"/>
                <w:highlight w:val="none"/>
              </w:rPr>
              <w:t>1</w:t>
            </w:r>
          </w:p>
        </w:tc>
        <w:tc>
          <w:tcPr>
            <w:tcW w:w="3525" w:type="dxa"/>
            <w:vAlign w:val="center"/>
          </w:tcPr>
          <w:p w14:paraId="099CA078">
            <w:pPr>
              <w:shd w:val="clear"/>
              <w:ind w:firstLine="0" w:firstLineChars="0"/>
              <w:rPr>
                <w:rFonts w:cs="宋体"/>
                <w:color w:val="auto"/>
                <w:sz w:val="21"/>
                <w:szCs w:val="21"/>
                <w:highlight w:val="none"/>
              </w:rPr>
            </w:pPr>
            <w:r>
              <w:rPr>
                <w:rFonts w:hint="eastAsia" w:cs="宋体"/>
                <w:color w:val="auto"/>
                <w:sz w:val="21"/>
                <w:szCs w:val="21"/>
                <w:highlight w:val="none"/>
              </w:rPr>
              <w:t>DN（B）≤ 800</w:t>
            </w:r>
          </w:p>
        </w:tc>
        <w:tc>
          <w:tcPr>
            <w:tcW w:w="1605" w:type="dxa"/>
            <w:vAlign w:val="center"/>
          </w:tcPr>
          <w:p w14:paraId="41C91FC9">
            <w:pPr>
              <w:shd w:val="clear"/>
              <w:ind w:firstLine="0" w:firstLineChars="0"/>
              <w:rPr>
                <w:rFonts w:cs="宋体"/>
                <w:color w:val="auto"/>
                <w:sz w:val="21"/>
                <w:szCs w:val="21"/>
                <w:highlight w:val="none"/>
              </w:rPr>
            </w:pPr>
            <w:r>
              <w:rPr>
                <w:rFonts w:hint="eastAsia" w:cs="宋体"/>
                <w:color w:val="auto"/>
                <w:sz w:val="21"/>
                <w:szCs w:val="21"/>
                <w:highlight w:val="none"/>
              </w:rPr>
              <w:t>5</w:t>
            </w:r>
          </w:p>
        </w:tc>
        <w:tc>
          <w:tcPr>
            <w:tcW w:w="2490" w:type="dxa"/>
            <w:vAlign w:val="center"/>
          </w:tcPr>
          <w:p w14:paraId="0CC3251E">
            <w:pPr>
              <w:shd w:val="clear"/>
              <w:ind w:firstLine="0" w:firstLineChars="0"/>
              <w:rPr>
                <w:rFonts w:cs="宋体"/>
                <w:color w:val="auto"/>
                <w:sz w:val="21"/>
                <w:szCs w:val="21"/>
                <w:highlight w:val="none"/>
              </w:rPr>
            </w:pPr>
            <w:r>
              <w:rPr>
                <w:rFonts w:hint="eastAsia" w:cs="宋体"/>
                <w:color w:val="auto"/>
                <w:sz w:val="21"/>
                <w:szCs w:val="21"/>
                <w:highlight w:val="none"/>
              </w:rPr>
              <w:t>6</w:t>
            </w:r>
          </w:p>
        </w:tc>
      </w:tr>
      <w:tr w14:paraId="0DC61E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0" w:type="dxa"/>
            <w:vAlign w:val="center"/>
          </w:tcPr>
          <w:p w14:paraId="3A0B059F">
            <w:pPr>
              <w:shd w:val="clear"/>
              <w:ind w:firstLine="0" w:firstLineChars="0"/>
              <w:rPr>
                <w:rFonts w:cs="宋体"/>
                <w:color w:val="auto"/>
                <w:sz w:val="21"/>
                <w:szCs w:val="21"/>
                <w:highlight w:val="none"/>
              </w:rPr>
            </w:pPr>
            <w:r>
              <w:rPr>
                <w:rFonts w:hint="eastAsia" w:cs="宋体"/>
                <w:color w:val="auto"/>
                <w:sz w:val="21"/>
                <w:szCs w:val="21"/>
                <w:highlight w:val="none"/>
              </w:rPr>
              <w:t>2</w:t>
            </w:r>
          </w:p>
        </w:tc>
        <w:tc>
          <w:tcPr>
            <w:tcW w:w="3525" w:type="dxa"/>
            <w:vAlign w:val="center"/>
          </w:tcPr>
          <w:p w14:paraId="17A934DC">
            <w:pPr>
              <w:shd w:val="clear"/>
              <w:ind w:firstLine="0" w:firstLineChars="0"/>
              <w:rPr>
                <w:rFonts w:cs="宋体"/>
                <w:color w:val="auto"/>
                <w:sz w:val="21"/>
                <w:szCs w:val="21"/>
                <w:highlight w:val="none"/>
              </w:rPr>
            </w:pPr>
            <w:r>
              <w:rPr>
                <w:rFonts w:hint="eastAsia" w:cs="宋体"/>
                <w:color w:val="auto"/>
                <w:sz w:val="21"/>
                <w:szCs w:val="21"/>
                <w:highlight w:val="none"/>
              </w:rPr>
              <w:t>800 &lt; DN（B）≤ 1500</w:t>
            </w:r>
          </w:p>
        </w:tc>
        <w:tc>
          <w:tcPr>
            <w:tcW w:w="1605" w:type="dxa"/>
            <w:vAlign w:val="center"/>
          </w:tcPr>
          <w:p w14:paraId="1A7D138C">
            <w:pPr>
              <w:shd w:val="clear"/>
              <w:ind w:firstLine="0" w:firstLineChars="0"/>
              <w:rPr>
                <w:rFonts w:cs="宋体"/>
                <w:color w:val="auto"/>
                <w:sz w:val="21"/>
                <w:szCs w:val="21"/>
                <w:highlight w:val="none"/>
              </w:rPr>
            </w:pPr>
            <w:r>
              <w:rPr>
                <w:rFonts w:hint="eastAsia" w:cs="宋体"/>
                <w:color w:val="auto"/>
                <w:sz w:val="21"/>
                <w:szCs w:val="21"/>
                <w:highlight w:val="none"/>
              </w:rPr>
              <w:t>6</w:t>
            </w:r>
          </w:p>
        </w:tc>
        <w:tc>
          <w:tcPr>
            <w:tcW w:w="2490" w:type="dxa"/>
            <w:vAlign w:val="center"/>
          </w:tcPr>
          <w:p w14:paraId="7962FE70">
            <w:pPr>
              <w:shd w:val="clear"/>
              <w:ind w:firstLine="0" w:firstLineChars="0"/>
              <w:rPr>
                <w:rFonts w:cs="宋体"/>
                <w:color w:val="auto"/>
                <w:sz w:val="21"/>
                <w:szCs w:val="21"/>
                <w:highlight w:val="none"/>
              </w:rPr>
            </w:pPr>
            <w:r>
              <w:rPr>
                <w:rFonts w:hint="eastAsia" w:cs="宋体"/>
                <w:color w:val="auto"/>
                <w:sz w:val="21"/>
                <w:szCs w:val="21"/>
                <w:highlight w:val="none"/>
              </w:rPr>
              <w:t>6</w:t>
            </w:r>
          </w:p>
        </w:tc>
      </w:tr>
      <w:tr w14:paraId="563271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0" w:type="dxa"/>
            <w:vAlign w:val="center"/>
          </w:tcPr>
          <w:p w14:paraId="1050F959">
            <w:pPr>
              <w:shd w:val="clear"/>
              <w:ind w:firstLine="0" w:firstLineChars="0"/>
              <w:rPr>
                <w:rFonts w:cs="宋体"/>
                <w:color w:val="auto"/>
                <w:sz w:val="21"/>
                <w:szCs w:val="21"/>
                <w:highlight w:val="none"/>
              </w:rPr>
            </w:pPr>
            <w:r>
              <w:rPr>
                <w:rFonts w:hint="eastAsia" w:cs="宋体"/>
                <w:color w:val="auto"/>
                <w:sz w:val="21"/>
                <w:szCs w:val="21"/>
                <w:highlight w:val="none"/>
              </w:rPr>
              <w:t>3</w:t>
            </w:r>
          </w:p>
        </w:tc>
        <w:tc>
          <w:tcPr>
            <w:tcW w:w="3525" w:type="dxa"/>
            <w:vAlign w:val="center"/>
          </w:tcPr>
          <w:p w14:paraId="083FA817">
            <w:pPr>
              <w:shd w:val="clear"/>
              <w:ind w:firstLine="0" w:firstLineChars="0"/>
              <w:rPr>
                <w:rFonts w:cs="宋体"/>
                <w:color w:val="auto"/>
                <w:sz w:val="21"/>
                <w:szCs w:val="21"/>
                <w:highlight w:val="none"/>
              </w:rPr>
            </w:pPr>
            <w:r>
              <w:rPr>
                <w:rFonts w:hint="eastAsia" w:cs="宋体"/>
                <w:color w:val="auto"/>
                <w:sz w:val="21"/>
                <w:szCs w:val="21"/>
                <w:highlight w:val="none"/>
              </w:rPr>
              <w:t>1500 &lt; DN（B）≤ 3000</w:t>
            </w:r>
          </w:p>
        </w:tc>
        <w:tc>
          <w:tcPr>
            <w:tcW w:w="1605" w:type="dxa"/>
            <w:vAlign w:val="center"/>
          </w:tcPr>
          <w:p w14:paraId="4EBAE8DA">
            <w:pPr>
              <w:shd w:val="clear"/>
              <w:ind w:firstLine="0" w:firstLineChars="0"/>
              <w:rPr>
                <w:rFonts w:cs="宋体"/>
                <w:color w:val="auto"/>
                <w:sz w:val="21"/>
                <w:szCs w:val="21"/>
                <w:highlight w:val="none"/>
              </w:rPr>
            </w:pPr>
            <w:r>
              <w:rPr>
                <w:rFonts w:hint="eastAsia" w:cs="宋体"/>
                <w:color w:val="auto"/>
                <w:sz w:val="21"/>
                <w:szCs w:val="21"/>
                <w:highlight w:val="none"/>
              </w:rPr>
              <w:t>6</w:t>
            </w:r>
          </w:p>
        </w:tc>
        <w:tc>
          <w:tcPr>
            <w:tcW w:w="2490" w:type="dxa"/>
            <w:vAlign w:val="center"/>
          </w:tcPr>
          <w:p w14:paraId="6F2BFE5B">
            <w:pPr>
              <w:shd w:val="clear"/>
              <w:ind w:firstLine="0" w:firstLineChars="0"/>
              <w:rPr>
                <w:rFonts w:cs="宋体"/>
                <w:color w:val="auto"/>
                <w:sz w:val="21"/>
                <w:szCs w:val="21"/>
                <w:highlight w:val="none"/>
              </w:rPr>
            </w:pPr>
            <w:r>
              <w:rPr>
                <w:rFonts w:hint="eastAsia" w:cs="宋体"/>
                <w:color w:val="auto"/>
                <w:sz w:val="21"/>
                <w:szCs w:val="21"/>
                <w:highlight w:val="none"/>
              </w:rPr>
              <w:t>8</w:t>
            </w:r>
          </w:p>
        </w:tc>
      </w:tr>
      <w:tr w14:paraId="57826E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0" w:type="dxa"/>
            <w:vAlign w:val="center"/>
          </w:tcPr>
          <w:p w14:paraId="0EA96750">
            <w:pPr>
              <w:shd w:val="clear"/>
              <w:ind w:firstLine="0" w:firstLineChars="0"/>
              <w:rPr>
                <w:rFonts w:cs="宋体"/>
                <w:color w:val="auto"/>
                <w:sz w:val="21"/>
                <w:szCs w:val="21"/>
                <w:highlight w:val="none"/>
              </w:rPr>
            </w:pPr>
            <w:r>
              <w:rPr>
                <w:rFonts w:hint="eastAsia" w:cs="宋体"/>
                <w:color w:val="auto"/>
                <w:sz w:val="21"/>
                <w:szCs w:val="21"/>
                <w:highlight w:val="none"/>
              </w:rPr>
              <w:t>4</w:t>
            </w:r>
          </w:p>
        </w:tc>
        <w:tc>
          <w:tcPr>
            <w:tcW w:w="3525" w:type="dxa"/>
            <w:vAlign w:val="center"/>
          </w:tcPr>
          <w:p w14:paraId="60FCA9F9">
            <w:pPr>
              <w:shd w:val="clear"/>
              <w:ind w:firstLine="0" w:firstLineChars="0"/>
              <w:rPr>
                <w:rFonts w:cs="宋体"/>
                <w:color w:val="auto"/>
                <w:sz w:val="21"/>
                <w:szCs w:val="21"/>
                <w:highlight w:val="none"/>
              </w:rPr>
            </w:pPr>
            <w:r>
              <w:rPr>
                <w:rFonts w:hint="eastAsia" w:cs="宋体"/>
                <w:color w:val="auto"/>
                <w:sz w:val="21"/>
                <w:szCs w:val="21"/>
                <w:highlight w:val="none"/>
              </w:rPr>
              <w:t>3000 &lt; DN（B）≤ 4000</w:t>
            </w:r>
          </w:p>
        </w:tc>
        <w:tc>
          <w:tcPr>
            <w:tcW w:w="1605" w:type="dxa"/>
            <w:vAlign w:val="center"/>
          </w:tcPr>
          <w:p w14:paraId="49BA93A0">
            <w:pPr>
              <w:shd w:val="clear"/>
              <w:ind w:firstLine="0" w:firstLineChars="0"/>
              <w:rPr>
                <w:rFonts w:cs="宋体"/>
                <w:color w:val="auto"/>
                <w:sz w:val="21"/>
                <w:szCs w:val="21"/>
                <w:highlight w:val="none"/>
              </w:rPr>
            </w:pPr>
            <w:r>
              <w:rPr>
                <w:rFonts w:hint="eastAsia" w:cs="宋体"/>
                <w:color w:val="auto"/>
                <w:sz w:val="21"/>
                <w:szCs w:val="21"/>
                <w:highlight w:val="none"/>
              </w:rPr>
              <w:t>8</w:t>
            </w:r>
          </w:p>
        </w:tc>
        <w:tc>
          <w:tcPr>
            <w:tcW w:w="2490" w:type="dxa"/>
            <w:vAlign w:val="center"/>
          </w:tcPr>
          <w:p w14:paraId="398F53D5">
            <w:pPr>
              <w:shd w:val="clear"/>
              <w:ind w:firstLine="0" w:firstLineChars="0"/>
              <w:rPr>
                <w:rFonts w:cs="宋体"/>
                <w:color w:val="auto"/>
                <w:sz w:val="21"/>
                <w:szCs w:val="21"/>
                <w:highlight w:val="none"/>
              </w:rPr>
            </w:pPr>
            <w:r>
              <w:rPr>
                <w:rFonts w:hint="eastAsia" w:cs="宋体"/>
                <w:color w:val="auto"/>
                <w:sz w:val="21"/>
                <w:szCs w:val="21"/>
                <w:highlight w:val="none"/>
              </w:rPr>
              <w:t>10</w:t>
            </w:r>
          </w:p>
        </w:tc>
      </w:tr>
      <w:tr w14:paraId="4432DB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0" w:type="dxa"/>
            <w:vAlign w:val="center"/>
          </w:tcPr>
          <w:p w14:paraId="10B921ED">
            <w:pPr>
              <w:shd w:val="clear"/>
              <w:ind w:firstLine="0" w:firstLineChars="0"/>
              <w:rPr>
                <w:rFonts w:cs="宋体"/>
                <w:color w:val="auto"/>
                <w:sz w:val="21"/>
                <w:szCs w:val="21"/>
                <w:highlight w:val="none"/>
              </w:rPr>
            </w:pPr>
            <w:r>
              <w:rPr>
                <w:rFonts w:hint="eastAsia" w:cs="宋体"/>
                <w:color w:val="auto"/>
                <w:sz w:val="21"/>
                <w:szCs w:val="21"/>
                <w:highlight w:val="none"/>
              </w:rPr>
              <w:t>5</w:t>
            </w:r>
          </w:p>
        </w:tc>
        <w:tc>
          <w:tcPr>
            <w:tcW w:w="3525" w:type="dxa"/>
            <w:vAlign w:val="center"/>
          </w:tcPr>
          <w:p w14:paraId="3E89A1FC">
            <w:pPr>
              <w:shd w:val="clear"/>
              <w:ind w:firstLine="0" w:firstLineChars="0"/>
              <w:rPr>
                <w:rFonts w:cs="宋体"/>
                <w:color w:val="auto"/>
                <w:sz w:val="21"/>
                <w:szCs w:val="21"/>
                <w:highlight w:val="none"/>
              </w:rPr>
            </w:pPr>
            <w:r>
              <w:rPr>
                <w:rFonts w:hint="eastAsia" w:cs="宋体"/>
                <w:color w:val="auto"/>
                <w:sz w:val="21"/>
                <w:szCs w:val="21"/>
                <w:highlight w:val="none"/>
              </w:rPr>
              <w:t>DN（B）&gt; 4000</w:t>
            </w:r>
          </w:p>
        </w:tc>
        <w:tc>
          <w:tcPr>
            <w:tcW w:w="1605" w:type="dxa"/>
            <w:vAlign w:val="center"/>
          </w:tcPr>
          <w:p w14:paraId="52B7FB41">
            <w:pPr>
              <w:shd w:val="clear"/>
              <w:ind w:firstLine="0" w:firstLineChars="0"/>
              <w:rPr>
                <w:rFonts w:cs="宋体"/>
                <w:color w:val="auto"/>
                <w:sz w:val="21"/>
                <w:szCs w:val="21"/>
                <w:highlight w:val="none"/>
              </w:rPr>
            </w:pPr>
            <w:r>
              <w:rPr>
                <w:rFonts w:hint="eastAsia" w:cs="宋体"/>
                <w:color w:val="auto"/>
                <w:sz w:val="21"/>
                <w:szCs w:val="21"/>
                <w:highlight w:val="none"/>
              </w:rPr>
              <w:t>10</w:t>
            </w:r>
          </w:p>
        </w:tc>
        <w:tc>
          <w:tcPr>
            <w:tcW w:w="2490" w:type="dxa"/>
            <w:vAlign w:val="center"/>
          </w:tcPr>
          <w:p w14:paraId="3F27894C">
            <w:pPr>
              <w:shd w:val="clear"/>
              <w:ind w:firstLine="0" w:firstLineChars="0"/>
              <w:rPr>
                <w:rFonts w:cs="宋体"/>
                <w:color w:val="auto"/>
                <w:sz w:val="21"/>
                <w:szCs w:val="21"/>
                <w:highlight w:val="none"/>
              </w:rPr>
            </w:pPr>
            <w:r>
              <w:rPr>
                <w:rFonts w:hint="eastAsia" w:cs="宋体"/>
                <w:color w:val="auto"/>
                <w:sz w:val="21"/>
                <w:szCs w:val="21"/>
                <w:highlight w:val="none"/>
              </w:rPr>
              <w:t>12</w:t>
            </w:r>
          </w:p>
        </w:tc>
      </w:tr>
    </w:tbl>
    <w:p w14:paraId="5DD4EAD7">
      <w:pPr>
        <w:shd w:val="clear"/>
        <w:rPr>
          <w:color w:val="auto"/>
          <w:highlight w:val="none"/>
        </w:rPr>
      </w:pPr>
      <w:r>
        <w:rPr>
          <w:rFonts w:hint="eastAsia"/>
          <w:color w:val="auto"/>
          <w:highlight w:val="none"/>
        </w:rPr>
        <w:t>另外为了增加高炉矿槽除尘系统管道的耐磨性，高炉矿槽及供料系统的除尘管道管径≤D</w:t>
      </w:r>
      <w:r>
        <w:rPr>
          <w:color w:val="auto"/>
          <w:highlight w:val="none"/>
        </w:rPr>
        <w:t>N</w:t>
      </w:r>
      <w:r>
        <w:rPr>
          <w:rFonts w:hint="eastAsia"/>
          <w:color w:val="auto"/>
          <w:highlight w:val="none"/>
        </w:rPr>
        <w:t>100</w:t>
      </w:r>
      <w:r>
        <w:rPr>
          <w:color w:val="auto"/>
          <w:highlight w:val="none"/>
        </w:rPr>
        <w:t>0</w:t>
      </w:r>
      <w:r>
        <w:rPr>
          <w:rFonts w:hint="eastAsia"/>
          <w:color w:val="auto"/>
          <w:highlight w:val="none"/>
        </w:rPr>
        <w:t>弯头采用陶瓷耐磨弯头，耐磨层延伸至弯头出风段直管道1倍管径处，耐磨层厚度5mm。DN（B）&gt; 1000的弯头采用180°包覆弯头（采用6mm钢板包覆，包覆钢板与弯头壁之间考虑30mm空腔</w:t>
      </w:r>
      <w:r>
        <w:rPr>
          <w:rFonts w:hint="eastAsia"/>
          <w:color w:val="auto"/>
          <w:highlight w:val="none"/>
          <w:lang w:eastAsia="zh-CN"/>
        </w:rPr>
        <w:t>，</w:t>
      </w:r>
      <w:r>
        <w:rPr>
          <w:rFonts w:hint="eastAsia"/>
          <w:color w:val="auto"/>
          <w:highlight w:val="none"/>
          <w:lang w:val="en-US" w:eastAsia="zh-CN"/>
        </w:rPr>
        <w:t>空腔内填充耐磨材料</w:t>
      </w:r>
      <w:r>
        <w:rPr>
          <w:rFonts w:hint="eastAsia"/>
          <w:color w:val="auto"/>
          <w:highlight w:val="none"/>
        </w:rPr>
        <w:t>）。</w:t>
      </w:r>
    </w:p>
    <w:p w14:paraId="529C9BEE">
      <w:pPr>
        <w:shd w:val="clear"/>
        <w:rPr>
          <w:color w:val="auto"/>
          <w:highlight w:val="none"/>
        </w:rPr>
      </w:pPr>
      <w:r>
        <w:rPr>
          <w:rFonts w:hint="eastAsia"/>
          <w:color w:val="auto"/>
          <w:highlight w:val="none"/>
          <w:lang w:val="en-US" w:eastAsia="zh-CN"/>
        </w:rPr>
        <w:t>吸排罐车用输送</w:t>
      </w:r>
      <w:r>
        <w:rPr>
          <w:rFonts w:hint="eastAsia"/>
          <w:color w:val="auto"/>
          <w:highlight w:val="none"/>
        </w:rPr>
        <w:t>管道采用材质20</w:t>
      </w:r>
      <w:r>
        <w:rPr>
          <w:rFonts w:hint="eastAsia"/>
          <w:color w:val="auto"/>
          <w:highlight w:val="none"/>
          <w:lang w:val="en-US" w:eastAsia="zh-CN"/>
        </w:rPr>
        <w:t>#</w:t>
      </w:r>
      <w:r>
        <w:rPr>
          <w:rFonts w:hint="eastAsia"/>
          <w:color w:val="auto"/>
          <w:highlight w:val="none"/>
        </w:rPr>
        <w:t>厚壁无缝钢管，壁厚≥8mm。输送弯头和直管道均采用陶瓷耐磨内村，弯头采用</w:t>
      </w:r>
      <w:r>
        <w:rPr>
          <w:color w:val="auto"/>
          <w:highlight w:val="none"/>
        </w:rPr>
        <w:t>耐磨</w:t>
      </w:r>
      <w:r>
        <w:rPr>
          <w:rFonts w:hint="eastAsia"/>
          <w:color w:val="auto"/>
          <w:highlight w:val="none"/>
        </w:rPr>
        <w:t>陶瓷</w:t>
      </w:r>
      <w:r>
        <w:rPr>
          <w:color w:val="auto"/>
          <w:highlight w:val="none"/>
        </w:rPr>
        <w:t>弯头</w:t>
      </w:r>
      <w:r>
        <w:rPr>
          <w:rFonts w:hint="eastAsia"/>
          <w:color w:val="auto"/>
          <w:highlight w:val="none"/>
        </w:rPr>
        <w:t>带背包，耐磨内村层厚度5mm。</w:t>
      </w:r>
    </w:p>
    <w:p w14:paraId="68815055">
      <w:pPr>
        <w:shd w:val="clear"/>
        <w:rPr>
          <w:color w:val="auto"/>
          <w:highlight w:val="none"/>
        </w:rPr>
      </w:pPr>
      <w:r>
        <w:rPr>
          <w:rFonts w:hint="eastAsia"/>
          <w:color w:val="auto"/>
          <w:highlight w:val="none"/>
        </w:rPr>
        <w:t>（1</w:t>
      </w:r>
      <w:r>
        <w:rPr>
          <w:rFonts w:hint="eastAsia"/>
          <w:color w:val="auto"/>
          <w:highlight w:val="none"/>
          <w:lang w:val="en-US" w:eastAsia="zh-CN"/>
        </w:rPr>
        <w:t>2</w:t>
      </w:r>
      <w:r>
        <w:rPr>
          <w:rFonts w:hint="eastAsia"/>
          <w:color w:val="auto"/>
          <w:highlight w:val="none"/>
        </w:rPr>
        <w:t>）槽上皮带受料点吸尘罩、槽下主皮带受料点吸尘罩口增加篦子，防止异物（塑料瓶、破布、塑料袋等）吸入，防止气力输灰堵管。</w:t>
      </w:r>
    </w:p>
    <w:p w14:paraId="006A780F">
      <w:pPr>
        <w:shd w:val="clear"/>
        <w:rPr>
          <w:rFonts w:ascii="Times New Roman" w:hAnsi="Times New Roman"/>
          <w:color w:val="auto"/>
          <w:highlight w:val="none"/>
        </w:rPr>
      </w:pPr>
      <w:r>
        <w:rPr>
          <w:rFonts w:hint="eastAsia" w:ascii="Times New Roman" w:hAnsi="Times New Roman"/>
          <w:color w:val="auto"/>
          <w:highlight w:val="none"/>
        </w:rPr>
        <w:t>（1</w:t>
      </w:r>
      <w:r>
        <w:rPr>
          <w:rFonts w:hint="eastAsia" w:ascii="Times New Roman" w:hAnsi="Times New Roman"/>
          <w:color w:val="auto"/>
          <w:highlight w:val="none"/>
          <w:lang w:val="en-US" w:eastAsia="zh-CN"/>
        </w:rPr>
        <w:t>3</w:t>
      </w:r>
      <w:r>
        <w:rPr>
          <w:rFonts w:hint="eastAsia" w:ascii="Times New Roman" w:hAnsi="Times New Roman"/>
          <w:color w:val="auto"/>
          <w:highlight w:val="none"/>
        </w:rPr>
        <w:t>）烟尘达标排放，排放浓度满足《</w:t>
      </w:r>
      <w:r>
        <w:rPr>
          <w:rFonts w:hint="eastAsia"/>
          <w:color w:val="auto"/>
          <w:highlight w:val="none"/>
        </w:rPr>
        <w:t>关于推进实施钢铁行业超低排放的意见（正式版）》（环大气[2019]35号）</w:t>
      </w:r>
      <w:r>
        <w:rPr>
          <w:rFonts w:hint="eastAsia" w:ascii="Times New Roman" w:hAnsi="Times New Roman"/>
          <w:color w:val="auto"/>
          <w:highlight w:val="none"/>
        </w:rPr>
        <w:t>中</w:t>
      </w:r>
      <w:r>
        <w:rPr>
          <w:rFonts w:ascii="Times New Roman" w:hAnsi="Times New Roman"/>
          <w:color w:val="auto"/>
          <w:highlight w:val="none"/>
        </w:rPr>
        <w:t>大气污染物特别排放限</w:t>
      </w:r>
      <w:r>
        <w:rPr>
          <w:rFonts w:hint="eastAsia" w:ascii="Times New Roman" w:hAnsi="Times New Roman"/>
          <w:color w:val="auto"/>
          <w:highlight w:val="none"/>
        </w:rPr>
        <w:t>值</w:t>
      </w:r>
      <w:r>
        <w:rPr>
          <w:rFonts w:ascii="Times New Roman" w:hAnsi="Times New Roman"/>
          <w:color w:val="auto"/>
          <w:highlight w:val="none"/>
        </w:rPr>
        <w:t>的规定，即</w:t>
      </w:r>
      <w:r>
        <w:rPr>
          <w:rFonts w:hint="eastAsia" w:ascii="Times New Roman" w:hAnsi="Times New Roman"/>
          <w:color w:val="auto"/>
          <w:highlight w:val="none"/>
        </w:rPr>
        <w:t>排放浓度</w:t>
      </w:r>
      <w:r>
        <w:rPr>
          <w:rFonts w:hint="eastAsia"/>
          <w:color w:val="auto"/>
          <w:highlight w:val="none"/>
        </w:rPr>
        <w:t>≤</w:t>
      </w:r>
      <w:r>
        <w:rPr>
          <w:rFonts w:hint="eastAsia" w:ascii="Times New Roman" w:hAnsi="Times New Roman"/>
          <w:color w:val="auto"/>
          <w:highlight w:val="none"/>
        </w:rPr>
        <w:t>10</w:t>
      </w:r>
      <w:r>
        <w:rPr>
          <w:rFonts w:ascii="Times New Roman" w:hAnsi="Times New Roman"/>
          <w:color w:val="auto"/>
          <w:highlight w:val="none"/>
        </w:rPr>
        <w:t>mg/</w:t>
      </w:r>
      <w:r>
        <w:rPr>
          <w:rFonts w:hint="eastAsia" w:ascii="Times New Roman" w:hAnsi="Times New Roman"/>
          <w:color w:val="auto"/>
          <w:highlight w:val="none"/>
        </w:rPr>
        <w:t>N</w:t>
      </w:r>
      <w:r>
        <w:rPr>
          <w:rFonts w:ascii="Times New Roman" w:hAnsi="Times New Roman"/>
          <w:color w:val="auto"/>
          <w:highlight w:val="none"/>
        </w:rPr>
        <w:t>m³。</w:t>
      </w:r>
    </w:p>
    <w:p w14:paraId="36E93D01">
      <w:pPr>
        <w:shd w:val="clear"/>
        <w:ind w:firstLine="0" w:firstLineChars="0"/>
        <w:outlineLvl w:val="1"/>
        <w:rPr>
          <w:rFonts w:cs="Times New Roman"/>
          <w:b/>
          <w:color w:val="auto"/>
          <w:sz w:val="28"/>
          <w:szCs w:val="28"/>
          <w:highlight w:val="none"/>
        </w:rPr>
      </w:pPr>
      <w:bookmarkStart w:id="603" w:name="_Toc21616"/>
      <w:bookmarkStart w:id="604" w:name="_Toc3878"/>
      <w:bookmarkStart w:id="605" w:name="_Toc20711"/>
      <w:bookmarkStart w:id="606" w:name="_Toc25816"/>
      <w:bookmarkStart w:id="607" w:name="_Toc31420"/>
      <w:bookmarkStart w:id="608" w:name="_Toc5455"/>
      <w:r>
        <w:rPr>
          <w:rFonts w:hint="eastAsia" w:cs="Times New Roman"/>
          <w:b/>
          <w:color w:val="auto"/>
          <w:sz w:val="28"/>
          <w:szCs w:val="28"/>
          <w:highlight w:val="none"/>
        </w:rPr>
        <w:t xml:space="preserve">7.4 </w:t>
      </w:r>
      <w:bookmarkEnd w:id="594"/>
      <w:r>
        <w:rPr>
          <w:rFonts w:hint="eastAsia" w:cs="Times New Roman"/>
          <w:b/>
          <w:color w:val="auto"/>
          <w:sz w:val="28"/>
          <w:szCs w:val="28"/>
          <w:highlight w:val="none"/>
        </w:rPr>
        <w:t>除尘改造方案</w:t>
      </w:r>
      <w:bookmarkEnd w:id="603"/>
      <w:bookmarkEnd w:id="604"/>
      <w:bookmarkEnd w:id="605"/>
      <w:bookmarkEnd w:id="606"/>
      <w:bookmarkEnd w:id="607"/>
      <w:bookmarkEnd w:id="608"/>
    </w:p>
    <w:p w14:paraId="4ED0D756">
      <w:pPr>
        <w:shd w:val="clear"/>
        <w:rPr>
          <w:color w:val="auto"/>
          <w:highlight w:val="none"/>
        </w:rPr>
      </w:pPr>
      <w:r>
        <w:rPr>
          <w:rFonts w:hint="eastAsia"/>
          <w:color w:val="auto"/>
          <w:highlight w:val="none"/>
        </w:rPr>
        <w:t>新建一套除尘设备负责2#高炉出铁场除尘；利旧改造现有矿槽除尘系统除尘器及输灰设备负责改造后的矿槽除尘系统（槽上+碎焦筛分）；利旧改造现有的2#出铁场除尘器及输灰设备负责改造后的地沟除尘系统（槽下+返矿转运），改造现有的1#高炉4</w:t>
      </w:r>
      <w:r>
        <w:rPr>
          <w:color w:val="auto"/>
          <w:highlight w:val="none"/>
        </w:rPr>
        <w:t>#</w:t>
      </w:r>
      <w:r>
        <w:rPr>
          <w:rFonts w:hint="eastAsia"/>
          <w:color w:val="auto"/>
          <w:highlight w:val="none"/>
        </w:rPr>
        <w:t>除尘集合灰仓为双卸灰方式。</w:t>
      </w:r>
    </w:p>
    <w:p w14:paraId="2C46FC31">
      <w:pPr>
        <w:shd w:val="clear"/>
        <w:ind w:firstLineChars="0"/>
        <w:outlineLvl w:val="2"/>
        <w:rPr>
          <w:rFonts w:cs="Times New Roman"/>
          <w:color w:val="auto"/>
          <w:szCs w:val="28"/>
          <w:highlight w:val="none"/>
        </w:rPr>
      </w:pPr>
      <w:bookmarkStart w:id="609" w:name="_Toc2222"/>
      <w:r>
        <w:rPr>
          <w:rFonts w:hint="eastAsia" w:cs="Times New Roman"/>
          <w:color w:val="auto"/>
          <w:szCs w:val="28"/>
          <w:highlight w:val="none"/>
        </w:rPr>
        <w:t>7.4.1出铁场除尘系统方案</w:t>
      </w:r>
      <w:bookmarkEnd w:id="609"/>
    </w:p>
    <w:p w14:paraId="2248A3CB">
      <w:pPr>
        <w:shd w:val="clear"/>
        <w:rPr>
          <w:color w:val="auto"/>
          <w:highlight w:val="none"/>
        </w:rPr>
      </w:pPr>
      <w:bookmarkStart w:id="610" w:name="_Hlk175927959"/>
      <w:r>
        <w:rPr>
          <w:rFonts w:hint="eastAsia"/>
          <w:color w:val="auto"/>
          <w:highlight w:val="none"/>
        </w:rPr>
        <w:t>根据超低排放要求，</w:t>
      </w:r>
      <w:bookmarkEnd w:id="610"/>
      <w:r>
        <w:rPr>
          <w:rFonts w:hint="eastAsia"/>
          <w:color w:val="auto"/>
          <w:highlight w:val="none"/>
        </w:rPr>
        <w:t>整体新建</w:t>
      </w:r>
      <w:r>
        <w:rPr>
          <w:color w:val="auto"/>
          <w:highlight w:val="none"/>
        </w:rPr>
        <w:t>2</w:t>
      </w:r>
      <w:r>
        <w:rPr>
          <w:rFonts w:hint="eastAsia"/>
          <w:color w:val="auto"/>
          <w:highlight w:val="none"/>
        </w:rPr>
        <w:t>号高炉出铁场除尘系统，加大除尘风量，除尘风量重新分配组合，提高铁口顶吸、摆动流嘴、撇渣器、高炉炉顶的风量；由于出铁场平台本次不做改造，出铁口侧吸保持现有一个侧吸点的方案。</w:t>
      </w:r>
      <w:bookmarkStart w:id="611" w:name="_Hlk175927969"/>
      <w:r>
        <w:rPr>
          <w:rFonts w:hint="eastAsia"/>
          <w:color w:val="auto"/>
          <w:highlight w:val="none"/>
        </w:rPr>
        <w:t>出铁口做整体封闭罩（详见主工艺方案），顶部设置出铁口顶吸罩。出铁场除尘管网重新设计。</w:t>
      </w:r>
      <w:bookmarkEnd w:id="611"/>
      <w:r>
        <w:rPr>
          <w:rFonts w:hint="eastAsia"/>
          <w:color w:val="auto"/>
          <w:highlight w:val="none"/>
        </w:rPr>
        <w:t>将干法除尘卸灰间的除尘接入本除尘管道系统。</w:t>
      </w:r>
    </w:p>
    <w:p w14:paraId="3D497235">
      <w:pPr>
        <w:shd w:val="clear"/>
        <w:ind w:left="1440"/>
        <w:jc w:val="both"/>
        <w:rPr>
          <w:rFonts w:ascii="Times New Roman" w:hAnsi="Times New Roman" w:cs="Times New Roman"/>
          <w:color w:val="auto"/>
          <w:highlight w:val="none"/>
        </w:rPr>
      </w:pPr>
      <w:r>
        <w:rPr>
          <w:rFonts w:hint="eastAsia" w:ascii="Times New Roman" w:hAnsi="Times New Roman" w:cs="Times New Roman"/>
          <w:color w:val="auto"/>
          <w:highlight w:val="none"/>
        </w:rPr>
        <w:t>表7.4.1-1</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rPr>
        <w:t>改造后出铁场除尘风量分配表（单个铁口）</w:t>
      </w:r>
    </w:p>
    <w:tbl>
      <w:tblPr>
        <w:tblStyle w:val="60"/>
        <w:tblW w:w="5000" w:type="pct"/>
        <w:tblInd w:w="0" w:type="dxa"/>
        <w:tblLayout w:type="autofit"/>
        <w:tblCellMar>
          <w:top w:w="0" w:type="dxa"/>
          <w:left w:w="108" w:type="dxa"/>
          <w:bottom w:w="0" w:type="dxa"/>
          <w:right w:w="108" w:type="dxa"/>
        </w:tblCellMar>
      </w:tblPr>
      <w:tblGrid>
        <w:gridCol w:w="477"/>
        <w:gridCol w:w="1888"/>
        <w:gridCol w:w="712"/>
        <w:gridCol w:w="1183"/>
        <w:gridCol w:w="1183"/>
        <w:gridCol w:w="948"/>
        <w:gridCol w:w="948"/>
        <w:gridCol w:w="1183"/>
      </w:tblGrid>
      <w:tr w14:paraId="16DF7928">
        <w:tblPrEx>
          <w:tblCellMar>
            <w:top w:w="0" w:type="dxa"/>
            <w:left w:w="108" w:type="dxa"/>
            <w:bottom w:w="0" w:type="dxa"/>
            <w:right w:w="108" w:type="dxa"/>
          </w:tblCellMar>
        </w:tblPrEx>
        <w:trPr>
          <w:trHeight w:val="480" w:hRule="atLeast"/>
        </w:trPr>
        <w:tc>
          <w:tcPr>
            <w:tcW w:w="280" w:type="pct"/>
            <w:tcBorders>
              <w:top w:val="single" w:color="auto" w:sz="4" w:space="0"/>
              <w:left w:val="single" w:color="auto" w:sz="4" w:space="0"/>
              <w:bottom w:val="single" w:color="auto" w:sz="4" w:space="0"/>
              <w:right w:val="single" w:color="auto" w:sz="4" w:space="0"/>
            </w:tcBorders>
            <w:vAlign w:val="center"/>
          </w:tcPr>
          <w:p w14:paraId="4E5D5386">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序</w:t>
            </w:r>
          </w:p>
          <w:p w14:paraId="45AF2369">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号</w:t>
            </w:r>
          </w:p>
        </w:tc>
        <w:tc>
          <w:tcPr>
            <w:tcW w:w="1108" w:type="pct"/>
            <w:tcBorders>
              <w:top w:val="single" w:color="auto" w:sz="4" w:space="0"/>
              <w:left w:val="nil"/>
              <w:bottom w:val="single" w:color="auto" w:sz="4" w:space="0"/>
              <w:right w:val="single" w:color="auto" w:sz="4" w:space="0"/>
            </w:tcBorders>
            <w:vAlign w:val="center"/>
          </w:tcPr>
          <w:p w14:paraId="6AEE49E9">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除尘点名称</w:t>
            </w:r>
          </w:p>
        </w:tc>
        <w:tc>
          <w:tcPr>
            <w:tcW w:w="418" w:type="pct"/>
            <w:tcBorders>
              <w:top w:val="single" w:color="auto" w:sz="4" w:space="0"/>
              <w:left w:val="nil"/>
              <w:bottom w:val="single" w:color="auto" w:sz="4" w:space="0"/>
              <w:right w:val="single" w:color="auto" w:sz="4" w:space="0"/>
            </w:tcBorders>
            <w:vAlign w:val="center"/>
          </w:tcPr>
          <w:p w14:paraId="11830F8E">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除尘</w:t>
            </w:r>
          </w:p>
          <w:p w14:paraId="52965685">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点数</w:t>
            </w:r>
          </w:p>
        </w:tc>
        <w:tc>
          <w:tcPr>
            <w:tcW w:w="694" w:type="pct"/>
            <w:tcBorders>
              <w:top w:val="single" w:color="auto" w:sz="4" w:space="0"/>
              <w:left w:val="nil"/>
              <w:bottom w:val="single" w:color="auto" w:sz="4" w:space="0"/>
              <w:right w:val="single" w:color="auto" w:sz="4" w:space="0"/>
            </w:tcBorders>
            <w:vAlign w:val="center"/>
          </w:tcPr>
          <w:p w14:paraId="6C82154A">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同时工作</w:t>
            </w:r>
          </w:p>
          <w:p w14:paraId="5577A414">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除尘点数</w:t>
            </w:r>
          </w:p>
        </w:tc>
        <w:tc>
          <w:tcPr>
            <w:tcW w:w="694" w:type="pct"/>
            <w:tcBorders>
              <w:top w:val="single" w:color="auto" w:sz="4" w:space="0"/>
              <w:left w:val="nil"/>
              <w:bottom w:val="single" w:color="auto" w:sz="4" w:space="0"/>
              <w:right w:val="single" w:color="auto" w:sz="4" w:space="0"/>
            </w:tcBorders>
            <w:vAlign w:val="center"/>
          </w:tcPr>
          <w:p w14:paraId="1A0E42A7">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单个除尘</w:t>
            </w:r>
          </w:p>
          <w:p w14:paraId="4D9EE679">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点风量</w:t>
            </w:r>
          </w:p>
          <w:p w14:paraId="69DE7831">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m³/h</w:t>
            </w:r>
          </w:p>
        </w:tc>
        <w:tc>
          <w:tcPr>
            <w:tcW w:w="556" w:type="pct"/>
            <w:tcBorders>
              <w:top w:val="single" w:color="auto" w:sz="4" w:space="0"/>
              <w:left w:val="nil"/>
              <w:bottom w:val="single" w:color="auto" w:sz="4" w:space="0"/>
              <w:right w:val="single" w:color="auto" w:sz="4" w:space="0"/>
            </w:tcBorders>
            <w:vAlign w:val="center"/>
          </w:tcPr>
          <w:p w14:paraId="3757EE51">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总除尘</w:t>
            </w:r>
          </w:p>
          <w:p w14:paraId="16B5E358">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风量</w:t>
            </w:r>
          </w:p>
          <w:p w14:paraId="5ADF5DE4">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m³/h</w:t>
            </w:r>
          </w:p>
        </w:tc>
        <w:tc>
          <w:tcPr>
            <w:tcW w:w="556" w:type="pct"/>
            <w:tcBorders>
              <w:top w:val="single" w:color="auto" w:sz="4" w:space="0"/>
              <w:left w:val="nil"/>
              <w:bottom w:val="single" w:color="auto" w:sz="4" w:space="0"/>
              <w:right w:val="single" w:color="auto" w:sz="4" w:space="0"/>
            </w:tcBorders>
            <w:vAlign w:val="center"/>
          </w:tcPr>
          <w:p w14:paraId="25210AC3">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吸尘接</w:t>
            </w:r>
          </w:p>
          <w:p w14:paraId="4621D323">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管阀门</w:t>
            </w:r>
          </w:p>
        </w:tc>
        <w:tc>
          <w:tcPr>
            <w:tcW w:w="694" w:type="pct"/>
            <w:tcBorders>
              <w:top w:val="single" w:color="auto" w:sz="4" w:space="0"/>
              <w:left w:val="nil"/>
              <w:bottom w:val="single" w:color="auto" w:sz="4" w:space="0"/>
              <w:right w:val="single" w:color="auto" w:sz="4" w:space="0"/>
            </w:tcBorders>
            <w:vAlign w:val="center"/>
          </w:tcPr>
          <w:p w14:paraId="39266C1E">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分支总</w:t>
            </w:r>
          </w:p>
          <w:p w14:paraId="1AADC15B">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管阀门</w:t>
            </w:r>
          </w:p>
        </w:tc>
      </w:tr>
      <w:tr w14:paraId="74E21880">
        <w:tblPrEx>
          <w:tblCellMar>
            <w:top w:w="0" w:type="dxa"/>
            <w:left w:w="108" w:type="dxa"/>
            <w:bottom w:w="0" w:type="dxa"/>
            <w:right w:w="108" w:type="dxa"/>
          </w:tblCellMar>
        </w:tblPrEx>
        <w:trPr>
          <w:trHeight w:val="480" w:hRule="atLeast"/>
        </w:trPr>
        <w:tc>
          <w:tcPr>
            <w:tcW w:w="280" w:type="pct"/>
            <w:tcBorders>
              <w:top w:val="single" w:color="auto" w:sz="4" w:space="0"/>
              <w:left w:val="single" w:color="auto" w:sz="4" w:space="0"/>
              <w:bottom w:val="single" w:color="auto" w:sz="4" w:space="0"/>
              <w:right w:val="single" w:color="auto" w:sz="4" w:space="0"/>
            </w:tcBorders>
            <w:vAlign w:val="center"/>
          </w:tcPr>
          <w:p w14:paraId="1637B6BF">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1</w:t>
            </w:r>
          </w:p>
        </w:tc>
        <w:tc>
          <w:tcPr>
            <w:tcW w:w="1108" w:type="pct"/>
            <w:tcBorders>
              <w:top w:val="single" w:color="auto" w:sz="4" w:space="0"/>
              <w:left w:val="single" w:color="auto" w:sz="4" w:space="0"/>
              <w:bottom w:val="single" w:color="auto" w:sz="4" w:space="0"/>
              <w:right w:val="single" w:color="auto" w:sz="4" w:space="0"/>
            </w:tcBorders>
            <w:vAlign w:val="center"/>
          </w:tcPr>
          <w:p w14:paraId="726A6E3D">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高炉炉顶</w:t>
            </w:r>
          </w:p>
        </w:tc>
        <w:tc>
          <w:tcPr>
            <w:tcW w:w="418" w:type="pct"/>
            <w:tcBorders>
              <w:top w:val="single" w:color="auto" w:sz="4" w:space="0"/>
              <w:left w:val="nil"/>
              <w:bottom w:val="single" w:color="auto" w:sz="4" w:space="0"/>
              <w:right w:val="single" w:color="auto" w:sz="4" w:space="0"/>
            </w:tcBorders>
            <w:vAlign w:val="center"/>
          </w:tcPr>
          <w:p w14:paraId="7814047B">
            <w:pPr>
              <w:widowControl/>
              <w:shd w:val="clear"/>
              <w:spacing w:line="240" w:lineRule="auto"/>
              <w:ind w:firstLine="0" w:firstLineChars="0"/>
              <w:jc w:val="center"/>
              <w:textAlignment w:val="bottom"/>
              <w:rPr>
                <w:rFonts w:hint="eastAsia"/>
                <w:color w:val="auto"/>
                <w:sz w:val="21"/>
                <w:szCs w:val="21"/>
                <w:highlight w:val="none"/>
              </w:rPr>
            </w:pPr>
            <w:r>
              <w:rPr>
                <w:rFonts w:ascii="Times New Roman"/>
                <w:color w:val="auto"/>
                <w:sz w:val="21"/>
                <w:szCs w:val="21"/>
                <w:highlight w:val="none"/>
              </w:rPr>
              <w:t>1</w:t>
            </w:r>
          </w:p>
        </w:tc>
        <w:tc>
          <w:tcPr>
            <w:tcW w:w="694" w:type="pct"/>
            <w:tcBorders>
              <w:top w:val="single" w:color="auto" w:sz="4" w:space="0"/>
              <w:left w:val="nil"/>
              <w:bottom w:val="single" w:color="auto" w:sz="4" w:space="0"/>
              <w:right w:val="single" w:color="auto" w:sz="4" w:space="0"/>
            </w:tcBorders>
            <w:vAlign w:val="center"/>
          </w:tcPr>
          <w:p w14:paraId="32FCD94C">
            <w:pPr>
              <w:widowControl/>
              <w:shd w:val="clear"/>
              <w:spacing w:line="240" w:lineRule="auto"/>
              <w:ind w:firstLine="0" w:firstLineChars="0"/>
              <w:jc w:val="center"/>
              <w:textAlignment w:val="bottom"/>
              <w:rPr>
                <w:rFonts w:hint="eastAsia"/>
                <w:color w:val="auto"/>
                <w:sz w:val="21"/>
                <w:szCs w:val="21"/>
                <w:highlight w:val="none"/>
              </w:rPr>
            </w:pPr>
            <w:r>
              <w:rPr>
                <w:rFonts w:ascii="Times New Roman"/>
                <w:color w:val="auto"/>
                <w:sz w:val="21"/>
                <w:szCs w:val="21"/>
                <w:highlight w:val="none"/>
              </w:rPr>
              <w:t>1</w:t>
            </w:r>
          </w:p>
        </w:tc>
        <w:tc>
          <w:tcPr>
            <w:tcW w:w="694" w:type="pct"/>
            <w:tcBorders>
              <w:top w:val="single" w:color="auto" w:sz="4" w:space="0"/>
              <w:left w:val="nil"/>
              <w:bottom w:val="single" w:color="auto" w:sz="4" w:space="0"/>
              <w:right w:val="single" w:color="auto" w:sz="4" w:space="0"/>
            </w:tcBorders>
            <w:vAlign w:val="center"/>
          </w:tcPr>
          <w:p w14:paraId="292900C4">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100000</w:t>
            </w:r>
          </w:p>
        </w:tc>
        <w:tc>
          <w:tcPr>
            <w:tcW w:w="556" w:type="pct"/>
            <w:tcBorders>
              <w:top w:val="single" w:color="auto" w:sz="4" w:space="0"/>
              <w:left w:val="nil"/>
              <w:bottom w:val="single" w:color="auto" w:sz="4" w:space="0"/>
              <w:right w:val="single" w:color="auto" w:sz="4" w:space="0"/>
            </w:tcBorders>
            <w:vAlign w:val="center"/>
          </w:tcPr>
          <w:p w14:paraId="250F35F9">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100000</w:t>
            </w:r>
          </w:p>
        </w:tc>
        <w:tc>
          <w:tcPr>
            <w:tcW w:w="556" w:type="pct"/>
            <w:tcBorders>
              <w:top w:val="single" w:color="auto" w:sz="4" w:space="0"/>
              <w:left w:val="nil"/>
              <w:bottom w:val="single" w:color="auto" w:sz="4" w:space="0"/>
              <w:right w:val="single" w:color="auto" w:sz="4" w:space="0"/>
            </w:tcBorders>
            <w:vAlign w:val="center"/>
          </w:tcPr>
          <w:p w14:paraId="539651F8">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w:t>
            </w:r>
          </w:p>
        </w:tc>
        <w:tc>
          <w:tcPr>
            <w:tcW w:w="694" w:type="pct"/>
            <w:tcBorders>
              <w:top w:val="single" w:color="auto" w:sz="4" w:space="0"/>
              <w:left w:val="nil"/>
              <w:bottom w:val="single" w:color="auto" w:sz="4" w:space="0"/>
              <w:right w:val="single" w:color="auto" w:sz="4" w:space="0"/>
            </w:tcBorders>
            <w:vAlign w:val="center"/>
          </w:tcPr>
          <w:p w14:paraId="48D37FFE">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手动</w:t>
            </w:r>
          </w:p>
        </w:tc>
      </w:tr>
      <w:tr w14:paraId="33E7B5F2">
        <w:tblPrEx>
          <w:tblCellMar>
            <w:top w:w="0" w:type="dxa"/>
            <w:left w:w="108" w:type="dxa"/>
            <w:bottom w:w="0" w:type="dxa"/>
            <w:right w:w="108" w:type="dxa"/>
          </w:tblCellMar>
        </w:tblPrEx>
        <w:trPr>
          <w:trHeight w:val="480" w:hRule="atLeast"/>
        </w:trPr>
        <w:tc>
          <w:tcPr>
            <w:tcW w:w="280" w:type="pct"/>
            <w:tcBorders>
              <w:top w:val="nil"/>
              <w:left w:val="single" w:color="auto" w:sz="4" w:space="0"/>
              <w:bottom w:val="single" w:color="auto" w:sz="4" w:space="0"/>
              <w:right w:val="single" w:color="auto" w:sz="4" w:space="0"/>
            </w:tcBorders>
            <w:vAlign w:val="center"/>
          </w:tcPr>
          <w:p w14:paraId="20D2CF8D">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2</w:t>
            </w:r>
          </w:p>
        </w:tc>
        <w:tc>
          <w:tcPr>
            <w:tcW w:w="1108" w:type="pct"/>
            <w:tcBorders>
              <w:top w:val="nil"/>
              <w:left w:val="single" w:color="auto" w:sz="4" w:space="0"/>
              <w:bottom w:val="single" w:color="auto" w:sz="4" w:space="0"/>
              <w:right w:val="single" w:color="auto" w:sz="4" w:space="0"/>
            </w:tcBorders>
            <w:vAlign w:val="center"/>
          </w:tcPr>
          <w:p w14:paraId="5271212C">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铁口顶吸</w:t>
            </w:r>
          </w:p>
        </w:tc>
        <w:tc>
          <w:tcPr>
            <w:tcW w:w="418" w:type="pct"/>
            <w:tcBorders>
              <w:top w:val="nil"/>
              <w:left w:val="nil"/>
              <w:bottom w:val="single" w:color="auto" w:sz="4" w:space="0"/>
              <w:right w:val="single" w:color="auto" w:sz="4" w:space="0"/>
            </w:tcBorders>
            <w:vAlign w:val="center"/>
          </w:tcPr>
          <w:p w14:paraId="591283BA">
            <w:pPr>
              <w:widowControl/>
              <w:shd w:val="clear"/>
              <w:spacing w:line="240" w:lineRule="auto"/>
              <w:ind w:firstLine="0" w:firstLineChars="0"/>
              <w:jc w:val="center"/>
              <w:textAlignment w:val="bottom"/>
              <w:rPr>
                <w:rFonts w:hint="eastAsia"/>
                <w:color w:val="auto"/>
                <w:sz w:val="21"/>
                <w:szCs w:val="21"/>
                <w:highlight w:val="none"/>
              </w:rPr>
            </w:pPr>
            <w:r>
              <w:rPr>
                <w:rFonts w:hint="eastAsia" w:ascii="Times New Roman"/>
                <w:color w:val="auto"/>
                <w:sz w:val="21"/>
                <w:szCs w:val="21"/>
                <w:highlight w:val="none"/>
              </w:rPr>
              <w:t>1</w:t>
            </w:r>
          </w:p>
        </w:tc>
        <w:tc>
          <w:tcPr>
            <w:tcW w:w="694" w:type="pct"/>
            <w:tcBorders>
              <w:top w:val="nil"/>
              <w:left w:val="nil"/>
              <w:bottom w:val="single" w:color="auto" w:sz="4" w:space="0"/>
              <w:right w:val="single" w:color="auto" w:sz="4" w:space="0"/>
            </w:tcBorders>
            <w:vAlign w:val="center"/>
          </w:tcPr>
          <w:p w14:paraId="3654623E">
            <w:pPr>
              <w:widowControl/>
              <w:shd w:val="clear"/>
              <w:spacing w:line="240" w:lineRule="auto"/>
              <w:ind w:firstLine="0" w:firstLineChars="0"/>
              <w:jc w:val="center"/>
              <w:textAlignment w:val="bottom"/>
              <w:rPr>
                <w:rFonts w:hint="eastAsia"/>
                <w:color w:val="auto"/>
                <w:sz w:val="21"/>
                <w:szCs w:val="21"/>
                <w:highlight w:val="none"/>
              </w:rPr>
            </w:pPr>
            <w:r>
              <w:rPr>
                <w:rFonts w:ascii="Times New Roman"/>
                <w:color w:val="auto"/>
                <w:sz w:val="21"/>
                <w:szCs w:val="21"/>
                <w:highlight w:val="none"/>
              </w:rPr>
              <w:t>1</w:t>
            </w:r>
          </w:p>
        </w:tc>
        <w:tc>
          <w:tcPr>
            <w:tcW w:w="694" w:type="pct"/>
            <w:tcBorders>
              <w:top w:val="nil"/>
              <w:left w:val="nil"/>
              <w:bottom w:val="single" w:color="auto" w:sz="4" w:space="0"/>
              <w:right w:val="single" w:color="auto" w:sz="4" w:space="0"/>
            </w:tcBorders>
            <w:vAlign w:val="center"/>
          </w:tcPr>
          <w:p w14:paraId="5E49BF09">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350000</w:t>
            </w:r>
          </w:p>
        </w:tc>
        <w:tc>
          <w:tcPr>
            <w:tcW w:w="556" w:type="pct"/>
            <w:tcBorders>
              <w:top w:val="nil"/>
              <w:left w:val="nil"/>
              <w:bottom w:val="single" w:color="auto" w:sz="4" w:space="0"/>
              <w:right w:val="single" w:color="auto" w:sz="4" w:space="0"/>
            </w:tcBorders>
            <w:vAlign w:val="center"/>
          </w:tcPr>
          <w:p w14:paraId="4E32A64B">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350000</w:t>
            </w:r>
          </w:p>
        </w:tc>
        <w:tc>
          <w:tcPr>
            <w:tcW w:w="556" w:type="pct"/>
            <w:tcBorders>
              <w:top w:val="single" w:color="auto" w:sz="4" w:space="0"/>
              <w:left w:val="nil"/>
              <w:bottom w:val="single" w:color="auto" w:sz="4" w:space="0"/>
              <w:right w:val="single" w:color="auto" w:sz="4" w:space="0"/>
            </w:tcBorders>
            <w:vAlign w:val="center"/>
          </w:tcPr>
          <w:p w14:paraId="082265EA">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w:t>
            </w:r>
          </w:p>
        </w:tc>
        <w:tc>
          <w:tcPr>
            <w:tcW w:w="694" w:type="pct"/>
            <w:tcBorders>
              <w:top w:val="single" w:color="auto" w:sz="4" w:space="0"/>
              <w:left w:val="nil"/>
              <w:bottom w:val="single" w:color="auto" w:sz="4" w:space="0"/>
              <w:right w:val="single" w:color="auto" w:sz="4" w:space="0"/>
            </w:tcBorders>
            <w:vAlign w:val="center"/>
          </w:tcPr>
          <w:p w14:paraId="2AAC6D3E">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电动调节</w:t>
            </w:r>
          </w:p>
        </w:tc>
      </w:tr>
      <w:tr w14:paraId="7B03A3AB">
        <w:tblPrEx>
          <w:tblCellMar>
            <w:top w:w="0" w:type="dxa"/>
            <w:left w:w="108" w:type="dxa"/>
            <w:bottom w:w="0" w:type="dxa"/>
            <w:right w:w="108" w:type="dxa"/>
          </w:tblCellMar>
        </w:tblPrEx>
        <w:trPr>
          <w:trHeight w:val="480" w:hRule="atLeast"/>
        </w:trPr>
        <w:tc>
          <w:tcPr>
            <w:tcW w:w="280" w:type="pct"/>
            <w:tcBorders>
              <w:top w:val="nil"/>
              <w:left w:val="single" w:color="auto" w:sz="4" w:space="0"/>
              <w:bottom w:val="single" w:color="auto" w:sz="4" w:space="0"/>
              <w:right w:val="single" w:color="auto" w:sz="4" w:space="0"/>
            </w:tcBorders>
            <w:vAlign w:val="center"/>
          </w:tcPr>
          <w:p w14:paraId="5B3BD742">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3</w:t>
            </w:r>
          </w:p>
        </w:tc>
        <w:tc>
          <w:tcPr>
            <w:tcW w:w="1108" w:type="pct"/>
            <w:tcBorders>
              <w:top w:val="nil"/>
              <w:left w:val="single" w:color="auto" w:sz="4" w:space="0"/>
              <w:bottom w:val="single" w:color="auto" w:sz="4" w:space="0"/>
              <w:right w:val="single" w:color="auto" w:sz="4" w:space="0"/>
            </w:tcBorders>
            <w:vAlign w:val="center"/>
          </w:tcPr>
          <w:p w14:paraId="21BDF0B8">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铁口侧吸</w:t>
            </w:r>
          </w:p>
        </w:tc>
        <w:tc>
          <w:tcPr>
            <w:tcW w:w="418" w:type="pct"/>
            <w:tcBorders>
              <w:top w:val="nil"/>
              <w:left w:val="nil"/>
              <w:bottom w:val="single" w:color="auto" w:sz="4" w:space="0"/>
              <w:right w:val="single" w:color="auto" w:sz="4" w:space="0"/>
            </w:tcBorders>
            <w:vAlign w:val="center"/>
          </w:tcPr>
          <w:p w14:paraId="0EC89259">
            <w:pPr>
              <w:widowControl/>
              <w:shd w:val="clear"/>
              <w:spacing w:line="240" w:lineRule="auto"/>
              <w:ind w:firstLine="0" w:firstLineChars="0"/>
              <w:jc w:val="center"/>
              <w:textAlignment w:val="bottom"/>
              <w:rPr>
                <w:rFonts w:hint="eastAsia"/>
                <w:color w:val="auto"/>
                <w:sz w:val="21"/>
                <w:szCs w:val="21"/>
                <w:highlight w:val="none"/>
              </w:rPr>
            </w:pPr>
            <w:r>
              <w:rPr>
                <w:rFonts w:hint="eastAsia" w:ascii="Times New Roman"/>
                <w:color w:val="auto"/>
                <w:sz w:val="21"/>
                <w:szCs w:val="21"/>
                <w:highlight w:val="none"/>
              </w:rPr>
              <w:t>1</w:t>
            </w:r>
          </w:p>
        </w:tc>
        <w:tc>
          <w:tcPr>
            <w:tcW w:w="694" w:type="pct"/>
            <w:tcBorders>
              <w:top w:val="nil"/>
              <w:left w:val="nil"/>
              <w:bottom w:val="single" w:color="auto" w:sz="4" w:space="0"/>
              <w:right w:val="single" w:color="auto" w:sz="4" w:space="0"/>
            </w:tcBorders>
            <w:vAlign w:val="center"/>
          </w:tcPr>
          <w:p w14:paraId="3FA30918">
            <w:pPr>
              <w:widowControl/>
              <w:shd w:val="clear"/>
              <w:spacing w:line="240" w:lineRule="auto"/>
              <w:ind w:firstLine="0" w:firstLineChars="0"/>
              <w:jc w:val="center"/>
              <w:textAlignment w:val="bottom"/>
              <w:rPr>
                <w:rFonts w:hint="eastAsia"/>
                <w:color w:val="auto"/>
                <w:sz w:val="21"/>
                <w:szCs w:val="21"/>
                <w:highlight w:val="none"/>
              </w:rPr>
            </w:pPr>
            <w:r>
              <w:rPr>
                <w:rFonts w:hint="eastAsia" w:ascii="Times New Roman"/>
                <w:color w:val="auto"/>
                <w:sz w:val="21"/>
                <w:szCs w:val="21"/>
                <w:highlight w:val="none"/>
              </w:rPr>
              <w:t>1</w:t>
            </w:r>
          </w:p>
        </w:tc>
        <w:tc>
          <w:tcPr>
            <w:tcW w:w="694" w:type="pct"/>
            <w:tcBorders>
              <w:top w:val="nil"/>
              <w:left w:val="nil"/>
              <w:bottom w:val="single" w:color="auto" w:sz="4" w:space="0"/>
              <w:right w:val="single" w:color="auto" w:sz="4" w:space="0"/>
            </w:tcBorders>
            <w:vAlign w:val="center"/>
          </w:tcPr>
          <w:p w14:paraId="6CA0B05D">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100000</w:t>
            </w:r>
          </w:p>
        </w:tc>
        <w:tc>
          <w:tcPr>
            <w:tcW w:w="556" w:type="pct"/>
            <w:tcBorders>
              <w:top w:val="nil"/>
              <w:left w:val="nil"/>
              <w:bottom w:val="single" w:color="auto" w:sz="4" w:space="0"/>
              <w:right w:val="single" w:color="auto" w:sz="4" w:space="0"/>
            </w:tcBorders>
            <w:vAlign w:val="center"/>
          </w:tcPr>
          <w:p w14:paraId="6B9AC709">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100000</w:t>
            </w:r>
          </w:p>
        </w:tc>
        <w:tc>
          <w:tcPr>
            <w:tcW w:w="556" w:type="pct"/>
            <w:tcBorders>
              <w:top w:val="single" w:color="auto" w:sz="4" w:space="0"/>
              <w:left w:val="nil"/>
              <w:bottom w:val="single" w:color="auto" w:sz="4" w:space="0"/>
              <w:right w:val="single" w:color="auto" w:sz="4" w:space="0"/>
            </w:tcBorders>
            <w:vAlign w:val="center"/>
          </w:tcPr>
          <w:p w14:paraId="2BD289CD">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手动</w:t>
            </w:r>
          </w:p>
        </w:tc>
        <w:tc>
          <w:tcPr>
            <w:tcW w:w="694" w:type="pct"/>
            <w:vMerge w:val="restart"/>
            <w:tcBorders>
              <w:top w:val="single" w:color="auto" w:sz="4" w:space="0"/>
              <w:left w:val="nil"/>
              <w:bottom w:val="single" w:color="auto" w:sz="4" w:space="0"/>
              <w:right w:val="single" w:color="auto" w:sz="4" w:space="0"/>
            </w:tcBorders>
            <w:vAlign w:val="center"/>
          </w:tcPr>
          <w:p w14:paraId="46FD35BE">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电动开关</w:t>
            </w:r>
          </w:p>
        </w:tc>
      </w:tr>
      <w:tr w14:paraId="33C4AC23">
        <w:tblPrEx>
          <w:tblCellMar>
            <w:top w:w="0" w:type="dxa"/>
            <w:left w:w="108" w:type="dxa"/>
            <w:bottom w:w="0" w:type="dxa"/>
            <w:right w:w="108" w:type="dxa"/>
          </w:tblCellMar>
        </w:tblPrEx>
        <w:trPr>
          <w:trHeight w:val="480" w:hRule="atLeast"/>
        </w:trPr>
        <w:tc>
          <w:tcPr>
            <w:tcW w:w="280" w:type="pct"/>
            <w:tcBorders>
              <w:top w:val="nil"/>
              <w:left w:val="single" w:color="auto" w:sz="4" w:space="0"/>
              <w:bottom w:val="single" w:color="auto" w:sz="4" w:space="0"/>
              <w:right w:val="single" w:color="auto" w:sz="4" w:space="0"/>
            </w:tcBorders>
            <w:vAlign w:val="center"/>
          </w:tcPr>
          <w:p w14:paraId="55AADBAB">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4</w:t>
            </w:r>
          </w:p>
        </w:tc>
        <w:tc>
          <w:tcPr>
            <w:tcW w:w="1108" w:type="pct"/>
            <w:tcBorders>
              <w:top w:val="nil"/>
              <w:left w:val="single" w:color="auto" w:sz="4" w:space="0"/>
              <w:bottom w:val="single" w:color="auto" w:sz="4" w:space="0"/>
              <w:right w:val="single" w:color="auto" w:sz="4" w:space="0"/>
            </w:tcBorders>
            <w:vAlign w:val="center"/>
          </w:tcPr>
          <w:p w14:paraId="16BA1567">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撇渣器</w:t>
            </w:r>
          </w:p>
        </w:tc>
        <w:tc>
          <w:tcPr>
            <w:tcW w:w="418" w:type="pct"/>
            <w:tcBorders>
              <w:top w:val="nil"/>
              <w:left w:val="nil"/>
              <w:bottom w:val="single" w:color="auto" w:sz="4" w:space="0"/>
              <w:right w:val="single" w:color="auto" w:sz="4" w:space="0"/>
            </w:tcBorders>
            <w:vAlign w:val="center"/>
          </w:tcPr>
          <w:p w14:paraId="7BD3C191">
            <w:pPr>
              <w:widowControl/>
              <w:shd w:val="clear"/>
              <w:spacing w:line="240" w:lineRule="auto"/>
              <w:ind w:firstLine="0" w:firstLineChars="0"/>
              <w:jc w:val="center"/>
              <w:textAlignment w:val="bottom"/>
              <w:rPr>
                <w:rFonts w:hint="eastAsia"/>
                <w:color w:val="auto"/>
                <w:sz w:val="21"/>
                <w:szCs w:val="21"/>
                <w:highlight w:val="none"/>
              </w:rPr>
            </w:pPr>
            <w:r>
              <w:rPr>
                <w:rFonts w:hint="eastAsia" w:ascii="Times New Roman"/>
                <w:color w:val="auto"/>
                <w:sz w:val="21"/>
                <w:szCs w:val="21"/>
                <w:highlight w:val="none"/>
              </w:rPr>
              <w:t>1</w:t>
            </w:r>
          </w:p>
        </w:tc>
        <w:tc>
          <w:tcPr>
            <w:tcW w:w="694" w:type="pct"/>
            <w:tcBorders>
              <w:top w:val="nil"/>
              <w:left w:val="nil"/>
              <w:bottom w:val="single" w:color="auto" w:sz="4" w:space="0"/>
              <w:right w:val="single" w:color="auto" w:sz="4" w:space="0"/>
            </w:tcBorders>
            <w:vAlign w:val="center"/>
          </w:tcPr>
          <w:p w14:paraId="05B5DDE0">
            <w:pPr>
              <w:widowControl/>
              <w:shd w:val="clear"/>
              <w:spacing w:line="240" w:lineRule="auto"/>
              <w:ind w:firstLine="0" w:firstLineChars="0"/>
              <w:jc w:val="center"/>
              <w:textAlignment w:val="bottom"/>
              <w:rPr>
                <w:rFonts w:hint="eastAsia"/>
                <w:color w:val="auto"/>
                <w:sz w:val="21"/>
                <w:szCs w:val="21"/>
                <w:highlight w:val="none"/>
              </w:rPr>
            </w:pPr>
            <w:r>
              <w:rPr>
                <w:rFonts w:ascii="Times New Roman"/>
                <w:color w:val="auto"/>
                <w:sz w:val="21"/>
                <w:szCs w:val="21"/>
                <w:highlight w:val="none"/>
              </w:rPr>
              <w:t>1</w:t>
            </w:r>
          </w:p>
        </w:tc>
        <w:tc>
          <w:tcPr>
            <w:tcW w:w="694" w:type="pct"/>
            <w:tcBorders>
              <w:top w:val="nil"/>
              <w:left w:val="nil"/>
              <w:bottom w:val="single" w:color="auto" w:sz="4" w:space="0"/>
              <w:right w:val="single" w:color="auto" w:sz="4" w:space="0"/>
            </w:tcBorders>
            <w:vAlign w:val="center"/>
          </w:tcPr>
          <w:p w14:paraId="2D0D9A24">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60000</w:t>
            </w:r>
          </w:p>
        </w:tc>
        <w:tc>
          <w:tcPr>
            <w:tcW w:w="556" w:type="pct"/>
            <w:tcBorders>
              <w:top w:val="nil"/>
              <w:left w:val="nil"/>
              <w:bottom w:val="single" w:color="auto" w:sz="4" w:space="0"/>
              <w:right w:val="single" w:color="auto" w:sz="4" w:space="0"/>
            </w:tcBorders>
            <w:vAlign w:val="center"/>
          </w:tcPr>
          <w:p w14:paraId="7DDF20A7">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60000</w:t>
            </w:r>
          </w:p>
        </w:tc>
        <w:tc>
          <w:tcPr>
            <w:tcW w:w="556" w:type="pct"/>
            <w:tcBorders>
              <w:top w:val="single" w:color="auto" w:sz="4" w:space="0"/>
              <w:left w:val="nil"/>
              <w:bottom w:val="single" w:color="auto" w:sz="4" w:space="0"/>
              <w:right w:val="single" w:color="auto" w:sz="4" w:space="0"/>
            </w:tcBorders>
            <w:vAlign w:val="center"/>
          </w:tcPr>
          <w:p w14:paraId="73F4B51B">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手动</w:t>
            </w:r>
          </w:p>
        </w:tc>
        <w:tc>
          <w:tcPr>
            <w:tcW w:w="694" w:type="pct"/>
            <w:vMerge w:val="continue"/>
            <w:tcBorders>
              <w:top w:val="single" w:color="auto" w:sz="4" w:space="0"/>
              <w:left w:val="nil"/>
              <w:bottom w:val="single" w:color="auto" w:sz="4" w:space="0"/>
              <w:right w:val="single" w:color="auto" w:sz="4" w:space="0"/>
            </w:tcBorders>
            <w:vAlign w:val="center"/>
          </w:tcPr>
          <w:p w14:paraId="0DD4B231">
            <w:pPr>
              <w:widowControl/>
              <w:shd w:val="clear"/>
              <w:spacing w:line="240" w:lineRule="auto"/>
              <w:ind w:firstLine="0" w:firstLineChars="0"/>
              <w:jc w:val="center"/>
              <w:textAlignment w:val="bottom"/>
              <w:rPr>
                <w:rFonts w:hint="eastAsia"/>
                <w:color w:val="auto"/>
                <w:sz w:val="21"/>
                <w:szCs w:val="21"/>
                <w:highlight w:val="none"/>
              </w:rPr>
            </w:pPr>
          </w:p>
        </w:tc>
      </w:tr>
      <w:tr w14:paraId="26A0F83C">
        <w:tblPrEx>
          <w:tblCellMar>
            <w:top w:w="0" w:type="dxa"/>
            <w:left w:w="108" w:type="dxa"/>
            <w:bottom w:w="0" w:type="dxa"/>
            <w:right w:w="108" w:type="dxa"/>
          </w:tblCellMar>
        </w:tblPrEx>
        <w:trPr>
          <w:trHeight w:val="480" w:hRule="atLeast"/>
        </w:trPr>
        <w:tc>
          <w:tcPr>
            <w:tcW w:w="280" w:type="pct"/>
            <w:tcBorders>
              <w:top w:val="nil"/>
              <w:left w:val="single" w:color="auto" w:sz="4" w:space="0"/>
              <w:bottom w:val="single" w:color="auto" w:sz="4" w:space="0"/>
              <w:right w:val="single" w:color="auto" w:sz="4" w:space="0"/>
            </w:tcBorders>
            <w:vAlign w:val="center"/>
          </w:tcPr>
          <w:p w14:paraId="1B0C863F">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5</w:t>
            </w:r>
          </w:p>
        </w:tc>
        <w:tc>
          <w:tcPr>
            <w:tcW w:w="1108" w:type="pct"/>
            <w:tcBorders>
              <w:top w:val="nil"/>
              <w:left w:val="single" w:color="auto" w:sz="4" w:space="0"/>
              <w:bottom w:val="single" w:color="auto" w:sz="4" w:space="0"/>
              <w:right w:val="single" w:color="auto" w:sz="4" w:space="0"/>
            </w:tcBorders>
            <w:vAlign w:val="center"/>
          </w:tcPr>
          <w:p w14:paraId="4A86D5F5">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摆动流嘴</w:t>
            </w:r>
          </w:p>
        </w:tc>
        <w:tc>
          <w:tcPr>
            <w:tcW w:w="418" w:type="pct"/>
            <w:tcBorders>
              <w:top w:val="nil"/>
              <w:left w:val="nil"/>
              <w:bottom w:val="single" w:color="auto" w:sz="4" w:space="0"/>
              <w:right w:val="single" w:color="auto" w:sz="4" w:space="0"/>
            </w:tcBorders>
            <w:vAlign w:val="center"/>
          </w:tcPr>
          <w:p w14:paraId="31CB0540">
            <w:pPr>
              <w:widowControl/>
              <w:shd w:val="clear"/>
              <w:spacing w:line="240" w:lineRule="auto"/>
              <w:ind w:firstLine="0" w:firstLineChars="0"/>
              <w:jc w:val="center"/>
              <w:textAlignment w:val="bottom"/>
              <w:rPr>
                <w:rFonts w:hint="eastAsia"/>
                <w:color w:val="auto"/>
                <w:sz w:val="21"/>
                <w:szCs w:val="21"/>
                <w:highlight w:val="none"/>
              </w:rPr>
            </w:pPr>
            <w:r>
              <w:rPr>
                <w:rFonts w:hint="eastAsia" w:ascii="Times New Roman"/>
                <w:color w:val="auto"/>
                <w:sz w:val="21"/>
                <w:szCs w:val="21"/>
                <w:highlight w:val="none"/>
              </w:rPr>
              <w:t>2</w:t>
            </w:r>
          </w:p>
        </w:tc>
        <w:tc>
          <w:tcPr>
            <w:tcW w:w="694" w:type="pct"/>
            <w:tcBorders>
              <w:top w:val="nil"/>
              <w:left w:val="nil"/>
              <w:bottom w:val="single" w:color="auto" w:sz="4" w:space="0"/>
              <w:right w:val="single" w:color="auto" w:sz="4" w:space="0"/>
            </w:tcBorders>
            <w:vAlign w:val="center"/>
          </w:tcPr>
          <w:p w14:paraId="54953BA5">
            <w:pPr>
              <w:widowControl/>
              <w:shd w:val="clear"/>
              <w:spacing w:line="240" w:lineRule="auto"/>
              <w:ind w:firstLine="0" w:firstLineChars="0"/>
              <w:jc w:val="center"/>
              <w:textAlignment w:val="bottom"/>
              <w:rPr>
                <w:rFonts w:hint="eastAsia"/>
                <w:color w:val="auto"/>
                <w:sz w:val="21"/>
                <w:szCs w:val="21"/>
                <w:highlight w:val="none"/>
              </w:rPr>
            </w:pPr>
            <w:r>
              <w:rPr>
                <w:rFonts w:hint="eastAsia" w:ascii="Times New Roman"/>
                <w:color w:val="auto"/>
                <w:sz w:val="21"/>
                <w:szCs w:val="21"/>
                <w:highlight w:val="none"/>
              </w:rPr>
              <w:t>2</w:t>
            </w:r>
          </w:p>
        </w:tc>
        <w:tc>
          <w:tcPr>
            <w:tcW w:w="694" w:type="pct"/>
            <w:tcBorders>
              <w:top w:val="nil"/>
              <w:left w:val="nil"/>
              <w:bottom w:val="single" w:color="auto" w:sz="4" w:space="0"/>
              <w:right w:val="single" w:color="auto" w:sz="4" w:space="0"/>
            </w:tcBorders>
            <w:vAlign w:val="center"/>
          </w:tcPr>
          <w:p w14:paraId="7C1E0925">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150000</w:t>
            </w:r>
          </w:p>
        </w:tc>
        <w:tc>
          <w:tcPr>
            <w:tcW w:w="556" w:type="pct"/>
            <w:tcBorders>
              <w:top w:val="nil"/>
              <w:left w:val="nil"/>
              <w:bottom w:val="single" w:color="auto" w:sz="4" w:space="0"/>
              <w:right w:val="single" w:color="auto" w:sz="4" w:space="0"/>
            </w:tcBorders>
            <w:vAlign w:val="center"/>
          </w:tcPr>
          <w:p w14:paraId="2751D956">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300000</w:t>
            </w:r>
          </w:p>
        </w:tc>
        <w:tc>
          <w:tcPr>
            <w:tcW w:w="556" w:type="pct"/>
            <w:tcBorders>
              <w:top w:val="single" w:color="auto" w:sz="4" w:space="0"/>
              <w:left w:val="nil"/>
              <w:bottom w:val="single" w:color="auto" w:sz="4" w:space="0"/>
              <w:right w:val="single" w:color="auto" w:sz="4" w:space="0"/>
            </w:tcBorders>
            <w:vAlign w:val="center"/>
          </w:tcPr>
          <w:p w14:paraId="0A0B8CB1">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手动</w:t>
            </w:r>
          </w:p>
        </w:tc>
        <w:tc>
          <w:tcPr>
            <w:tcW w:w="694" w:type="pct"/>
            <w:vMerge w:val="continue"/>
            <w:tcBorders>
              <w:top w:val="single" w:color="auto" w:sz="4" w:space="0"/>
              <w:left w:val="nil"/>
              <w:bottom w:val="single" w:color="auto" w:sz="4" w:space="0"/>
              <w:right w:val="single" w:color="auto" w:sz="4" w:space="0"/>
            </w:tcBorders>
            <w:vAlign w:val="center"/>
          </w:tcPr>
          <w:p w14:paraId="78210A9C">
            <w:pPr>
              <w:widowControl/>
              <w:shd w:val="clear"/>
              <w:spacing w:line="240" w:lineRule="auto"/>
              <w:ind w:firstLine="0" w:firstLineChars="0"/>
              <w:jc w:val="center"/>
              <w:textAlignment w:val="bottom"/>
              <w:rPr>
                <w:rFonts w:hint="eastAsia"/>
                <w:color w:val="auto"/>
                <w:sz w:val="21"/>
                <w:szCs w:val="21"/>
                <w:highlight w:val="none"/>
              </w:rPr>
            </w:pPr>
          </w:p>
        </w:tc>
      </w:tr>
      <w:tr w14:paraId="00833658">
        <w:tblPrEx>
          <w:tblCellMar>
            <w:top w:w="0" w:type="dxa"/>
            <w:left w:w="108" w:type="dxa"/>
            <w:bottom w:w="0" w:type="dxa"/>
            <w:right w:w="108" w:type="dxa"/>
          </w:tblCellMar>
        </w:tblPrEx>
        <w:trPr>
          <w:trHeight w:val="480" w:hRule="atLeast"/>
        </w:trPr>
        <w:tc>
          <w:tcPr>
            <w:tcW w:w="280" w:type="pct"/>
            <w:tcBorders>
              <w:top w:val="single" w:color="auto" w:sz="4" w:space="0"/>
              <w:left w:val="single" w:color="auto" w:sz="4" w:space="0"/>
              <w:bottom w:val="single" w:color="auto" w:sz="4" w:space="0"/>
              <w:right w:val="single" w:color="auto" w:sz="4" w:space="0"/>
            </w:tcBorders>
            <w:vAlign w:val="center"/>
          </w:tcPr>
          <w:p w14:paraId="085FEF7D">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6</w:t>
            </w:r>
          </w:p>
        </w:tc>
        <w:tc>
          <w:tcPr>
            <w:tcW w:w="1108" w:type="pct"/>
            <w:tcBorders>
              <w:top w:val="nil"/>
              <w:left w:val="single" w:color="auto" w:sz="4" w:space="0"/>
              <w:bottom w:val="single" w:color="auto" w:sz="4" w:space="0"/>
              <w:right w:val="single" w:color="auto" w:sz="4" w:space="0"/>
            </w:tcBorders>
            <w:vAlign w:val="center"/>
          </w:tcPr>
          <w:p w14:paraId="63735225">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渣沟</w:t>
            </w:r>
          </w:p>
        </w:tc>
        <w:tc>
          <w:tcPr>
            <w:tcW w:w="418" w:type="pct"/>
            <w:tcBorders>
              <w:top w:val="nil"/>
              <w:left w:val="nil"/>
              <w:bottom w:val="single" w:color="auto" w:sz="4" w:space="0"/>
              <w:right w:val="single" w:color="auto" w:sz="4" w:space="0"/>
            </w:tcBorders>
            <w:vAlign w:val="center"/>
          </w:tcPr>
          <w:p w14:paraId="5A233712">
            <w:pPr>
              <w:widowControl/>
              <w:shd w:val="clear"/>
              <w:spacing w:line="240" w:lineRule="auto"/>
              <w:ind w:firstLine="0" w:firstLineChars="0"/>
              <w:jc w:val="center"/>
              <w:textAlignment w:val="bottom"/>
              <w:rPr>
                <w:rFonts w:hint="eastAsia"/>
                <w:color w:val="auto"/>
                <w:sz w:val="21"/>
                <w:szCs w:val="21"/>
                <w:highlight w:val="none"/>
              </w:rPr>
            </w:pPr>
            <w:r>
              <w:rPr>
                <w:rFonts w:hint="eastAsia" w:ascii="Times New Roman"/>
                <w:color w:val="auto"/>
                <w:sz w:val="21"/>
                <w:szCs w:val="21"/>
                <w:highlight w:val="none"/>
              </w:rPr>
              <w:t>1</w:t>
            </w:r>
          </w:p>
        </w:tc>
        <w:tc>
          <w:tcPr>
            <w:tcW w:w="694" w:type="pct"/>
            <w:tcBorders>
              <w:top w:val="nil"/>
              <w:left w:val="nil"/>
              <w:bottom w:val="single" w:color="auto" w:sz="4" w:space="0"/>
              <w:right w:val="single" w:color="auto" w:sz="4" w:space="0"/>
            </w:tcBorders>
            <w:vAlign w:val="center"/>
          </w:tcPr>
          <w:p w14:paraId="1404A162">
            <w:pPr>
              <w:widowControl/>
              <w:shd w:val="clear"/>
              <w:spacing w:line="240" w:lineRule="auto"/>
              <w:ind w:firstLine="0" w:firstLineChars="0"/>
              <w:jc w:val="center"/>
              <w:textAlignment w:val="bottom"/>
              <w:rPr>
                <w:rFonts w:hint="eastAsia"/>
                <w:color w:val="auto"/>
                <w:sz w:val="21"/>
                <w:szCs w:val="21"/>
                <w:highlight w:val="none"/>
              </w:rPr>
            </w:pPr>
            <w:r>
              <w:rPr>
                <w:rFonts w:ascii="Times New Roman"/>
                <w:color w:val="auto"/>
                <w:sz w:val="21"/>
                <w:szCs w:val="21"/>
                <w:highlight w:val="none"/>
              </w:rPr>
              <w:t>1</w:t>
            </w:r>
          </w:p>
        </w:tc>
        <w:tc>
          <w:tcPr>
            <w:tcW w:w="694" w:type="pct"/>
            <w:tcBorders>
              <w:top w:val="nil"/>
              <w:left w:val="nil"/>
              <w:bottom w:val="single" w:color="auto" w:sz="4" w:space="0"/>
              <w:right w:val="single" w:color="auto" w:sz="4" w:space="0"/>
            </w:tcBorders>
            <w:vAlign w:val="center"/>
          </w:tcPr>
          <w:p w14:paraId="10AFD90A">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20000</w:t>
            </w:r>
          </w:p>
        </w:tc>
        <w:tc>
          <w:tcPr>
            <w:tcW w:w="556" w:type="pct"/>
            <w:tcBorders>
              <w:top w:val="nil"/>
              <w:left w:val="nil"/>
              <w:bottom w:val="single" w:color="auto" w:sz="4" w:space="0"/>
              <w:right w:val="single" w:color="auto" w:sz="4" w:space="0"/>
            </w:tcBorders>
            <w:vAlign w:val="center"/>
          </w:tcPr>
          <w:p w14:paraId="4525FD18">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20000</w:t>
            </w:r>
          </w:p>
        </w:tc>
        <w:tc>
          <w:tcPr>
            <w:tcW w:w="556" w:type="pct"/>
            <w:tcBorders>
              <w:top w:val="single" w:color="auto" w:sz="4" w:space="0"/>
              <w:left w:val="nil"/>
              <w:bottom w:val="single" w:color="auto" w:sz="4" w:space="0"/>
              <w:right w:val="single" w:color="auto" w:sz="4" w:space="0"/>
            </w:tcBorders>
            <w:vAlign w:val="center"/>
          </w:tcPr>
          <w:p w14:paraId="5D6B5EDA">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手动</w:t>
            </w:r>
          </w:p>
        </w:tc>
        <w:tc>
          <w:tcPr>
            <w:tcW w:w="694" w:type="pct"/>
            <w:vMerge w:val="continue"/>
            <w:tcBorders>
              <w:top w:val="single" w:color="auto" w:sz="4" w:space="0"/>
              <w:left w:val="nil"/>
              <w:bottom w:val="single" w:color="auto" w:sz="4" w:space="0"/>
              <w:right w:val="single" w:color="auto" w:sz="4" w:space="0"/>
            </w:tcBorders>
            <w:vAlign w:val="center"/>
          </w:tcPr>
          <w:p w14:paraId="7B22C8ED">
            <w:pPr>
              <w:widowControl/>
              <w:shd w:val="clear"/>
              <w:spacing w:line="240" w:lineRule="auto"/>
              <w:ind w:firstLine="0" w:firstLineChars="0"/>
              <w:jc w:val="center"/>
              <w:textAlignment w:val="bottom"/>
              <w:rPr>
                <w:rFonts w:hint="eastAsia"/>
                <w:color w:val="auto"/>
                <w:sz w:val="21"/>
                <w:szCs w:val="21"/>
                <w:highlight w:val="none"/>
              </w:rPr>
            </w:pPr>
          </w:p>
        </w:tc>
      </w:tr>
      <w:tr w14:paraId="0358736A">
        <w:tblPrEx>
          <w:tblCellMar>
            <w:top w:w="0" w:type="dxa"/>
            <w:left w:w="108" w:type="dxa"/>
            <w:bottom w:w="0" w:type="dxa"/>
            <w:right w:w="108" w:type="dxa"/>
          </w:tblCellMar>
        </w:tblPrEx>
        <w:trPr>
          <w:trHeight w:val="480" w:hRule="atLeast"/>
        </w:trPr>
        <w:tc>
          <w:tcPr>
            <w:tcW w:w="280" w:type="pct"/>
            <w:tcBorders>
              <w:top w:val="single" w:color="auto" w:sz="4" w:space="0"/>
              <w:left w:val="single" w:color="auto" w:sz="4" w:space="0"/>
              <w:bottom w:val="single" w:color="auto" w:sz="4" w:space="0"/>
              <w:right w:val="single" w:color="auto" w:sz="4" w:space="0"/>
            </w:tcBorders>
            <w:vAlign w:val="center"/>
          </w:tcPr>
          <w:p w14:paraId="44C88664">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7</w:t>
            </w:r>
          </w:p>
        </w:tc>
        <w:tc>
          <w:tcPr>
            <w:tcW w:w="1108" w:type="pct"/>
            <w:tcBorders>
              <w:top w:val="nil"/>
              <w:left w:val="single" w:color="auto" w:sz="4" w:space="0"/>
              <w:bottom w:val="single" w:color="auto" w:sz="4" w:space="0"/>
              <w:right w:val="single" w:color="auto" w:sz="4" w:space="0"/>
            </w:tcBorders>
            <w:vAlign w:val="center"/>
          </w:tcPr>
          <w:p w14:paraId="5BD87B8D">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铁沟</w:t>
            </w:r>
          </w:p>
        </w:tc>
        <w:tc>
          <w:tcPr>
            <w:tcW w:w="418" w:type="pct"/>
            <w:tcBorders>
              <w:top w:val="nil"/>
              <w:left w:val="nil"/>
              <w:bottom w:val="single" w:color="auto" w:sz="4" w:space="0"/>
              <w:right w:val="single" w:color="auto" w:sz="4" w:space="0"/>
            </w:tcBorders>
            <w:vAlign w:val="center"/>
          </w:tcPr>
          <w:p w14:paraId="1B08B1A2">
            <w:pPr>
              <w:widowControl/>
              <w:shd w:val="clear"/>
              <w:spacing w:line="240" w:lineRule="auto"/>
              <w:ind w:firstLine="0" w:firstLineChars="0"/>
              <w:jc w:val="center"/>
              <w:textAlignment w:val="bottom"/>
              <w:rPr>
                <w:rFonts w:hint="eastAsia"/>
                <w:color w:val="auto"/>
                <w:sz w:val="21"/>
                <w:szCs w:val="21"/>
                <w:highlight w:val="none"/>
              </w:rPr>
            </w:pPr>
            <w:r>
              <w:rPr>
                <w:rFonts w:hint="eastAsia" w:ascii="Times New Roman"/>
                <w:color w:val="auto"/>
                <w:sz w:val="21"/>
                <w:szCs w:val="21"/>
                <w:highlight w:val="none"/>
              </w:rPr>
              <w:t>1</w:t>
            </w:r>
          </w:p>
        </w:tc>
        <w:tc>
          <w:tcPr>
            <w:tcW w:w="694" w:type="pct"/>
            <w:tcBorders>
              <w:top w:val="nil"/>
              <w:left w:val="nil"/>
              <w:bottom w:val="single" w:color="auto" w:sz="4" w:space="0"/>
              <w:right w:val="single" w:color="auto" w:sz="4" w:space="0"/>
            </w:tcBorders>
            <w:vAlign w:val="center"/>
          </w:tcPr>
          <w:p w14:paraId="37934C6C">
            <w:pPr>
              <w:widowControl/>
              <w:shd w:val="clear"/>
              <w:spacing w:line="240" w:lineRule="auto"/>
              <w:ind w:firstLine="0" w:firstLineChars="0"/>
              <w:jc w:val="center"/>
              <w:textAlignment w:val="bottom"/>
              <w:rPr>
                <w:rFonts w:hint="eastAsia"/>
                <w:color w:val="auto"/>
                <w:sz w:val="21"/>
                <w:szCs w:val="21"/>
                <w:highlight w:val="none"/>
              </w:rPr>
            </w:pPr>
            <w:r>
              <w:rPr>
                <w:rFonts w:ascii="Times New Roman"/>
                <w:color w:val="auto"/>
                <w:sz w:val="21"/>
                <w:szCs w:val="21"/>
                <w:highlight w:val="none"/>
              </w:rPr>
              <w:t>1</w:t>
            </w:r>
          </w:p>
        </w:tc>
        <w:tc>
          <w:tcPr>
            <w:tcW w:w="694" w:type="pct"/>
            <w:tcBorders>
              <w:top w:val="nil"/>
              <w:left w:val="nil"/>
              <w:bottom w:val="single" w:color="auto" w:sz="4" w:space="0"/>
              <w:right w:val="single" w:color="auto" w:sz="4" w:space="0"/>
            </w:tcBorders>
            <w:vAlign w:val="center"/>
          </w:tcPr>
          <w:p w14:paraId="28E7AA65">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20000</w:t>
            </w:r>
          </w:p>
        </w:tc>
        <w:tc>
          <w:tcPr>
            <w:tcW w:w="556" w:type="pct"/>
            <w:tcBorders>
              <w:top w:val="nil"/>
              <w:left w:val="nil"/>
              <w:bottom w:val="single" w:color="auto" w:sz="4" w:space="0"/>
              <w:right w:val="single" w:color="auto" w:sz="4" w:space="0"/>
            </w:tcBorders>
            <w:vAlign w:val="center"/>
          </w:tcPr>
          <w:p w14:paraId="5A80B264">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20000</w:t>
            </w:r>
          </w:p>
        </w:tc>
        <w:tc>
          <w:tcPr>
            <w:tcW w:w="556" w:type="pct"/>
            <w:tcBorders>
              <w:top w:val="single" w:color="auto" w:sz="4" w:space="0"/>
              <w:left w:val="nil"/>
              <w:bottom w:val="single" w:color="auto" w:sz="4" w:space="0"/>
              <w:right w:val="single" w:color="auto" w:sz="4" w:space="0"/>
            </w:tcBorders>
            <w:vAlign w:val="center"/>
          </w:tcPr>
          <w:p w14:paraId="16488E08">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手动</w:t>
            </w:r>
          </w:p>
        </w:tc>
        <w:tc>
          <w:tcPr>
            <w:tcW w:w="694" w:type="pct"/>
            <w:vMerge w:val="continue"/>
            <w:tcBorders>
              <w:top w:val="single" w:color="auto" w:sz="4" w:space="0"/>
              <w:left w:val="nil"/>
              <w:bottom w:val="single" w:color="auto" w:sz="4" w:space="0"/>
              <w:right w:val="single" w:color="auto" w:sz="4" w:space="0"/>
            </w:tcBorders>
            <w:vAlign w:val="center"/>
          </w:tcPr>
          <w:p w14:paraId="787D8B5D">
            <w:pPr>
              <w:widowControl/>
              <w:shd w:val="clear"/>
              <w:spacing w:line="240" w:lineRule="auto"/>
              <w:ind w:firstLine="0" w:firstLineChars="0"/>
              <w:jc w:val="center"/>
              <w:textAlignment w:val="bottom"/>
              <w:rPr>
                <w:rFonts w:hint="eastAsia"/>
                <w:color w:val="auto"/>
                <w:sz w:val="21"/>
                <w:szCs w:val="21"/>
                <w:highlight w:val="none"/>
              </w:rPr>
            </w:pPr>
          </w:p>
        </w:tc>
      </w:tr>
      <w:tr w14:paraId="219ED8E8">
        <w:tblPrEx>
          <w:tblCellMar>
            <w:top w:w="0" w:type="dxa"/>
            <w:left w:w="108" w:type="dxa"/>
            <w:bottom w:w="0" w:type="dxa"/>
            <w:right w:w="108" w:type="dxa"/>
          </w:tblCellMar>
        </w:tblPrEx>
        <w:trPr>
          <w:trHeight w:val="480" w:hRule="atLeast"/>
        </w:trPr>
        <w:tc>
          <w:tcPr>
            <w:tcW w:w="280" w:type="pct"/>
            <w:tcBorders>
              <w:top w:val="single" w:color="auto" w:sz="4" w:space="0"/>
              <w:left w:val="single" w:color="auto" w:sz="4" w:space="0"/>
              <w:bottom w:val="single" w:color="auto" w:sz="4" w:space="0"/>
              <w:right w:val="single" w:color="auto" w:sz="4" w:space="0"/>
            </w:tcBorders>
            <w:vAlign w:val="center"/>
          </w:tcPr>
          <w:p w14:paraId="73504A19">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8</w:t>
            </w:r>
          </w:p>
        </w:tc>
        <w:tc>
          <w:tcPr>
            <w:tcW w:w="1108" w:type="pct"/>
            <w:tcBorders>
              <w:top w:val="single" w:color="auto" w:sz="4" w:space="0"/>
              <w:left w:val="nil"/>
              <w:bottom w:val="single" w:color="auto" w:sz="4" w:space="0"/>
              <w:right w:val="single" w:color="auto" w:sz="4" w:space="0"/>
            </w:tcBorders>
            <w:vAlign w:val="center"/>
          </w:tcPr>
          <w:p w14:paraId="6A37A1CE">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干法除尘卸灰间</w:t>
            </w:r>
          </w:p>
        </w:tc>
        <w:tc>
          <w:tcPr>
            <w:tcW w:w="418" w:type="pct"/>
            <w:tcBorders>
              <w:top w:val="single" w:color="auto" w:sz="4" w:space="0"/>
              <w:left w:val="nil"/>
              <w:bottom w:val="single" w:color="auto" w:sz="4" w:space="0"/>
              <w:right w:val="single" w:color="auto" w:sz="4" w:space="0"/>
            </w:tcBorders>
            <w:vAlign w:val="center"/>
          </w:tcPr>
          <w:p w14:paraId="73475E6F">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1</w:t>
            </w:r>
          </w:p>
        </w:tc>
        <w:tc>
          <w:tcPr>
            <w:tcW w:w="694" w:type="pct"/>
            <w:tcBorders>
              <w:top w:val="single" w:color="auto" w:sz="4" w:space="0"/>
              <w:left w:val="nil"/>
              <w:bottom w:val="single" w:color="auto" w:sz="4" w:space="0"/>
              <w:right w:val="single" w:color="auto" w:sz="4" w:space="0"/>
            </w:tcBorders>
            <w:vAlign w:val="center"/>
          </w:tcPr>
          <w:p w14:paraId="13FEB92B">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1</w:t>
            </w:r>
          </w:p>
        </w:tc>
        <w:tc>
          <w:tcPr>
            <w:tcW w:w="694" w:type="pct"/>
            <w:tcBorders>
              <w:top w:val="single" w:color="auto" w:sz="4" w:space="0"/>
              <w:left w:val="nil"/>
              <w:bottom w:val="single" w:color="auto" w:sz="4" w:space="0"/>
              <w:right w:val="single" w:color="auto" w:sz="4" w:space="0"/>
            </w:tcBorders>
            <w:vAlign w:val="center"/>
          </w:tcPr>
          <w:p w14:paraId="2E126F61">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20000</w:t>
            </w:r>
          </w:p>
        </w:tc>
        <w:tc>
          <w:tcPr>
            <w:tcW w:w="556" w:type="pct"/>
            <w:tcBorders>
              <w:top w:val="single" w:color="auto" w:sz="4" w:space="0"/>
              <w:left w:val="nil"/>
              <w:bottom w:val="single" w:color="auto" w:sz="4" w:space="0"/>
              <w:right w:val="single" w:color="auto" w:sz="4" w:space="0"/>
            </w:tcBorders>
            <w:vAlign w:val="center"/>
          </w:tcPr>
          <w:p w14:paraId="14479E07">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20000</w:t>
            </w:r>
          </w:p>
        </w:tc>
        <w:tc>
          <w:tcPr>
            <w:tcW w:w="556" w:type="pct"/>
            <w:tcBorders>
              <w:top w:val="single" w:color="auto" w:sz="4" w:space="0"/>
              <w:left w:val="nil"/>
              <w:bottom w:val="single" w:color="auto" w:sz="4" w:space="0"/>
              <w:right w:val="single" w:color="auto" w:sz="4" w:space="0"/>
            </w:tcBorders>
            <w:vAlign w:val="center"/>
          </w:tcPr>
          <w:p w14:paraId="1A863874">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w:t>
            </w:r>
          </w:p>
        </w:tc>
        <w:tc>
          <w:tcPr>
            <w:tcW w:w="694" w:type="pct"/>
            <w:tcBorders>
              <w:top w:val="single" w:color="auto" w:sz="4" w:space="0"/>
              <w:left w:val="nil"/>
              <w:bottom w:val="single" w:color="auto" w:sz="4" w:space="0"/>
              <w:right w:val="single" w:color="auto" w:sz="4" w:space="0"/>
            </w:tcBorders>
            <w:vAlign w:val="center"/>
          </w:tcPr>
          <w:p w14:paraId="2A307FAD">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电动开关</w:t>
            </w:r>
          </w:p>
        </w:tc>
      </w:tr>
      <w:tr w14:paraId="11B40520">
        <w:tblPrEx>
          <w:tblCellMar>
            <w:top w:w="0" w:type="dxa"/>
            <w:left w:w="108" w:type="dxa"/>
            <w:bottom w:w="0" w:type="dxa"/>
            <w:right w:w="108" w:type="dxa"/>
          </w:tblCellMar>
        </w:tblPrEx>
        <w:trPr>
          <w:trHeight w:val="480" w:hRule="atLeast"/>
        </w:trPr>
        <w:tc>
          <w:tcPr>
            <w:tcW w:w="280" w:type="pct"/>
            <w:tcBorders>
              <w:top w:val="single" w:color="auto" w:sz="4" w:space="0"/>
              <w:left w:val="single" w:color="auto" w:sz="4" w:space="0"/>
              <w:bottom w:val="single" w:color="auto" w:sz="4" w:space="0"/>
              <w:right w:val="single" w:color="auto" w:sz="4" w:space="0"/>
            </w:tcBorders>
            <w:vAlign w:val="center"/>
          </w:tcPr>
          <w:p w14:paraId="65F3F394">
            <w:pPr>
              <w:widowControl/>
              <w:shd w:val="clear"/>
              <w:spacing w:line="240" w:lineRule="auto"/>
              <w:ind w:firstLine="0" w:firstLineChars="0"/>
              <w:jc w:val="center"/>
              <w:textAlignment w:val="bottom"/>
              <w:rPr>
                <w:rFonts w:hint="eastAsia"/>
                <w:color w:val="auto"/>
                <w:sz w:val="21"/>
                <w:szCs w:val="21"/>
                <w:highlight w:val="none"/>
              </w:rPr>
            </w:pPr>
          </w:p>
        </w:tc>
        <w:tc>
          <w:tcPr>
            <w:tcW w:w="1108" w:type="pct"/>
            <w:tcBorders>
              <w:top w:val="single" w:color="auto" w:sz="4" w:space="0"/>
              <w:left w:val="nil"/>
              <w:bottom w:val="single" w:color="auto" w:sz="4" w:space="0"/>
              <w:right w:val="single" w:color="auto" w:sz="4" w:space="0"/>
            </w:tcBorders>
            <w:vAlign w:val="center"/>
          </w:tcPr>
          <w:p w14:paraId="5AD4508D">
            <w:pPr>
              <w:widowControl/>
              <w:shd w:val="clear"/>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合计</w:t>
            </w:r>
          </w:p>
        </w:tc>
        <w:tc>
          <w:tcPr>
            <w:tcW w:w="418" w:type="pct"/>
            <w:tcBorders>
              <w:top w:val="single" w:color="auto" w:sz="4" w:space="0"/>
              <w:left w:val="nil"/>
              <w:bottom w:val="single" w:color="auto" w:sz="4" w:space="0"/>
              <w:right w:val="single" w:color="auto" w:sz="4" w:space="0"/>
            </w:tcBorders>
            <w:vAlign w:val="center"/>
          </w:tcPr>
          <w:p w14:paraId="1E231E9F">
            <w:pPr>
              <w:widowControl/>
              <w:shd w:val="clear"/>
              <w:spacing w:line="240" w:lineRule="auto"/>
              <w:ind w:firstLine="0" w:firstLineChars="0"/>
              <w:jc w:val="center"/>
              <w:textAlignment w:val="bottom"/>
              <w:rPr>
                <w:rFonts w:hint="eastAsia"/>
                <w:color w:val="auto"/>
                <w:sz w:val="21"/>
                <w:szCs w:val="21"/>
                <w:highlight w:val="none"/>
              </w:rPr>
            </w:pPr>
          </w:p>
        </w:tc>
        <w:tc>
          <w:tcPr>
            <w:tcW w:w="694" w:type="pct"/>
            <w:tcBorders>
              <w:top w:val="single" w:color="auto" w:sz="4" w:space="0"/>
              <w:left w:val="nil"/>
              <w:bottom w:val="single" w:color="auto" w:sz="4" w:space="0"/>
              <w:right w:val="single" w:color="auto" w:sz="4" w:space="0"/>
            </w:tcBorders>
            <w:vAlign w:val="center"/>
          </w:tcPr>
          <w:p w14:paraId="445A74BB">
            <w:pPr>
              <w:widowControl/>
              <w:shd w:val="clear"/>
              <w:spacing w:line="240" w:lineRule="auto"/>
              <w:ind w:firstLine="0" w:firstLineChars="0"/>
              <w:jc w:val="center"/>
              <w:textAlignment w:val="bottom"/>
              <w:rPr>
                <w:rFonts w:hint="eastAsia"/>
                <w:color w:val="auto"/>
                <w:sz w:val="21"/>
                <w:szCs w:val="21"/>
                <w:highlight w:val="none"/>
              </w:rPr>
            </w:pPr>
          </w:p>
        </w:tc>
        <w:tc>
          <w:tcPr>
            <w:tcW w:w="694" w:type="pct"/>
            <w:tcBorders>
              <w:top w:val="single" w:color="auto" w:sz="4" w:space="0"/>
              <w:left w:val="nil"/>
              <w:bottom w:val="single" w:color="auto" w:sz="4" w:space="0"/>
              <w:right w:val="single" w:color="auto" w:sz="4" w:space="0"/>
            </w:tcBorders>
            <w:vAlign w:val="center"/>
          </w:tcPr>
          <w:p w14:paraId="5D3D01E6">
            <w:pPr>
              <w:widowControl/>
              <w:shd w:val="clear"/>
              <w:spacing w:line="240" w:lineRule="auto"/>
              <w:ind w:firstLine="0" w:firstLineChars="0"/>
              <w:jc w:val="center"/>
              <w:textAlignment w:val="bottom"/>
              <w:rPr>
                <w:rFonts w:hint="eastAsia"/>
                <w:color w:val="auto"/>
                <w:sz w:val="21"/>
                <w:szCs w:val="21"/>
                <w:highlight w:val="none"/>
              </w:rPr>
            </w:pPr>
          </w:p>
        </w:tc>
        <w:tc>
          <w:tcPr>
            <w:tcW w:w="556" w:type="pct"/>
            <w:tcBorders>
              <w:top w:val="single" w:color="auto" w:sz="4" w:space="0"/>
              <w:left w:val="nil"/>
              <w:bottom w:val="single" w:color="auto" w:sz="4" w:space="0"/>
              <w:right w:val="single" w:color="auto" w:sz="4" w:space="0"/>
            </w:tcBorders>
            <w:vAlign w:val="center"/>
          </w:tcPr>
          <w:p w14:paraId="087EB7D7">
            <w:pPr>
              <w:widowControl/>
              <w:shd w:val="clear"/>
              <w:spacing w:line="240" w:lineRule="auto"/>
              <w:ind w:firstLine="0" w:firstLineChars="0"/>
              <w:jc w:val="center"/>
              <w:textAlignment w:val="bottom"/>
              <w:rPr>
                <w:rFonts w:hint="eastAsia"/>
                <w:color w:val="auto"/>
                <w:sz w:val="21"/>
                <w:szCs w:val="21"/>
                <w:highlight w:val="none"/>
              </w:rPr>
            </w:pPr>
            <w:r>
              <w:rPr>
                <w:color w:val="auto"/>
                <w:sz w:val="21"/>
                <w:szCs w:val="21"/>
                <w:highlight w:val="none"/>
              </w:rPr>
              <w:fldChar w:fldCharType="begin"/>
            </w:r>
            <w:r>
              <w:rPr>
                <w:color w:val="auto"/>
                <w:sz w:val="21"/>
                <w:szCs w:val="21"/>
                <w:highlight w:val="none"/>
              </w:rPr>
              <w:instrText xml:space="preserve"> =SUM(ABOVE) </w:instrText>
            </w:r>
            <w:r>
              <w:rPr>
                <w:color w:val="auto"/>
                <w:sz w:val="21"/>
                <w:szCs w:val="21"/>
                <w:highlight w:val="none"/>
              </w:rPr>
              <w:fldChar w:fldCharType="separate"/>
            </w:r>
            <w:r>
              <w:rPr>
                <w:color w:val="auto"/>
                <w:sz w:val="21"/>
                <w:szCs w:val="21"/>
                <w:highlight w:val="none"/>
              </w:rPr>
              <w:t>9</w:t>
            </w:r>
            <w:r>
              <w:rPr>
                <w:rFonts w:hint="eastAsia"/>
                <w:color w:val="auto"/>
                <w:sz w:val="21"/>
                <w:szCs w:val="21"/>
                <w:highlight w:val="none"/>
              </w:rPr>
              <w:t>7</w:t>
            </w:r>
            <w:r>
              <w:rPr>
                <w:color w:val="auto"/>
                <w:sz w:val="21"/>
                <w:szCs w:val="21"/>
                <w:highlight w:val="none"/>
              </w:rPr>
              <w:t>0000</w:t>
            </w:r>
            <w:r>
              <w:rPr>
                <w:color w:val="auto"/>
                <w:sz w:val="21"/>
                <w:szCs w:val="21"/>
                <w:highlight w:val="none"/>
              </w:rPr>
              <w:fldChar w:fldCharType="end"/>
            </w:r>
          </w:p>
        </w:tc>
        <w:tc>
          <w:tcPr>
            <w:tcW w:w="556" w:type="pct"/>
            <w:tcBorders>
              <w:top w:val="single" w:color="auto" w:sz="4" w:space="0"/>
              <w:left w:val="nil"/>
              <w:bottom w:val="single" w:color="auto" w:sz="4" w:space="0"/>
              <w:right w:val="single" w:color="auto" w:sz="4" w:space="0"/>
            </w:tcBorders>
            <w:vAlign w:val="center"/>
          </w:tcPr>
          <w:p w14:paraId="005F5A13">
            <w:pPr>
              <w:widowControl/>
              <w:shd w:val="clear"/>
              <w:spacing w:line="240" w:lineRule="auto"/>
              <w:ind w:firstLine="0" w:firstLineChars="0"/>
              <w:jc w:val="center"/>
              <w:textAlignment w:val="bottom"/>
              <w:rPr>
                <w:rFonts w:hint="eastAsia"/>
                <w:color w:val="auto"/>
                <w:sz w:val="21"/>
                <w:szCs w:val="21"/>
                <w:highlight w:val="none"/>
              </w:rPr>
            </w:pPr>
          </w:p>
        </w:tc>
        <w:tc>
          <w:tcPr>
            <w:tcW w:w="694" w:type="pct"/>
            <w:tcBorders>
              <w:top w:val="single" w:color="auto" w:sz="4" w:space="0"/>
              <w:left w:val="nil"/>
              <w:bottom w:val="single" w:color="auto" w:sz="4" w:space="0"/>
              <w:right w:val="single" w:color="auto" w:sz="4" w:space="0"/>
            </w:tcBorders>
            <w:vAlign w:val="center"/>
          </w:tcPr>
          <w:p w14:paraId="650F2965">
            <w:pPr>
              <w:widowControl/>
              <w:shd w:val="clear"/>
              <w:spacing w:line="240" w:lineRule="auto"/>
              <w:ind w:firstLine="0" w:firstLineChars="0"/>
              <w:jc w:val="center"/>
              <w:textAlignment w:val="bottom"/>
              <w:rPr>
                <w:rFonts w:hint="eastAsia"/>
                <w:color w:val="auto"/>
                <w:sz w:val="21"/>
                <w:szCs w:val="21"/>
                <w:highlight w:val="none"/>
              </w:rPr>
            </w:pPr>
          </w:p>
        </w:tc>
      </w:tr>
    </w:tbl>
    <w:p w14:paraId="2E8B8E16">
      <w:pPr>
        <w:shd w:val="clear"/>
        <w:rPr>
          <w:color w:val="auto"/>
          <w:highlight w:val="none"/>
        </w:rPr>
      </w:pPr>
      <w:r>
        <w:rPr>
          <w:rFonts w:hint="eastAsia"/>
          <w:color w:val="auto"/>
          <w:highlight w:val="none"/>
        </w:rPr>
        <w:t>除尘风量按照两个顶吸除尘点可以同时开启考虑，以满足两个铁口短暂同时出铁时的风量要求。在顶吸和除尘支路总管上设置电动调节阀，可以根据工况调节阀门的开度。出铁场除尘设置</w:t>
      </w:r>
      <w:r>
        <w:rPr>
          <w:color w:val="auto"/>
          <w:highlight w:val="none"/>
        </w:rPr>
        <w:t>1</w:t>
      </w:r>
      <w:r>
        <w:rPr>
          <w:rFonts w:hint="eastAsia"/>
          <w:color w:val="auto"/>
          <w:highlight w:val="none"/>
        </w:rPr>
        <w:t>根烟囱，烟囱直径5.3m，高度</w:t>
      </w:r>
      <w:r>
        <w:rPr>
          <w:color w:val="auto"/>
          <w:highlight w:val="none"/>
        </w:rPr>
        <w:t>50</w:t>
      </w:r>
      <w:r>
        <w:rPr>
          <w:rFonts w:hint="eastAsia"/>
          <w:color w:val="auto"/>
          <w:highlight w:val="none"/>
        </w:rPr>
        <w:t>m，按照在线监测的要求设置爬梯、平台及取样装置。除尘器灰斗收集的除尘灰通过一二级刮板机、斗提机输送至集中灰仓。集中灰仓设置双卸灰口，两个卸灰口支路均通过吸排罐车拉运至2×360m2烧结机配料室预留接口气力输送至配料除尘仓；</w:t>
      </w:r>
      <w:bookmarkStart w:id="612" w:name="_Hlk184627847"/>
      <w:r>
        <w:rPr>
          <w:rFonts w:hint="eastAsia"/>
          <w:color w:val="auto"/>
          <w:highlight w:val="none"/>
        </w:rPr>
        <w:t>控制系统采用DCS控制系统，新建超低排CEMS监测系统，满足超低排放要求。</w:t>
      </w:r>
      <w:bookmarkEnd w:id="612"/>
    </w:p>
    <w:p w14:paraId="24F5834E">
      <w:pPr>
        <w:shd w:val="clear"/>
        <w:rPr>
          <w:color w:val="auto"/>
          <w:highlight w:val="none"/>
        </w:rPr>
      </w:pPr>
      <w:r>
        <w:rPr>
          <w:rFonts w:hint="eastAsia"/>
          <w:color w:val="auto"/>
          <w:highlight w:val="none"/>
        </w:rPr>
        <w:t>出铁场内的现有除尘管道全部拆除根据新的风量分配重新设计。管道支架考虑</w:t>
      </w:r>
      <w:r>
        <w:rPr>
          <w:rFonts w:hint="eastAsia"/>
          <w:color w:val="auto"/>
          <w:highlight w:val="none"/>
          <w:lang w:val="en-US" w:eastAsia="zh-CN"/>
        </w:rPr>
        <w:t>加固</w:t>
      </w:r>
      <w:r>
        <w:rPr>
          <w:rFonts w:hint="eastAsia"/>
          <w:color w:val="auto"/>
          <w:highlight w:val="none"/>
        </w:rPr>
        <w:t>利旧。</w:t>
      </w:r>
    </w:p>
    <w:p w14:paraId="19BF3060">
      <w:pPr>
        <w:shd w:val="clear"/>
        <w:rPr>
          <w:color w:val="auto"/>
          <w:highlight w:val="none"/>
        </w:rPr>
      </w:pPr>
      <w:r>
        <w:rPr>
          <w:rFonts w:hint="eastAsia"/>
          <w:color w:val="auto"/>
          <w:highlight w:val="none"/>
        </w:rPr>
        <w:t>新建出铁场除尘系统总风量风量1200</w:t>
      </w:r>
      <w:r>
        <w:rPr>
          <w:color w:val="auto"/>
          <w:highlight w:val="none"/>
        </w:rPr>
        <w:t>000</w:t>
      </w:r>
      <w:r>
        <w:rPr>
          <w:rFonts w:hint="eastAsia"/>
          <w:color w:val="auto"/>
          <w:highlight w:val="none"/>
        </w:rPr>
        <w:t>m³/h，烟囱处颗粒物排放浓度≤10mg/Nm³。主要设备参数如下：</w:t>
      </w:r>
    </w:p>
    <w:p w14:paraId="05712A98">
      <w:pPr>
        <w:shd w:val="clear"/>
        <w:rPr>
          <w:color w:val="auto"/>
          <w:highlight w:val="none"/>
        </w:rPr>
      </w:pPr>
      <w:r>
        <w:rPr>
          <w:rFonts w:hint="eastAsia"/>
          <w:color w:val="auto"/>
          <w:highlight w:val="none"/>
        </w:rPr>
        <w:t>1）低压脉冲袋式除尘器</w:t>
      </w:r>
    </w:p>
    <w:p w14:paraId="3993A235">
      <w:pPr>
        <w:shd w:val="clear"/>
        <w:rPr>
          <w:color w:val="auto"/>
          <w:highlight w:val="none"/>
        </w:rPr>
      </w:pPr>
      <w:r>
        <w:rPr>
          <w:rFonts w:hint="eastAsia"/>
          <w:color w:val="auto"/>
          <w:highlight w:val="none"/>
        </w:rPr>
        <w:t>表7.4.1-2</w:t>
      </w:r>
    </w:p>
    <w:tbl>
      <w:tblPr>
        <w:tblStyle w:val="6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3354"/>
        <w:gridCol w:w="2975"/>
        <w:gridCol w:w="1259"/>
      </w:tblGrid>
      <w:tr w14:paraId="45BCF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blHeader/>
        </w:trPr>
        <w:tc>
          <w:tcPr>
            <w:tcW w:w="660" w:type="dxa"/>
            <w:vAlign w:val="center"/>
          </w:tcPr>
          <w:p w14:paraId="113493DE">
            <w:pPr>
              <w:shd w:val="clear"/>
              <w:adjustRightInd w:val="0"/>
              <w:snapToGrid w:val="0"/>
              <w:ind w:firstLine="0" w:firstLineChars="0"/>
              <w:jc w:val="center"/>
              <w:textAlignment w:val="baseline"/>
              <w:rPr>
                <w:color w:val="auto"/>
                <w:kern w:val="0"/>
                <w:highlight w:val="none"/>
              </w:rPr>
            </w:pPr>
            <w:bookmarkStart w:id="613" w:name="_Hlk143794826"/>
            <w:r>
              <w:rPr>
                <w:color w:val="auto"/>
                <w:kern w:val="0"/>
                <w:highlight w:val="none"/>
              </w:rPr>
              <w:t>序号</w:t>
            </w:r>
          </w:p>
        </w:tc>
        <w:tc>
          <w:tcPr>
            <w:tcW w:w="3354" w:type="dxa"/>
            <w:vAlign w:val="center"/>
          </w:tcPr>
          <w:p w14:paraId="536422DB">
            <w:pPr>
              <w:shd w:val="clear"/>
              <w:adjustRightInd w:val="0"/>
              <w:snapToGrid w:val="0"/>
              <w:jc w:val="center"/>
              <w:textAlignment w:val="baseline"/>
              <w:rPr>
                <w:color w:val="auto"/>
                <w:kern w:val="0"/>
                <w:highlight w:val="none"/>
              </w:rPr>
            </w:pPr>
            <w:r>
              <w:rPr>
                <w:color w:val="auto"/>
                <w:kern w:val="0"/>
                <w:highlight w:val="none"/>
              </w:rPr>
              <w:t>项   目</w:t>
            </w:r>
          </w:p>
        </w:tc>
        <w:tc>
          <w:tcPr>
            <w:tcW w:w="2975" w:type="dxa"/>
            <w:vAlign w:val="center"/>
          </w:tcPr>
          <w:p w14:paraId="2D38500C">
            <w:pPr>
              <w:shd w:val="clear"/>
              <w:adjustRightInd w:val="0"/>
              <w:snapToGrid w:val="0"/>
              <w:jc w:val="center"/>
              <w:textAlignment w:val="baseline"/>
              <w:rPr>
                <w:color w:val="auto"/>
                <w:kern w:val="0"/>
                <w:highlight w:val="none"/>
              </w:rPr>
            </w:pPr>
            <w:r>
              <w:rPr>
                <w:color w:val="auto"/>
                <w:kern w:val="0"/>
                <w:highlight w:val="none"/>
              </w:rPr>
              <w:t>技 术 数 据</w:t>
            </w:r>
          </w:p>
        </w:tc>
        <w:tc>
          <w:tcPr>
            <w:tcW w:w="1259" w:type="dxa"/>
          </w:tcPr>
          <w:p w14:paraId="15F89C08">
            <w:pPr>
              <w:shd w:val="clear"/>
              <w:adjustRightInd w:val="0"/>
              <w:snapToGrid w:val="0"/>
              <w:jc w:val="center"/>
              <w:textAlignment w:val="baseline"/>
              <w:rPr>
                <w:color w:val="auto"/>
                <w:kern w:val="0"/>
                <w:highlight w:val="none"/>
              </w:rPr>
            </w:pPr>
            <w:r>
              <w:rPr>
                <w:rFonts w:hint="eastAsia"/>
                <w:color w:val="auto"/>
                <w:kern w:val="0"/>
                <w:highlight w:val="none"/>
              </w:rPr>
              <w:t>备注</w:t>
            </w:r>
          </w:p>
        </w:tc>
      </w:tr>
      <w:tr w14:paraId="0C2EE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0EAB9D83">
            <w:pPr>
              <w:shd w:val="clear"/>
              <w:adjustRightInd w:val="0"/>
              <w:snapToGrid w:val="0"/>
              <w:ind w:firstLine="0" w:firstLineChars="0"/>
              <w:jc w:val="center"/>
              <w:textAlignment w:val="baseline"/>
              <w:rPr>
                <w:color w:val="auto"/>
                <w:kern w:val="0"/>
                <w:highlight w:val="none"/>
              </w:rPr>
            </w:pPr>
            <w:r>
              <w:rPr>
                <w:color w:val="auto"/>
                <w:kern w:val="0"/>
                <w:highlight w:val="none"/>
              </w:rPr>
              <w:t>1</w:t>
            </w:r>
          </w:p>
        </w:tc>
        <w:tc>
          <w:tcPr>
            <w:tcW w:w="3354" w:type="dxa"/>
            <w:vAlign w:val="center"/>
          </w:tcPr>
          <w:p w14:paraId="6E8C6664">
            <w:pPr>
              <w:shd w:val="clear"/>
              <w:adjustRightInd w:val="0"/>
              <w:snapToGrid w:val="0"/>
              <w:ind w:firstLine="0" w:firstLineChars="0"/>
              <w:jc w:val="center"/>
              <w:textAlignment w:val="baseline"/>
              <w:rPr>
                <w:color w:val="auto"/>
                <w:kern w:val="0"/>
                <w:highlight w:val="none"/>
              </w:rPr>
            </w:pPr>
            <w:r>
              <w:rPr>
                <w:color w:val="auto"/>
                <w:kern w:val="0"/>
                <w:highlight w:val="none"/>
              </w:rPr>
              <w:t>除尘系统</w:t>
            </w:r>
          </w:p>
        </w:tc>
        <w:tc>
          <w:tcPr>
            <w:tcW w:w="2975" w:type="dxa"/>
            <w:vAlign w:val="center"/>
          </w:tcPr>
          <w:p w14:paraId="29F9D74E">
            <w:pPr>
              <w:widowControl/>
              <w:shd w:val="clear"/>
              <w:snapToGrid w:val="0"/>
              <w:ind w:firstLine="0" w:firstLineChars="0"/>
              <w:jc w:val="center"/>
              <w:rPr>
                <w:color w:val="auto"/>
                <w:kern w:val="0"/>
                <w:highlight w:val="none"/>
              </w:rPr>
            </w:pPr>
            <w:r>
              <w:rPr>
                <w:rFonts w:hint="eastAsia"/>
                <w:color w:val="auto"/>
                <w:kern w:val="0"/>
                <w:highlight w:val="none"/>
              </w:rPr>
              <w:t>新建出铁场除尘系统</w:t>
            </w:r>
          </w:p>
        </w:tc>
        <w:tc>
          <w:tcPr>
            <w:tcW w:w="1259" w:type="dxa"/>
          </w:tcPr>
          <w:p w14:paraId="3D7AEA89">
            <w:pPr>
              <w:widowControl/>
              <w:shd w:val="clear"/>
              <w:snapToGrid w:val="0"/>
              <w:ind w:firstLine="0" w:firstLineChars="0"/>
              <w:jc w:val="center"/>
              <w:rPr>
                <w:color w:val="auto"/>
                <w:kern w:val="0"/>
                <w:highlight w:val="none"/>
              </w:rPr>
            </w:pPr>
          </w:p>
        </w:tc>
      </w:tr>
      <w:tr w14:paraId="30073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5A88BA23">
            <w:pPr>
              <w:shd w:val="clear"/>
              <w:adjustRightInd w:val="0"/>
              <w:snapToGrid w:val="0"/>
              <w:ind w:firstLine="0" w:firstLineChars="0"/>
              <w:jc w:val="center"/>
              <w:textAlignment w:val="baseline"/>
              <w:rPr>
                <w:color w:val="auto"/>
                <w:kern w:val="0"/>
                <w:highlight w:val="none"/>
              </w:rPr>
            </w:pPr>
            <w:r>
              <w:rPr>
                <w:color w:val="auto"/>
                <w:kern w:val="0"/>
                <w:highlight w:val="none"/>
              </w:rPr>
              <w:t>2</w:t>
            </w:r>
          </w:p>
        </w:tc>
        <w:tc>
          <w:tcPr>
            <w:tcW w:w="3354" w:type="dxa"/>
            <w:vAlign w:val="center"/>
          </w:tcPr>
          <w:p w14:paraId="21C35890">
            <w:pPr>
              <w:shd w:val="clear"/>
              <w:adjustRightInd w:val="0"/>
              <w:snapToGrid w:val="0"/>
              <w:ind w:firstLine="0" w:firstLineChars="0"/>
              <w:jc w:val="center"/>
              <w:textAlignment w:val="baseline"/>
              <w:rPr>
                <w:color w:val="auto"/>
                <w:kern w:val="0"/>
                <w:highlight w:val="none"/>
              </w:rPr>
            </w:pPr>
          </w:p>
        </w:tc>
        <w:tc>
          <w:tcPr>
            <w:tcW w:w="2975" w:type="dxa"/>
            <w:vAlign w:val="center"/>
          </w:tcPr>
          <w:p w14:paraId="322AC2CC">
            <w:pPr>
              <w:widowControl/>
              <w:shd w:val="clear"/>
              <w:snapToGrid w:val="0"/>
              <w:ind w:firstLine="0" w:firstLineChars="0"/>
              <w:jc w:val="center"/>
              <w:rPr>
                <w:color w:val="auto"/>
                <w:kern w:val="0"/>
                <w:highlight w:val="none"/>
              </w:rPr>
            </w:pPr>
            <w:r>
              <w:rPr>
                <w:color w:val="auto"/>
                <w:kern w:val="0"/>
                <w:highlight w:val="none"/>
              </w:rPr>
              <w:t>低压脉冲袋式除尘器</w:t>
            </w:r>
          </w:p>
        </w:tc>
        <w:tc>
          <w:tcPr>
            <w:tcW w:w="1259" w:type="dxa"/>
          </w:tcPr>
          <w:p w14:paraId="296FDBE3">
            <w:pPr>
              <w:widowControl/>
              <w:shd w:val="clear"/>
              <w:snapToGrid w:val="0"/>
              <w:ind w:firstLine="0" w:firstLineChars="0"/>
              <w:jc w:val="center"/>
              <w:rPr>
                <w:color w:val="auto"/>
                <w:kern w:val="0"/>
                <w:highlight w:val="none"/>
              </w:rPr>
            </w:pPr>
          </w:p>
        </w:tc>
      </w:tr>
      <w:tr w14:paraId="03A70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5A7CC590">
            <w:pPr>
              <w:shd w:val="clear"/>
              <w:adjustRightInd w:val="0"/>
              <w:snapToGrid w:val="0"/>
              <w:ind w:firstLine="0" w:firstLineChars="0"/>
              <w:jc w:val="center"/>
              <w:textAlignment w:val="baseline"/>
              <w:rPr>
                <w:color w:val="auto"/>
                <w:kern w:val="0"/>
                <w:highlight w:val="none"/>
              </w:rPr>
            </w:pPr>
            <w:r>
              <w:rPr>
                <w:color w:val="auto"/>
                <w:kern w:val="0"/>
                <w:highlight w:val="none"/>
              </w:rPr>
              <w:t>3</w:t>
            </w:r>
          </w:p>
        </w:tc>
        <w:tc>
          <w:tcPr>
            <w:tcW w:w="3354" w:type="dxa"/>
            <w:vAlign w:val="center"/>
          </w:tcPr>
          <w:p w14:paraId="44C0F69A">
            <w:pPr>
              <w:shd w:val="clear"/>
              <w:adjustRightInd w:val="0"/>
              <w:snapToGrid w:val="0"/>
              <w:ind w:firstLine="0" w:firstLineChars="0"/>
              <w:jc w:val="center"/>
              <w:textAlignment w:val="baseline"/>
              <w:rPr>
                <w:color w:val="auto"/>
                <w:kern w:val="0"/>
                <w:highlight w:val="none"/>
              </w:rPr>
            </w:pPr>
            <w:r>
              <w:rPr>
                <w:color w:val="auto"/>
                <w:kern w:val="0"/>
                <w:highlight w:val="none"/>
              </w:rPr>
              <w:t>工况处理风量（m</w:t>
            </w:r>
            <w:r>
              <w:rPr>
                <w:color w:val="auto"/>
                <w:kern w:val="0"/>
                <w:highlight w:val="none"/>
                <w:vertAlign w:val="superscript"/>
              </w:rPr>
              <w:t>3</w:t>
            </w:r>
            <w:r>
              <w:rPr>
                <w:color w:val="auto"/>
                <w:kern w:val="0"/>
                <w:highlight w:val="none"/>
              </w:rPr>
              <w:t>/h）</w:t>
            </w:r>
          </w:p>
        </w:tc>
        <w:tc>
          <w:tcPr>
            <w:tcW w:w="2975" w:type="dxa"/>
            <w:vAlign w:val="center"/>
          </w:tcPr>
          <w:p w14:paraId="6A46BCD3">
            <w:pPr>
              <w:shd w:val="clear"/>
              <w:adjustRightInd w:val="0"/>
              <w:snapToGrid w:val="0"/>
              <w:ind w:firstLine="0" w:firstLineChars="0"/>
              <w:jc w:val="center"/>
              <w:textAlignment w:val="baseline"/>
              <w:rPr>
                <w:color w:val="auto"/>
                <w:kern w:val="0"/>
                <w:highlight w:val="none"/>
              </w:rPr>
            </w:pPr>
            <w:r>
              <w:rPr>
                <w:rFonts w:hint="eastAsia"/>
                <w:color w:val="auto"/>
                <w:kern w:val="0"/>
                <w:highlight w:val="none"/>
              </w:rPr>
              <w:t>120</w:t>
            </w:r>
            <w:r>
              <w:rPr>
                <w:color w:val="auto"/>
                <w:kern w:val="0"/>
                <w:highlight w:val="none"/>
              </w:rPr>
              <w:t>0000（工况）</w:t>
            </w:r>
          </w:p>
        </w:tc>
        <w:tc>
          <w:tcPr>
            <w:tcW w:w="1259" w:type="dxa"/>
          </w:tcPr>
          <w:p w14:paraId="47FB7743">
            <w:pPr>
              <w:shd w:val="clear"/>
              <w:adjustRightInd w:val="0"/>
              <w:snapToGrid w:val="0"/>
              <w:ind w:firstLine="0" w:firstLineChars="0"/>
              <w:jc w:val="center"/>
              <w:textAlignment w:val="baseline"/>
              <w:rPr>
                <w:color w:val="auto"/>
                <w:kern w:val="0"/>
                <w:highlight w:val="none"/>
              </w:rPr>
            </w:pPr>
          </w:p>
        </w:tc>
      </w:tr>
      <w:tr w14:paraId="145B4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exact"/>
        </w:trPr>
        <w:tc>
          <w:tcPr>
            <w:tcW w:w="660" w:type="dxa"/>
            <w:vAlign w:val="center"/>
          </w:tcPr>
          <w:p w14:paraId="0D7B4EDE">
            <w:pPr>
              <w:shd w:val="clear"/>
              <w:adjustRightInd w:val="0"/>
              <w:snapToGrid w:val="0"/>
              <w:ind w:firstLine="0" w:firstLineChars="0"/>
              <w:jc w:val="center"/>
              <w:textAlignment w:val="baseline"/>
              <w:rPr>
                <w:color w:val="auto"/>
                <w:kern w:val="0"/>
                <w:highlight w:val="none"/>
              </w:rPr>
            </w:pPr>
            <w:r>
              <w:rPr>
                <w:color w:val="auto"/>
                <w:kern w:val="0"/>
                <w:highlight w:val="none"/>
              </w:rPr>
              <w:t>4</w:t>
            </w:r>
          </w:p>
        </w:tc>
        <w:tc>
          <w:tcPr>
            <w:tcW w:w="3354" w:type="dxa"/>
            <w:vAlign w:val="center"/>
          </w:tcPr>
          <w:p w14:paraId="3738411E">
            <w:pPr>
              <w:shd w:val="clear"/>
              <w:adjustRightInd w:val="0"/>
              <w:snapToGrid w:val="0"/>
              <w:ind w:firstLine="0" w:firstLineChars="0"/>
              <w:jc w:val="center"/>
              <w:textAlignment w:val="baseline"/>
              <w:rPr>
                <w:color w:val="auto"/>
                <w:kern w:val="0"/>
                <w:highlight w:val="none"/>
              </w:rPr>
            </w:pPr>
            <w:r>
              <w:rPr>
                <w:color w:val="auto"/>
                <w:kern w:val="0"/>
                <w:highlight w:val="none"/>
              </w:rPr>
              <w:t>粉尘性质</w:t>
            </w:r>
          </w:p>
        </w:tc>
        <w:tc>
          <w:tcPr>
            <w:tcW w:w="2975" w:type="dxa"/>
            <w:vAlign w:val="center"/>
          </w:tcPr>
          <w:p w14:paraId="2ED31C79">
            <w:pPr>
              <w:shd w:val="clear"/>
              <w:adjustRightInd w:val="0"/>
              <w:snapToGrid w:val="0"/>
              <w:ind w:firstLine="0" w:firstLineChars="0"/>
              <w:jc w:val="center"/>
              <w:textAlignment w:val="baseline"/>
              <w:rPr>
                <w:color w:val="auto"/>
                <w:kern w:val="0"/>
                <w:highlight w:val="none"/>
              </w:rPr>
            </w:pPr>
            <w:r>
              <w:rPr>
                <w:rFonts w:hint="eastAsia"/>
                <w:color w:val="auto"/>
                <w:kern w:val="0"/>
                <w:highlight w:val="none"/>
              </w:rPr>
              <w:t>高炉出铁场除尘</w:t>
            </w:r>
            <w:r>
              <w:rPr>
                <w:color w:val="auto"/>
                <w:kern w:val="0"/>
                <w:highlight w:val="none"/>
              </w:rPr>
              <w:t>烟尘</w:t>
            </w:r>
          </w:p>
        </w:tc>
        <w:tc>
          <w:tcPr>
            <w:tcW w:w="1259" w:type="dxa"/>
          </w:tcPr>
          <w:p w14:paraId="177D608B">
            <w:pPr>
              <w:shd w:val="clear"/>
              <w:adjustRightInd w:val="0"/>
              <w:snapToGrid w:val="0"/>
              <w:ind w:firstLine="0" w:firstLineChars="0"/>
              <w:jc w:val="center"/>
              <w:textAlignment w:val="baseline"/>
              <w:rPr>
                <w:color w:val="auto"/>
                <w:kern w:val="0"/>
                <w:highlight w:val="none"/>
              </w:rPr>
            </w:pPr>
          </w:p>
        </w:tc>
      </w:tr>
      <w:tr w14:paraId="0CEA5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7E6E56D6">
            <w:pPr>
              <w:shd w:val="clear"/>
              <w:adjustRightInd w:val="0"/>
              <w:snapToGrid w:val="0"/>
              <w:ind w:firstLine="0" w:firstLineChars="0"/>
              <w:jc w:val="center"/>
              <w:textAlignment w:val="baseline"/>
              <w:rPr>
                <w:color w:val="auto"/>
                <w:kern w:val="0"/>
                <w:highlight w:val="none"/>
              </w:rPr>
            </w:pPr>
            <w:r>
              <w:rPr>
                <w:color w:val="auto"/>
                <w:kern w:val="0"/>
                <w:highlight w:val="none"/>
              </w:rPr>
              <w:t>5</w:t>
            </w:r>
          </w:p>
        </w:tc>
        <w:tc>
          <w:tcPr>
            <w:tcW w:w="3354" w:type="dxa"/>
            <w:vAlign w:val="center"/>
          </w:tcPr>
          <w:p w14:paraId="0A991052">
            <w:pPr>
              <w:shd w:val="clear"/>
              <w:adjustRightInd w:val="0"/>
              <w:snapToGrid w:val="0"/>
              <w:ind w:firstLine="0" w:firstLineChars="0"/>
              <w:jc w:val="center"/>
              <w:textAlignment w:val="baseline"/>
              <w:rPr>
                <w:color w:val="auto"/>
                <w:kern w:val="0"/>
                <w:highlight w:val="none"/>
              </w:rPr>
            </w:pPr>
            <w:r>
              <w:rPr>
                <w:color w:val="auto"/>
                <w:kern w:val="0"/>
                <w:highlight w:val="none"/>
              </w:rPr>
              <w:t>正常烟气温度（℃）</w:t>
            </w:r>
          </w:p>
        </w:tc>
        <w:tc>
          <w:tcPr>
            <w:tcW w:w="2975" w:type="dxa"/>
            <w:vAlign w:val="center"/>
          </w:tcPr>
          <w:p w14:paraId="53ED5EF9">
            <w:pPr>
              <w:widowControl/>
              <w:shd w:val="clear"/>
              <w:snapToGrid w:val="0"/>
              <w:ind w:firstLine="0" w:firstLineChars="0"/>
              <w:jc w:val="center"/>
              <w:rPr>
                <w:color w:val="auto"/>
                <w:kern w:val="0"/>
                <w:highlight w:val="none"/>
              </w:rPr>
            </w:pPr>
            <w:r>
              <w:rPr>
                <w:rFonts w:hint="eastAsia"/>
                <w:color w:val="auto"/>
                <w:kern w:val="0"/>
                <w:highlight w:val="none"/>
              </w:rPr>
              <w:t>80~120</w:t>
            </w:r>
            <w:r>
              <w:rPr>
                <w:color w:val="auto"/>
                <w:kern w:val="0"/>
                <w:highlight w:val="none"/>
              </w:rPr>
              <w:t>℃</w:t>
            </w:r>
          </w:p>
        </w:tc>
        <w:tc>
          <w:tcPr>
            <w:tcW w:w="1259" w:type="dxa"/>
          </w:tcPr>
          <w:p w14:paraId="55B92656">
            <w:pPr>
              <w:widowControl/>
              <w:shd w:val="clear"/>
              <w:snapToGrid w:val="0"/>
              <w:ind w:firstLine="0" w:firstLineChars="0"/>
              <w:jc w:val="center"/>
              <w:rPr>
                <w:color w:val="auto"/>
                <w:kern w:val="0"/>
                <w:highlight w:val="none"/>
              </w:rPr>
            </w:pPr>
          </w:p>
        </w:tc>
      </w:tr>
      <w:tr w14:paraId="2C872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7E623CF1">
            <w:pPr>
              <w:shd w:val="clear"/>
              <w:adjustRightInd w:val="0"/>
              <w:snapToGrid w:val="0"/>
              <w:ind w:firstLine="0" w:firstLineChars="0"/>
              <w:jc w:val="center"/>
              <w:textAlignment w:val="baseline"/>
              <w:rPr>
                <w:color w:val="auto"/>
                <w:kern w:val="0"/>
                <w:highlight w:val="none"/>
              </w:rPr>
            </w:pPr>
            <w:r>
              <w:rPr>
                <w:color w:val="auto"/>
                <w:kern w:val="0"/>
                <w:highlight w:val="none"/>
              </w:rPr>
              <w:t>6</w:t>
            </w:r>
          </w:p>
        </w:tc>
        <w:tc>
          <w:tcPr>
            <w:tcW w:w="3354" w:type="dxa"/>
            <w:vAlign w:val="center"/>
          </w:tcPr>
          <w:p w14:paraId="22C6AB9A">
            <w:pPr>
              <w:shd w:val="clear"/>
              <w:adjustRightInd w:val="0"/>
              <w:snapToGrid w:val="0"/>
              <w:ind w:firstLine="0" w:firstLineChars="0"/>
              <w:jc w:val="center"/>
              <w:textAlignment w:val="baseline"/>
              <w:rPr>
                <w:color w:val="auto"/>
                <w:kern w:val="0"/>
                <w:highlight w:val="none"/>
              </w:rPr>
            </w:pPr>
            <w:r>
              <w:rPr>
                <w:color w:val="auto"/>
                <w:kern w:val="0"/>
                <w:highlight w:val="none"/>
              </w:rPr>
              <w:t>出口烟尘浓度（mg/Nm³）</w:t>
            </w:r>
          </w:p>
        </w:tc>
        <w:tc>
          <w:tcPr>
            <w:tcW w:w="2975" w:type="dxa"/>
            <w:vAlign w:val="center"/>
          </w:tcPr>
          <w:p w14:paraId="1031EEAC">
            <w:pPr>
              <w:widowControl/>
              <w:shd w:val="clear"/>
              <w:snapToGrid w:val="0"/>
              <w:ind w:firstLine="0" w:firstLineChars="0"/>
              <w:jc w:val="center"/>
              <w:rPr>
                <w:color w:val="auto"/>
                <w:kern w:val="0"/>
                <w:highlight w:val="none"/>
              </w:rPr>
            </w:pPr>
            <w:r>
              <w:rPr>
                <w:color w:val="auto"/>
                <w:kern w:val="0"/>
                <w:highlight w:val="none"/>
              </w:rPr>
              <w:t>≤10</w:t>
            </w:r>
          </w:p>
        </w:tc>
        <w:tc>
          <w:tcPr>
            <w:tcW w:w="1259" w:type="dxa"/>
          </w:tcPr>
          <w:p w14:paraId="30D68558">
            <w:pPr>
              <w:widowControl/>
              <w:shd w:val="clear"/>
              <w:snapToGrid w:val="0"/>
              <w:ind w:firstLine="0" w:firstLineChars="0"/>
              <w:jc w:val="center"/>
              <w:rPr>
                <w:color w:val="auto"/>
                <w:kern w:val="0"/>
                <w:highlight w:val="none"/>
              </w:rPr>
            </w:pPr>
          </w:p>
        </w:tc>
      </w:tr>
      <w:tr w14:paraId="05362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7A76688A">
            <w:pPr>
              <w:shd w:val="clear"/>
              <w:adjustRightInd w:val="0"/>
              <w:snapToGrid w:val="0"/>
              <w:ind w:firstLine="0" w:firstLineChars="0"/>
              <w:jc w:val="center"/>
              <w:textAlignment w:val="baseline"/>
              <w:rPr>
                <w:color w:val="auto"/>
                <w:kern w:val="0"/>
                <w:highlight w:val="none"/>
              </w:rPr>
            </w:pPr>
            <w:r>
              <w:rPr>
                <w:color w:val="auto"/>
                <w:kern w:val="0"/>
                <w:highlight w:val="none"/>
              </w:rPr>
              <w:t>7</w:t>
            </w:r>
          </w:p>
        </w:tc>
        <w:tc>
          <w:tcPr>
            <w:tcW w:w="3354" w:type="dxa"/>
            <w:vAlign w:val="center"/>
          </w:tcPr>
          <w:p w14:paraId="7C44ED4F">
            <w:pPr>
              <w:shd w:val="clear"/>
              <w:adjustRightInd w:val="0"/>
              <w:snapToGrid w:val="0"/>
              <w:ind w:firstLine="0" w:firstLineChars="0"/>
              <w:jc w:val="center"/>
              <w:textAlignment w:val="baseline"/>
              <w:rPr>
                <w:color w:val="auto"/>
                <w:kern w:val="0"/>
                <w:highlight w:val="none"/>
              </w:rPr>
            </w:pPr>
            <w:r>
              <w:rPr>
                <w:color w:val="auto"/>
                <w:kern w:val="0"/>
                <w:highlight w:val="none"/>
              </w:rPr>
              <w:t>入口浓度（g/Nm³）</w:t>
            </w:r>
          </w:p>
        </w:tc>
        <w:tc>
          <w:tcPr>
            <w:tcW w:w="2975" w:type="dxa"/>
            <w:vAlign w:val="center"/>
          </w:tcPr>
          <w:p w14:paraId="0F11B15E">
            <w:pPr>
              <w:shd w:val="clear"/>
              <w:adjustRightInd w:val="0"/>
              <w:snapToGrid w:val="0"/>
              <w:ind w:firstLine="0" w:firstLineChars="0"/>
              <w:jc w:val="center"/>
              <w:textAlignment w:val="baseline"/>
              <w:rPr>
                <w:color w:val="auto"/>
                <w:kern w:val="0"/>
                <w:highlight w:val="none"/>
              </w:rPr>
            </w:pPr>
            <w:r>
              <w:rPr>
                <w:rFonts w:hint="eastAsia"/>
                <w:color w:val="auto"/>
                <w:kern w:val="0"/>
                <w:highlight w:val="none"/>
              </w:rPr>
              <w:t>1</w:t>
            </w:r>
            <w:r>
              <w:rPr>
                <w:color w:val="auto"/>
                <w:kern w:val="0"/>
                <w:highlight w:val="none"/>
              </w:rPr>
              <w:t>～</w:t>
            </w:r>
            <w:r>
              <w:rPr>
                <w:rFonts w:hint="eastAsia"/>
                <w:color w:val="auto"/>
                <w:kern w:val="0"/>
                <w:highlight w:val="none"/>
              </w:rPr>
              <w:t>5</w:t>
            </w:r>
          </w:p>
        </w:tc>
        <w:tc>
          <w:tcPr>
            <w:tcW w:w="1259" w:type="dxa"/>
          </w:tcPr>
          <w:p w14:paraId="75271CE4">
            <w:pPr>
              <w:shd w:val="clear"/>
              <w:adjustRightInd w:val="0"/>
              <w:snapToGrid w:val="0"/>
              <w:ind w:firstLine="0" w:firstLineChars="0"/>
              <w:jc w:val="center"/>
              <w:textAlignment w:val="baseline"/>
              <w:rPr>
                <w:color w:val="auto"/>
                <w:kern w:val="0"/>
                <w:highlight w:val="none"/>
              </w:rPr>
            </w:pPr>
          </w:p>
        </w:tc>
      </w:tr>
      <w:tr w14:paraId="4A20B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6E2ECBEB">
            <w:pPr>
              <w:shd w:val="clear"/>
              <w:adjustRightInd w:val="0"/>
              <w:snapToGrid w:val="0"/>
              <w:ind w:firstLine="0" w:firstLineChars="0"/>
              <w:jc w:val="center"/>
              <w:textAlignment w:val="baseline"/>
              <w:rPr>
                <w:color w:val="auto"/>
                <w:kern w:val="0"/>
                <w:highlight w:val="none"/>
              </w:rPr>
            </w:pPr>
            <w:r>
              <w:rPr>
                <w:color w:val="auto"/>
                <w:kern w:val="0"/>
                <w:highlight w:val="none"/>
              </w:rPr>
              <w:t>8</w:t>
            </w:r>
          </w:p>
        </w:tc>
        <w:tc>
          <w:tcPr>
            <w:tcW w:w="3354" w:type="dxa"/>
            <w:vAlign w:val="center"/>
          </w:tcPr>
          <w:p w14:paraId="5EC9F4DF">
            <w:pPr>
              <w:shd w:val="clear"/>
              <w:adjustRightInd w:val="0"/>
              <w:snapToGrid w:val="0"/>
              <w:ind w:firstLine="0" w:firstLineChars="0"/>
              <w:jc w:val="center"/>
              <w:textAlignment w:val="baseline"/>
              <w:rPr>
                <w:color w:val="auto"/>
                <w:kern w:val="0"/>
                <w:highlight w:val="none"/>
              </w:rPr>
            </w:pPr>
            <w:r>
              <w:rPr>
                <w:color w:val="auto"/>
                <w:kern w:val="0"/>
                <w:highlight w:val="none"/>
              </w:rPr>
              <w:t>总过滤面积（m</w:t>
            </w:r>
            <w:r>
              <w:rPr>
                <w:color w:val="auto"/>
                <w:kern w:val="0"/>
                <w:highlight w:val="none"/>
                <w:vertAlign w:val="superscript"/>
              </w:rPr>
              <w:t>2</w:t>
            </w:r>
            <w:r>
              <w:rPr>
                <w:color w:val="auto"/>
                <w:kern w:val="0"/>
                <w:highlight w:val="none"/>
              </w:rPr>
              <w:t>）</w:t>
            </w:r>
          </w:p>
        </w:tc>
        <w:tc>
          <w:tcPr>
            <w:tcW w:w="2975" w:type="dxa"/>
            <w:vAlign w:val="center"/>
          </w:tcPr>
          <w:p w14:paraId="424A7294">
            <w:pPr>
              <w:shd w:val="clear"/>
              <w:adjustRightInd w:val="0"/>
              <w:snapToGrid w:val="0"/>
              <w:ind w:firstLine="0" w:firstLineChars="0"/>
              <w:jc w:val="center"/>
              <w:textAlignment w:val="baseline"/>
              <w:rPr>
                <w:color w:val="auto"/>
                <w:kern w:val="0"/>
                <w:highlight w:val="none"/>
              </w:rPr>
            </w:pPr>
            <w:r>
              <w:rPr>
                <w:rFonts w:hint="eastAsia"/>
                <w:color w:val="auto"/>
                <w:kern w:val="0"/>
                <w:highlight w:val="none"/>
              </w:rPr>
              <w:t>25996</w:t>
            </w:r>
          </w:p>
        </w:tc>
        <w:tc>
          <w:tcPr>
            <w:tcW w:w="1259" w:type="dxa"/>
          </w:tcPr>
          <w:p w14:paraId="33621266">
            <w:pPr>
              <w:shd w:val="clear"/>
              <w:adjustRightInd w:val="0"/>
              <w:snapToGrid w:val="0"/>
              <w:ind w:firstLine="0" w:firstLineChars="0"/>
              <w:jc w:val="center"/>
              <w:textAlignment w:val="baseline"/>
              <w:rPr>
                <w:color w:val="auto"/>
                <w:kern w:val="0"/>
                <w:highlight w:val="none"/>
              </w:rPr>
            </w:pPr>
          </w:p>
        </w:tc>
      </w:tr>
      <w:tr w14:paraId="7A626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709B93F5">
            <w:pPr>
              <w:shd w:val="clear"/>
              <w:adjustRightInd w:val="0"/>
              <w:snapToGrid w:val="0"/>
              <w:ind w:firstLine="0" w:firstLineChars="0"/>
              <w:jc w:val="center"/>
              <w:textAlignment w:val="baseline"/>
              <w:rPr>
                <w:color w:val="auto"/>
                <w:kern w:val="0"/>
                <w:highlight w:val="none"/>
              </w:rPr>
            </w:pPr>
            <w:r>
              <w:rPr>
                <w:color w:val="auto"/>
                <w:kern w:val="0"/>
                <w:highlight w:val="none"/>
              </w:rPr>
              <w:t>9</w:t>
            </w:r>
          </w:p>
        </w:tc>
        <w:tc>
          <w:tcPr>
            <w:tcW w:w="3354" w:type="dxa"/>
            <w:vAlign w:val="center"/>
          </w:tcPr>
          <w:p w14:paraId="12916290">
            <w:pPr>
              <w:shd w:val="clear"/>
              <w:adjustRightInd w:val="0"/>
              <w:snapToGrid w:val="0"/>
              <w:ind w:firstLine="0" w:firstLineChars="0"/>
              <w:jc w:val="center"/>
              <w:textAlignment w:val="baseline"/>
              <w:rPr>
                <w:color w:val="auto"/>
                <w:kern w:val="0"/>
                <w:highlight w:val="none"/>
              </w:rPr>
            </w:pPr>
            <w:r>
              <w:rPr>
                <w:color w:val="auto"/>
                <w:kern w:val="0"/>
                <w:highlight w:val="none"/>
              </w:rPr>
              <w:t>过滤风速（m/min）</w:t>
            </w:r>
          </w:p>
        </w:tc>
        <w:tc>
          <w:tcPr>
            <w:tcW w:w="2975" w:type="dxa"/>
            <w:vAlign w:val="center"/>
          </w:tcPr>
          <w:p w14:paraId="32CCB06C">
            <w:pPr>
              <w:shd w:val="clear"/>
              <w:adjustRightInd w:val="0"/>
              <w:snapToGrid w:val="0"/>
              <w:ind w:firstLine="0" w:firstLineChars="0"/>
              <w:jc w:val="center"/>
              <w:textAlignment w:val="baseline"/>
              <w:rPr>
                <w:color w:val="auto"/>
                <w:kern w:val="0"/>
                <w:highlight w:val="none"/>
              </w:rPr>
            </w:pPr>
            <w:r>
              <w:rPr>
                <w:color w:val="auto"/>
                <w:kern w:val="0"/>
                <w:highlight w:val="none"/>
              </w:rPr>
              <w:t>≤0.77</w:t>
            </w:r>
          </w:p>
        </w:tc>
        <w:tc>
          <w:tcPr>
            <w:tcW w:w="1259" w:type="dxa"/>
          </w:tcPr>
          <w:p w14:paraId="112F4596">
            <w:pPr>
              <w:shd w:val="clear"/>
              <w:adjustRightInd w:val="0"/>
              <w:snapToGrid w:val="0"/>
              <w:ind w:firstLine="0" w:firstLineChars="0"/>
              <w:jc w:val="center"/>
              <w:textAlignment w:val="baseline"/>
              <w:rPr>
                <w:color w:val="auto"/>
                <w:kern w:val="0"/>
                <w:highlight w:val="none"/>
              </w:rPr>
            </w:pPr>
          </w:p>
        </w:tc>
      </w:tr>
      <w:tr w14:paraId="50C6D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10D354AA">
            <w:pPr>
              <w:shd w:val="clear"/>
              <w:adjustRightInd w:val="0"/>
              <w:snapToGrid w:val="0"/>
              <w:ind w:firstLine="0" w:firstLineChars="0"/>
              <w:jc w:val="center"/>
              <w:textAlignment w:val="baseline"/>
              <w:rPr>
                <w:color w:val="auto"/>
                <w:kern w:val="0"/>
                <w:highlight w:val="none"/>
              </w:rPr>
            </w:pPr>
            <w:r>
              <w:rPr>
                <w:color w:val="auto"/>
                <w:kern w:val="0"/>
                <w:highlight w:val="none"/>
              </w:rPr>
              <w:t>10</w:t>
            </w:r>
          </w:p>
        </w:tc>
        <w:tc>
          <w:tcPr>
            <w:tcW w:w="3354" w:type="dxa"/>
            <w:vAlign w:val="center"/>
          </w:tcPr>
          <w:p w14:paraId="4B52B235">
            <w:pPr>
              <w:shd w:val="clear"/>
              <w:adjustRightInd w:val="0"/>
              <w:snapToGrid w:val="0"/>
              <w:ind w:firstLine="0" w:firstLineChars="0"/>
              <w:jc w:val="center"/>
              <w:textAlignment w:val="baseline"/>
              <w:rPr>
                <w:color w:val="auto"/>
                <w:kern w:val="0"/>
                <w:highlight w:val="none"/>
              </w:rPr>
            </w:pPr>
            <w:r>
              <w:rPr>
                <w:rFonts w:hint="eastAsia"/>
                <w:color w:val="auto"/>
                <w:kern w:val="0"/>
                <w:highlight w:val="none"/>
              </w:rPr>
              <w:t>除尘室数</w:t>
            </w:r>
          </w:p>
        </w:tc>
        <w:tc>
          <w:tcPr>
            <w:tcW w:w="2975" w:type="dxa"/>
            <w:vAlign w:val="center"/>
          </w:tcPr>
          <w:p w14:paraId="73396B7A">
            <w:pPr>
              <w:shd w:val="clear"/>
              <w:adjustRightInd w:val="0"/>
              <w:snapToGrid w:val="0"/>
              <w:ind w:firstLine="0" w:firstLineChars="0"/>
              <w:jc w:val="center"/>
              <w:textAlignment w:val="baseline"/>
              <w:rPr>
                <w:color w:val="auto"/>
                <w:kern w:val="0"/>
                <w:highlight w:val="none"/>
              </w:rPr>
            </w:pPr>
            <w:r>
              <w:rPr>
                <w:rFonts w:hint="eastAsia"/>
                <w:color w:val="auto"/>
                <w:kern w:val="0"/>
                <w:highlight w:val="none"/>
              </w:rPr>
              <w:t>28</w:t>
            </w:r>
          </w:p>
        </w:tc>
        <w:tc>
          <w:tcPr>
            <w:tcW w:w="1259" w:type="dxa"/>
          </w:tcPr>
          <w:p w14:paraId="79F5FDB1">
            <w:pPr>
              <w:shd w:val="clear"/>
              <w:adjustRightInd w:val="0"/>
              <w:snapToGrid w:val="0"/>
              <w:ind w:firstLine="0" w:firstLineChars="0"/>
              <w:jc w:val="center"/>
              <w:textAlignment w:val="baseline"/>
              <w:rPr>
                <w:color w:val="auto"/>
                <w:kern w:val="0"/>
                <w:highlight w:val="none"/>
              </w:rPr>
            </w:pPr>
          </w:p>
        </w:tc>
      </w:tr>
      <w:tr w14:paraId="61BFC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19D136F8">
            <w:pPr>
              <w:shd w:val="clear"/>
              <w:adjustRightInd w:val="0"/>
              <w:snapToGrid w:val="0"/>
              <w:ind w:firstLine="0" w:firstLineChars="0"/>
              <w:jc w:val="center"/>
              <w:textAlignment w:val="baseline"/>
              <w:rPr>
                <w:color w:val="auto"/>
                <w:kern w:val="0"/>
                <w:highlight w:val="none"/>
              </w:rPr>
            </w:pPr>
            <w:r>
              <w:rPr>
                <w:color w:val="auto"/>
                <w:kern w:val="0"/>
                <w:highlight w:val="none"/>
              </w:rPr>
              <w:t>11</w:t>
            </w:r>
          </w:p>
        </w:tc>
        <w:tc>
          <w:tcPr>
            <w:tcW w:w="3354" w:type="dxa"/>
            <w:vAlign w:val="center"/>
          </w:tcPr>
          <w:p w14:paraId="339128CB">
            <w:pPr>
              <w:shd w:val="clear"/>
              <w:adjustRightInd w:val="0"/>
              <w:snapToGrid w:val="0"/>
              <w:ind w:firstLine="0" w:firstLineChars="0"/>
              <w:jc w:val="center"/>
              <w:textAlignment w:val="baseline"/>
              <w:rPr>
                <w:color w:val="auto"/>
                <w:kern w:val="0"/>
                <w:highlight w:val="none"/>
              </w:rPr>
            </w:pPr>
            <w:r>
              <w:rPr>
                <w:color w:val="auto"/>
                <w:kern w:val="0"/>
                <w:highlight w:val="none"/>
              </w:rPr>
              <w:t>灰斗数</w:t>
            </w:r>
          </w:p>
        </w:tc>
        <w:tc>
          <w:tcPr>
            <w:tcW w:w="2975" w:type="dxa"/>
            <w:vAlign w:val="center"/>
          </w:tcPr>
          <w:p w14:paraId="119E6910">
            <w:pPr>
              <w:shd w:val="clear"/>
              <w:adjustRightInd w:val="0"/>
              <w:snapToGrid w:val="0"/>
              <w:ind w:firstLine="0" w:firstLineChars="0"/>
              <w:jc w:val="center"/>
              <w:textAlignment w:val="baseline"/>
              <w:rPr>
                <w:color w:val="auto"/>
                <w:kern w:val="0"/>
                <w:highlight w:val="none"/>
              </w:rPr>
            </w:pPr>
            <w:r>
              <w:rPr>
                <w:rFonts w:hint="eastAsia"/>
                <w:color w:val="auto"/>
                <w:kern w:val="0"/>
                <w:highlight w:val="none"/>
              </w:rPr>
              <w:t>14</w:t>
            </w:r>
          </w:p>
        </w:tc>
        <w:tc>
          <w:tcPr>
            <w:tcW w:w="1259" w:type="dxa"/>
          </w:tcPr>
          <w:p w14:paraId="192C93B6">
            <w:pPr>
              <w:shd w:val="clear"/>
              <w:adjustRightInd w:val="0"/>
              <w:snapToGrid w:val="0"/>
              <w:ind w:firstLine="0" w:firstLineChars="0"/>
              <w:jc w:val="center"/>
              <w:textAlignment w:val="baseline"/>
              <w:rPr>
                <w:color w:val="auto"/>
                <w:kern w:val="0"/>
                <w:highlight w:val="none"/>
              </w:rPr>
            </w:pPr>
          </w:p>
        </w:tc>
      </w:tr>
      <w:tr w14:paraId="329A8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0F7EE8E9">
            <w:pPr>
              <w:shd w:val="clear"/>
              <w:adjustRightInd w:val="0"/>
              <w:snapToGrid w:val="0"/>
              <w:ind w:firstLine="0" w:firstLineChars="0"/>
              <w:jc w:val="center"/>
              <w:textAlignment w:val="baseline"/>
              <w:rPr>
                <w:color w:val="auto"/>
                <w:kern w:val="0"/>
                <w:highlight w:val="none"/>
              </w:rPr>
            </w:pPr>
            <w:r>
              <w:rPr>
                <w:color w:val="auto"/>
                <w:kern w:val="0"/>
                <w:highlight w:val="none"/>
              </w:rPr>
              <w:t>12</w:t>
            </w:r>
          </w:p>
        </w:tc>
        <w:tc>
          <w:tcPr>
            <w:tcW w:w="3354" w:type="dxa"/>
            <w:vAlign w:val="center"/>
          </w:tcPr>
          <w:p w14:paraId="3255D88F">
            <w:pPr>
              <w:shd w:val="clear"/>
              <w:adjustRightInd w:val="0"/>
              <w:snapToGrid w:val="0"/>
              <w:ind w:firstLine="0" w:firstLineChars="0"/>
              <w:jc w:val="center"/>
              <w:textAlignment w:val="baseline"/>
              <w:rPr>
                <w:color w:val="auto"/>
                <w:kern w:val="0"/>
                <w:highlight w:val="none"/>
              </w:rPr>
            </w:pPr>
            <w:r>
              <w:rPr>
                <w:color w:val="auto"/>
                <w:kern w:val="0"/>
                <w:highlight w:val="none"/>
              </w:rPr>
              <w:t>布置形式</w:t>
            </w:r>
          </w:p>
        </w:tc>
        <w:tc>
          <w:tcPr>
            <w:tcW w:w="2975" w:type="dxa"/>
            <w:vAlign w:val="center"/>
          </w:tcPr>
          <w:p w14:paraId="1B35BABA">
            <w:pPr>
              <w:shd w:val="clear"/>
              <w:adjustRightInd w:val="0"/>
              <w:snapToGrid w:val="0"/>
              <w:ind w:firstLine="0" w:firstLineChars="0"/>
              <w:jc w:val="center"/>
              <w:textAlignment w:val="baseline"/>
              <w:rPr>
                <w:color w:val="auto"/>
                <w:kern w:val="0"/>
                <w:highlight w:val="none"/>
              </w:rPr>
            </w:pPr>
            <w:r>
              <w:rPr>
                <w:rFonts w:hint="eastAsia"/>
                <w:color w:val="auto"/>
                <w:kern w:val="0"/>
                <w:highlight w:val="none"/>
              </w:rPr>
              <w:t>双</w:t>
            </w:r>
            <w:r>
              <w:rPr>
                <w:color w:val="auto"/>
                <w:kern w:val="0"/>
                <w:highlight w:val="none"/>
              </w:rPr>
              <w:t>排布置</w:t>
            </w:r>
          </w:p>
        </w:tc>
        <w:tc>
          <w:tcPr>
            <w:tcW w:w="1259" w:type="dxa"/>
          </w:tcPr>
          <w:p w14:paraId="2F4B84A3">
            <w:pPr>
              <w:shd w:val="clear"/>
              <w:adjustRightInd w:val="0"/>
              <w:snapToGrid w:val="0"/>
              <w:ind w:firstLine="0" w:firstLineChars="0"/>
              <w:jc w:val="center"/>
              <w:textAlignment w:val="baseline"/>
              <w:rPr>
                <w:color w:val="auto"/>
                <w:kern w:val="0"/>
                <w:highlight w:val="none"/>
              </w:rPr>
            </w:pPr>
          </w:p>
        </w:tc>
      </w:tr>
      <w:tr w14:paraId="6570A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exact"/>
        </w:trPr>
        <w:tc>
          <w:tcPr>
            <w:tcW w:w="660" w:type="dxa"/>
            <w:vAlign w:val="center"/>
          </w:tcPr>
          <w:p w14:paraId="23D0C2CC">
            <w:pPr>
              <w:shd w:val="clear"/>
              <w:adjustRightInd w:val="0"/>
              <w:snapToGrid w:val="0"/>
              <w:ind w:firstLine="0" w:firstLineChars="0"/>
              <w:jc w:val="center"/>
              <w:textAlignment w:val="baseline"/>
              <w:rPr>
                <w:color w:val="auto"/>
                <w:kern w:val="0"/>
                <w:highlight w:val="none"/>
              </w:rPr>
            </w:pPr>
            <w:r>
              <w:rPr>
                <w:color w:val="auto"/>
                <w:kern w:val="0"/>
                <w:highlight w:val="none"/>
              </w:rPr>
              <w:t>13</w:t>
            </w:r>
          </w:p>
        </w:tc>
        <w:tc>
          <w:tcPr>
            <w:tcW w:w="3354" w:type="dxa"/>
            <w:vAlign w:val="center"/>
          </w:tcPr>
          <w:p w14:paraId="7C1E31B5">
            <w:pPr>
              <w:widowControl/>
              <w:shd w:val="clear"/>
              <w:snapToGrid w:val="0"/>
              <w:ind w:firstLine="0" w:firstLineChars="0"/>
              <w:jc w:val="center"/>
              <w:rPr>
                <w:color w:val="auto"/>
                <w:kern w:val="0"/>
                <w:highlight w:val="none"/>
              </w:rPr>
            </w:pPr>
            <w:r>
              <w:rPr>
                <w:color w:val="auto"/>
                <w:kern w:val="0"/>
                <w:highlight w:val="none"/>
              </w:rPr>
              <w:t>滤袋材质</w:t>
            </w:r>
          </w:p>
        </w:tc>
        <w:tc>
          <w:tcPr>
            <w:tcW w:w="2975" w:type="dxa"/>
            <w:vAlign w:val="center"/>
          </w:tcPr>
          <w:p w14:paraId="56CE18E1">
            <w:pPr>
              <w:widowControl/>
              <w:shd w:val="clear"/>
              <w:snapToGrid w:val="0"/>
              <w:spacing w:line="240" w:lineRule="auto"/>
              <w:ind w:firstLine="0" w:firstLineChars="0"/>
              <w:jc w:val="center"/>
              <w:rPr>
                <w:color w:val="auto"/>
                <w:kern w:val="0"/>
                <w:highlight w:val="none"/>
              </w:rPr>
            </w:pPr>
            <w:r>
              <w:rPr>
                <w:color w:val="auto"/>
                <w:kern w:val="0"/>
                <w:highlight w:val="none"/>
              </w:rPr>
              <w:t>覆膜涤纶针刺毡，</w:t>
            </w:r>
            <w:r>
              <w:rPr>
                <w:rFonts w:hint="eastAsia"/>
                <w:color w:val="auto"/>
                <w:kern w:val="0"/>
                <w:highlight w:val="none"/>
              </w:rPr>
              <w:t>PTFE膜层</w:t>
            </w:r>
            <w:r>
              <w:rPr>
                <w:color w:val="auto"/>
                <w:kern w:val="0"/>
                <w:highlight w:val="none"/>
              </w:rPr>
              <w:t>不小于</w:t>
            </w:r>
            <w:r>
              <w:rPr>
                <w:rFonts w:hint="eastAsia"/>
                <w:color w:val="auto"/>
                <w:kern w:val="0"/>
                <w:highlight w:val="none"/>
              </w:rPr>
              <w:t>55</w:t>
            </w:r>
            <w:r>
              <w:rPr>
                <w:color w:val="auto"/>
                <w:kern w:val="0"/>
                <w:highlight w:val="none"/>
              </w:rPr>
              <w:t>0g/m</w:t>
            </w:r>
            <w:r>
              <w:rPr>
                <w:color w:val="auto"/>
                <w:kern w:val="0"/>
                <w:highlight w:val="none"/>
                <w:vertAlign w:val="superscript"/>
              </w:rPr>
              <w:t>2</w:t>
            </w:r>
          </w:p>
        </w:tc>
        <w:tc>
          <w:tcPr>
            <w:tcW w:w="1259" w:type="dxa"/>
          </w:tcPr>
          <w:p w14:paraId="2CC6D1CA">
            <w:pPr>
              <w:widowControl/>
              <w:shd w:val="clear"/>
              <w:snapToGrid w:val="0"/>
              <w:ind w:firstLine="0" w:firstLineChars="0"/>
              <w:jc w:val="center"/>
              <w:rPr>
                <w:color w:val="auto"/>
                <w:kern w:val="0"/>
                <w:highlight w:val="none"/>
              </w:rPr>
            </w:pPr>
          </w:p>
        </w:tc>
      </w:tr>
      <w:tr w14:paraId="61648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exact"/>
        </w:trPr>
        <w:tc>
          <w:tcPr>
            <w:tcW w:w="660" w:type="dxa"/>
            <w:vAlign w:val="center"/>
          </w:tcPr>
          <w:p w14:paraId="00993EF0">
            <w:pPr>
              <w:shd w:val="clear"/>
              <w:adjustRightInd w:val="0"/>
              <w:snapToGrid w:val="0"/>
              <w:ind w:firstLine="0" w:firstLineChars="0"/>
              <w:jc w:val="center"/>
              <w:textAlignment w:val="baseline"/>
              <w:rPr>
                <w:color w:val="auto"/>
                <w:kern w:val="0"/>
                <w:highlight w:val="none"/>
              </w:rPr>
            </w:pPr>
            <w:r>
              <w:rPr>
                <w:color w:val="auto"/>
                <w:kern w:val="0"/>
                <w:highlight w:val="none"/>
              </w:rPr>
              <w:t>14</w:t>
            </w:r>
          </w:p>
        </w:tc>
        <w:tc>
          <w:tcPr>
            <w:tcW w:w="3354" w:type="dxa"/>
            <w:vAlign w:val="center"/>
          </w:tcPr>
          <w:p w14:paraId="228115C0">
            <w:pPr>
              <w:widowControl/>
              <w:shd w:val="clear"/>
              <w:snapToGrid w:val="0"/>
              <w:ind w:firstLine="0" w:firstLineChars="0"/>
              <w:jc w:val="center"/>
              <w:rPr>
                <w:color w:val="auto"/>
                <w:kern w:val="0"/>
                <w:highlight w:val="none"/>
              </w:rPr>
            </w:pPr>
            <w:r>
              <w:rPr>
                <w:color w:val="auto"/>
                <w:kern w:val="0"/>
                <w:highlight w:val="none"/>
              </w:rPr>
              <w:t>滤袋规格</w:t>
            </w:r>
          </w:p>
        </w:tc>
        <w:tc>
          <w:tcPr>
            <w:tcW w:w="2975" w:type="dxa"/>
            <w:vAlign w:val="center"/>
          </w:tcPr>
          <w:p w14:paraId="65FF7AAF">
            <w:pPr>
              <w:shd w:val="clear"/>
              <w:adjustRightInd w:val="0"/>
              <w:snapToGrid w:val="0"/>
              <w:spacing w:line="240" w:lineRule="auto"/>
              <w:ind w:firstLine="0" w:firstLineChars="0"/>
              <w:jc w:val="center"/>
              <w:textAlignment w:val="baseline"/>
              <w:rPr>
                <w:color w:val="auto"/>
                <w:kern w:val="0"/>
                <w:highlight w:val="none"/>
              </w:rPr>
            </w:pPr>
            <w:bookmarkStart w:id="614" w:name="_Hlk143794875"/>
            <w:r>
              <w:rPr>
                <w:color w:val="auto"/>
                <w:kern w:val="0"/>
                <w:highlight w:val="none"/>
              </w:rPr>
              <w:t>160×</w:t>
            </w:r>
            <w:r>
              <w:rPr>
                <w:rFonts w:hint="eastAsia"/>
                <w:color w:val="auto"/>
                <w:kern w:val="0"/>
                <w:highlight w:val="none"/>
              </w:rPr>
              <w:t>6</w:t>
            </w:r>
            <w:r>
              <w:rPr>
                <w:color w:val="auto"/>
                <w:kern w:val="0"/>
                <w:highlight w:val="none"/>
              </w:rPr>
              <w:t>0</w:t>
            </w:r>
            <w:r>
              <w:rPr>
                <w:rFonts w:hint="eastAsia"/>
                <w:color w:val="auto"/>
                <w:kern w:val="0"/>
                <w:highlight w:val="none"/>
              </w:rPr>
              <w:t>0</w:t>
            </w:r>
            <w:r>
              <w:rPr>
                <w:color w:val="auto"/>
                <w:kern w:val="0"/>
                <w:highlight w:val="none"/>
              </w:rPr>
              <w:t>0</w:t>
            </w:r>
            <w:bookmarkEnd w:id="614"/>
            <w:r>
              <w:rPr>
                <w:color w:val="auto"/>
                <w:kern w:val="0"/>
                <w:highlight w:val="none"/>
              </w:rPr>
              <w:t>（</w:t>
            </w:r>
            <w:r>
              <w:rPr>
                <w:rFonts w:hint="eastAsia"/>
                <w:color w:val="auto"/>
                <w:kern w:val="0"/>
                <w:highlight w:val="none"/>
              </w:rPr>
              <w:t>8624</w:t>
            </w:r>
            <w:r>
              <w:rPr>
                <w:color w:val="auto"/>
                <w:kern w:val="0"/>
                <w:highlight w:val="none"/>
              </w:rPr>
              <w:t>条）</w:t>
            </w:r>
          </w:p>
        </w:tc>
        <w:tc>
          <w:tcPr>
            <w:tcW w:w="1259" w:type="dxa"/>
          </w:tcPr>
          <w:p w14:paraId="1F40755B">
            <w:pPr>
              <w:widowControl/>
              <w:shd w:val="clear"/>
              <w:snapToGrid w:val="0"/>
              <w:ind w:firstLine="0" w:firstLineChars="0"/>
              <w:jc w:val="center"/>
              <w:rPr>
                <w:color w:val="auto"/>
                <w:kern w:val="0"/>
                <w:highlight w:val="none"/>
              </w:rPr>
            </w:pPr>
          </w:p>
        </w:tc>
      </w:tr>
      <w:tr w14:paraId="2C4FE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389DEE20">
            <w:pPr>
              <w:shd w:val="clear"/>
              <w:adjustRightInd w:val="0"/>
              <w:snapToGrid w:val="0"/>
              <w:ind w:firstLine="0" w:firstLineChars="0"/>
              <w:jc w:val="center"/>
              <w:textAlignment w:val="baseline"/>
              <w:rPr>
                <w:color w:val="auto"/>
                <w:kern w:val="0"/>
                <w:highlight w:val="none"/>
              </w:rPr>
            </w:pPr>
            <w:r>
              <w:rPr>
                <w:color w:val="auto"/>
                <w:kern w:val="0"/>
                <w:highlight w:val="none"/>
              </w:rPr>
              <w:t>15</w:t>
            </w:r>
          </w:p>
        </w:tc>
        <w:tc>
          <w:tcPr>
            <w:tcW w:w="3354" w:type="dxa"/>
            <w:vAlign w:val="center"/>
          </w:tcPr>
          <w:p w14:paraId="046ACCC5">
            <w:pPr>
              <w:widowControl/>
              <w:shd w:val="clear"/>
              <w:snapToGrid w:val="0"/>
              <w:ind w:firstLine="0" w:firstLineChars="0"/>
              <w:jc w:val="center"/>
              <w:rPr>
                <w:color w:val="auto"/>
                <w:kern w:val="0"/>
                <w:highlight w:val="none"/>
              </w:rPr>
            </w:pPr>
            <w:r>
              <w:rPr>
                <w:rFonts w:hint="eastAsia"/>
                <w:color w:val="auto"/>
                <w:kern w:val="0"/>
                <w:highlight w:val="none"/>
              </w:rPr>
              <w:t>袋笼材质规格</w:t>
            </w:r>
          </w:p>
        </w:tc>
        <w:tc>
          <w:tcPr>
            <w:tcW w:w="2975" w:type="dxa"/>
            <w:vAlign w:val="center"/>
          </w:tcPr>
          <w:p w14:paraId="741700C4">
            <w:pPr>
              <w:widowControl/>
              <w:shd w:val="clear"/>
              <w:snapToGrid w:val="0"/>
              <w:ind w:firstLine="0" w:firstLineChars="0"/>
              <w:jc w:val="center"/>
              <w:rPr>
                <w:color w:val="auto"/>
                <w:kern w:val="0"/>
                <w:highlight w:val="none"/>
              </w:rPr>
            </w:pPr>
            <w:r>
              <w:rPr>
                <w:rFonts w:hint="eastAsia"/>
                <w:color w:val="auto"/>
                <w:kern w:val="0"/>
                <w:highlight w:val="none"/>
              </w:rPr>
              <w:t>碳钢热镀锌，袋笼</w:t>
            </w:r>
          </w:p>
        </w:tc>
        <w:tc>
          <w:tcPr>
            <w:tcW w:w="1259" w:type="dxa"/>
          </w:tcPr>
          <w:p w14:paraId="70C4E289">
            <w:pPr>
              <w:widowControl/>
              <w:shd w:val="clear"/>
              <w:snapToGrid w:val="0"/>
              <w:ind w:firstLine="0" w:firstLineChars="0"/>
              <w:jc w:val="center"/>
              <w:rPr>
                <w:color w:val="auto"/>
                <w:kern w:val="0"/>
                <w:highlight w:val="none"/>
              </w:rPr>
            </w:pPr>
          </w:p>
        </w:tc>
      </w:tr>
      <w:tr w14:paraId="6B5CB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4D32857C">
            <w:pPr>
              <w:shd w:val="clear"/>
              <w:adjustRightInd w:val="0"/>
              <w:snapToGrid w:val="0"/>
              <w:ind w:firstLine="0" w:firstLineChars="0"/>
              <w:jc w:val="center"/>
              <w:textAlignment w:val="baseline"/>
              <w:rPr>
                <w:color w:val="auto"/>
                <w:kern w:val="0"/>
                <w:highlight w:val="none"/>
              </w:rPr>
            </w:pPr>
            <w:r>
              <w:rPr>
                <w:color w:val="auto"/>
                <w:kern w:val="0"/>
                <w:highlight w:val="none"/>
              </w:rPr>
              <w:t>16</w:t>
            </w:r>
          </w:p>
        </w:tc>
        <w:tc>
          <w:tcPr>
            <w:tcW w:w="3354" w:type="dxa"/>
            <w:vAlign w:val="center"/>
          </w:tcPr>
          <w:p w14:paraId="653B3566">
            <w:pPr>
              <w:shd w:val="clear"/>
              <w:adjustRightInd w:val="0"/>
              <w:snapToGrid w:val="0"/>
              <w:ind w:firstLine="0" w:firstLineChars="0"/>
              <w:jc w:val="center"/>
              <w:textAlignment w:val="baseline"/>
              <w:rPr>
                <w:color w:val="auto"/>
                <w:kern w:val="0"/>
                <w:highlight w:val="none"/>
              </w:rPr>
            </w:pPr>
            <w:r>
              <w:rPr>
                <w:color w:val="auto"/>
                <w:kern w:val="0"/>
                <w:highlight w:val="none"/>
              </w:rPr>
              <w:t>脉冲阀</w:t>
            </w:r>
          </w:p>
        </w:tc>
        <w:tc>
          <w:tcPr>
            <w:tcW w:w="2975" w:type="dxa"/>
            <w:vAlign w:val="center"/>
          </w:tcPr>
          <w:p w14:paraId="60B42BFA">
            <w:pPr>
              <w:shd w:val="clear"/>
              <w:snapToGrid w:val="0"/>
              <w:ind w:firstLine="0" w:firstLineChars="0"/>
              <w:jc w:val="center"/>
              <w:rPr>
                <w:color w:val="auto"/>
                <w:kern w:val="0"/>
                <w:highlight w:val="none"/>
              </w:rPr>
            </w:pPr>
            <w:r>
              <w:rPr>
                <w:color w:val="auto"/>
                <w:kern w:val="0"/>
                <w:highlight w:val="none"/>
              </w:rPr>
              <w:t>淹没阀</w:t>
            </w:r>
            <w:r>
              <w:rPr>
                <w:rFonts w:hint="eastAsia"/>
                <w:color w:val="auto"/>
                <w:kern w:val="0"/>
                <w:highlight w:val="none"/>
              </w:rPr>
              <w:t>4</w:t>
            </w:r>
            <w:r>
              <w:rPr>
                <w:color w:val="auto"/>
                <w:kern w:val="0"/>
                <w:highlight w:val="none"/>
              </w:rPr>
              <w:t>寸（</w:t>
            </w:r>
            <w:r>
              <w:rPr>
                <w:rFonts w:hint="eastAsia"/>
                <w:color w:val="auto"/>
                <w:kern w:val="0"/>
                <w:highlight w:val="none"/>
              </w:rPr>
              <w:t>392</w:t>
            </w:r>
            <w:r>
              <w:rPr>
                <w:color w:val="auto"/>
                <w:kern w:val="0"/>
                <w:highlight w:val="none"/>
              </w:rPr>
              <w:t>个）</w:t>
            </w:r>
          </w:p>
        </w:tc>
        <w:tc>
          <w:tcPr>
            <w:tcW w:w="1259" w:type="dxa"/>
          </w:tcPr>
          <w:p w14:paraId="14E62567">
            <w:pPr>
              <w:shd w:val="clear"/>
              <w:adjustRightInd w:val="0"/>
              <w:snapToGrid w:val="0"/>
              <w:ind w:firstLine="0" w:firstLineChars="0"/>
              <w:jc w:val="center"/>
              <w:textAlignment w:val="baseline"/>
              <w:rPr>
                <w:color w:val="auto"/>
                <w:kern w:val="0"/>
                <w:highlight w:val="none"/>
              </w:rPr>
            </w:pPr>
          </w:p>
        </w:tc>
      </w:tr>
      <w:tr w14:paraId="11296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501ABE71">
            <w:pPr>
              <w:shd w:val="clear"/>
              <w:adjustRightInd w:val="0"/>
              <w:snapToGrid w:val="0"/>
              <w:ind w:firstLine="0" w:firstLineChars="0"/>
              <w:jc w:val="center"/>
              <w:textAlignment w:val="baseline"/>
              <w:rPr>
                <w:color w:val="auto"/>
                <w:kern w:val="0"/>
                <w:highlight w:val="none"/>
              </w:rPr>
            </w:pPr>
            <w:r>
              <w:rPr>
                <w:color w:val="auto"/>
                <w:kern w:val="0"/>
                <w:highlight w:val="none"/>
              </w:rPr>
              <w:t>17</w:t>
            </w:r>
          </w:p>
        </w:tc>
        <w:tc>
          <w:tcPr>
            <w:tcW w:w="3354" w:type="dxa"/>
            <w:vAlign w:val="center"/>
          </w:tcPr>
          <w:p w14:paraId="13775D24">
            <w:pPr>
              <w:shd w:val="clear"/>
              <w:adjustRightInd w:val="0"/>
              <w:snapToGrid w:val="0"/>
              <w:ind w:firstLine="0" w:firstLineChars="0"/>
              <w:jc w:val="center"/>
              <w:textAlignment w:val="baseline"/>
              <w:rPr>
                <w:color w:val="auto"/>
                <w:kern w:val="0"/>
                <w:highlight w:val="none"/>
              </w:rPr>
            </w:pPr>
            <w:r>
              <w:rPr>
                <w:color w:val="auto"/>
                <w:kern w:val="0"/>
                <w:highlight w:val="none"/>
              </w:rPr>
              <w:t>检修方式</w:t>
            </w:r>
          </w:p>
        </w:tc>
        <w:tc>
          <w:tcPr>
            <w:tcW w:w="2975" w:type="dxa"/>
            <w:vAlign w:val="center"/>
          </w:tcPr>
          <w:p w14:paraId="65A53BCE">
            <w:pPr>
              <w:shd w:val="clear"/>
              <w:snapToGrid w:val="0"/>
              <w:ind w:firstLine="0" w:firstLineChars="0"/>
              <w:jc w:val="center"/>
              <w:rPr>
                <w:color w:val="auto"/>
                <w:kern w:val="0"/>
                <w:highlight w:val="none"/>
              </w:rPr>
            </w:pPr>
            <w:r>
              <w:rPr>
                <w:color w:val="auto"/>
                <w:kern w:val="0"/>
                <w:highlight w:val="none"/>
              </w:rPr>
              <w:t>在线检修</w:t>
            </w:r>
          </w:p>
        </w:tc>
        <w:tc>
          <w:tcPr>
            <w:tcW w:w="1259" w:type="dxa"/>
          </w:tcPr>
          <w:p w14:paraId="4CABCFB3">
            <w:pPr>
              <w:shd w:val="clear"/>
              <w:snapToGrid w:val="0"/>
              <w:ind w:firstLine="0" w:firstLineChars="0"/>
              <w:jc w:val="center"/>
              <w:rPr>
                <w:color w:val="auto"/>
                <w:kern w:val="0"/>
                <w:highlight w:val="none"/>
              </w:rPr>
            </w:pPr>
          </w:p>
        </w:tc>
      </w:tr>
      <w:tr w14:paraId="1696E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2076D82D">
            <w:pPr>
              <w:shd w:val="clear"/>
              <w:adjustRightInd w:val="0"/>
              <w:snapToGrid w:val="0"/>
              <w:ind w:firstLine="0" w:firstLineChars="0"/>
              <w:jc w:val="center"/>
              <w:textAlignment w:val="baseline"/>
              <w:rPr>
                <w:color w:val="auto"/>
                <w:kern w:val="0"/>
                <w:highlight w:val="none"/>
              </w:rPr>
            </w:pPr>
            <w:r>
              <w:rPr>
                <w:color w:val="auto"/>
                <w:kern w:val="0"/>
                <w:highlight w:val="none"/>
              </w:rPr>
              <w:t>18</w:t>
            </w:r>
          </w:p>
        </w:tc>
        <w:tc>
          <w:tcPr>
            <w:tcW w:w="3354" w:type="dxa"/>
            <w:vAlign w:val="center"/>
          </w:tcPr>
          <w:p w14:paraId="3584FA89">
            <w:pPr>
              <w:shd w:val="clear"/>
              <w:adjustRightInd w:val="0"/>
              <w:snapToGrid w:val="0"/>
              <w:ind w:firstLine="0" w:firstLineChars="0"/>
              <w:jc w:val="center"/>
              <w:textAlignment w:val="baseline"/>
              <w:rPr>
                <w:color w:val="auto"/>
                <w:kern w:val="0"/>
                <w:highlight w:val="none"/>
              </w:rPr>
            </w:pPr>
            <w:r>
              <w:rPr>
                <w:color w:val="auto"/>
                <w:kern w:val="0"/>
                <w:highlight w:val="none"/>
              </w:rPr>
              <w:t>收尘器漏风率</w:t>
            </w:r>
          </w:p>
        </w:tc>
        <w:tc>
          <w:tcPr>
            <w:tcW w:w="2975" w:type="dxa"/>
            <w:vAlign w:val="center"/>
          </w:tcPr>
          <w:p w14:paraId="12A231A5">
            <w:pPr>
              <w:shd w:val="clear"/>
              <w:snapToGrid w:val="0"/>
              <w:ind w:firstLine="0" w:firstLineChars="0"/>
              <w:jc w:val="center"/>
              <w:rPr>
                <w:color w:val="auto"/>
                <w:kern w:val="0"/>
                <w:highlight w:val="none"/>
              </w:rPr>
            </w:pPr>
            <w:r>
              <w:rPr>
                <w:color w:val="auto"/>
                <w:kern w:val="0"/>
                <w:highlight w:val="none"/>
              </w:rPr>
              <w:t>≤2%</w:t>
            </w:r>
          </w:p>
        </w:tc>
        <w:tc>
          <w:tcPr>
            <w:tcW w:w="1259" w:type="dxa"/>
          </w:tcPr>
          <w:p w14:paraId="276B3B32">
            <w:pPr>
              <w:shd w:val="clear"/>
              <w:snapToGrid w:val="0"/>
              <w:ind w:firstLine="0" w:firstLineChars="0"/>
              <w:jc w:val="center"/>
              <w:rPr>
                <w:color w:val="auto"/>
                <w:kern w:val="0"/>
                <w:highlight w:val="none"/>
              </w:rPr>
            </w:pPr>
          </w:p>
        </w:tc>
      </w:tr>
      <w:tr w14:paraId="00DFA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6ED273D5">
            <w:pPr>
              <w:shd w:val="clear"/>
              <w:adjustRightInd w:val="0"/>
              <w:snapToGrid w:val="0"/>
              <w:ind w:firstLine="0" w:firstLineChars="0"/>
              <w:jc w:val="center"/>
              <w:textAlignment w:val="baseline"/>
              <w:rPr>
                <w:color w:val="auto"/>
                <w:kern w:val="0"/>
                <w:highlight w:val="none"/>
              </w:rPr>
            </w:pPr>
            <w:r>
              <w:rPr>
                <w:color w:val="auto"/>
                <w:kern w:val="0"/>
                <w:highlight w:val="none"/>
              </w:rPr>
              <w:t>19</w:t>
            </w:r>
          </w:p>
        </w:tc>
        <w:tc>
          <w:tcPr>
            <w:tcW w:w="3354" w:type="dxa"/>
            <w:vAlign w:val="center"/>
          </w:tcPr>
          <w:p w14:paraId="00B4932F">
            <w:pPr>
              <w:shd w:val="clear"/>
              <w:adjustRightInd w:val="0"/>
              <w:snapToGrid w:val="0"/>
              <w:ind w:firstLine="0" w:firstLineChars="0"/>
              <w:jc w:val="center"/>
              <w:textAlignment w:val="baseline"/>
              <w:rPr>
                <w:color w:val="auto"/>
                <w:kern w:val="0"/>
                <w:highlight w:val="none"/>
              </w:rPr>
            </w:pPr>
            <w:r>
              <w:rPr>
                <w:color w:val="auto"/>
                <w:kern w:val="0"/>
                <w:highlight w:val="none"/>
              </w:rPr>
              <w:t>收尘器阻力（Pa）</w:t>
            </w:r>
          </w:p>
        </w:tc>
        <w:tc>
          <w:tcPr>
            <w:tcW w:w="2975" w:type="dxa"/>
            <w:vAlign w:val="center"/>
          </w:tcPr>
          <w:p w14:paraId="7F6FC41F">
            <w:pPr>
              <w:shd w:val="clear"/>
              <w:adjustRightInd w:val="0"/>
              <w:snapToGrid w:val="0"/>
              <w:ind w:firstLine="0" w:firstLineChars="0"/>
              <w:jc w:val="center"/>
              <w:textAlignment w:val="baseline"/>
              <w:rPr>
                <w:color w:val="auto"/>
                <w:kern w:val="0"/>
                <w:highlight w:val="none"/>
              </w:rPr>
            </w:pPr>
            <w:r>
              <w:rPr>
                <w:color w:val="auto"/>
                <w:kern w:val="0"/>
                <w:highlight w:val="none"/>
              </w:rPr>
              <w:t>≤1200</w:t>
            </w:r>
          </w:p>
        </w:tc>
        <w:tc>
          <w:tcPr>
            <w:tcW w:w="1259" w:type="dxa"/>
          </w:tcPr>
          <w:p w14:paraId="5E26CEF1">
            <w:pPr>
              <w:shd w:val="clear"/>
              <w:adjustRightInd w:val="0"/>
              <w:snapToGrid w:val="0"/>
              <w:ind w:firstLine="0" w:firstLineChars="0"/>
              <w:jc w:val="center"/>
              <w:textAlignment w:val="baseline"/>
              <w:rPr>
                <w:color w:val="auto"/>
                <w:kern w:val="0"/>
                <w:highlight w:val="none"/>
              </w:rPr>
            </w:pPr>
          </w:p>
        </w:tc>
      </w:tr>
      <w:tr w14:paraId="0EEB0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31B9C0A8">
            <w:pPr>
              <w:shd w:val="clear"/>
              <w:adjustRightInd w:val="0"/>
              <w:snapToGrid w:val="0"/>
              <w:ind w:firstLine="0" w:firstLineChars="0"/>
              <w:jc w:val="center"/>
              <w:textAlignment w:val="baseline"/>
              <w:rPr>
                <w:color w:val="auto"/>
                <w:kern w:val="0"/>
                <w:highlight w:val="none"/>
              </w:rPr>
            </w:pPr>
            <w:r>
              <w:rPr>
                <w:color w:val="auto"/>
                <w:kern w:val="0"/>
                <w:highlight w:val="none"/>
              </w:rPr>
              <w:t>20</w:t>
            </w:r>
          </w:p>
        </w:tc>
        <w:tc>
          <w:tcPr>
            <w:tcW w:w="3354" w:type="dxa"/>
            <w:vAlign w:val="center"/>
          </w:tcPr>
          <w:p w14:paraId="6CDDE639">
            <w:pPr>
              <w:shd w:val="clear"/>
              <w:adjustRightInd w:val="0"/>
              <w:snapToGrid w:val="0"/>
              <w:ind w:firstLine="0" w:firstLineChars="0"/>
              <w:jc w:val="center"/>
              <w:textAlignment w:val="baseline"/>
              <w:rPr>
                <w:color w:val="auto"/>
                <w:kern w:val="0"/>
                <w:highlight w:val="none"/>
              </w:rPr>
            </w:pPr>
            <w:r>
              <w:rPr>
                <w:color w:val="auto"/>
                <w:kern w:val="0"/>
                <w:highlight w:val="none"/>
              </w:rPr>
              <w:t>除尘器耐压等级</w:t>
            </w:r>
          </w:p>
        </w:tc>
        <w:tc>
          <w:tcPr>
            <w:tcW w:w="2975" w:type="dxa"/>
            <w:vAlign w:val="center"/>
          </w:tcPr>
          <w:p w14:paraId="29C57D99">
            <w:pPr>
              <w:shd w:val="clear"/>
              <w:adjustRightInd w:val="0"/>
              <w:snapToGrid w:val="0"/>
              <w:ind w:firstLine="0" w:firstLineChars="0"/>
              <w:jc w:val="center"/>
              <w:textAlignment w:val="baseline"/>
              <w:rPr>
                <w:color w:val="auto"/>
                <w:kern w:val="0"/>
                <w:highlight w:val="none"/>
              </w:rPr>
            </w:pPr>
            <w:r>
              <w:rPr>
                <w:color w:val="auto"/>
                <w:kern w:val="0"/>
                <w:highlight w:val="none"/>
              </w:rPr>
              <w:t>设计负压-</w:t>
            </w:r>
            <w:r>
              <w:rPr>
                <w:rFonts w:hint="eastAsia"/>
                <w:color w:val="auto"/>
                <w:kern w:val="0"/>
                <w:highlight w:val="none"/>
              </w:rPr>
              <w:t>8</w:t>
            </w:r>
            <w:r>
              <w:rPr>
                <w:color w:val="auto"/>
                <w:kern w:val="0"/>
                <w:highlight w:val="none"/>
              </w:rPr>
              <w:t>kPa</w:t>
            </w:r>
          </w:p>
        </w:tc>
        <w:tc>
          <w:tcPr>
            <w:tcW w:w="1259" w:type="dxa"/>
          </w:tcPr>
          <w:p w14:paraId="2F3010B7">
            <w:pPr>
              <w:shd w:val="clear"/>
              <w:adjustRightInd w:val="0"/>
              <w:snapToGrid w:val="0"/>
              <w:ind w:firstLine="0" w:firstLineChars="0"/>
              <w:jc w:val="center"/>
              <w:textAlignment w:val="baseline"/>
              <w:rPr>
                <w:color w:val="auto"/>
                <w:kern w:val="0"/>
                <w:highlight w:val="none"/>
              </w:rPr>
            </w:pPr>
          </w:p>
        </w:tc>
      </w:tr>
      <w:tr w14:paraId="27DB6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02B5273E">
            <w:pPr>
              <w:shd w:val="clear"/>
              <w:adjustRightInd w:val="0"/>
              <w:snapToGrid w:val="0"/>
              <w:ind w:firstLine="0" w:firstLineChars="0"/>
              <w:jc w:val="center"/>
              <w:textAlignment w:val="baseline"/>
              <w:rPr>
                <w:color w:val="auto"/>
                <w:kern w:val="0"/>
                <w:highlight w:val="none"/>
              </w:rPr>
            </w:pPr>
            <w:r>
              <w:rPr>
                <w:color w:val="auto"/>
                <w:kern w:val="0"/>
                <w:highlight w:val="none"/>
              </w:rPr>
              <w:t>21</w:t>
            </w:r>
          </w:p>
        </w:tc>
        <w:tc>
          <w:tcPr>
            <w:tcW w:w="3354" w:type="dxa"/>
            <w:vAlign w:val="center"/>
          </w:tcPr>
          <w:p w14:paraId="6144B5B3">
            <w:pPr>
              <w:shd w:val="clear"/>
              <w:adjustRightInd w:val="0"/>
              <w:snapToGrid w:val="0"/>
              <w:ind w:firstLine="0" w:firstLineChars="0"/>
              <w:jc w:val="center"/>
              <w:textAlignment w:val="baseline"/>
              <w:rPr>
                <w:color w:val="auto"/>
                <w:kern w:val="0"/>
                <w:highlight w:val="none"/>
              </w:rPr>
            </w:pPr>
            <w:r>
              <w:rPr>
                <w:color w:val="auto"/>
                <w:kern w:val="0"/>
                <w:highlight w:val="none"/>
              </w:rPr>
              <w:t>清灰方式</w:t>
            </w:r>
          </w:p>
        </w:tc>
        <w:tc>
          <w:tcPr>
            <w:tcW w:w="2975" w:type="dxa"/>
            <w:vAlign w:val="center"/>
          </w:tcPr>
          <w:p w14:paraId="53F3A219">
            <w:pPr>
              <w:shd w:val="clear"/>
              <w:adjustRightInd w:val="0"/>
              <w:snapToGrid w:val="0"/>
              <w:ind w:firstLine="0" w:firstLineChars="0"/>
              <w:jc w:val="center"/>
              <w:textAlignment w:val="baseline"/>
              <w:rPr>
                <w:color w:val="auto"/>
                <w:kern w:val="0"/>
                <w:highlight w:val="none"/>
              </w:rPr>
            </w:pPr>
            <w:r>
              <w:rPr>
                <w:color w:val="auto"/>
                <w:kern w:val="0"/>
                <w:highlight w:val="none"/>
              </w:rPr>
              <w:t>离线清灰</w:t>
            </w:r>
          </w:p>
        </w:tc>
        <w:tc>
          <w:tcPr>
            <w:tcW w:w="1259" w:type="dxa"/>
          </w:tcPr>
          <w:p w14:paraId="2832BBD8">
            <w:pPr>
              <w:shd w:val="clear"/>
              <w:adjustRightInd w:val="0"/>
              <w:snapToGrid w:val="0"/>
              <w:ind w:firstLine="0" w:firstLineChars="0"/>
              <w:jc w:val="center"/>
              <w:textAlignment w:val="baseline"/>
              <w:rPr>
                <w:color w:val="auto"/>
                <w:kern w:val="0"/>
                <w:highlight w:val="none"/>
              </w:rPr>
            </w:pPr>
          </w:p>
        </w:tc>
      </w:tr>
      <w:tr w14:paraId="3233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26DB6FA1">
            <w:pPr>
              <w:shd w:val="clear"/>
              <w:adjustRightInd w:val="0"/>
              <w:snapToGrid w:val="0"/>
              <w:ind w:firstLine="0" w:firstLineChars="0"/>
              <w:jc w:val="center"/>
              <w:textAlignment w:val="baseline"/>
              <w:rPr>
                <w:color w:val="auto"/>
                <w:kern w:val="0"/>
                <w:highlight w:val="none"/>
              </w:rPr>
            </w:pPr>
            <w:r>
              <w:rPr>
                <w:color w:val="auto"/>
                <w:kern w:val="0"/>
                <w:highlight w:val="none"/>
              </w:rPr>
              <w:t>22</w:t>
            </w:r>
          </w:p>
        </w:tc>
        <w:tc>
          <w:tcPr>
            <w:tcW w:w="3354" w:type="dxa"/>
            <w:vAlign w:val="center"/>
          </w:tcPr>
          <w:p w14:paraId="7BE6D028">
            <w:pPr>
              <w:shd w:val="clear"/>
              <w:adjustRightInd w:val="0"/>
              <w:snapToGrid w:val="0"/>
              <w:ind w:firstLine="0" w:firstLineChars="0"/>
              <w:jc w:val="center"/>
              <w:textAlignment w:val="baseline"/>
              <w:rPr>
                <w:color w:val="auto"/>
                <w:kern w:val="0"/>
                <w:highlight w:val="none"/>
              </w:rPr>
            </w:pPr>
            <w:r>
              <w:rPr>
                <w:color w:val="auto"/>
                <w:kern w:val="0"/>
                <w:highlight w:val="none"/>
              </w:rPr>
              <w:t>喷吹气源</w:t>
            </w:r>
          </w:p>
        </w:tc>
        <w:tc>
          <w:tcPr>
            <w:tcW w:w="2975" w:type="dxa"/>
            <w:vAlign w:val="center"/>
          </w:tcPr>
          <w:p w14:paraId="21A9B7C6">
            <w:pPr>
              <w:shd w:val="clear"/>
              <w:adjustRightInd w:val="0"/>
              <w:snapToGrid w:val="0"/>
              <w:ind w:firstLine="0" w:firstLineChars="0"/>
              <w:jc w:val="center"/>
              <w:textAlignment w:val="baseline"/>
              <w:rPr>
                <w:color w:val="auto"/>
                <w:kern w:val="0"/>
                <w:highlight w:val="none"/>
              </w:rPr>
            </w:pPr>
            <w:r>
              <w:rPr>
                <w:color w:val="auto"/>
                <w:kern w:val="0"/>
                <w:highlight w:val="none"/>
              </w:rPr>
              <w:t>压缩空气</w:t>
            </w:r>
          </w:p>
        </w:tc>
        <w:tc>
          <w:tcPr>
            <w:tcW w:w="1259" w:type="dxa"/>
          </w:tcPr>
          <w:p w14:paraId="73CBEA83">
            <w:pPr>
              <w:shd w:val="clear"/>
              <w:adjustRightInd w:val="0"/>
              <w:snapToGrid w:val="0"/>
              <w:ind w:firstLine="0" w:firstLineChars="0"/>
              <w:jc w:val="center"/>
              <w:textAlignment w:val="baseline"/>
              <w:rPr>
                <w:color w:val="auto"/>
                <w:kern w:val="0"/>
                <w:highlight w:val="none"/>
              </w:rPr>
            </w:pPr>
          </w:p>
        </w:tc>
      </w:tr>
      <w:tr w14:paraId="5E6FB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60C38E20">
            <w:pPr>
              <w:shd w:val="clear"/>
              <w:adjustRightInd w:val="0"/>
              <w:snapToGrid w:val="0"/>
              <w:ind w:firstLine="0" w:firstLineChars="0"/>
              <w:jc w:val="center"/>
              <w:textAlignment w:val="baseline"/>
              <w:rPr>
                <w:color w:val="auto"/>
                <w:kern w:val="0"/>
                <w:highlight w:val="none"/>
              </w:rPr>
            </w:pPr>
            <w:r>
              <w:rPr>
                <w:color w:val="auto"/>
                <w:kern w:val="0"/>
                <w:highlight w:val="none"/>
              </w:rPr>
              <w:t>23</w:t>
            </w:r>
          </w:p>
        </w:tc>
        <w:tc>
          <w:tcPr>
            <w:tcW w:w="3354" w:type="dxa"/>
            <w:vAlign w:val="center"/>
          </w:tcPr>
          <w:p w14:paraId="11990250">
            <w:pPr>
              <w:shd w:val="clear"/>
              <w:adjustRightInd w:val="0"/>
              <w:snapToGrid w:val="0"/>
              <w:ind w:firstLine="0" w:firstLineChars="0"/>
              <w:jc w:val="center"/>
              <w:textAlignment w:val="baseline"/>
              <w:rPr>
                <w:color w:val="auto"/>
                <w:kern w:val="0"/>
                <w:highlight w:val="none"/>
              </w:rPr>
            </w:pPr>
            <w:r>
              <w:rPr>
                <w:color w:val="auto"/>
                <w:kern w:val="0"/>
                <w:highlight w:val="none"/>
              </w:rPr>
              <w:t>喷吹压力（MPa）</w:t>
            </w:r>
          </w:p>
        </w:tc>
        <w:tc>
          <w:tcPr>
            <w:tcW w:w="2975" w:type="dxa"/>
            <w:vAlign w:val="center"/>
          </w:tcPr>
          <w:p w14:paraId="7662CD72">
            <w:pPr>
              <w:shd w:val="clear"/>
              <w:adjustRightInd w:val="0"/>
              <w:snapToGrid w:val="0"/>
              <w:ind w:firstLine="0" w:firstLineChars="0"/>
              <w:jc w:val="center"/>
              <w:textAlignment w:val="baseline"/>
              <w:rPr>
                <w:color w:val="auto"/>
                <w:kern w:val="0"/>
                <w:highlight w:val="none"/>
              </w:rPr>
            </w:pPr>
            <w:r>
              <w:rPr>
                <w:color w:val="auto"/>
                <w:kern w:val="0"/>
                <w:highlight w:val="none"/>
              </w:rPr>
              <w:t>0.4-0.6</w:t>
            </w:r>
          </w:p>
        </w:tc>
        <w:tc>
          <w:tcPr>
            <w:tcW w:w="1259" w:type="dxa"/>
          </w:tcPr>
          <w:p w14:paraId="1BE5CD32">
            <w:pPr>
              <w:shd w:val="clear"/>
              <w:adjustRightInd w:val="0"/>
              <w:snapToGrid w:val="0"/>
              <w:ind w:firstLine="0" w:firstLineChars="0"/>
              <w:jc w:val="center"/>
              <w:textAlignment w:val="baseline"/>
              <w:rPr>
                <w:color w:val="auto"/>
                <w:kern w:val="0"/>
                <w:highlight w:val="none"/>
              </w:rPr>
            </w:pPr>
          </w:p>
        </w:tc>
      </w:tr>
      <w:tr w14:paraId="2FBFD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3323F041">
            <w:pPr>
              <w:shd w:val="clear"/>
              <w:adjustRightInd w:val="0"/>
              <w:snapToGrid w:val="0"/>
              <w:ind w:firstLine="0" w:firstLineChars="0"/>
              <w:jc w:val="center"/>
              <w:textAlignment w:val="baseline"/>
              <w:rPr>
                <w:color w:val="auto"/>
                <w:kern w:val="0"/>
                <w:highlight w:val="none"/>
              </w:rPr>
            </w:pPr>
            <w:r>
              <w:rPr>
                <w:color w:val="auto"/>
                <w:kern w:val="0"/>
                <w:highlight w:val="none"/>
              </w:rPr>
              <w:t>2</w:t>
            </w:r>
            <w:r>
              <w:rPr>
                <w:rFonts w:hint="eastAsia"/>
                <w:color w:val="auto"/>
                <w:kern w:val="0"/>
                <w:highlight w:val="none"/>
              </w:rPr>
              <w:t>4</w:t>
            </w:r>
          </w:p>
        </w:tc>
        <w:tc>
          <w:tcPr>
            <w:tcW w:w="3354" w:type="dxa"/>
            <w:vAlign w:val="center"/>
          </w:tcPr>
          <w:p w14:paraId="5DFF5E58">
            <w:pPr>
              <w:shd w:val="clear"/>
              <w:adjustRightInd w:val="0"/>
              <w:snapToGrid w:val="0"/>
              <w:ind w:firstLine="0" w:firstLineChars="0"/>
              <w:jc w:val="center"/>
              <w:textAlignment w:val="baseline"/>
              <w:rPr>
                <w:color w:val="auto"/>
                <w:kern w:val="0"/>
                <w:highlight w:val="none"/>
              </w:rPr>
            </w:pPr>
            <w:r>
              <w:rPr>
                <w:color w:val="auto"/>
                <w:kern w:val="0"/>
                <w:highlight w:val="none"/>
              </w:rPr>
              <w:t>卸灰口尺寸</w:t>
            </w:r>
          </w:p>
        </w:tc>
        <w:tc>
          <w:tcPr>
            <w:tcW w:w="2975" w:type="dxa"/>
            <w:vAlign w:val="center"/>
          </w:tcPr>
          <w:p w14:paraId="1022F0A3">
            <w:pPr>
              <w:shd w:val="clear"/>
              <w:adjustRightInd w:val="0"/>
              <w:snapToGrid w:val="0"/>
              <w:ind w:firstLine="0" w:firstLineChars="0"/>
              <w:jc w:val="center"/>
              <w:textAlignment w:val="baseline"/>
              <w:rPr>
                <w:color w:val="auto"/>
                <w:kern w:val="0"/>
                <w:highlight w:val="none"/>
              </w:rPr>
            </w:pPr>
            <w:r>
              <w:rPr>
                <w:rFonts w:hint="eastAsia"/>
                <w:color w:val="auto"/>
                <w:kern w:val="0"/>
                <w:highlight w:val="none"/>
              </w:rPr>
              <w:t>DN300</w:t>
            </w:r>
          </w:p>
        </w:tc>
        <w:tc>
          <w:tcPr>
            <w:tcW w:w="1259" w:type="dxa"/>
          </w:tcPr>
          <w:p w14:paraId="5C472CD1">
            <w:pPr>
              <w:shd w:val="clear"/>
              <w:adjustRightInd w:val="0"/>
              <w:snapToGrid w:val="0"/>
              <w:ind w:firstLine="0" w:firstLineChars="0"/>
              <w:jc w:val="center"/>
              <w:textAlignment w:val="baseline"/>
              <w:rPr>
                <w:color w:val="auto"/>
                <w:kern w:val="0"/>
                <w:highlight w:val="none"/>
              </w:rPr>
            </w:pPr>
          </w:p>
        </w:tc>
      </w:tr>
      <w:tr w14:paraId="474C2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52C9C47B">
            <w:pPr>
              <w:shd w:val="clear"/>
              <w:adjustRightInd w:val="0"/>
              <w:snapToGrid w:val="0"/>
              <w:ind w:firstLine="0" w:firstLineChars="0"/>
              <w:jc w:val="center"/>
              <w:textAlignment w:val="baseline"/>
              <w:rPr>
                <w:color w:val="auto"/>
                <w:kern w:val="0"/>
                <w:highlight w:val="none"/>
              </w:rPr>
            </w:pPr>
            <w:r>
              <w:rPr>
                <w:rFonts w:hint="eastAsia"/>
                <w:color w:val="auto"/>
                <w:kern w:val="0"/>
                <w:highlight w:val="none"/>
              </w:rPr>
              <w:t>25</w:t>
            </w:r>
          </w:p>
        </w:tc>
        <w:tc>
          <w:tcPr>
            <w:tcW w:w="3354" w:type="dxa"/>
            <w:vAlign w:val="center"/>
          </w:tcPr>
          <w:p w14:paraId="3863F4EC">
            <w:pPr>
              <w:shd w:val="clear"/>
              <w:adjustRightInd w:val="0"/>
              <w:snapToGrid w:val="0"/>
              <w:ind w:firstLine="0" w:firstLineChars="0"/>
              <w:jc w:val="center"/>
              <w:textAlignment w:val="baseline"/>
              <w:rPr>
                <w:color w:val="auto"/>
                <w:kern w:val="0"/>
                <w:highlight w:val="none"/>
              </w:rPr>
            </w:pPr>
            <w:r>
              <w:rPr>
                <w:color w:val="auto"/>
                <w:kern w:val="0"/>
                <w:highlight w:val="none"/>
              </w:rPr>
              <w:t>配套压缩空气储罐</w:t>
            </w:r>
          </w:p>
        </w:tc>
        <w:tc>
          <w:tcPr>
            <w:tcW w:w="2975" w:type="dxa"/>
            <w:vAlign w:val="center"/>
          </w:tcPr>
          <w:p w14:paraId="2976C2B9">
            <w:pPr>
              <w:shd w:val="clear"/>
              <w:adjustRightInd w:val="0"/>
              <w:snapToGrid w:val="0"/>
              <w:ind w:firstLine="0" w:firstLineChars="0"/>
              <w:jc w:val="center"/>
              <w:textAlignment w:val="baseline"/>
              <w:rPr>
                <w:color w:val="auto"/>
                <w:kern w:val="0"/>
                <w:highlight w:val="none"/>
              </w:rPr>
            </w:pPr>
            <w:r>
              <w:rPr>
                <w:color w:val="auto"/>
                <w:kern w:val="0"/>
                <w:highlight w:val="none"/>
              </w:rPr>
              <w:t>≥</w:t>
            </w:r>
            <w:r>
              <w:rPr>
                <w:rFonts w:hint="eastAsia"/>
                <w:color w:val="auto"/>
                <w:kern w:val="0"/>
                <w:highlight w:val="none"/>
              </w:rPr>
              <w:t>6</w:t>
            </w:r>
            <w:r>
              <w:rPr>
                <w:color w:val="auto"/>
                <w:kern w:val="0"/>
                <w:highlight w:val="none"/>
              </w:rPr>
              <w:t>m</w:t>
            </w:r>
            <w:r>
              <w:rPr>
                <w:color w:val="auto"/>
                <w:kern w:val="0"/>
                <w:highlight w:val="none"/>
                <w:vertAlign w:val="superscript"/>
              </w:rPr>
              <w:t>3</w:t>
            </w:r>
          </w:p>
        </w:tc>
        <w:tc>
          <w:tcPr>
            <w:tcW w:w="1259" w:type="dxa"/>
          </w:tcPr>
          <w:p w14:paraId="508EF57F">
            <w:pPr>
              <w:shd w:val="clear"/>
              <w:adjustRightInd w:val="0"/>
              <w:snapToGrid w:val="0"/>
              <w:ind w:firstLine="0" w:firstLineChars="0"/>
              <w:jc w:val="center"/>
              <w:textAlignment w:val="baseline"/>
              <w:rPr>
                <w:color w:val="auto"/>
                <w:kern w:val="0"/>
                <w:highlight w:val="none"/>
              </w:rPr>
            </w:pPr>
          </w:p>
        </w:tc>
      </w:tr>
      <w:bookmarkEnd w:id="613"/>
    </w:tbl>
    <w:p w14:paraId="38D5410D">
      <w:pPr>
        <w:shd w:val="clear"/>
        <w:rPr>
          <w:color w:val="auto"/>
          <w:highlight w:val="none"/>
        </w:rPr>
      </w:pPr>
      <w:r>
        <w:rPr>
          <w:rFonts w:hint="eastAsia"/>
          <w:color w:val="auto"/>
          <w:highlight w:val="none"/>
        </w:rPr>
        <w:t>2）除尘风机</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1750"/>
        <w:gridCol w:w="1076"/>
        <w:gridCol w:w="3777"/>
        <w:gridCol w:w="863"/>
      </w:tblGrid>
      <w:tr w14:paraId="1593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blHeader/>
          <w:jc w:val="center"/>
        </w:trPr>
        <w:tc>
          <w:tcPr>
            <w:tcW w:w="1056" w:type="dxa"/>
            <w:vAlign w:val="center"/>
          </w:tcPr>
          <w:p w14:paraId="4CFB872A">
            <w:pPr>
              <w:shd w:val="clear"/>
              <w:adjustRightInd w:val="0"/>
              <w:ind w:firstLine="0" w:firstLineChars="0"/>
              <w:rPr>
                <w:rFonts w:ascii="Arial" w:hAnsi="Arial"/>
                <w:snapToGrid w:val="0"/>
                <w:color w:val="auto"/>
                <w:highlight w:val="none"/>
              </w:rPr>
            </w:pPr>
            <w:r>
              <w:rPr>
                <w:rFonts w:hint="eastAsia"/>
                <w:color w:val="auto"/>
                <w:highlight w:val="none"/>
              </w:rPr>
              <w:t>表7.4.1-3</w:t>
            </w:r>
            <w:r>
              <w:rPr>
                <w:rFonts w:ascii="Arial" w:hAnsi="Arial"/>
                <w:snapToGrid w:val="0"/>
                <w:color w:val="auto"/>
                <w:highlight w:val="none"/>
              </w:rPr>
              <w:t>序号</w:t>
            </w:r>
          </w:p>
        </w:tc>
        <w:tc>
          <w:tcPr>
            <w:tcW w:w="1750" w:type="dxa"/>
            <w:vAlign w:val="center"/>
          </w:tcPr>
          <w:p w14:paraId="4A90BA0F">
            <w:pPr>
              <w:shd w:val="clear"/>
              <w:adjustRightInd w:val="0"/>
              <w:ind w:firstLine="0" w:firstLineChars="0"/>
              <w:rPr>
                <w:rFonts w:ascii="Arial" w:hAnsi="Arial"/>
                <w:snapToGrid w:val="0"/>
                <w:color w:val="auto"/>
                <w:highlight w:val="none"/>
              </w:rPr>
            </w:pPr>
            <w:r>
              <w:rPr>
                <w:rFonts w:ascii="Arial" w:hAnsi="Arial"/>
                <w:snapToGrid w:val="0"/>
                <w:color w:val="auto"/>
                <w:highlight w:val="none"/>
              </w:rPr>
              <w:t>名称</w:t>
            </w:r>
          </w:p>
        </w:tc>
        <w:tc>
          <w:tcPr>
            <w:tcW w:w="1076" w:type="dxa"/>
            <w:vAlign w:val="center"/>
          </w:tcPr>
          <w:p w14:paraId="2BB48DB7">
            <w:pPr>
              <w:shd w:val="clear"/>
              <w:adjustRightInd w:val="0"/>
              <w:ind w:firstLine="0" w:firstLineChars="0"/>
              <w:rPr>
                <w:rFonts w:ascii="Arial" w:hAnsi="Arial"/>
                <w:snapToGrid w:val="0"/>
                <w:color w:val="auto"/>
                <w:highlight w:val="none"/>
              </w:rPr>
            </w:pPr>
            <w:r>
              <w:rPr>
                <w:rFonts w:ascii="Arial" w:hAnsi="Arial"/>
                <w:snapToGrid w:val="0"/>
                <w:color w:val="auto"/>
                <w:highlight w:val="none"/>
              </w:rPr>
              <w:t>单位</w:t>
            </w:r>
          </w:p>
        </w:tc>
        <w:tc>
          <w:tcPr>
            <w:tcW w:w="3777" w:type="dxa"/>
            <w:vAlign w:val="center"/>
          </w:tcPr>
          <w:p w14:paraId="5691B1B1">
            <w:pPr>
              <w:shd w:val="clear"/>
              <w:adjustRightInd w:val="0"/>
              <w:ind w:firstLine="0" w:firstLineChars="0"/>
              <w:rPr>
                <w:rFonts w:ascii="Arial" w:hAnsi="Arial"/>
                <w:snapToGrid w:val="0"/>
                <w:color w:val="auto"/>
                <w:highlight w:val="none"/>
              </w:rPr>
            </w:pPr>
            <w:r>
              <w:rPr>
                <w:rFonts w:ascii="Arial" w:hAnsi="Arial"/>
                <w:snapToGrid w:val="0"/>
                <w:color w:val="auto"/>
                <w:highlight w:val="none"/>
              </w:rPr>
              <w:t>技术参数</w:t>
            </w:r>
          </w:p>
        </w:tc>
        <w:tc>
          <w:tcPr>
            <w:tcW w:w="863" w:type="dxa"/>
            <w:vAlign w:val="center"/>
          </w:tcPr>
          <w:p w14:paraId="25B2781F">
            <w:pPr>
              <w:shd w:val="clear"/>
              <w:adjustRightInd w:val="0"/>
              <w:ind w:firstLine="0" w:firstLineChars="0"/>
              <w:rPr>
                <w:rFonts w:ascii="Arial" w:hAnsi="Arial"/>
                <w:snapToGrid w:val="0"/>
                <w:color w:val="auto"/>
                <w:highlight w:val="none"/>
              </w:rPr>
            </w:pPr>
            <w:r>
              <w:rPr>
                <w:rFonts w:ascii="Arial" w:hAnsi="Arial"/>
                <w:snapToGrid w:val="0"/>
                <w:color w:val="auto"/>
                <w:highlight w:val="none"/>
              </w:rPr>
              <w:t>备注</w:t>
            </w:r>
          </w:p>
        </w:tc>
      </w:tr>
      <w:tr w14:paraId="0C109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6" w:type="dxa"/>
            <w:vAlign w:val="center"/>
          </w:tcPr>
          <w:p w14:paraId="320FC59A">
            <w:pPr>
              <w:shd w:val="clear"/>
              <w:adjustRightInd w:val="0"/>
              <w:ind w:firstLine="0" w:firstLineChars="0"/>
              <w:rPr>
                <w:rFonts w:ascii="Arial" w:hAnsi="Arial"/>
                <w:snapToGrid w:val="0"/>
                <w:color w:val="auto"/>
                <w:highlight w:val="none"/>
              </w:rPr>
            </w:pPr>
            <w:r>
              <w:rPr>
                <w:rFonts w:ascii="Arial" w:hAnsi="Arial"/>
                <w:snapToGrid w:val="0"/>
                <w:color w:val="auto"/>
                <w:highlight w:val="none"/>
              </w:rPr>
              <w:t>1</w:t>
            </w:r>
          </w:p>
        </w:tc>
        <w:tc>
          <w:tcPr>
            <w:tcW w:w="1750" w:type="dxa"/>
            <w:vAlign w:val="center"/>
          </w:tcPr>
          <w:p w14:paraId="26A42569">
            <w:pPr>
              <w:shd w:val="clear"/>
              <w:ind w:firstLine="0" w:firstLineChars="0"/>
              <w:rPr>
                <w:rFonts w:ascii="Arial" w:hAnsi="Arial"/>
                <w:snapToGrid w:val="0"/>
                <w:color w:val="auto"/>
                <w:highlight w:val="none"/>
              </w:rPr>
            </w:pPr>
            <w:r>
              <w:rPr>
                <w:rFonts w:ascii="Arial" w:hAnsi="Arial"/>
                <w:snapToGrid w:val="0"/>
                <w:color w:val="auto"/>
                <w:highlight w:val="none"/>
              </w:rPr>
              <w:t>设备名称</w:t>
            </w:r>
          </w:p>
        </w:tc>
        <w:tc>
          <w:tcPr>
            <w:tcW w:w="1076" w:type="dxa"/>
            <w:vAlign w:val="center"/>
          </w:tcPr>
          <w:p w14:paraId="5B5D99BB">
            <w:pPr>
              <w:shd w:val="clear"/>
              <w:ind w:firstLine="0" w:firstLineChars="0"/>
              <w:rPr>
                <w:rFonts w:ascii="Arial" w:hAnsi="Arial"/>
                <w:snapToGrid w:val="0"/>
                <w:color w:val="auto"/>
                <w:highlight w:val="none"/>
              </w:rPr>
            </w:pPr>
          </w:p>
        </w:tc>
        <w:tc>
          <w:tcPr>
            <w:tcW w:w="3777" w:type="dxa"/>
            <w:vAlign w:val="center"/>
          </w:tcPr>
          <w:p w14:paraId="4D990BAE">
            <w:pPr>
              <w:shd w:val="clear"/>
              <w:ind w:firstLine="0" w:firstLineChars="0"/>
              <w:rPr>
                <w:rFonts w:ascii="Arial" w:hAnsi="Arial"/>
                <w:snapToGrid w:val="0"/>
                <w:color w:val="auto"/>
                <w:highlight w:val="none"/>
              </w:rPr>
            </w:pPr>
            <w:r>
              <w:rPr>
                <w:rFonts w:ascii="Arial" w:hAnsi="Arial"/>
                <w:snapToGrid w:val="0"/>
                <w:color w:val="auto"/>
                <w:highlight w:val="none"/>
              </w:rPr>
              <w:t>除尘风机</w:t>
            </w:r>
          </w:p>
        </w:tc>
        <w:tc>
          <w:tcPr>
            <w:tcW w:w="863" w:type="dxa"/>
            <w:vAlign w:val="center"/>
          </w:tcPr>
          <w:p w14:paraId="755FABBF">
            <w:pPr>
              <w:shd w:val="clear"/>
              <w:ind w:firstLine="0" w:firstLineChars="0"/>
              <w:rPr>
                <w:rFonts w:ascii="Arial" w:hAnsi="Arial"/>
                <w:snapToGrid w:val="0"/>
                <w:color w:val="auto"/>
                <w:highlight w:val="none"/>
              </w:rPr>
            </w:pPr>
          </w:p>
        </w:tc>
      </w:tr>
      <w:tr w14:paraId="7D573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6" w:type="dxa"/>
            <w:vAlign w:val="center"/>
          </w:tcPr>
          <w:p w14:paraId="145BFD2B">
            <w:pPr>
              <w:shd w:val="clear"/>
              <w:adjustRightInd w:val="0"/>
              <w:ind w:firstLine="0" w:firstLineChars="0"/>
              <w:rPr>
                <w:rFonts w:ascii="Arial" w:hAnsi="Arial"/>
                <w:snapToGrid w:val="0"/>
                <w:color w:val="auto"/>
                <w:highlight w:val="none"/>
              </w:rPr>
            </w:pPr>
            <w:r>
              <w:rPr>
                <w:rFonts w:ascii="Arial" w:hAnsi="Arial"/>
                <w:snapToGrid w:val="0"/>
                <w:color w:val="auto"/>
                <w:highlight w:val="none"/>
              </w:rPr>
              <w:t>1.1</w:t>
            </w:r>
          </w:p>
        </w:tc>
        <w:tc>
          <w:tcPr>
            <w:tcW w:w="1750" w:type="dxa"/>
            <w:vAlign w:val="center"/>
          </w:tcPr>
          <w:p w14:paraId="7AD29413">
            <w:pPr>
              <w:shd w:val="clear"/>
              <w:adjustRightInd w:val="0"/>
              <w:ind w:firstLine="0" w:firstLineChars="0"/>
              <w:rPr>
                <w:rFonts w:ascii="Arial" w:hAnsi="Arial"/>
                <w:snapToGrid w:val="0"/>
                <w:color w:val="auto"/>
                <w:highlight w:val="none"/>
              </w:rPr>
            </w:pPr>
            <w:r>
              <w:rPr>
                <w:rFonts w:ascii="Arial" w:hAnsi="Arial"/>
                <w:snapToGrid w:val="0"/>
                <w:color w:val="auto"/>
                <w:highlight w:val="none"/>
              </w:rPr>
              <w:t>设备形式</w:t>
            </w:r>
          </w:p>
        </w:tc>
        <w:tc>
          <w:tcPr>
            <w:tcW w:w="1076" w:type="dxa"/>
            <w:vAlign w:val="center"/>
          </w:tcPr>
          <w:p w14:paraId="72B8DE5F">
            <w:pPr>
              <w:shd w:val="clear"/>
              <w:ind w:firstLine="0" w:firstLineChars="0"/>
              <w:rPr>
                <w:rFonts w:ascii="Arial" w:hAnsi="Arial"/>
                <w:snapToGrid w:val="0"/>
                <w:color w:val="auto"/>
                <w:highlight w:val="none"/>
              </w:rPr>
            </w:pPr>
          </w:p>
        </w:tc>
        <w:tc>
          <w:tcPr>
            <w:tcW w:w="3777" w:type="dxa"/>
            <w:vAlign w:val="center"/>
          </w:tcPr>
          <w:p w14:paraId="58892682">
            <w:pPr>
              <w:shd w:val="clear"/>
              <w:adjustRightInd w:val="0"/>
              <w:ind w:firstLine="0" w:firstLineChars="0"/>
              <w:rPr>
                <w:rFonts w:ascii="Arial" w:hAnsi="Arial"/>
                <w:snapToGrid w:val="0"/>
                <w:color w:val="auto"/>
                <w:highlight w:val="none"/>
              </w:rPr>
            </w:pPr>
            <w:r>
              <w:rPr>
                <w:rFonts w:ascii="Arial" w:hAnsi="Arial"/>
                <w:snapToGrid w:val="0"/>
                <w:color w:val="auto"/>
                <w:highlight w:val="none"/>
              </w:rPr>
              <w:t>F式</w:t>
            </w:r>
          </w:p>
        </w:tc>
        <w:tc>
          <w:tcPr>
            <w:tcW w:w="863" w:type="dxa"/>
            <w:vAlign w:val="center"/>
          </w:tcPr>
          <w:p w14:paraId="3C1D7F6F">
            <w:pPr>
              <w:shd w:val="clear"/>
              <w:ind w:firstLine="0" w:firstLineChars="0"/>
              <w:rPr>
                <w:rFonts w:ascii="Arial" w:hAnsi="Arial"/>
                <w:snapToGrid w:val="0"/>
                <w:color w:val="auto"/>
                <w:highlight w:val="none"/>
              </w:rPr>
            </w:pPr>
          </w:p>
        </w:tc>
      </w:tr>
      <w:tr w14:paraId="7789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6" w:type="dxa"/>
            <w:vAlign w:val="center"/>
          </w:tcPr>
          <w:p w14:paraId="2E0B977D">
            <w:pPr>
              <w:shd w:val="clear"/>
              <w:adjustRightInd w:val="0"/>
              <w:ind w:firstLine="0" w:firstLineChars="0"/>
              <w:rPr>
                <w:rFonts w:ascii="Arial" w:hAnsi="Arial"/>
                <w:snapToGrid w:val="0"/>
                <w:color w:val="auto"/>
                <w:highlight w:val="none"/>
              </w:rPr>
            </w:pPr>
            <w:r>
              <w:rPr>
                <w:rFonts w:ascii="Arial" w:hAnsi="Arial"/>
                <w:snapToGrid w:val="0"/>
                <w:color w:val="auto"/>
                <w:highlight w:val="none"/>
              </w:rPr>
              <w:t>1.2</w:t>
            </w:r>
          </w:p>
        </w:tc>
        <w:tc>
          <w:tcPr>
            <w:tcW w:w="1750" w:type="dxa"/>
            <w:vAlign w:val="center"/>
          </w:tcPr>
          <w:p w14:paraId="08C95961">
            <w:pPr>
              <w:shd w:val="clear"/>
              <w:adjustRightInd w:val="0"/>
              <w:ind w:firstLine="0" w:firstLineChars="0"/>
              <w:rPr>
                <w:rFonts w:ascii="Arial" w:hAnsi="Arial"/>
                <w:snapToGrid w:val="0"/>
                <w:color w:val="auto"/>
                <w:highlight w:val="none"/>
              </w:rPr>
            </w:pPr>
            <w:r>
              <w:rPr>
                <w:rFonts w:ascii="Arial" w:hAnsi="Arial"/>
                <w:snapToGrid w:val="0"/>
                <w:color w:val="auto"/>
                <w:highlight w:val="none"/>
              </w:rPr>
              <w:t>工作介质</w:t>
            </w:r>
          </w:p>
        </w:tc>
        <w:tc>
          <w:tcPr>
            <w:tcW w:w="1076" w:type="dxa"/>
            <w:vAlign w:val="center"/>
          </w:tcPr>
          <w:p w14:paraId="00ED7246">
            <w:pPr>
              <w:shd w:val="clear"/>
              <w:ind w:firstLine="0" w:firstLineChars="0"/>
              <w:rPr>
                <w:rFonts w:ascii="Arial" w:hAnsi="Arial"/>
                <w:snapToGrid w:val="0"/>
                <w:color w:val="auto"/>
                <w:highlight w:val="none"/>
              </w:rPr>
            </w:pPr>
          </w:p>
        </w:tc>
        <w:tc>
          <w:tcPr>
            <w:tcW w:w="3777" w:type="dxa"/>
            <w:vAlign w:val="center"/>
          </w:tcPr>
          <w:p w14:paraId="5463CD94">
            <w:pPr>
              <w:shd w:val="clear"/>
              <w:adjustRightInd w:val="0"/>
              <w:ind w:firstLine="0" w:firstLineChars="0"/>
              <w:rPr>
                <w:rFonts w:ascii="Arial" w:hAnsi="Arial"/>
                <w:snapToGrid w:val="0"/>
                <w:color w:val="auto"/>
                <w:highlight w:val="none"/>
              </w:rPr>
            </w:pPr>
            <w:r>
              <w:rPr>
                <w:rFonts w:hint="eastAsia" w:ascii="Arial"/>
                <w:color w:val="auto"/>
                <w:highlight w:val="none"/>
              </w:rPr>
              <w:t>高炉出铁场除尘</w:t>
            </w:r>
            <w:r>
              <w:rPr>
                <w:rFonts w:ascii="Arial"/>
                <w:color w:val="auto"/>
                <w:highlight w:val="none"/>
              </w:rPr>
              <w:t>烟尘</w:t>
            </w:r>
          </w:p>
        </w:tc>
        <w:tc>
          <w:tcPr>
            <w:tcW w:w="863" w:type="dxa"/>
            <w:vAlign w:val="center"/>
          </w:tcPr>
          <w:p w14:paraId="35753E4A">
            <w:pPr>
              <w:shd w:val="clear"/>
              <w:ind w:firstLine="0" w:firstLineChars="0"/>
              <w:rPr>
                <w:rFonts w:ascii="Arial" w:hAnsi="Arial"/>
                <w:snapToGrid w:val="0"/>
                <w:color w:val="auto"/>
                <w:highlight w:val="none"/>
              </w:rPr>
            </w:pPr>
          </w:p>
        </w:tc>
      </w:tr>
      <w:tr w14:paraId="67AA5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6" w:type="dxa"/>
            <w:vAlign w:val="center"/>
          </w:tcPr>
          <w:p w14:paraId="121058CB">
            <w:pPr>
              <w:shd w:val="clear"/>
              <w:adjustRightInd w:val="0"/>
              <w:ind w:firstLine="0" w:firstLineChars="0"/>
              <w:rPr>
                <w:rFonts w:ascii="Arial" w:hAnsi="Arial"/>
                <w:snapToGrid w:val="0"/>
                <w:color w:val="auto"/>
                <w:highlight w:val="none"/>
              </w:rPr>
            </w:pPr>
            <w:r>
              <w:rPr>
                <w:rFonts w:ascii="Arial" w:hAnsi="Arial"/>
                <w:snapToGrid w:val="0"/>
                <w:color w:val="auto"/>
                <w:highlight w:val="none"/>
              </w:rPr>
              <w:t>1.3</w:t>
            </w:r>
          </w:p>
        </w:tc>
        <w:tc>
          <w:tcPr>
            <w:tcW w:w="1750" w:type="dxa"/>
            <w:vAlign w:val="center"/>
          </w:tcPr>
          <w:p w14:paraId="47675D21">
            <w:pPr>
              <w:shd w:val="clear"/>
              <w:ind w:firstLine="0" w:firstLineChars="0"/>
              <w:rPr>
                <w:rFonts w:ascii="Arial" w:hAnsi="Arial"/>
                <w:snapToGrid w:val="0"/>
                <w:color w:val="auto"/>
                <w:highlight w:val="none"/>
              </w:rPr>
            </w:pPr>
            <w:r>
              <w:rPr>
                <w:rFonts w:ascii="Arial" w:hAnsi="Arial"/>
                <w:snapToGrid w:val="0"/>
                <w:color w:val="auto"/>
                <w:highlight w:val="none"/>
              </w:rPr>
              <w:t>介质温度</w:t>
            </w:r>
          </w:p>
        </w:tc>
        <w:tc>
          <w:tcPr>
            <w:tcW w:w="1076" w:type="dxa"/>
            <w:vAlign w:val="center"/>
          </w:tcPr>
          <w:p w14:paraId="5B41AF5F">
            <w:pPr>
              <w:shd w:val="clear"/>
              <w:ind w:firstLine="0" w:firstLineChars="0"/>
              <w:rPr>
                <w:rFonts w:ascii="Arial" w:hAnsi="Arial"/>
                <w:snapToGrid w:val="0"/>
                <w:color w:val="auto"/>
                <w:highlight w:val="none"/>
              </w:rPr>
            </w:pPr>
            <w:r>
              <w:rPr>
                <w:rFonts w:ascii="Cambria Math" w:hAnsi="Cambria Math" w:cs="Cambria Math"/>
                <w:snapToGrid w:val="0"/>
                <w:color w:val="auto"/>
                <w:highlight w:val="none"/>
              </w:rPr>
              <w:t>℃</w:t>
            </w:r>
          </w:p>
        </w:tc>
        <w:tc>
          <w:tcPr>
            <w:tcW w:w="3777" w:type="dxa"/>
            <w:vAlign w:val="center"/>
          </w:tcPr>
          <w:p w14:paraId="26143E90">
            <w:pPr>
              <w:shd w:val="clear"/>
              <w:ind w:firstLine="0" w:firstLineChars="0"/>
              <w:rPr>
                <w:rFonts w:ascii="Arial" w:hAnsi="Arial"/>
                <w:snapToGrid w:val="0"/>
                <w:color w:val="auto"/>
                <w:highlight w:val="none"/>
              </w:rPr>
            </w:pPr>
            <w:r>
              <w:rPr>
                <w:rFonts w:hint="eastAsia" w:ascii="Arial" w:hAnsi="Arial"/>
                <w:snapToGrid w:val="0"/>
                <w:color w:val="auto"/>
                <w:highlight w:val="none"/>
              </w:rPr>
              <w:t>8</w:t>
            </w:r>
            <w:r>
              <w:rPr>
                <w:rFonts w:ascii="Arial" w:hAnsi="Arial"/>
                <w:snapToGrid w:val="0"/>
                <w:color w:val="auto"/>
                <w:highlight w:val="none"/>
              </w:rPr>
              <w:t>0-1</w:t>
            </w:r>
            <w:r>
              <w:rPr>
                <w:rFonts w:hint="eastAsia" w:ascii="Arial" w:hAnsi="Arial"/>
                <w:snapToGrid w:val="0"/>
                <w:color w:val="auto"/>
                <w:highlight w:val="none"/>
              </w:rPr>
              <w:t>2</w:t>
            </w:r>
            <w:r>
              <w:rPr>
                <w:rFonts w:ascii="Arial" w:hAnsi="Arial"/>
                <w:snapToGrid w:val="0"/>
                <w:color w:val="auto"/>
                <w:highlight w:val="none"/>
              </w:rPr>
              <w:t>0</w:t>
            </w:r>
            <w:r>
              <w:rPr>
                <w:rFonts w:ascii="Cambria Math" w:hAnsi="Cambria Math" w:cs="Cambria Math"/>
                <w:snapToGrid w:val="0"/>
                <w:color w:val="auto"/>
                <w:highlight w:val="none"/>
              </w:rPr>
              <w:t>℃</w:t>
            </w:r>
          </w:p>
        </w:tc>
        <w:tc>
          <w:tcPr>
            <w:tcW w:w="863" w:type="dxa"/>
            <w:vAlign w:val="center"/>
          </w:tcPr>
          <w:p w14:paraId="551887C5">
            <w:pPr>
              <w:shd w:val="clear"/>
              <w:ind w:firstLine="0" w:firstLineChars="0"/>
              <w:rPr>
                <w:rFonts w:ascii="Arial" w:hAnsi="Arial"/>
                <w:snapToGrid w:val="0"/>
                <w:color w:val="auto"/>
                <w:highlight w:val="none"/>
              </w:rPr>
            </w:pPr>
            <w:r>
              <w:rPr>
                <w:rFonts w:ascii="Arial" w:hAnsi="Arial"/>
                <w:snapToGrid w:val="0"/>
                <w:color w:val="auto"/>
                <w:highlight w:val="none"/>
              </w:rPr>
              <w:t>常温</w:t>
            </w:r>
          </w:p>
        </w:tc>
      </w:tr>
      <w:tr w14:paraId="5CD9F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6" w:type="dxa"/>
            <w:vAlign w:val="center"/>
          </w:tcPr>
          <w:p w14:paraId="1757A676">
            <w:pPr>
              <w:shd w:val="clear"/>
              <w:adjustRightInd w:val="0"/>
              <w:ind w:firstLine="0" w:firstLineChars="0"/>
              <w:rPr>
                <w:rFonts w:ascii="Arial" w:hAnsi="Arial"/>
                <w:snapToGrid w:val="0"/>
                <w:color w:val="auto"/>
                <w:highlight w:val="none"/>
              </w:rPr>
            </w:pPr>
            <w:r>
              <w:rPr>
                <w:rFonts w:ascii="Arial" w:hAnsi="Arial"/>
                <w:snapToGrid w:val="0"/>
                <w:color w:val="auto"/>
                <w:highlight w:val="none"/>
              </w:rPr>
              <w:t>1.4</w:t>
            </w:r>
          </w:p>
        </w:tc>
        <w:tc>
          <w:tcPr>
            <w:tcW w:w="1750" w:type="dxa"/>
            <w:vAlign w:val="center"/>
          </w:tcPr>
          <w:p w14:paraId="0B7DF573">
            <w:pPr>
              <w:shd w:val="clear"/>
              <w:adjustRightInd w:val="0"/>
              <w:ind w:firstLine="0" w:firstLineChars="0"/>
              <w:rPr>
                <w:rFonts w:ascii="Arial" w:hAnsi="Arial"/>
                <w:snapToGrid w:val="0"/>
                <w:color w:val="auto"/>
                <w:highlight w:val="none"/>
              </w:rPr>
            </w:pPr>
            <w:r>
              <w:rPr>
                <w:rFonts w:ascii="Arial" w:hAnsi="Arial"/>
                <w:snapToGrid w:val="0"/>
                <w:color w:val="auto"/>
                <w:highlight w:val="none"/>
              </w:rPr>
              <w:t>粉尘含量</w:t>
            </w:r>
          </w:p>
        </w:tc>
        <w:tc>
          <w:tcPr>
            <w:tcW w:w="1076" w:type="dxa"/>
            <w:vAlign w:val="center"/>
          </w:tcPr>
          <w:p w14:paraId="1C38D877">
            <w:pPr>
              <w:shd w:val="clear"/>
              <w:ind w:firstLine="0" w:firstLineChars="0"/>
              <w:rPr>
                <w:rFonts w:ascii="Arial" w:hAnsi="Arial"/>
                <w:snapToGrid w:val="0"/>
                <w:color w:val="auto"/>
                <w:highlight w:val="none"/>
              </w:rPr>
            </w:pPr>
            <w:r>
              <w:rPr>
                <w:rFonts w:ascii="Arial" w:hAnsi="Arial"/>
                <w:snapToGrid w:val="0"/>
                <w:color w:val="auto"/>
                <w:highlight w:val="none"/>
              </w:rPr>
              <w:t>mg/Nm</w:t>
            </w:r>
            <w:r>
              <w:rPr>
                <w:rFonts w:ascii="Arial" w:hAnsi="Arial"/>
                <w:snapToGrid w:val="0"/>
                <w:color w:val="auto"/>
                <w:highlight w:val="none"/>
                <w:vertAlign w:val="superscript"/>
              </w:rPr>
              <w:t>3</w:t>
            </w:r>
          </w:p>
        </w:tc>
        <w:tc>
          <w:tcPr>
            <w:tcW w:w="3777" w:type="dxa"/>
            <w:vAlign w:val="center"/>
          </w:tcPr>
          <w:p w14:paraId="5BA6D842">
            <w:pPr>
              <w:shd w:val="clear"/>
              <w:ind w:firstLine="0" w:firstLineChars="0"/>
              <w:rPr>
                <w:rFonts w:ascii="Arial" w:hAnsi="Arial"/>
                <w:snapToGrid w:val="0"/>
                <w:color w:val="auto"/>
                <w:highlight w:val="none"/>
              </w:rPr>
            </w:pPr>
            <w:r>
              <w:rPr>
                <w:rFonts w:ascii="Arial" w:hAnsi="Arial"/>
                <w:snapToGrid w:val="0"/>
                <w:color w:val="auto"/>
                <w:highlight w:val="none"/>
              </w:rPr>
              <w:t>≤</w:t>
            </w:r>
            <w:r>
              <w:rPr>
                <w:rFonts w:hint="eastAsia" w:ascii="Arial" w:hAnsi="Arial"/>
                <w:snapToGrid w:val="0"/>
                <w:color w:val="auto"/>
                <w:highlight w:val="none"/>
              </w:rPr>
              <w:t>50</w:t>
            </w:r>
          </w:p>
        </w:tc>
        <w:tc>
          <w:tcPr>
            <w:tcW w:w="863" w:type="dxa"/>
            <w:vAlign w:val="center"/>
          </w:tcPr>
          <w:p w14:paraId="72F5D24E">
            <w:pPr>
              <w:shd w:val="clear"/>
              <w:ind w:firstLine="0" w:firstLineChars="0"/>
              <w:rPr>
                <w:rFonts w:ascii="Arial" w:hAnsi="Arial"/>
                <w:snapToGrid w:val="0"/>
                <w:color w:val="auto"/>
                <w:highlight w:val="none"/>
              </w:rPr>
            </w:pPr>
          </w:p>
        </w:tc>
      </w:tr>
      <w:tr w14:paraId="104FB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6" w:type="dxa"/>
            <w:vAlign w:val="center"/>
          </w:tcPr>
          <w:p w14:paraId="13599923">
            <w:pPr>
              <w:shd w:val="clear"/>
              <w:adjustRightInd w:val="0"/>
              <w:ind w:firstLine="0" w:firstLineChars="0"/>
              <w:rPr>
                <w:rFonts w:ascii="Arial" w:hAnsi="Arial"/>
                <w:snapToGrid w:val="0"/>
                <w:color w:val="auto"/>
                <w:highlight w:val="none"/>
              </w:rPr>
            </w:pPr>
            <w:r>
              <w:rPr>
                <w:rFonts w:ascii="Arial" w:hAnsi="Arial"/>
                <w:snapToGrid w:val="0"/>
                <w:color w:val="auto"/>
                <w:highlight w:val="none"/>
              </w:rPr>
              <w:t>2</w:t>
            </w:r>
          </w:p>
        </w:tc>
        <w:tc>
          <w:tcPr>
            <w:tcW w:w="1750" w:type="dxa"/>
            <w:vAlign w:val="center"/>
          </w:tcPr>
          <w:p w14:paraId="17D48832">
            <w:pPr>
              <w:shd w:val="clear"/>
              <w:adjustRightInd w:val="0"/>
              <w:ind w:firstLine="0" w:firstLineChars="0"/>
              <w:rPr>
                <w:rFonts w:ascii="Arial" w:hAnsi="Arial"/>
                <w:snapToGrid w:val="0"/>
                <w:color w:val="auto"/>
                <w:highlight w:val="none"/>
              </w:rPr>
            </w:pPr>
            <w:r>
              <w:rPr>
                <w:rFonts w:ascii="Arial" w:hAnsi="Arial"/>
                <w:snapToGrid w:val="0"/>
                <w:color w:val="auto"/>
                <w:highlight w:val="none"/>
              </w:rPr>
              <w:t>风机型号</w:t>
            </w:r>
          </w:p>
        </w:tc>
        <w:tc>
          <w:tcPr>
            <w:tcW w:w="1076" w:type="dxa"/>
            <w:vAlign w:val="center"/>
          </w:tcPr>
          <w:p w14:paraId="0B00EC29">
            <w:pPr>
              <w:shd w:val="clear"/>
              <w:ind w:firstLine="0" w:firstLineChars="0"/>
              <w:rPr>
                <w:rFonts w:ascii="Arial" w:hAnsi="Arial"/>
                <w:snapToGrid w:val="0"/>
                <w:color w:val="auto"/>
                <w:highlight w:val="none"/>
              </w:rPr>
            </w:pPr>
          </w:p>
        </w:tc>
        <w:tc>
          <w:tcPr>
            <w:tcW w:w="3777" w:type="dxa"/>
            <w:vAlign w:val="center"/>
          </w:tcPr>
          <w:p w14:paraId="0CA08A00">
            <w:pPr>
              <w:shd w:val="clear"/>
              <w:ind w:firstLine="0" w:firstLineChars="0"/>
              <w:rPr>
                <w:rFonts w:ascii="Arial" w:hAnsi="Arial"/>
                <w:snapToGrid w:val="0"/>
                <w:color w:val="auto"/>
                <w:highlight w:val="none"/>
              </w:rPr>
            </w:pPr>
          </w:p>
        </w:tc>
        <w:tc>
          <w:tcPr>
            <w:tcW w:w="863" w:type="dxa"/>
            <w:vAlign w:val="center"/>
          </w:tcPr>
          <w:p w14:paraId="5AAAF8BD">
            <w:pPr>
              <w:shd w:val="clear"/>
              <w:ind w:firstLine="0" w:firstLineChars="0"/>
              <w:rPr>
                <w:rFonts w:ascii="Arial" w:hAnsi="Arial"/>
                <w:snapToGrid w:val="0"/>
                <w:color w:val="auto"/>
                <w:highlight w:val="none"/>
              </w:rPr>
            </w:pPr>
          </w:p>
        </w:tc>
      </w:tr>
      <w:tr w14:paraId="3615A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6" w:type="dxa"/>
            <w:vAlign w:val="center"/>
          </w:tcPr>
          <w:p w14:paraId="310783D7">
            <w:pPr>
              <w:shd w:val="clear"/>
              <w:adjustRightInd w:val="0"/>
              <w:ind w:firstLine="0" w:firstLineChars="0"/>
              <w:rPr>
                <w:rFonts w:ascii="Arial" w:hAnsi="Arial"/>
                <w:snapToGrid w:val="0"/>
                <w:color w:val="auto"/>
                <w:highlight w:val="none"/>
              </w:rPr>
            </w:pPr>
            <w:r>
              <w:rPr>
                <w:rFonts w:ascii="Arial" w:hAnsi="Arial"/>
                <w:snapToGrid w:val="0"/>
                <w:color w:val="auto"/>
                <w:highlight w:val="none"/>
              </w:rPr>
              <w:t>2.1</w:t>
            </w:r>
          </w:p>
        </w:tc>
        <w:tc>
          <w:tcPr>
            <w:tcW w:w="1750" w:type="dxa"/>
            <w:vAlign w:val="center"/>
          </w:tcPr>
          <w:p w14:paraId="2BF0A716">
            <w:pPr>
              <w:shd w:val="clear"/>
              <w:adjustRightInd w:val="0"/>
              <w:ind w:firstLine="0" w:firstLineChars="0"/>
              <w:rPr>
                <w:rFonts w:ascii="Arial" w:hAnsi="Arial"/>
                <w:snapToGrid w:val="0"/>
                <w:color w:val="auto"/>
                <w:highlight w:val="none"/>
              </w:rPr>
            </w:pPr>
            <w:r>
              <w:rPr>
                <w:rFonts w:ascii="Arial" w:hAnsi="Arial"/>
                <w:snapToGrid w:val="0"/>
                <w:color w:val="auto"/>
                <w:highlight w:val="none"/>
              </w:rPr>
              <w:t>额定风量</w:t>
            </w:r>
          </w:p>
        </w:tc>
        <w:tc>
          <w:tcPr>
            <w:tcW w:w="1076" w:type="dxa"/>
            <w:vAlign w:val="center"/>
          </w:tcPr>
          <w:p w14:paraId="7D290ACF">
            <w:pPr>
              <w:shd w:val="clear"/>
              <w:ind w:firstLine="0" w:firstLineChars="0"/>
              <w:rPr>
                <w:rFonts w:ascii="Arial" w:hAnsi="Arial"/>
                <w:snapToGrid w:val="0"/>
                <w:color w:val="auto"/>
                <w:highlight w:val="none"/>
              </w:rPr>
            </w:pPr>
            <w:r>
              <w:rPr>
                <w:rFonts w:ascii="Arial" w:hAnsi="Arial"/>
                <w:snapToGrid w:val="0"/>
                <w:color w:val="auto"/>
                <w:highlight w:val="none"/>
              </w:rPr>
              <w:t>m</w:t>
            </w:r>
            <w:r>
              <w:rPr>
                <w:rFonts w:ascii="Arial" w:hAnsi="Arial"/>
                <w:snapToGrid w:val="0"/>
                <w:color w:val="auto"/>
                <w:highlight w:val="none"/>
                <w:vertAlign w:val="superscript"/>
              </w:rPr>
              <w:t>3</w:t>
            </w:r>
            <w:r>
              <w:rPr>
                <w:rFonts w:ascii="Arial" w:hAnsi="Arial"/>
                <w:snapToGrid w:val="0"/>
                <w:color w:val="auto"/>
                <w:highlight w:val="none"/>
              </w:rPr>
              <w:t>/h</w:t>
            </w:r>
          </w:p>
        </w:tc>
        <w:tc>
          <w:tcPr>
            <w:tcW w:w="3777" w:type="dxa"/>
            <w:vAlign w:val="center"/>
          </w:tcPr>
          <w:p w14:paraId="7B8BD10A">
            <w:pPr>
              <w:shd w:val="clear"/>
              <w:ind w:firstLine="0" w:firstLineChars="0"/>
              <w:rPr>
                <w:rFonts w:ascii="Arial" w:hAnsi="Arial"/>
                <w:snapToGrid w:val="0"/>
                <w:color w:val="auto"/>
                <w:highlight w:val="none"/>
              </w:rPr>
            </w:pPr>
            <w:r>
              <w:rPr>
                <w:rFonts w:hint="eastAsia" w:ascii="Arial" w:hAnsi="Arial"/>
                <w:snapToGrid w:val="0"/>
                <w:color w:val="auto"/>
                <w:highlight w:val="none"/>
              </w:rPr>
              <w:t>1300000</w:t>
            </w:r>
          </w:p>
        </w:tc>
        <w:tc>
          <w:tcPr>
            <w:tcW w:w="863" w:type="dxa"/>
            <w:vAlign w:val="center"/>
          </w:tcPr>
          <w:p w14:paraId="46B6D13E">
            <w:pPr>
              <w:shd w:val="clear"/>
              <w:ind w:firstLine="0" w:firstLineChars="0"/>
              <w:rPr>
                <w:rFonts w:ascii="Arial" w:hAnsi="Arial"/>
                <w:snapToGrid w:val="0"/>
                <w:color w:val="auto"/>
                <w:highlight w:val="none"/>
              </w:rPr>
            </w:pPr>
            <w:r>
              <w:rPr>
                <w:rFonts w:ascii="Arial" w:hAnsi="Arial"/>
                <w:snapToGrid w:val="0"/>
                <w:color w:val="auto"/>
                <w:highlight w:val="none"/>
              </w:rPr>
              <w:t>工况</w:t>
            </w:r>
          </w:p>
        </w:tc>
      </w:tr>
      <w:tr w14:paraId="29528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6" w:type="dxa"/>
            <w:vAlign w:val="center"/>
          </w:tcPr>
          <w:p w14:paraId="16BB0DBD">
            <w:pPr>
              <w:shd w:val="clear"/>
              <w:adjustRightInd w:val="0"/>
              <w:ind w:firstLine="0" w:firstLineChars="0"/>
              <w:rPr>
                <w:rFonts w:ascii="Arial" w:hAnsi="Arial"/>
                <w:snapToGrid w:val="0"/>
                <w:color w:val="auto"/>
                <w:highlight w:val="none"/>
              </w:rPr>
            </w:pPr>
            <w:r>
              <w:rPr>
                <w:rFonts w:ascii="Arial" w:hAnsi="Arial"/>
                <w:snapToGrid w:val="0"/>
                <w:color w:val="auto"/>
                <w:highlight w:val="none"/>
              </w:rPr>
              <w:t>2.2</w:t>
            </w:r>
          </w:p>
        </w:tc>
        <w:tc>
          <w:tcPr>
            <w:tcW w:w="1750" w:type="dxa"/>
            <w:vAlign w:val="center"/>
          </w:tcPr>
          <w:p w14:paraId="2CA92E78">
            <w:pPr>
              <w:shd w:val="clear"/>
              <w:adjustRightInd w:val="0"/>
              <w:ind w:firstLine="0" w:firstLineChars="0"/>
              <w:rPr>
                <w:rFonts w:ascii="Arial" w:hAnsi="Arial"/>
                <w:snapToGrid w:val="0"/>
                <w:color w:val="auto"/>
                <w:highlight w:val="none"/>
              </w:rPr>
            </w:pPr>
            <w:r>
              <w:rPr>
                <w:rFonts w:ascii="Arial" w:hAnsi="Arial"/>
                <w:snapToGrid w:val="0"/>
                <w:color w:val="auto"/>
                <w:highlight w:val="none"/>
              </w:rPr>
              <w:t>全压</w:t>
            </w:r>
          </w:p>
        </w:tc>
        <w:tc>
          <w:tcPr>
            <w:tcW w:w="1076" w:type="dxa"/>
            <w:vAlign w:val="center"/>
          </w:tcPr>
          <w:p w14:paraId="3D219CB5">
            <w:pPr>
              <w:shd w:val="clear"/>
              <w:adjustRightInd w:val="0"/>
              <w:ind w:firstLine="0" w:firstLineChars="0"/>
              <w:rPr>
                <w:rFonts w:ascii="Arial" w:hAnsi="Arial"/>
                <w:snapToGrid w:val="0"/>
                <w:color w:val="auto"/>
                <w:highlight w:val="none"/>
              </w:rPr>
            </w:pPr>
            <w:r>
              <w:rPr>
                <w:rFonts w:ascii="Arial" w:hAnsi="Arial"/>
                <w:snapToGrid w:val="0"/>
                <w:color w:val="auto"/>
                <w:highlight w:val="none"/>
              </w:rPr>
              <w:t>Pa</w:t>
            </w:r>
          </w:p>
        </w:tc>
        <w:tc>
          <w:tcPr>
            <w:tcW w:w="3777" w:type="dxa"/>
            <w:vAlign w:val="center"/>
          </w:tcPr>
          <w:p w14:paraId="3C52D837">
            <w:pPr>
              <w:shd w:val="clear"/>
              <w:adjustRightInd w:val="0"/>
              <w:ind w:firstLine="0" w:firstLineChars="0"/>
              <w:rPr>
                <w:rFonts w:ascii="Arial" w:hAnsi="Arial"/>
                <w:snapToGrid w:val="0"/>
                <w:color w:val="auto"/>
                <w:highlight w:val="none"/>
              </w:rPr>
            </w:pPr>
            <w:r>
              <w:rPr>
                <w:rFonts w:hint="eastAsia" w:ascii="Arial" w:hAnsi="Arial"/>
                <w:snapToGrid w:val="0"/>
                <w:color w:val="auto"/>
                <w:highlight w:val="none"/>
              </w:rPr>
              <w:t>5500</w:t>
            </w:r>
          </w:p>
        </w:tc>
        <w:tc>
          <w:tcPr>
            <w:tcW w:w="863" w:type="dxa"/>
            <w:vAlign w:val="center"/>
          </w:tcPr>
          <w:p w14:paraId="3FEBA603">
            <w:pPr>
              <w:shd w:val="clear"/>
              <w:adjustRightInd w:val="0"/>
              <w:ind w:firstLine="0" w:firstLineChars="0"/>
              <w:rPr>
                <w:rFonts w:ascii="Arial" w:hAnsi="Arial"/>
                <w:snapToGrid w:val="0"/>
                <w:color w:val="auto"/>
                <w:highlight w:val="none"/>
              </w:rPr>
            </w:pPr>
          </w:p>
        </w:tc>
      </w:tr>
      <w:tr w14:paraId="57446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6" w:type="dxa"/>
            <w:vAlign w:val="center"/>
          </w:tcPr>
          <w:p w14:paraId="7ECBA04D">
            <w:pPr>
              <w:shd w:val="clear"/>
              <w:adjustRightInd w:val="0"/>
              <w:ind w:firstLine="0" w:firstLineChars="0"/>
              <w:rPr>
                <w:rFonts w:ascii="Arial" w:hAnsi="Arial"/>
                <w:snapToGrid w:val="0"/>
                <w:color w:val="auto"/>
                <w:highlight w:val="none"/>
              </w:rPr>
            </w:pPr>
            <w:r>
              <w:rPr>
                <w:rFonts w:ascii="Arial" w:hAnsi="Arial"/>
                <w:snapToGrid w:val="0"/>
                <w:color w:val="auto"/>
                <w:highlight w:val="none"/>
              </w:rPr>
              <w:t>2.3</w:t>
            </w:r>
          </w:p>
        </w:tc>
        <w:tc>
          <w:tcPr>
            <w:tcW w:w="1750" w:type="dxa"/>
            <w:vAlign w:val="center"/>
          </w:tcPr>
          <w:p w14:paraId="45C00603">
            <w:pPr>
              <w:shd w:val="clear"/>
              <w:adjustRightInd w:val="0"/>
              <w:ind w:firstLine="0" w:firstLineChars="0"/>
              <w:rPr>
                <w:rFonts w:ascii="Arial" w:hAnsi="Arial"/>
                <w:snapToGrid w:val="0"/>
                <w:color w:val="auto"/>
                <w:highlight w:val="none"/>
              </w:rPr>
            </w:pPr>
            <w:r>
              <w:rPr>
                <w:rFonts w:hint="eastAsia" w:ascii="Arial" w:hAnsi="Arial"/>
                <w:snapToGrid w:val="0"/>
                <w:color w:val="auto"/>
                <w:highlight w:val="none"/>
              </w:rPr>
              <w:t>风机类</w:t>
            </w:r>
          </w:p>
        </w:tc>
        <w:tc>
          <w:tcPr>
            <w:tcW w:w="1076" w:type="dxa"/>
            <w:vAlign w:val="center"/>
          </w:tcPr>
          <w:p w14:paraId="41B54FBB">
            <w:pPr>
              <w:shd w:val="clear"/>
              <w:adjustRightInd w:val="0"/>
              <w:ind w:firstLine="0" w:firstLineChars="0"/>
              <w:rPr>
                <w:rFonts w:ascii="Arial" w:hAnsi="Arial"/>
                <w:snapToGrid w:val="0"/>
                <w:color w:val="auto"/>
                <w:highlight w:val="none"/>
              </w:rPr>
            </w:pPr>
          </w:p>
        </w:tc>
        <w:tc>
          <w:tcPr>
            <w:tcW w:w="3777" w:type="dxa"/>
            <w:vAlign w:val="center"/>
          </w:tcPr>
          <w:p w14:paraId="42A80175">
            <w:pPr>
              <w:shd w:val="clear"/>
              <w:adjustRightInd w:val="0"/>
              <w:ind w:firstLine="0" w:firstLineChars="0"/>
              <w:rPr>
                <w:rFonts w:ascii="Arial" w:hAnsi="Arial"/>
                <w:snapToGrid w:val="0"/>
                <w:color w:val="auto"/>
                <w:highlight w:val="none"/>
              </w:rPr>
            </w:pPr>
            <w:r>
              <w:rPr>
                <w:rFonts w:hint="eastAsia" w:ascii="Arial" w:hAnsi="Arial"/>
                <w:snapToGrid w:val="0"/>
                <w:color w:val="auto"/>
                <w:highlight w:val="none"/>
              </w:rPr>
              <w:t>后向曲线离心风机</w:t>
            </w:r>
          </w:p>
        </w:tc>
        <w:tc>
          <w:tcPr>
            <w:tcW w:w="863" w:type="dxa"/>
            <w:vAlign w:val="center"/>
          </w:tcPr>
          <w:p w14:paraId="4D93C2C6">
            <w:pPr>
              <w:shd w:val="clear"/>
              <w:adjustRightInd w:val="0"/>
              <w:ind w:firstLine="0" w:firstLineChars="0"/>
              <w:rPr>
                <w:rFonts w:ascii="Arial" w:hAnsi="Arial"/>
                <w:snapToGrid w:val="0"/>
                <w:color w:val="auto"/>
                <w:highlight w:val="none"/>
              </w:rPr>
            </w:pPr>
          </w:p>
        </w:tc>
      </w:tr>
      <w:tr w14:paraId="6B36E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6" w:type="dxa"/>
            <w:vAlign w:val="center"/>
          </w:tcPr>
          <w:p w14:paraId="1FC84C70">
            <w:pPr>
              <w:shd w:val="clear"/>
              <w:adjustRightInd w:val="0"/>
              <w:ind w:firstLine="0" w:firstLineChars="0"/>
              <w:rPr>
                <w:rFonts w:ascii="Arial" w:hAnsi="Arial"/>
                <w:snapToGrid w:val="0"/>
                <w:color w:val="auto"/>
                <w:highlight w:val="none"/>
              </w:rPr>
            </w:pPr>
            <w:r>
              <w:rPr>
                <w:rFonts w:ascii="Arial" w:hAnsi="Arial"/>
                <w:snapToGrid w:val="0"/>
                <w:color w:val="auto"/>
                <w:highlight w:val="none"/>
              </w:rPr>
              <w:t>2.4</w:t>
            </w:r>
          </w:p>
        </w:tc>
        <w:tc>
          <w:tcPr>
            <w:tcW w:w="1750" w:type="dxa"/>
            <w:vAlign w:val="center"/>
          </w:tcPr>
          <w:p w14:paraId="5A626C8D">
            <w:pPr>
              <w:shd w:val="clear"/>
              <w:adjustRightInd w:val="0"/>
              <w:ind w:firstLine="0" w:firstLineChars="0"/>
              <w:rPr>
                <w:rFonts w:ascii="Arial" w:hAnsi="Arial"/>
                <w:snapToGrid w:val="0"/>
                <w:color w:val="auto"/>
                <w:highlight w:val="none"/>
              </w:rPr>
            </w:pPr>
            <w:r>
              <w:rPr>
                <w:rFonts w:ascii="Arial" w:hAnsi="Arial"/>
                <w:snapToGrid w:val="0"/>
                <w:color w:val="auto"/>
                <w:highlight w:val="none"/>
              </w:rPr>
              <w:t>使用温度</w:t>
            </w:r>
          </w:p>
        </w:tc>
        <w:tc>
          <w:tcPr>
            <w:tcW w:w="1076" w:type="dxa"/>
            <w:vAlign w:val="center"/>
          </w:tcPr>
          <w:p w14:paraId="6695CB82">
            <w:pPr>
              <w:shd w:val="clear"/>
              <w:adjustRightInd w:val="0"/>
              <w:ind w:firstLine="0" w:firstLineChars="0"/>
              <w:rPr>
                <w:rFonts w:ascii="Arial" w:hAnsi="Arial"/>
                <w:snapToGrid w:val="0"/>
                <w:color w:val="auto"/>
                <w:highlight w:val="none"/>
              </w:rPr>
            </w:pPr>
            <w:r>
              <w:rPr>
                <w:rFonts w:hint="eastAsia" w:ascii="Arial" w:hAnsi="Arial"/>
                <w:snapToGrid w:val="0"/>
                <w:color w:val="auto"/>
                <w:highlight w:val="none"/>
              </w:rPr>
              <w:t>℃</w:t>
            </w:r>
          </w:p>
        </w:tc>
        <w:tc>
          <w:tcPr>
            <w:tcW w:w="3777" w:type="dxa"/>
            <w:vAlign w:val="center"/>
          </w:tcPr>
          <w:p w14:paraId="5AE7D108">
            <w:pPr>
              <w:shd w:val="clear"/>
              <w:adjustRightInd w:val="0"/>
              <w:ind w:firstLine="0" w:firstLineChars="0"/>
              <w:rPr>
                <w:rFonts w:ascii="Arial" w:hAnsi="Arial"/>
                <w:snapToGrid w:val="0"/>
                <w:color w:val="auto"/>
                <w:highlight w:val="none"/>
              </w:rPr>
            </w:pPr>
            <w:r>
              <w:rPr>
                <w:rFonts w:ascii="Arial" w:hAnsi="Arial"/>
                <w:snapToGrid w:val="0"/>
                <w:color w:val="auto"/>
                <w:highlight w:val="none"/>
              </w:rPr>
              <w:t>常温</w:t>
            </w:r>
          </w:p>
        </w:tc>
        <w:tc>
          <w:tcPr>
            <w:tcW w:w="863" w:type="dxa"/>
            <w:vAlign w:val="center"/>
          </w:tcPr>
          <w:p w14:paraId="51CC946C">
            <w:pPr>
              <w:shd w:val="clear"/>
              <w:adjustRightInd w:val="0"/>
              <w:ind w:firstLine="0" w:firstLineChars="0"/>
              <w:rPr>
                <w:rFonts w:ascii="Arial" w:hAnsi="Arial"/>
                <w:snapToGrid w:val="0"/>
                <w:color w:val="auto"/>
                <w:highlight w:val="none"/>
              </w:rPr>
            </w:pPr>
          </w:p>
        </w:tc>
      </w:tr>
      <w:tr w14:paraId="17331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6" w:type="dxa"/>
            <w:vAlign w:val="center"/>
          </w:tcPr>
          <w:p w14:paraId="4F1E34F4">
            <w:pPr>
              <w:shd w:val="clear"/>
              <w:adjustRightInd w:val="0"/>
              <w:ind w:firstLine="0" w:firstLineChars="0"/>
              <w:rPr>
                <w:rFonts w:ascii="Arial" w:hAnsi="Arial"/>
                <w:snapToGrid w:val="0"/>
                <w:color w:val="auto"/>
                <w:highlight w:val="none"/>
              </w:rPr>
            </w:pPr>
            <w:r>
              <w:rPr>
                <w:rFonts w:ascii="Arial" w:hAnsi="Arial"/>
                <w:snapToGrid w:val="0"/>
                <w:color w:val="auto"/>
                <w:highlight w:val="none"/>
              </w:rPr>
              <w:t>2.5</w:t>
            </w:r>
          </w:p>
        </w:tc>
        <w:tc>
          <w:tcPr>
            <w:tcW w:w="1750" w:type="dxa"/>
            <w:vAlign w:val="center"/>
          </w:tcPr>
          <w:p w14:paraId="5EF76E93">
            <w:pPr>
              <w:shd w:val="clear"/>
              <w:adjustRightInd w:val="0"/>
              <w:ind w:firstLine="0" w:firstLineChars="0"/>
              <w:rPr>
                <w:rFonts w:ascii="Arial" w:hAnsi="Arial"/>
                <w:snapToGrid w:val="0"/>
                <w:color w:val="auto"/>
                <w:highlight w:val="none"/>
              </w:rPr>
            </w:pPr>
            <w:r>
              <w:rPr>
                <w:rFonts w:ascii="Arial" w:hAnsi="Arial"/>
                <w:snapToGrid w:val="0"/>
                <w:color w:val="auto"/>
                <w:highlight w:val="none"/>
              </w:rPr>
              <w:t>耐温</w:t>
            </w:r>
          </w:p>
        </w:tc>
        <w:tc>
          <w:tcPr>
            <w:tcW w:w="1076" w:type="dxa"/>
            <w:vAlign w:val="center"/>
          </w:tcPr>
          <w:p w14:paraId="7ED5B1CD">
            <w:pPr>
              <w:shd w:val="clear"/>
              <w:adjustRightInd w:val="0"/>
              <w:ind w:firstLine="0" w:firstLineChars="0"/>
              <w:rPr>
                <w:rFonts w:ascii="Arial" w:hAnsi="Arial"/>
                <w:snapToGrid w:val="0"/>
                <w:color w:val="auto"/>
                <w:highlight w:val="none"/>
              </w:rPr>
            </w:pPr>
            <w:r>
              <w:rPr>
                <w:rFonts w:hint="eastAsia" w:ascii="Arial" w:hAnsi="Arial"/>
                <w:snapToGrid w:val="0"/>
                <w:color w:val="auto"/>
                <w:highlight w:val="none"/>
              </w:rPr>
              <w:t>℃</w:t>
            </w:r>
          </w:p>
        </w:tc>
        <w:tc>
          <w:tcPr>
            <w:tcW w:w="3777" w:type="dxa"/>
            <w:vAlign w:val="center"/>
          </w:tcPr>
          <w:p w14:paraId="473FDDE1">
            <w:pPr>
              <w:shd w:val="clear"/>
              <w:ind w:firstLine="0" w:firstLineChars="0"/>
              <w:rPr>
                <w:rFonts w:ascii="Arial" w:hAnsi="Arial"/>
                <w:snapToGrid w:val="0"/>
                <w:color w:val="auto"/>
                <w:highlight w:val="none"/>
              </w:rPr>
            </w:pPr>
            <w:r>
              <w:rPr>
                <w:rFonts w:ascii="Arial" w:hAnsi="Arial"/>
                <w:snapToGrid w:val="0"/>
                <w:color w:val="auto"/>
                <w:highlight w:val="none"/>
              </w:rPr>
              <w:t>150</w:t>
            </w:r>
          </w:p>
        </w:tc>
        <w:tc>
          <w:tcPr>
            <w:tcW w:w="863" w:type="dxa"/>
            <w:vAlign w:val="center"/>
          </w:tcPr>
          <w:p w14:paraId="24D43313">
            <w:pPr>
              <w:shd w:val="clear"/>
              <w:adjustRightInd w:val="0"/>
              <w:ind w:firstLine="0" w:firstLineChars="0"/>
              <w:rPr>
                <w:rFonts w:ascii="Arial" w:hAnsi="Arial"/>
                <w:snapToGrid w:val="0"/>
                <w:color w:val="auto"/>
                <w:highlight w:val="none"/>
              </w:rPr>
            </w:pPr>
          </w:p>
        </w:tc>
      </w:tr>
      <w:tr w14:paraId="00BD6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6" w:type="dxa"/>
            <w:vAlign w:val="center"/>
          </w:tcPr>
          <w:p w14:paraId="1D1FF91C">
            <w:pPr>
              <w:shd w:val="clear"/>
              <w:adjustRightInd w:val="0"/>
              <w:ind w:firstLine="0" w:firstLineChars="0"/>
              <w:rPr>
                <w:rFonts w:ascii="Arial" w:hAnsi="Arial"/>
                <w:snapToGrid w:val="0"/>
                <w:color w:val="auto"/>
                <w:highlight w:val="none"/>
              </w:rPr>
            </w:pPr>
            <w:r>
              <w:rPr>
                <w:rFonts w:ascii="Arial" w:hAnsi="Arial"/>
                <w:snapToGrid w:val="0"/>
                <w:color w:val="auto"/>
                <w:highlight w:val="none"/>
              </w:rPr>
              <w:t>2.6</w:t>
            </w:r>
          </w:p>
        </w:tc>
        <w:tc>
          <w:tcPr>
            <w:tcW w:w="1750" w:type="dxa"/>
            <w:vAlign w:val="center"/>
          </w:tcPr>
          <w:p w14:paraId="59C60194">
            <w:pPr>
              <w:shd w:val="clear"/>
              <w:adjustRightInd w:val="0"/>
              <w:ind w:firstLine="0" w:firstLineChars="0"/>
              <w:rPr>
                <w:rFonts w:ascii="Arial" w:hAnsi="Arial"/>
                <w:snapToGrid w:val="0"/>
                <w:color w:val="auto"/>
                <w:highlight w:val="none"/>
              </w:rPr>
            </w:pPr>
            <w:r>
              <w:rPr>
                <w:rFonts w:ascii="Arial" w:hAnsi="Arial"/>
                <w:snapToGrid w:val="0"/>
                <w:color w:val="auto"/>
                <w:highlight w:val="none"/>
              </w:rPr>
              <w:t>传动方式</w:t>
            </w:r>
          </w:p>
        </w:tc>
        <w:tc>
          <w:tcPr>
            <w:tcW w:w="1076" w:type="dxa"/>
            <w:vAlign w:val="center"/>
          </w:tcPr>
          <w:p w14:paraId="22325E41">
            <w:pPr>
              <w:shd w:val="clear"/>
              <w:adjustRightInd w:val="0"/>
              <w:ind w:firstLine="0" w:firstLineChars="0"/>
              <w:rPr>
                <w:rFonts w:ascii="Arial" w:hAnsi="Arial"/>
                <w:snapToGrid w:val="0"/>
                <w:color w:val="auto"/>
                <w:highlight w:val="none"/>
              </w:rPr>
            </w:pPr>
          </w:p>
        </w:tc>
        <w:tc>
          <w:tcPr>
            <w:tcW w:w="3777" w:type="dxa"/>
            <w:vAlign w:val="center"/>
          </w:tcPr>
          <w:p w14:paraId="48E7C38F">
            <w:pPr>
              <w:shd w:val="clear"/>
              <w:ind w:firstLine="0" w:firstLineChars="0"/>
              <w:rPr>
                <w:rFonts w:ascii="Arial" w:hAnsi="Arial"/>
                <w:snapToGrid w:val="0"/>
                <w:color w:val="auto"/>
                <w:highlight w:val="none"/>
              </w:rPr>
            </w:pPr>
            <w:r>
              <w:rPr>
                <w:rFonts w:hint="eastAsia" w:ascii="Arial" w:hAnsi="Arial"/>
                <w:snapToGrid w:val="0"/>
                <w:color w:val="auto"/>
                <w:highlight w:val="none"/>
              </w:rPr>
              <w:t>膜片式</w:t>
            </w:r>
            <w:r>
              <w:rPr>
                <w:rFonts w:ascii="Arial" w:hAnsi="Arial"/>
                <w:snapToGrid w:val="0"/>
                <w:color w:val="auto"/>
                <w:highlight w:val="none"/>
              </w:rPr>
              <w:t>联轴器</w:t>
            </w:r>
          </w:p>
        </w:tc>
        <w:tc>
          <w:tcPr>
            <w:tcW w:w="863" w:type="dxa"/>
            <w:vAlign w:val="center"/>
          </w:tcPr>
          <w:p w14:paraId="07CC11E5">
            <w:pPr>
              <w:shd w:val="clear"/>
              <w:adjustRightInd w:val="0"/>
              <w:ind w:firstLine="0" w:firstLineChars="0"/>
              <w:rPr>
                <w:rFonts w:ascii="Arial" w:hAnsi="Arial"/>
                <w:snapToGrid w:val="0"/>
                <w:color w:val="auto"/>
                <w:highlight w:val="none"/>
              </w:rPr>
            </w:pPr>
          </w:p>
        </w:tc>
      </w:tr>
      <w:tr w14:paraId="2965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6" w:type="dxa"/>
            <w:vAlign w:val="center"/>
          </w:tcPr>
          <w:p w14:paraId="10C18A66">
            <w:pPr>
              <w:shd w:val="clear"/>
              <w:adjustRightInd w:val="0"/>
              <w:ind w:firstLine="0" w:firstLineChars="0"/>
              <w:rPr>
                <w:rFonts w:ascii="Arial" w:hAnsi="Arial"/>
                <w:snapToGrid w:val="0"/>
                <w:color w:val="auto"/>
                <w:highlight w:val="none"/>
              </w:rPr>
            </w:pPr>
            <w:r>
              <w:rPr>
                <w:rFonts w:ascii="Arial" w:hAnsi="Arial"/>
                <w:snapToGrid w:val="0"/>
                <w:color w:val="auto"/>
                <w:highlight w:val="none"/>
              </w:rPr>
              <w:t>3</w:t>
            </w:r>
          </w:p>
        </w:tc>
        <w:tc>
          <w:tcPr>
            <w:tcW w:w="1750" w:type="dxa"/>
            <w:vAlign w:val="center"/>
          </w:tcPr>
          <w:p w14:paraId="69448089">
            <w:pPr>
              <w:shd w:val="clear"/>
              <w:adjustRightInd w:val="0"/>
              <w:ind w:firstLine="0" w:firstLineChars="0"/>
              <w:rPr>
                <w:rFonts w:ascii="Arial" w:hAnsi="Arial"/>
                <w:snapToGrid w:val="0"/>
                <w:color w:val="auto"/>
                <w:highlight w:val="none"/>
              </w:rPr>
            </w:pPr>
            <w:r>
              <w:rPr>
                <w:rFonts w:ascii="Arial" w:hAnsi="Arial"/>
                <w:snapToGrid w:val="0"/>
                <w:color w:val="auto"/>
                <w:highlight w:val="none"/>
              </w:rPr>
              <w:t>电机参数</w:t>
            </w:r>
          </w:p>
        </w:tc>
        <w:tc>
          <w:tcPr>
            <w:tcW w:w="1076" w:type="dxa"/>
            <w:vAlign w:val="center"/>
          </w:tcPr>
          <w:p w14:paraId="2F9AB85C">
            <w:pPr>
              <w:shd w:val="clear"/>
              <w:adjustRightInd w:val="0"/>
              <w:ind w:firstLine="0" w:firstLineChars="0"/>
              <w:rPr>
                <w:rFonts w:ascii="Arial" w:hAnsi="Arial"/>
                <w:snapToGrid w:val="0"/>
                <w:color w:val="auto"/>
                <w:highlight w:val="none"/>
              </w:rPr>
            </w:pPr>
          </w:p>
        </w:tc>
        <w:tc>
          <w:tcPr>
            <w:tcW w:w="3777" w:type="dxa"/>
            <w:vAlign w:val="center"/>
          </w:tcPr>
          <w:p w14:paraId="7098508D">
            <w:pPr>
              <w:shd w:val="clear"/>
              <w:adjustRightInd w:val="0"/>
              <w:ind w:firstLine="0" w:firstLineChars="0"/>
              <w:rPr>
                <w:rFonts w:ascii="Arial" w:hAnsi="Arial"/>
                <w:snapToGrid w:val="0"/>
                <w:color w:val="auto"/>
                <w:highlight w:val="none"/>
              </w:rPr>
            </w:pPr>
          </w:p>
        </w:tc>
        <w:tc>
          <w:tcPr>
            <w:tcW w:w="863" w:type="dxa"/>
            <w:vAlign w:val="center"/>
          </w:tcPr>
          <w:p w14:paraId="11A064B4">
            <w:pPr>
              <w:shd w:val="clear"/>
              <w:adjustRightInd w:val="0"/>
              <w:ind w:firstLine="0" w:firstLineChars="0"/>
              <w:rPr>
                <w:rFonts w:ascii="Arial" w:hAnsi="Arial"/>
                <w:snapToGrid w:val="0"/>
                <w:color w:val="auto"/>
                <w:highlight w:val="none"/>
              </w:rPr>
            </w:pPr>
          </w:p>
        </w:tc>
      </w:tr>
      <w:tr w14:paraId="49F34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6" w:type="dxa"/>
            <w:vAlign w:val="center"/>
          </w:tcPr>
          <w:p w14:paraId="1DDA7CCE">
            <w:pPr>
              <w:shd w:val="clear"/>
              <w:adjustRightInd w:val="0"/>
              <w:ind w:firstLine="0" w:firstLineChars="0"/>
              <w:rPr>
                <w:rFonts w:ascii="Arial" w:hAnsi="Arial"/>
                <w:snapToGrid w:val="0"/>
                <w:color w:val="auto"/>
                <w:highlight w:val="none"/>
              </w:rPr>
            </w:pPr>
            <w:r>
              <w:rPr>
                <w:rFonts w:ascii="Arial" w:hAnsi="Arial"/>
                <w:snapToGrid w:val="0"/>
                <w:color w:val="auto"/>
                <w:highlight w:val="none"/>
              </w:rPr>
              <w:t>3.1</w:t>
            </w:r>
          </w:p>
        </w:tc>
        <w:tc>
          <w:tcPr>
            <w:tcW w:w="1750" w:type="dxa"/>
            <w:vAlign w:val="center"/>
          </w:tcPr>
          <w:p w14:paraId="277A50AA">
            <w:pPr>
              <w:shd w:val="clear"/>
              <w:adjustRightInd w:val="0"/>
              <w:ind w:firstLine="0" w:firstLineChars="0"/>
              <w:rPr>
                <w:rFonts w:ascii="Arial" w:hAnsi="Arial"/>
                <w:snapToGrid w:val="0"/>
                <w:color w:val="auto"/>
                <w:highlight w:val="none"/>
              </w:rPr>
            </w:pPr>
            <w:r>
              <w:rPr>
                <w:rFonts w:ascii="Arial" w:hAnsi="Arial"/>
                <w:snapToGrid w:val="0"/>
                <w:color w:val="auto"/>
                <w:highlight w:val="none"/>
              </w:rPr>
              <w:t>电机运行方式</w:t>
            </w:r>
          </w:p>
        </w:tc>
        <w:tc>
          <w:tcPr>
            <w:tcW w:w="1076" w:type="dxa"/>
            <w:vAlign w:val="center"/>
          </w:tcPr>
          <w:p w14:paraId="2DE284B4">
            <w:pPr>
              <w:shd w:val="clear"/>
              <w:adjustRightInd w:val="0"/>
              <w:ind w:firstLine="0" w:firstLineChars="0"/>
              <w:rPr>
                <w:rFonts w:ascii="Arial" w:hAnsi="Arial"/>
                <w:snapToGrid w:val="0"/>
                <w:color w:val="auto"/>
                <w:highlight w:val="none"/>
              </w:rPr>
            </w:pPr>
          </w:p>
        </w:tc>
        <w:tc>
          <w:tcPr>
            <w:tcW w:w="3777" w:type="dxa"/>
            <w:vAlign w:val="center"/>
          </w:tcPr>
          <w:p w14:paraId="713FF13D">
            <w:pPr>
              <w:shd w:val="clear"/>
              <w:adjustRightInd w:val="0"/>
              <w:ind w:firstLine="0" w:firstLineChars="0"/>
              <w:rPr>
                <w:rFonts w:hint="default" w:ascii="Arial" w:hAnsi="Arial" w:eastAsia="宋体"/>
                <w:snapToGrid w:val="0"/>
                <w:color w:val="auto"/>
                <w:highlight w:val="none"/>
                <w:lang w:val="en-US" w:eastAsia="zh-CN"/>
              </w:rPr>
            </w:pPr>
            <w:r>
              <w:rPr>
                <w:rFonts w:ascii="Arial" w:hAnsi="Arial"/>
                <w:snapToGrid w:val="0"/>
                <w:color w:val="auto"/>
                <w:highlight w:val="none"/>
              </w:rPr>
              <w:t>变频调速</w:t>
            </w:r>
            <w:r>
              <w:rPr>
                <w:rFonts w:hint="eastAsia" w:ascii="Arial" w:hAnsi="Arial"/>
                <w:snapToGrid w:val="0"/>
                <w:color w:val="auto"/>
                <w:highlight w:val="none"/>
                <w:lang w:val="en-US" w:eastAsia="zh-CN"/>
              </w:rPr>
              <w:t>+软启</w:t>
            </w:r>
          </w:p>
        </w:tc>
        <w:tc>
          <w:tcPr>
            <w:tcW w:w="863" w:type="dxa"/>
            <w:vAlign w:val="center"/>
          </w:tcPr>
          <w:p w14:paraId="2C2DD562">
            <w:pPr>
              <w:shd w:val="clear"/>
              <w:adjustRightInd w:val="0"/>
              <w:ind w:firstLine="0" w:firstLineChars="0"/>
              <w:rPr>
                <w:rFonts w:ascii="Arial" w:hAnsi="Arial"/>
                <w:snapToGrid w:val="0"/>
                <w:color w:val="auto"/>
                <w:highlight w:val="none"/>
              </w:rPr>
            </w:pPr>
          </w:p>
        </w:tc>
      </w:tr>
      <w:tr w14:paraId="21A6A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6" w:type="dxa"/>
            <w:vAlign w:val="center"/>
          </w:tcPr>
          <w:p w14:paraId="5D4D2E63">
            <w:pPr>
              <w:shd w:val="clear"/>
              <w:adjustRightInd w:val="0"/>
              <w:ind w:firstLine="0" w:firstLineChars="0"/>
              <w:rPr>
                <w:rFonts w:ascii="Arial" w:hAnsi="Arial"/>
                <w:snapToGrid w:val="0"/>
                <w:color w:val="auto"/>
                <w:highlight w:val="none"/>
              </w:rPr>
            </w:pPr>
            <w:r>
              <w:rPr>
                <w:rFonts w:ascii="Arial" w:hAnsi="Arial"/>
                <w:snapToGrid w:val="0"/>
                <w:color w:val="auto"/>
                <w:highlight w:val="none"/>
              </w:rPr>
              <w:t>3.2</w:t>
            </w:r>
          </w:p>
        </w:tc>
        <w:tc>
          <w:tcPr>
            <w:tcW w:w="1750" w:type="dxa"/>
            <w:vAlign w:val="center"/>
          </w:tcPr>
          <w:p w14:paraId="6FC9CE4F">
            <w:pPr>
              <w:shd w:val="clear"/>
              <w:adjustRightInd w:val="0"/>
              <w:ind w:firstLine="0" w:firstLineChars="0"/>
              <w:rPr>
                <w:rFonts w:ascii="Arial" w:hAnsi="Arial"/>
                <w:snapToGrid w:val="0"/>
                <w:color w:val="auto"/>
                <w:highlight w:val="none"/>
              </w:rPr>
            </w:pPr>
            <w:r>
              <w:rPr>
                <w:rFonts w:ascii="Arial" w:hAnsi="Arial"/>
                <w:snapToGrid w:val="0"/>
                <w:color w:val="auto"/>
                <w:highlight w:val="none"/>
              </w:rPr>
              <w:t>电机功率</w:t>
            </w:r>
          </w:p>
        </w:tc>
        <w:tc>
          <w:tcPr>
            <w:tcW w:w="1076" w:type="dxa"/>
            <w:vAlign w:val="center"/>
          </w:tcPr>
          <w:p w14:paraId="07F6F1C1">
            <w:pPr>
              <w:shd w:val="clear"/>
              <w:adjustRightInd w:val="0"/>
              <w:ind w:firstLine="0" w:firstLineChars="0"/>
              <w:rPr>
                <w:rFonts w:ascii="Arial" w:hAnsi="Arial"/>
                <w:snapToGrid w:val="0"/>
                <w:color w:val="auto"/>
                <w:highlight w:val="none"/>
              </w:rPr>
            </w:pPr>
            <w:r>
              <w:rPr>
                <w:rFonts w:ascii="Arial" w:hAnsi="Arial"/>
                <w:snapToGrid w:val="0"/>
                <w:color w:val="auto"/>
                <w:highlight w:val="none"/>
              </w:rPr>
              <w:t>kW</w:t>
            </w:r>
          </w:p>
        </w:tc>
        <w:tc>
          <w:tcPr>
            <w:tcW w:w="3777" w:type="dxa"/>
            <w:vAlign w:val="center"/>
          </w:tcPr>
          <w:p w14:paraId="4CB0627A">
            <w:pPr>
              <w:shd w:val="clear"/>
              <w:adjustRightInd w:val="0"/>
              <w:ind w:firstLine="0" w:firstLineChars="0"/>
              <w:rPr>
                <w:rFonts w:ascii="Arial" w:hAnsi="Arial"/>
                <w:snapToGrid w:val="0"/>
                <w:color w:val="auto"/>
                <w:highlight w:val="none"/>
              </w:rPr>
            </w:pPr>
            <w:r>
              <w:rPr>
                <w:rFonts w:hint="eastAsia" w:ascii="Arial" w:hAnsi="Arial"/>
                <w:snapToGrid w:val="0"/>
                <w:color w:val="auto"/>
                <w:highlight w:val="none"/>
              </w:rPr>
              <w:t>315</w:t>
            </w:r>
            <w:r>
              <w:rPr>
                <w:rFonts w:ascii="Arial" w:hAnsi="Arial"/>
                <w:snapToGrid w:val="0"/>
                <w:color w:val="auto"/>
                <w:highlight w:val="none"/>
              </w:rPr>
              <w:t>0kW</w:t>
            </w:r>
          </w:p>
        </w:tc>
        <w:tc>
          <w:tcPr>
            <w:tcW w:w="863" w:type="dxa"/>
            <w:vAlign w:val="center"/>
          </w:tcPr>
          <w:p w14:paraId="2F68A388">
            <w:pPr>
              <w:shd w:val="clear"/>
              <w:adjustRightInd w:val="0"/>
              <w:ind w:firstLine="0" w:firstLineChars="0"/>
              <w:rPr>
                <w:rFonts w:ascii="Arial" w:hAnsi="Arial"/>
                <w:snapToGrid w:val="0"/>
                <w:color w:val="auto"/>
                <w:highlight w:val="none"/>
              </w:rPr>
            </w:pPr>
          </w:p>
        </w:tc>
      </w:tr>
      <w:tr w14:paraId="6EDD2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6" w:type="dxa"/>
            <w:vAlign w:val="center"/>
          </w:tcPr>
          <w:p w14:paraId="75A58001">
            <w:pPr>
              <w:shd w:val="clear"/>
              <w:adjustRightInd w:val="0"/>
              <w:ind w:firstLine="0" w:firstLineChars="0"/>
              <w:rPr>
                <w:rFonts w:ascii="Arial" w:hAnsi="Arial"/>
                <w:snapToGrid w:val="0"/>
                <w:color w:val="auto"/>
                <w:highlight w:val="none"/>
              </w:rPr>
            </w:pPr>
            <w:r>
              <w:rPr>
                <w:rFonts w:ascii="Arial" w:hAnsi="Arial"/>
                <w:snapToGrid w:val="0"/>
                <w:color w:val="auto"/>
                <w:highlight w:val="none"/>
              </w:rPr>
              <w:t>3.3</w:t>
            </w:r>
          </w:p>
        </w:tc>
        <w:tc>
          <w:tcPr>
            <w:tcW w:w="1750" w:type="dxa"/>
            <w:vAlign w:val="center"/>
          </w:tcPr>
          <w:p w14:paraId="3144C305">
            <w:pPr>
              <w:shd w:val="clear"/>
              <w:adjustRightInd w:val="0"/>
              <w:ind w:firstLine="0" w:firstLineChars="0"/>
              <w:rPr>
                <w:rFonts w:ascii="Arial" w:hAnsi="Arial"/>
                <w:snapToGrid w:val="0"/>
                <w:color w:val="auto"/>
                <w:highlight w:val="none"/>
              </w:rPr>
            </w:pPr>
            <w:r>
              <w:rPr>
                <w:rFonts w:ascii="Arial" w:hAnsi="Arial"/>
                <w:snapToGrid w:val="0"/>
                <w:color w:val="auto"/>
                <w:highlight w:val="none"/>
              </w:rPr>
              <w:t>电机电压</w:t>
            </w:r>
          </w:p>
        </w:tc>
        <w:tc>
          <w:tcPr>
            <w:tcW w:w="1076" w:type="dxa"/>
            <w:vAlign w:val="center"/>
          </w:tcPr>
          <w:p w14:paraId="56D57CB0">
            <w:pPr>
              <w:shd w:val="clear"/>
              <w:adjustRightInd w:val="0"/>
              <w:ind w:firstLine="0" w:firstLineChars="0"/>
              <w:rPr>
                <w:rFonts w:ascii="Arial" w:hAnsi="Arial"/>
                <w:snapToGrid w:val="0"/>
                <w:color w:val="auto"/>
                <w:highlight w:val="none"/>
              </w:rPr>
            </w:pPr>
            <w:r>
              <w:rPr>
                <w:rFonts w:ascii="Arial" w:hAnsi="Arial"/>
                <w:snapToGrid w:val="0"/>
                <w:color w:val="auto"/>
                <w:highlight w:val="none"/>
              </w:rPr>
              <w:t>V</w:t>
            </w:r>
          </w:p>
        </w:tc>
        <w:tc>
          <w:tcPr>
            <w:tcW w:w="3777" w:type="dxa"/>
            <w:vAlign w:val="center"/>
          </w:tcPr>
          <w:p w14:paraId="3D0D78E5">
            <w:pPr>
              <w:shd w:val="clear"/>
              <w:adjustRightInd w:val="0"/>
              <w:ind w:firstLine="0" w:firstLineChars="0"/>
              <w:rPr>
                <w:rFonts w:ascii="Arial" w:hAnsi="Arial"/>
                <w:snapToGrid w:val="0"/>
                <w:color w:val="auto"/>
                <w:highlight w:val="none"/>
              </w:rPr>
            </w:pPr>
            <w:r>
              <w:rPr>
                <w:rFonts w:hint="eastAsia" w:ascii="Arial" w:hAnsi="Arial"/>
                <w:snapToGrid w:val="0"/>
                <w:color w:val="auto"/>
                <w:highlight w:val="none"/>
              </w:rPr>
              <w:t>10</w:t>
            </w:r>
            <w:r>
              <w:rPr>
                <w:rFonts w:ascii="Arial" w:hAnsi="Arial"/>
                <w:snapToGrid w:val="0"/>
                <w:color w:val="auto"/>
                <w:highlight w:val="none"/>
              </w:rPr>
              <w:t>k</w:t>
            </w:r>
          </w:p>
        </w:tc>
        <w:tc>
          <w:tcPr>
            <w:tcW w:w="863" w:type="dxa"/>
            <w:vAlign w:val="center"/>
          </w:tcPr>
          <w:p w14:paraId="705DB418">
            <w:pPr>
              <w:shd w:val="clear"/>
              <w:adjustRightInd w:val="0"/>
              <w:ind w:firstLine="0" w:firstLineChars="0"/>
              <w:rPr>
                <w:rFonts w:ascii="Arial" w:hAnsi="Arial"/>
                <w:snapToGrid w:val="0"/>
                <w:color w:val="auto"/>
                <w:highlight w:val="none"/>
              </w:rPr>
            </w:pPr>
          </w:p>
        </w:tc>
      </w:tr>
      <w:tr w14:paraId="7EC7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6" w:type="dxa"/>
            <w:vAlign w:val="center"/>
          </w:tcPr>
          <w:p w14:paraId="3974AA59">
            <w:pPr>
              <w:shd w:val="clear"/>
              <w:adjustRightInd w:val="0"/>
              <w:ind w:firstLine="0" w:firstLineChars="0"/>
              <w:rPr>
                <w:rFonts w:ascii="Arial" w:hAnsi="Arial"/>
                <w:snapToGrid w:val="0"/>
                <w:color w:val="auto"/>
                <w:highlight w:val="none"/>
              </w:rPr>
            </w:pPr>
            <w:r>
              <w:rPr>
                <w:rFonts w:ascii="Arial" w:hAnsi="Arial"/>
                <w:snapToGrid w:val="0"/>
                <w:color w:val="auto"/>
                <w:highlight w:val="none"/>
              </w:rPr>
              <w:t>3.4</w:t>
            </w:r>
          </w:p>
        </w:tc>
        <w:tc>
          <w:tcPr>
            <w:tcW w:w="1750" w:type="dxa"/>
            <w:vAlign w:val="center"/>
          </w:tcPr>
          <w:p w14:paraId="7EE90514">
            <w:pPr>
              <w:shd w:val="clear"/>
              <w:adjustRightInd w:val="0"/>
              <w:ind w:firstLine="0" w:firstLineChars="0"/>
              <w:rPr>
                <w:rFonts w:ascii="Arial" w:hAnsi="Arial"/>
                <w:snapToGrid w:val="0"/>
                <w:color w:val="auto"/>
                <w:highlight w:val="none"/>
              </w:rPr>
            </w:pPr>
            <w:r>
              <w:rPr>
                <w:rFonts w:ascii="Arial" w:hAnsi="Arial"/>
                <w:snapToGrid w:val="0"/>
                <w:color w:val="auto"/>
                <w:highlight w:val="none"/>
              </w:rPr>
              <w:t>防护等级</w:t>
            </w:r>
          </w:p>
        </w:tc>
        <w:tc>
          <w:tcPr>
            <w:tcW w:w="1076" w:type="dxa"/>
            <w:vAlign w:val="center"/>
          </w:tcPr>
          <w:p w14:paraId="0E18D578">
            <w:pPr>
              <w:shd w:val="clear"/>
              <w:adjustRightInd w:val="0"/>
              <w:ind w:firstLine="0" w:firstLineChars="0"/>
              <w:rPr>
                <w:rFonts w:ascii="Arial" w:hAnsi="Arial"/>
                <w:snapToGrid w:val="0"/>
                <w:color w:val="auto"/>
                <w:highlight w:val="none"/>
              </w:rPr>
            </w:pPr>
          </w:p>
        </w:tc>
        <w:tc>
          <w:tcPr>
            <w:tcW w:w="3777" w:type="dxa"/>
            <w:vAlign w:val="center"/>
          </w:tcPr>
          <w:p w14:paraId="5D49367B">
            <w:pPr>
              <w:shd w:val="clear"/>
              <w:adjustRightInd w:val="0"/>
              <w:ind w:firstLine="0" w:firstLineChars="0"/>
              <w:rPr>
                <w:rFonts w:ascii="Arial" w:hAnsi="Arial"/>
                <w:snapToGrid w:val="0"/>
                <w:color w:val="auto"/>
                <w:highlight w:val="none"/>
              </w:rPr>
            </w:pPr>
            <w:r>
              <w:rPr>
                <w:rFonts w:ascii="Arial" w:hAnsi="Arial"/>
                <w:snapToGrid w:val="0"/>
                <w:color w:val="auto"/>
                <w:highlight w:val="none"/>
              </w:rPr>
              <w:t>IP55</w:t>
            </w:r>
          </w:p>
        </w:tc>
        <w:tc>
          <w:tcPr>
            <w:tcW w:w="863" w:type="dxa"/>
            <w:vAlign w:val="center"/>
          </w:tcPr>
          <w:p w14:paraId="7458CD0A">
            <w:pPr>
              <w:shd w:val="clear"/>
              <w:adjustRightInd w:val="0"/>
              <w:ind w:firstLine="0" w:firstLineChars="0"/>
              <w:rPr>
                <w:rFonts w:ascii="Arial" w:hAnsi="Arial"/>
                <w:snapToGrid w:val="0"/>
                <w:color w:val="auto"/>
                <w:highlight w:val="none"/>
              </w:rPr>
            </w:pPr>
          </w:p>
        </w:tc>
      </w:tr>
      <w:tr w14:paraId="08EF5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6" w:type="dxa"/>
            <w:vAlign w:val="center"/>
          </w:tcPr>
          <w:p w14:paraId="6B3106BA">
            <w:pPr>
              <w:shd w:val="clear"/>
              <w:adjustRightInd w:val="0"/>
              <w:ind w:firstLine="0" w:firstLineChars="0"/>
              <w:rPr>
                <w:rFonts w:ascii="Arial" w:hAnsi="Arial"/>
                <w:snapToGrid w:val="0"/>
                <w:color w:val="auto"/>
                <w:highlight w:val="none"/>
              </w:rPr>
            </w:pPr>
            <w:r>
              <w:rPr>
                <w:rFonts w:ascii="Arial" w:hAnsi="Arial"/>
                <w:snapToGrid w:val="0"/>
                <w:color w:val="auto"/>
                <w:highlight w:val="none"/>
              </w:rPr>
              <w:t>3.5</w:t>
            </w:r>
          </w:p>
        </w:tc>
        <w:tc>
          <w:tcPr>
            <w:tcW w:w="1750" w:type="dxa"/>
            <w:vAlign w:val="center"/>
          </w:tcPr>
          <w:p w14:paraId="33DC3B48">
            <w:pPr>
              <w:shd w:val="clear"/>
              <w:adjustRightInd w:val="0"/>
              <w:ind w:firstLine="0" w:firstLineChars="0"/>
              <w:rPr>
                <w:rFonts w:ascii="Arial" w:hAnsi="Arial"/>
                <w:snapToGrid w:val="0"/>
                <w:color w:val="auto"/>
                <w:highlight w:val="none"/>
              </w:rPr>
            </w:pPr>
            <w:r>
              <w:rPr>
                <w:rFonts w:ascii="Arial" w:hAnsi="Arial"/>
                <w:snapToGrid w:val="0"/>
                <w:color w:val="auto"/>
                <w:highlight w:val="none"/>
              </w:rPr>
              <w:t>绝缘等级</w:t>
            </w:r>
          </w:p>
        </w:tc>
        <w:tc>
          <w:tcPr>
            <w:tcW w:w="1076" w:type="dxa"/>
            <w:vAlign w:val="center"/>
          </w:tcPr>
          <w:p w14:paraId="3667A58A">
            <w:pPr>
              <w:shd w:val="clear"/>
              <w:adjustRightInd w:val="0"/>
              <w:ind w:firstLine="0" w:firstLineChars="0"/>
              <w:rPr>
                <w:rFonts w:ascii="Arial" w:hAnsi="Arial"/>
                <w:snapToGrid w:val="0"/>
                <w:color w:val="auto"/>
                <w:highlight w:val="none"/>
              </w:rPr>
            </w:pPr>
          </w:p>
        </w:tc>
        <w:tc>
          <w:tcPr>
            <w:tcW w:w="3777" w:type="dxa"/>
            <w:vAlign w:val="center"/>
          </w:tcPr>
          <w:p w14:paraId="3B25E649">
            <w:pPr>
              <w:shd w:val="clear"/>
              <w:adjustRightInd w:val="0"/>
              <w:ind w:firstLine="0" w:firstLineChars="0"/>
              <w:rPr>
                <w:rFonts w:ascii="Arial" w:hAnsi="Arial"/>
                <w:snapToGrid w:val="0"/>
                <w:color w:val="auto"/>
                <w:highlight w:val="none"/>
              </w:rPr>
            </w:pPr>
            <w:r>
              <w:rPr>
                <w:rFonts w:ascii="Arial" w:hAnsi="Arial"/>
                <w:snapToGrid w:val="0"/>
                <w:color w:val="auto"/>
                <w:highlight w:val="none"/>
              </w:rPr>
              <w:t>F</w:t>
            </w:r>
          </w:p>
        </w:tc>
        <w:tc>
          <w:tcPr>
            <w:tcW w:w="863" w:type="dxa"/>
            <w:vAlign w:val="center"/>
          </w:tcPr>
          <w:p w14:paraId="49632968">
            <w:pPr>
              <w:shd w:val="clear"/>
              <w:adjustRightInd w:val="0"/>
              <w:ind w:firstLine="0" w:firstLineChars="0"/>
              <w:rPr>
                <w:rFonts w:ascii="Arial" w:hAnsi="Arial"/>
                <w:snapToGrid w:val="0"/>
                <w:color w:val="auto"/>
                <w:highlight w:val="none"/>
              </w:rPr>
            </w:pPr>
          </w:p>
        </w:tc>
      </w:tr>
      <w:tr w14:paraId="42B7E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6" w:type="dxa"/>
            <w:vAlign w:val="center"/>
          </w:tcPr>
          <w:p w14:paraId="1D51FFA9">
            <w:pPr>
              <w:shd w:val="clear"/>
              <w:adjustRightInd w:val="0"/>
              <w:ind w:firstLine="0" w:firstLineChars="0"/>
              <w:rPr>
                <w:rFonts w:ascii="Arial" w:hAnsi="Arial"/>
                <w:snapToGrid w:val="0"/>
                <w:color w:val="auto"/>
                <w:highlight w:val="none"/>
              </w:rPr>
            </w:pPr>
            <w:r>
              <w:rPr>
                <w:rFonts w:ascii="Arial" w:hAnsi="Arial"/>
                <w:snapToGrid w:val="0"/>
                <w:color w:val="auto"/>
                <w:highlight w:val="none"/>
              </w:rPr>
              <w:t>3.6</w:t>
            </w:r>
          </w:p>
        </w:tc>
        <w:tc>
          <w:tcPr>
            <w:tcW w:w="1750" w:type="dxa"/>
            <w:vAlign w:val="center"/>
          </w:tcPr>
          <w:p w14:paraId="4B6BDF7F">
            <w:pPr>
              <w:shd w:val="clear"/>
              <w:adjustRightInd w:val="0"/>
              <w:ind w:firstLine="0" w:firstLineChars="0"/>
              <w:rPr>
                <w:rFonts w:ascii="Arial" w:hAnsi="Arial"/>
                <w:snapToGrid w:val="0"/>
                <w:color w:val="auto"/>
                <w:highlight w:val="none"/>
              </w:rPr>
            </w:pPr>
            <w:r>
              <w:rPr>
                <w:rFonts w:hint="eastAsia" w:ascii="Arial" w:hAnsi="Arial"/>
                <w:snapToGrid w:val="0"/>
                <w:color w:val="auto"/>
                <w:highlight w:val="none"/>
              </w:rPr>
              <w:t>电机温升</w:t>
            </w:r>
            <w:r>
              <w:rPr>
                <w:rFonts w:ascii="Arial" w:hAnsi="Arial"/>
                <w:snapToGrid w:val="0"/>
                <w:color w:val="auto"/>
                <w:highlight w:val="none"/>
              </w:rPr>
              <w:t xml:space="preserve"> </w:t>
            </w:r>
          </w:p>
        </w:tc>
        <w:tc>
          <w:tcPr>
            <w:tcW w:w="1076" w:type="dxa"/>
            <w:vAlign w:val="center"/>
          </w:tcPr>
          <w:p w14:paraId="3DB99C87">
            <w:pPr>
              <w:shd w:val="clear"/>
              <w:adjustRightInd w:val="0"/>
              <w:ind w:firstLine="0" w:firstLineChars="0"/>
              <w:rPr>
                <w:rFonts w:ascii="Arial" w:hAnsi="Arial"/>
                <w:snapToGrid w:val="0"/>
                <w:color w:val="auto"/>
                <w:highlight w:val="none"/>
              </w:rPr>
            </w:pPr>
            <w:r>
              <w:rPr>
                <w:rFonts w:hint="eastAsia" w:ascii="Arial" w:hAnsi="Arial"/>
                <w:snapToGrid w:val="0"/>
                <w:color w:val="auto"/>
                <w:highlight w:val="none"/>
              </w:rPr>
              <w:t>级</w:t>
            </w:r>
          </w:p>
        </w:tc>
        <w:tc>
          <w:tcPr>
            <w:tcW w:w="3777" w:type="dxa"/>
            <w:vAlign w:val="center"/>
          </w:tcPr>
          <w:p w14:paraId="0B763EDB">
            <w:pPr>
              <w:shd w:val="clear"/>
              <w:adjustRightInd w:val="0"/>
              <w:ind w:firstLine="0" w:firstLineChars="0"/>
              <w:rPr>
                <w:rFonts w:ascii="Arial" w:hAnsi="Arial"/>
                <w:snapToGrid w:val="0"/>
                <w:color w:val="auto"/>
                <w:highlight w:val="none"/>
              </w:rPr>
            </w:pPr>
            <w:r>
              <w:rPr>
                <w:rFonts w:hint="eastAsia" w:ascii="Arial" w:hAnsi="Arial"/>
                <w:snapToGrid w:val="0"/>
                <w:color w:val="auto"/>
                <w:highlight w:val="none"/>
              </w:rPr>
              <w:t>B</w:t>
            </w:r>
            <w:r>
              <w:rPr>
                <w:rFonts w:ascii="Arial" w:hAnsi="Arial"/>
                <w:snapToGrid w:val="0"/>
                <w:color w:val="auto"/>
                <w:highlight w:val="none"/>
              </w:rPr>
              <w:t xml:space="preserve"> </w:t>
            </w:r>
          </w:p>
        </w:tc>
        <w:tc>
          <w:tcPr>
            <w:tcW w:w="863" w:type="dxa"/>
            <w:vAlign w:val="center"/>
          </w:tcPr>
          <w:p w14:paraId="5F2A1211">
            <w:pPr>
              <w:shd w:val="clear"/>
              <w:adjustRightInd w:val="0"/>
              <w:ind w:firstLine="0" w:firstLineChars="0"/>
              <w:rPr>
                <w:rFonts w:ascii="Arial" w:hAnsi="Arial"/>
                <w:snapToGrid w:val="0"/>
                <w:color w:val="auto"/>
                <w:highlight w:val="none"/>
              </w:rPr>
            </w:pPr>
          </w:p>
        </w:tc>
      </w:tr>
      <w:tr w14:paraId="16E81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6" w:type="dxa"/>
            <w:vAlign w:val="center"/>
          </w:tcPr>
          <w:p w14:paraId="40A72281">
            <w:pPr>
              <w:shd w:val="clear"/>
              <w:adjustRightInd w:val="0"/>
              <w:ind w:firstLine="0" w:firstLineChars="0"/>
              <w:rPr>
                <w:rFonts w:ascii="Arial" w:hAnsi="Arial"/>
                <w:snapToGrid w:val="0"/>
                <w:color w:val="auto"/>
                <w:highlight w:val="none"/>
              </w:rPr>
            </w:pPr>
            <w:r>
              <w:rPr>
                <w:rFonts w:ascii="Arial" w:hAnsi="Arial"/>
                <w:snapToGrid w:val="0"/>
                <w:color w:val="auto"/>
                <w:highlight w:val="none"/>
              </w:rPr>
              <w:t>3.7</w:t>
            </w:r>
          </w:p>
        </w:tc>
        <w:tc>
          <w:tcPr>
            <w:tcW w:w="1750" w:type="dxa"/>
            <w:vAlign w:val="center"/>
          </w:tcPr>
          <w:p w14:paraId="2D48FC83">
            <w:pPr>
              <w:shd w:val="clear"/>
              <w:adjustRightInd w:val="0"/>
              <w:ind w:firstLine="0" w:firstLineChars="0"/>
              <w:rPr>
                <w:rFonts w:ascii="Arial" w:hAnsi="Arial"/>
                <w:snapToGrid w:val="0"/>
                <w:color w:val="auto"/>
                <w:highlight w:val="none"/>
              </w:rPr>
            </w:pPr>
            <w:r>
              <w:rPr>
                <w:rFonts w:ascii="Arial" w:hAnsi="Arial"/>
                <w:snapToGrid w:val="0"/>
                <w:color w:val="auto"/>
                <w:highlight w:val="none"/>
              </w:rPr>
              <w:t>转速</w:t>
            </w:r>
          </w:p>
        </w:tc>
        <w:tc>
          <w:tcPr>
            <w:tcW w:w="1076" w:type="dxa"/>
            <w:vAlign w:val="center"/>
          </w:tcPr>
          <w:p w14:paraId="6E5E0D2F">
            <w:pPr>
              <w:shd w:val="clear"/>
              <w:adjustRightInd w:val="0"/>
              <w:ind w:firstLine="0" w:firstLineChars="0"/>
              <w:rPr>
                <w:rFonts w:ascii="Arial" w:hAnsi="Arial"/>
                <w:snapToGrid w:val="0"/>
                <w:color w:val="auto"/>
                <w:highlight w:val="none"/>
              </w:rPr>
            </w:pPr>
            <w:r>
              <w:rPr>
                <w:rFonts w:ascii="Arial" w:hAnsi="Arial"/>
                <w:snapToGrid w:val="0"/>
                <w:color w:val="auto"/>
                <w:highlight w:val="none"/>
              </w:rPr>
              <w:t>r/min</w:t>
            </w:r>
          </w:p>
        </w:tc>
        <w:tc>
          <w:tcPr>
            <w:tcW w:w="3777" w:type="dxa"/>
            <w:vAlign w:val="center"/>
          </w:tcPr>
          <w:p w14:paraId="3C7C8846">
            <w:pPr>
              <w:shd w:val="clear"/>
              <w:adjustRightInd w:val="0"/>
              <w:ind w:firstLine="0" w:firstLineChars="0"/>
              <w:rPr>
                <w:rFonts w:hint="default" w:ascii="Arial" w:hAnsi="Arial" w:eastAsia="宋体"/>
                <w:snapToGrid w:val="0"/>
                <w:color w:val="auto"/>
                <w:highlight w:val="none"/>
                <w:lang w:val="en-US" w:eastAsia="zh-CN"/>
              </w:rPr>
            </w:pPr>
            <w:r>
              <w:rPr>
                <w:rFonts w:ascii="Arial" w:hAnsi="Arial"/>
                <w:snapToGrid w:val="0"/>
                <w:color w:val="auto"/>
                <w:highlight w:val="none"/>
              </w:rPr>
              <w:t>~</w:t>
            </w:r>
            <w:r>
              <w:rPr>
                <w:rFonts w:hint="eastAsia" w:ascii="Arial" w:hAnsi="Arial"/>
                <w:snapToGrid w:val="0"/>
                <w:color w:val="auto"/>
                <w:highlight w:val="none"/>
                <w:lang w:val="en-US" w:eastAsia="zh-CN"/>
              </w:rPr>
              <w:t>740</w:t>
            </w:r>
          </w:p>
        </w:tc>
        <w:tc>
          <w:tcPr>
            <w:tcW w:w="863" w:type="dxa"/>
            <w:vAlign w:val="center"/>
          </w:tcPr>
          <w:p w14:paraId="138C230F">
            <w:pPr>
              <w:shd w:val="clear"/>
              <w:adjustRightInd w:val="0"/>
              <w:ind w:firstLine="0" w:firstLineChars="0"/>
              <w:rPr>
                <w:rFonts w:ascii="Arial" w:hAnsi="Arial"/>
                <w:snapToGrid w:val="0"/>
                <w:color w:val="auto"/>
                <w:highlight w:val="none"/>
              </w:rPr>
            </w:pPr>
          </w:p>
        </w:tc>
      </w:tr>
      <w:tr w14:paraId="74598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6" w:type="dxa"/>
            <w:vAlign w:val="center"/>
          </w:tcPr>
          <w:p w14:paraId="487BB2F0">
            <w:pPr>
              <w:shd w:val="clear"/>
              <w:adjustRightInd w:val="0"/>
              <w:ind w:firstLine="0" w:firstLineChars="0"/>
              <w:rPr>
                <w:rFonts w:ascii="Arial" w:hAnsi="Arial"/>
                <w:snapToGrid w:val="0"/>
                <w:color w:val="auto"/>
                <w:highlight w:val="none"/>
              </w:rPr>
            </w:pPr>
            <w:r>
              <w:rPr>
                <w:rFonts w:ascii="Arial" w:hAnsi="Arial"/>
                <w:snapToGrid w:val="0"/>
                <w:color w:val="auto"/>
                <w:highlight w:val="none"/>
              </w:rPr>
              <w:t>3.8</w:t>
            </w:r>
          </w:p>
        </w:tc>
        <w:tc>
          <w:tcPr>
            <w:tcW w:w="1750" w:type="dxa"/>
            <w:vAlign w:val="center"/>
          </w:tcPr>
          <w:p w14:paraId="3AB20FB0">
            <w:pPr>
              <w:shd w:val="clear"/>
              <w:adjustRightInd w:val="0"/>
              <w:ind w:firstLine="0" w:firstLineChars="0"/>
              <w:rPr>
                <w:rFonts w:ascii="Arial" w:hAnsi="Arial"/>
                <w:snapToGrid w:val="0"/>
                <w:color w:val="auto"/>
                <w:highlight w:val="none"/>
              </w:rPr>
            </w:pPr>
            <w:r>
              <w:rPr>
                <w:rFonts w:ascii="Arial" w:hAnsi="Arial"/>
                <w:snapToGrid w:val="0"/>
                <w:color w:val="auto"/>
                <w:highlight w:val="none"/>
              </w:rPr>
              <w:t>旋向角度</w:t>
            </w:r>
          </w:p>
        </w:tc>
        <w:tc>
          <w:tcPr>
            <w:tcW w:w="1076" w:type="dxa"/>
            <w:vAlign w:val="center"/>
          </w:tcPr>
          <w:p w14:paraId="1213D47C">
            <w:pPr>
              <w:shd w:val="clear"/>
              <w:adjustRightInd w:val="0"/>
              <w:ind w:firstLine="0" w:firstLineChars="0"/>
              <w:rPr>
                <w:rFonts w:ascii="Arial" w:hAnsi="Arial"/>
                <w:snapToGrid w:val="0"/>
                <w:color w:val="auto"/>
                <w:highlight w:val="none"/>
              </w:rPr>
            </w:pPr>
          </w:p>
        </w:tc>
        <w:tc>
          <w:tcPr>
            <w:tcW w:w="3777" w:type="dxa"/>
            <w:vAlign w:val="center"/>
          </w:tcPr>
          <w:p w14:paraId="1D64D162">
            <w:pPr>
              <w:shd w:val="clear"/>
              <w:adjustRightInd w:val="0"/>
              <w:ind w:firstLine="0" w:firstLineChars="0"/>
              <w:rPr>
                <w:rFonts w:ascii="Arial" w:hAnsi="Arial"/>
                <w:snapToGrid w:val="0"/>
                <w:color w:val="auto"/>
                <w:highlight w:val="none"/>
              </w:rPr>
            </w:pPr>
            <w:r>
              <w:rPr>
                <w:rFonts w:ascii="Arial" w:hAnsi="Arial"/>
                <w:snapToGrid w:val="0"/>
                <w:color w:val="auto"/>
                <w:highlight w:val="none"/>
              </w:rPr>
              <w:t>右旋0°</w:t>
            </w:r>
          </w:p>
        </w:tc>
        <w:tc>
          <w:tcPr>
            <w:tcW w:w="863" w:type="dxa"/>
            <w:vAlign w:val="center"/>
          </w:tcPr>
          <w:p w14:paraId="70D29FD5">
            <w:pPr>
              <w:shd w:val="clear"/>
              <w:adjustRightInd w:val="0"/>
              <w:ind w:firstLine="0" w:firstLineChars="0"/>
              <w:rPr>
                <w:rFonts w:ascii="Arial" w:hAnsi="Arial"/>
                <w:snapToGrid w:val="0"/>
                <w:color w:val="auto"/>
                <w:highlight w:val="none"/>
              </w:rPr>
            </w:pPr>
          </w:p>
        </w:tc>
      </w:tr>
      <w:tr w14:paraId="79BF6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6" w:type="dxa"/>
            <w:vAlign w:val="center"/>
          </w:tcPr>
          <w:p w14:paraId="2D02069D">
            <w:pPr>
              <w:shd w:val="clear"/>
              <w:adjustRightInd w:val="0"/>
              <w:ind w:firstLine="0" w:firstLineChars="0"/>
              <w:rPr>
                <w:rFonts w:ascii="Arial" w:hAnsi="Arial"/>
                <w:snapToGrid w:val="0"/>
                <w:color w:val="auto"/>
                <w:highlight w:val="none"/>
              </w:rPr>
            </w:pPr>
            <w:r>
              <w:rPr>
                <w:rFonts w:hint="eastAsia" w:ascii="Arial" w:hAnsi="Arial"/>
                <w:snapToGrid w:val="0"/>
                <w:color w:val="auto"/>
                <w:highlight w:val="none"/>
              </w:rPr>
              <w:t>3</w:t>
            </w:r>
            <w:r>
              <w:rPr>
                <w:rFonts w:ascii="Arial" w:hAnsi="Arial"/>
                <w:snapToGrid w:val="0"/>
                <w:color w:val="auto"/>
                <w:highlight w:val="none"/>
              </w:rPr>
              <w:t>.9</w:t>
            </w:r>
          </w:p>
        </w:tc>
        <w:tc>
          <w:tcPr>
            <w:tcW w:w="1750" w:type="dxa"/>
            <w:vAlign w:val="center"/>
          </w:tcPr>
          <w:p w14:paraId="4F859F01">
            <w:pPr>
              <w:shd w:val="clear"/>
              <w:adjustRightInd w:val="0"/>
              <w:ind w:firstLine="0" w:firstLineChars="0"/>
              <w:rPr>
                <w:rFonts w:ascii="Arial" w:hAnsi="Arial"/>
                <w:snapToGrid w:val="0"/>
                <w:color w:val="auto"/>
                <w:highlight w:val="none"/>
              </w:rPr>
            </w:pPr>
            <w:r>
              <w:rPr>
                <w:rFonts w:ascii="Arial" w:hAnsi="Arial"/>
                <w:snapToGrid w:val="0"/>
                <w:color w:val="auto"/>
                <w:highlight w:val="none"/>
              </w:rPr>
              <w:t>电机电流</w:t>
            </w:r>
          </w:p>
        </w:tc>
        <w:tc>
          <w:tcPr>
            <w:tcW w:w="1076" w:type="dxa"/>
            <w:vAlign w:val="center"/>
          </w:tcPr>
          <w:p w14:paraId="1EB65AEE">
            <w:pPr>
              <w:shd w:val="clear"/>
              <w:adjustRightInd w:val="0"/>
              <w:ind w:firstLine="0" w:firstLineChars="0"/>
              <w:rPr>
                <w:rFonts w:ascii="Arial" w:hAnsi="Arial"/>
                <w:snapToGrid w:val="0"/>
                <w:color w:val="auto"/>
                <w:highlight w:val="none"/>
              </w:rPr>
            </w:pPr>
          </w:p>
        </w:tc>
        <w:tc>
          <w:tcPr>
            <w:tcW w:w="3777" w:type="dxa"/>
            <w:vAlign w:val="center"/>
          </w:tcPr>
          <w:p w14:paraId="26F1DE57">
            <w:pPr>
              <w:shd w:val="clear"/>
              <w:adjustRightInd w:val="0"/>
              <w:ind w:firstLine="0" w:firstLineChars="0"/>
              <w:rPr>
                <w:rFonts w:ascii="Arial" w:hAnsi="Arial"/>
                <w:snapToGrid w:val="0"/>
                <w:color w:val="auto"/>
                <w:highlight w:val="none"/>
              </w:rPr>
            </w:pPr>
          </w:p>
        </w:tc>
        <w:tc>
          <w:tcPr>
            <w:tcW w:w="863" w:type="dxa"/>
            <w:vAlign w:val="center"/>
          </w:tcPr>
          <w:p w14:paraId="5C1ABBC6">
            <w:pPr>
              <w:shd w:val="clear"/>
              <w:adjustRightInd w:val="0"/>
              <w:ind w:firstLine="0" w:firstLineChars="0"/>
              <w:rPr>
                <w:rFonts w:ascii="Arial" w:hAnsi="Arial"/>
                <w:snapToGrid w:val="0"/>
                <w:color w:val="auto"/>
                <w:highlight w:val="none"/>
              </w:rPr>
            </w:pPr>
          </w:p>
        </w:tc>
      </w:tr>
      <w:tr w14:paraId="4F394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6" w:type="dxa"/>
            <w:vAlign w:val="center"/>
          </w:tcPr>
          <w:p w14:paraId="20761EEA">
            <w:pPr>
              <w:shd w:val="clear"/>
              <w:adjustRightInd w:val="0"/>
              <w:ind w:firstLine="0" w:firstLineChars="0"/>
              <w:rPr>
                <w:rFonts w:ascii="Arial" w:hAnsi="Arial"/>
                <w:snapToGrid w:val="0"/>
                <w:color w:val="auto"/>
                <w:highlight w:val="none"/>
              </w:rPr>
            </w:pPr>
            <w:r>
              <w:rPr>
                <w:rFonts w:ascii="Arial" w:hAnsi="Arial"/>
                <w:snapToGrid w:val="0"/>
                <w:color w:val="auto"/>
                <w:highlight w:val="none"/>
              </w:rPr>
              <w:t>4</w:t>
            </w:r>
          </w:p>
        </w:tc>
        <w:tc>
          <w:tcPr>
            <w:tcW w:w="1750" w:type="dxa"/>
            <w:vAlign w:val="center"/>
          </w:tcPr>
          <w:p w14:paraId="6E4FAE6F">
            <w:pPr>
              <w:shd w:val="clear"/>
              <w:adjustRightInd w:val="0"/>
              <w:ind w:firstLine="0" w:firstLineChars="0"/>
              <w:rPr>
                <w:rFonts w:ascii="Arial" w:hAnsi="Arial"/>
                <w:snapToGrid w:val="0"/>
                <w:color w:val="auto"/>
                <w:highlight w:val="none"/>
              </w:rPr>
            </w:pPr>
            <w:r>
              <w:rPr>
                <w:rFonts w:ascii="Arial" w:hAnsi="Arial"/>
                <w:snapToGrid w:val="0"/>
                <w:color w:val="auto"/>
                <w:highlight w:val="none"/>
              </w:rPr>
              <w:t>数量</w:t>
            </w:r>
          </w:p>
        </w:tc>
        <w:tc>
          <w:tcPr>
            <w:tcW w:w="1076" w:type="dxa"/>
            <w:vAlign w:val="center"/>
          </w:tcPr>
          <w:p w14:paraId="51376D5D">
            <w:pPr>
              <w:shd w:val="clear"/>
              <w:adjustRightInd w:val="0"/>
              <w:ind w:firstLine="0" w:firstLineChars="0"/>
              <w:rPr>
                <w:rFonts w:ascii="Arial" w:hAnsi="Arial"/>
                <w:snapToGrid w:val="0"/>
                <w:color w:val="auto"/>
                <w:highlight w:val="none"/>
              </w:rPr>
            </w:pPr>
            <w:r>
              <w:rPr>
                <w:rFonts w:ascii="Arial" w:hAnsi="Arial"/>
                <w:snapToGrid w:val="0"/>
                <w:color w:val="auto"/>
                <w:highlight w:val="none"/>
              </w:rPr>
              <w:t>套</w:t>
            </w:r>
          </w:p>
        </w:tc>
        <w:tc>
          <w:tcPr>
            <w:tcW w:w="3777" w:type="dxa"/>
            <w:vAlign w:val="center"/>
          </w:tcPr>
          <w:p w14:paraId="183366BD">
            <w:pPr>
              <w:shd w:val="clear"/>
              <w:adjustRightInd w:val="0"/>
              <w:ind w:firstLine="0" w:firstLineChars="0"/>
              <w:rPr>
                <w:rFonts w:ascii="Arial" w:hAnsi="Arial"/>
                <w:snapToGrid w:val="0"/>
                <w:color w:val="auto"/>
                <w:highlight w:val="none"/>
              </w:rPr>
            </w:pPr>
            <w:r>
              <w:rPr>
                <w:rFonts w:ascii="Arial" w:hAnsi="Arial"/>
                <w:snapToGrid w:val="0"/>
                <w:color w:val="auto"/>
                <w:highlight w:val="none"/>
              </w:rPr>
              <w:t>1</w:t>
            </w:r>
          </w:p>
        </w:tc>
        <w:tc>
          <w:tcPr>
            <w:tcW w:w="863" w:type="dxa"/>
            <w:vAlign w:val="center"/>
          </w:tcPr>
          <w:p w14:paraId="6928856C">
            <w:pPr>
              <w:shd w:val="clear"/>
              <w:adjustRightInd w:val="0"/>
              <w:ind w:firstLine="0" w:firstLineChars="0"/>
              <w:rPr>
                <w:rFonts w:ascii="Arial" w:hAnsi="Arial"/>
                <w:snapToGrid w:val="0"/>
                <w:color w:val="auto"/>
                <w:highlight w:val="none"/>
              </w:rPr>
            </w:pPr>
          </w:p>
        </w:tc>
      </w:tr>
      <w:tr w14:paraId="247B4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6" w:type="dxa"/>
            <w:vAlign w:val="center"/>
          </w:tcPr>
          <w:p w14:paraId="0A4681E0">
            <w:pPr>
              <w:shd w:val="clear"/>
              <w:adjustRightInd w:val="0"/>
              <w:ind w:firstLine="0" w:firstLineChars="0"/>
              <w:rPr>
                <w:rFonts w:ascii="Arial" w:hAnsi="Arial"/>
                <w:snapToGrid w:val="0"/>
                <w:color w:val="auto"/>
                <w:highlight w:val="none"/>
              </w:rPr>
            </w:pPr>
            <w:r>
              <w:rPr>
                <w:rFonts w:ascii="Arial" w:hAnsi="Arial"/>
                <w:snapToGrid w:val="0"/>
                <w:color w:val="auto"/>
                <w:highlight w:val="none"/>
              </w:rPr>
              <w:t>5</w:t>
            </w:r>
          </w:p>
        </w:tc>
        <w:tc>
          <w:tcPr>
            <w:tcW w:w="1750" w:type="dxa"/>
            <w:vAlign w:val="center"/>
          </w:tcPr>
          <w:p w14:paraId="16B67DAF">
            <w:pPr>
              <w:shd w:val="clear"/>
              <w:adjustRightInd w:val="0"/>
              <w:ind w:firstLine="0" w:firstLineChars="0"/>
              <w:rPr>
                <w:rFonts w:ascii="Arial" w:hAnsi="Arial"/>
                <w:snapToGrid w:val="0"/>
                <w:color w:val="auto"/>
                <w:highlight w:val="none"/>
              </w:rPr>
            </w:pPr>
            <w:r>
              <w:rPr>
                <w:rFonts w:ascii="Arial" w:hAnsi="Arial"/>
                <w:snapToGrid w:val="0"/>
                <w:color w:val="auto"/>
                <w:highlight w:val="none"/>
              </w:rPr>
              <w:t>调节方式</w:t>
            </w:r>
          </w:p>
        </w:tc>
        <w:tc>
          <w:tcPr>
            <w:tcW w:w="1076" w:type="dxa"/>
            <w:vAlign w:val="center"/>
          </w:tcPr>
          <w:p w14:paraId="13AF8ACD">
            <w:pPr>
              <w:shd w:val="clear"/>
              <w:adjustRightInd w:val="0"/>
              <w:ind w:firstLine="0" w:firstLineChars="0"/>
              <w:rPr>
                <w:rFonts w:ascii="Arial" w:hAnsi="Arial"/>
                <w:snapToGrid w:val="0"/>
                <w:color w:val="auto"/>
                <w:highlight w:val="none"/>
              </w:rPr>
            </w:pPr>
          </w:p>
        </w:tc>
        <w:tc>
          <w:tcPr>
            <w:tcW w:w="3777" w:type="dxa"/>
            <w:vAlign w:val="center"/>
          </w:tcPr>
          <w:p w14:paraId="66FA38F7">
            <w:pPr>
              <w:shd w:val="clear"/>
              <w:adjustRightInd w:val="0"/>
              <w:ind w:firstLine="0" w:firstLineChars="0"/>
              <w:rPr>
                <w:rFonts w:ascii="Arial" w:hAnsi="Arial"/>
                <w:snapToGrid w:val="0"/>
                <w:color w:val="auto"/>
                <w:highlight w:val="none"/>
              </w:rPr>
            </w:pPr>
            <w:r>
              <w:rPr>
                <w:rFonts w:ascii="Arial" w:hAnsi="Arial"/>
                <w:snapToGrid w:val="0"/>
                <w:color w:val="auto"/>
                <w:highlight w:val="none"/>
              </w:rPr>
              <w:t>风机入口调节</w:t>
            </w:r>
          </w:p>
        </w:tc>
        <w:tc>
          <w:tcPr>
            <w:tcW w:w="863" w:type="dxa"/>
            <w:vAlign w:val="center"/>
          </w:tcPr>
          <w:p w14:paraId="5E168516">
            <w:pPr>
              <w:shd w:val="clear"/>
              <w:adjustRightInd w:val="0"/>
              <w:ind w:firstLine="0" w:firstLineChars="0"/>
              <w:rPr>
                <w:rFonts w:ascii="Arial" w:hAnsi="Arial"/>
                <w:snapToGrid w:val="0"/>
                <w:color w:val="auto"/>
                <w:highlight w:val="none"/>
              </w:rPr>
            </w:pPr>
          </w:p>
        </w:tc>
      </w:tr>
      <w:tr w14:paraId="4BDDE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6" w:type="dxa"/>
            <w:vAlign w:val="center"/>
          </w:tcPr>
          <w:p w14:paraId="76C62CAD">
            <w:pPr>
              <w:shd w:val="clear"/>
              <w:adjustRightInd w:val="0"/>
              <w:ind w:firstLine="0" w:firstLineChars="0"/>
              <w:rPr>
                <w:rFonts w:ascii="Arial" w:hAnsi="Arial"/>
                <w:snapToGrid w:val="0"/>
                <w:color w:val="auto"/>
                <w:highlight w:val="none"/>
              </w:rPr>
            </w:pPr>
            <w:r>
              <w:rPr>
                <w:rFonts w:hint="eastAsia" w:ascii="Arial" w:hAnsi="Arial"/>
                <w:snapToGrid w:val="0"/>
                <w:color w:val="auto"/>
                <w:highlight w:val="none"/>
              </w:rPr>
              <w:t>6</w:t>
            </w:r>
          </w:p>
        </w:tc>
        <w:tc>
          <w:tcPr>
            <w:tcW w:w="1750" w:type="dxa"/>
            <w:vAlign w:val="center"/>
          </w:tcPr>
          <w:p w14:paraId="035E6B25">
            <w:pPr>
              <w:shd w:val="clear"/>
              <w:adjustRightInd w:val="0"/>
              <w:ind w:firstLine="0" w:firstLineChars="0"/>
              <w:rPr>
                <w:rFonts w:ascii="Arial" w:hAnsi="Arial"/>
                <w:snapToGrid w:val="0"/>
                <w:color w:val="auto"/>
                <w:highlight w:val="none"/>
              </w:rPr>
            </w:pPr>
            <w:r>
              <w:rPr>
                <w:rFonts w:hint="eastAsia" w:ascii="Arial" w:hAnsi="Arial"/>
                <w:snapToGrid w:val="0"/>
                <w:color w:val="auto"/>
                <w:highlight w:val="none"/>
              </w:rPr>
              <w:t>消音器</w:t>
            </w:r>
          </w:p>
        </w:tc>
        <w:tc>
          <w:tcPr>
            <w:tcW w:w="1076" w:type="dxa"/>
            <w:vAlign w:val="center"/>
          </w:tcPr>
          <w:p w14:paraId="0146E8A2">
            <w:pPr>
              <w:shd w:val="clear"/>
              <w:adjustRightInd w:val="0"/>
              <w:ind w:firstLine="0" w:firstLineChars="0"/>
              <w:rPr>
                <w:rFonts w:ascii="Arial" w:hAnsi="Arial"/>
                <w:snapToGrid w:val="0"/>
                <w:color w:val="auto"/>
                <w:highlight w:val="none"/>
              </w:rPr>
            </w:pPr>
          </w:p>
        </w:tc>
        <w:tc>
          <w:tcPr>
            <w:tcW w:w="3777" w:type="dxa"/>
            <w:vAlign w:val="center"/>
          </w:tcPr>
          <w:p w14:paraId="5DB2398D">
            <w:pPr>
              <w:shd w:val="clear"/>
              <w:adjustRightInd w:val="0"/>
              <w:ind w:firstLine="0" w:firstLineChars="0"/>
              <w:rPr>
                <w:rFonts w:ascii="Arial" w:hAnsi="Arial"/>
                <w:snapToGrid w:val="0"/>
                <w:color w:val="auto"/>
                <w:highlight w:val="none"/>
              </w:rPr>
            </w:pPr>
            <w:r>
              <w:rPr>
                <w:rFonts w:hint="eastAsia" w:ascii="Arial" w:hAnsi="Arial"/>
                <w:snapToGrid w:val="0"/>
                <w:color w:val="auto"/>
                <w:highlight w:val="none"/>
              </w:rPr>
              <w:t>配出口消音器</w:t>
            </w:r>
          </w:p>
        </w:tc>
        <w:tc>
          <w:tcPr>
            <w:tcW w:w="863" w:type="dxa"/>
            <w:vAlign w:val="center"/>
          </w:tcPr>
          <w:p w14:paraId="1876E390">
            <w:pPr>
              <w:shd w:val="clear"/>
              <w:adjustRightInd w:val="0"/>
              <w:ind w:firstLine="0" w:firstLineChars="0"/>
              <w:rPr>
                <w:rFonts w:ascii="Arial" w:hAnsi="Arial"/>
                <w:snapToGrid w:val="0"/>
                <w:color w:val="auto"/>
                <w:highlight w:val="none"/>
              </w:rPr>
            </w:pPr>
          </w:p>
        </w:tc>
      </w:tr>
    </w:tbl>
    <w:p w14:paraId="18950DA1">
      <w:pPr>
        <w:shd w:val="clear"/>
        <w:rPr>
          <w:color w:val="auto"/>
          <w:highlight w:val="none"/>
        </w:rPr>
      </w:pPr>
      <w:bookmarkStart w:id="615" w:name="_Toc105492967"/>
      <w:bookmarkStart w:id="616" w:name="_Toc175920397"/>
      <w:bookmarkStart w:id="617" w:name="_Toc32644"/>
      <w:r>
        <w:rPr>
          <w:rFonts w:hint="eastAsia"/>
          <w:color w:val="auto"/>
          <w:highlight w:val="none"/>
        </w:rPr>
        <w:t>3）</w:t>
      </w:r>
      <w:bookmarkEnd w:id="615"/>
      <w:bookmarkEnd w:id="616"/>
      <w:r>
        <w:rPr>
          <w:rFonts w:hint="eastAsia"/>
          <w:color w:val="auto"/>
          <w:highlight w:val="none"/>
        </w:rPr>
        <w:t xml:space="preserve">刮板输送机    </w:t>
      </w:r>
      <w:r>
        <w:rPr>
          <w:color w:val="auto"/>
          <w:highlight w:val="none"/>
        </w:rPr>
        <w:t>2台</w:t>
      </w:r>
      <w:r>
        <w:rPr>
          <w:rFonts w:hint="eastAsia"/>
          <w:color w:val="auto"/>
          <w:highlight w:val="none"/>
        </w:rPr>
        <w:t>（新建）</w:t>
      </w:r>
    </w:p>
    <w:p w14:paraId="34023C2C">
      <w:pPr>
        <w:shd w:val="clear"/>
        <w:ind w:firstLine="849" w:firstLineChars="354"/>
        <w:rPr>
          <w:color w:val="auto"/>
          <w:highlight w:val="none"/>
        </w:rPr>
      </w:pPr>
      <w:r>
        <w:rPr>
          <w:rFonts w:hint="eastAsia"/>
          <w:color w:val="auto"/>
          <w:highlight w:val="none"/>
        </w:rPr>
        <w:t xml:space="preserve">型号：YD430 </w:t>
      </w:r>
    </w:p>
    <w:p w14:paraId="65BCF904">
      <w:pPr>
        <w:shd w:val="clear"/>
        <w:ind w:firstLine="849" w:firstLineChars="354"/>
        <w:rPr>
          <w:color w:val="auto"/>
          <w:highlight w:val="none"/>
        </w:rPr>
      </w:pPr>
      <w:r>
        <w:rPr>
          <w:rFonts w:hint="eastAsia"/>
          <w:color w:val="auto"/>
          <w:highlight w:val="none"/>
        </w:rPr>
        <w:t>输送能力：10-25</w:t>
      </w:r>
      <w:r>
        <w:rPr>
          <w:color w:val="auto"/>
          <w:highlight w:val="none"/>
        </w:rPr>
        <w:t>m</w:t>
      </w:r>
      <w:r>
        <w:rPr>
          <w:color w:val="auto"/>
          <w:highlight w:val="none"/>
          <w:vertAlign w:val="superscript"/>
        </w:rPr>
        <w:t>3</w:t>
      </w:r>
      <w:r>
        <w:rPr>
          <w:color w:val="auto"/>
          <w:highlight w:val="none"/>
        </w:rPr>
        <w:t>/h</w:t>
      </w:r>
    </w:p>
    <w:p w14:paraId="2010E8A9">
      <w:pPr>
        <w:shd w:val="clear"/>
        <w:ind w:firstLine="849" w:firstLineChars="354"/>
        <w:rPr>
          <w:color w:val="auto"/>
          <w:highlight w:val="none"/>
        </w:rPr>
      </w:pPr>
      <w:r>
        <w:rPr>
          <w:rFonts w:hint="eastAsia"/>
          <w:color w:val="auto"/>
          <w:highlight w:val="none"/>
        </w:rPr>
        <w:t>输送距离： L~47.5m</w:t>
      </w:r>
    </w:p>
    <w:p w14:paraId="469FA257">
      <w:pPr>
        <w:shd w:val="clear"/>
        <w:ind w:firstLine="849" w:firstLineChars="354"/>
        <w:rPr>
          <w:color w:val="auto"/>
          <w:highlight w:val="none"/>
        </w:rPr>
      </w:pPr>
      <w:r>
        <w:rPr>
          <w:color w:val="auto"/>
          <w:highlight w:val="none"/>
        </w:rPr>
        <w:t>功率</w:t>
      </w:r>
      <w:r>
        <w:rPr>
          <w:rFonts w:hint="eastAsia"/>
          <w:color w:val="auto"/>
          <w:highlight w:val="none"/>
        </w:rPr>
        <w:t xml:space="preserve">：11kW </w:t>
      </w:r>
    </w:p>
    <w:p w14:paraId="661805C2">
      <w:pPr>
        <w:shd w:val="clear"/>
        <w:ind w:firstLine="849" w:firstLineChars="354"/>
        <w:rPr>
          <w:color w:val="auto"/>
          <w:highlight w:val="none"/>
        </w:rPr>
      </w:pPr>
      <w:r>
        <w:rPr>
          <w:rFonts w:hint="eastAsia"/>
          <w:color w:val="auto"/>
          <w:highlight w:val="none"/>
        </w:rPr>
        <w:t>电压：380V</w:t>
      </w:r>
    </w:p>
    <w:p w14:paraId="461B18BD">
      <w:pPr>
        <w:shd w:val="clear"/>
        <w:rPr>
          <w:color w:val="auto"/>
          <w:highlight w:val="none"/>
        </w:rPr>
      </w:pPr>
      <w:r>
        <w:rPr>
          <w:rFonts w:hint="eastAsia"/>
          <w:color w:val="auto"/>
          <w:highlight w:val="none"/>
        </w:rPr>
        <w:t xml:space="preserve">4）刮板输送机    </w:t>
      </w:r>
      <w:r>
        <w:rPr>
          <w:color w:val="auto"/>
          <w:highlight w:val="none"/>
        </w:rPr>
        <w:t>1台</w:t>
      </w:r>
      <w:r>
        <w:rPr>
          <w:rFonts w:hint="eastAsia"/>
          <w:color w:val="auto"/>
          <w:highlight w:val="none"/>
        </w:rPr>
        <w:t>（新建）</w:t>
      </w:r>
    </w:p>
    <w:p w14:paraId="2E6AF562">
      <w:pPr>
        <w:shd w:val="clear"/>
        <w:ind w:firstLine="849" w:firstLineChars="354"/>
        <w:rPr>
          <w:color w:val="auto"/>
          <w:highlight w:val="none"/>
        </w:rPr>
      </w:pPr>
      <w:r>
        <w:rPr>
          <w:rFonts w:hint="eastAsia"/>
          <w:color w:val="auto"/>
          <w:highlight w:val="none"/>
        </w:rPr>
        <w:t xml:space="preserve">型号：YD500 </w:t>
      </w:r>
    </w:p>
    <w:p w14:paraId="6A52C0A3">
      <w:pPr>
        <w:shd w:val="clear"/>
        <w:ind w:firstLine="849" w:firstLineChars="354"/>
        <w:rPr>
          <w:color w:val="auto"/>
          <w:highlight w:val="none"/>
        </w:rPr>
      </w:pPr>
      <w:r>
        <w:rPr>
          <w:rFonts w:hint="eastAsia"/>
          <w:color w:val="auto"/>
          <w:highlight w:val="none"/>
        </w:rPr>
        <w:t>输送能力：20-50</w:t>
      </w:r>
      <w:r>
        <w:rPr>
          <w:color w:val="auto"/>
          <w:highlight w:val="none"/>
        </w:rPr>
        <w:t>m</w:t>
      </w:r>
      <w:r>
        <w:rPr>
          <w:color w:val="auto"/>
          <w:highlight w:val="none"/>
          <w:vertAlign w:val="superscript"/>
        </w:rPr>
        <w:t>3</w:t>
      </w:r>
      <w:r>
        <w:rPr>
          <w:color w:val="auto"/>
          <w:highlight w:val="none"/>
        </w:rPr>
        <w:t>/h</w:t>
      </w:r>
    </w:p>
    <w:p w14:paraId="736EFA1B">
      <w:pPr>
        <w:shd w:val="clear"/>
        <w:ind w:firstLine="849" w:firstLineChars="354"/>
        <w:rPr>
          <w:color w:val="auto"/>
          <w:highlight w:val="none"/>
        </w:rPr>
      </w:pPr>
      <w:r>
        <w:rPr>
          <w:rFonts w:hint="eastAsia"/>
          <w:color w:val="auto"/>
          <w:highlight w:val="none"/>
        </w:rPr>
        <w:t>输送距离： L=12.75m</w:t>
      </w:r>
    </w:p>
    <w:p w14:paraId="79F1D49D">
      <w:pPr>
        <w:shd w:val="clear"/>
        <w:ind w:firstLine="849" w:firstLineChars="354"/>
        <w:rPr>
          <w:color w:val="auto"/>
          <w:highlight w:val="none"/>
        </w:rPr>
      </w:pPr>
      <w:r>
        <w:rPr>
          <w:color w:val="auto"/>
          <w:highlight w:val="none"/>
        </w:rPr>
        <w:t>功率</w:t>
      </w:r>
      <w:r>
        <w:rPr>
          <w:rFonts w:hint="eastAsia"/>
          <w:color w:val="auto"/>
          <w:highlight w:val="none"/>
        </w:rPr>
        <w:t xml:space="preserve">：7.5kW </w:t>
      </w:r>
    </w:p>
    <w:p w14:paraId="5A6CADC4">
      <w:pPr>
        <w:shd w:val="clear"/>
        <w:ind w:firstLine="849" w:firstLineChars="354"/>
        <w:rPr>
          <w:color w:val="auto"/>
          <w:highlight w:val="none"/>
        </w:rPr>
      </w:pPr>
      <w:r>
        <w:rPr>
          <w:rFonts w:hint="eastAsia"/>
          <w:color w:val="auto"/>
          <w:highlight w:val="none"/>
        </w:rPr>
        <w:t>电压：380V</w:t>
      </w:r>
    </w:p>
    <w:p w14:paraId="564C7618">
      <w:pPr>
        <w:shd w:val="clear"/>
        <w:ind w:firstLine="484" w:firstLineChars="202"/>
        <w:rPr>
          <w:color w:val="auto"/>
          <w:highlight w:val="none"/>
        </w:rPr>
      </w:pPr>
      <w:r>
        <w:rPr>
          <w:rFonts w:hint="eastAsia"/>
          <w:color w:val="auto"/>
          <w:highlight w:val="none"/>
        </w:rPr>
        <w:t>5）斗式提升机（新建）</w:t>
      </w:r>
    </w:p>
    <w:p w14:paraId="1E175259">
      <w:pPr>
        <w:shd w:val="clear"/>
        <w:ind w:firstLine="849" w:firstLineChars="354"/>
        <w:rPr>
          <w:color w:val="auto"/>
          <w:highlight w:val="none"/>
        </w:rPr>
      </w:pPr>
      <w:r>
        <w:rPr>
          <w:rFonts w:hint="eastAsia"/>
          <w:color w:val="auto"/>
          <w:highlight w:val="none"/>
        </w:rPr>
        <w:t>型号：NE50</w:t>
      </w:r>
    </w:p>
    <w:p w14:paraId="54201D2D">
      <w:pPr>
        <w:shd w:val="clear"/>
        <w:ind w:firstLine="849" w:firstLineChars="354"/>
        <w:rPr>
          <w:color w:val="auto"/>
          <w:highlight w:val="none"/>
        </w:rPr>
      </w:pPr>
      <w:r>
        <w:rPr>
          <w:rFonts w:hint="eastAsia"/>
          <w:color w:val="auto"/>
          <w:highlight w:val="none"/>
        </w:rPr>
        <w:t>输送能力：20-50</w:t>
      </w:r>
      <w:r>
        <w:rPr>
          <w:color w:val="auto"/>
          <w:highlight w:val="none"/>
        </w:rPr>
        <w:t>m</w:t>
      </w:r>
      <w:r>
        <w:rPr>
          <w:color w:val="auto"/>
          <w:highlight w:val="none"/>
          <w:vertAlign w:val="superscript"/>
        </w:rPr>
        <w:t>3</w:t>
      </w:r>
      <w:r>
        <w:rPr>
          <w:color w:val="auto"/>
          <w:highlight w:val="none"/>
        </w:rPr>
        <w:t>/h</w:t>
      </w:r>
    </w:p>
    <w:p w14:paraId="30F1F9F2">
      <w:pPr>
        <w:shd w:val="clear"/>
        <w:ind w:firstLine="849" w:firstLineChars="354"/>
        <w:rPr>
          <w:color w:val="auto"/>
          <w:highlight w:val="none"/>
        </w:rPr>
      </w:pPr>
      <w:r>
        <w:rPr>
          <w:rFonts w:hint="eastAsia"/>
          <w:color w:val="auto"/>
          <w:highlight w:val="none"/>
        </w:rPr>
        <w:t xml:space="preserve">提升机高度：20m </w:t>
      </w:r>
    </w:p>
    <w:p w14:paraId="08C9331B">
      <w:pPr>
        <w:shd w:val="clear"/>
        <w:ind w:firstLine="849" w:firstLineChars="354"/>
        <w:rPr>
          <w:color w:val="auto"/>
          <w:highlight w:val="none"/>
        </w:rPr>
      </w:pPr>
      <w:r>
        <w:rPr>
          <w:color w:val="auto"/>
          <w:highlight w:val="none"/>
        </w:rPr>
        <w:t>功率</w:t>
      </w:r>
      <w:r>
        <w:rPr>
          <w:rFonts w:hint="eastAsia"/>
          <w:color w:val="auto"/>
          <w:highlight w:val="none"/>
        </w:rPr>
        <w:t>：11kW</w:t>
      </w:r>
    </w:p>
    <w:p w14:paraId="4CFF121A">
      <w:pPr>
        <w:shd w:val="clear"/>
        <w:ind w:firstLine="849" w:firstLineChars="354"/>
        <w:rPr>
          <w:color w:val="auto"/>
          <w:highlight w:val="none"/>
        </w:rPr>
      </w:pPr>
      <w:r>
        <w:rPr>
          <w:rFonts w:hint="eastAsia"/>
          <w:color w:val="auto"/>
          <w:highlight w:val="none"/>
        </w:rPr>
        <w:t>电压：380V</w:t>
      </w:r>
    </w:p>
    <w:p w14:paraId="4B32300C">
      <w:pPr>
        <w:shd w:val="clear"/>
        <w:rPr>
          <w:color w:val="auto"/>
          <w:highlight w:val="none"/>
        </w:rPr>
      </w:pPr>
      <w:r>
        <w:rPr>
          <w:rFonts w:hint="eastAsia"/>
          <w:color w:val="auto"/>
          <w:highlight w:val="none"/>
        </w:rPr>
        <w:t>6）新建集合灰仓</w:t>
      </w:r>
    </w:p>
    <w:p w14:paraId="7C9B35EC">
      <w:pPr>
        <w:shd w:val="clear"/>
        <w:rPr>
          <w:color w:val="auto"/>
          <w:highlight w:val="none"/>
        </w:rPr>
      </w:pPr>
      <w:r>
        <w:rPr>
          <w:rFonts w:hint="eastAsia"/>
          <w:color w:val="auto"/>
          <w:szCs w:val="21"/>
          <w:highlight w:val="none"/>
        </w:rPr>
        <w:t>有效容积75m</w:t>
      </w:r>
      <w:r>
        <w:rPr>
          <w:rFonts w:hint="eastAsia"/>
          <w:color w:val="auto"/>
          <w:szCs w:val="21"/>
          <w:highlight w:val="none"/>
          <w:vertAlign w:val="superscript"/>
        </w:rPr>
        <w:t>3</w:t>
      </w:r>
      <w:r>
        <w:rPr>
          <w:rFonts w:hint="eastAsia"/>
          <w:color w:val="auto"/>
          <w:szCs w:val="21"/>
          <w:highlight w:val="none"/>
        </w:rPr>
        <w:t>，配双卸灰口，插板阀</w:t>
      </w:r>
      <w:r>
        <w:rPr>
          <w:color w:val="auto"/>
          <w:szCs w:val="21"/>
          <w:highlight w:val="none"/>
        </w:rPr>
        <w:t>,</w:t>
      </w:r>
      <w:r>
        <w:rPr>
          <w:rFonts w:hint="eastAsia"/>
          <w:color w:val="auto"/>
          <w:szCs w:val="21"/>
          <w:highlight w:val="none"/>
        </w:rPr>
        <w:t>配仓顶辅助收尘器。</w:t>
      </w:r>
    </w:p>
    <w:p w14:paraId="07CE2E25">
      <w:pPr>
        <w:shd w:val="clear"/>
        <w:ind w:firstLineChars="0"/>
        <w:outlineLvl w:val="2"/>
        <w:rPr>
          <w:color w:val="auto"/>
          <w:szCs w:val="28"/>
          <w:highlight w:val="none"/>
        </w:rPr>
      </w:pPr>
      <w:r>
        <w:rPr>
          <w:rFonts w:hint="eastAsia" w:cs="Times New Roman"/>
          <w:color w:val="auto"/>
          <w:szCs w:val="28"/>
          <w:highlight w:val="none"/>
        </w:rPr>
        <w:t>7.4.2矿槽除尘系统（槽上+碎焦筛分）改造方案</w:t>
      </w:r>
      <w:bookmarkEnd w:id="617"/>
    </w:p>
    <w:p w14:paraId="7F68E25C">
      <w:pPr>
        <w:shd w:val="clear"/>
        <w:rPr>
          <w:color w:val="auto"/>
          <w:highlight w:val="none"/>
        </w:rPr>
      </w:pPr>
      <w:r>
        <w:rPr>
          <w:rFonts w:hint="eastAsia"/>
          <w:color w:val="auto"/>
          <w:highlight w:val="none"/>
        </w:rPr>
        <w:t>除尘器</w:t>
      </w:r>
      <w:r>
        <w:rPr>
          <w:color w:val="auto"/>
          <w:highlight w:val="none"/>
        </w:rPr>
        <w:t>(利旧原有灰斗、除尘器支腿及基础)，本次改造在更换现有移动抽</w:t>
      </w:r>
      <w:r>
        <w:rPr>
          <w:rFonts w:hint="eastAsia"/>
          <w:color w:val="auto"/>
          <w:highlight w:val="none"/>
        </w:rPr>
        <w:t>风槽的基础上</w:t>
      </w:r>
      <w:r>
        <w:rPr>
          <w:color w:val="auto"/>
          <w:highlight w:val="none"/>
        </w:rPr>
        <w:t>, 槽上42#、44#皮带机卸料小车下料口活动篦子整体更换</w:t>
      </w:r>
      <w:r>
        <w:rPr>
          <w:rFonts w:hint="eastAsia"/>
          <w:color w:val="auto"/>
          <w:highlight w:val="none"/>
        </w:rPr>
        <w:t>后</w:t>
      </w:r>
      <w:r>
        <w:rPr>
          <w:color w:val="auto"/>
          <w:highlight w:val="none"/>
        </w:rPr>
        <w:t>，44#皮带机卸料小车下料口活动篦子</w:t>
      </w:r>
      <w:r>
        <w:rPr>
          <w:rFonts w:hint="eastAsia"/>
          <w:color w:val="auto"/>
          <w:highlight w:val="none"/>
        </w:rPr>
        <w:t>利旧，在</w:t>
      </w:r>
      <w:r>
        <w:rPr>
          <w:color w:val="auto"/>
          <w:highlight w:val="none"/>
        </w:rPr>
        <w:t>42#、</w:t>
      </w:r>
      <w:r>
        <w:rPr>
          <w:rFonts w:hint="eastAsia"/>
          <w:color w:val="auto"/>
          <w:highlight w:val="none"/>
        </w:rPr>
        <w:t>43#、</w:t>
      </w:r>
      <w:r>
        <w:rPr>
          <w:color w:val="auto"/>
          <w:highlight w:val="none"/>
        </w:rPr>
        <w:t>44#皮带机</w:t>
      </w:r>
      <w:r>
        <w:rPr>
          <w:rFonts w:hint="eastAsia"/>
          <w:color w:val="auto"/>
          <w:highlight w:val="none"/>
        </w:rPr>
        <w:t>下料口两侧增加斜钢板，将下料口改造为梯形口，受料口顶宽下窄，保证密封皮带能够完美密封，防止皮带抬起时撕裂。</w:t>
      </w:r>
    </w:p>
    <w:p w14:paraId="3AB2EF18">
      <w:pPr>
        <w:shd w:val="clear"/>
        <w:jc w:val="center"/>
        <w:rPr>
          <w:color w:val="auto"/>
          <w:highlight w:val="none"/>
        </w:rPr>
      </w:pPr>
      <w:r>
        <w:rPr>
          <w:color w:val="auto"/>
          <w:highlight w:val="none"/>
        </w:rPr>
        <w:drawing>
          <wp:inline distT="0" distB="0" distL="0" distR="0">
            <wp:extent cx="4271010" cy="1772920"/>
            <wp:effectExtent l="0" t="0" r="8890" b="5080"/>
            <wp:docPr id="20459107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10711"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274408" cy="1774399"/>
                    </a:xfrm>
                    <a:prstGeom prst="rect">
                      <a:avLst/>
                    </a:prstGeom>
                    <a:noFill/>
                    <a:ln>
                      <a:noFill/>
                    </a:ln>
                  </pic:spPr>
                </pic:pic>
              </a:graphicData>
            </a:graphic>
          </wp:inline>
        </w:drawing>
      </w:r>
    </w:p>
    <w:p w14:paraId="0E5B85C5">
      <w:pPr>
        <w:shd w:val="clear"/>
        <w:jc w:val="center"/>
        <w:rPr>
          <w:color w:val="auto"/>
          <w:highlight w:val="none"/>
        </w:rPr>
      </w:pPr>
      <w:r>
        <w:rPr>
          <w:rFonts w:hint="eastAsia"/>
          <w:color w:val="auto"/>
          <w:highlight w:val="none"/>
          <w:lang w:val="en-US" w:eastAsia="zh-CN"/>
        </w:rPr>
        <w:t>槽上</w:t>
      </w:r>
      <w:r>
        <w:rPr>
          <w:rFonts w:hint="eastAsia"/>
          <w:color w:val="auto"/>
          <w:highlight w:val="none"/>
        </w:rPr>
        <w:t>受料口梯形槽改造</w:t>
      </w:r>
    </w:p>
    <w:p w14:paraId="4FF88BB9">
      <w:pPr>
        <w:shd w:val="clear"/>
        <w:rPr>
          <w:color w:val="auto"/>
          <w:highlight w:val="none"/>
        </w:rPr>
      </w:pPr>
      <w:r>
        <w:rPr>
          <w:rFonts w:hint="eastAsia"/>
          <w:color w:val="auto"/>
          <w:highlight w:val="none"/>
        </w:rPr>
        <w:t>各皮带头落料点、皮带尾受料点</w:t>
      </w:r>
      <w:r>
        <w:rPr>
          <w:color w:val="auto"/>
          <w:highlight w:val="none"/>
        </w:rPr>
        <w:t>导料槽更换（机尾落料点导料槽长4.5m，机头导料槽长3.0m）</w:t>
      </w:r>
      <w:r>
        <w:rPr>
          <w:rFonts w:hint="eastAsia"/>
          <w:color w:val="auto"/>
          <w:highlight w:val="none"/>
        </w:rPr>
        <w:t>。废钢仓在汽车卸料槽整体封闭的基础上设置除尘罩，接入矿槽除尘系统中。</w:t>
      </w:r>
    </w:p>
    <w:p w14:paraId="199165CA">
      <w:pPr>
        <w:shd w:val="clear"/>
        <w:rPr>
          <w:color w:val="auto"/>
          <w:highlight w:val="none"/>
        </w:rPr>
      </w:pPr>
      <w:r>
        <w:rPr>
          <w:color w:val="auto"/>
          <w:highlight w:val="none"/>
        </w:rPr>
        <w:t>新增、加大仓内负压除尘点风量,在每个槽内设置一个抽风管道,</w:t>
      </w:r>
      <w:r>
        <w:rPr>
          <w:rFonts w:hint="eastAsia"/>
          <w:color w:val="auto"/>
          <w:highlight w:val="none"/>
        </w:rPr>
        <w:t>每个抽风管道上均安装</w:t>
      </w:r>
      <w:r>
        <w:rPr>
          <w:rFonts w:hint="eastAsia"/>
          <w:color w:val="auto"/>
          <w:highlight w:val="none"/>
          <w:lang w:val="en-US" w:eastAsia="zh-CN"/>
        </w:rPr>
        <w:t>手动阀门</w:t>
      </w:r>
      <w:r>
        <w:rPr>
          <w:rFonts w:hint="eastAsia"/>
          <w:color w:val="auto"/>
          <w:highlight w:val="none"/>
        </w:rPr>
        <w:t>，按照同时两个仓工作考虑除尘风量。</w:t>
      </w:r>
    </w:p>
    <w:p w14:paraId="20EE2AD5">
      <w:pPr>
        <w:shd w:val="clear"/>
        <w:rPr>
          <w:color w:val="auto"/>
          <w:highlight w:val="none"/>
        </w:rPr>
      </w:pPr>
      <w:r>
        <w:rPr>
          <w:rFonts w:hint="eastAsia"/>
          <w:color w:val="auto"/>
          <w:highlight w:val="none"/>
        </w:rPr>
        <w:t>经过重新分配后2号高炉矿槽除尘风量分配见下表：</w:t>
      </w:r>
    </w:p>
    <w:p w14:paraId="4136EA2A">
      <w:pPr>
        <w:shd w:val="clear"/>
        <w:ind w:left="0" w:leftChars="0"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 xml:space="preserve">表7.4.2-1 </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rPr>
        <w:t>改造后矿槽除尘风量分配表</w:t>
      </w:r>
    </w:p>
    <w:tbl>
      <w:tblPr>
        <w:tblStyle w:val="60"/>
        <w:tblW w:w="10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
        <w:gridCol w:w="1337"/>
        <w:gridCol w:w="2963"/>
        <w:gridCol w:w="703"/>
        <w:gridCol w:w="1110"/>
        <w:gridCol w:w="1120"/>
        <w:gridCol w:w="847"/>
        <w:gridCol w:w="957"/>
        <w:gridCol w:w="901"/>
      </w:tblGrid>
      <w:tr w14:paraId="6D7CD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2" w:type="dxa"/>
            <w:vAlign w:val="center"/>
          </w:tcPr>
          <w:p w14:paraId="42641C38">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序</w:t>
            </w:r>
          </w:p>
          <w:p w14:paraId="50C52C1D">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号</w:t>
            </w:r>
          </w:p>
        </w:tc>
        <w:tc>
          <w:tcPr>
            <w:tcW w:w="1337" w:type="dxa"/>
            <w:vAlign w:val="center"/>
          </w:tcPr>
          <w:p w14:paraId="06AA2E20">
            <w:pPr>
              <w:widowControl/>
              <w:shd w:val="clear"/>
              <w:spacing w:line="240" w:lineRule="auto"/>
              <w:ind w:firstLine="0" w:firstLineChars="0"/>
              <w:jc w:val="center"/>
              <w:textAlignment w:val="bottom"/>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建筑区域</w:t>
            </w:r>
          </w:p>
        </w:tc>
        <w:tc>
          <w:tcPr>
            <w:tcW w:w="2963" w:type="dxa"/>
            <w:vAlign w:val="center"/>
          </w:tcPr>
          <w:p w14:paraId="422E137A">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除尘点名称</w:t>
            </w:r>
          </w:p>
        </w:tc>
        <w:tc>
          <w:tcPr>
            <w:tcW w:w="703" w:type="dxa"/>
            <w:tcBorders>
              <w:top w:val="single" w:color="auto" w:sz="4" w:space="0"/>
              <w:left w:val="single" w:color="auto" w:sz="4" w:space="0"/>
              <w:bottom w:val="single" w:color="auto" w:sz="4" w:space="0"/>
              <w:right w:val="single" w:color="auto" w:sz="4" w:space="0"/>
            </w:tcBorders>
            <w:vAlign w:val="center"/>
          </w:tcPr>
          <w:p w14:paraId="1EFF43DE">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除尘</w:t>
            </w:r>
          </w:p>
          <w:p w14:paraId="1AB17AEB">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点数</w:t>
            </w:r>
          </w:p>
        </w:tc>
        <w:tc>
          <w:tcPr>
            <w:tcW w:w="1110" w:type="dxa"/>
            <w:tcBorders>
              <w:top w:val="single" w:color="auto" w:sz="4" w:space="0"/>
              <w:left w:val="nil"/>
              <w:bottom w:val="single" w:color="auto" w:sz="4" w:space="0"/>
              <w:right w:val="single" w:color="auto" w:sz="4" w:space="0"/>
            </w:tcBorders>
            <w:vAlign w:val="center"/>
          </w:tcPr>
          <w:p w14:paraId="3718FBC5">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除尘同时</w:t>
            </w:r>
          </w:p>
          <w:p w14:paraId="1C08C1FF">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使用点数</w:t>
            </w:r>
          </w:p>
        </w:tc>
        <w:tc>
          <w:tcPr>
            <w:tcW w:w="1120" w:type="dxa"/>
            <w:tcBorders>
              <w:top w:val="single" w:color="auto" w:sz="4" w:space="0"/>
              <w:left w:val="nil"/>
              <w:bottom w:val="single" w:color="auto" w:sz="4" w:space="0"/>
              <w:right w:val="single" w:color="auto" w:sz="4" w:space="0"/>
            </w:tcBorders>
            <w:vAlign w:val="center"/>
          </w:tcPr>
          <w:p w14:paraId="2A7E2066">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单点风量</w:t>
            </w:r>
          </w:p>
          <w:p w14:paraId="468A14EA">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m</w:t>
            </w:r>
            <w:r>
              <w:rPr>
                <w:rFonts w:hint="eastAsia"/>
                <w:color w:val="auto"/>
                <w:sz w:val="21"/>
                <w:szCs w:val="21"/>
                <w:highlight w:val="none"/>
                <w:vertAlign w:val="superscript"/>
              </w:rPr>
              <w:t>3</w:t>
            </w:r>
            <w:r>
              <w:rPr>
                <w:rFonts w:hint="eastAsia"/>
                <w:color w:val="auto"/>
                <w:sz w:val="21"/>
                <w:szCs w:val="21"/>
                <w:highlight w:val="none"/>
              </w:rPr>
              <w:t>/h</w:t>
            </w:r>
          </w:p>
        </w:tc>
        <w:tc>
          <w:tcPr>
            <w:tcW w:w="847" w:type="dxa"/>
            <w:tcBorders>
              <w:top w:val="single" w:color="auto" w:sz="4" w:space="0"/>
              <w:left w:val="nil"/>
              <w:bottom w:val="single" w:color="auto" w:sz="4" w:space="0"/>
              <w:right w:val="single" w:color="auto" w:sz="4" w:space="0"/>
            </w:tcBorders>
            <w:vAlign w:val="center"/>
          </w:tcPr>
          <w:p w14:paraId="7CC8D460">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总风量</w:t>
            </w:r>
          </w:p>
          <w:p w14:paraId="42FBAB87">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m</w:t>
            </w:r>
            <w:r>
              <w:rPr>
                <w:rFonts w:hint="eastAsia"/>
                <w:color w:val="auto"/>
                <w:sz w:val="21"/>
                <w:szCs w:val="21"/>
                <w:highlight w:val="none"/>
                <w:vertAlign w:val="superscript"/>
              </w:rPr>
              <w:t>3</w:t>
            </w:r>
            <w:r>
              <w:rPr>
                <w:rFonts w:hint="eastAsia"/>
                <w:color w:val="auto"/>
                <w:sz w:val="21"/>
                <w:szCs w:val="21"/>
                <w:highlight w:val="none"/>
              </w:rPr>
              <w:t>/h</w:t>
            </w:r>
          </w:p>
        </w:tc>
        <w:tc>
          <w:tcPr>
            <w:tcW w:w="957" w:type="dxa"/>
            <w:tcBorders>
              <w:top w:val="single" w:color="auto" w:sz="4" w:space="0"/>
              <w:left w:val="nil"/>
              <w:bottom w:val="single" w:color="auto" w:sz="4" w:space="0"/>
              <w:right w:val="single" w:color="auto" w:sz="4" w:space="0"/>
            </w:tcBorders>
            <w:shd w:val="clear" w:color="auto" w:fill="auto"/>
            <w:vAlign w:val="center"/>
          </w:tcPr>
          <w:p w14:paraId="137A6407">
            <w:pPr>
              <w:widowControl/>
              <w:shd w:val="clear"/>
              <w:snapToGrid w:val="0"/>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吸尘接</w:t>
            </w:r>
          </w:p>
          <w:p w14:paraId="30050117">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r>
              <w:rPr>
                <w:rFonts w:hint="eastAsia"/>
                <w:color w:val="auto"/>
                <w:sz w:val="21"/>
                <w:szCs w:val="21"/>
                <w:highlight w:val="none"/>
              </w:rPr>
              <w:t>管阀门</w:t>
            </w:r>
          </w:p>
        </w:tc>
        <w:tc>
          <w:tcPr>
            <w:tcW w:w="901" w:type="dxa"/>
            <w:tcBorders>
              <w:top w:val="single" w:color="auto" w:sz="4" w:space="0"/>
              <w:left w:val="nil"/>
              <w:bottom w:val="single" w:color="auto" w:sz="4" w:space="0"/>
              <w:right w:val="single" w:color="auto" w:sz="4" w:space="0"/>
            </w:tcBorders>
            <w:shd w:val="clear" w:color="auto" w:fill="auto"/>
            <w:vAlign w:val="center"/>
          </w:tcPr>
          <w:p w14:paraId="59A21245">
            <w:pPr>
              <w:widowControl/>
              <w:shd w:val="clear"/>
              <w:snapToGrid w:val="0"/>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分支总</w:t>
            </w:r>
          </w:p>
          <w:p w14:paraId="46E8D353">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r>
              <w:rPr>
                <w:rFonts w:hint="eastAsia"/>
                <w:color w:val="auto"/>
                <w:sz w:val="21"/>
                <w:szCs w:val="21"/>
                <w:highlight w:val="none"/>
              </w:rPr>
              <w:t>管阀门</w:t>
            </w:r>
          </w:p>
        </w:tc>
      </w:tr>
      <w:tr w14:paraId="553C8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2" w:type="dxa"/>
            <w:tcBorders>
              <w:top w:val="single" w:color="auto" w:sz="4" w:space="0"/>
              <w:left w:val="single" w:color="auto" w:sz="4" w:space="0"/>
              <w:bottom w:val="single" w:color="auto" w:sz="4" w:space="0"/>
              <w:right w:val="single" w:color="auto" w:sz="4" w:space="0"/>
            </w:tcBorders>
            <w:vAlign w:val="center"/>
          </w:tcPr>
          <w:p w14:paraId="06C9FEBA">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1</w:t>
            </w:r>
          </w:p>
        </w:tc>
        <w:tc>
          <w:tcPr>
            <w:tcW w:w="1337" w:type="dxa"/>
            <w:tcBorders>
              <w:top w:val="single" w:color="auto" w:sz="4" w:space="0"/>
              <w:left w:val="single" w:color="auto" w:sz="4" w:space="0"/>
              <w:bottom w:val="single" w:color="auto" w:sz="4" w:space="0"/>
              <w:right w:val="nil"/>
            </w:tcBorders>
            <w:vAlign w:val="center"/>
          </w:tcPr>
          <w:p w14:paraId="24A81DCA">
            <w:pPr>
              <w:widowControl/>
              <w:shd w:val="clear"/>
              <w:spacing w:line="240" w:lineRule="auto"/>
              <w:ind w:firstLine="0" w:firstLineChars="0"/>
              <w:textAlignment w:val="bottom"/>
              <w:rPr>
                <w:color w:val="auto"/>
                <w:sz w:val="21"/>
                <w:szCs w:val="21"/>
                <w:highlight w:val="none"/>
              </w:rPr>
            </w:pPr>
            <w:r>
              <w:rPr>
                <w:rFonts w:hint="eastAsia"/>
                <w:color w:val="auto"/>
                <w:sz w:val="21"/>
                <w:szCs w:val="21"/>
                <w:highlight w:val="none"/>
              </w:rPr>
              <w:t>槽上</w:t>
            </w:r>
          </w:p>
        </w:tc>
        <w:tc>
          <w:tcPr>
            <w:tcW w:w="2963" w:type="dxa"/>
            <w:tcBorders>
              <w:top w:val="single" w:color="auto" w:sz="4" w:space="0"/>
              <w:left w:val="single" w:color="auto" w:sz="4" w:space="0"/>
              <w:bottom w:val="single" w:color="auto" w:sz="4" w:space="0"/>
              <w:right w:val="single" w:color="auto" w:sz="4" w:space="0"/>
            </w:tcBorders>
            <w:vAlign w:val="center"/>
          </w:tcPr>
          <w:p w14:paraId="54700E6C">
            <w:pPr>
              <w:widowControl/>
              <w:shd w:val="clear"/>
              <w:spacing w:line="240" w:lineRule="auto"/>
              <w:ind w:firstLine="0" w:firstLineChars="0"/>
              <w:textAlignment w:val="bottom"/>
              <w:rPr>
                <w:color w:val="auto"/>
                <w:sz w:val="21"/>
                <w:szCs w:val="21"/>
                <w:highlight w:val="none"/>
              </w:rPr>
            </w:pPr>
            <w:r>
              <w:rPr>
                <w:rFonts w:ascii="Times New Roman" w:hAnsi="Times New Roman" w:cs="Times New Roman"/>
                <w:color w:val="auto"/>
                <w:sz w:val="21"/>
                <w:szCs w:val="21"/>
                <w:highlight w:val="none"/>
              </w:rPr>
              <w:t>42#~43#</w:t>
            </w:r>
            <w:r>
              <w:rPr>
                <w:rFonts w:hint="eastAsia" w:cs="Times New Roman"/>
                <w:color w:val="auto"/>
                <w:sz w:val="21"/>
                <w:szCs w:val="21"/>
                <w:highlight w:val="none"/>
              </w:rPr>
              <w:t>皮带卸料小车</w:t>
            </w:r>
          </w:p>
        </w:tc>
        <w:tc>
          <w:tcPr>
            <w:tcW w:w="703" w:type="dxa"/>
            <w:tcBorders>
              <w:top w:val="single" w:color="auto" w:sz="4" w:space="0"/>
              <w:left w:val="nil"/>
              <w:bottom w:val="single" w:color="auto" w:sz="4" w:space="0"/>
              <w:right w:val="single" w:color="auto" w:sz="4" w:space="0"/>
            </w:tcBorders>
            <w:vAlign w:val="center"/>
          </w:tcPr>
          <w:p w14:paraId="2956BA31">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2</w:t>
            </w:r>
          </w:p>
        </w:tc>
        <w:tc>
          <w:tcPr>
            <w:tcW w:w="1110" w:type="dxa"/>
            <w:tcBorders>
              <w:top w:val="single" w:color="auto" w:sz="4" w:space="0"/>
              <w:left w:val="nil"/>
              <w:bottom w:val="single" w:color="auto" w:sz="4" w:space="0"/>
              <w:right w:val="single" w:color="auto" w:sz="4" w:space="0"/>
            </w:tcBorders>
            <w:vAlign w:val="center"/>
          </w:tcPr>
          <w:p w14:paraId="346113F4">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2</w:t>
            </w:r>
          </w:p>
        </w:tc>
        <w:tc>
          <w:tcPr>
            <w:tcW w:w="1120" w:type="dxa"/>
            <w:tcBorders>
              <w:top w:val="single" w:color="auto" w:sz="4" w:space="0"/>
              <w:left w:val="nil"/>
              <w:bottom w:val="nil"/>
              <w:right w:val="single" w:color="auto" w:sz="4" w:space="0"/>
            </w:tcBorders>
            <w:vAlign w:val="center"/>
          </w:tcPr>
          <w:p w14:paraId="22AF8D6E">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50000</w:t>
            </w:r>
          </w:p>
        </w:tc>
        <w:tc>
          <w:tcPr>
            <w:tcW w:w="847" w:type="dxa"/>
            <w:tcBorders>
              <w:top w:val="single" w:color="auto" w:sz="4" w:space="0"/>
              <w:left w:val="nil"/>
              <w:bottom w:val="nil"/>
              <w:right w:val="single" w:color="auto" w:sz="4" w:space="0"/>
            </w:tcBorders>
            <w:vAlign w:val="center"/>
          </w:tcPr>
          <w:p w14:paraId="4ACBB2BA">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100000</w:t>
            </w:r>
          </w:p>
        </w:tc>
        <w:tc>
          <w:tcPr>
            <w:tcW w:w="957" w:type="dxa"/>
            <w:tcBorders>
              <w:top w:val="single" w:color="auto" w:sz="4" w:space="0"/>
              <w:left w:val="nil"/>
              <w:bottom w:val="nil"/>
              <w:right w:val="single" w:color="auto" w:sz="4" w:space="0"/>
            </w:tcBorders>
            <w:shd w:val="clear" w:color="auto" w:fill="auto"/>
            <w:vAlign w:val="center"/>
          </w:tcPr>
          <w:p w14:paraId="6061D83D">
            <w:pPr>
              <w:widowControl/>
              <w:shd w:val="clear"/>
              <w:snapToGrid w:val="0"/>
              <w:spacing w:line="240" w:lineRule="auto"/>
              <w:ind w:firstLine="0" w:firstLineChars="0"/>
              <w:jc w:val="center"/>
              <w:textAlignment w:val="bottom"/>
              <w:rPr>
                <w:rFonts w:hint="default" w:ascii="宋体" w:hAnsi="宋体" w:eastAsia="宋体" w:cs="Arial"/>
                <w:color w:val="auto"/>
                <w:kern w:val="2"/>
                <w:sz w:val="21"/>
                <w:szCs w:val="21"/>
                <w:highlight w:val="none"/>
                <w:lang w:val="en-US" w:eastAsia="zh-CN" w:bidi="ar-SA"/>
              </w:rPr>
            </w:pPr>
            <w:r>
              <w:rPr>
                <w:rFonts w:hint="eastAsia"/>
                <w:color w:val="auto"/>
                <w:sz w:val="21"/>
                <w:szCs w:val="21"/>
                <w:highlight w:val="none"/>
              </w:rPr>
              <w:t>气动</w:t>
            </w:r>
          </w:p>
        </w:tc>
        <w:tc>
          <w:tcPr>
            <w:tcW w:w="901" w:type="dxa"/>
            <w:tcBorders>
              <w:top w:val="single" w:color="auto" w:sz="4" w:space="0"/>
              <w:left w:val="nil"/>
              <w:bottom w:val="nil"/>
              <w:right w:val="single" w:color="auto" w:sz="4" w:space="0"/>
            </w:tcBorders>
            <w:shd w:val="clear" w:color="auto" w:fill="auto"/>
            <w:vAlign w:val="top"/>
          </w:tcPr>
          <w:p w14:paraId="25D90D52">
            <w:pPr>
              <w:widowControl/>
              <w:shd w:val="clear"/>
              <w:snapToGrid w:val="0"/>
              <w:spacing w:line="240" w:lineRule="auto"/>
              <w:ind w:firstLine="0" w:firstLineChars="0"/>
              <w:jc w:val="center"/>
              <w:textAlignment w:val="bottom"/>
              <w:rPr>
                <w:rFonts w:hint="default" w:ascii="宋体" w:hAnsi="宋体" w:eastAsia="宋体" w:cs="Arial"/>
                <w:color w:val="auto"/>
                <w:kern w:val="2"/>
                <w:sz w:val="21"/>
                <w:szCs w:val="21"/>
                <w:highlight w:val="none"/>
                <w:lang w:val="en-US" w:eastAsia="zh-CN" w:bidi="ar-SA"/>
              </w:rPr>
            </w:pPr>
            <w:r>
              <w:rPr>
                <w:rFonts w:hint="eastAsia"/>
                <w:color w:val="auto"/>
                <w:sz w:val="21"/>
                <w:szCs w:val="21"/>
                <w:highlight w:val="none"/>
              </w:rPr>
              <w:t>-</w:t>
            </w:r>
          </w:p>
        </w:tc>
      </w:tr>
      <w:tr w14:paraId="6190E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2" w:type="dxa"/>
            <w:tcBorders>
              <w:top w:val="single" w:color="auto" w:sz="4" w:space="0"/>
              <w:left w:val="single" w:color="auto" w:sz="4" w:space="0"/>
              <w:bottom w:val="single" w:color="auto" w:sz="4" w:space="0"/>
              <w:right w:val="single" w:color="auto" w:sz="4" w:space="0"/>
            </w:tcBorders>
            <w:vAlign w:val="center"/>
          </w:tcPr>
          <w:p w14:paraId="6FCBA3FD">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2</w:t>
            </w:r>
          </w:p>
        </w:tc>
        <w:tc>
          <w:tcPr>
            <w:tcW w:w="1337" w:type="dxa"/>
            <w:tcBorders>
              <w:top w:val="nil"/>
              <w:left w:val="single" w:color="auto" w:sz="4" w:space="0"/>
              <w:bottom w:val="single" w:color="auto" w:sz="4" w:space="0"/>
              <w:right w:val="nil"/>
            </w:tcBorders>
            <w:vAlign w:val="center"/>
          </w:tcPr>
          <w:p w14:paraId="676F3D70">
            <w:pPr>
              <w:widowControl/>
              <w:shd w:val="clear"/>
              <w:spacing w:line="240" w:lineRule="auto"/>
              <w:ind w:firstLine="0" w:firstLineChars="0"/>
              <w:textAlignment w:val="bottom"/>
              <w:rPr>
                <w:color w:val="auto"/>
                <w:sz w:val="21"/>
                <w:szCs w:val="21"/>
                <w:highlight w:val="none"/>
              </w:rPr>
            </w:pPr>
            <w:r>
              <w:rPr>
                <w:rFonts w:hint="eastAsia"/>
                <w:color w:val="auto"/>
                <w:sz w:val="21"/>
                <w:szCs w:val="21"/>
                <w:highlight w:val="none"/>
              </w:rPr>
              <w:t>　</w:t>
            </w:r>
          </w:p>
        </w:tc>
        <w:tc>
          <w:tcPr>
            <w:tcW w:w="2963" w:type="dxa"/>
            <w:tcBorders>
              <w:top w:val="nil"/>
              <w:left w:val="single" w:color="auto" w:sz="4" w:space="0"/>
              <w:bottom w:val="single" w:color="auto" w:sz="4" w:space="0"/>
              <w:right w:val="single" w:color="auto" w:sz="4" w:space="0"/>
            </w:tcBorders>
            <w:vAlign w:val="center"/>
          </w:tcPr>
          <w:p w14:paraId="72CA25D5">
            <w:pPr>
              <w:widowControl/>
              <w:shd w:val="clear"/>
              <w:spacing w:line="240" w:lineRule="auto"/>
              <w:ind w:firstLine="0" w:firstLineChars="0"/>
              <w:textAlignment w:val="bottom"/>
              <w:rPr>
                <w:color w:val="auto"/>
                <w:sz w:val="21"/>
                <w:szCs w:val="21"/>
                <w:highlight w:val="none"/>
              </w:rPr>
            </w:pPr>
            <w:r>
              <w:rPr>
                <w:rFonts w:ascii="Times New Roman" w:hAnsi="Times New Roman" w:cs="Times New Roman"/>
                <w:color w:val="auto"/>
                <w:sz w:val="21"/>
                <w:szCs w:val="21"/>
                <w:highlight w:val="none"/>
              </w:rPr>
              <w:t>44#</w:t>
            </w:r>
            <w:r>
              <w:rPr>
                <w:rFonts w:hint="eastAsia" w:cs="Times New Roman"/>
                <w:color w:val="auto"/>
                <w:sz w:val="21"/>
                <w:szCs w:val="21"/>
                <w:highlight w:val="none"/>
              </w:rPr>
              <w:t>皮带卸料小车</w:t>
            </w:r>
          </w:p>
        </w:tc>
        <w:tc>
          <w:tcPr>
            <w:tcW w:w="703" w:type="dxa"/>
            <w:tcBorders>
              <w:top w:val="nil"/>
              <w:left w:val="nil"/>
              <w:bottom w:val="single" w:color="auto" w:sz="4" w:space="0"/>
              <w:right w:val="single" w:color="auto" w:sz="4" w:space="0"/>
            </w:tcBorders>
            <w:vAlign w:val="center"/>
          </w:tcPr>
          <w:p w14:paraId="48C07D5E">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1</w:t>
            </w:r>
          </w:p>
        </w:tc>
        <w:tc>
          <w:tcPr>
            <w:tcW w:w="1110" w:type="dxa"/>
            <w:tcBorders>
              <w:top w:val="nil"/>
              <w:left w:val="nil"/>
              <w:bottom w:val="single" w:color="auto" w:sz="4" w:space="0"/>
              <w:right w:val="single" w:color="auto" w:sz="4" w:space="0"/>
            </w:tcBorders>
            <w:vAlign w:val="center"/>
          </w:tcPr>
          <w:p w14:paraId="63878821">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1</w:t>
            </w:r>
          </w:p>
        </w:tc>
        <w:tc>
          <w:tcPr>
            <w:tcW w:w="1120" w:type="dxa"/>
            <w:tcBorders>
              <w:top w:val="single" w:color="auto" w:sz="4" w:space="0"/>
              <w:left w:val="nil"/>
              <w:bottom w:val="nil"/>
              <w:right w:val="single" w:color="auto" w:sz="4" w:space="0"/>
            </w:tcBorders>
            <w:vAlign w:val="center"/>
          </w:tcPr>
          <w:p w14:paraId="56646BFF">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40000</w:t>
            </w:r>
          </w:p>
        </w:tc>
        <w:tc>
          <w:tcPr>
            <w:tcW w:w="847" w:type="dxa"/>
            <w:tcBorders>
              <w:top w:val="single" w:color="auto" w:sz="4" w:space="0"/>
              <w:left w:val="nil"/>
              <w:bottom w:val="nil"/>
              <w:right w:val="single" w:color="auto" w:sz="4" w:space="0"/>
            </w:tcBorders>
            <w:vAlign w:val="center"/>
          </w:tcPr>
          <w:p w14:paraId="651E649B">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40000</w:t>
            </w:r>
          </w:p>
        </w:tc>
        <w:tc>
          <w:tcPr>
            <w:tcW w:w="957" w:type="dxa"/>
            <w:tcBorders>
              <w:top w:val="single" w:color="auto" w:sz="4" w:space="0"/>
              <w:left w:val="nil"/>
              <w:bottom w:val="nil"/>
              <w:right w:val="single" w:color="auto" w:sz="4" w:space="0"/>
            </w:tcBorders>
            <w:shd w:val="clear" w:color="auto" w:fill="auto"/>
            <w:vAlign w:val="center"/>
          </w:tcPr>
          <w:p w14:paraId="1DF8F280">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r>
              <w:rPr>
                <w:rFonts w:hint="eastAsia"/>
                <w:color w:val="auto"/>
                <w:sz w:val="21"/>
                <w:szCs w:val="21"/>
                <w:highlight w:val="none"/>
              </w:rPr>
              <w:t>气动</w:t>
            </w:r>
          </w:p>
        </w:tc>
        <w:tc>
          <w:tcPr>
            <w:tcW w:w="901" w:type="dxa"/>
            <w:tcBorders>
              <w:top w:val="single" w:color="auto" w:sz="4" w:space="0"/>
              <w:left w:val="nil"/>
              <w:bottom w:val="nil"/>
              <w:right w:val="single" w:color="auto" w:sz="4" w:space="0"/>
            </w:tcBorders>
            <w:shd w:val="clear" w:color="auto" w:fill="auto"/>
            <w:vAlign w:val="top"/>
          </w:tcPr>
          <w:p w14:paraId="22DE1E42">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r>
              <w:rPr>
                <w:rFonts w:hint="eastAsia"/>
                <w:color w:val="auto"/>
                <w:sz w:val="21"/>
                <w:szCs w:val="21"/>
                <w:highlight w:val="none"/>
              </w:rPr>
              <w:t>-</w:t>
            </w:r>
          </w:p>
        </w:tc>
      </w:tr>
      <w:tr w14:paraId="27BC0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2" w:type="dxa"/>
            <w:tcBorders>
              <w:top w:val="single" w:color="auto" w:sz="4" w:space="0"/>
              <w:left w:val="single" w:color="auto" w:sz="4" w:space="0"/>
              <w:bottom w:val="single" w:color="auto" w:sz="4" w:space="0"/>
              <w:right w:val="single" w:color="auto" w:sz="4" w:space="0"/>
            </w:tcBorders>
            <w:vAlign w:val="center"/>
          </w:tcPr>
          <w:p w14:paraId="7CEA6436">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3</w:t>
            </w:r>
          </w:p>
        </w:tc>
        <w:tc>
          <w:tcPr>
            <w:tcW w:w="1337" w:type="dxa"/>
            <w:tcBorders>
              <w:top w:val="nil"/>
              <w:left w:val="single" w:color="auto" w:sz="4" w:space="0"/>
              <w:bottom w:val="single" w:color="auto" w:sz="4" w:space="0"/>
              <w:right w:val="nil"/>
            </w:tcBorders>
            <w:vAlign w:val="center"/>
          </w:tcPr>
          <w:p w14:paraId="7FC8F2D3">
            <w:pPr>
              <w:widowControl/>
              <w:shd w:val="clear"/>
              <w:spacing w:line="240" w:lineRule="auto"/>
              <w:ind w:firstLine="0" w:firstLineChars="0"/>
              <w:textAlignment w:val="bottom"/>
              <w:rPr>
                <w:color w:val="auto"/>
                <w:sz w:val="21"/>
                <w:szCs w:val="21"/>
                <w:highlight w:val="none"/>
              </w:rPr>
            </w:pPr>
            <w:r>
              <w:rPr>
                <w:rFonts w:hint="eastAsia"/>
                <w:color w:val="auto"/>
                <w:sz w:val="21"/>
                <w:szCs w:val="21"/>
                <w:highlight w:val="none"/>
              </w:rPr>
              <w:t>　</w:t>
            </w:r>
          </w:p>
        </w:tc>
        <w:tc>
          <w:tcPr>
            <w:tcW w:w="2963" w:type="dxa"/>
            <w:tcBorders>
              <w:top w:val="nil"/>
              <w:left w:val="single" w:color="auto" w:sz="4" w:space="0"/>
              <w:bottom w:val="single" w:color="auto" w:sz="4" w:space="0"/>
              <w:right w:val="single" w:color="auto" w:sz="4" w:space="0"/>
            </w:tcBorders>
            <w:vAlign w:val="center"/>
          </w:tcPr>
          <w:p w14:paraId="55CE6BF6">
            <w:pPr>
              <w:widowControl/>
              <w:shd w:val="clear"/>
              <w:spacing w:line="240" w:lineRule="auto"/>
              <w:ind w:firstLine="0" w:firstLineChars="0"/>
              <w:textAlignment w:val="bottom"/>
              <w:rPr>
                <w:color w:val="auto"/>
                <w:sz w:val="21"/>
                <w:szCs w:val="21"/>
                <w:highlight w:val="none"/>
              </w:rPr>
            </w:pPr>
            <w:r>
              <w:rPr>
                <w:rFonts w:ascii="Times New Roman" w:hAnsi="Times New Roman" w:cs="Times New Roman"/>
                <w:color w:val="auto"/>
                <w:sz w:val="21"/>
                <w:szCs w:val="21"/>
                <w:highlight w:val="none"/>
              </w:rPr>
              <w:t>42#</w:t>
            </w:r>
            <w:r>
              <w:rPr>
                <w:rFonts w:hint="eastAsia" w:cs="Times New Roman"/>
                <w:color w:val="auto"/>
                <w:sz w:val="21"/>
                <w:szCs w:val="21"/>
                <w:highlight w:val="none"/>
              </w:rPr>
              <w:t>、</w:t>
            </w:r>
            <w:r>
              <w:rPr>
                <w:rFonts w:ascii="Times New Roman" w:hAnsi="Times New Roman" w:cs="Times New Roman"/>
                <w:color w:val="auto"/>
                <w:sz w:val="21"/>
                <w:szCs w:val="21"/>
                <w:highlight w:val="none"/>
              </w:rPr>
              <w:t>43#</w:t>
            </w:r>
            <w:r>
              <w:rPr>
                <w:rFonts w:hint="eastAsia" w:cs="Times New Roman"/>
                <w:color w:val="auto"/>
                <w:sz w:val="21"/>
                <w:szCs w:val="21"/>
                <w:highlight w:val="none"/>
              </w:rPr>
              <w:t>、</w:t>
            </w:r>
            <w:r>
              <w:rPr>
                <w:rFonts w:ascii="Times New Roman" w:hAnsi="Times New Roman" w:cs="Times New Roman"/>
                <w:color w:val="auto"/>
                <w:sz w:val="21"/>
                <w:szCs w:val="21"/>
                <w:highlight w:val="none"/>
              </w:rPr>
              <w:t>44#</w:t>
            </w:r>
            <w:r>
              <w:rPr>
                <w:rFonts w:hint="eastAsia" w:cs="Times New Roman"/>
                <w:color w:val="auto"/>
                <w:sz w:val="21"/>
                <w:szCs w:val="21"/>
                <w:highlight w:val="none"/>
              </w:rPr>
              <w:t>皮带机头</w:t>
            </w:r>
          </w:p>
        </w:tc>
        <w:tc>
          <w:tcPr>
            <w:tcW w:w="703" w:type="dxa"/>
            <w:tcBorders>
              <w:top w:val="nil"/>
              <w:left w:val="nil"/>
              <w:bottom w:val="single" w:color="auto" w:sz="4" w:space="0"/>
              <w:right w:val="single" w:color="auto" w:sz="4" w:space="0"/>
            </w:tcBorders>
            <w:vAlign w:val="center"/>
          </w:tcPr>
          <w:p w14:paraId="5E4C11F3">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3</w:t>
            </w:r>
          </w:p>
        </w:tc>
        <w:tc>
          <w:tcPr>
            <w:tcW w:w="1110" w:type="dxa"/>
            <w:tcBorders>
              <w:top w:val="nil"/>
              <w:left w:val="nil"/>
              <w:bottom w:val="single" w:color="auto" w:sz="4" w:space="0"/>
              <w:right w:val="single" w:color="auto" w:sz="4" w:space="0"/>
            </w:tcBorders>
            <w:vAlign w:val="center"/>
          </w:tcPr>
          <w:p w14:paraId="740EC803">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3</w:t>
            </w:r>
          </w:p>
        </w:tc>
        <w:tc>
          <w:tcPr>
            <w:tcW w:w="1120" w:type="dxa"/>
            <w:tcBorders>
              <w:top w:val="single" w:color="auto" w:sz="4" w:space="0"/>
              <w:left w:val="nil"/>
              <w:bottom w:val="single" w:color="auto" w:sz="4" w:space="0"/>
              <w:right w:val="single" w:color="auto" w:sz="4" w:space="0"/>
            </w:tcBorders>
            <w:vAlign w:val="center"/>
          </w:tcPr>
          <w:p w14:paraId="4D848FAA">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3500</w:t>
            </w:r>
          </w:p>
        </w:tc>
        <w:tc>
          <w:tcPr>
            <w:tcW w:w="847" w:type="dxa"/>
            <w:tcBorders>
              <w:top w:val="single" w:color="auto" w:sz="4" w:space="0"/>
              <w:left w:val="nil"/>
              <w:bottom w:val="single" w:color="auto" w:sz="4" w:space="0"/>
              <w:right w:val="single" w:color="auto" w:sz="4" w:space="0"/>
            </w:tcBorders>
            <w:vAlign w:val="center"/>
          </w:tcPr>
          <w:p w14:paraId="0ABD20C4">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10500</w:t>
            </w:r>
          </w:p>
        </w:tc>
        <w:tc>
          <w:tcPr>
            <w:tcW w:w="957" w:type="dxa"/>
            <w:tcBorders>
              <w:top w:val="single" w:color="auto" w:sz="4" w:space="0"/>
              <w:left w:val="nil"/>
              <w:bottom w:val="single" w:color="auto" w:sz="4" w:space="0"/>
              <w:right w:val="single" w:color="auto" w:sz="4" w:space="0"/>
            </w:tcBorders>
            <w:shd w:val="clear" w:color="auto" w:fill="auto"/>
            <w:vAlign w:val="center"/>
          </w:tcPr>
          <w:p w14:paraId="54651C62">
            <w:pPr>
              <w:widowControl/>
              <w:shd w:val="clear"/>
              <w:snapToGrid w:val="0"/>
              <w:spacing w:line="240" w:lineRule="auto"/>
              <w:ind w:firstLine="0" w:firstLineChars="0"/>
              <w:jc w:val="center"/>
              <w:textAlignment w:val="bottom"/>
              <w:rPr>
                <w:rFonts w:hint="default" w:ascii="宋体" w:hAnsi="宋体" w:eastAsia="宋体" w:cs="Arial"/>
                <w:color w:val="auto"/>
                <w:kern w:val="2"/>
                <w:sz w:val="21"/>
                <w:szCs w:val="21"/>
                <w:highlight w:val="none"/>
                <w:lang w:val="en-US" w:eastAsia="zh-CN" w:bidi="ar-SA"/>
              </w:rPr>
            </w:pPr>
            <w:r>
              <w:rPr>
                <w:rFonts w:hint="eastAsia"/>
                <w:color w:val="auto"/>
                <w:sz w:val="21"/>
                <w:szCs w:val="21"/>
                <w:highlight w:val="none"/>
              </w:rPr>
              <w:t>手动</w:t>
            </w:r>
          </w:p>
        </w:tc>
        <w:tc>
          <w:tcPr>
            <w:tcW w:w="901" w:type="dxa"/>
            <w:tcBorders>
              <w:top w:val="single" w:color="auto" w:sz="4" w:space="0"/>
              <w:left w:val="nil"/>
              <w:bottom w:val="single" w:color="auto" w:sz="4" w:space="0"/>
              <w:right w:val="single" w:color="auto" w:sz="4" w:space="0"/>
            </w:tcBorders>
            <w:shd w:val="clear" w:color="auto" w:fill="auto"/>
            <w:vAlign w:val="top"/>
          </w:tcPr>
          <w:p w14:paraId="6A9F657C">
            <w:pPr>
              <w:widowControl/>
              <w:shd w:val="clear"/>
              <w:snapToGrid w:val="0"/>
              <w:spacing w:line="240" w:lineRule="auto"/>
              <w:ind w:firstLine="0" w:firstLineChars="0"/>
              <w:jc w:val="center"/>
              <w:textAlignment w:val="bottom"/>
              <w:rPr>
                <w:rFonts w:hint="default" w:ascii="宋体" w:hAnsi="宋体" w:eastAsia="宋体" w:cs="Arial"/>
                <w:color w:val="auto"/>
                <w:kern w:val="2"/>
                <w:sz w:val="21"/>
                <w:szCs w:val="21"/>
                <w:highlight w:val="none"/>
                <w:lang w:val="en-US" w:eastAsia="zh-CN" w:bidi="ar-SA"/>
              </w:rPr>
            </w:pPr>
            <w:r>
              <w:rPr>
                <w:rFonts w:hint="eastAsia"/>
                <w:color w:val="auto"/>
                <w:sz w:val="21"/>
                <w:szCs w:val="21"/>
                <w:highlight w:val="none"/>
              </w:rPr>
              <w:t>-</w:t>
            </w:r>
          </w:p>
        </w:tc>
      </w:tr>
      <w:tr w14:paraId="7745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2" w:type="dxa"/>
            <w:tcBorders>
              <w:top w:val="single" w:color="auto" w:sz="4" w:space="0"/>
              <w:left w:val="single" w:color="auto" w:sz="4" w:space="0"/>
              <w:bottom w:val="single" w:color="auto" w:sz="4" w:space="0"/>
              <w:right w:val="single" w:color="auto" w:sz="4" w:space="0"/>
            </w:tcBorders>
            <w:vAlign w:val="center"/>
          </w:tcPr>
          <w:p w14:paraId="25045C15">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4</w:t>
            </w:r>
          </w:p>
        </w:tc>
        <w:tc>
          <w:tcPr>
            <w:tcW w:w="1337" w:type="dxa"/>
            <w:tcBorders>
              <w:top w:val="nil"/>
              <w:left w:val="single" w:color="auto" w:sz="4" w:space="0"/>
              <w:bottom w:val="single" w:color="auto" w:sz="4" w:space="0"/>
              <w:right w:val="nil"/>
            </w:tcBorders>
            <w:vAlign w:val="center"/>
          </w:tcPr>
          <w:p w14:paraId="729FC2F0">
            <w:pPr>
              <w:widowControl/>
              <w:shd w:val="clear"/>
              <w:spacing w:line="240" w:lineRule="auto"/>
              <w:ind w:firstLine="0" w:firstLineChars="0"/>
              <w:textAlignment w:val="bottom"/>
              <w:rPr>
                <w:color w:val="auto"/>
                <w:sz w:val="21"/>
                <w:szCs w:val="21"/>
                <w:highlight w:val="none"/>
              </w:rPr>
            </w:pPr>
            <w:r>
              <w:rPr>
                <w:rFonts w:hint="eastAsia"/>
                <w:color w:val="auto"/>
                <w:sz w:val="21"/>
                <w:szCs w:val="21"/>
                <w:highlight w:val="none"/>
              </w:rPr>
              <w:t>　</w:t>
            </w:r>
          </w:p>
        </w:tc>
        <w:tc>
          <w:tcPr>
            <w:tcW w:w="2963" w:type="dxa"/>
            <w:tcBorders>
              <w:top w:val="nil"/>
              <w:left w:val="single" w:color="auto" w:sz="4" w:space="0"/>
              <w:bottom w:val="single" w:color="auto" w:sz="4" w:space="0"/>
              <w:right w:val="single" w:color="auto" w:sz="4" w:space="0"/>
            </w:tcBorders>
            <w:vAlign w:val="center"/>
          </w:tcPr>
          <w:p w14:paraId="3D4A3051">
            <w:pPr>
              <w:widowControl/>
              <w:shd w:val="clear"/>
              <w:spacing w:line="240" w:lineRule="auto"/>
              <w:ind w:firstLine="0" w:firstLineChars="0"/>
              <w:textAlignment w:val="bottom"/>
              <w:rPr>
                <w:color w:val="auto"/>
                <w:sz w:val="21"/>
                <w:szCs w:val="21"/>
                <w:highlight w:val="none"/>
              </w:rPr>
            </w:pPr>
            <w:r>
              <w:rPr>
                <w:rFonts w:ascii="Times New Roman" w:hAnsi="Times New Roman" w:cs="Times New Roman"/>
                <w:color w:val="auto"/>
                <w:sz w:val="21"/>
                <w:szCs w:val="21"/>
                <w:highlight w:val="none"/>
              </w:rPr>
              <w:t>44#</w:t>
            </w:r>
            <w:r>
              <w:rPr>
                <w:rFonts w:hint="eastAsia" w:cs="Times New Roman"/>
                <w:color w:val="auto"/>
                <w:sz w:val="21"/>
                <w:szCs w:val="21"/>
                <w:highlight w:val="none"/>
              </w:rPr>
              <w:t>皮带机头焦粉仓顶部溜槽</w:t>
            </w:r>
          </w:p>
        </w:tc>
        <w:tc>
          <w:tcPr>
            <w:tcW w:w="703" w:type="dxa"/>
            <w:tcBorders>
              <w:top w:val="nil"/>
              <w:left w:val="nil"/>
              <w:bottom w:val="single" w:color="auto" w:sz="4" w:space="0"/>
              <w:right w:val="single" w:color="auto" w:sz="4" w:space="0"/>
            </w:tcBorders>
            <w:vAlign w:val="center"/>
          </w:tcPr>
          <w:p w14:paraId="662E3501">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1</w:t>
            </w:r>
          </w:p>
        </w:tc>
        <w:tc>
          <w:tcPr>
            <w:tcW w:w="1110" w:type="dxa"/>
            <w:tcBorders>
              <w:top w:val="nil"/>
              <w:left w:val="nil"/>
              <w:bottom w:val="single" w:color="auto" w:sz="4" w:space="0"/>
              <w:right w:val="single" w:color="auto" w:sz="4" w:space="0"/>
            </w:tcBorders>
            <w:vAlign w:val="center"/>
          </w:tcPr>
          <w:p w14:paraId="7A1EBD11">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1</w:t>
            </w:r>
          </w:p>
        </w:tc>
        <w:tc>
          <w:tcPr>
            <w:tcW w:w="1120" w:type="dxa"/>
            <w:tcBorders>
              <w:top w:val="nil"/>
              <w:left w:val="nil"/>
              <w:bottom w:val="single" w:color="auto" w:sz="4" w:space="0"/>
              <w:right w:val="single" w:color="auto" w:sz="4" w:space="0"/>
            </w:tcBorders>
            <w:vAlign w:val="center"/>
          </w:tcPr>
          <w:p w14:paraId="19334162">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3500</w:t>
            </w:r>
          </w:p>
        </w:tc>
        <w:tc>
          <w:tcPr>
            <w:tcW w:w="847" w:type="dxa"/>
            <w:tcBorders>
              <w:top w:val="nil"/>
              <w:left w:val="nil"/>
              <w:bottom w:val="single" w:color="auto" w:sz="4" w:space="0"/>
              <w:right w:val="single" w:color="auto" w:sz="4" w:space="0"/>
            </w:tcBorders>
            <w:vAlign w:val="center"/>
          </w:tcPr>
          <w:p w14:paraId="4B674270">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3500</w:t>
            </w:r>
          </w:p>
        </w:tc>
        <w:tc>
          <w:tcPr>
            <w:tcW w:w="957" w:type="dxa"/>
            <w:tcBorders>
              <w:top w:val="nil"/>
              <w:left w:val="nil"/>
              <w:bottom w:val="single" w:color="auto" w:sz="4" w:space="0"/>
              <w:right w:val="single" w:color="auto" w:sz="4" w:space="0"/>
            </w:tcBorders>
            <w:shd w:val="clear" w:color="auto" w:fill="auto"/>
            <w:vAlign w:val="center"/>
          </w:tcPr>
          <w:p w14:paraId="06C733A2">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r>
              <w:rPr>
                <w:rFonts w:hint="eastAsia"/>
                <w:color w:val="auto"/>
                <w:sz w:val="21"/>
                <w:szCs w:val="21"/>
                <w:highlight w:val="none"/>
              </w:rPr>
              <w:t>手动</w:t>
            </w:r>
          </w:p>
        </w:tc>
        <w:tc>
          <w:tcPr>
            <w:tcW w:w="901" w:type="dxa"/>
            <w:tcBorders>
              <w:top w:val="nil"/>
              <w:left w:val="nil"/>
              <w:bottom w:val="single" w:color="auto" w:sz="4" w:space="0"/>
              <w:right w:val="single" w:color="auto" w:sz="4" w:space="0"/>
            </w:tcBorders>
            <w:shd w:val="clear" w:color="auto" w:fill="auto"/>
            <w:vAlign w:val="top"/>
          </w:tcPr>
          <w:p w14:paraId="4EE8B7C0">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r>
              <w:rPr>
                <w:rFonts w:hint="eastAsia"/>
                <w:color w:val="auto"/>
                <w:sz w:val="21"/>
                <w:szCs w:val="21"/>
                <w:highlight w:val="none"/>
              </w:rPr>
              <w:t>-</w:t>
            </w:r>
          </w:p>
        </w:tc>
      </w:tr>
      <w:tr w14:paraId="57FF2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2" w:type="dxa"/>
            <w:tcBorders>
              <w:top w:val="single" w:color="auto" w:sz="4" w:space="0"/>
              <w:left w:val="single" w:color="auto" w:sz="4" w:space="0"/>
              <w:bottom w:val="single" w:color="auto" w:sz="4" w:space="0"/>
              <w:right w:val="single" w:color="auto" w:sz="4" w:space="0"/>
            </w:tcBorders>
            <w:vAlign w:val="center"/>
          </w:tcPr>
          <w:p w14:paraId="42370C5F">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5</w:t>
            </w:r>
          </w:p>
        </w:tc>
        <w:tc>
          <w:tcPr>
            <w:tcW w:w="1337" w:type="dxa"/>
            <w:tcBorders>
              <w:top w:val="nil"/>
              <w:left w:val="single" w:color="auto" w:sz="4" w:space="0"/>
              <w:bottom w:val="single" w:color="auto" w:sz="4" w:space="0"/>
              <w:right w:val="nil"/>
            </w:tcBorders>
            <w:vAlign w:val="center"/>
          </w:tcPr>
          <w:p w14:paraId="249EE02F">
            <w:pPr>
              <w:widowControl/>
              <w:shd w:val="clear"/>
              <w:spacing w:line="240" w:lineRule="auto"/>
              <w:ind w:firstLine="0" w:firstLineChars="0"/>
              <w:textAlignment w:val="bottom"/>
              <w:rPr>
                <w:color w:val="auto"/>
                <w:sz w:val="21"/>
                <w:szCs w:val="21"/>
                <w:highlight w:val="none"/>
              </w:rPr>
            </w:pPr>
            <w:r>
              <w:rPr>
                <w:rFonts w:hint="eastAsia"/>
                <w:color w:val="auto"/>
                <w:sz w:val="21"/>
                <w:szCs w:val="21"/>
                <w:highlight w:val="none"/>
              </w:rPr>
              <w:t>　</w:t>
            </w:r>
          </w:p>
        </w:tc>
        <w:tc>
          <w:tcPr>
            <w:tcW w:w="2963" w:type="dxa"/>
            <w:tcBorders>
              <w:top w:val="nil"/>
              <w:left w:val="single" w:color="auto" w:sz="4" w:space="0"/>
              <w:bottom w:val="single" w:color="auto" w:sz="4" w:space="0"/>
              <w:right w:val="single" w:color="auto" w:sz="4" w:space="0"/>
            </w:tcBorders>
            <w:vAlign w:val="center"/>
          </w:tcPr>
          <w:p w14:paraId="253C0B22">
            <w:pPr>
              <w:widowControl/>
              <w:shd w:val="clear"/>
              <w:spacing w:line="240" w:lineRule="auto"/>
              <w:ind w:firstLine="0" w:firstLineChars="0"/>
              <w:textAlignment w:val="bottom"/>
              <w:rPr>
                <w:color w:val="auto"/>
                <w:sz w:val="21"/>
                <w:szCs w:val="21"/>
                <w:highlight w:val="none"/>
              </w:rPr>
            </w:pPr>
            <w:r>
              <w:rPr>
                <w:rFonts w:hint="eastAsia"/>
                <w:color w:val="auto"/>
                <w:sz w:val="21"/>
                <w:szCs w:val="21"/>
                <w:highlight w:val="none"/>
              </w:rPr>
              <w:t>南、北焦仓仓顶</w:t>
            </w:r>
          </w:p>
        </w:tc>
        <w:tc>
          <w:tcPr>
            <w:tcW w:w="703" w:type="dxa"/>
            <w:tcBorders>
              <w:top w:val="nil"/>
              <w:left w:val="nil"/>
              <w:bottom w:val="single" w:color="auto" w:sz="4" w:space="0"/>
              <w:right w:val="single" w:color="auto" w:sz="4" w:space="0"/>
            </w:tcBorders>
            <w:vAlign w:val="center"/>
          </w:tcPr>
          <w:p w14:paraId="62264670">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4</w:t>
            </w:r>
          </w:p>
        </w:tc>
        <w:tc>
          <w:tcPr>
            <w:tcW w:w="1110" w:type="dxa"/>
            <w:tcBorders>
              <w:top w:val="nil"/>
              <w:left w:val="nil"/>
              <w:bottom w:val="single" w:color="auto" w:sz="4" w:space="0"/>
              <w:right w:val="single" w:color="auto" w:sz="4" w:space="0"/>
            </w:tcBorders>
            <w:vAlign w:val="center"/>
          </w:tcPr>
          <w:p w14:paraId="234C393D">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2</w:t>
            </w:r>
          </w:p>
        </w:tc>
        <w:tc>
          <w:tcPr>
            <w:tcW w:w="1120" w:type="dxa"/>
            <w:tcBorders>
              <w:top w:val="nil"/>
              <w:left w:val="nil"/>
              <w:bottom w:val="single" w:color="auto" w:sz="4" w:space="0"/>
              <w:right w:val="single" w:color="auto" w:sz="4" w:space="0"/>
            </w:tcBorders>
            <w:vAlign w:val="center"/>
          </w:tcPr>
          <w:p w14:paraId="55A2945C">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10000</w:t>
            </w:r>
          </w:p>
        </w:tc>
        <w:tc>
          <w:tcPr>
            <w:tcW w:w="847" w:type="dxa"/>
            <w:tcBorders>
              <w:top w:val="nil"/>
              <w:left w:val="nil"/>
              <w:bottom w:val="single" w:color="auto" w:sz="4" w:space="0"/>
              <w:right w:val="single" w:color="auto" w:sz="4" w:space="0"/>
            </w:tcBorders>
            <w:vAlign w:val="center"/>
          </w:tcPr>
          <w:p w14:paraId="7431EC3E">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20000</w:t>
            </w:r>
          </w:p>
        </w:tc>
        <w:tc>
          <w:tcPr>
            <w:tcW w:w="957" w:type="dxa"/>
            <w:tcBorders>
              <w:top w:val="nil"/>
              <w:left w:val="nil"/>
              <w:bottom w:val="single" w:color="auto" w:sz="4" w:space="0"/>
              <w:right w:val="single" w:color="auto" w:sz="4" w:space="0"/>
            </w:tcBorders>
            <w:shd w:val="clear" w:color="auto" w:fill="auto"/>
            <w:vAlign w:val="center"/>
          </w:tcPr>
          <w:p w14:paraId="381CA082">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r>
              <w:rPr>
                <w:rFonts w:hint="eastAsia"/>
                <w:color w:val="auto"/>
                <w:sz w:val="21"/>
                <w:szCs w:val="21"/>
                <w:highlight w:val="none"/>
              </w:rPr>
              <w:t>手动</w:t>
            </w:r>
          </w:p>
        </w:tc>
        <w:tc>
          <w:tcPr>
            <w:tcW w:w="901" w:type="dxa"/>
            <w:tcBorders>
              <w:top w:val="nil"/>
              <w:left w:val="nil"/>
              <w:bottom w:val="single" w:color="auto" w:sz="4" w:space="0"/>
              <w:right w:val="single" w:color="auto" w:sz="4" w:space="0"/>
            </w:tcBorders>
            <w:shd w:val="clear" w:color="auto" w:fill="auto"/>
            <w:vAlign w:val="top"/>
          </w:tcPr>
          <w:p w14:paraId="4880F218">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r>
              <w:rPr>
                <w:rFonts w:hint="eastAsia"/>
                <w:color w:val="auto"/>
                <w:sz w:val="21"/>
                <w:szCs w:val="21"/>
                <w:highlight w:val="none"/>
              </w:rPr>
              <w:t>-</w:t>
            </w:r>
          </w:p>
        </w:tc>
      </w:tr>
      <w:tr w14:paraId="6773D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2" w:type="dxa"/>
            <w:tcBorders>
              <w:top w:val="single" w:color="auto" w:sz="4" w:space="0"/>
              <w:left w:val="single" w:color="auto" w:sz="4" w:space="0"/>
              <w:bottom w:val="single" w:color="auto" w:sz="4" w:space="0"/>
              <w:right w:val="single" w:color="auto" w:sz="4" w:space="0"/>
            </w:tcBorders>
            <w:vAlign w:val="center"/>
          </w:tcPr>
          <w:p w14:paraId="7A227A41">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6</w:t>
            </w:r>
          </w:p>
        </w:tc>
        <w:tc>
          <w:tcPr>
            <w:tcW w:w="1337" w:type="dxa"/>
            <w:tcBorders>
              <w:top w:val="nil"/>
              <w:left w:val="single" w:color="auto" w:sz="4" w:space="0"/>
              <w:bottom w:val="single" w:color="auto" w:sz="4" w:space="0"/>
              <w:right w:val="nil"/>
            </w:tcBorders>
            <w:vAlign w:val="center"/>
          </w:tcPr>
          <w:p w14:paraId="2E569AC2">
            <w:pPr>
              <w:widowControl/>
              <w:shd w:val="clear"/>
              <w:spacing w:line="240" w:lineRule="auto"/>
              <w:ind w:firstLine="0" w:firstLineChars="0"/>
              <w:textAlignment w:val="bottom"/>
              <w:rPr>
                <w:color w:val="auto"/>
                <w:sz w:val="21"/>
                <w:szCs w:val="21"/>
                <w:highlight w:val="none"/>
              </w:rPr>
            </w:pPr>
            <w:r>
              <w:rPr>
                <w:rFonts w:hint="eastAsia"/>
                <w:color w:val="auto"/>
                <w:sz w:val="21"/>
                <w:szCs w:val="21"/>
                <w:highlight w:val="none"/>
              </w:rPr>
              <w:t>　</w:t>
            </w:r>
          </w:p>
        </w:tc>
        <w:tc>
          <w:tcPr>
            <w:tcW w:w="2963" w:type="dxa"/>
            <w:tcBorders>
              <w:top w:val="nil"/>
              <w:left w:val="single" w:color="auto" w:sz="4" w:space="0"/>
              <w:bottom w:val="single" w:color="auto" w:sz="4" w:space="0"/>
              <w:right w:val="single" w:color="auto" w:sz="4" w:space="0"/>
            </w:tcBorders>
            <w:vAlign w:val="center"/>
          </w:tcPr>
          <w:p w14:paraId="46DCBF3F">
            <w:pPr>
              <w:widowControl/>
              <w:shd w:val="clear"/>
              <w:spacing w:line="240" w:lineRule="auto"/>
              <w:ind w:firstLine="0" w:firstLineChars="0"/>
              <w:textAlignment w:val="bottom"/>
              <w:rPr>
                <w:color w:val="auto"/>
                <w:sz w:val="21"/>
                <w:szCs w:val="21"/>
                <w:highlight w:val="none"/>
              </w:rPr>
            </w:pPr>
            <w:r>
              <w:rPr>
                <w:rFonts w:ascii="Times New Roman" w:hAnsi="Times New Roman" w:cs="Times New Roman"/>
                <w:color w:val="auto"/>
                <w:sz w:val="21"/>
                <w:szCs w:val="21"/>
                <w:highlight w:val="none"/>
              </w:rPr>
              <w:t>9~16</w:t>
            </w:r>
            <w:r>
              <w:rPr>
                <w:rFonts w:hint="eastAsia" w:cs="Times New Roman"/>
                <w:color w:val="auto"/>
                <w:sz w:val="21"/>
                <w:szCs w:val="21"/>
                <w:highlight w:val="none"/>
              </w:rPr>
              <w:t>矿仓</w:t>
            </w:r>
            <w:r>
              <w:rPr>
                <w:rFonts w:hint="eastAsia"/>
                <w:color w:val="auto"/>
                <w:sz w:val="21"/>
                <w:szCs w:val="21"/>
                <w:highlight w:val="none"/>
              </w:rPr>
              <w:t>仓顶</w:t>
            </w:r>
            <w:r>
              <w:rPr>
                <w:rFonts w:hint="eastAsia" w:cs="Times New Roman"/>
                <w:color w:val="auto"/>
                <w:sz w:val="21"/>
                <w:szCs w:val="21"/>
                <w:highlight w:val="none"/>
              </w:rPr>
              <w:t>侧吸</w:t>
            </w:r>
          </w:p>
        </w:tc>
        <w:tc>
          <w:tcPr>
            <w:tcW w:w="703" w:type="dxa"/>
            <w:tcBorders>
              <w:top w:val="nil"/>
              <w:left w:val="nil"/>
              <w:bottom w:val="single" w:color="auto" w:sz="4" w:space="0"/>
              <w:right w:val="single" w:color="auto" w:sz="4" w:space="0"/>
            </w:tcBorders>
            <w:vAlign w:val="center"/>
          </w:tcPr>
          <w:p w14:paraId="725B68AF">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12</w:t>
            </w:r>
          </w:p>
        </w:tc>
        <w:tc>
          <w:tcPr>
            <w:tcW w:w="1110" w:type="dxa"/>
            <w:tcBorders>
              <w:top w:val="nil"/>
              <w:left w:val="nil"/>
              <w:bottom w:val="single" w:color="auto" w:sz="4" w:space="0"/>
              <w:right w:val="single" w:color="auto" w:sz="4" w:space="0"/>
            </w:tcBorders>
            <w:vAlign w:val="center"/>
          </w:tcPr>
          <w:p w14:paraId="42B55866">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4</w:t>
            </w:r>
          </w:p>
        </w:tc>
        <w:tc>
          <w:tcPr>
            <w:tcW w:w="1120" w:type="dxa"/>
            <w:tcBorders>
              <w:top w:val="nil"/>
              <w:left w:val="nil"/>
              <w:bottom w:val="single" w:color="auto" w:sz="4" w:space="0"/>
              <w:right w:val="single" w:color="auto" w:sz="4" w:space="0"/>
            </w:tcBorders>
            <w:vAlign w:val="center"/>
          </w:tcPr>
          <w:p w14:paraId="3C8E501A">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10000</w:t>
            </w:r>
          </w:p>
        </w:tc>
        <w:tc>
          <w:tcPr>
            <w:tcW w:w="847" w:type="dxa"/>
            <w:tcBorders>
              <w:top w:val="nil"/>
              <w:left w:val="nil"/>
              <w:bottom w:val="single" w:color="auto" w:sz="4" w:space="0"/>
              <w:right w:val="single" w:color="auto" w:sz="4" w:space="0"/>
            </w:tcBorders>
            <w:vAlign w:val="center"/>
          </w:tcPr>
          <w:p w14:paraId="402D8D38">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40000</w:t>
            </w:r>
          </w:p>
        </w:tc>
        <w:tc>
          <w:tcPr>
            <w:tcW w:w="957" w:type="dxa"/>
            <w:tcBorders>
              <w:top w:val="nil"/>
              <w:left w:val="nil"/>
              <w:bottom w:val="single" w:color="auto" w:sz="4" w:space="0"/>
              <w:right w:val="single" w:color="auto" w:sz="4" w:space="0"/>
            </w:tcBorders>
            <w:shd w:val="clear" w:color="auto" w:fill="auto"/>
            <w:vAlign w:val="center"/>
          </w:tcPr>
          <w:p w14:paraId="14509F92">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r>
              <w:rPr>
                <w:rFonts w:hint="eastAsia"/>
                <w:color w:val="auto"/>
                <w:sz w:val="21"/>
                <w:szCs w:val="21"/>
                <w:highlight w:val="none"/>
              </w:rPr>
              <w:t>手动</w:t>
            </w:r>
          </w:p>
        </w:tc>
        <w:tc>
          <w:tcPr>
            <w:tcW w:w="901" w:type="dxa"/>
            <w:tcBorders>
              <w:top w:val="nil"/>
              <w:left w:val="nil"/>
              <w:bottom w:val="single" w:color="auto" w:sz="4" w:space="0"/>
              <w:right w:val="single" w:color="auto" w:sz="4" w:space="0"/>
            </w:tcBorders>
            <w:shd w:val="clear" w:color="auto" w:fill="auto"/>
            <w:vAlign w:val="top"/>
          </w:tcPr>
          <w:p w14:paraId="02A4350E">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r>
              <w:rPr>
                <w:rFonts w:hint="eastAsia"/>
                <w:color w:val="auto"/>
                <w:sz w:val="21"/>
                <w:szCs w:val="21"/>
                <w:highlight w:val="none"/>
              </w:rPr>
              <w:t>-</w:t>
            </w:r>
          </w:p>
        </w:tc>
      </w:tr>
      <w:tr w14:paraId="5D9E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2" w:type="dxa"/>
            <w:tcBorders>
              <w:top w:val="single" w:color="auto" w:sz="4" w:space="0"/>
              <w:left w:val="single" w:color="auto" w:sz="4" w:space="0"/>
              <w:bottom w:val="single" w:color="auto" w:sz="4" w:space="0"/>
              <w:right w:val="single" w:color="auto" w:sz="4" w:space="0"/>
            </w:tcBorders>
            <w:vAlign w:val="center"/>
          </w:tcPr>
          <w:p w14:paraId="1470B28C">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7</w:t>
            </w:r>
          </w:p>
        </w:tc>
        <w:tc>
          <w:tcPr>
            <w:tcW w:w="1337" w:type="dxa"/>
            <w:tcBorders>
              <w:top w:val="nil"/>
              <w:left w:val="single" w:color="auto" w:sz="4" w:space="0"/>
              <w:bottom w:val="single" w:color="auto" w:sz="4" w:space="0"/>
              <w:right w:val="nil"/>
            </w:tcBorders>
            <w:vAlign w:val="center"/>
          </w:tcPr>
          <w:p w14:paraId="170CAD1D">
            <w:pPr>
              <w:widowControl/>
              <w:shd w:val="clear"/>
              <w:spacing w:line="240" w:lineRule="auto"/>
              <w:ind w:firstLine="0" w:firstLineChars="0"/>
              <w:textAlignment w:val="bottom"/>
              <w:rPr>
                <w:color w:val="auto"/>
                <w:sz w:val="21"/>
                <w:szCs w:val="21"/>
                <w:highlight w:val="none"/>
              </w:rPr>
            </w:pPr>
            <w:r>
              <w:rPr>
                <w:rFonts w:hint="eastAsia"/>
                <w:color w:val="auto"/>
                <w:sz w:val="21"/>
                <w:szCs w:val="21"/>
                <w:highlight w:val="none"/>
              </w:rPr>
              <w:t>碎焦筛分室</w:t>
            </w:r>
          </w:p>
        </w:tc>
        <w:tc>
          <w:tcPr>
            <w:tcW w:w="2963" w:type="dxa"/>
            <w:tcBorders>
              <w:top w:val="nil"/>
              <w:left w:val="single" w:color="auto" w:sz="4" w:space="0"/>
              <w:bottom w:val="single" w:color="auto" w:sz="4" w:space="0"/>
              <w:right w:val="single" w:color="auto" w:sz="4" w:space="0"/>
            </w:tcBorders>
            <w:vAlign w:val="center"/>
          </w:tcPr>
          <w:p w14:paraId="37CEB2CF">
            <w:pPr>
              <w:widowControl/>
              <w:shd w:val="clear"/>
              <w:spacing w:line="240" w:lineRule="auto"/>
              <w:ind w:firstLine="0" w:firstLineChars="0"/>
              <w:textAlignment w:val="bottom"/>
              <w:rPr>
                <w:color w:val="auto"/>
                <w:sz w:val="21"/>
                <w:szCs w:val="21"/>
                <w:highlight w:val="none"/>
              </w:rPr>
            </w:pPr>
            <w:r>
              <w:rPr>
                <w:rFonts w:hint="eastAsia"/>
                <w:color w:val="auto"/>
                <w:sz w:val="21"/>
                <w:szCs w:val="21"/>
                <w:highlight w:val="none"/>
              </w:rPr>
              <w:t>南、北碎焦上料小车卸料点</w:t>
            </w:r>
          </w:p>
        </w:tc>
        <w:tc>
          <w:tcPr>
            <w:tcW w:w="703" w:type="dxa"/>
            <w:tcBorders>
              <w:top w:val="nil"/>
              <w:left w:val="nil"/>
              <w:bottom w:val="single" w:color="auto" w:sz="4" w:space="0"/>
              <w:right w:val="single" w:color="auto" w:sz="4" w:space="0"/>
            </w:tcBorders>
            <w:vAlign w:val="center"/>
          </w:tcPr>
          <w:p w14:paraId="5172DED6">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2</w:t>
            </w:r>
          </w:p>
        </w:tc>
        <w:tc>
          <w:tcPr>
            <w:tcW w:w="1110" w:type="dxa"/>
            <w:tcBorders>
              <w:top w:val="nil"/>
              <w:left w:val="nil"/>
              <w:bottom w:val="single" w:color="auto" w:sz="4" w:space="0"/>
              <w:right w:val="single" w:color="auto" w:sz="4" w:space="0"/>
            </w:tcBorders>
            <w:vAlign w:val="center"/>
          </w:tcPr>
          <w:p w14:paraId="694E0223">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2</w:t>
            </w:r>
          </w:p>
        </w:tc>
        <w:tc>
          <w:tcPr>
            <w:tcW w:w="1120" w:type="dxa"/>
            <w:tcBorders>
              <w:top w:val="nil"/>
              <w:left w:val="nil"/>
              <w:bottom w:val="single" w:color="auto" w:sz="4" w:space="0"/>
              <w:right w:val="single" w:color="auto" w:sz="4" w:space="0"/>
            </w:tcBorders>
            <w:vAlign w:val="center"/>
          </w:tcPr>
          <w:p w14:paraId="1D23B2C6">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30000</w:t>
            </w:r>
          </w:p>
        </w:tc>
        <w:tc>
          <w:tcPr>
            <w:tcW w:w="847" w:type="dxa"/>
            <w:tcBorders>
              <w:top w:val="nil"/>
              <w:left w:val="nil"/>
              <w:bottom w:val="single" w:color="auto" w:sz="4" w:space="0"/>
              <w:right w:val="single" w:color="auto" w:sz="4" w:space="0"/>
            </w:tcBorders>
            <w:vAlign w:val="center"/>
          </w:tcPr>
          <w:p w14:paraId="5019BE5C">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60000</w:t>
            </w:r>
          </w:p>
        </w:tc>
        <w:tc>
          <w:tcPr>
            <w:tcW w:w="957" w:type="dxa"/>
            <w:tcBorders>
              <w:top w:val="nil"/>
              <w:left w:val="nil"/>
              <w:bottom w:val="single" w:color="auto" w:sz="4" w:space="0"/>
              <w:right w:val="single" w:color="auto" w:sz="4" w:space="0"/>
            </w:tcBorders>
            <w:shd w:val="clear" w:color="auto" w:fill="auto"/>
            <w:vAlign w:val="center"/>
          </w:tcPr>
          <w:p w14:paraId="35D9A896">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r>
              <w:rPr>
                <w:rFonts w:hint="eastAsia"/>
                <w:color w:val="auto"/>
                <w:sz w:val="21"/>
                <w:szCs w:val="21"/>
                <w:highlight w:val="none"/>
              </w:rPr>
              <w:t>气动</w:t>
            </w:r>
          </w:p>
        </w:tc>
        <w:tc>
          <w:tcPr>
            <w:tcW w:w="901" w:type="dxa"/>
            <w:tcBorders>
              <w:top w:val="nil"/>
              <w:left w:val="nil"/>
              <w:bottom w:val="single" w:color="auto" w:sz="4" w:space="0"/>
              <w:right w:val="single" w:color="auto" w:sz="4" w:space="0"/>
            </w:tcBorders>
            <w:shd w:val="clear" w:color="auto" w:fill="auto"/>
            <w:vAlign w:val="top"/>
          </w:tcPr>
          <w:p w14:paraId="4C0EB4BA">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r>
              <w:rPr>
                <w:rFonts w:hint="eastAsia"/>
                <w:color w:val="auto"/>
                <w:sz w:val="21"/>
                <w:szCs w:val="21"/>
                <w:highlight w:val="none"/>
              </w:rPr>
              <w:t>-</w:t>
            </w:r>
          </w:p>
        </w:tc>
      </w:tr>
      <w:tr w14:paraId="77364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2" w:type="dxa"/>
            <w:tcBorders>
              <w:top w:val="single" w:color="auto" w:sz="4" w:space="0"/>
              <w:left w:val="single" w:color="auto" w:sz="4" w:space="0"/>
              <w:bottom w:val="single" w:color="auto" w:sz="4" w:space="0"/>
              <w:right w:val="single" w:color="auto" w:sz="4" w:space="0"/>
            </w:tcBorders>
            <w:vAlign w:val="center"/>
          </w:tcPr>
          <w:p w14:paraId="47DFB0F3">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8</w:t>
            </w:r>
          </w:p>
        </w:tc>
        <w:tc>
          <w:tcPr>
            <w:tcW w:w="1337" w:type="dxa"/>
            <w:tcBorders>
              <w:top w:val="nil"/>
              <w:left w:val="single" w:color="auto" w:sz="4" w:space="0"/>
              <w:bottom w:val="single" w:color="auto" w:sz="4" w:space="0"/>
              <w:right w:val="nil"/>
            </w:tcBorders>
            <w:vAlign w:val="center"/>
          </w:tcPr>
          <w:p w14:paraId="2EFF164F">
            <w:pPr>
              <w:widowControl/>
              <w:shd w:val="clear"/>
              <w:spacing w:line="240" w:lineRule="auto"/>
              <w:ind w:firstLine="0" w:firstLineChars="0"/>
              <w:textAlignment w:val="bottom"/>
              <w:rPr>
                <w:color w:val="auto"/>
                <w:sz w:val="21"/>
                <w:szCs w:val="21"/>
                <w:highlight w:val="none"/>
              </w:rPr>
            </w:pPr>
            <w:r>
              <w:rPr>
                <w:rFonts w:hint="eastAsia"/>
                <w:color w:val="auto"/>
                <w:sz w:val="21"/>
                <w:szCs w:val="21"/>
                <w:highlight w:val="none"/>
              </w:rPr>
              <w:t>　</w:t>
            </w:r>
          </w:p>
        </w:tc>
        <w:tc>
          <w:tcPr>
            <w:tcW w:w="2963" w:type="dxa"/>
            <w:tcBorders>
              <w:top w:val="nil"/>
              <w:left w:val="single" w:color="auto" w:sz="4" w:space="0"/>
              <w:bottom w:val="single" w:color="auto" w:sz="4" w:space="0"/>
              <w:right w:val="single" w:color="auto" w:sz="4" w:space="0"/>
            </w:tcBorders>
            <w:vAlign w:val="center"/>
          </w:tcPr>
          <w:p w14:paraId="62FF0A8C">
            <w:pPr>
              <w:widowControl/>
              <w:shd w:val="clear"/>
              <w:spacing w:line="240" w:lineRule="auto"/>
              <w:ind w:firstLine="0" w:firstLineChars="0"/>
              <w:textAlignment w:val="bottom"/>
              <w:rPr>
                <w:color w:val="auto"/>
                <w:sz w:val="21"/>
                <w:szCs w:val="21"/>
                <w:highlight w:val="none"/>
              </w:rPr>
            </w:pPr>
            <w:r>
              <w:rPr>
                <w:rFonts w:hint="eastAsia"/>
                <w:color w:val="auto"/>
                <w:sz w:val="21"/>
                <w:szCs w:val="21"/>
                <w:highlight w:val="none"/>
              </w:rPr>
              <w:t>南、北碎焦筛</w:t>
            </w:r>
          </w:p>
        </w:tc>
        <w:tc>
          <w:tcPr>
            <w:tcW w:w="703" w:type="dxa"/>
            <w:tcBorders>
              <w:top w:val="nil"/>
              <w:left w:val="nil"/>
              <w:bottom w:val="single" w:color="auto" w:sz="4" w:space="0"/>
              <w:right w:val="single" w:color="auto" w:sz="4" w:space="0"/>
            </w:tcBorders>
            <w:vAlign w:val="center"/>
          </w:tcPr>
          <w:p w14:paraId="142862FE">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2</w:t>
            </w:r>
          </w:p>
        </w:tc>
        <w:tc>
          <w:tcPr>
            <w:tcW w:w="1110" w:type="dxa"/>
            <w:tcBorders>
              <w:top w:val="nil"/>
              <w:left w:val="nil"/>
              <w:bottom w:val="single" w:color="auto" w:sz="4" w:space="0"/>
              <w:right w:val="single" w:color="auto" w:sz="4" w:space="0"/>
            </w:tcBorders>
            <w:vAlign w:val="center"/>
          </w:tcPr>
          <w:p w14:paraId="33FC6ADE">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2</w:t>
            </w:r>
          </w:p>
        </w:tc>
        <w:tc>
          <w:tcPr>
            <w:tcW w:w="1120" w:type="dxa"/>
            <w:tcBorders>
              <w:top w:val="nil"/>
              <w:left w:val="nil"/>
              <w:bottom w:val="single" w:color="auto" w:sz="4" w:space="0"/>
              <w:right w:val="single" w:color="auto" w:sz="4" w:space="0"/>
            </w:tcBorders>
            <w:vAlign w:val="center"/>
          </w:tcPr>
          <w:p w14:paraId="4FAE3373">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8000</w:t>
            </w:r>
          </w:p>
        </w:tc>
        <w:tc>
          <w:tcPr>
            <w:tcW w:w="847" w:type="dxa"/>
            <w:tcBorders>
              <w:top w:val="nil"/>
              <w:left w:val="nil"/>
              <w:bottom w:val="single" w:color="auto" w:sz="4" w:space="0"/>
              <w:right w:val="single" w:color="auto" w:sz="4" w:space="0"/>
            </w:tcBorders>
            <w:vAlign w:val="center"/>
          </w:tcPr>
          <w:p w14:paraId="283DC90D">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16000</w:t>
            </w:r>
          </w:p>
        </w:tc>
        <w:tc>
          <w:tcPr>
            <w:tcW w:w="957" w:type="dxa"/>
            <w:tcBorders>
              <w:top w:val="nil"/>
              <w:left w:val="nil"/>
              <w:bottom w:val="single" w:color="auto" w:sz="4" w:space="0"/>
              <w:right w:val="single" w:color="auto" w:sz="4" w:space="0"/>
            </w:tcBorders>
            <w:shd w:val="clear" w:color="auto" w:fill="auto"/>
            <w:vAlign w:val="center"/>
          </w:tcPr>
          <w:p w14:paraId="6186ED59">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r>
              <w:rPr>
                <w:rFonts w:hint="eastAsia"/>
                <w:color w:val="auto"/>
                <w:sz w:val="21"/>
                <w:szCs w:val="21"/>
                <w:highlight w:val="none"/>
              </w:rPr>
              <w:t>手动</w:t>
            </w:r>
          </w:p>
        </w:tc>
        <w:tc>
          <w:tcPr>
            <w:tcW w:w="901" w:type="dxa"/>
            <w:tcBorders>
              <w:top w:val="nil"/>
              <w:left w:val="nil"/>
              <w:bottom w:val="single" w:color="auto" w:sz="4" w:space="0"/>
              <w:right w:val="single" w:color="auto" w:sz="4" w:space="0"/>
            </w:tcBorders>
            <w:shd w:val="clear" w:color="auto" w:fill="auto"/>
            <w:vAlign w:val="top"/>
          </w:tcPr>
          <w:p w14:paraId="4F1CD482">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r>
              <w:rPr>
                <w:rFonts w:hint="eastAsia"/>
                <w:color w:val="auto"/>
                <w:sz w:val="21"/>
                <w:szCs w:val="21"/>
                <w:highlight w:val="none"/>
              </w:rPr>
              <w:t>-</w:t>
            </w:r>
          </w:p>
        </w:tc>
      </w:tr>
      <w:tr w14:paraId="468D0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2" w:type="dxa"/>
            <w:tcBorders>
              <w:top w:val="single" w:color="auto" w:sz="4" w:space="0"/>
              <w:left w:val="single" w:color="auto" w:sz="4" w:space="0"/>
              <w:bottom w:val="single" w:color="auto" w:sz="4" w:space="0"/>
              <w:right w:val="single" w:color="auto" w:sz="4" w:space="0"/>
            </w:tcBorders>
            <w:vAlign w:val="center"/>
          </w:tcPr>
          <w:p w14:paraId="127A78AD">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9</w:t>
            </w:r>
          </w:p>
        </w:tc>
        <w:tc>
          <w:tcPr>
            <w:tcW w:w="1337" w:type="dxa"/>
            <w:tcBorders>
              <w:top w:val="nil"/>
              <w:left w:val="single" w:color="auto" w:sz="4" w:space="0"/>
              <w:bottom w:val="single" w:color="auto" w:sz="4" w:space="0"/>
              <w:right w:val="nil"/>
            </w:tcBorders>
            <w:vAlign w:val="center"/>
          </w:tcPr>
          <w:p w14:paraId="0F353F19">
            <w:pPr>
              <w:widowControl/>
              <w:shd w:val="clear"/>
              <w:spacing w:line="240" w:lineRule="auto"/>
              <w:ind w:firstLine="0" w:firstLineChars="0"/>
              <w:textAlignment w:val="bottom"/>
              <w:rPr>
                <w:color w:val="auto"/>
                <w:sz w:val="21"/>
                <w:szCs w:val="21"/>
                <w:highlight w:val="none"/>
              </w:rPr>
            </w:pPr>
            <w:r>
              <w:rPr>
                <w:rFonts w:hint="eastAsia"/>
                <w:color w:val="auto"/>
                <w:sz w:val="21"/>
                <w:szCs w:val="21"/>
                <w:highlight w:val="none"/>
              </w:rPr>
              <w:t>　</w:t>
            </w:r>
          </w:p>
        </w:tc>
        <w:tc>
          <w:tcPr>
            <w:tcW w:w="2963" w:type="dxa"/>
            <w:tcBorders>
              <w:top w:val="nil"/>
              <w:left w:val="single" w:color="auto" w:sz="4" w:space="0"/>
              <w:bottom w:val="single" w:color="auto" w:sz="4" w:space="0"/>
              <w:right w:val="single" w:color="auto" w:sz="4" w:space="0"/>
            </w:tcBorders>
            <w:vAlign w:val="center"/>
          </w:tcPr>
          <w:p w14:paraId="63E0EA46">
            <w:pPr>
              <w:widowControl/>
              <w:shd w:val="clear"/>
              <w:spacing w:line="240" w:lineRule="auto"/>
              <w:ind w:firstLine="0" w:firstLineChars="0"/>
              <w:textAlignment w:val="bottom"/>
              <w:rPr>
                <w:color w:val="auto"/>
                <w:sz w:val="21"/>
                <w:szCs w:val="21"/>
                <w:highlight w:val="none"/>
              </w:rPr>
            </w:pPr>
            <w:r>
              <w:rPr>
                <w:rFonts w:hint="eastAsia"/>
                <w:color w:val="auto"/>
                <w:sz w:val="21"/>
                <w:szCs w:val="21"/>
                <w:highlight w:val="none"/>
              </w:rPr>
              <w:t>南、北碎焦筛筛下焦丁仓仓顶</w:t>
            </w:r>
          </w:p>
        </w:tc>
        <w:tc>
          <w:tcPr>
            <w:tcW w:w="703" w:type="dxa"/>
            <w:tcBorders>
              <w:top w:val="nil"/>
              <w:left w:val="nil"/>
              <w:bottom w:val="single" w:color="auto" w:sz="4" w:space="0"/>
              <w:right w:val="single" w:color="auto" w:sz="4" w:space="0"/>
            </w:tcBorders>
            <w:vAlign w:val="center"/>
          </w:tcPr>
          <w:p w14:paraId="5B00BEB2">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2</w:t>
            </w:r>
          </w:p>
        </w:tc>
        <w:tc>
          <w:tcPr>
            <w:tcW w:w="1110" w:type="dxa"/>
            <w:tcBorders>
              <w:top w:val="nil"/>
              <w:left w:val="nil"/>
              <w:bottom w:val="single" w:color="auto" w:sz="4" w:space="0"/>
              <w:right w:val="single" w:color="auto" w:sz="4" w:space="0"/>
            </w:tcBorders>
            <w:vAlign w:val="center"/>
          </w:tcPr>
          <w:p w14:paraId="37689022">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2</w:t>
            </w:r>
          </w:p>
        </w:tc>
        <w:tc>
          <w:tcPr>
            <w:tcW w:w="1120" w:type="dxa"/>
            <w:tcBorders>
              <w:top w:val="nil"/>
              <w:left w:val="nil"/>
              <w:bottom w:val="single" w:color="auto" w:sz="4" w:space="0"/>
              <w:right w:val="single" w:color="auto" w:sz="4" w:space="0"/>
            </w:tcBorders>
            <w:vAlign w:val="center"/>
          </w:tcPr>
          <w:p w14:paraId="7C804971">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8000</w:t>
            </w:r>
          </w:p>
        </w:tc>
        <w:tc>
          <w:tcPr>
            <w:tcW w:w="847" w:type="dxa"/>
            <w:tcBorders>
              <w:top w:val="nil"/>
              <w:left w:val="nil"/>
              <w:bottom w:val="single" w:color="auto" w:sz="4" w:space="0"/>
              <w:right w:val="single" w:color="auto" w:sz="4" w:space="0"/>
            </w:tcBorders>
            <w:vAlign w:val="center"/>
          </w:tcPr>
          <w:p w14:paraId="74D88A80">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16000</w:t>
            </w:r>
          </w:p>
        </w:tc>
        <w:tc>
          <w:tcPr>
            <w:tcW w:w="957" w:type="dxa"/>
            <w:tcBorders>
              <w:top w:val="nil"/>
              <w:left w:val="nil"/>
              <w:bottom w:val="single" w:color="auto" w:sz="4" w:space="0"/>
              <w:right w:val="single" w:color="auto" w:sz="4" w:space="0"/>
            </w:tcBorders>
            <w:shd w:val="clear" w:color="auto" w:fill="auto"/>
            <w:vAlign w:val="center"/>
          </w:tcPr>
          <w:p w14:paraId="2AFFD5CA">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r>
              <w:rPr>
                <w:rFonts w:hint="eastAsia"/>
                <w:color w:val="auto"/>
                <w:sz w:val="21"/>
                <w:szCs w:val="21"/>
                <w:highlight w:val="none"/>
              </w:rPr>
              <w:t>手动</w:t>
            </w:r>
          </w:p>
        </w:tc>
        <w:tc>
          <w:tcPr>
            <w:tcW w:w="901" w:type="dxa"/>
            <w:tcBorders>
              <w:top w:val="nil"/>
              <w:left w:val="nil"/>
              <w:bottom w:val="single" w:color="auto" w:sz="4" w:space="0"/>
              <w:right w:val="single" w:color="auto" w:sz="4" w:space="0"/>
            </w:tcBorders>
            <w:shd w:val="clear" w:color="auto" w:fill="auto"/>
            <w:vAlign w:val="top"/>
          </w:tcPr>
          <w:p w14:paraId="396C4085">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r>
              <w:rPr>
                <w:rFonts w:hint="eastAsia"/>
                <w:color w:val="auto"/>
                <w:sz w:val="21"/>
                <w:szCs w:val="21"/>
                <w:highlight w:val="none"/>
              </w:rPr>
              <w:t>-</w:t>
            </w:r>
          </w:p>
        </w:tc>
      </w:tr>
      <w:tr w14:paraId="05257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2" w:type="dxa"/>
            <w:tcBorders>
              <w:top w:val="single" w:color="auto" w:sz="4" w:space="0"/>
              <w:left w:val="single" w:color="auto" w:sz="4" w:space="0"/>
              <w:bottom w:val="single" w:color="auto" w:sz="4" w:space="0"/>
              <w:right w:val="single" w:color="auto" w:sz="4" w:space="0"/>
            </w:tcBorders>
            <w:vAlign w:val="center"/>
          </w:tcPr>
          <w:p w14:paraId="72A417C9">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10</w:t>
            </w:r>
          </w:p>
        </w:tc>
        <w:tc>
          <w:tcPr>
            <w:tcW w:w="1337" w:type="dxa"/>
            <w:tcBorders>
              <w:top w:val="nil"/>
              <w:left w:val="single" w:color="auto" w:sz="4" w:space="0"/>
              <w:bottom w:val="single" w:color="auto" w:sz="4" w:space="0"/>
              <w:right w:val="nil"/>
            </w:tcBorders>
            <w:vAlign w:val="center"/>
          </w:tcPr>
          <w:p w14:paraId="312F5A2D">
            <w:pPr>
              <w:widowControl/>
              <w:shd w:val="clear"/>
              <w:spacing w:line="240" w:lineRule="auto"/>
              <w:ind w:firstLine="0" w:firstLineChars="0"/>
              <w:textAlignment w:val="bottom"/>
              <w:rPr>
                <w:color w:val="auto"/>
                <w:sz w:val="21"/>
                <w:szCs w:val="21"/>
                <w:highlight w:val="none"/>
              </w:rPr>
            </w:pPr>
            <w:r>
              <w:rPr>
                <w:rFonts w:hint="eastAsia"/>
                <w:color w:val="auto"/>
                <w:sz w:val="21"/>
                <w:szCs w:val="21"/>
                <w:highlight w:val="none"/>
              </w:rPr>
              <w:t>　</w:t>
            </w:r>
          </w:p>
        </w:tc>
        <w:tc>
          <w:tcPr>
            <w:tcW w:w="2963" w:type="dxa"/>
            <w:tcBorders>
              <w:top w:val="nil"/>
              <w:left w:val="single" w:color="auto" w:sz="4" w:space="0"/>
              <w:bottom w:val="single" w:color="auto" w:sz="4" w:space="0"/>
              <w:right w:val="single" w:color="auto" w:sz="4" w:space="0"/>
            </w:tcBorders>
            <w:vAlign w:val="center"/>
          </w:tcPr>
          <w:p w14:paraId="69E66272">
            <w:pPr>
              <w:widowControl/>
              <w:shd w:val="clear"/>
              <w:spacing w:line="240" w:lineRule="auto"/>
              <w:ind w:firstLine="0" w:firstLineChars="0"/>
              <w:textAlignment w:val="bottom"/>
              <w:rPr>
                <w:color w:val="auto"/>
                <w:sz w:val="21"/>
                <w:szCs w:val="21"/>
                <w:highlight w:val="none"/>
              </w:rPr>
            </w:pPr>
            <w:r>
              <w:rPr>
                <w:rFonts w:hint="eastAsia"/>
                <w:color w:val="auto"/>
                <w:sz w:val="21"/>
                <w:szCs w:val="21"/>
                <w:highlight w:val="none"/>
              </w:rPr>
              <w:t>南、北碎焦筛筛下粉焦仓仓顶</w:t>
            </w:r>
          </w:p>
        </w:tc>
        <w:tc>
          <w:tcPr>
            <w:tcW w:w="703" w:type="dxa"/>
            <w:tcBorders>
              <w:top w:val="nil"/>
              <w:left w:val="nil"/>
              <w:bottom w:val="single" w:color="auto" w:sz="4" w:space="0"/>
              <w:right w:val="single" w:color="auto" w:sz="4" w:space="0"/>
            </w:tcBorders>
            <w:vAlign w:val="center"/>
          </w:tcPr>
          <w:p w14:paraId="523FE79E">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2</w:t>
            </w:r>
          </w:p>
        </w:tc>
        <w:tc>
          <w:tcPr>
            <w:tcW w:w="1110" w:type="dxa"/>
            <w:tcBorders>
              <w:top w:val="nil"/>
              <w:left w:val="nil"/>
              <w:bottom w:val="single" w:color="auto" w:sz="4" w:space="0"/>
              <w:right w:val="single" w:color="auto" w:sz="4" w:space="0"/>
            </w:tcBorders>
            <w:vAlign w:val="center"/>
          </w:tcPr>
          <w:p w14:paraId="245B3DE0">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2</w:t>
            </w:r>
          </w:p>
        </w:tc>
        <w:tc>
          <w:tcPr>
            <w:tcW w:w="1120" w:type="dxa"/>
            <w:tcBorders>
              <w:top w:val="nil"/>
              <w:left w:val="nil"/>
              <w:bottom w:val="single" w:color="auto" w:sz="4" w:space="0"/>
              <w:right w:val="single" w:color="auto" w:sz="4" w:space="0"/>
            </w:tcBorders>
            <w:vAlign w:val="center"/>
          </w:tcPr>
          <w:p w14:paraId="529746F7">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8000</w:t>
            </w:r>
          </w:p>
        </w:tc>
        <w:tc>
          <w:tcPr>
            <w:tcW w:w="847" w:type="dxa"/>
            <w:tcBorders>
              <w:top w:val="nil"/>
              <w:left w:val="nil"/>
              <w:bottom w:val="single" w:color="auto" w:sz="4" w:space="0"/>
              <w:right w:val="single" w:color="auto" w:sz="4" w:space="0"/>
            </w:tcBorders>
            <w:vAlign w:val="center"/>
          </w:tcPr>
          <w:p w14:paraId="64A4E513">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16000</w:t>
            </w:r>
          </w:p>
        </w:tc>
        <w:tc>
          <w:tcPr>
            <w:tcW w:w="957" w:type="dxa"/>
            <w:tcBorders>
              <w:top w:val="nil"/>
              <w:left w:val="nil"/>
              <w:bottom w:val="single" w:color="auto" w:sz="4" w:space="0"/>
              <w:right w:val="single" w:color="auto" w:sz="4" w:space="0"/>
            </w:tcBorders>
            <w:shd w:val="clear" w:color="auto" w:fill="auto"/>
            <w:vAlign w:val="center"/>
          </w:tcPr>
          <w:p w14:paraId="05C7699E">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r>
              <w:rPr>
                <w:rFonts w:hint="eastAsia"/>
                <w:color w:val="auto"/>
                <w:sz w:val="21"/>
                <w:szCs w:val="21"/>
                <w:highlight w:val="none"/>
              </w:rPr>
              <w:t>手动</w:t>
            </w:r>
          </w:p>
        </w:tc>
        <w:tc>
          <w:tcPr>
            <w:tcW w:w="901" w:type="dxa"/>
            <w:tcBorders>
              <w:top w:val="nil"/>
              <w:left w:val="nil"/>
              <w:bottom w:val="single" w:color="auto" w:sz="4" w:space="0"/>
              <w:right w:val="single" w:color="auto" w:sz="4" w:space="0"/>
            </w:tcBorders>
            <w:shd w:val="clear" w:color="auto" w:fill="auto"/>
            <w:vAlign w:val="top"/>
          </w:tcPr>
          <w:p w14:paraId="128C3F3D">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r>
              <w:rPr>
                <w:rFonts w:hint="eastAsia"/>
                <w:color w:val="auto"/>
                <w:sz w:val="21"/>
                <w:szCs w:val="21"/>
                <w:highlight w:val="none"/>
              </w:rPr>
              <w:t>-</w:t>
            </w:r>
          </w:p>
        </w:tc>
      </w:tr>
      <w:tr w14:paraId="7E076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2" w:type="dxa"/>
            <w:tcBorders>
              <w:top w:val="single" w:color="auto" w:sz="4" w:space="0"/>
              <w:left w:val="single" w:color="auto" w:sz="4" w:space="0"/>
              <w:bottom w:val="single" w:color="auto" w:sz="4" w:space="0"/>
              <w:right w:val="single" w:color="auto" w:sz="4" w:space="0"/>
            </w:tcBorders>
            <w:vAlign w:val="center"/>
          </w:tcPr>
          <w:p w14:paraId="54C62E13">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11</w:t>
            </w:r>
          </w:p>
        </w:tc>
        <w:tc>
          <w:tcPr>
            <w:tcW w:w="1337" w:type="dxa"/>
            <w:tcBorders>
              <w:top w:val="nil"/>
              <w:left w:val="single" w:color="auto" w:sz="4" w:space="0"/>
              <w:bottom w:val="single" w:color="auto" w:sz="4" w:space="0"/>
              <w:right w:val="nil"/>
            </w:tcBorders>
            <w:vAlign w:val="center"/>
          </w:tcPr>
          <w:p w14:paraId="643E4215">
            <w:pPr>
              <w:widowControl/>
              <w:shd w:val="clear"/>
              <w:spacing w:line="240" w:lineRule="auto"/>
              <w:ind w:firstLine="0" w:firstLineChars="0"/>
              <w:textAlignment w:val="bottom"/>
              <w:rPr>
                <w:color w:val="auto"/>
                <w:sz w:val="21"/>
                <w:szCs w:val="21"/>
                <w:highlight w:val="none"/>
              </w:rPr>
            </w:pPr>
            <w:r>
              <w:rPr>
                <w:rFonts w:hint="eastAsia"/>
                <w:color w:val="auto"/>
                <w:sz w:val="21"/>
                <w:szCs w:val="21"/>
                <w:highlight w:val="none"/>
              </w:rPr>
              <w:t>　</w:t>
            </w:r>
          </w:p>
        </w:tc>
        <w:tc>
          <w:tcPr>
            <w:tcW w:w="2963" w:type="dxa"/>
            <w:tcBorders>
              <w:top w:val="nil"/>
              <w:left w:val="single" w:color="auto" w:sz="4" w:space="0"/>
              <w:bottom w:val="single" w:color="auto" w:sz="4" w:space="0"/>
              <w:right w:val="single" w:color="auto" w:sz="4" w:space="0"/>
            </w:tcBorders>
            <w:vAlign w:val="center"/>
          </w:tcPr>
          <w:p w14:paraId="02923EC7">
            <w:pPr>
              <w:widowControl/>
              <w:shd w:val="clear"/>
              <w:spacing w:line="240" w:lineRule="auto"/>
              <w:ind w:firstLine="0" w:firstLineChars="0"/>
              <w:textAlignment w:val="bottom"/>
              <w:rPr>
                <w:color w:val="auto"/>
                <w:sz w:val="21"/>
                <w:szCs w:val="21"/>
                <w:highlight w:val="none"/>
              </w:rPr>
            </w:pPr>
            <w:r>
              <w:rPr>
                <w:rFonts w:hint="eastAsia"/>
                <w:color w:val="auto"/>
                <w:sz w:val="21"/>
                <w:szCs w:val="21"/>
                <w:highlight w:val="none"/>
              </w:rPr>
              <w:t>粉焦、焦丁汽车卸料点</w:t>
            </w:r>
          </w:p>
        </w:tc>
        <w:tc>
          <w:tcPr>
            <w:tcW w:w="703" w:type="dxa"/>
            <w:tcBorders>
              <w:top w:val="nil"/>
              <w:left w:val="nil"/>
              <w:bottom w:val="single" w:color="auto" w:sz="4" w:space="0"/>
              <w:right w:val="single" w:color="auto" w:sz="4" w:space="0"/>
            </w:tcBorders>
            <w:vAlign w:val="center"/>
          </w:tcPr>
          <w:p w14:paraId="3A30B3A0">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4</w:t>
            </w:r>
          </w:p>
        </w:tc>
        <w:tc>
          <w:tcPr>
            <w:tcW w:w="1110" w:type="dxa"/>
            <w:tcBorders>
              <w:top w:val="nil"/>
              <w:left w:val="nil"/>
              <w:bottom w:val="single" w:color="auto" w:sz="4" w:space="0"/>
              <w:right w:val="single" w:color="auto" w:sz="4" w:space="0"/>
            </w:tcBorders>
            <w:vAlign w:val="center"/>
          </w:tcPr>
          <w:p w14:paraId="4661A549">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1</w:t>
            </w:r>
          </w:p>
        </w:tc>
        <w:tc>
          <w:tcPr>
            <w:tcW w:w="1120" w:type="dxa"/>
            <w:tcBorders>
              <w:top w:val="nil"/>
              <w:left w:val="nil"/>
              <w:bottom w:val="single" w:color="auto" w:sz="4" w:space="0"/>
              <w:right w:val="single" w:color="auto" w:sz="4" w:space="0"/>
            </w:tcBorders>
            <w:vAlign w:val="center"/>
          </w:tcPr>
          <w:p w14:paraId="0D859DA9">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30000</w:t>
            </w:r>
          </w:p>
        </w:tc>
        <w:tc>
          <w:tcPr>
            <w:tcW w:w="847" w:type="dxa"/>
            <w:tcBorders>
              <w:top w:val="nil"/>
              <w:left w:val="nil"/>
              <w:bottom w:val="single" w:color="auto" w:sz="4" w:space="0"/>
              <w:right w:val="single" w:color="auto" w:sz="4" w:space="0"/>
            </w:tcBorders>
            <w:vAlign w:val="center"/>
          </w:tcPr>
          <w:p w14:paraId="5148D80C">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30000</w:t>
            </w:r>
          </w:p>
        </w:tc>
        <w:tc>
          <w:tcPr>
            <w:tcW w:w="957" w:type="dxa"/>
            <w:tcBorders>
              <w:top w:val="nil"/>
              <w:left w:val="nil"/>
              <w:bottom w:val="single" w:color="auto" w:sz="4" w:space="0"/>
              <w:right w:val="single" w:color="auto" w:sz="4" w:space="0"/>
            </w:tcBorders>
            <w:shd w:val="clear" w:color="auto" w:fill="auto"/>
            <w:vAlign w:val="center"/>
          </w:tcPr>
          <w:p w14:paraId="4D904E42">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r>
              <w:rPr>
                <w:rFonts w:hint="eastAsia"/>
                <w:color w:val="auto"/>
                <w:sz w:val="21"/>
                <w:szCs w:val="21"/>
                <w:highlight w:val="none"/>
              </w:rPr>
              <w:t>气动</w:t>
            </w:r>
          </w:p>
        </w:tc>
        <w:tc>
          <w:tcPr>
            <w:tcW w:w="901" w:type="dxa"/>
            <w:tcBorders>
              <w:top w:val="nil"/>
              <w:left w:val="nil"/>
              <w:bottom w:val="single" w:color="auto" w:sz="4" w:space="0"/>
              <w:right w:val="single" w:color="auto" w:sz="4" w:space="0"/>
            </w:tcBorders>
            <w:shd w:val="clear" w:color="auto" w:fill="auto"/>
            <w:vAlign w:val="top"/>
          </w:tcPr>
          <w:p w14:paraId="15CC02BE">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r>
              <w:rPr>
                <w:rFonts w:hint="eastAsia"/>
                <w:color w:val="auto"/>
                <w:sz w:val="21"/>
                <w:szCs w:val="21"/>
                <w:highlight w:val="none"/>
              </w:rPr>
              <w:t>-</w:t>
            </w:r>
          </w:p>
        </w:tc>
      </w:tr>
      <w:tr w14:paraId="64866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2" w:type="dxa"/>
            <w:tcBorders>
              <w:top w:val="single" w:color="auto" w:sz="4" w:space="0"/>
              <w:left w:val="single" w:color="auto" w:sz="4" w:space="0"/>
              <w:bottom w:val="single" w:color="auto" w:sz="4" w:space="0"/>
              <w:right w:val="single" w:color="auto" w:sz="4" w:space="0"/>
            </w:tcBorders>
            <w:vAlign w:val="center"/>
          </w:tcPr>
          <w:p w14:paraId="12C409C8">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12</w:t>
            </w:r>
          </w:p>
        </w:tc>
        <w:tc>
          <w:tcPr>
            <w:tcW w:w="1337" w:type="dxa"/>
            <w:tcBorders>
              <w:top w:val="nil"/>
              <w:left w:val="single" w:color="auto" w:sz="4" w:space="0"/>
              <w:bottom w:val="single" w:color="auto" w:sz="4" w:space="0"/>
              <w:right w:val="nil"/>
            </w:tcBorders>
            <w:vAlign w:val="center"/>
          </w:tcPr>
          <w:p w14:paraId="5C12F2B1">
            <w:pPr>
              <w:widowControl/>
              <w:shd w:val="clear"/>
              <w:spacing w:line="240" w:lineRule="auto"/>
              <w:ind w:firstLine="0" w:firstLineChars="0"/>
              <w:textAlignment w:val="bottom"/>
              <w:rPr>
                <w:color w:val="auto"/>
                <w:sz w:val="21"/>
                <w:szCs w:val="21"/>
                <w:highlight w:val="none"/>
              </w:rPr>
            </w:pPr>
            <w:r>
              <w:rPr>
                <w:rFonts w:hint="eastAsia"/>
                <w:color w:val="auto"/>
                <w:sz w:val="21"/>
                <w:szCs w:val="21"/>
                <w:highlight w:val="none"/>
              </w:rPr>
              <w:t>废钢仓</w:t>
            </w:r>
          </w:p>
        </w:tc>
        <w:tc>
          <w:tcPr>
            <w:tcW w:w="2963" w:type="dxa"/>
            <w:tcBorders>
              <w:top w:val="nil"/>
              <w:left w:val="single" w:color="auto" w:sz="4" w:space="0"/>
              <w:bottom w:val="single" w:color="auto" w:sz="4" w:space="0"/>
              <w:right w:val="single" w:color="auto" w:sz="4" w:space="0"/>
            </w:tcBorders>
            <w:vAlign w:val="center"/>
          </w:tcPr>
          <w:p w14:paraId="0BF8E994">
            <w:pPr>
              <w:widowControl/>
              <w:shd w:val="clear"/>
              <w:spacing w:line="240" w:lineRule="auto"/>
              <w:ind w:firstLine="0" w:firstLineChars="0"/>
              <w:textAlignment w:val="bottom"/>
              <w:rPr>
                <w:color w:val="auto"/>
                <w:sz w:val="21"/>
                <w:szCs w:val="21"/>
                <w:highlight w:val="none"/>
              </w:rPr>
            </w:pPr>
            <w:r>
              <w:rPr>
                <w:rFonts w:hint="eastAsia"/>
                <w:color w:val="auto"/>
                <w:sz w:val="21"/>
                <w:szCs w:val="21"/>
                <w:highlight w:val="none"/>
              </w:rPr>
              <w:t>废钢仓顶部除尘</w:t>
            </w:r>
          </w:p>
        </w:tc>
        <w:tc>
          <w:tcPr>
            <w:tcW w:w="703" w:type="dxa"/>
            <w:tcBorders>
              <w:top w:val="nil"/>
              <w:left w:val="nil"/>
              <w:bottom w:val="single" w:color="auto" w:sz="4" w:space="0"/>
              <w:right w:val="single" w:color="auto" w:sz="4" w:space="0"/>
            </w:tcBorders>
            <w:vAlign w:val="center"/>
          </w:tcPr>
          <w:p w14:paraId="1DBEEBC6">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1</w:t>
            </w:r>
          </w:p>
        </w:tc>
        <w:tc>
          <w:tcPr>
            <w:tcW w:w="1110" w:type="dxa"/>
            <w:tcBorders>
              <w:top w:val="nil"/>
              <w:left w:val="nil"/>
              <w:bottom w:val="single" w:color="auto" w:sz="4" w:space="0"/>
              <w:right w:val="single" w:color="auto" w:sz="4" w:space="0"/>
            </w:tcBorders>
            <w:vAlign w:val="center"/>
          </w:tcPr>
          <w:p w14:paraId="77193B63">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1</w:t>
            </w:r>
          </w:p>
        </w:tc>
        <w:tc>
          <w:tcPr>
            <w:tcW w:w="1120" w:type="dxa"/>
            <w:tcBorders>
              <w:top w:val="nil"/>
              <w:left w:val="nil"/>
              <w:bottom w:val="single" w:color="auto" w:sz="4" w:space="0"/>
              <w:right w:val="single" w:color="auto" w:sz="4" w:space="0"/>
            </w:tcBorders>
            <w:vAlign w:val="center"/>
          </w:tcPr>
          <w:p w14:paraId="0A14D87F">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60000</w:t>
            </w:r>
          </w:p>
        </w:tc>
        <w:tc>
          <w:tcPr>
            <w:tcW w:w="847" w:type="dxa"/>
            <w:tcBorders>
              <w:top w:val="nil"/>
              <w:left w:val="nil"/>
              <w:bottom w:val="single" w:color="auto" w:sz="4" w:space="0"/>
              <w:right w:val="single" w:color="auto" w:sz="4" w:space="0"/>
            </w:tcBorders>
            <w:vAlign w:val="center"/>
          </w:tcPr>
          <w:p w14:paraId="746D9D28">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60000</w:t>
            </w:r>
          </w:p>
        </w:tc>
        <w:tc>
          <w:tcPr>
            <w:tcW w:w="957" w:type="dxa"/>
            <w:tcBorders>
              <w:top w:val="nil"/>
              <w:left w:val="nil"/>
              <w:bottom w:val="single" w:color="auto" w:sz="4" w:space="0"/>
              <w:right w:val="single" w:color="auto" w:sz="4" w:space="0"/>
            </w:tcBorders>
            <w:shd w:val="clear" w:color="auto" w:fill="auto"/>
            <w:vAlign w:val="center"/>
          </w:tcPr>
          <w:p w14:paraId="0E70B925">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r>
              <w:rPr>
                <w:rFonts w:hint="eastAsia"/>
                <w:color w:val="auto"/>
                <w:sz w:val="21"/>
                <w:szCs w:val="21"/>
                <w:highlight w:val="none"/>
              </w:rPr>
              <w:t>手动</w:t>
            </w:r>
          </w:p>
        </w:tc>
        <w:tc>
          <w:tcPr>
            <w:tcW w:w="901" w:type="dxa"/>
            <w:vMerge w:val="restart"/>
            <w:tcBorders>
              <w:top w:val="nil"/>
              <w:left w:val="nil"/>
              <w:bottom w:val="single" w:color="auto" w:sz="4" w:space="0"/>
              <w:right w:val="single" w:color="auto" w:sz="4" w:space="0"/>
            </w:tcBorders>
            <w:shd w:val="clear" w:color="auto" w:fill="auto"/>
            <w:vAlign w:val="center"/>
          </w:tcPr>
          <w:p w14:paraId="3B987CD5">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r>
              <w:rPr>
                <w:rFonts w:hint="eastAsia"/>
                <w:color w:val="auto"/>
                <w:sz w:val="21"/>
                <w:szCs w:val="21"/>
                <w:highlight w:val="none"/>
              </w:rPr>
              <w:t>气动</w:t>
            </w:r>
          </w:p>
        </w:tc>
      </w:tr>
      <w:tr w14:paraId="3E8D6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2" w:type="dxa"/>
            <w:tcBorders>
              <w:top w:val="single" w:color="auto" w:sz="4" w:space="0"/>
              <w:left w:val="single" w:color="auto" w:sz="4" w:space="0"/>
              <w:bottom w:val="single" w:color="auto" w:sz="4" w:space="0"/>
              <w:right w:val="single" w:color="auto" w:sz="4" w:space="0"/>
            </w:tcBorders>
            <w:vAlign w:val="center"/>
          </w:tcPr>
          <w:p w14:paraId="6F56E145">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13</w:t>
            </w:r>
          </w:p>
        </w:tc>
        <w:tc>
          <w:tcPr>
            <w:tcW w:w="1337" w:type="dxa"/>
            <w:tcBorders>
              <w:top w:val="nil"/>
              <w:left w:val="single" w:color="auto" w:sz="4" w:space="0"/>
              <w:bottom w:val="single" w:color="auto" w:sz="4" w:space="0"/>
              <w:right w:val="nil"/>
            </w:tcBorders>
            <w:vAlign w:val="center"/>
          </w:tcPr>
          <w:p w14:paraId="529073EE">
            <w:pPr>
              <w:widowControl/>
              <w:shd w:val="clear"/>
              <w:spacing w:line="240" w:lineRule="auto"/>
              <w:ind w:firstLine="0" w:firstLineChars="0"/>
              <w:textAlignment w:val="bottom"/>
              <w:rPr>
                <w:color w:val="auto"/>
                <w:sz w:val="21"/>
                <w:szCs w:val="21"/>
                <w:highlight w:val="none"/>
              </w:rPr>
            </w:pPr>
            <w:r>
              <w:rPr>
                <w:rFonts w:hint="eastAsia"/>
                <w:color w:val="auto"/>
                <w:sz w:val="21"/>
                <w:szCs w:val="21"/>
                <w:highlight w:val="none"/>
              </w:rPr>
              <w:t>　</w:t>
            </w:r>
          </w:p>
        </w:tc>
        <w:tc>
          <w:tcPr>
            <w:tcW w:w="2963" w:type="dxa"/>
            <w:tcBorders>
              <w:top w:val="nil"/>
              <w:left w:val="single" w:color="auto" w:sz="4" w:space="0"/>
              <w:bottom w:val="single" w:color="auto" w:sz="4" w:space="0"/>
              <w:right w:val="single" w:color="auto" w:sz="4" w:space="0"/>
            </w:tcBorders>
            <w:vAlign w:val="center"/>
          </w:tcPr>
          <w:p w14:paraId="0758F1DE">
            <w:pPr>
              <w:widowControl/>
              <w:shd w:val="clear"/>
              <w:spacing w:line="240" w:lineRule="auto"/>
              <w:ind w:firstLine="0" w:firstLineChars="0"/>
              <w:textAlignment w:val="bottom"/>
              <w:rPr>
                <w:color w:val="auto"/>
                <w:sz w:val="21"/>
                <w:szCs w:val="21"/>
                <w:highlight w:val="none"/>
              </w:rPr>
            </w:pPr>
            <w:r>
              <w:rPr>
                <w:rFonts w:hint="eastAsia"/>
                <w:color w:val="auto"/>
                <w:sz w:val="21"/>
                <w:szCs w:val="21"/>
                <w:highlight w:val="none"/>
              </w:rPr>
              <w:t>废钢仓下部</w:t>
            </w:r>
          </w:p>
        </w:tc>
        <w:tc>
          <w:tcPr>
            <w:tcW w:w="703" w:type="dxa"/>
            <w:tcBorders>
              <w:top w:val="nil"/>
              <w:left w:val="nil"/>
              <w:bottom w:val="single" w:color="auto" w:sz="4" w:space="0"/>
              <w:right w:val="single" w:color="auto" w:sz="4" w:space="0"/>
            </w:tcBorders>
            <w:vAlign w:val="center"/>
          </w:tcPr>
          <w:p w14:paraId="082D0669">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1</w:t>
            </w:r>
          </w:p>
        </w:tc>
        <w:tc>
          <w:tcPr>
            <w:tcW w:w="1110" w:type="dxa"/>
            <w:tcBorders>
              <w:top w:val="nil"/>
              <w:left w:val="nil"/>
              <w:bottom w:val="single" w:color="auto" w:sz="4" w:space="0"/>
              <w:right w:val="single" w:color="auto" w:sz="4" w:space="0"/>
            </w:tcBorders>
            <w:vAlign w:val="center"/>
          </w:tcPr>
          <w:p w14:paraId="58614EBC">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1</w:t>
            </w:r>
          </w:p>
        </w:tc>
        <w:tc>
          <w:tcPr>
            <w:tcW w:w="1120" w:type="dxa"/>
            <w:tcBorders>
              <w:top w:val="nil"/>
              <w:left w:val="nil"/>
              <w:bottom w:val="single" w:color="auto" w:sz="4" w:space="0"/>
              <w:right w:val="single" w:color="auto" w:sz="4" w:space="0"/>
            </w:tcBorders>
            <w:vAlign w:val="center"/>
          </w:tcPr>
          <w:p w14:paraId="5425A818">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8000</w:t>
            </w:r>
          </w:p>
        </w:tc>
        <w:tc>
          <w:tcPr>
            <w:tcW w:w="847" w:type="dxa"/>
            <w:tcBorders>
              <w:top w:val="nil"/>
              <w:left w:val="nil"/>
              <w:bottom w:val="single" w:color="auto" w:sz="4" w:space="0"/>
              <w:right w:val="single" w:color="auto" w:sz="4" w:space="0"/>
            </w:tcBorders>
            <w:vAlign w:val="center"/>
          </w:tcPr>
          <w:p w14:paraId="401FDB78">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8000</w:t>
            </w:r>
          </w:p>
        </w:tc>
        <w:tc>
          <w:tcPr>
            <w:tcW w:w="957" w:type="dxa"/>
            <w:tcBorders>
              <w:top w:val="nil"/>
              <w:left w:val="nil"/>
              <w:bottom w:val="single" w:color="auto" w:sz="4" w:space="0"/>
              <w:right w:val="single" w:color="auto" w:sz="4" w:space="0"/>
            </w:tcBorders>
            <w:shd w:val="clear" w:color="auto" w:fill="auto"/>
            <w:vAlign w:val="center"/>
          </w:tcPr>
          <w:p w14:paraId="3E576189">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r>
              <w:rPr>
                <w:rFonts w:hint="eastAsia"/>
                <w:color w:val="auto"/>
                <w:sz w:val="21"/>
                <w:szCs w:val="21"/>
                <w:highlight w:val="none"/>
              </w:rPr>
              <w:t>手动</w:t>
            </w:r>
          </w:p>
        </w:tc>
        <w:tc>
          <w:tcPr>
            <w:tcW w:w="901" w:type="dxa"/>
            <w:vMerge w:val="continue"/>
            <w:tcBorders>
              <w:top w:val="nil"/>
              <w:left w:val="nil"/>
              <w:bottom w:val="single" w:color="auto" w:sz="4" w:space="0"/>
              <w:right w:val="single" w:color="auto" w:sz="4" w:space="0"/>
            </w:tcBorders>
            <w:shd w:val="clear" w:color="auto" w:fill="auto"/>
            <w:vAlign w:val="top"/>
          </w:tcPr>
          <w:p w14:paraId="044118A1">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p>
        </w:tc>
      </w:tr>
      <w:tr w14:paraId="413C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2" w:type="dxa"/>
            <w:tcBorders>
              <w:top w:val="single" w:color="auto" w:sz="4" w:space="0"/>
              <w:left w:val="single" w:color="auto" w:sz="4" w:space="0"/>
              <w:bottom w:val="single" w:color="auto" w:sz="4" w:space="0"/>
              <w:right w:val="single" w:color="auto" w:sz="4" w:space="0"/>
            </w:tcBorders>
            <w:vAlign w:val="center"/>
          </w:tcPr>
          <w:p w14:paraId="0543CD98">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14</w:t>
            </w:r>
          </w:p>
        </w:tc>
        <w:tc>
          <w:tcPr>
            <w:tcW w:w="1337" w:type="dxa"/>
            <w:tcBorders>
              <w:top w:val="nil"/>
              <w:left w:val="single" w:color="auto" w:sz="4" w:space="0"/>
              <w:bottom w:val="single" w:color="auto" w:sz="4" w:space="0"/>
              <w:right w:val="nil"/>
            </w:tcBorders>
            <w:vAlign w:val="center"/>
          </w:tcPr>
          <w:p w14:paraId="1C6C5DE3">
            <w:pPr>
              <w:widowControl/>
              <w:shd w:val="clear"/>
              <w:spacing w:line="240" w:lineRule="auto"/>
              <w:ind w:firstLine="0" w:firstLineChars="0"/>
              <w:textAlignment w:val="bottom"/>
              <w:rPr>
                <w:color w:val="auto"/>
                <w:sz w:val="21"/>
                <w:szCs w:val="21"/>
                <w:highlight w:val="none"/>
              </w:rPr>
            </w:pPr>
            <w:r>
              <w:rPr>
                <w:rFonts w:hint="eastAsia"/>
                <w:color w:val="auto"/>
                <w:sz w:val="21"/>
                <w:szCs w:val="21"/>
                <w:highlight w:val="none"/>
              </w:rPr>
              <w:t>槽前转运站2</w:t>
            </w:r>
          </w:p>
        </w:tc>
        <w:tc>
          <w:tcPr>
            <w:tcW w:w="2963" w:type="dxa"/>
            <w:tcBorders>
              <w:top w:val="nil"/>
              <w:left w:val="single" w:color="auto" w:sz="4" w:space="0"/>
              <w:bottom w:val="single" w:color="auto" w:sz="4" w:space="0"/>
              <w:right w:val="single" w:color="auto" w:sz="4" w:space="0"/>
            </w:tcBorders>
            <w:vAlign w:val="center"/>
          </w:tcPr>
          <w:p w14:paraId="70BA38D9">
            <w:pPr>
              <w:widowControl/>
              <w:shd w:val="clear"/>
              <w:spacing w:line="240" w:lineRule="auto"/>
              <w:ind w:firstLine="0" w:firstLineChars="0"/>
              <w:textAlignment w:val="bottom"/>
              <w:rPr>
                <w:color w:val="auto"/>
                <w:sz w:val="21"/>
                <w:szCs w:val="21"/>
                <w:highlight w:val="none"/>
              </w:rPr>
            </w:pPr>
            <w:r>
              <w:rPr>
                <w:rFonts w:hint="eastAsia"/>
                <w:color w:val="auto"/>
                <w:sz w:val="21"/>
                <w:szCs w:val="21"/>
                <w:highlight w:val="none"/>
              </w:rPr>
              <w:t>高-1皮带头卸料</w:t>
            </w:r>
          </w:p>
        </w:tc>
        <w:tc>
          <w:tcPr>
            <w:tcW w:w="703" w:type="dxa"/>
            <w:tcBorders>
              <w:top w:val="nil"/>
              <w:left w:val="nil"/>
              <w:bottom w:val="single" w:color="auto" w:sz="4" w:space="0"/>
              <w:right w:val="single" w:color="auto" w:sz="4" w:space="0"/>
            </w:tcBorders>
            <w:vAlign w:val="center"/>
          </w:tcPr>
          <w:p w14:paraId="73BE9A26">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1</w:t>
            </w:r>
          </w:p>
        </w:tc>
        <w:tc>
          <w:tcPr>
            <w:tcW w:w="1110" w:type="dxa"/>
            <w:tcBorders>
              <w:top w:val="nil"/>
              <w:left w:val="nil"/>
              <w:bottom w:val="single" w:color="auto" w:sz="4" w:space="0"/>
              <w:right w:val="single" w:color="auto" w:sz="4" w:space="0"/>
            </w:tcBorders>
            <w:vAlign w:val="center"/>
          </w:tcPr>
          <w:p w14:paraId="101C6834">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1</w:t>
            </w:r>
          </w:p>
        </w:tc>
        <w:tc>
          <w:tcPr>
            <w:tcW w:w="1120" w:type="dxa"/>
            <w:tcBorders>
              <w:top w:val="nil"/>
              <w:left w:val="nil"/>
              <w:bottom w:val="single" w:color="auto" w:sz="4" w:space="0"/>
              <w:right w:val="single" w:color="auto" w:sz="4" w:space="0"/>
            </w:tcBorders>
            <w:vAlign w:val="center"/>
          </w:tcPr>
          <w:p w14:paraId="2C8A15CF">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5000</w:t>
            </w:r>
          </w:p>
        </w:tc>
        <w:tc>
          <w:tcPr>
            <w:tcW w:w="847" w:type="dxa"/>
            <w:tcBorders>
              <w:top w:val="nil"/>
              <w:left w:val="nil"/>
              <w:bottom w:val="single" w:color="auto" w:sz="4" w:space="0"/>
              <w:right w:val="single" w:color="auto" w:sz="4" w:space="0"/>
            </w:tcBorders>
            <w:vAlign w:val="center"/>
          </w:tcPr>
          <w:p w14:paraId="40AF18D8">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5000</w:t>
            </w:r>
          </w:p>
        </w:tc>
        <w:tc>
          <w:tcPr>
            <w:tcW w:w="957" w:type="dxa"/>
            <w:tcBorders>
              <w:top w:val="nil"/>
              <w:left w:val="nil"/>
              <w:bottom w:val="single" w:color="auto" w:sz="4" w:space="0"/>
              <w:right w:val="single" w:color="auto" w:sz="4" w:space="0"/>
            </w:tcBorders>
            <w:shd w:val="clear" w:color="auto" w:fill="auto"/>
            <w:vAlign w:val="center"/>
          </w:tcPr>
          <w:p w14:paraId="652D4530">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r>
              <w:rPr>
                <w:rFonts w:hint="eastAsia"/>
                <w:color w:val="auto"/>
                <w:sz w:val="21"/>
                <w:szCs w:val="21"/>
                <w:highlight w:val="none"/>
              </w:rPr>
              <w:t>手动</w:t>
            </w:r>
          </w:p>
        </w:tc>
        <w:tc>
          <w:tcPr>
            <w:tcW w:w="901" w:type="dxa"/>
            <w:tcBorders>
              <w:top w:val="nil"/>
              <w:left w:val="nil"/>
              <w:bottom w:val="single" w:color="auto" w:sz="4" w:space="0"/>
              <w:right w:val="single" w:color="auto" w:sz="4" w:space="0"/>
            </w:tcBorders>
            <w:shd w:val="clear" w:color="auto" w:fill="auto"/>
            <w:vAlign w:val="top"/>
          </w:tcPr>
          <w:p w14:paraId="14AA9B99">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r>
              <w:rPr>
                <w:rFonts w:hint="eastAsia"/>
                <w:color w:val="auto"/>
                <w:sz w:val="21"/>
                <w:szCs w:val="21"/>
                <w:highlight w:val="none"/>
              </w:rPr>
              <w:t>-</w:t>
            </w:r>
          </w:p>
        </w:tc>
      </w:tr>
      <w:tr w14:paraId="6C03A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2" w:type="dxa"/>
            <w:tcBorders>
              <w:top w:val="single" w:color="auto" w:sz="4" w:space="0"/>
              <w:left w:val="single" w:color="auto" w:sz="4" w:space="0"/>
              <w:bottom w:val="single" w:color="auto" w:sz="4" w:space="0"/>
              <w:right w:val="single" w:color="auto" w:sz="4" w:space="0"/>
            </w:tcBorders>
            <w:vAlign w:val="center"/>
          </w:tcPr>
          <w:p w14:paraId="348B5F68">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15</w:t>
            </w:r>
          </w:p>
        </w:tc>
        <w:tc>
          <w:tcPr>
            <w:tcW w:w="1337" w:type="dxa"/>
            <w:tcBorders>
              <w:top w:val="nil"/>
              <w:left w:val="single" w:color="auto" w:sz="4" w:space="0"/>
              <w:bottom w:val="single" w:color="auto" w:sz="4" w:space="0"/>
              <w:right w:val="nil"/>
            </w:tcBorders>
            <w:vAlign w:val="center"/>
          </w:tcPr>
          <w:p w14:paraId="6D16E30D">
            <w:pPr>
              <w:widowControl/>
              <w:shd w:val="clear"/>
              <w:spacing w:line="240" w:lineRule="auto"/>
              <w:ind w:firstLine="0" w:firstLineChars="0"/>
              <w:textAlignment w:val="bottom"/>
              <w:rPr>
                <w:color w:val="auto"/>
                <w:sz w:val="21"/>
                <w:szCs w:val="21"/>
                <w:highlight w:val="none"/>
              </w:rPr>
            </w:pPr>
            <w:r>
              <w:rPr>
                <w:rFonts w:hint="eastAsia"/>
                <w:color w:val="auto"/>
                <w:sz w:val="21"/>
                <w:szCs w:val="21"/>
                <w:highlight w:val="none"/>
              </w:rPr>
              <w:t>　</w:t>
            </w:r>
          </w:p>
        </w:tc>
        <w:tc>
          <w:tcPr>
            <w:tcW w:w="2963" w:type="dxa"/>
            <w:tcBorders>
              <w:top w:val="nil"/>
              <w:left w:val="single" w:color="auto" w:sz="4" w:space="0"/>
              <w:bottom w:val="single" w:color="auto" w:sz="4" w:space="0"/>
              <w:right w:val="single" w:color="auto" w:sz="4" w:space="0"/>
            </w:tcBorders>
            <w:vAlign w:val="center"/>
          </w:tcPr>
          <w:p w14:paraId="67E05F1E">
            <w:pPr>
              <w:widowControl/>
              <w:shd w:val="clear"/>
              <w:spacing w:line="240" w:lineRule="auto"/>
              <w:ind w:firstLine="0" w:firstLineChars="0"/>
              <w:textAlignment w:val="bottom"/>
              <w:rPr>
                <w:color w:val="auto"/>
                <w:sz w:val="21"/>
                <w:szCs w:val="21"/>
                <w:highlight w:val="none"/>
              </w:rPr>
            </w:pPr>
            <w:r>
              <w:rPr>
                <w:rFonts w:hint="eastAsia"/>
                <w:color w:val="auto"/>
                <w:sz w:val="21"/>
                <w:szCs w:val="21"/>
                <w:highlight w:val="none"/>
              </w:rPr>
              <w:t>高-2皮带头卸料</w:t>
            </w:r>
          </w:p>
        </w:tc>
        <w:tc>
          <w:tcPr>
            <w:tcW w:w="703" w:type="dxa"/>
            <w:tcBorders>
              <w:top w:val="nil"/>
              <w:left w:val="nil"/>
              <w:bottom w:val="single" w:color="auto" w:sz="4" w:space="0"/>
              <w:right w:val="single" w:color="auto" w:sz="4" w:space="0"/>
            </w:tcBorders>
            <w:vAlign w:val="center"/>
          </w:tcPr>
          <w:p w14:paraId="3BFD4A6D">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1</w:t>
            </w:r>
          </w:p>
        </w:tc>
        <w:tc>
          <w:tcPr>
            <w:tcW w:w="1110" w:type="dxa"/>
            <w:tcBorders>
              <w:top w:val="nil"/>
              <w:left w:val="nil"/>
              <w:bottom w:val="single" w:color="auto" w:sz="4" w:space="0"/>
              <w:right w:val="single" w:color="auto" w:sz="4" w:space="0"/>
            </w:tcBorders>
            <w:vAlign w:val="center"/>
          </w:tcPr>
          <w:p w14:paraId="4A38DD04">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1</w:t>
            </w:r>
          </w:p>
        </w:tc>
        <w:tc>
          <w:tcPr>
            <w:tcW w:w="1120" w:type="dxa"/>
            <w:tcBorders>
              <w:top w:val="nil"/>
              <w:left w:val="nil"/>
              <w:bottom w:val="single" w:color="auto" w:sz="4" w:space="0"/>
              <w:right w:val="single" w:color="auto" w:sz="4" w:space="0"/>
            </w:tcBorders>
            <w:vAlign w:val="center"/>
          </w:tcPr>
          <w:p w14:paraId="473D0E99">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5000</w:t>
            </w:r>
          </w:p>
        </w:tc>
        <w:tc>
          <w:tcPr>
            <w:tcW w:w="847" w:type="dxa"/>
            <w:tcBorders>
              <w:top w:val="nil"/>
              <w:left w:val="nil"/>
              <w:bottom w:val="single" w:color="auto" w:sz="4" w:space="0"/>
              <w:right w:val="single" w:color="auto" w:sz="4" w:space="0"/>
            </w:tcBorders>
            <w:vAlign w:val="center"/>
          </w:tcPr>
          <w:p w14:paraId="4AD9F4A8">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5000</w:t>
            </w:r>
          </w:p>
        </w:tc>
        <w:tc>
          <w:tcPr>
            <w:tcW w:w="957" w:type="dxa"/>
            <w:tcBorders>
              <w:top w:val="nil"/>
              <w:left w:val="nil"/>
              <w:bottom w:val="single" w:color="auto" w:sz="4" w:space="0"/>
              <w:right w:val="single" w:color="auto" w:sz="4" w:space="0"/>
            </w:tcBorders>
            <w:shd w:val="clear" w:color="auto" w:fill="auto"/>
            <w:vAlign w:val="center"/>
          </w:tcPr>
          <w:p w14:paraId="289CEE33">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r>
              <w:rPr>
                <w:rFonts w:hint="eastAsia"/>
                <w:color w:val="auto"/>
                <w:sz w:val="21"/>
                <w:szCs w:val="21"/>
                <w:highlight w:val="none"/>
              </w:rPr>
              <w:t>手动</w:t>
            </w:r>
          </w:p>
        </w:tc>
        <w:tc>
          <w:tcPr>
            <w:tcW w:w="901" w:type="dxa"/>
            <w:tcBorders>
              <w:top w:val="nil"/>
              <w:left w:val="nil"/>
              <w:bottom w:val="single" w:color="auto" w:sz="4" w:space="0"/>
              <w:right w:val="single" w:color="auto" w:sz="4" w:space="0"/>
            </w:tcBorders>
            <w:shd w:val="clear" w:color="auto" w:fill="auto"/>
            <w:vAlign w:val="top"/>
          </w:tcPr>
          <w:p w14:paraId="4405238A">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r>
              <w:rPr>
                <w:rFonts w:hint="eastAsia"/>
                <w:color w:val="auto"/>
                <w:sz w:val="21"/>
                <w:szCs w:val="21"/>
                <w:highlight w:val="none"/>
              </w:rPr>
              <w:t>-</w:t>
            </w:r>
          </w:p>
        </w:tc>
      </w:tr>
      <w:tr w14:paraId="2A742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2" w:type="dxa"/>
            <w:tcBorders>
              <w:top w:val="single" w:color="auto" w:sz="4" w:space="0"/>
              <w:left w:val="single" w:color="auto" w:sz="4" w:space="0"/>
              <w:bottom w:val="single" w:color="auto" w:sz="4" w:space="0"/>
              <w:right w:val="single" w:color="auto" w:sz="4" w:space="0"/>
            </w:tcBorders>
            <w:vAlign w:val="center"/>
          </w:tcPr>
          <w:p w14:paraId="3941873A">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16</w:t>
            </w:r>
          </w:p>
        </w:tc>
        <w:tc>
          <w:tcPr>
            <w:tcW w:w="1337" w:type="dxa"/>
            <w:tcBorders>
              <w:top w:val="nil"/>
              <w:left w:val="single" w:color="auto" w:sz="4" w:space="0"/>
              <w:bottom w:val="single" w:color="auto" w:sz="4" w:space="0"/>
              <w:right w:val="nil"/>
            </w:tcBorders>
            <w:vAlign w:val="center"/>
          </w:tcPr>
          <w:p w14:paraId="6C7C3328">
            <w:pPr>
              <w:widowControl/>
              <w:shd w:val="clear"/>
              <w:spacing w:line="240" w:lineRule="auto"/>
              <w:ind w:firstLine="0" w:firstLineChars="0"/>
              <w:textAlignment w:val="bottom"/>
              <w:rPr>
                <w:color w:val="auto"/>
                <w:sz w:val="21"/>
                <w:szCs w:val="21"/>
                <w:highlight w:val="none"/>
              </w:rPr>
            </w:pPr>
            <w:r>
              <w:rPr>
                <w:rFonts w:hint="eastAsia"/>
                <w:color w:val="auto"/>
                <w:sz w:val="21"/>
                <w:szCs w:val="21"/>
                <w:highlight w:val="none"/>
              </w:rPr>
              <w:t>　</w:t>
            </w:r>
          </w:p>
        </w:tc>
        <w:tc>
          <w:tcPr>
            <w:tcW w:w="2963" w:type="dxa"/>
            <w:tcBorders>
              <w:top w:val="nil"/>
              <w:left w:val="single" w:color="auto" w:sz="4" w:space="0"/>
              <w:bottom w:val="single" w:color="auto" w:sz="4" w:space="0"/>
              <w:right w:val="single" w:color="auto" w:sz="4" w:space="0"/>
            </w:tcBorders>
            <w:vAlign w:val="center"/>
          </w:tcPr>
          <w:p w14:paraId="0F97358D">
            <w:pPr>
              <w:widowControl/>
              <w:shd w:val="clear"/>
              <w:spacing w:line="240" w:lineRule="auto"/>
              <w:ind w:firstLine="0" w:firstLineChars="0"/>
              <w:textAlignment w:val="bottom"/>
              <w:rPr>
                <w:color w:val="auto"/>
                <w:sz w:val="21"/>
                <w:szCs w:val="21"/>
                <w:highlight w:val="none"/>
              </w:rPr>
            </w:pPr>
            <w:r>
              <w:rPr>
                <w:rFonts w:ascii="Times New Roman" w:hAnsi="Times New Roman" w:cs="Times New Roman"/>
                <w:color w:val="auto"/>
                <w:sz w:val="21"/>
                <w:szCs w:val="21"/>
                <w:highlight w:val="none"/>
              </w:rPr>
              <w:t>38#</w:t>
            </w:r>
            <w:r>
              <w:rPr>
                <w:rFonts w:hint="eastAsia" w:cs="Times New Roman"/>
                <w:color w:val="auto"/>
                <w:sz w:val="21"/>
                <w:szCs w:val="21"/>
                <w:highlight w:val="none"/>
              </w:rPr>
              <w:t>供料皮带头卸料</w:t>
            </w:r>
          </w:p>
        </w:tc>
        <w:tc>
          <w:tcPr>
            <w:tcW w:w="703" w:type="dxa"/>
            <w:tcBorders>
              <w:top w:val="nil"/>
              <w:left w:val="nil"/>
              <w:bottom w:val="single" w:color="auto" w:sz="4" w:space="0"/>
              <w:right w:val="single" w:color="auto" w:sz="4" w:space="0"/>
            </w:tcBorders>
            <w:vAlign w:val="center"/>
          </w:tcPr>
          <w:p w14:paraId="0D229171">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1</w:t>
            </w:r>
          </w:p>
        </w:tc>
        <w:tc>
          <w:tcPr>
            <w:tcW w:w="1110" w:type="dxa"/>
            <w:tcBorders>
              <w:top w:val="nil"/>
              <w:left w:val="nil"/>
              <w:bottom w:val="single" w:color="auto" w:sz="4" w:space="0"/>
              <w:right w:val="single" w:color="auto" w:sz="4" w:space="0"/>
            </w:tcBorders>
            <w:vAlign w:val="center"/>
          </w:tcPr>
          <w:p w14:paraId="3B1E0D8B">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1</w:t>
            </w:r>
          </w:p>
        </w:tc>
        <w:tc>
          <w:tcPr>
            <w:tcW w:w="1120" w:type="dxa"/>
            <w:tcBorders>
              <w:top w:val="nil"/>
              <w:left w:val="nil"/>
              <w:bottom w:val="single" w:color="auto" w:sz="4" w:space="0"/>
              <w:right w:val="single" w:color="auto" w:sz="4" w:space="0"/>
            </w:tcBorders>
            <w:vAlign w:val="center"/>
          </w:tcPr>
          <w:p w14:paraId="77878034">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5000</w:t>
            </w:r>
          </w:p>
        </w:tc>
        <w:tc>
          <w:tcPr>
            <w:tcW w:w="847" w:type="dxa"/>
            <w:tcBorders>
              <w:top w:val="nil"/>
              <w:left w:val="nil"/>
              <w:bottom w:val="single" w:color="auto" w:sz="4" w:space="0"/>
              <w:right w:val="single" w:color="auto" w:sz="4" w:space="0"/>
            </w:tcBorders>
            <w:vAlign w:val="center"/>
          </w:tcPr>
          <w:p w14:paraId="255388AB">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5000</w:t>
            </w:r>
          </w:p>
        </w:tc>
        <w:tc>
          <w:tcPr>
            <w:tcW w:w="957" w:type="dxa"/>
            <w:tcBorders>
              <w:top w:val="nil"/>
              <w:left w:val="nil"/>
              <w:bottom w:val="single" w:color="auto" w:sz="4" w:space="0"/>
              <w:right w:val="single" w:color="auto" w:sz="4" w:space="0"/>
            </w:tcBorders>
            <w:shd w:val="clear" w:color="auto" w:fill="auto"/>
            <w:vAlign w:val="center"/>
          </w:tcPr>
          <w:p w14:paraId="249A73D3">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r>
              <w:rPr>
                <w:rFonts w:hint="eastAsia"/>
                <w:color w:val="auto"/>
                <w:sz w:val="21"/>
                <w:szCs w:val="21"/>
                <w:highlight w:val="none"/>
              </w:rPr>
              <w:t>手动</w:t>
            </w:r>
          </w:p>
        </w:tc>
        <w:tc>
          <w:tcPr>
            <w:tcW w:w="901" w:type="dxa"/>
            <w:tcBorders>
              <w:top w:val="nil"/>
              <w:left w:val="nil"/>
              <w:bottom w:val="single" w:color="auto" w:sz="4" w:space="0"/>
              <w:right w:val="single" w:color="auto" w:sz="4" w:space="0"/>
            </w:tcBorders>
            <w:shd w:val="clear" w:color="auto" w:fill="auto"/>
            <w:vAlign w:val="top"/>
          </w:tcPr>
          <w:p w14:paraId="0EA9B341">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r>
              <w:rPr>
                <w:rFonts w:hint="eastAsia"/>
                <w:color w:val="auto"/>
                <w:sz w:val="21"/>
                <w:szCs w:val="21"/>
                <w:highlight w:val="none"/>
              </w:rPr>
              <w:t>-</w:t>
            </w:r>
          </w:p>
        </w:tc>
      </w:tr>
      <w:tr w14:paraId="75C8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2" w:type="dxa"/>
            <w:tcBorders>
              <w:top w:val="single" w:color="auto" w:sz="4" w:space="0"/>
              <w:left w:val="single" w:color="auto" w:sz="4" w:space="0"/>
              <w:bottom w:val="single" w:color="auto" w:sz="4" w:space="0"/>
              <w:right w:val="single" w:color="auto" w:sz="4" w:space="0"/>
            </w:tcBorders>
            <w:vAlign w:val="center"/>
          </w:tcPr>
          <w:p w14:paraId="55B0CBA0">
            <w:pPr>
              <w:widowControl/>
              <w:shd w:val="clear"/>
              <w:spacing w:line="240" w:lineRule="auto"/>
              <w:ind w:firstLine="0" w:firstLineChars="0"/>
              <w:jc w:val="center"/>
              <w:textAlignment w:val="bottom"/>
              <w:rPr>
                <w:color w:val="auto"/>
                <w:sz w:val="21"/>
                <w:szCs w:val="21"/>
                <w:highlight w:val="none"/>
              </w:rPr>
            </w:pPr>
            <w:r>
              <w:rPr>
                <w:color w:val="auto"/>
                <w:sz w:val="21"/>
                <w:szCs w:val="21"/>
                <w:highlight w:val="none"/>
              </w:rPr>
              <w:t>17</w:t>
            </w:r>
          </w:p>
        </w:tc>
        <w:tc>
          <w:tcPr>
            <w:tcW w:w="1337" w:type="dxa"/>
            <w:tcBorders>
              <w:top w:val="nil"/>
              <w:left w:val="single" w:color="auto" w:sz="4" w:space="0"/>
              <w:bottom w:val="single" w:color="auto" w:sz="4" w:space="0"/>
              <w:right w:val="nil"/>
            </w:tcBorders>
            <w:vAlign w:val="center"/>
          </w:tcPr>
          <w:p w14:paraId="0441E56A">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　</w:t>
            </w:r>
          </w:p>
        </w:tc>
        <w:tc>
          <w:tcPr>
            <w:tcW w:w="2963" w:type="dxa"/>
            <w:tcBorders>
              <w:top w:val="nil"/>
              <w:left w:val="single" w:color="auto" w:sz="4" w:space="0"/>
              <w:bottom w:val="single" w:color="auto" w:sz="4" w:space="0"/>
              <w:right w:val="single" w:color="auto" w:sz="4" w:space="0"/>
            </w:tcBorders>
            <w:vAlign w:val="center"/>
          </w:tcPr>
          <w:p w14:paraId="0162C043">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42#</w:t>
            </w:r>
            <w:r>
              <w:rPr>
                <w:rFonts w:hint="eastAsia" w:cs="Times New Roman"/>
                <w:color w:val="auto"/>
                <w:sz w:val="21"/>
                <w:szCs w:val="21"/>
                <w:highlight w:val="none"/>
              </w:rPr>
              <w:t>皮带、</w:t>
            </w:r>
            <w:r>
              <w:rPr>
                <w:rFonts w:ascii="Times New Roman" w:hAnsi="Times New Roman" w:cs="Times New Roman"/>
                <w:color w:val="auto"/>
                <w:sz w:val="21"/>
                <w:szCs w:val="21"/>
                <w:highlight w:val="none"/>
              </w:rPr>
              <w:t>43#</w:t>
            </w:r>
            <w:r>
              <w:rPr>
                <w:rFonts w:hint="eastAsia" w:cs="Times New Roman"/>
                <w:color w:val="auto"/>
                <w:sz w:val="21"/>
                <w:szCs w:val="21"/>
                <w:highlight w:val="none"/>
              </w:rPr>
              <w:t>皮带、</w:t>
            </w:r>
            <w:r>
              <w:rPr>
                <w:rFonts w:ascii="Times New Roman" w:hAnsi="Times New Roman" w:cs="Times New Roman"/>
                <w:color w:val="auto"/>
                <w:sz w:val="21"/>
                <w:szCs w:val="21"/>
                <w:highlight w:val="none"/>
              </w:rPr>
              <w:t>44#</w:t>
            </w:r>
            <w:r>
              <w:rPr>
                <w:rFonts w:hint="eastAsia" w:cs="Times New Roman"/>
                <w:color w:val="auto"/>
                <w:sz w:val="21"/>
                <w:szCs w:val="21"/>
                <w:highlight w:val="none"/>
              </w:rPr>
              <w:t>皮带机尾受料点后</w:t>
            </w:r>
          </w:p>
        </w:tc>
        <w:tc>
          <w:tcPr>
            <w:tcW w:w="703" w:type="dxa"/>
            <w:tcBorders>
              <w:top w:val="nil"/>
              <w:left w:val="nil"/>
              <w:bottom w:val="single" w:color="auto" w:sz="4" w:space="0"/>
              <w:right w:val="single" w:color="auto" w:sz="4" w:space="0"/>
            </w:tcBorders>
            <w:vAlign w:val="center"/>
          </w:tcPr>
          <w:p w14:paraId="6EF97910">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3</w:t>
            </w:r>
          </w:p>
        </w:tc>
        <w:tc>
          <w:tcPr>
            <w:tcW w:w="1110" w:type="dxa"/>
            <w:tcBorders>
              <w:top w:val="nil"/>
              <w:left w:val="nil"/>
              <w:bottom w:val="single" w:color="auto" w:sz="4" w:space="0"/>
              <w:right w:val="single" w:color="auto" w:sz="4" w:space="0"/>
            </w:tcBorders>
            <w:vAlign w:val="center"/>
          </w:tcPr>
          <w:p w14:paraId="6DCB07AA">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3</w:t>
            </w:r>
          </w:p>
        </w:tc>
        <w:tc>
          <w:tcPr>
            <w:tcW w:w="1120" w:type="dxa"/>
            <w:tcBorders>
              <w:top w:val="nil"/>
              <w:left w:val="nil"/>
              <w:bottom w:val="single" w:color="auto" w:sz="4" w:space="0"/>
              <w:right w:val="single" w:color="auto" w:sz="4" w:space="0"/>
            </w:tcBorders>
            <w:vAlign w:val="center"/>
          </w:tcPr>
          <w:p w14:paraId="2E85F3AB">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8000</w:t>
            </w:r>
          </w:p>
        </w:tc>
        <w:tc>
          <w:tcPr>
            <w:tcW w:w="847" w:type="dxa"/>
            <w:tcBorders>
              <w:top w:val="nil"/>
              <w:left w:val="nil"/>
              <w:bottom w:val="single" w:color="auto" w:sz="4" w:space="0"/>
              <w:right w:val="single" w:color="auto" w:sz="4" w:space="0"/>
            </w:tcBorders>
            <w:vAlign w:val="center"/>
          </w:tcPr>
          <w:p w14:paraId="0D1D4C47">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24000</w:t>
            </w:r>
          </w:p>
        </w:tc>
        <w:tc>
          <w:tcPr>
            <w:tcW w:w="957" w:type="dxa"/>
            <w:tcBorders>
              <w:top w:val="nil"/>
              <w:left w:val="nil"/>
              <w:bottom w:val="single" w:color="auto" w:sz="4" w:space="0"/>
              <w:right w:val="single" w:color="auto" w:sz="4" w:space="0"/>
            </w:tcBorders>
            <w:shd w:val="clear" w:color="auto" w:fill="auto"/>
            <w:vAlign w:val="center"/>
          </w:tcPr>
          <w:p w14:paraId="34F04AF5">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r>
              <w:rPr>
                <w:rFonts w:hint="eastAsia"/>
                <w:color w:val="auto"/>
                <w:sz w:val="21"/>
                <w:szCs w:val="21"/>
                <w:highlight w:val="none"/>
              </w:rPr>
              <w:t>手动</w:t>
            </w:r>
          </w:p>
        </w:tc>
        <w:tc>
          <w:tcPr>
            <w:tcW w:w="901" w:type="dxa"/>
            <w:tcBorders>
              <w:top w:val="nil"/>
              <w:left w:val="nil"/>
              <w:bottom w:val="single" w:color="auto" w:sz="4" w:space="0"/>
              <w:right w:val="single" w:color="auto" w:sz="4" w:space="0"/>
            </w:tcBorders>
            <w:shd w:val="clear" w:color="auto" w:fill="auto"/>
            <w:vAlign w:val="top"/>
          </w:tcPr>
          <w:p w14:paraId="7218D38D">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r>
              <w:rPr>
                <w:rFonts w:hint="eastAsia"/>
                <w:color w:val="auto"/>
                <w:sz w:val="21"/>
                <w:szCs w:val="21"/>
                <w:highlight w:val="none"/>
              </w:rPr>
              <w:t>-</w:t>
            </w:r>
          </w:p>
        </w:tc>
      </w:tr>
      <w:tr w14:paraId="5D83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2" w:type="dxa"/>
            <w:tcBorders>
              <w:top w:val="single" w:color="auto" w:sz="4" w:space="0"/>
              <w:left w:val="single" w:color="auto" w:sz="4" w:space="0"/>
              <w:bottom w:val="single" w:color="auto" w:sz="4" w:space="0"/>
              <w:right w:val="single" w:color="auto" w:sz="4" w:space="0"/>
            </w:tcBorders>
            <w:vAlign w:val="center"/>
          </w:tcPr>
          <w:p w14:paraId="18FBAAB6">
            <w:pPr>
              <w:widowControl/>
              <w:shd w:val="clear"/>
              <w:spacing w:line="240" w:lineRule="auto"/>
              <w:ind w:firstLine="0" w:firstLineChars="0"/>
              <w:jc w:val="center"/>
              <w:textAlignment w:val="bottom"/>
              <w:rPr>
                <w:color w:val="auto"/>
                <w:sz w:val="21"/>
                <w:szCs w:val="21"/>
                <w:highlight w:val="none"/>
              </w:rPr>
            </w:pPr>
            <w:r>
              <w:rPr>
                <w:color w:val="auto"/>
                <w:sz w:val="21"/>
                <w:szCs w:val="21"/>
                <w:highlight w:val="none"/>
              </w:rPr>
              <w:t>18</w:t>
            </w:r>
          </w:p>
        </w:tc>
        <w:tc>
          <w:tcPr>
            <w:tcW w:w="1337" w:type="dxa"/>
            <w:tcBorders>
              <w:top w:val="nil"/>
              <w:left w:val="single" w:color="auto" w:sz="4" w:space="0"/>
              <w:bottom w:val="single" w:color="auto" w:sz="4" w:space="0"/>
              <w:right w:val="nil"/>
            </w:tcBorders>
            <w:vAlign w:val="center"/>
          </w:tcPr>
          <w:p w14:paraId="675685B2">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　</w:t>
            </w:r>
          </w:p>
        </w:tc>
        <w:tc>
          <w:tcPr>
            <w:tcW w:w="2963" w:type="dxa"/>
            <w:tcBorders>
              <w:top w:val="nil"/>
              <w:left w:val="single" w:color="auto" w:sz="4" w:space="0"/>
              <w:bottom w:val="single" w:color="auto" w:sz="4" w:space="0"/>
              <w:right w:val="single" w:color="auto" w:sz="4" w:space="0"/>
            </w:tcBorders>
            <w:vAlign w:val="center"/>
          </w:tcPr>
          <w:p w14:paraId="488EFA54">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阀门漏风</w:t>
            </w:r>
          </w:p>
        </w:tc>
        <w:tc>
          <w:tcPr>
            <w:tcW w:w="703" w:type="dxa"/>
            <w:tcBorders>
              <w:top w:val="nil"/>
              <w:left w:val="nil"/>
              <w:bottom w:val="single" w:color="auto" w:sz="4" w:space="0"/>
              <w:right w:val="single" w:color="auto" w:sz="4" w:space="0"/>
            </w:tcBorders>
            <w:vAlign w:val="center"/>
          </w:tcPr>
          <w:p w14:paraId="710DFC9D">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　</w:t>
            </w:r>
          </w:p>
        </w:tc>
        <w:tc>
          <w:tcPr>
            <w:tcW w:w="1110" w:type="dxa"/>
            <w:tcBorders>
              <w:top w:val="nil"/>
              <w:left w:val="nil"/>
              <w:bottom w:val="single" w:color="auto" w:sz="4" w:space="0"/>
              <w:right w:val="single" w:color="auto" w:sz="4" w:space="0"/>
            </w:tcBorders>
            <w:vAlign w:val="center"/>
          </w:tcPr>
          <w:p w14:paraId="0A1EDD5F">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　</w:t>
            </w:r>
          </w:p>
        </w:tc>
        <w:tc>
          <w:tcPr>
            <w:tcW w:w="1120" w:type="dxa"/>
            <w:tcBorders>
              <w:top w:val="nil"/>
              <w:left w:val="nil"/>
              <w:bottom w:val="single" w:color="auto" w:sz="4" w:space="0"/>
              <w:right w:val="single" w:color="auto" w:sz="4" w:space="0"/>
            </w:tcBorders>
            <w:vAlign w:val="center"/>
          </w:tcPr>
          <w:p w14:paraId="62494610">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　</w:t>
            </w:r>
          </w:p>
        </w:tc>
        <w:tc>
          <w:tcPr>
            <w:tcW w:w="847" w:type="dxa"/>
            <w:tcBorders>
              <w:top w:val="nil"/>
              <w:left w:val="nil"/>
              <w:bottom w:val="single" w:color="auto" w:sz="4" w:space="0"/>
              <w:right w:val="single" w:color="auto" w:sz="4" w:space="0"/>
            </w:tcBorders>
            <w:vAlign w:val="center"/>
          </w:tcPr>
          <w:p w14:paraId="6D131349">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31000</w:t>
            </w:r>
          </w:p>
        </w:tc>
        <w:tc>
          <w:tcPr>
            <w:tcW w:w="957" w:type="dxa"/>
            <w:tcBorders>
              <w:top w:val="nil"/>
              <w:left w:val="nil"/>
              <w:bottom w:val="single" w:color="auto" w:sz="4" w:space="0"/>
              <w:right w:val="single" w:color="auto" w:sz="4" w:space="0"/>
            </w:tcBorders>
            <w:shd w:val="clear" w:color="auto" w:fill="auto"/>
            <w:vAlign w:val="center"/>
          </w:tcPr>
          <w:p w14:paraId="56BF2DAC">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p>
        </w:tc>
        <w:tc>
          <w:tcPr>
            <w:tcW w:w="901" w:type="dxa"/>
            <w:tcBorders>
              <w:top w:val="nil"/>
              <w:left w:val="nil"/>
              <w:bottom w:val="single" w:color="auto" w:sz="4" w:space="0"/>
              <w:right w:val="single" w:color="auto" w:sz="4" w:space="0"/>
            </w:tcBorders>
            <w:shd w:val="clear" w:color="auto" w:fill="auto"/>
            <w:vAlign w:val="top"/>
          </w:tcPr>
          <w:p w14:paraId="30C742B2">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p>
        </w:tc>
      </w:tr>
      <w:tr w14:paraId="5912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2" w:type="dxa"/>
            <w:tcBorders>
              <w:top w:val="single" w:color="auto" w:sz="4" w:space="0"/>
              <w:left w:val="single" w:color="auto" w:sz="4" w:space="0"/>
              <w:bottom w:val="single" w:color="auto" w:sz="4" w:space="0"/>
              <w:right w:val="single" w:color="auto" w:sz="4" w:space="0"/>
            </w:tcBorders>
            <w:vAlign w:val="center"/>
          </w:tcPr>
          <w:p w14:paraId="2A5F4A67">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1</w:t>
            </w:r>
            <w:r>
              <w:rPr>
                <w:color w:val="auto"/>
                <w:sz w:val="21"/>
                <w:szCs w:val="21"/>
                <w:highlight w:val="none"/>
              </w:rPr>
              <w:t>9</w:t>
            </w:r>
          </w:p>
        </w:tc>
        <w:tc>
          <w:tcPr>
            <w:tcW w:w="1337" w:type="dxa"/>
            <w:tcBorders>
              <w:top w:val="nil"/>
              <w:left w:val="single" w:color="auto" w:sz="4" w:space="0"/>
              <w:bottom w:val="single" w:color="auto" w:sz="4" w:space="0"/>
              <w:right w:val="nil"/>
            </w:tcBorders>
            <w:vAlign w:val="center"/>
          </w:tcPr>
          <w:p w14:paraId="67B97C5C">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　</w:t>
            </w:r>
          </w:p>
        </w:tc>
        <w:tc>
          <w:tcPr>
            <w:tcW w:w="2963" w:type="dxa"/>
            <w:tcBorders>
              <w:top w:val="nil"/>
              <w:left w:val="single" w:color="auto" w:sz="4" w:space="0"/>
              <w:bottom w:val="single" w:color="auto" w:sz="4" w:space="0"/>
              <w:right w:val="single" w:color="auto" w:sz="4" w:space="0"/>
            </w:tcBorders>
            <w:vAlign w:val="center"/>
          </w:tcPr>
          <w:p w14:paraId="542FA512">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合计</w:t>
            </w:r>
          </w:p>
        </w:tc>
        <w:tc>
          <w:tcPr>
            <w:tcW w:w="703" w:type="dxa"/>
            <w:tcBorders>
              <w:top w:val="nil"/>
              <w:left w:val="nil"/>
              <w:bottom w:val="single" w:color="auto" w:sz="4" w:space="0"/>
              <w:right w:val="single" w:color="auto" w:sz="4" w:space="0"/>
            </w:tcBorders>
            <w:vAlign w:val="center"/>
          </w:tcPr>
          <w:p w14:paraId="29C8634C">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43</w:t>
            </w:r>
          </w:p>
        </w:tc>
        <w:tc>
          <w:tcPr>
            <w:tcW w:w="1110" w:type="dxa"/>
            <w:tcBorders>
              <w:top w:val="nil"/>
              <w:left w:val="nil"/>
              <w:bottom w:val="single" w:color="auto" w:sz="4" w:space="0"/>
              <w:right w:val="single" w:color="auto" w:sz="4" w:space="0"/>
            </w:tcBorders>
            <w:vAlign w:val="center"/>
          </w:tcPr>
          <w:p w14:paraId="345BA07B">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30</w:t>
            </w:r>
          </w:p>
        </w:tc>
        <w:tc>
          <w:tcPr>
            <w:tcW w:w="1120" w:type="dxa"/>
            <w:tcBorders>
              <w:top w:val="nil"/>
              <w:left w:val="nil"/>
              <w:bottom w:val="single" w:color="auto" w:sz="4" w:space="0"/>
              <w:right w:val="single" w:color="auto" w:sz="4" w:space="0"/>
            </w:tcBorders>
            <w:vAlign w:val="center"/>
          </w:tcPr>
          <w:p w14:paraId="69FBB021">
            <w:pPr>
              <w:widowControl/>
              <w:shd w:val="clear"/>
              <w:spacing w:line="240" w:lineRule="auto"/>
              <w:ind w:firstLine="0" w:firstLineChars="0"/>
              <w:jc w:val="center"/>
              <w:textAlignment w:val="bottom"/>
              <w:rPr>
                <w:color w:val="auto"/>
                <w:sz w:val="21"/>
                <w:szCs w:val="21"/>
                <w:highlight w:val="none"/>
              </w:rPr>
            </w:pPr>
            <w:r>
              <w:rPr>
                <w:rFonts w:ascii="Times New Roman" w:hAnsi="Times New Roman" w:cs="Times New Roman"/>
                <w:color w:val="auto"/>
                <w:sz w:val="21"/>
                <w:szCs w:val="21"/>
                <w:highlight w:val="none"/>
              </w:rPr>
              <w:t>　</w:t>
            </w:r>
          </w:p>
        </w:tc>
        <w:tc>
          <w:tcPr>
            <w:tcW w:w="847" w:type="dxa"/>
            <w:tcBorders>
              <w:top w:val="nil"/>
              <w:left w:val="nil"/>
              <w:bottom w:val="single" w:color="auto" w:sz="4" w:space="0"/>
              <w:right w:val="single" w:color="auto" w:sz="4" w:space="0"/>
            </w:tcBorders>
            <w:vAlign w:val="center"/>
          </w:tcPr>
          <w:p w14:paraId="4F5B6FFA">
            <w:pPr>
              <w:widowControl/>
              <w:shd w:val="clear"/>
              <w:spacing w:line="240" w:lineRule="auto"/>
              <w:ind w:firstLine="0" w:firstLineChars="0"/>
              <w:jc w:val="center"/>
              <w:textAlignment w:val="bottom"/>
              <w:rPr>
                <w:color w:val="auto"/>
                <w:sz w:val="21"/>
                <w:szCs w:val="21"/>
                <w:highlight w:val="none"/>
              </w:rPr>
            </w:pPr>
            <w:r>
              <w:rPr>
                <w:rFonts w:hint="eastAsia"/>
                <w:color w:val="auto"/>
                <w:sz w:val="21"/>
                <w:szCs w:val="21"/>
                <w:highlight w:val="none"/>
              </w:rPr>
              <w:t>490000</w:t>
            </w:r>
          </w:p>
        </w:tc>
        <w:tc>
          <w:tcPr>
            <w:tcW w:w="957" w:type="dxa"/>
            <w:tcBorders>
              <w:top w:val="nil"/>
              <w:left w:val="nil"/>
              <w:bottom w:val="single" w:color="auto" w:sz="4" w:space="0"/>
              <w:right w:val="single" w:color="auto" w:sz="4" w:space="0"/>
            </w:tcBorders>
            <w:shd w:val="clear" w:color="auto" w:fill="auto"/>
            <w:vAlign w:val="center"/>
          </w:tcPr>
          <w:p w14:paraId="4C968373">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p>
        </w:tc>
        <w:tc>
          <w:tcPr>
            <w:tcW w:w="901" w:type="dxa"/>
            <w:tcBorders>
              <w:top w:val="nil"/>
              <w:left w:val="nil"/>
              <w:bottom w:val="single" w:color="auto" w:sz="4" w:space="0"/>
              <w:right w:val="single" w:color="auto" w:sz="4" w:space="0"/>
            </w:tcBorders>
            <w:shd w:val="clear" w:color="auto" w:fill="auto"/>
            <w:vAlign w:val="top"/>
          </w:tcPr>
          <w:p w14:paraId="42B7DD29">
            <w:pPr>
              <w:widowControl/>
              <w:shd w:val="clear"/>
              <w:snapToGrid w:val="0"/>
              <w:spacing w:line="240" w:lineRule="auto"/>
              <w:ind w:firstLine="0" w:firstLineChars="0"/>
              <w:jc w:val="center"/>
              <w:textAlignment w:val="bottom"/>
              <w:rPr>
                <w:rFonts w:hint="eastAsia" w:ascii="宋体" w:hAnsi="宋体" w:eastAsia="宋体" w:cs="Arial"/>
                <w:color w:val="auto"/>
                <w:kern w:val="2"/>
                <w:sz w:val="21"/>
                <w:szCs w:val="21"/>
                <w:highlight w:val="none"/>
                <w:lang w:val="en-US" w:eastAsia="zh-CN" w:bidi="ar-SA"/>
              </w:rPr>
            </w:pPr>
          </w:p>
        </w:tc>
      </w:tr>
    </w:tbl>
    <w:p w14:paraId="35AB7976">
      <w:pPr>
        <w:shd w:val="clear"/>
        <w:rPr>
          <w:color w:val="auto"/>
          <w:highlight w:val="none"/>
        </w:rPr>
      </w:pPr>
      <w:bookmarkStart w:id="618" w:name="_Hlk175755089"/>
      <w:r>
        <w:rPr>
          <w:rFonts w:hint="eastAsia"/>
          <w:color w:val="auto"/>
          <w:highlight w:val="none"/>
        </w:rPr>
        <w:t>根据风量分配表并考虑系统的漏风量，考虑利旧改造现有矿槽除尘系统，设计风量按</w:t>
      </w:r>
      <w:r>
        <w:rPr>
          <w:color w:val="auto"/>
          <w:highlight w:val="none"/>
        </w:rPr>
        <w:t>49</w:t>
      </w:r>
      <w:r>
        <w:rPr>
          <w:rFonts w:hint="eastAsia"/>
          <w:color w:val="auto"/>
          <w:highlight w:val="none"/>
        </w:rPr>
        <w:t>0</w:t>
      </w:r>
      <w:r>
        <w:rPr>
          <w:color w:val="auto"/>
          <w:highlight w:val="none"/>
        </w:rPr>
        <w:t>000</w:t>
      </w:r>
      <w:r>
        <w:rPr>
          <w:rFonts w:hint="eastAsia"/>
          <w:color w:val="auto"/>
          <w:highlight w:val="none"/>
        </w:rPr>
        <w:t>m³/h考虑。原有烟囱（烟囱直径</w:t>
      </w:r>
      <w:r>
        <w:rPr>
          <w:color w:val="auto"/>
          <w:highlight w:val="none"/>
        </w:rPr>
        <w:t>3.6</w:t>
      </w:r>
      <w:r>
        <w:rPr>
          <w:rFonts w:hint="eastAsia"/>
          <w:color w:val="auto"/>
          <w:highlight w:val="none"/>
        </w:rPr>
        <w:t>m）加高至35m，烟囱根据实际情况考虑进行加固处理，按照在线监测的要求改造烟囱爬梯、平台及取样装置。现有风机、电机利旧，增加变频器，除尘器至排气筒之间的连接管道可考虑利旧。现有除尘器进行利旧改造，</w:t>
      </w:r>
      <w:bookmarkStart w:id="619" w:name="_Hlk174267358"/>
      <w:r>
        <w:rPr>
          <w:rFonts w:hint="eastAsia"/>
          <w:color w:val="auto"/>
          <w:highlight w:val="none"/>
        </w:rPr>
        <w:t>因灰斗以上箱体磨损严重，对除尘器进行整体更换，</w:t>
      </w:r>
      <w:r>
        <w:rPr>
          <w:rFonts w:hint="eastAsia"/>
          <w:color w:val="auto"/>
          <w:highlight w:val="none"/>
          <w:lang w:val="en-US" w:eastAsia="zh-CN"/>
        </w:rPr>
        <w:t>灰斗加固筋重新加固，灰斗壁如有磨损采用钢板贴补，</w:t>
      </w:r>
      <w:r>
        <w:rPr>
          <w:rFonts w:hint="eastAsia"/>
          <w:color w:val="auto"/>
          <w:highlight w:val="none"/>
        </w:rPr>
        <w:t>由滤袋过滤方式改造为滤筒过滤方式，增加过滤面积，过滤风速由1.0m/min降低至0.</w:t>
      </w:r>
      <w:r>
        <w:rPr>
          <w:color w:val="auto"/>
          <w:highlight w:val="none"/>
        </w:rPr>
        <w:t>7</w:t>
      </w:r>
      <w:r>
        <w:rPr>
          <w:rFonts w:hint="eastAsia"/>
          <w:color w:val="auto"/>
          <w:highlight w:val="none"/>
        </w:rPr>
        <w:t>m/min以下，满足烟囱出口颗粒物排放浓度≤10mg/m³的要求。除尘器中部设置进出风道，实现离线清灰，反吹系统更换。</w:t>
      </w:r>
      <w:bookmarkEnd w:id="619"/>
      <w:bookmarkStart w:id="620" w:name="_Hlk161595567"/>
      <w:r>
        <w:rPr>
          <w:rFonts w:hint="eastAsia"/>
          <w:color w:val="auto"/>
          <w:highlight w:val="none"/>
        </w:rPr>
        <w:t>除尘器灰斗下方的卸料阀、刮板输灰机、斗式提升机、集中灰仓更换。集中灰仓及平台利旧改造。控制系统更换为DCS控制系统，更换超低排CEMS监测系统，满足超低排放要求。</w:t>
      </w:r>
      <w:bookmarkEnd w:id="620"/>
    </w:p>
    <w:bookmarkEnd w:id="618"/>
    <w:p w14:paraId="19EA2B72">
      <w:pPr>
        <w:shd w:val="clear"/>
        <w:rPr>
          <w:color w:val="auto"/>
          <w:highlight w:val="none"/>
        </w:rPr>
      </w:pPr>
      <w:r>
        <w:rPr>
          <w:rFonts w:hint="eastAsia"/>
          <w:color w:val="auto"/>
          <w:highlight w:val="none"/>
        </w:rPr>
        <w:t>现有集中灰仓下方改造为两个卸灰口，两个卸灰口支路均通过吸排罐车拉运至2×360m2烧结机配料室预留接口气力输送至配料除尘仓。</w:t>
      </w:r>
    </w:p>
    <w:p w14:paraId="7FC66F29">
      <w:pPr>
        <w:shd w:val="clear"/>
        <w:rPr>
          <w:color w:val="auto"/>
          <w:highlight w:val="none"/>
        </w:rPr>
      </w:pPr>
      <w:r>
        <w:rPr>
          <w:rFonts w:hint="eastAsia"/>
          <w:color w:val="auto"/>
          <w:highlight w:val="none"/>
        </w:rPr>
        <w:t>拆除各除尘点到除尘器间的所有除尘管道，除尘器前的除尘管道及各除尘点到除尘器的除尘管道全部根据新的风量分配和除尘器改造进行重新布置设计。</w:t>
      </w:r>
    </w:p>
    <w:p w14:paraId="4EE16A76">
      <w:pPr>
        <w:shd w:val="clear"/>
        <w:ind w:firstLine="0" w:firstLineChars="0"/>
        <w:rPr>
          <w:color w:val="auto"/>
          <w:highlight w:val="none"/>
        </w:rPr>
      </w:pPr>
      <w:r>
        <w:rPr>
          <w:rFonts w:hint="eastAsia"/>
          <w:color w:val="auto"/>
          <w:highlight w:val="none"/>
        </w:rPr>
        <w:t>改造后矿槽除尘系统主要设备见下表：</w:t>
      </w:r>
    </w:p>
    <w:p w14:paraId="6D21394B">
      <w:pPr>
        <w:shd w:val="clear"/>
        <w:ind w:left="420" w:firstLine="0" w:firstLineChars="0"/>
        <w:jc w:val="center"/>
        <w:rPr>
          <w:rFonts w:ascii="等线" w:hAnsi="等线" w:cs="Times New Roman"/>
          <w:color w:val="auto"/>
          <w:highlight w:val="none"/>
        </w:rPr>
      </w:pPr>
      <w:r>
        <w:rPr>
          <w:rFonts w:hint="eastAsia" w:ascii="Times New Roman" w:hAnsi="Times New Roman" w:cs="Times New Roman"/>
          <w:color w:val="auto"/>
          <w:highlight w:val="none"/>
        </w:rPr>
        <w:t>表7.4.2-2</w:t>
      </w:r>
    </w:p>
    <w:tbl>
      <w:tblPr>
        <w:tblStyle w:val="6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2377"/>
        <w:gridCol w:w="4378"/>
        <w:gridCol w:w="833"/>
      </w:tblGrid>
      <w:tr w14:paraId="6FCA3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blHeader/>
        </w:trPr>
        <w:tc>
          <w:tcPr>
            <w:tcW w:w="660" w:type="dxa"/>
            <w:vAlign w:val="center"/>
          </w:tcPr>
          <w:p w14:paraId="64A7A0EE">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序号</w:t>
            </w:r>
          </w:p>
        </w:tc>
        <w:tc>
          <w:tcPr>
            <w:tcW w:w="2377" w:type="dxa"/>
            <w:vAlign w:val="center"/>
          </w:tcPr>
          <w:p w14:paraId="7C787482">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项   目</w:t>
            </w:r>
          </w:p>
        </w:tc>
        <w:tc>
          <w:tcPr>
            <w:tcW w:w="4378" w:type="dxa"/>
            <w:vAlign w:val="center"/>
          </w:tcPr>
          <w:p w14:paraId="1FD46BAE">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技 术 数 据</w:t>
            </w:r>
          </w:p>
        </w:tc>
        <w:tc>
          <w:tcPr>
            <w:tcW w:w="833" w:type="dxa"/>
          </w:tcPr>
          <w:p w14:paraId="5FB08095">
            <w:pPr>
              <w:shd w:val="clear"/>
              <w:adjustRightInd w:val="0"/>
              <w:snapToGrid w:val="0"/>
              <w:ind w:firstLine="0" w:firstLineChars="0"/>
              <w:textAlignment w:val="baseline"/>
              <w:rPr>
                <w:rFonts w:cs="宋体"/>
                <w:color w:val="auto"/>
                <w:kern w:val="0"/>
                <w:sz w:val="21"/>
                <w:szCs w:val="21"/>
                <w:highlight w:val="none"/>
              </w:rPr>
            </w:pPr>
            <w:r>
              <w:rPr>
                <w:rFonts w:hint="eastAsia" w:cs="宋体"/>
                <w:color w:val="auto"/>
                <w:kern w:val="0"/>
                <w:sz w:val="21"/>
                <w:szCs w:val="21"/>
                <w:highlight w:val="none"/>
              </w:rPr>
              <w:t>备注</w:t>
            </w:r>
          </w:p>
        </w:tc>
      </w:tr>
      <w:tr w14:paraId="14401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524C3E51">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1</w:t>
            </w:r>
          </w:p>
        </w:tc>
        <w:tc>
          <w:tcPr>
            <w:tcW w:w="2377" w:type="dxa"/>
            <w:vAlign w:val="center"/>
          </w:tcPr>
          <w:p w14:paraId="09424345">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除尘系统</w:t>
            </w:r>
          </w:p>
        </w:tc>
        <w:tc>
          <w:tcPr>
            <w:tcW w:w="4378" w:type="dxa"/>
            <w:vAlign w:val="center"/>
          </w:tcPr>
          <w:p w14:paraId="209CEDAC">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矿槽除尘系统（槽上+碎焦筛分）</w:t>
            </w:r>
          </w:p>
        </w:tc>
        <w:tc>
          <w:tcPr>
            <w:tcW w:w="833" w:type="dxa"/>
          </w:tcPr>
          <w:p w14:paraId="4066A894">
            <w:pPr>
              <w:widowControl/>
              <w:shd w:val="clear"/>
              <w:snapToGrid w:val="0"/>
              <w:ind w:firstLine="21" w:firstLineChars="10"/>
              <w:jc w:val="center"/>
              <w:rPr>
                <w:rFonts w:cs="宋体"/>
                <w:color w:val="auto"/>
                <w:kern w:val="0"/>
                <w:sz w:val="21"/>
                <w:szCs w:val="21"/>
                <w:highlight w:val="none"/>
              </w:rPr>
            </w:pPr>
          </w:p>
        </w:tc>
      </w:tr>
      <w:tr w14:paraId="6CFD1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1949E465">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2</w:t>
            </w:r>
          </w:p>
        </w:tc>
        <w:tc>
          <w:tcPr>
            <w:tcW w:w="2377" w:type="dxa"/>
            <w:vAlign w:val="center"/>
          </w:tcPr>
          <w:p w14:paraId="0EFE8B7B">
            <w:pPr>
              <w:shd w:val="clear"/>
              <w:adjustRightInd w:val="0"/>
              <w:snapToGrid w:val="0"/>
              <w:ind w:firstLine="21" w:firstLineChars="10"/>
              <w:jc w:val="center"/>
              <w:textAlignment w:val="baseline"/>
              <w:rPr>
                <w:rFonts w:cs="宋体"/>
                <w:color w:val="auto"/>
                <w:kern w:val="0"/>
                <w:sz w:val="21"/>
                <w:szCs w:val="21"/>
                <w:highlight w:val="none"/>
              </w:rPr>
            </w:pPr>
          </w:p>
        </w:tc>
        <w:tc>
          <w:tcPr>
            <w:tcW w:w="4378" w:type="dxa"/>
            <w:vAlign w:val="center"/>
          </w:tcPr>
          <w:p w14:paraId="214B0163">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低压脉冲袋式除尘器</w:t>
            </w:r>
          </w:p>
        </w:tc>
        <w:tc>
          <w:tcPr>
            <w:tcW w:w="833" w:type="dxa"/>
          </w:tcPr>
          <w:p w14:paraId="3E75C84B">
            <w:pPr>
              <w:widowControl/>
              <w:shd w:val="clear"/>
              <w:snapToGrid w:val="0"/>
              <w:ind w:firstLine="21" w:firstLineChars="10"/>
              <w:jc w:val="center"/>
              <w:rPr>
                <w:rFonts w:cs="宋体"/>
                <w:color w:val="auto"/>
                <w:kern w:val="0"/>
                <w:sz w:val="21"/>
                <w:szCs w:val="21"/>
                <w:highlight w:val="none"/>
              </w:rPr>
            </w:pPr>
          </w:p>
        </w:tc>
      </w:tr>
      <w:tr w14:paraId="12390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5CABEFDF">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3</w:t>
            </w:r>
          </w:p>
        </w:tc>
        <w:tc>
          <w:tcPr>
            <w:tcW w:w="2377" w:type="dxa"/>
            <w:vAlign w:val="center"/>
          </w:tcPr>
          <w:p w14:paraId="4B64AB46">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工况处理风量（m</w:t>
            </w:r>
            <w:r>
              <w:rPr>
                <w:rFonts w:hint="eastAsia" w:cs="宋体"/>
                <w:color w:val="auto"/>
                <w:kern w:val="0"/>
                <w:sz w:val="21"/>
                <w:szCs w:val="21"/>
                <w:highlight w:val="none"/>
                <w:vertAlign w:val="superscript"/>
              </w:rPr>
              <w:t>3</w:t>
            </w:r>
            <w:r>
              <w:rPr>
                <w:rFonts w:hint="eastAsia" w:cs="宋体"/>
                <w:color w:val="auto"/>
                <w:kern w:val="0"/>
                <w:sz w:val="21"/>
                <w:szCs w:val="21"/>
                <w:highlight w:val="none"/>
              </w:rPr>
              <w:t>/h）</w:t>
            </w:r>
          </w:p>
        </w:tc>
        <w:tc>
          <w:tcPr>
            <w:tcW w:w="4378" w:type="dxa"/>
            <w:vAlign w:val="center"/>
          </w:tcPr>
          <w:p w14:paraId="625641BF">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490000（工况）</w:t>
            </w:r>
          </w:p>
        </w:tc>
        <w:tc>
          <w:tcPr>
            <w:tcW w:w="833" w:type="dxa"/>
          </w:tcPr>
          <w:p w14:paraId="5D168825">
            <w:pPr>
              <w:shd w:val="clear"/>
              <w:adjustRightInd w:val="0"/>
              <w:snapToGrid w:val="0"/>
              <w:ind w:firstLine="21" w:firstLineChars="10"/>
              <w:jc w:val="center"/>
              <w:textAlignment w:val="baseline"/>
              <w:rPr>
                <w:rFonts w:cs="宋体"/>
                <w:color w:val="auto"/>
                <w:kern w:val="0"/>
                <w:sz w:val="21"/>
                <w:szCs w:val="21"/>
                <w:highlight w:val="none"/>
              </w:rPr>
            </w:pPr>
          </w:p>
        </w:tc>
      </w:tr>
      <w:tr w14:paraId="098FD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exact"/>
        </w:trPr>
        <w:tc>
          <w:tcPr>
            <w:tcW w:w="660" w:type="dxa"/>
            <w:vAlign w:val="center"/>
          </w:tcPr>
          <w:p w14:paraId="5721FCC9">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4</w:t>
            </w:r>
          </w:p>
        </w:tc>
        <w:tc>
          <w:tcPr>
            <w:tcW w:w="2377" w:type="dxa"/>
            <w:vAlign w:val="center"/>
          </w:tcPr>
          <w:p w14:paraId="2C3B520D">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粉尘性质</w:t>
            </w:r>
          </w:p>
        </w:tc>
        <w:tc>
          <w:tcPr>
            <w:tcW w:w="4378" w:type="dxa"/>
            <w:vAlign w:val="center"/>
          </w:tcPr>
          <w:p w14:paraId="7D791E13">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烧结矿、球团矿、焦粉、块矿等除尘烟尘</w:t>
            </w:r>
          </w:p>
        </w:tc>
        <w:tc>
          <w:tcPr>
            <w:tcW w:w="833" w:type="dxa"/>
          </w:tcPr>
          <w:p w14:paraId="19FE8317">
            <w:pPr>
              <w:shd w:val="clear"/>
              <w:adjustRightInd w:val="0"/>
              <w:snapToGrid w:val="0"/>
              <w:ind w:firstLine="21" w:firstLineChars="10"/>
              <w:jc w:val="center"/>
              <w:textAlignment w:val="baseline"/>
              <w:rPr>
                <w:rFonts w:cs="宋体"/>
                <w:color w:val="auto"/>
                <w:kern w:val="0"/>
                <w:sz w:val="21"/>
                <w:szCs w:val="21"/>
                <w:highlight w:val="none"/>
              </w:rPr>
            </w:pPr>
          </w:p>
        </w:tc>
      </w:tr>
      <w:tr w14:paraId="5D48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7111E4FB">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5</w:t>
            </w:r>
          </w:p>
        </w:tc>
        <w:tc>
          <w:tcPr>
            <w:tcW w:w="2377" w:type="dxa"/>
            <w:vAlign w:val="center"/>
          </w:tcPr>
          <w:p w14:paraId="28BAE3D7">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正常烟气温度（℃）</w:t>
            </w:r>
          </w:p>
        </w:tc>
        <w:tc>
          <w:tcPr>
            <w:tcW w:w="4378" w:type="dxa"/>
            <w:vAlign w:val="center"/>
          </w:tcPr>
          <w:p w14:paraId="373DD2C1">
            <w:pPr>
              <w:widowControl/>
              <w:shd w:val="clear"/>
              <w:snapToGrid w:val="0"/>
              <w:ind w:firstLine="21" w:firstLineChars="10"/>
              <w:jc w:val="center"/>
              <w:rPr>
                <w:rFonts w:cs="宋体"/>
                <w:color w:val="auto"/>
                <w:kern w:val="0"/>
                <w:sz w:val="21"/>
                <w:szCs w:val="21"/>
                <w:highlight w:val="none"/>
              </w:rPr>
            </w:pPr>
            <w:r>
              <w:rPr>
                <w:rFonts w:hint="eastAsia" w:cs="宋体"/>
                <w:color w:val="auto"/>
                <w:kern w:val="0"/>
                <w:sz w:val="21"/>
                <w:szCs w:val="21"/>
                <w:highlight w:val="none"/>
              </w:rPr>
              <w:t>常温</w:t>
            </w:r>
          </w:p>
        </w:tc>
        <w:tc>
          <w:tcPr>
            <w:tcW w:w="833" w:type="dxa"/>
          </w:tcPr>
          <w:p w14:paraId="678C9B86">
            <w:pPr>
              <w:widowControl/>
              <w:shd w:val="clear"/>
              <w:snapToGrid w:val="0"/>
              <w:ind w:firstLine="21" w:firstLineChars="10"/>
              <w:jc w:val="center"/>
              <w:rPr>
                <w:rFonts w:cs="宋体"/>
                <w:color w:val="auto"/>
                <w:kern w:val="0"/>
                <w:sz w:val="21"/>
                <w:szCs w:val="21"/>
                <w:highlight w:val="none"/>
              </w:rPr>
            </w:pPr>
          </w:p>
        </w:tc>
      </w:tr>
      <w:tr w14:paraId="619C4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14AED0AC">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6</w:t>
            </w:r>
          </w:p>
        </w:tc>
        <w:tc>
          <w:tcPr>
            <w:tcW w:w="2377" w:type="dxa"/>
            <w:vAlign w:val="center"/>
          </w:tcPr>
          <w:p w14:paraId="62D892D2">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出口烟尘浓度（mg/Nm³）</w:t>
            </w:r>
          </w:p>
        </w:tc>
        <w:tc>
          <w:tcPr>
            <w:tcW w:w="4378" w:type="dxa"/>
            <w:vAlign w:val="center"/>
          </w:tcPr>
          <w:p w14:paraId="15658024">
            <w:pPr>
              <w:widowControl/>
              <w:shd w:val="clear"/>
              <w:snapToGrid w:val="0"/>
              <w:ind w:firstLine="21" w:firstLineChars="10"/>
              <w:jc w:val="center"/>
              <w:rPr>
                <w:rFonts w:cs="宋体"/>
                <w:color w:val="auto"/>
                <w:kern w:val="0"/>
                <w:sz w:val="21"/>
                <w:szCs w:val="21"/>
                <w:highlight w:val="none"/>
              </w:rPr>
            </w:pPr>
            <w:r>
              <w:rPr>
                <w:rFonts w:hint="eastAsia" w:cs="宋体"/>
                <w:color w:val="auto"/>
                <w:kern w:val="0"/>
                <w:sz w:val="21"/>
                <w:szCs w:val="21"/>
                <w:highlight w:val="none"/>
              </w:rPr>
              <w:t>≤10</w:t>
            </w:r>
          </w:p>
        </w:tc>
        <w:tc>
          <w:tcPr>
            <w:tcW w:w="833" w:type="dxa"/>
          </w:tcPr>
          <w:p w14:paraId="57E17382">
            <w:pPr>
              <w:widowControl/>
              <w:shd w:val="clear"/>
              <w:snapToGrid w:val="0"/>
              <w:ind w:firstLine="21" w:firstLineChars="10"/>
              <w:jc w:val="center"/>
              <w:rPr>
                <w:rFonts w:cs="宋体"/>
                <w:color w:val="auto"/>
                <w:kern w:val="0"/>
                <w:sz w:val="21"/>
                <w:szCs w:val="21"/>
                <w:highlight w:val="none"/>
              </w:rPr>
            </w:pPr>
          </w:p>
        </w:tc>
      </w:tr>
      <w:tr w14:paraId="7B160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09E67AEB">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7</w:t>
            </w:r>
          </w:p>
        </w:tc>
        <w:tc>
          <w:tcPr>
            <w:tcW w:w="2377" w:type="dxa"/>
            <w:vAlign w:val="center"/>
          </w:tcPr>
          <w:p w14:paraId="3A11B379">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入口浓度（g/Nm³）</w:t>
            </w:r>
          </w:p>
        </w:tc>
        <w:tc>
          <w:tcPr>
            <w:tcW w:w="4378" w:type="dxa"/>
            <w:vAlign w:val="center"/>
          </w:tcPr>
          <w:p w14:paraId="35601F48">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3～10</w:t>
            </w:r>
          </w:p>
        </w:tc>
        <w:tc>
          <w:tcPr>
            <w:tcW w:w="833" w:type="dxa"/>
          </w:tcPr>
          <w:p w14:paraId="6289BF6E">
            <w:pPr>
              <w:shd w:val="clear"/>
              <w:adjustRightInd w:val="0"/>
              <w:snapToGrid w:val="0"/>
              <w:ind w:firstLine="21" w:firstLineChars="10"/>
              <w:jc w:val="center"/>
              <w:textAlignment w:val="baseline"/>
              <w:rPr>
                <w:rFonts w:cs="宋体"/>
                <w:color w:val="auto"/>
                <w:kern w:val="0"/>
                <w:sz w:val="21"/>
                <w:szCs w:val="21"/>
                <w:highlight w:val="none"/>
              </w:rPr>
            </w:pPr>
          </w:p>
        </w:tc>
      </w:tr>
      <w:tr w14:paraId="4E848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3AE34B66">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8</w:t>
            </w:r>
          </w:p>
        </w:tc>
        <w:tc>
          <w:tcPr>
            <w:tcW w:w="2377" w:type="dxa"/>
            <w:vAlign w:val="center"/>
          </w:tcPr>
          <w:p w14:paraId="03E54EEA">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总过滤面积（m</w:t>
            </w:r>
            <w:r>
              <w:rPr>
                <w:rFonts w:hint="eastAsia" w:cs="宋体"/>
                <w:color w:val="auto"/>
                <w:kern w:val="0"/>
                <w:sz w:val="21"/>
                <w:szCs w:val="21"/>
                <w:highlight w:val="none"/>
                <w:vertAlign w:val="superscript"/>
              </w:rPr>
              <w:t>2</w:t>
            </w:r>
            <w:r>
              <w:rPr>
                <w:rFonts w:hint="eastAsia" w:cs="宋体"/>
                <w:color w:val="auto"/>
                <w:kern w:val="0"/>
                <w:sz w:val="21"/>
                <w:szCs w:val="21"/>
                <w:highlight w:val="none"/>
              </w:rPr>
              <w:t>）</w:t>
            </w:r>
          </w:p>
        </w:tc>
        <w:tc>
          <w:tcPr>
            <w:tcW w:w="4378" w:type="dxa"/>
            <w:vAlign w:val="center"/>
          </w:tcPr>
          <w:p w14:paraId="49A8C859">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12670</w:t>
            </w:r>
          </w:p>
        </w:tc>
        <w:tc>
          <w:tcPr>
            <w:tcW w:w="833" w:type="dxa"/>
          </w:tcPr>
          <w:p w14:paraId="76615FE7">
            <w:pPr>
              <w:shd w:val="clear"/>
              <w:adjustRightInd w:val="0"/>
              <w:snapToGrid w:val="0"/>
              <w:ind w:firstLine="21" w:firstLineChars="10"/>
              <w:jc w:val="center"/>
              <w:textAlignment w:val="baseline"/>
              <w:rPr>
                <w:rFonts w:cs="宋体"/>
                <w:color w:val="auto"/>
                <w:kern w:val="0"/>
                <w:sz w:val="21"/>
                <w:szCs w:val="21"/>
                <w:highlight w:val="none"/>
              </w:rPr>
            </w:pPr>
          </w:p>
        </w:tc>
      </w:tr>
      <w:tr w14:paraId="3B5EC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286D5512">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9</w:t>
            </w:r>
          </w:p>
        </w:tc>
        <w:tc>
          <w:tcPr>
            <w:tcW w:w="2377" w:type="dxa"/>
            <w:vAlign w:val="center"/>
          </w:tcPr>
          <w:p w14:paraId="6B769BEB">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过滤风速（m/min）</w:t>
            </w:r>
          </w:p>
        </w:tc>
        <w:tc>
          <w:tcPr>
            <w:tcW w:w="4378" w:type="dxa"/>
            <w:vAlign w:val="center"/>
          </w:tcPr>
          <w:p w14:paraId="740002A2">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0.65</w:t>
            </w:r>
          </w:p>
        </w:tc>
        <w:tc>
          <w:tcPr>
            <w:tcW w:w="833" w:type="dxa"/>
          </w:tcPr>
          <w:p w14:paraId="19535D11">
            <w:pPr>
              <w:shd w:val="clear"/>
              <w:adjustRightInd w:val="0"/>
              <w:snapToGrid w:val="0"/>
              <w:ind w:firstLine="21" w:firstLineChars="10"/>
              <w:jc w:val="center"/>
              <w:textAlignment w:val="baseline"/>
              <w:rPr>
                <w:rFonts w:cs="宋体"/>
                <w:color w:val="auto"/>
                <w:kern w:val="0"/>
                <w:sz w:val="21"/>
                <w:szCs w:val="21"/>
                <w:highlight w:val="none"/>
              </w:rPr>
            </w:pPr>
          </w:p>
        </w:tc>
      </w:tr>
      <w:tr w14:paraId="495C7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508BEF7B">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10</w:t>
            </w:r>
          </w:p>
        </w:tc>
        <w:tc>
          <w:tcPr>
            <w:tcW w:w="2377" w:type="dxa"/>
            <w:vAlign w:val="center"/>
          </w:tcPr>
          <w:p w14:paraId="09E0D483">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灰斗数</w:t>
            </w:r>
          </w:p>
        </w:tc>
        <w:tc>
          <w:tcPr>
            <w:tcW w:w="4378" w:type="dxa"/>
            <w:vAlign w:val="center"/>
          </w:tcPr>
          <w:p w14:paraId="2CB44011">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8</w:t>
            </w:r>
          </w:p>
        </w:tc>
        <w:tc>
          <w:tcPr>
            <w:tcW w:w="833" w:type="dxa"/>
          </w:tcPr>
          <w:p w14:paraId="3A861E41">
            <w:pPr>
              <w:shd w:val="clear"/>
              <w:adjustRightInd w:val="0"/>
              <w:snapToGrid w:val="0"/>
              <w:ind w:firstLine="21" w:firstLineChars="10"/>
              <w:jc w:val="center"/>
              <w:textAlignment w:val="baseline"/>
              <w:rPr>
                <w:rFonts w:cs="宋体"/>
                <w:color w:val="auto"/>
                <w:kern w:val="0"/>
                <w:sz w:val="21"/>
                <w:szCs w:val="21"/>
                <w:highlight w:val="none"/>
              </w:rPr>
            </w:pPr>
          </w:p>
        </w:tc>
      </w:tr>
      <w:tr w14:paraId="0CD9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19A34D66">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11</w:t>
            </w:r>
          </w:p>
        </w:tc>
        <w:tc>
          <w:tcPr>
            <w:tcW w:w="2377" w:type="dxa"/>
            <w:vAlign w:val="center"/>
          </w:tcPr>
          <w:p w14:paraId="128CB796">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布置形式</w:t>
            </w:r>
          </w:p>
        </w:tc>
        <w:tc>
          <w:tcPr>
            <w:tcW w:w="4378" w:type="dxa"/>
            <w:vAlign w:val="center"/>
          </w:tcPr>
          <w:p w14:paraId="5DC3F7FA">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双排布置</w:t>
            </w:r>
          </w:p>
        </w:tc>
        <w:tc>
          <w:tcPr>
            <w:tcW w:w="833" w:type="dxa"/>
          </w:tcPr>
          <w:p w14:paraId="45CFEA61">
            <w:pPr>
              <w:shd w:val="clear"/>
              <w:adjustRightInd w:val="0"/>
              <w:snapToGrid w:val="0"/>
              <w:ind w:firstLine="21" w:firstLineChars="10"/>
              <w:jc w:val="center"/>
              <w:textAlignment w:val="baseline"/>
              <w:rPr>
                <w:rFonts w:cs="宋体"/>
                <w:color w:val="auto"/>
                <w:kern w:val="0"/>
                <w:sz w:val="21"/>
                <w:szCs w:val="21"/>
                <w:highlight w:val="none"/>
              </w:rPr>
            </w:pPr>
          </w:p>
        </w:tc>
      </w:tr>
      <w:tr w14:paraId="4A933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exact"/>
        </w:trPr>
        <w:tc>
          <w:tcPr>
            <w:tcW w:w="660" w:type="dxa"/>
            <w:vAlign w:val="center"/>
          </w:tcPr>
          <w:p w14:paraId="0D9CA4D1">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12</w:t>
            </w:r>
          </w:p>
        </w:tc>
        <w:tc>
          <w:tcPr>
            <w:tcW w:w="2377" w:type="dxa"/>
            <w:vAlign w:val="center"/>
          </w:tcPr>
          <w:p w14:paraId="67C91598">
            <w:pPr>
              <w:shd w:val="clear"/>
              <w:adjustRightInd w:val="0"/>
              <w:snapToGrid w:val="0"/>
              <w:ind w:firstLine="24" w:firstLineChars="10"/>
              <w:jc w:val="center"/>
              <w:textAlignment w:val="baseline"/>
              <w:rPr>
                <w:rFonts w:cs="宋体"/>
                <w:color w:val="auto"/>
                <w:kern w:val="0"/>
                <w:sz w:val="21"/>
                <w:szCs w:val="21"/>
                <w:highlight w:val="none"/>
              </w:rPr>
            </w:pPr>
            <w:r>
              <w:rPr>
                <w:rFonts w:hint="eastAsia"/>
                <w:color w:val="auto"/>
                <w:kern w:val="0"/>
                <w:highlight w:val="none"/>
              </w:rPr>
              <w:t>滤筒</w:t>
            </w:r>
            <w:r>
              <w:rPr>
                <w:color w:val="auto"/>
                <w:kern w:val="0"/>
                <w:highlight w:val="none"/>
              </w:rPr>
              <w:t>材质</w:t>
            </w:r>
          </w:p>
        </w:tc>
        <w:tc>
          <w:tcPr>
            <w:tcW w:w="4378" w:type="dxa"/>
            <w:vAlign w:val="center"/>
          </w:tcPr>
          <w:p w14:paraId="3A22D13E">
            <w:pPr>
              <w:shd w:val="clear"/>
              <w:adjustRightInd w:val="0"/>
              <w:snapToGrid w:val="0"/>
              <w:spacing w:line="240" w:lineRule="auto"/>
              <w:ind w:firstLine="24" w:firstLineChars="10"/>
              <w:jc w:val="center"/>
              <w:textAlignment w:val="baseline"/>
              <w:rPr>
                <w:rFonts w:cs="宋体"/>
                <w:color w:val="auto"/>
                <w:kern w:val="0"/>
                <w:sz w:val="21"/>
                <w:szCs w:val="21"/>
                <w:highlight w:val="none"/>
              </w:rPr>
            </w:pPr>
            <w:r>
              <w:rPr>
                <w:rFonts w:hint="eastAsia"/>
                <w:color w:val="auto"/>
                <w:kern w:val="0"/>
                <w:highlight w:val="none"/>
              </w:rPr>
              <w:t>聚酯+PTFE覆膜</w:t>
            </w:r>
            <w:r>
              <w:rPr>
                <w:color w:val="auto"/>
                <w:kern w:val="0"/>
                <w:highlight w:val="none"/>
              </w:rPr>
              <w:t xml:space="preserve"> </w:t>
            </w:r>
          </w:p>
        </w:tc>
        <w:tc>
          <w:tcPr>
            <w:tcW w:w="833" w:type="dxa"/>
          </w:tcPr>
          <w:p w14:paraId="75619EA0">
            <w:pPr>
              <w:shd w:val="clear"/>
              <w:adjustRightInd w:val="0"/>
              <w:snapToGrid w:val="0"/>
              <w:ind w:firstLine="21" w:firstLineChars="10"/>
              <w:jc w:val="center"/>
              <w:textAlignment w:val="baseline"/>
              <w:rPr>
                <w:rFonts w:cs="宋体"/>
                <w:color w:val="auto"/>
                <w:kern w:val="0"/>
                <w:sz w:val="21"/>
                <w:szCs w:val="21"/>
                <w:highlight w:val="none"/>
              </w:rPr>
            </w:pPr>
          </w:p>
        </w:tc>
      </w:tr>
      <w:tr w14:paraId="1EC5D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trPr>
        <w:tc>
          <w:tcPr>
            <w:tcW w:w="660" w:type="dxa"/>
            <w:vAlign w:val="center"/>
          </w:tcPr>
          <w:p w14:paraId="5E75DF4C">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13</w:t>
            </w:r>
          </w:p>
        </w:tc>
        <w:tc>
          <w:tcPr>
            <w:tcW w:w="2377" w:type="dxa"/>
            <w:vAlign w:val="center"/>
          </w:tcPr>
          <w:p w14:paraId="55BD6E5B">
            <w:pPr>
              <w:shd w:val="clear"/>
              <w:adjustRightInd w:val="0"/>
              <w:snapToGrid w:val="0"/>
              <w:ind w:firstLine="24" w:firstLineChars="10"/>
              <w:jc w:val="center"/>
              <w:textAlignment w:val="baseline"/>
              <w:rPr>
                <w:rFonts w:cs="宋体"/>
                <w:color w:val="auto"/>
                <w:kern w:val="0"/>
                <w:sz w:val="21"/>
                <w:szCs w:val="21"/>
                <w:highlight w:val="none"/>
              </w:rPr>
            </w:pPr>
            <w:r>
              <w:rPr>
                <w:rFonts w:hint="eastAsia"/>
                <w:color w:val="auto"/>
                <w:kern w:val="0"/>
                <w:highlight w:val="none"/>
              </w:rPr>
              <w:t>滤筒</w:t>
            </w:r>
            <w:r>
              <w:rPr>
                <w:color w:val="auto"/>
                <w:kern w:val="0"/>
                <w:highlight w:val="none"/>
              </w:rPr>
              <w:t>规格</w:t>
            </w:r>
          </w:p>
        </w:tc>
        <w:tc>
          <w:tcPr>
            <w:tcW w:w="4378" w:type="dxa"/>
            <w:vAlign w:val="center"/>
          </w:tcPr>
          <w:p w14:paraId="65B0D3E2">
            <w:pPr>
              <w:shd w:val="clear"/>
              <w:adjustRightInd w:val="0"/>
              <w:snapToGrid w:val="0"/>
              <w:spacing w:line="240" w:lineRule="auto"/>
              <w:ind w:firstLine="24" w:firstLineChars="10"/>
              <w:jc w:val="center"/>
              <w:textAlignment w:val="baseline"/>
              <w:rPr>
                <w:rFonts w:cs="宋体"/>
                <w:color w:val="auto"/>
                <w:kern w:val="0"/>
                <w:sz w:val="21"/>
                <w:szCs w:val="21"/>
                <w:highlight w:val="none"/>
              </w:rPr>
            </w:pPr>
            <w:r>
              <w:rPr>
                <w:color w:val="auto"/>
                <w:kern w:val="0"/>
                <w:highlight w:val="none"/>
              </w:rPr>
              <w:t>160×</w:t>
            </w:r>
            <w:r>
              <w:rPr>
                <w:rFonts w:hint="eastAsia"/>
                <w:color w:val="auto"/>
                <w:kern w:val="0"/>
                <w:highlight w:val="none"/>
              </w:rPr>
              <w:t>2</w:t>
            </w:r>
            <w:r>
              <w:rPr>
                <w:color w:val="auto"/>
                <w:kern w:val="0"/>
                <w:highlight w:val="none"/>
              </w:rPr>
              <w:t>5</w:t>
            </w:r>
            <w:r>
              <w:rPr>
                <w:rFonts w:hint="eastAsia"/>
                <w:color w:val="auto"/>
                <w:kern w:val="0"/>
                <w:highlight w:val="none"/>
              </w:rPr>
              <w:t>0</w:t>
            </w:r>
            <w:r>
              <w:rPr>
                <w:color w:val="auto"/>
                <w:kern w:val="0"/>
                <w:highlight w:val="none"/>
              </w:rPr>
              <w:t>0（2288条）,</w:t>
            </w:r>
            <w:r>
              <w:rPr>
                <w:rFonts w:hint="eastAsia"/>
                <w:color w:val="auto"/>
                <w:kern w:val="0"/>
                <w:highlight w:val="none"/>
              </w:rPr>
              <w:t>单个滤筒过滤面积</w:t>
            </w:r>
            <w:r>
              <w:rPr>
                <w:color w:val="auto"/>
                <w:kern w:val="0"/>
                <w:highlight w:val="none"/>
              </w:rPr>
              <w:t>5.54</w:t>
            </w:r>
            <w:r>
              <w:rPr>
                <w:rFonts w:hint="eastAsia"/>
                <w:color w:val="auto"/>
                <w:kern w:val="0"/>
                <w:highlight w:val="none"/>
              </w:rPr>
              <w:t>m</w:t>
            </w:r>
            <w:r>
              <w:rPr>
                <w:rFonts w:hint="eastAsia"/>
                <w:color w:val="auto"/>
                <w:kern w:val="0"/>
                <w:highlight w:val="none"/>
                <w:vertAlign w:val="superscript"/>
              </w:rPr>
              <w:t>2</w:t>
            </w:r>
          </w:p>
        </w:tc>
        <w:tc>
          <w:tcPr>
            <w:tcW w:w="833" w:type="dxa"/>
          </w:tcPr>
          <w:p w14:paraId="107A1214">
            <w:pPr>
              <w:shd w:val="clear"/>
              <w:adjustRightInd w:val="0"/>
              <w:snapToGrid w:val="0"/>
              <w:ind w:firstLine="21" w:firstLineChars="10"/>
              <w:jc w:val="center"/>
              <w:textAlignment w:val="baseline"/>
              <w:rPr>
                <w:rFonts w:cs="宋体"/>
                <w:color w:val="auto"/>
                <w:kern w:val="0"/>
                <w:sz w:val="21"/>
                <w:szCs w:val="21"/>
                <w:highlight w:val="none"/>
              </w:rPr>
            </w:pPr>
          </w:p>
        </w:tc>
      </w:tr>
      <w:tr w14:paraId="0331A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2982888C">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14</w:t>
            </w:r>
          </w:p>
        </w:tc>
        <w:tc>
          <w:tcPr>
            <w:tcW w:w="2377" w:type="dxa"/>
            <w:vAlign w:val="center"/>
          </w:tcPr>
          <w:p w14:paraId="443634A6">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脉冲阀</w:t>
            </w:r>
          </w:p>
        </w:tc>
        <w:tc>
          <w:tcPr>
            <w:tcW w:w="4378" w:type="dxa"/>
            <w:vAlign w:val="center"/>
          </w:tcPr>
          <w:p w14:paraId="7D63CA2A">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淹没阀3寸（176个）</w:t>
            </w:r>
          </w:p>
        </w:tc>
        <w:tc>
          <w:tcPr>
            <w:tcW w:w="833" w:type="dxa"/>
          </w:tcPr>
          <w:p w14:paraId="7CAD6098">
            <w:pPr>
              <w:shd w:val="clear"/>
              <w:adjustRightInd w:val="0"/>
              <w:snapToGrid w:val="0"/>
              <w:ind w:firstLine="21" w:firstLineChars="10"/>
              <w:jc w:val="center"/>
              <w:textAlignment w:val="baseline"/>
              <w:rPr>
                <w:rFonts w:cs="宋体"/>
                <w:color w:val="auto"/>
                <w:kern w:val="0"/>
                <w:sz w:val="21"/>
                <w:szCs w:val="21"/>
                <w:highlight w:val="none"/>
              </w:rPr>
            </w:pPr>
          </w:p>
        </w:tc>
      </w:tr>
      <w:tr w14:paraId="5A6A5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51F31251">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15</w:t>
            </w:r>
          </w:p>
        </w:tc>
        <w:tc>
          <w:tcPr>
            <w:tcW w:w="2377" w:type="dxa"/>
            <w:vAlign w:val="center"/>
          </w:tcPr>
          <w:p w14:paraId="03213E54">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检修方式</w:t>
            </w:r>
          </w:p>
        </w:tc>
        <w:tc>
          <w:tcPr>
            <w:tcW w:w="4378" w:type="dxa"/>
            <w:vAlign w:val="center"/>
          </w:tcPr>
          <w:p w14:paraId="2D7C3C3A">
            <w:pPr>
              <w:shd w:val="clear"/>
              <w:snapToGrid w:val="0"/>
              <w:ind w:firstLine="21" w:firstLineChars="10"/>
              <w:jc w:val="center"/>
              <w:rPr>
                <w:rFonts w:cs="宋体"/>
                <w:color w:val="auto"/>
                <w:kern w:val="0"/>
                <w:sz w:val="21"/>
                <w:szCs w:val="21"/>
                <w:highlight w:val="none"/>
              </w:rPr>
            </w:pPr>
            <w:r>
              <w:rPr>
                <w:rFonts w:hint="eastAsia" w:cs="宋体"/>
                <w:color w:val="auto"/>
                <w:kern w:val="0"/>
                <w:sz w:val="21"/>
                <w:szCs w:val="21"/>
                <w:highlight w:val="none"/>
              </w:rPr>
              <w:t>在线检修</w:t>
            </w:r>
          </w:p>
        </w:tc>
        <w:tc>
          <w:tcPr>
            <w:tcW w:w="833" w:type="dxa"/>
          </w:tcPr>
          <w:p w14:paraId="5A500443">
            <w:pPr>
              <w:shd w:val="clear"/>
              <w:adjustRightInd w:val="0"/>
              <w:snapToGrid w:val="0"/>
              <w:ind w:firstLine="21" w:firstLineChars="10"/>
              <w:jc w:val="center"/>
              <w:textAlignment w:val="baseline"/>
              <w:rPr>
                <w:rFonts w:cs="宋体"/>
                <w:color w:val="auto"/>
                <w:kern w:val="0"/>
                <w:sz w:val="21"/>
                <w:szCs w:val="21"/>
                <w:highlight w:val="none"/>
              </w:rPr>
            </w:pPr>
          </w:p>
        </w:tc>
      </w:tr>
      <w:tr w14:paraId="223C1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02C8780A">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16</w:t>
            </w:r>
          </w:p>
        </w:tc>
        <w:tc>
          <w:tcPr>
            <w:tcW w:w="2377" w:type="dxa"/>
            <w:vAlign w:val="center"/>
          </w:tcPr>
          <w:p w14:paraId="1E43AF86">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收尘器漏风率</w:t>
            </w:r>
          </w:p>
        </w:tc>
        <w:tc>
          <w:tcPr>
            <w:tcW w:w="4378" w:type="dxa"/>
            <w:vAlign w:val="center"/>
          </w:tcPr>
          <w:p w14:paraId="05190A02">
            <w:pPr>
              <w:shd w:val="clear"/>
              <w:snapToGrid w:val="0"/>
              <w:ind w:firstLine="21" w:firstLineChars="10"/>
              <w:jc w:val="center"/>
              <w:rPr>
                <w:rFonts w:cs="宋体"/>
                <w:color w:val="auto"/>
                <w:kern w:val="0"/>
                <w:sz w:val="21"/>
                <w:szCs w:val="21"/>
                <w:highlight w:val="none"/>
              </w:rPr>
            </w:pPr>
            <w:r>
              <w:rPr>
                <w:rFonts w:hint="eastAsia" w:cs="宋体"/>
                <w:color w:val="auto"/>
                <w:kern w:val="0"/>
                <w:sz w:val="21"/>
                <w:szCs w:val="21"/>
                <w:highlight w:val="none"/>
              </w:rPr>
              <w:t>≤2%</w:t>
            </w:r>
          </w:p>
        </w:tc>
        <w:tc>
          <w:tcPr>
            <w:tcW w:w="833" w:type="dxa"/>
          </w:tcPr>
          <w:p w14:paraId="76BAF498">
            <w:pPr>
              <w:shd w:val="clear"/>
              <w:snapToGrid w:val="0"/>
              <w:ind w:firstLine="21" w:firstLineChars="10"/>
              <w:jc w:val="center"/>
              <w:rPr>
                <w:rFonts w:cs="宋体"/>
                <w:color w:val="auto"/>
                <w:kern w:val="0"/>
                <w:sz w:val="21"/>
                <w:szCs w:val="21"/>
                <w:highlight w:val="none"/>
              </w:rPr>
            </w:pPr>
          </w:p>
        </w:tc>
      </w:tr>
      <w:tr w14:paraId="0E7F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6BE1B147">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17</w:t>
            </w:r>
          </w:p>
        </w:tc>
        <w:tc>
          <w:tcPr>
            <w:tcW w:w="2377" w:type="dxa"/>
            <w:vAlign w:val="center"/>
          </w:tcPr>
          <w:p w14:paraId="2AF74C44">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收尘器阻力（Pa）</w:t>
            </w:r>
          </w:p>
        </w:tc>
        <w:tc>
          <w:tcPr>
            <w:tcW w:w="4378" w:type="dxa"/>
            <w:vAlign w:val="center"/>
          </w:tcPr>
          <w:p w14:paraId="531B814C">
            <w:pPr>
              <w:shd w:val="clear"/>
              <w:snapToGrid w:val="0"/>
              <w:ind w:firstLine="21" w:firstLineChars="10"/>
              <w:jc w:val="center"/>
              <w:rPr>
                <w:rFonts w:cs="宋体"/>
                <w:color w:val="auto"/>
                <w:kern w:val="0"/>
                <w:sz w:val="21"/>
                <w:szCs w:val="21"/>
                <w:highlight w:val="none"/>
              </w:rPr>
            </w:pPr>
            <w:r>
              <w:rPr>
                <w:rFonts w:hint="eastAsia" w:cs="宋体"/>
                <w:color w:val="auto"/>
                <w:kern w:val="0"/>
                <w:sz w:val="21"/>
                <w:szCs w:val="21"/>
                <w:highlight w:val="none"/>
              </w:rPr>
              <w:t>≤1200</w:t>
            </w:r>
          </w:p>
        </w:tc>
        <w:tc>
          <w:tcPr>
            <w:tcW w:w="833" w:type="dxa"/>
          </w:tcPr>
          <w:p w14:paraId="636E5EA5">
            <w:pPr>
              <w:shd w:val="clear"/>
              <w:snapToGrid w:val="0"/>
              <w:ind w:firstLine="21" w:firstLineChars="10"/>
              <w:jc w:val="center"/>
              <w:rPr>
                <w:rFonts w:cs="宋体"/>
                <w:color w:val="auto"/>
                <w:kern w:val="0"/>
                <w:sz w:val="21"/>
                <w:szCs w:val="21"/>
                <w:highlight w:val="none"/>
              </w:rPr>
            </w:pPr>
          </w:p>
        </w:tc>
      </w:tr>
      <w:tr w14:paraId="0F9EB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49EBACF3">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18</w:t>
            </w:r>
          </w:p>
        </w:tc>
        <w:tc>
          <w:tcPr>
            <w:tcW w:w="2377" w:type="dxa"/>
            <w:vAlign w:val="center"/>
          </w:tcPr>
          <w:p w14:paraId="266283E3">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除尘器耐压等级</w:t>
            </w:r>
          </w:p>
        </w:tc>
        <w:tc>
          <w:tcPr>
            <w:tcW w:w="4378" w:type="dxa"/>
            <w:vAlign w:val="center"/>
          </w:tcPr>
          <w:p w14:paraId="62EAE298">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设计负压-8kPa</w:t>
            </w:r>
          </w:p>
        </w:tc>
        <w:tc>
          <w:tcPr>
            <w:tcW w:w="833" w:type="dxa"/>
          </w:tcPr>
          <w:p w14:paraId="06027051">
            <w:pPr>
              <w:shd w:val="clear"/>
              <w:adjustRightInd w:val="0"/>
              <w:snapToGrid w:val="0"/>
              <w:ind w:firstLine="21" w:firstLineChars="10"/>
              <w:jc w:val="center"/>
              <w:textAlignment w:val="baseline"/>
              <w:rPr>
                <w:rFonts w:cs="宋体"/>
                <w:color w:val="auto"/>
                <w:kern w:val="0"/>
                <w:sz w:val="21"/>
                <w:szCs w:val="21"/>
                <w:highlight w:val="none"/>
              </w:rPr>
            </w:pPr>
          </w:p>
        </w:tc>
      </w:tr>
      <w:tr w14:paraId="24709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38B15335">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19</w:t>
            </w:r>
          </w:p>
        </w:tc>
        <w:tc>
          <w:tcPr>
            <w:tcW w:w="2377" w:type="dxa"/>
            <w:vAlign w:val="center"/>
          </w:tcPr>
          <w:p w14:paraId="7CC6F408">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清灰方式</w:t>
            </w:r>
          </w:p>
        </w:tc>
        <w:tc>
          <w:tcPr>
            <w:tcW w:w="4378" w:type="dxa"/>
            <w:vAlign w:val="center"/>
          </w:tcPr>
          <w:p w14:paraId="09AAEED2">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离线清灰</w:t>
            </w:r>
          </w:p>
        </w:tc>
        <w:tc>
          <w:tcPr>
            <w:tcW w:w="833" w:type="dxa"/>
          </w:tcPr>
          <w:p w14:paraId="7658E6CB">
            <w:pPr>
              <w:shd w:val="clear"/>
              <w:adjustRightInd w:val="0"/>
              <w:snapToGrid w:val="0"/>
              <w:ind w:firstLine="21" w:firstLineChars="10"/>
              <w:jc w:val="center"/>
              <w:textAlignment w:val="baseline"/>
              <w:rPr>
                <w:rFonts w:cs="宋体"/>
                <w:color w:val="auto"/>
                <w:kern w:val="0"/>
                <w:sz w:val="21"/>
                <w:szCs w:val="21"/>
                <w:highlight w:val="none"/>
              </w:rPr>
            </w:pPr>
          </w:p>
        </w:tc>
      </w:tr>
      <w:tr w14:paraId="02224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3F8C2E28">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20</w:t>
            </w:r>
          </w:p>
        </w:tc>
        <w:tc>
          <w:tcPr>
            <w:tcW w:w="2377" w:type="dxa"/>
            <w:vAlign w:val="center"/>
          </w:tcPr>
          <w:p w14:paraId="3DF0C196">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喷吹气源</w:t>
            </w:r>
          </w:p>
        </w:tc>
        <w:tc>
          <w:tcPr>
            <w:tcW w:w="4378" w:type="dxa"/>
            <w:vAlign w:val="center"/>
          </w:tcPr>
          <w:p w14:paraId="6ED6150F">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压缩空气</w:t>
            </w:r>
          </w:p>
        </w:tc>
        <w:tc>
          <w:tcPr>
            <w:tcW w:w="833" w:type="dxa"/>
          </w:tcPr>
          <w:p w14:paraId="03DE29FD">
            <w:pPr>
              <w:shd w:val="clear"/>
              <w:adjustRightInd w:val="0"/>
              <w:snapToGrid w:val="0"/>
              <w:ind w:firstLine="21" w:firstLineChars="10"/>
              <w:jc w:val="center"/>
              <w:textAlignment w:val="baseline"/>
              <w:rPr>
                <w:rFonts w:cs="宋体"/>
                <w:color w:val="auto"/>
                <w:kern w:val="0"/>
                <w:sz w:val="21"/>
                <w:szCs w:val="21"/>
                <w:highlight w:val="none"/>
              </w:rPr>
            </w:pPr>
          </w:p>
        </w:tc>
      </w:tr>
      <w:tr w14:paraId="4084D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3340815B">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21</w:t>
            </w:r>
          </w:p>
        </w:tc>
        <w:tc>
          <w:tcPr>
            <w:tcW w:w="2377" w:type="dxa"/>
            <w:vAlign w:val="center"/>
          </w:tcPr>
          <w:p w14:paraId="68D87685">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喷吹压力（MPa）</w:t>
            </w:r>
          </w:p>
        </w:tc>
        <w:tc>
          <w:tcPr>
            <w:tcW w:w="4378" w:type="dxa"/>
            <w:vAlign w:val="center"/>
          </w:tcPr>
          <w:p w14:paraId="2594F51B">
            <w:pPr>
              <w:shd w:val="clear"/>
              <w:adjustRightInd w:val="0"/>
              <w:snapToGrid w:val="0"/>
              <w:ind w:firstLine="21" w:firstLineChars="10"/>
              <w:jc w:val="center"/>
              <w:textAlignment w:val="baseline"/>
              <w:rPr>
                <w:rFonts w:cs="宋体"/>
                <w:color w:val="auto"/>
                <w:kern w:val="0"/>
                <w:sz w:val="21"/>
                <w:szCs w:val="21"/>
                <w:highlight w:val="none"/>
              </w:rPr>
            </w:pPr>
            <w:r>
              <w:rPr>
                <w:rFonts w:hint="eastAsia" w:cs="宋体"/>
                <w:color w:val="auto"/>
                <w:kern w:val="0"/>
                <w:sz w:val="21"/>
                <w:szCs w:val="21"/>
                <w:highlight w:val="none"/>
              </w:rPr>
              <w:t>0.4-0.6</w:t>
            </w:r>
          </w:p>
        </w:tc>
        <w:tc>
          <w:tcPr>
            <w:tcW w:w="833" w:type="dxa"/>
          </w:tcPr>
          <w:p w14:paraId="12FA9448">
            <w:pPr>
              <w:shd w:val="clear"/>
              <w:adjustRightInd w:val="0"/>
              <w:snapToGrid w:val="0"/>
              <w:ind w:firstLine="21" w:firstLineChars="10"/>
              <w:jc w:val="center"/>
              <w:textAlignment w:val="baseline"/>
              <w:rPr>
                <w:rFonts w:cs="宋体"/>
                <w:color w:val="auto"/>
                <w:kern w:val="0"/>
                <w:sz w:val="21"/>
                <w:szCs w:val="21"/>
                <w:highlight w:val="none"/>
              </w:rPr>
            </w:pPr>
          </w:p>
        </w:tc>
      </w:tr>
    </w:tbl>
    <w:p w14:paraId="47078301">
      <w:pPr>
        <w:shd w:val="clear"/>
        <w:rPr>
          <w:color w:val="auto"/>
          <w:highlight w:val="none"/>
        </w:rPr>
      </w:pPr>
      <w:r>
        <w:rPr>
          <w:rFonts w:hint="eastAsia"/>
          <w:color w:val="auto"/>
          <w:highlight w:val="none"/>
        </w:rPr>
        <w:t>2）除尘风机（利旧）</w:t>
      </w:r>
    </w:p>
    <w:p w14:paraId="5F31F29A">
      <w:pPr>
        <w:shd w:val="clear"/>
        <w:rPr>
          <w:color w:val="auto"/>
          <w:highlight w:val="none"/>
        </w:rPr>
      </w:pPr>
      <w:r>
        <w:rPr>
          <w:rFonts w:hint="eastAsia"/>
          <w:color w:val="auto"/>
          <w:highlight w:val="none"/>
        </w:rPr>
        <w:t>数量：1套</w:t>
      </w:r>
    </w:p>
    <w:p w14:paraId="5A163A1E">
      <w:pPr>
        <w:shd w:val="clear"/>
        <w:rPr>
          <w:color w:val="auto"/>
          <w:highlight w:val="none"/>
        </w:rPr>
      </w:pPr>
      <w:r>
        <w:rPr>
          <w:rFonts w:hint="eastAsia"/>
          <w:color w:val="auto"/>
          <w:highlight w:val="none"/>
        </w:rPr>
        <w:t>风量：</w:t>
      </w:r>
      <w:r>
        <w:rPr>
          <w:color w:val="auto"/>
          <w:highlight w:val="none"/>
        </w:rPr>
        <w:t>5</w:t>
      </w:r>
      <w:r>
        <w:rPr>
          <w:rFonts w:hint="eastAsia"/>
          <w:color w:val="auto"/>
          <w:highlight w:val="none"/>
        </w:rPr>
        <w:t>40</w:t>
      </w:r>
      <w:r>
        <w:rPr>
          <w:color w:val="auto"/>
          <w:highlight w:val="none"/>
        </w:rPr>
        <w:t>000</w:t>
      </w:r>
      <w:r>
        <w:rPr>
          <w:rFonts w:hint="eastAsia"/>
          <w:color w:val="auto"/>
          <w:highlight w:val="none"/>
        </w:rPr>
        <w:t>m³/h</w:t>
      </w:r>
    </w:p>
    <w:p w14:paraId="44D651F8">
      <w:pPr>
        <w:shd w:val="clear"/>
        <w:rPr>
          <w:color w:val="auto"/>
          <w:highlight w:val="none"/>
        </w:rPr>
      </w:pPr>
      <w:r>
        <w:rPr>
          <w:rFonts w:hint="eastAsia"/>
          <w:color w:val="auto"/>
          <w:highlight w:val="none"/>
        </w:rPr>
        <w:t>全压：5</w:t>
      </w:r>
      <w:r>
        <w:rPr>
          <w:color w:val="auto"/>
          <w:highlight w:val="none"/>
        </w:rPr>
        <w:t>8</w:t>
      </w:r>
      <w:r>
        <w:rPr>
          <w:rFonts w:hint="eastAsia"/>
          <w:color w:val="auto"/>
          <w:highlight w:val="none"/>
        </w:rPr>
        <w:t>00Pa</w:t>
      </w:r>
    </w:p>
    <w:p w14:paraId="21845151">
      <w:pPr>
        <w:shd w:val="clear"/>
        <w:rPr>
          <w:color w:val="auto"/>
          <w:highlight w:val="none"/>
        </w:rPr>
      </w:pPr>
      <w:r>
        <w:rPr>
          <w:rFonts w:hint="eastAsia"/>
          <w:color w:val="auto"/>
          <w:highlight w:val="none"/>
        </w:rPr>
        <w:t>3）除尘电机（电机利旧，增加变频调速）</w:t>
      </w:r>
    </w:p>
    <w:p w14:paraId="4237C84A">
      <w:pPr>
        <w:shd w:val="clear"/>
        <w:rPr>
          <w:color w:val="auto"/>
          <w:highlight w:val="none"/>
        </w:rPr>
      </w:pPr>
      <w:r>
        <w:rPr>
          <w:rFonts w:hint="eastAsia"/>
          <w:color w:val="auto"/>
          <w:highlight w:val="none"/>
        </w:rPr>
        <w:t>数量：1套</w:t>
      </w:r>
    </w:p>
    <w:p w14:paraId="7AD673DF">
      <w:pPr>
        <w:shd w:val="clear"/>
        <w:rPr>
          <w:color w:val="auto"/>
          <w:highlight w:val="none"/>
        </w:rPr>
      </w:pPr>
      <w:r>
        <w:rPr>
          <w:rFonts w:hint="eastAsia"/>
          <w:color w:val="auto"/>
          <w:highlight w:val="none"/>
        </w:rPr>
        <w:t>额定功率：1</w:t>
      </w:r>
      <w:r>
        <w:rPr>
          <w:color w:val="auto"/>
          <w:highlight w:val="none"/>
        </w:rPr>
        <w:t>25</w:t>
      </w:r>
      <w:r>
        <w:rPr>
          <w:rFonts w:hint="eastAsia"/>
          <w:color w:val="auto"/>
          <w:highlight w:val="none"/>
        </w:rPr>
        <w:t>0kW</w:t>
      </w:r>
    </w:p>
    <w:p w14:paraId="152D7C17">
      <w:pPr>
        <w:shd w:val="clear"/>
        <w:rPr>
          <w:color w:val="auto"/>
          <w:highlight w:val="none"/>
        </w:rPr>
      </w:pPr>
      <w:r>
        <w:rPr>
          <w:rFonts w:hint="eastAsia"/>
          <w:color w:val="auto"/>
          <w:highlight w:val="none"/>
        </w:rPr>
        <w:t>额定电压：6kV</w:t>
      </w:r>
    </w:p>
    <w:p w14:paraId="621ADB75">
      <w:pPr>
        <w:shd w:val="clear"/>
        <w:rPr>
          <w:color w:val="auto"/>
          <w:highlight w:val="none"/>
        </w:rPr>
      </w:pPr>
      <w:r>
        <w:rPr>
          <w:rFonts w:hint="eastAsia"/>
          <w:color w:val="auto"/>
          <w:highlight w:val="none"/>
        </w:rPr>
        <w:t xml:space="preserve">4）刮板输送机    </w:t>
      </w:r>
      <w:r>
        <w:rPr>
          <w:color w:val="auto"/>
          <w:highlight w:val="none"/>
        </w:rPr>
        <w:t>2台</w:t>
      </w:r>
      <w:r>
        <w:rPr>
          <w:rFonts w:hint="eastAsia"/>
          <w:color w:val="auto"/>
          <w:highlight w:val="none"/>
        </w:rPr>
        <w:t>（更换）</w:t>
      </w:r>
    </w:p>
    <w:p w14:paraId="7D2C978C">
      <w:pPr>
        <w:shd w:val="clear"/>
        <w:ind w:firstLine="849" w:firstLineChars="354"/>
        <w:rPr>
          <w:color w:val="auto"/>
          <w:highlight w:val="none"/>
        </w:rPr>
      </w:pPr>
      <w:r>
        <w:rPr>
          <w:rFonts w:hint="eastAsia"/>
          <w:color w:val="auto"/>
          <w:highlight w:val="none"/>
        </w:rPr>
        <w:t xml:space="preserve">型号：YD310 </w:t>
      </w:r>
    </w:p>
    <w:p w14:paraId="6AB03323">
      <w:pPr>
        <w:shd w:val="clear"/>
        <w:ind w:firstLine="849" w:firstLineChars="354"/>
        <w:rPr>
          <w:color w:val="auto"/>
          <w:highlight w:val="none"/>
        </w:rPr>
      </w:pPr>
      <w:r>
        <w:rPr>
          <w:rFonts w:hint="eastAsia"/>
          <w:color w:val="auto"/>
          <w:highlight w:val="none"/>
        </w:rPr>
        <w:t>输送能力：6-12</w:t>
      </w:r>
      <w:r>
        <w:rPr>
          <w:color w:val="auto"/>
          <w:highlight w:val="none"/>
        </w:rPr>
        <w:t>m</w:t>
      </w:r>
      <w:r>
        <w:rPr>
          <w:color w:val="auto"/>
          <w:highlight w:val="none"/>
          <w:vertAlign w:val="superscript"/>
        </w:rPr>
        <w:t>3</w:t>
      </w:r>
      <w:r>
        <w:rPr>
          <w:color w:val="auto"/>
          <w:highlight w:val="none"/>
        </w:rPr>
        <w:t>/h</w:t>
      </w:r>
    </w:p>
    <w:p w14:paraId="78A6BFDD">
      <w:pPr>
        <w:shd w:val="clear"/>
        <w:ind w:firstLine="849" w:firstLineChars="354"/>
        <w:rPr>
          <w:color w:val="auto"/>
          <w:highlight w:val="none"/>
        </w:rPr>
      </w:pPr>
      <w:r>
        <w:rPr>
          <w:rFonts w:hint="eastAsia"/>
          <w:color w:val="auto"/>
          <w:highlight w:val="none"/>
        </w:rPr>
        <w:t>输送距离： L=</w:t>
      </w:r>
      <w:r>
        <w:rPr>
          <w:color w:val="auto"/>
          <w:highlight w:val="none"/>
        </w:rPr>
        <w:t>24.5</w:t>
      </w:r>
      <w:r>
        <w:rPr>
          <w:rFonts w:hint="eastAsia"/>
          <w:color w:val="auto"/>
          <w:highlight w:val="none"/>
        </w:rPr>
        <w:t>m</w:t>
      </w:r>
    </w:p>
    <w:p w14:paraId="12231B0E">
      <w:pPr>
        <w:shd w:val="clear"/>
        <w:ind w:firstLine="849" w:firstLineChars="354"/>
        <w:rPr>
          <w:color w:val="auto"/>
          <w:highlight w:val="none"/>
        </w:rPr>
      </w:pPr>
      <w:r>
        <w:rPr>
          <w:color w:val="auto"/>
          <w:highlight w:val="none"/>
        </w:rPr>
        <w:t>功率</w:t>
      </w:r>
      <w:r>
        <w:rPr>
          <w:rFonts w:hint="eastAsia"/>
          <w:color w:val="auto"/>
          <w:highlight w:val="none"/>
        </w:rPr>
        <w:t xml:space="preserve">：7.5kW </w:t>
      </w:r>
    </w:p>
    <w:p w14:paraId="528D6366">
      <w:pPr>
        <w:shd w:val="clear"/>
        <w:ind w:firstLine="849" w:firstLineChars="354"/>
        <w:rPr>
          <w:color w:val="auto"/>
          <w:highlight w:val="none"/>
        </w:rPr>
      </w:pPr>
      <w:r>
        <w:rPr>
          <w:rFonts w:hint="eastAsia"/>
          <w:color w:val="auto"/>
          <w:highlight w:val="none"/>
        </w:rPr>
        <w:t>电压：380V</w:t>
      </w:r>
    </w:p>
    <w:p w14:paraId="21D3A6E9">
      <w:pPr>
        <w:shd w:val="clear"/>
        <w:rPr>
          <w:color w:val="auto"/>
          <w:highlight w:val="none"/>
        </w:rPr>
      </w:pPr>
      <w:r>
        <w:rPr>
          <w:rFonts w:hint="eastAsia"/>
          <w:color w:val="auto"/>
          <w:highlight w:val="none"/>
        </w:rPr>
        <w:t xml:space="preserve">4）刮板输送机    </w:t>
      </w:r>
      <w:r>
        <w:rPr>
          <w:color w:val="auto"/>
          <w:highlight w:val="none"/>
        </w:rPr>
        <w:t>1台</w:t>
      </w:r>
      <w:r>
        <w:rPr>
          <w:rFonts w:hint="eastAsia"/>
          <w:color w:val="auto"/>
          <w:highlight w:val="none"/>
        </w:rPr>
        <w:t>（更换）</w:t>
      </w:r>
    </w:p>
    <w:p w14:paraId="31CD7A29">
      <w:pPr>
        <w:shd w:val="clear"/>
        <w:ind w:firstLine="849" w:firstLineChars="354"/>
        <w:rPr>
          <w:color w:val="auto"/>
          <w:highlight w:val="none"/>
        </w:rPr>
      </w:pPr>
      <w:r>
        <w:rPr>
          <w:rFonts w:hint="eastAsia"/>
          <w:color w:val="auto"/>
          <w:highlight w:val="none"/>
        </w:rPr>
        <w:t xml:space="preserve">型号：YD430 </w:t>
      </w:r>
    </w:p>
    <w:p w14:paraId="1EC3AD84">
      <w:pPr>
        <w:shd w:val="clear"/>
        <w:ind w:firstLine="849" w:firstLineChars="354"/>
        <w:rPr>
          <w:color w:val="auto"/>
          <w:highlight w:val="none"/>
        </w:rPr>
      </w:pPr>
      <w:r>
        <w:rPr>
          <w:rFonts w:hint="eastAsia"/>
          <w:color w:val="auto"/>
          <w:highlight w:val="none"/>
        </w:rPr>
        <w:t>输送能力：10-25</w:t>
      </w:r>
      <w:r>
        <w:rPr>
          <w:color w:val="auto"/>
          <w:highlight w:val="none"/>
        </w:rPr>
        <w:t>m</w:t>
      </w:r>
      <w:r>
        <w:rPr>
          <w:color w:val="auto"/>
          <w:highlight w:val="none"/>
          <w:vertAlign w:val="superscript"/>
        </w:rPr>
        <w:t>3</w:t>
      </w:r>
      <w:r>
        <w:rPr>
          <w:color w:val="auto"/>
          <w:highlight w:val="none"/>
        </w:rPr>
        <w:t>/h</w:t>
      </w:r>
    </w:p>
    <w:p w14:paraId="3254733C">
      <w:pPr>
        <w:shd w:val="clear"/>
        <w:ind w:firstLine="849" w:firstLineChars="354"/>
        <w:rPr>
          <w:color w:val="auto"/>
          <w:highlight w:val="none"/>
        </w:rPr>
      </w:pPr>
      <w:r>
        <w:rPr>
          <w:rFonts w:hint="eastAsia"/>
          <w:color w:val="auto"/>
          <w:highlight w:val="none"/>
        </w:rPr>
        <w:t>输送距离： L=</w:t>
      </w:r>
      <w:r>
        <w:rPr>
          <w:color w:val="auto"/>
          <w:highlight w:val="none"/>
        </w:rPr>
        <w:t>8.2</w:t>
      </w:r>
      <w:r>
        <w:rPr>
          <w:rFonts w:hint="eastAsia"/>
          <w:color w:val="auto"/>
          <w:highlight w:val="none"/>
        </w:rPr>
        <w:t>m</w:t>
      </w:r>
    </w:p>
    <w:p w14:paraId="25F1DA97">
      <w:pPr>
        <w:shd w:val="clear"/>
        <w:ind w:firstLine="849" w:firstLineChars="354"/>
        <w:rPr>
          <w:color w:val="auto"/>
          <w:highlight w:val="none"/>
        </w:rPr>
      </w:pPr>
      <w:r>
        <w:rPr>
          <w:color w:val="auto"/>
          <w:highlight w:val="none"/>
        </w:rPr>
        <w:t>功率</w:t>
      </w:r>
      <w:r>
        <w:rPr>
          <w:rFonts w:hint="eastAsia"/>
          <w:color w:val="auto"/>
          <w:highlight w:val="none"/>
        </w:rPr>
        <w:t xml:space="preserve">：7.5kW </w:t>
      </w:r>
    </w:p>
    <w:p w14:paraId="7F3EA4B2">
      <w:pPr>
        <w:shd w:val="clear"/>
        <w:ind w:firstLine="849" w:firstLineChars="354"/>
        <w:rPr>
          <w:color w:val="auto"/>
          <w:highlight w:val="none"/>
        </w:rPr>
      </w:pPr>
      <w:r>
        <w:rPr>
          <w:rFonts w:hint="eastAsia"/>
          <w:color w:val="auto"/>
          <w:highlight w:val="none"/>
        </w:rPr>
        <w:t>电压：380V</w:t>
      </w:r>
    </w:p>
    <w:p w14:paraId="47599738">
      <w:pPr>
        <w:shd w:val="clear"/>
        <w:ind w:firstLine="484" w:firstLineChars="202"/>
        <w:rPr>
          <w:color w:val="auto"/>
          <w:highlight w:val="none"/>
        </w:rPr>
      </w:pPr>
      <w:r>
        <w:rPr>
          <w:rFonts w:hint="eastAsia"/>
          <w:color w:val="auto"/>
          <w:highlight w:val="none"/>
        </w:rPr>
        <w:t>5）斗式提升机（更换）</w:t>
      </w:r>
    </w:p>
    <w:p w14:paraId="679D05AD">
      <w:pPr>
        <w:shd w:val="clear"/>
        <w:ind w:firstLine="849" w:firstLineChars="354"/>
        <w:rPr>
          <w:color w:val="auto"/>
          <w:highlight w:val="none"/>
        </w:rPr>
      </w:pPr>
      <w:r>
        <w:rPr>
          <w:rFonts w:hint="eastAsia"/>
          <w:color w:val="auto"/>
          <w:highlight w:val="none"/>
        </w:rPr>
        <w:t>型号：DT30T</w:t>
      </w:r>
    </w:p>
    <w:p w14:paraId="0E6C2506">
      <w:pPr>
        <w:shd w:val="clear"/>
        <w:ind w:firstLine="849" w:firstLineChars="354"/>
        <w:rPr>
          <w:color w:val="auto"/>
          <w:highlight w:val="none"/>
        </w:rPr>
      </w:pPr>
      <w:r>
        <w:rPr>
          <w:rFonts w:hint="eastAsia"/>
          <w:color w:val="auto"/>
          <w:highlight w:val="none"/>
        </w:rPr>
        <w:t>输送能力：8-25</w:t>
      </w:r>
      <w:r>
        <w:rPr>
          <w:color w:val="auto"/>
          <w:highlight w:val="none"/>
        </w:rPr>
        <w:t>m</w:t>
      </w:r>
      <w:r>
        <w:rPr>
          <w:color w:val="auto"/>
          <w:highlight w:val="none"/>
          <w:vertAlign w:val="superscript"/>
        </w:rPr>
        <w:t>3</w:t>
      </w:r>
      <w:r>
        <w:rPr>
          <w:color w:val="auto"/>
          <w:highlight w:val="none"/>
        </w:rPr>
        <w:t>/h</w:t>
      </w:r>
    </w:p>
    <w:p w14:paraId="3FC00FE6">
      <w:pPr>
        <w:shd w:val="clear"/>
        <w:ind w:firstLine="849" w:firstLineChars="354"/>
        <w:rPr>
          <w:color w:val="auto"/>
          <w:highlight w:val="none"/>
        </w:rPr>
      </w:pPr>
      <w:r>
        <w:rPr>
          <w:rFonts w:hint="eastAsia"/>
          <w:color w:val="auto"/>
          <w:highlight w:val="none"/>
        </w:rPr>
        <w:t xml:space="preserve">提升机高度：16m </w:t>
      </w:r>
    </w:p>
    <w:p w14:paraId="0FC2E775">
      <w:pPr>
        <w:shd w:val="clear"/>
        <w:ind w:firstLine="849" w:firstLineChars="354"/>
        <w:rPr>
          <w:color w:val="auto"/>
          <w:highlight w:val="none"/>
        </w:rPr>
      </w:pPr>
      <w:r>
        <w:rPr>
          <w:color w:val="auto"/>
          <w:highlight w:val="none"/>
        </w:rPr>
        <w:t>功率</w:t>
      </w:r>
      <w:r>
        <w:rPr>
          <w:rFonts w:hint="eastAsia"/>
          <w:color w:val="auto"/>
          <w:highlight w:val="none"/>
        </w:rPr>
        <w:t>：11kW</w:t>
      </w:r>
    </w:p>
    <w:p w14:paraId="6C4D7A26">
      <w:pPr>
        <w:shd w:val="clear"/>
        <w:ind w:firstLine="849" w:firstLineChars="354"/>
        <w:rPr>
          <w:color w:val="auto"/>
          <w:highlight w:val="none"/>
        </w:rPr>
      </w:pPr>
      <w:r>
        <w:rPr>
          <w:rFonts w:hint="eastAsia"/>
          <w:color w:val="auto"/>
          <w:highlight w:val="none"/>
        </w:rPr>
        <w:t>电压：380V</w:t>
      </w:r>
    </w:p>
    <w:p w14:paraId="04DB17FD">
      <w:pPr>
        <w:shd w:val="clear"/>
        <w:ind w:firstLine="484" w:firstLineChars="202"/>
        <w:rPr>
          <w:rFonts w:hint="eastAsia"/>
          <w:color w:val="auto"/>
          <w:highlight w:val="none"/>
        </w:rPr>
      </w:pPr>
      <w:r>
        <w:rPr>
          <w:rFonts w:hint="eastAsia"/>
          <w:color w:val="auto"/>
          <w:highlight w:val="none"/>
        </w:rPr>
        <w:t xml:space="preserve">6）储灰仓（更换） </w:t>
      </w:r>
    </w:p>
    <w:p w14:paraId="0EBAE9F5">
      <w:pPr>
        <w:shd w:val="clear"/>
        <w:ind w:firstLine="849" w:firstLineChars="354"/>
        <w:rPr>
          <w:rFonts w:hint="eastAsia"/>
          <w:color w:val="auto"/>
          <w:highlight w:val="none"/>
        </w:rPr>
      </w:pPr>
      <w:r>
        <w:rPr>
          <w:rFonts w:hint="eastAsia"/>
          <w:color w:val="auto"/>
          <w:highlight w:val="none"/>
        </w:rPr>
        <w:t>有效</w:t>
      </w:r>
      <w:r>
        <w:rPr>
          <w:color w:val="auto"/>
          <w:highlight w:val="none"/>
        </w:rPr>
        <w:t>容量：</w:t>
      </w:r>
      <w:r>
        <w:rPr>
          <w:rFonts w:hint="eastAsia"/>
          <w:color w:val="auto"/>
          <w:highlight w:val="none"/>
        </w:rPr>
        <w:t>75m</w:t>
      </w:r>
      <w:r>
        <w:rPr>
          <w:rFonts w:hint="eastAsia"/>
          <w:color w:val="auto"/>
          <w:highlight w:val="none"/>
          <w:vertAlign w:val="superscript"/>
        </w:rPr>
        <w:t>3</w:t>
      </w:r>
      <w:r>
        <w:rPr>
          <w:rFonts w:hint="eastAsia"/>
          <w:color w:val="auto"/>
          <w:highlight w:val="none"/>
        </w:rPr>
        <w:t>。</w:t>
      </w:r>
    </w:p>
    <w:p w14:paraId="5B2C5ACB">
      <w:pPr>
        <w:shd w:val="clear"/>
        <w:ind w:firstLine="849" w:firstLineChars="354"/>
        <w:rPr>
          <w:color w:val="auto"/>
          <w:highlight w:val="none"/>
        </w:rPr>
      </w:pPr>
      <w:r>
        <w:rPr>
          <w:rFonts w:hint="eastAsia"/>
          <w:color w:val="auto"/>
          <w:highlight w:val="none"/>
        </w:rPr>
        <w:t>配辅助收尘器，双卸灰口形式。</w:t>
      </w:r>
    </w:p>
    <w:p w14:paraId="27A1D8A8">
      <w:pPr>
        <w:shd w:val="clear"/>
        <w:ind w:firstLineChars="0"/>
        <w:outlineLvl w:val="2"/>
        <w:rPr>
          <w:rFonts w:cs="Times New Roman"/>
          <w:color w:val="auto"/>
          <w:szCs w:val="28"/>
          <w:highlight w:val="none"/>
        </w:rPr>
      </w:pPr>
      <w:bookmarkStart w:id="621" w:name="_Toc6274"/>
      <w:r>
        <w:rPr>
          <w:rFonts w:hint="eastAsia" w:cs="Times New Roman"/>
          <w:color w:val="auto"/>
          <w:szCs w:val="28"/>
          <w:highlight w:val="none"/>
        </w:rPr>
        <w:t>7.4.3地沟除尘系统（槽下+返矿转运）改造方案</w:t>
      </w:r>
      <w:bookmarkEnd w:id="621"/>
    </w:p>
    <w:p w14:paraId="46AF9B7D">
      <w:pPr>
        <w:shd w:val="clear"/>
        <w:rPr>
          <w:color w:val="auto"/>
          <w:highlight w:val="none"/>
        </w:rPr>
      </w:pPr>
      <w:r>
        <w:rPr>
          <w:rFonts w:hint="eastAsia"/>
          <w:color w:val="auto"/>
          <w:highlight w:val="none"/>
        </w:rPr>
        <w:t>本次改造对现有地沟除尘管道进行全面的改造</w:t>
      </w:r>
      <w:r>
        <w:rPr>
          <w:color w:val="auto"/>
          <w:highlight w:val="none"/>
        </w:rPr>
        <w:t>,</w:t>
      </w:r>
      <w:r>
        <w:rPr>
          <w:rFonts w:hint="eastAsia"/>
          <w:color w:val="auto"/>
          <w:highlight w:val="none"/>
        </w:rPr>
        <w:t>除尘管网重新设计；新增的新建碱返仓、</w:t>
      </w:r>
      <w:r>
        <w:rPr>
          <w:color w:val="auto"/>
          <w:highlight w:val="none"/>
        </w:rPr>
        <w:t>新建酸返仓</w:t>
      </w:r>
      <w:r>
        <w:rPr>
          <w:rFonts w:hint="eastAsia"/>
          <w:color w:val="auto"/>
          <w:highlight w:val="none"/>
        </w:rPr>
        <w:t>、F1转运站、F2转运站、F3转运站的除尘接入本套除尘系统除尘器入口的主干管上（新建碱返仓、</w:t>
      </w:r>
      <w:r>
        <w:rPr>
          <w:color w:val="auto"/>
          <w:highlight w:val="none"/>
        </w:rPr>
        <w:t>新建酸返仓</w:t>
      </w:r>
      <w:r>
        <w:rPr>
          <w:rFonts w:hint="eastAsia"/>
          <w:color w:val="auto"/>
          <w:highlight w:val="none"/>
        </w:rPr>
        <w:t>仓顶、仓下分别接入主干管，接管管径均为D630x5；F1转运站接管管径D570x5；F2转运站、F3转运站总管接管管径D820x5，各接管主管上设置气动阀门，与对应的皮带联锁启闭。接入到</w:t>
      </w:r>
      <w:r>
        <w:rPr>
          <w:rFonts w:hint="eastAsia" w:cs="Times New Roman"/>
          <w:color w:val="auto"/>
          <w:szCs w:val="28"/>
          <w:highlight w:val="none"/>
        </w:rPr>
        <w:t>地沟除尘系统DCS控制</w:t>
      </w:r>
      <w:r>
        <w:rPr>
          <w:rFonts w:hint="eastAsia"/>
          <w:color w:val="auto"/>
          <w:highlight w:val="none"/>
        </w:rPr>
        <w:t>）</w:t>
      </w:r>
      <w:r>
        <w:rPr>
          <w:rFonts w:hint="eastAsia"/>
          <w:color w:val="auto"/>
          <w:highlight w:val="none"/>
          <w:lang w:eastAsia="zh-CN"/>
        </w:rPr>
        <w:t>（</w:t>
      </w:r>
      <w:r>
        <w:rPr>
          <w:rFonts w:hint="eastAsia"/>
          <w:color w:val="auto"/>
          <w:highlight w:val="none"/>
          <w:lang w:val="en-US" w:eastAsia="zh-CN"/>
        </w:rPr>
        <w:t>不在本项目</w:t>
      </w:r>
      <w:r>
        <w:rPr>
          <w:rFonts w:hint="eastAsia"/>
          <w:color w:val="auto"/>
          <w:highlight w:val="none"/>
          <w:lang w:eastAsia="zh-CN"/>
        </w:rPr>
        <w:t>）</w:t>
      </w:r>
      <w:r>
        <w:rPr>
          <w:rFonts w:hint="eastAsia"/>
          <w:color w:val="auto"/>
          <w:highlight w:val="none"/>
        </w:rPr>
        <w:t>。在未设置除尘设施的产尘点增加捕集罩和除尘管道，增大地坑各产尘点处的除尘风量，地坑内返焦卸料斗四周进行封闭并进行除尘设计；南、北上料皮带上部</w:t>
      </w:r>
      <w:r>
        <w:rPr>
          <w:color w:val="auto"/>
          <w:highlight w:val="none"/>
        </w:rPr>
        <w:t>更换全程导料槽</w:t>
      </w:r>
      <w:r>
        <w:rPr>
          <w:rFonts w:hint="eastAsia"/>
          <w:color w:val="auto"/>
          <w:highlight w:val="none"/>
        </w:rPr>
        <w:t>，现有碱返、酸返皮带</w:t>
      </w:r>
      <w:r>
        <w:rPr>
          <w:color w:val="auto"/>
          <w:highlight w:val="none"/>
        </w:rPr>
        <w:t>更换全程导料槽</w:t>
      </w:r>
      <w:r>
        <w:rPr>
          <w:rFonts w:hint="eastAsia"/>
          <w:color w:val="auto"/>
          <w:highlight w:val="none"/>
        </w:rPr>
        <w:t>，新增碱返、酸返、F</w:t>
      </w:r>
      <w:r>
        <w:rPr>
          <w:color w:val="auto"/>
          <w:highlight w:val="none"/>
        </w:rPr>
        <w:t>01~</w:t>
      </w:r>
      <w:r>
        <w:rPr>
          <w:rFonts w:hint="eastAsia"/>
          <w:color w:val="auto"/>
          <w:highlight w:val="none"/>
        </w:rPr>
        <w:t>F</w:t>
      </w:r>
      <w:r>
        <w:rPr>
          <w:color w:val="auto"/>
          <w:highlight w:val="none"/>
        </w:rPr>
        <w:t>04</w:t>
      </w:r>
      <w:r>
        <w:rPr>
          <w:rFonts w:hint="eastAsia"/>
          <w:color w:val="auto"/>
          <w:highlight w:val="none"/>
        </w:rPr>
        <w:t>皮带受料点前后设置导料槽（导料槽长度≥4.5m），皮带头罩进料口设置密封挡皮，振动筛筛尾、皮带头罩上、皮带受料点导料槽上设置除尘密封罩。改造后槽下除尘系统风量分配见下表：</w:t>
      </w:r>
    </w:p>
    <w:p w14:paraId="672B2BBE">
      <w:pPr>
        <w:shd w:val="clear"/>
        <w:ind w:left="1440"/>
        <w:jc w:val="both"/>
        <w:rPr>
          <w:rFonts w:ascii="Times New Roman" w:hAnsi="Times New Roman" w:cs="Times New Roman"/>
          <w:color w:val="auto"/>
          <w:highlight w:val="none"/>
        </w:rPr>
      </w:pPr>
      <w:r>
        <w:rPr>
          <w:rFonts w:hint="eastAsia" w:ascii="Times New Roman" w:hAnsi="Times New Roman" w:cs="Times New Roman"/>
          <w:color w:val="auto"/>
          <w:highlight w:val="none"/>
        </w:rPr>
        <w:t xml:space="preserve">表7.4.3-1 </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rPr>
        <w:t>改造后地沟除尘风量分配表</w:t>
      </w:r>
    </w:p>
    <w:tbl>
      <w:tblPr>
        <w:tblStyle w:val="60"/>
        <w:tblW w:w="10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2893"/>
        <w:gridCol w:w="1928"/>
        <w:gridCol w:w="719"/>
        <w:gridCol w:w="885"/>
        <w:gridCol w:w="796"/>
        <w:gridCol w:w="847"/>
        <w:gridCol w:w="847"/>
        <w:gridCol w:w="847"/>
      </w:tblGrid>
      <w:tr w14:paraId="12A04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7D874AA0">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序</w:t>
            </w:r>
          </w:p>
          <w:p w14:paraId="0E85EE9E">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号</w:t>
            </w:r>
          </w:p>
        </w:tc>
        <w:tc>
          <w:tcPr>
            <w:tcW w:w="2893" w:type="dxa"/>
            <w:vAlign w:val="center"/>
          </w:tcPr>
          <w:p w14:paraId="2A086B0B">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除尘点位名称</w:t>
            </w:r>
          </w:p>
        </w:tc>
        <w:tc>
          <w:tcPr>
            <w:tcW w:w="1928" w:type="dxa"/>
            <w:vAlign w:val="center"/>
          </w:tcPr>
          <w:p w14:paraId="049A7C54">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除尘点吸尘罩位置</w:t>
            </w:r>
          </w:p>
        </w:tc>
        <w:tc>
          <w:tcPr>
            <w:tcW w:w="719" w:type="dxa"/>
            <w:vAlign w:val="center"/>
          </w:tcPr>
          <w:p w14:paraId="557923E4">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除尘</w:t>
            </w:r>
          </w:p>
          <w:p w14:paraId="31A34951">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点数</w:t>
            </w:r>
          </w:p>
        </w:tc>
        <w:tc>
          <w:tcPr>
            <w:tcW w:w="885" w:type="dxa"/>
            <w:vAlign w:val="center"/>
          </w:tcPr>
          <w:p w14:paraId="1E599B6E">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除尘同</w:t>
            </w:r>
          </w:p>
          <w:p w14:paraId="6CDA7448">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时使用</w:t>
            </w:r>
          </w:p>
          <w:p w14:paraId="4C0BC841">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点数</w:t>
            </w:r>
          </w:p>
        </w:tc>
        <w:tc>
          <w:tcPr>
            <w:tcW w:w="796" w:type="dxa"/>
            <w:vAlign w:val="center"/>
          </w:tcPr>
          <w:p w14:paraId="18C53053">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单点</w:t>
            </w:r>
          </w:p>
          <w:p w14:paraId="77DA7584">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风量</w:t>
            </w:r>
          </w:p>
          <w:p w14:paraId="7F631966">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m</w:t>
            </w:r>
            <w:r>
              <w:rPr>
                <w:rFonts w:hint="eastAsia" w:cs="宋体"/>
                <w:color w:val="auto"/>
                <w:sz w:val="21"/>
                <w:szCs w:val="21"/>
                <w:highlight w:val="none"/>
                <w:vertAlign w:val="superscript"/>
              </w:rPr>
              <w:t>3</w:t>
            </w:r>
            <w:r>
              <w:rPr>
                <w:rFonts w:hint="eastAsia" w:cs="宋体"/>
                <w:color w:val="auto"/>
                <w:sz w:val="21"/>
                <w:szCs w:val="21"/>
                <w:highlight w:val="none"/>
              </w:rPr>
              <w:t>/h</w:t>
            </w:r>
          </w:p>
        </w:tc>
        <w:tc>
          <w:tcPr>
            <w:tcW w:w="847" w:type="dxa"/>
            <w:vAlign w:val="center"/>
          </w:tcPr>
          <w:p w14:paraId="6D909F10">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总风量</w:t>
            </w:r>
          </w:p>
          <w:p w14:paraId="64A81445">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m</w:t>
            </w:r>
            <w:r>
              <w:rPr>
                <w:rFonts w:hint="eastAsia" w:cs="宋体"/>
                <w:color w:val="auto"/>
                <w:sz w:val="21"/>
                <w:szCs w:val="21"/>
                <w:highlight w:val="none"/>
                <w:vertAlign w:val="superscript"/>
              </w:rPr>
              <w:t>3</w:t>
            </w:r>
            <w:r>
              <w:rPr>
                <w:rFonts w:hint="eastAsia" w:cs="宋体"/>
                <w:color w:val="auto"/>
                <w:sz w:val="21"/>
                <w:szCs w:val="21"/>
                <w:highlight w:val="none"/>
              </w:rPr>
              <w:t>/h</w:t>
            </w:r>
          </w:p>
        </w:tc>
        <w:tc>
          <w:tcPr>
            <w:tcW w:w="847" w:type="dxa"/>
            <w:vAlign w:val="center"/>
          </w:tcPr>
          <w:p w14:paraId="4AF977F9">
            <w:pPr>
              <w:widowControl/>
              <w:shd w:val="clear"/>
              <w:snapToGrid w:val="0"/>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吸尘接</w:t>
            </w:r>
          </w:p>
          <w:p w14:paraId="762C900A">
            <w:pPr>
              <w:widowControl/>
              <w:shd w:val="clear"/>
              <w:snapToGrid w:val="0"/>
              <w:spacing w:line="240" w:lineRule="auto"/>
              <w:ind w:firstLine="0" w:firstLineChars="0"/>
              <w:jc w:val="center"/>
              <w:textAlignment w:val="bottom"/>
              <w:rPr>
                <w:rFonts w:hint="default" w:eastAsia="宋体" w:cs="宋体"/>
                <w:color w:val="auto"/>
                <w:sz w:val="21"/>
                <w:szCs w:val="21"/>
                <w:highlight w:val="none"/>
                <w:lang w:val="en-US" w:eastAsia="zh-CN"/>
              </w:rPr>
            </w:pPr>
            <w:r>
              <w:rPr>
                <w:rFonts w:hint="eastAsia"/>
                <w:color w:val="auto"/>
                <w:sz w:val="21"/>
                <w:szCs w:val="21"/>
                <w:highlight w:val="none"/>
              </w:rPr>
              <w:t>管阀门</w:t>
            </w:r>
          </w:p>
        </w:tc>
        <w:tc>
          <w:tcPr>
            <w:tcW w:w="847" w:type="dxa"/>
            <w:vAlign w:val="center"/>
          </w:tcPr>
          <w:p w14:paraId="1B6A4C56">
            <w:pPr>
              <w:widowControl/>
              <w:shd w:val="clear"/>
              <w:snapToGrid w:val="0"/>
              <w:spacing w:line="240" w:lineRule="auto"/>
              <w:ind w:firstLine="0" w:firstLineChars="0"/>
              <w:jc w:val="center"/>
              <w:textAlignment w:val="bottom"/>
              <w:rPr>
                <w:rFonts w:hint="eastAsia"/>
                <w:color w:val="auto"/>
                <w:sz w:val="21"/>
                <w:szCs w:val="21"/>
                <w:highlight w:val="none"/>
              </w:rPr>
            </w:pPr>
            <w:r>
              <w:rPr>
                <w:rFonts w:hint="eastAsia"/>
                <w:color w:val="auto"/>
                <w:sz w:val="21"/>
                <w:szCs w:val="21"/>
                <w:highlight w:val="none"/>
              </w:rPr>
              <w:t>分支总</w:t>
            </w:r>
          </w:p>
          <w:p w14:paraId="4C8F5106">
            <w:pPr>
              <w:widowControl/>
              <w:shd w:val="clear"/>
              <w:snapToGrid w:val="0"/>
              <w:spacing w:line="240" w:lineRule="auto"/>
              <w:ind w:firstLine="0" w:firstLineChars="0"/>
              <w:jc w:val="center"/>
              <w:textAlignment w:val="bottom"/>
              <w:rPr>
                <w:rFonts w:hint="default" w:eastAsia="宋体" w:cs="宋体"/>
                <w:color w:val="auto"/>
                <w:sz w:val="21"/>
                <w:szCs w:val="21"/>
                <w:highlight w:val="none"/>
                <w:lang w:val="en-US" w:eastAsia="zh-CN"/>
              </w:rPr>
            </w:pPr>
            <w:r>
              <w:rPr>
                <w:rFonts w:hint="eastAsia"/>
                <w:color w:val="auto"/>
                <w:sz w:val="21"/>
                <w:szCs w:val="21"/>
                <w:highlight w:val="none"/>
              </w:rPr>
              <w:t>管阀门</w:t>
            </w:r>
          </w:p>
        </w:tc>
      </w:tr>
      <w:tr w14:paraId="45D53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3D1D2109">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2893" w:type="dxa"/>
            <w:tcBorders>
              <w:top w:val="single" w:color="auto" w:sz="4" w:space="0"/>
              <w:left w:val="single" w:color="auto" w:sz="4" w:space="0"/>
              <w:bottom w:val="single" w:color="auto" w:sz="4" w:space="0"/>
              <w:right w:val="single" w:color="auto" w:sz="4" w:space="0"/>
            </w:tcBorders>
            <w:vAlign w:val="center"/>
          </w:tcPr>
          <w:p w14:paraId="01E4D0A2">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9#-1、-2振动筛→北上料皮带（振筛本体、筛上物出料溜槽、北上料皮带落料点）</w:t>
            </w:r>
          </w:p>
        </w:tc>
        <w:tc>
          <w:tcPr>
            <w:tcW w:w="1928" w:type="dxa"/>
            <w:tcBorders>
              <w:top w:val="single" w:color="auto" w:sz="4" w:space="0"/>
              <w:left w:val="nil"/>
              <w:bottom w:val="single" w:color="auto" w:sz="4" w:space="0"/>
              <w:right w:val="single" w:color="auto" w:sz="4" w:space="0"/>
            </w:tcBorders>
            <w:vAlign w:val="center"/>
          </w:tcPr>
          <w:p w14:paraId="39675E31">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振筛筛尾</w:t>
            </w:r>
          </w:p>
        </w:tc>
        <w:tc>
          <w:tcPr>
            <w:tcW w:w="719" w:type="dxa"/>
            <w:tcBorders>
              <w:top w:val="single" w:color="auto" w:sz="4" w:space="0"/>
              <w:left w:val="nil"/>
              <w:bottom w:val="single" w:color="auto" w:sz="4" w:space="0"/>
              <w:right w:val="single" w:color="auto" w:sz="4" w:space="0"/>
            </w:tcBorders>
            <w:vAlign w:val="center"/>
          </w:tcPr>
          <w:p w14:paraId="29936F8B">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w:t>
            </w:r>
          </w:p>
        </w:tc>
        <w:tc>
          <w:tcPr>
            <w:tcW w:w="885" w:type="dxa"/>
            <w:tcBorders>
              <w:top w:val="single" w:color="auto" w:sz="4" w:space="0"/>
              <w:left w:val="nil"/>
              <w:bottom w:val="single" w:color="auto" w:sz="4" w:space="0"/>
              <w:right w:val="single" w:color="auto" w:sz="4" w:space="0"/>
            </w:tcBorders>
            <w:vAlign w:val="center"/>
          </w:tcPr>
          <w:p w14:paraId="5C2865AD">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w:t>
            </w:r>
          </w:p>
        </w:tc>
        <w:tc>
          <w:tcPr>
            <w:tcW w:w="796" w:type="dxa"/>
            <w:tcBorders>
              <w:top w:val="single" w:color="auto" w:sz="4" w:space="0"/>
              <w:left w:val="nil"/>
              <w:bottom w:val="single" w:color="auto" w:sz="4" w:space="0"/>
              <w:right w:val="single" w:color="auto" w:sz="4" w:space="0"/>
            </w:tcBorders>
            <w:vAlign w:val="center"/>
          </w:tcPr>
          <w:p w14:paraId="037D9972">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8000</w:t>
            </w:r>
          </w:p>
        </w:tc>
        <w:tc>
          <w:tcPr>
            <w:tcW w:w="847" w:type="dxa"/>
            <w:tcBorders>
              <w:top w:val="single" w:color="auto" w:sz="4" w:space="0"/>
              <w:left w:val="nil"/>
              <w:bottom w:val="single" w:color="auto" w:sz="4" w:space="0"/>
              <w:right w:val="single" w:color="auto" w:sz="4" w:space="0"/>
            </w:tcBorders>
            <w:vAlign w:val="center"/>
          </w:tcPr>
          <w:p w14:paraId="523A8FB0">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16000</w:t>
            </w:r>
          </w:p>
        </w:tc>
        <w:tc>
          <w:tcPr>
            <w:tcW w:w="847" w:type="dxa"/>
            <w:tcBorders>
              <w:top w:val="single" w:color="auto" w:sz="4" w:space="0"/>
              <w:left w:val="nil"/>
              <w:bottom w:val="single" w:color="auto" w:sz="4" w:space="0"/>
              <w:right w:val="single" w:color="auto" w:sz="4" w:space="0"/>
            </w:tcBorders>
            <w:vAlign w:val="center"/>
          </w:tcPr>
          <w:p w14:paraId="67EADA39">
            <w:pPr>
              <w:widowControl/>
              <w:shd w:val="clear"/>
              <w:snapToGrid w:val="0"/>
              <w:spacing w:line="240" w:lineRule="auto"/>
              <w:ind w:firstLine="0" w:firstLineChars="0"/>
              <w:jc w:val="center"/>
              <w:textAlignment w:val="bottom"/>
              <w:rPr>
                <w:rFonts w:hint="eastAsia" w:eastAsia="宋体" w:cs="宋体"/>
                <w:color w:val="auto"/>
                <w:sz w:val="21"/>
                <w:szCs w:val="21"/>
                <w:highlight w:val="none"/>
                <w:lang w:val="en-US" w:eastAsia="zh-CN"/>
              </w:rPr>
            </w:pPr>
            <w:r>
              <w:rPr>
                <w:rFonts w:hint="eastAsia" w:cs="宋体"/>
                <w:color w:val="auto"/>
                <w:sz w:val="21"/>
                <w:szCs w:val="21"/>
                <w:highlight w:val="none"/>
              </w:rPr>
              <w:t>手动</w:t>
            </w:r>
          </w:p>
        </w:tc>
        <w:tc>
          <w:tcPr>
            <w:tcW w:w="847" w:type="dxa"/>
            <w:vMerge w:val="restart"/>
            <w:tcBorders>
              <w:top w:val="single" w:color="auto" w:sz="4" w:space="0"/>
              <w:left w:val="nil"/>
              <w:right w:val="single" w:color="auto" w:sz="4" w:space="0"/>
            </w:tcBorders>
            <w:vAlign w:val="center"/>
          </w:tcPr>
          <w:p w14:paraId="39C2C5B1">
            <w:pPr>
              <w:widowControl/>
              <w:shd w:val="clear"/>
              <w:snapToGrid w:val="0"/>
              <w:spacing w:line="240" w:lineRule="auto"/>
              <w:ind w:firstLine="0" w:firstLineChars="0"/>
              <w:jc w:val="center"/>
              <w:textAlignment w:val="bottom"/>
              <w:rPr>
                <w:rFonts w:hint="default" w:cs="宋体"/>
                <w:color w:val="auto"/>
                <w:sz w:val="21"/>
                <w:szCs w:val="21"/>
                <w:highlight w:val="none"/>
                <w:lang w:val="en-US" w:eastAsia="zh-CN"/>
              </w:rPr>
            </w:pPr>
            <w:r>
              <w:rPr>
                <w:rFonts w:hint="eastAsia" w:cs="宋体"/>
                <w:color w:val="auto"/>
                <w:sz w:val="21"/>
                <w:szCs w:val="21"/>
                <w:highlight w:val="none"/>
              </w:rPr>
              <w:t>气动</w:t>
            </w:r>
          </w:p>
        </w:tc>
      </w:tr>
      <w:tr w14:paraId="10479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6154132C">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w:t>
            </w:r>
          </w:p>
        </w:tc>
        <w:tc>
          <w:tcPr>
            <w:tcW w:w="2893" w:type="dxa"/>
            <w:tcBorders>
              <w:top w:val="nil"/>
              <w:left w:val="single" w:color="auto" w:sz="4" w:space="0"/>
              <w:bottom w:val="single" w:color="auto" w:sz="4" w:space="0"/>
              <w:right w:val="single" w:color="auto" w:sz="4" w:space="0"/>
            </w:tcBorders>
            <w:vAlign w:val="center"/>
          </w:tcPr>
          <w:p w14:paraId="59E3C0AB">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　</w:t>
            </w:r>
          </w:p>
        </w:tc>
        <w:tc>
          <w:tcPr>
            <w:tcW w:w="1928" w:type="dxa"/>
            <w:tcBorders>
              <w:top w:val="nil"/>
              <w:left w:val="nil"/>
              <w:bottom w:val="single" w:color="auto" w:sz="4" w:space="0"/>
              <w:right w:val="single" w:color="auto" w:sz="4" w:space="0"/>
            </w:tcBorders>
            <w:vAlign w:val="center"/>
          </w:tcPr>
          <w:p w14:paraId="212E6EFE">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北上料皮带受料点后</w:t>
            </w:r>
          </w:p>
        </w:tc>
        <w:tc>
          <w:tcPr>
            <w:tcW w:w="719" w:type="dxa"/>
            <w:tcBorders>
              <w:top w:val="nil"/>
              <w:left w:val="nil"/>
              <w:bottom w:val="single" w:color="auto" w:sz="4" w:space="0"/>
              <w:right w:val="single" w:color="auto" w:sz="4" w:space="0"/>
            </w:tcBorders>
            <w:vAlign w:val="center"/>
          </w:tcPr>
          <w:p w14:paraId="29C3F95C">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6F53F397">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42FA6A4D">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w:t>
            </w:r>
          </w:p>
        </w:tc>
        <w:tc>
          <w:tcPr>
            <w:tcW w:w="847" w:type="dxa"/>
            <w:tcBorders>
              <w:top w:val="nil"/>
              <w:left w:val="nil"/>
              <w:bottom w:val="single" w:color="auto" w:sz="4" w:space="0"/>
              <w:right w:val="single" w:color="auto" w:sz="4" w:space="0"/>
            </w:tcBorders>
            <w:vAlign w:val="center"/>
          </w:tcPr>
          <w:p w14:paraId="4195AD7E">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w:t>
            </w:r>
          </w:p>
        </w:tc>
        <w:tc>
          <w:tcPr>
            <w:tcW w:w="847" w:type="dxa"/>
            <w:tcBorders>
              <w:top w:val="nil"/>
              <w:left w:val="nil"/>
              <w:bottom w:val="single" w:color="auto" w:sz="4" w:space="0"/>
              <w:right w:val="single" w:color="auto" w:sz="4" w:space="0"/>
            </w:tcBorders>
            <w:vAlign w:val="center"/>
          </w:tcPr>
          <w:p w14:paraId="58F349DA">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手动</w:t>
            </w:r>
          </w:p>
        </w:tc>
        <w:tc>
          <w:tcPr>
            <w:tcW w:w="847" w:type="dxa"/>
            <w:vMerge w:val="continue"/>
            <w:tcBorders>
              <w:left w:val="nil"/>
              <w:right w:val="single" w:color="auto" w:sz="4" w:space="0"/>
            </w:tcBorders>
            <w:vAlign w:val="center"/>
          </w:tcPr>
          <w:p w14:paraId="33B75E75">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537A8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5FDCAD04">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3</w:t>
            </w:r>
          </w:p>
        </w:tc>
        <w:tc>
          <w:tcPr>
            <w:tcW w:w="2893" w:type="dxa"/>
            <w:tcBorders>
              <w:top w:val="nil"/>
              <w:left w:val="single" w:color="auto" w:sz="4" w:space="0"/>
              <w:bottom w:val="single" w:color="auto" w:sz="4" w:space="0"/>
              <w:right w:val="single" w:color="auto" w:sz="4" w:space="0"/>
            </w:tcBorders>
            <w:vAlign w:val="center"/>
          </w:tcPr>
          <w:p w14:paraId="1E71F7EA">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　</w:t>
            </w:r>
          </w:p>
        </w:tc>
        <w:tc>
          <w:tcPr>
            <w:tcW w:w="1928" w:type="dxa"/>
            <w:tcBorders>
              <w:top w:val="nil"/>
              <w:left w:val="nil"/>
              <w:bottom w:val="single" w:color="auto" w:sz="4" w:space="0"/>
              <w:right w:val="single" w:color="auto" w:sz="4" w:space="0"/>
            </w:tcBorders>
            <w:vAlign w:val="center"/>
          </w:tcPr>
          <w:p w14:paraId="45C12999">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北上料皮带受料点前</w:t>
            </w:r>
          </w:p>
        </w:tc>
        <w:tc>
          <w:tcPr>
            <w:tcW w:w="719" w:type="dxa"/>
            <w:tcBorders>
              <w:top w:val="nil"/>
              <w:left w:val="nil"/>
              <w:bottom w:val="single" w:color="auto" w:sz="4" w:space="0"/>
              <w:right w:val="single" w:color="auto" w:sz="4" w:space="0"/>
            </w:tcBorders>
            <w:vAlign w:val="center"/>
          </w:tcPr>
          <w:p w14:paraId="238EA53E">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72DE2968">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6242E2CA">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12000</w:t>
            </w:r>
          </w:p>
        </w:tc>
        <w:tc>
          <w:tcPr>
            <w:tcW w:w="847" w:type="dxa"/>
            <w:tcBorders>
              <w:top w:val="nil"/>
              <w:left w:val="nil"/>
              <w:bottom w:val="single" w:color="auto" w:sz="4" w:space="0"/>
              <w:right w:val="single" w:color="auto" w:sz="4" w:space="0"/>
            </w:tcBorders>
            <w:vAlign w:val="center"/>
          </w:tcPr>
          <w:p w14:paraId="6B3F65E0">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12000</w:t>
            </w:r>
          </w:p>
        </w:tc>
        <w:tc>
          <w:tcPr>
            <w:tcW w:w="847" w:type="dxa"/>
            <w:tcBorders>
              <w:top w:val="nil"/>
              <w:left w:val="nil"/>
              <w:bottom w:val="single" w:color="auto" w:sz="4" w:space="0"/>
              <w:right w:val="single" w:color="auto" w:sz="4" w:space="0"/>
            </w:tcBorders>
            <w:vAlign w:val="center"/>
          </w:tcPr>
          <w:p w14:paraId="16D65A09">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手动</w:t>
            </w:r>
          </w:p>
        </w:tc>
        <w:tc>
          <w:tcPr>
            <w:tcW w:w="847" w:type="dxa"/>
            <w:vMerge w:val="continue"/>
            <w:tcBorders>
              <w:left w:val="nil"/>
              <w:right w:val="single" w:color="auto" w:sz="4" w:space="0"/>
            </w:tcBorders>
            <w:vAlign w:val="center"/>
          </w:tcPr>
          <w:p w14:paraId="048A7E74">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7E07E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472E1131">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4</w:t>
            </w:r>
          </w:p>
        </w:tc>
        <w:tc>
          <w:tcPr>
            <w:tcW w:w="2893" w:type="dxa"/>
            <w:tcBorders>
              <w:top w:val="nil"/>
              <w:left w:val="single" w:color="auto" w:sz="4" w:space="0"/>
              <w:bottom w:val="single" w:color="auto" w:sz="4" w:space="0"/>
              <w:right w:val="single" w:color="auto" w:sz="4" w:space="0"/>
            </w:tcBorders>
            <w:vAlign w:val="center"/>
          </w:tcPr>
          <w:p w14:paraId="3054BD8F">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9#-1、-2振动筛返料→碱返皮带</w:t>
            </w:r>
          </w:p>
        </w:tc>
        <w:tc>
          <w:tcPr>
            <w:tcW w:w="1928" w:type="dxa"/>
            <w:tcBorders>
              <w:top w:val="nil"/>
              <w:left w:val="nil"/>
              <w:bottom w:val="single" w:color="auto" w:sz="4" w:space="0"/>
              <w:right w:val="single" w:color="auto" w:sz="4" w:space="0"/>
            </w:tcBorders>
            <w:vAlign w:val="center"/>
          </w:tcPr>
          <w:p w14:paraId="1036466F">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碱返皮带受料点后</w:t>
            </w:r>
          </w:p>
        </w:tc>
        <w:tc>
          <w:tcPr>
            <w:tcW w:w="719" w:type="dxa"/>
            <w:tcBorders>
              <w:top w:val="nil"/>
              <w:left w:val="nil"/>
              <w:bottom w:val="single" w:color="auto" w:sz="4" w:space="0"/>
              <w:right w:val="single" w:color="auto" w:sz="4" w:space="0"/>
            </w:tcBorders>
            <w:vAlign w:val="center"/>
          </w:tcPr>
          <w:p w14:paraId="292839B6">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494BAB06">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396D8CC0">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w:t>
            </w:r>
          </w:p>
        </w:tc>
        <w:tc>
          <w:tcPr>
            <w:tcW w:w="847" w:type="dxa"/>
            <w:tcBorders>
              <w:top w:val="nil"/>
              <w:left w:val="nil"/>
              <w:bottom w:val="single" w:color="auto" w:sz="4" w:space="0"/>
              <w:right w:val="single" w:color="auto" w:sz="4" w:space="0"/>
            </w:tcBorders>
            <w:vAlign w:val="center"/>
          </w:tcPr>
          <w:p w14:paraId="0D1A3991">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w:t>
            </w:r>
          </w:p>
        </w:tc>
        <w:tc>
          <w:tcPr>
            <w:tcW w:w="847" w:type="dxa"/>
            <w:tcBorders>
              <w:top w:val="nil"/>
              <w:left w:val="nil"/>
              <w:bottom w:val="single" w:color="auto" w:sz="4" w:space="0"/>
              <w:right w:val="single" w:color="auto" w:sz="4" w:space="0"/>
            </w:tcBorders>
            <w:vAlign w:val="center"/>
          </w:tcPr>
          <w:p w14:paraId="3F8BB26B">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手动</w:t>
            </w:r>
          </w:p>
        </w:tc>
        <w:tc>
          <w:tcPr>
            <w:tcW w:w="847" w:type="dxa"/>
            <w:vMerge w:val="continue"/>
            <w:tcBorders>
              <w:left w:val="nil"/>
              <w:right w:val="single" w:color="auto" w:sz="4" w:space="0"/>
            </w:tcBorders>
            <w:vAlign w:val="center"/>
          </w:tcPr>
          <w:p w14:paraId="1C10F2B7">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4CD84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38865846">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w:t>
            </w:r>
          </w:p>
        </w:tc>
        <w:tc>
          <w:tcPr>
            <w:tcW w:w="2893" w:type="dxa"/>
            <w:tcBorders>
              <w:top w:val="nil"/>
              <w:left w:val="single" w:color="auto" w:sz="4" w:space="0"/>
              <w:bottom w:val="single" w:color="auto" w:sz="4" w:space="0"/>
              <w:right w:val="single" w:color="auto" w:sz="4" w:space="0"/>
            </w:tcBorders>
            <w:vAlign w:val="center"/>
          </w:tcPr>
          <w:p w14:paraId="508CDAE1">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　</w:t>
            </w:r>
          </w:p>
        </w:tc>
        <w:tc>
          <w:tcPr>
            <w:tcW w:w="1928" w:type="dxa"/>
            <w:tcBorders>
              <w:top w:val="nil"/>
              <w:left w:val="nil"/>
              <w:bottom w:val="single" w:color="auto" w:sz="4" w:space="0"/>
              <w:right w:val="single" w:color="auto" w:sz="4" w:space="0"/>
            </w:tcBorders>
            <w:vAlign w:val="center"/>
          </w:tcPr>
          <w:p w14:paraId="31490065">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碱返皮带受料点前</w:t>
            </w:r>
          </w:p>
        </w:tc>
        <w:tc>
          <w:tcPr>
            <w:tcW w:w="719" w:type="dxa"/>
            <w:tcBorders>
              <w:top w:val="nil"/>
              <w:left w:val="nil"/>
              <w:bottom w:val="single" w:color="auto" w:sz="4" w:space="0"/>
              <w:right w:val="single" w:color="auto" w:sz="4" w:space="0"/>
            </w:tcBorders>
            <w:vAlign w:val="center"/>
          </w:tcPr>
          <w:p w14:paraId="3D15F55B">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39FE0396">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6108BABF">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12000</w:t>
            </w:r>
          </w:p>
        </w:tc>
        <w:tc>
          <w:tcPr>
            <w:tcW w:w="847" w:type="dxa"/>
            <w:tcBorders>
              <w:top w:val="nil"/>
              <w:left w:val="nil"/>
              <w:bottom w:val="single" w:color="auto" w:sz="4" w:space="0"/>
              <w:right w:val="single" w:color="auto" w:sz="4" w:space="0"/>
            </w:tcBorders>
            <w:vAlign w:val="center"/>
          </w:tcPr>
          <w:p w14:paraId="4C2153B7">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12000</w:t>
            </w:r>
          </w:p>
        </w:tc>
        <w:tc>
          <w:tcPr>
            <w:tcW w:w="847" w:type="dxa"/>
            <w:tcBorders>
              <w:top w:val="nil"/>
              <w:left w:val="nil"/>
              <w:bottom w:val="single" w:color="auto" w:sz="4" w:space="0"/>
              <w:right w:val="single" w:color="auto" w:sz="4" w:space="0"/>
            </w:tcBorders>
            <w:vAlign w:val="center"/>
          </w:tcPr>
          <w:p w14:paraId="055002E7">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手动</w:t>
            </w:r>
          </w:p>
        </w:tc>
        <w:tc>
          <w:tcPr>
            <w:tcW w:w="847" w:type="dxa"/>
            <w:vMerge w:val="continue"/>
            <w:tcBorders>
              <w:left w:val="nil"/>
              <w:bottom w:val="single" w:color="auto" w:sz="4" w:space="0"/>
              <w:right w:val="single" w:color="auto" w:sz="4" w:space="0"/>
            </w:tcBorders>
            <w:vAlign w:val="center"/>
          </w:tcPr>
          <w:p w14:paraId="03194E24">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1C42C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7871EE0C">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6</w:t>
            </w:r>
          </w:p>
        </w:tc>
        <w:tc>
          <w:tcPr>
            <w:tcW w:w="2893" w:type="dxa"/>
            <w:tcBorders>
              <w:top w:val="nil"/>
              <w:left w:val="single" w:color="auto" w:sz="4" w:space="0"/>
              <w:bottom w:val="single" w:color="auto" w:sz="4" w:space="0"/>
              <w:right w:val="single" w:color="auto" w:sz="4" w:space="0"/>
            </w:tcBorders>
            <w:vAlign w:val="center"/>
          </w:tcPr>
          <w:p w14:paraId="7EC31D25">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10#-1、-2振动筛→北上料皮带（振筛本体、筛上物出料溜槽、北上料皮带落料点）</w:t>
            </w:r>
          </w:p>
        </w:tc>
        <w:tc>
          <w:tcPr>
            <w:tcW w:w="1928" w:type="dxa"/>
            <w:tcBorders>
              <w:top w:val="nil"/>
              <w:left w:val="nil"/>
              <w:bottom w:val="single" w:color="auto" w:sz="4" w:space="0"/>
              <w:right w:val="single" w:color="auto" w:sz="4" w:space="0"/>
            </w:tcBorders>
            <w:vAlign w:val="center"/>
          </w:tcPr>
          <w:p w14:paraId="3ADFF71A">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振筛筛尾</w:t>
            </w:r>
          </w:p>
        </w:tc>
        <w:tc>
          <w:tcPr>
            <w:tcW w:w="719" w:type="dxa"/>
            <w:tcBorders>
              <w:top w:val="nil"/>
              <w:left w:val="nil"/>
              <w:bottom w:val="single" w:color="auto" w:sz="4" w:space="0"/>
              <w:right w:val="single" w:color="auto" w:sz="4" w:space="0"/>
            </w:tcBorders>
            <w:vAlign w:val="center"/>
          </w:tcPr>
          <w:p w14:paraId="0EAD4D49">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w:t>
            </w:r>
          </w:p>
        </w:tc>
        <w:tc>
          <w:tcPr>
            <w:tcW w:w="885" w:type="dxa"/>
            <w:tcBorders>
              <w:top w:val="nil"/>
              <w:left w:val="nil"/>
              <w:bottom w:val="single" w:color="auto" w:sz="4" w:space="0"/>
              <w:right w:val="single" w:color="auto" w:sz="4" w:space="0"/>
            </w:tcBorders>
            <w:vAlign w:val="center"/>
          </w:tcPr>
          <w:p w14:paraId="3EA64FF3">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w:t>
            </w:r>
          </w:p>
        </w:tc>
        <w:tc>
          <w:tcPr>
            <w:tcW w:w="796" w:type="dxa"/>
            <w:tcBorders>
              <w:top w:val="nil"/>
              <w:left w:val="nil"/>
              <w:bottom w:val="single" w:color="auto" w:sz="4" w:space="0"/>
              <w:right w:val="single" w:color="auto" w:sz="4" w:space="0"/>
            </w:tcBorders>
            <w:vAlign w:val="center"/>
          </w:tcPr>
          <w:p w14:paraId="501731B8">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8000</w:t>
            </w:r>
          </w:p>
        </w:tc>
        <w:tc>
          <w:tcPr>
            <w:tcW w:w="847" w:type="dxa"/>
            <w:tcBorders>
              <w:top w:val="nil"/>
              <w:left w:val="nil"/>
              <w:bottom w:val="single" w:color="auto" w:sz="4" w:space="0"/>
              <w:right w:val="single" w:color="auto" w:sz="4" w:space="0"/>
            </w:tcBorders>
            <w:vAlign w:val="center"/>
          </w:tcPr>
          <w:p w14:paraId="4F2B40C9">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16000</w:t>
            </w:r>
          </w:p>
        </w:tc>
        <w:tc>
          <w:tcPr>
            <w:tcW w:w="847" w:type="dxa"/>
            <w:tcBorders>
              <w:top w:val="nil"/>
              <w:left w:val="nil"/>
              <w:bottom w:val="single" w:color="auto" w:sz="4" w:space="0"/>
              <w:right w:val="single" w:color="auto" w:sz="4" w:space="0"/>
            </w:tcBorders>
            <w:shd w:val="clear" w:color="auto" w:fill="auto"/>
            <w:vAlign w:val="center"/>
          </w:tcPr>
          <w:p w14:paraId="1DE9F1BC">
            <w:pPr>
              <w:widowControl/>
              <w:shd w:val="clear"/>
              <w:snapToGrid w:val="0"/>
              <w:spacing w:line="240" w:lineRule="auto"/>
              <w:ind w:firstLine="0" w:firstLineChars="0"/>
              <w:jc w:val="center"/>
              <w:textAlignment w:val="bottom"/>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rPr>
              <w:t>手动</w:t>
            </w:r>
          </w:p>
        </w:tc>
        <w:tc>
          <w:tcPr>
            <w:tcW w:w="847" w:type="dxa"/>
            <w:vMerge w:val="restart"/>
            <w:tcBorders>
              <w:top w:val="nil"/>
              <w:left w:val="nil"/>
              <w:right w:val="single" w:color="auto" w:sz="4" w:space="0"/>
            </w:tcBorders>
            <w:vAlign w:val="center"/>
          </w:tcPr>
          <w:p w14:paraId="0CF14E4A">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气动</w:t>
            </w:r>
          </w:p>
        </w:tc>
      </w:tr>
      <w:tr w14:paraId="02428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56680D11">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7</w:t>
            </w:r>
          </w:p>
        </w:tc>
        <w:tc>
          <w:tcPr>
            <w:tcW w:w="2893" w:type="dxa"/>
            <w:tcBorders>
              <w:top w:val="nil"/>
              <w:left w:val="single" w:color="auto" w:sz="4" w:space="0"/>
              <w:bottom w:val="single" w:color="auto" w:sz="4" w:space="0"/>
              <w:right w:val="single" w:color="auto" w:sz="4" w:space="0"/>
            </w:tcBorders>
            <w:vAlign w:val="center"/>
          </w:tcPr>
          <w:p w14:paraId="3C93AF87">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　</w:t>
            </w:r>
          </w:p>
        </w:tc>
        <w:tc>
          <w:tcPr>
            <w:tcW w:w="1928" w:type="dxa"/>
            <w:tcBorders>
              <w:top w:val="nil"/>
              <w:left w:val="nil"/>
              <w:bottom w:val="single" w:color="auto" w:sz="4" w:space="0"/>
              <w:right w:val="single" w:color="auto" w:sz="4" w:space="0"/>
            </w:tcBorders>
            <w:vAlign w:val="center"/>
          </w:tcPr>
          <w:p w14:paraId="3819C64F">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北上料皮带受料点后</w:t>
            </w:r>
          </w:p>
        </w:tc>
        <w:tc>
          <w:tcPr>
            <w:tcW w:w="719" w:type="dxa"/>
            <w:tcBorders>
              <w:top w:val="nil"/>
              <w:left w:val="nil"/>
              <w:bottom w:val="single" w:color="auto" w:sz="4" w:space="0"/>
              <w:right w:val="single" w:color="auto" w:sz="4" w:space="0"/>
            </w:tcBorders>
            <w:vAlign w:val="center"/>
          </w:tcPr>
          <w:p w14:paraId="2062D0CB">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653B5B84">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261A47F3">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w:t>
            </w:r>
          </w:p>
        </w:tc>
        <w:tc>
          <w:tcPr>
            <w:tcW w:w="847" w:type="dxa"/>
            <w:tcBorders>
              <w:top w:val="nil"/>
              <w:left w:val="nil"/>
              <w:bottom w:val="single" w:color="auto" w:sz="4" w:space="0"/>
              <w:right w:val="single" w:color="auto" w:sz="4" w:space="0"/>
            </w:tcBorders>
            <w:vAlign w:val="center"/>
          </w:tcPr>
          <w:p w14:paraId="1ACBE115">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w:t>
            </w:r>
          </w:p>
        </w:tc>
        <w:tc>
          <w:tcPr>
            <w:tcW w:w="847" w:type="dxa"/>
            <w:tcBorders>
              <w:top w:val="nil"/>
              <w:left w:val="nil"/>
              <w:bottom w:val="single" w:color="auto" w:sz="4" w:space="0"/>
              <w:right w:val="single" w:color="auto" w:sz="4" w:space="0"/>
            </w:tcBorders>
            <w:shd w:val="clear" w:color="auto" w:fill="auto"/>
            <w:vAlign w:val="center"/>
          </w:tcPr>
          <w:p w14:paraId="78C31C22">
            <w:pPr>
              <w:widowControl/>
              <w:shd w:val="clear"/>
              <w:snapToGrid w:val="0"/>
              <w:spacing w:line="240" w:lineRule="auto"/>
              <w:ind w:firstLine="0" w:firstLineChars="0"/>
              <w:jc w:val="center"/>
              <w:textAlignment w:val="bottom"/>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rPr>
              <w:t>手动</w:t>
            </w:r>
          </w:p>
        </w:tc>
        <w:tc>
          <w:tcPr>
            <w:tcW w:w="847" w:type="dxa"/>
            <w:vMerge w:val="continue"/>
            <w:tcBorders>
              <w:left w:val="nil"/>
              <w:right w:val="single" w:color="auto" w:sz="4" w:space="0"/>
            </w:tcBorders>
            <w:vAlign w:val="center"/>
          </w:tcPr>
          <w:p w14:paraId="099F14D4">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7A7DE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6D42CE8F">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8</w:t>
            </w:r>
          </w:p>
        </w:tc>
        <w:tc>
          <w:tcPr>
            <w:tcW w:w="2893" w:type="dxa"/>
            <w:tcBorders>
              <w:top w:val="nil"/>
              <w:left w:val="single" w:color="auto" w:sz="4" w:space="0"/>
              <w:bottom w:val="single" w:color="auto" w:sz="4" w:space="0"/>
              <w:right w:val="single" w:color="auto" w:sz="4" w:space="0"/>
            </w:tcBorders>
            <w:vAlign w:val="center"/>
          </w:tcPr>
          <w:p w14:paraId="5F9094D3">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　</w:t>
            </w:r>
          </w:p>
        </w:tc>
        <w:tc>
          <w:tcPr>
            <w:tcW w:w="1928" w:type="dxa"/>
            <w:tcBorders>
              <w:top w:val="nil"/>
              <w:left w:val="nil"/>
              <w:bottom w:val="single" w:color="auto" w:sz="4" w:space="0"/>
              <w:right w:val="single" w:color="auto" w:sz="4" w:space="0"/>
            </w:tcBorders>
            <w:vAlign w:val="center"/>
          </w:tcPr>
          <w:p w14:paraId="56FF4F40">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北上料皮带受料点前</w:t>
            </w:r>
          </w:p>
        </w:tc>
        <w:tc>
          <w:tcPr>
            <w:tcW w:w="719" w:type="dxa"/>
            <w:tcBorders>
              <w:top w:val="nil"/>
              <w:left w:val="nil"/>
              <w:bottom w:val="single" w:color="auto" w:sz="4" w:space="0"/>
              <w:right w:val="single" w:color="auto" w:sz="4" w:space="0"/>
            </w:tcBorders>
            <w:vAlign w:val="center"/>
          </w:tcPr>
          <w:p w14:paraId="067C17CB">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55F1A677">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2D905B93">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12000</w:t>
            </w:r>
          </w:p>
        </w:tc>
        <w:tc>
          <w:tcPr>
            <w:tcW w:w="847" w:type="dxa"/>
            <w:tcBorders>
              <w:top w:val="nil"/>
              <w:left w:val="nil"/>
              <w:bottom w:val="single" w:color="auto" w:sz="4" w:space="0"/>
              <w:right w:val="single" w:color="auto" w:sz="4" w:space="0"/>
            </w:tcBorders>
            <w:vAlign w:val="center"/>
          </w:tcPr>
          <w:p w14:paraId="64B0010F">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12000</w:t>
            </w:r>
          </w:p>
        </w:tc>
        <w:tc>
          <w:tcPr>
            <w:tcW w:w="847" w:type="dxa"/>
            <w:tcBorders>
              <w:top w:val="nil"/>
              <w:left w:val="nil"/>
              <w:bottom w:val="single" w:color="auto" w:sz="4" w:space="0"/>
              <w:right w:val="single" w:color="auto" w:sz="4" w:space="0"/>
            </w:tcBorders>
            <w:shd w:val="clear" w:color="auto" w:fill="auto"/>
            <w:vAlign w:val="center"/>
          </w:tcPr>
          <w:p w14:paraId="5B6EA6A4">
            <w:pPr>
              <w:widowControl/>
              <w:shd w:val="clear"/>
              <w:snapToGrid w:val="0"/>
              <w:spacing w:line="240" w:lineRule="auto"/>
              <w:ind w:firstLine="0" w:firstLineChars="0"/>
              <w:jc w:val="center"/>
              <w:textAlignment w:val="bottom"/>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rPr>
              <w:t>手动</w:t>
            </w:r>
          </w:p>
        </w:tc>
        <w:tc>
          <w:tcPr>
            <w:tcW w:w="847" w:type="dxa"/>
            <w:vMerge w:val="continue"/>
            <w:tcBorders>
              <w:left w:val="nil"/>
              <w:right w:val="single" w:color="auto" w:sz="4" w:space="0"/>
            </w:tcBorders>
            <w:vAlign w:val="center"/>
          </w:tcPr>
          <w:p w14:paraId="53585BF6">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03340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6261E2A5">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9</w:t>
            </w:r>
          </w:p>
        </w:tc>
        <w:tc>
          <w:tcPr>
            <w:tcW w:w="2893" w:type="dxa"/>
            <w:tcBorders>
              <w:top w:val="nil"/>
              <w:left w:val="single" w:color="auto" w:sz="4" w:space="0"/>
              <w:bottom w:val="single" w:color="auto" w:sz="4" w:space="0"/>
              <w:right w:val="single" w:color="auto" w:sz="4" w:space="0"/>
            </w:tcBorders>
            <w:vAlign w:val="center"/>
          </w:tcPr>
          <w:p w14:paraId="612B5A4C">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10#-1、-2振动筛返料→碱返皮带</w:t>
            </w:r>
          </w:p>
        </w:tc>
        <w:tc>
          <w:tcPr>
            <w:tcW w:w="1928" w:type="dxa"/>
            <w:tcBorders>
              <w:top w:val="nil"/>
              <w:left w:val="nil"/>
              <w:bottom w:val="single" w:color="auto" w:sz="4" w:space="0"/>
              <w:right w:val="single" w:color="auto" w:sz="4" w:space="0"/>
            </w:tcBorders>
            <w:vAlign w:val="center"/>
          </w:tcPr>
          <w:p w14:paraId="22F4E71E">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碱返皮带受料点后</w:t>
            </w:r>
          </w:p>
        </w:tc>
        <w:tc>
          <w:tcPr>
            <w:tcW w:w="719" w:type="dxa"/>
            <w:tcBorders>
              <w:top w:val="nil"/>
              <w:left w:val="nil"/>
              <w:bottom w:val="single" w:color="auto" w:sz="4" w:space="0"/>
              <w:right w:val="single" w:color="auto" w:sz="4" w:space="0"/>
            </w:tcBorders>
            <w:vAlign w:val="center"/>
          </w:tcPr>
          <w:p w14:paraId="35AA192B">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6DEC385A">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1EF50A4B">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w:t>
            </w:r>
          </w:p>
        </w:tc>
        <w:tc>
          <w:tcPr>
            <w:tcW w:w="847" w:type="dxa"/>
            <w:tcBorders>
              <w:top w:val="nil"/>
              <w:left w:val="nil"/>
              <w:bottom w:val="single" w:color="auto" w:sz="4" w:space="0"/>
              <w:right w:val="single" w:color="auto" w:sz="4" w:space="0"/>
            </w:tcBorders>
            <w:vAlign w:val="center"/>
          </w:tcPr>
          <w:p w14:paraId="569739AA">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w:t>
            </w:r>
          </w:p>
        </w:tc>
        <w:tc>
          <w:tcPr>
            <w:tcW w:w="847" w:type="dxa"/>
            <w:tcBorders>
              <w:top w:val="nil"/>
              <w:left w:val="nil"/>
              <w:bottom w:val="single" w:color="auto" w:sz="4" w:space="0"/>
              <w:right w:val="single" w:color="auto" w:sz="4" w:space="0"/>
            </w:tcBorders>
            <w:shd w:val="clear" w:color="auto" w:fill="auto"/>
            <w:vAlign w:val="center"/>
          </w:tcPr>
          <w:p w14:paraId="7900C1F4">
            <w:pPr>
              <w:widowControl/>
              <w:shd w:val="clear"/>
              <w:snapToGrid w:val="0"/>
              <w:spacing w:line="240" w:lineRule="auto"/>
              <w:ind w:firstLine="0" w:firstLineChars="0"/>
              <w:jc w:val="center"/>
              <w:textAlignment w:val="bottom"/>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rPr>
              <w:t>手动</w:t>
            </w:r>
          </w:p>
        </w:tc>
        <w:tc>
          <w:tcPr>
            <w:tcW w:w="847" w:type="dxa"/>
            <w:vMerge w:val="continue"/>
            <w:tcBorders>
              <w:left w:val="nil"/>
              <w:right w:val="single" w:color="auto" w:sz="4" w:space="0"/>
            </w:tcBorders>
            <w:vAlign w:val="center"/>
          </w:tcPr>
          <w:p w14:paraId="3637AD22">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6FDD0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13FBAEEB">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10</w:t>
            </w:r>
          </w:p>
        </w:tc>
        <w:tc>
          <w:tcPr>
            <w:tcW w:w="2893" w:type="dxa"/>
            <w:tcBorders>
              <w:top w:val="nil"/>
              <w:left w:val="single" w:color="auto" w:sz="4" w:space="0"/>
              <w:bottom w:val="single" w:color="auto" w:sz="4" w:space="0"/>
              <w:right w:val="single" w:color="auto" w:sz="4" w:space="0"/>
            </w:tcBorders>
            <w:vAlign w:val="center"/>
          </w:tcPr>
          <w:p w14:paraId="1A0C1B84">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　</w:t>
            </w:r>
          </w:p>
        </w:tc>
        <w:tc>
          <w:tcPr>
            <w:tcW w:w="1928" w:type="dxa"/>
            <w:tcBorders>
              <w:top w:val="nil"/>
              <w:left w:val="nil"/>
              <w:bottom w:val="single" w:color="auto" w:sz="4" w:space="0"/>
              <w:right w:val="single" w:color="auto" w:sz="4" w:space="0"/>
            </w:tcBorders>
            <w:vAlign w:val="center"/>
          </w:tcPr>
          <w:p w14:paraId="7EC4B625">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碱返皮带受料点前</w:t>
            </w:r>
          </w:p>
        </w:tc>
        <w:tc>
          <w:tcPr>
            <w:tcW w:w="719" w:type="dxa"/>
            <w:tcBorders>
              <w:top w:val="nil"/>
              <w:left w:val="nil"/>
              <w:bottom w:val="single" w:color="auto" w:sz="4" w:space="0"/>
              <w:right w:val="single" w:color="auto" w:sz="4" w:space="0"/>
            </w:tcBorders>
            <w:vAlign w:val="center"/>
          </w:tcPr>
          <w:p w14:paraId="48F67E3F">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34607E82">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204700E9">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12000</w:t>
            </w:r>
          </w:p>
        </w:tc>
        <w:tc>
          <w:tcPr>
            <w:tcW w:w="847" w:type="dxa"/>
            <w:tcBorders>
              <w:top w:val="nil"/>
              <w:left w:val="nil"/>
              <w:bottom w:val="single" w:color="auto" w:sz="4" w:space="0"/>
              <w:right w:val="single" w:color="auto" w:sz="4" w:space="0"/>
            </w:tcBorders>
            <w:vAlign w:val="center"/>
          </w:tcPr>
          <w:p w14:paraId="35DC8DE2">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12000</w:t>
            </w:r>
          </w:p>
        </w:tc>
        <w:tc>
          <w:tcPr>
            <w:tcW w:w="847" w:type="dxa"/>
            <w:tcBorders>
              <w:top w:val="nil"/>
              <w:left w:val="nil"/>
              <w:bottom w:val="single" w:color="auto" w:sz="4" w:space="0"/>
              <w:right w:val="single" w:color="auto" w:sz="4" w:space="0"/>
            </w:tcBorders>
            <w:shd w:val="clear" w:color="auto" w:fill="auto"/>
            <w:vAlign w:val="center"/>
          </w:tcPr>
          <w:p w14:paraId="6363E436">
            <w:pPr>
              <w:widowControl/>
              <w:shd w:val="clear"/>
              <w:snapToGrid w:val="0"/>
              <w:spacing w:line="240" w:lineRule="auto"/>
              <w:ind w:firstLine="0" w:firstLineChars="0"/>
              <w:jc w:val="center"/>
              <w:textAlignment w:val="bottom"/>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rPr>
              <w:t>手动</w:t>
            </w:r>
          </w:p>
        </w:tc>
        <w:tc>
          <w:tcPr>
            <w:tcW w:w="847" w:type="dxa"/>
            <w:vMerge w:val="continue"/>
            <w:tcBorders>
              <w:left w:val="nil"/>
              <w:bottom w:val="single" w:color="auto" w:sz="4" w:space="0"/>
              <w:right w:val="single" w:color="auto" w:sz="4" w:space="0"/>
            </w:tcBorders>
            <w:vAlign w:val="center"/>
          </w:tcPr>
          <w:p w14:paraId="61DA22CE">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211EC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070082D5">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11</w:t>
            </w:r>
          </w:p>
        </w:tc>
        <w:tc>
          <w:tcPr>
            <w:tcW w:w="2893" w:type="dxa"/>
            <w:tcBorders>
              <w:top w:val="nil"/>
              <w:left w:val="single" w:color="auto" w:sz="4" w:space="0"/>
              <w:bottom w:val="single" w:color="auto" w:sz="4" w:space="0"/>
              <w:right w:val="single" w:color="auto" w:sz="4" w:space="0"/>
            </w:tcBorders>
            <w:vAlign w:val="center"/>
          </w:tcPr>
          <w:p w14:paraId="41D3BC5E">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15#-1、-2振动筛→南上料皮带（振筛本体、筛上物出料溜槽、北上料皮带落料点）</w:t>
            </w:r>
          </w:p>
        </w:tc>
        <w:tc>
          <w:tcPr>
            <w:tcW w:w="1928" w:type="dxa"/>
            <w:tcBorders>
              <w:top w:val="nil"/>
              <w:left w:val="nil"/>
              <w:bottom w:val="single" w:color="auto" w:sz="4" w:space="0"/>
              <w:right w:val="single" w:color="auto" w:sz="4" w:space="0"/>
            </w:tcBorders>
            <w:vAlign w:val="center"/>
          </w:tcPr>
          <w:p w14:paraId="217AD600">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振筛筛尾</w:t>
            </w:r>
          </w:p>
        </w:tc>
        <w:tc>
          <w:tcPr>
            <w:tcW w:w="719" w:type="dxa"/>
            <w:tcBorders>
              <w:top w:val="nil"/>
              <w:left w:val="nil"/>
              <w:bottom w:val="single" w:color="auto" w:sz="4" w:space="0"/>
              <w:right w:val="single" w:color="auto" w:sz="4" w:space="0"/>
            </w:tcBorders>
            <w:vAlign w:val="center"/>
          </w:tcPr>
          <w:p w14:paraId="4F7B0EC8">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w:t>
            </w:r>
          </w:p>
        </w:tc>
        <w:tc>
          <w:tcPr>
            <w:tcW w:w="885" w:type="dxa"/>
            <w:tcBorders>
              <w:top w:val="nil"/>
              <w:left w:val="nil"/>
              <w:bottom w:val="single" w:color="auto" w:sz="4" w:space="0"/>
              <w:right w:val="single" w:color="auto" w:sz="4" w:space="0"/>
            </w:tcBorders>
            <w:vAlign w:val="center"/>
          </w:tcPr>
          <w:p w14:paraId="2D28C1CF">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w:t>
            </w:r>
          </w:p>
        </w:tc>
        <w:tc>
          <w:tcPr>
            <w:tcW w:w="796" w:type="dxa"/>
            <w:tcBorders>
              <w:top w:val="nil"/>
              <w:left w:val="nil"/>
              <w:bottom w:val="single" w:color="auto" w:sz="4" w:space="0"/>
              <w:right w:val="single" w:color="auto" w:sz="4" w:space="0"/>
            </w:tcBorders>
            <w:vAlign w:val="center"/>
          </w:tcPr>
          <w:p w14:paraId="421A4FE9">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8000</w:t>
            </w:r>
          </w:p>
        </w:tc>
        <w:tc>
          <w:tcPr>
            <w:tcW w:w="847" w:type="dxa"/>
            <w:tcBorders>
              <w:top w:val="nil"/>
              <w:left w:val="nil"/>
              <w:bottom w:val="single" w:color="auto" w:sz="4" w:space="0"/>
              <w:right w:val="single" w:color="auto" w:sz="4" w:space="0"/>
            </w:tcBorders>
            <w:vAlign w:val="center"/>
          </w:tcPr>
          <w:p w14:paraId="233F78B6">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16000</w:t>
            </w:r>
          </w:p>
        </w:tc>
        <w:tc>
          <w:tcPr>
            <w:tcW w:w="847" w:type="dxa"/>
            <w:tcBorders>
              <w:top w:val="nil"/>
              <w:left w:val="nil"/>
              <w:bottom w:val="single" w:color="auto" w:sz="4" w:space="0"/>
              <w:right w:val="single" w:color="auto" w:sz="4" w:space="0"/>
            </w:tcBorders>
            <w:shd w:val="clear" w:color="auto" w:fill="auto"/>
            <w:vAlign w:val="center"/>
          </w:tcPr>
          <w:p w14:paraId="232919A1">
            <w:pPr>
              <w:widowControl/>
              <w:shd w:val="clear"/>
              <w:snapToGrid w:val="0"/>
              <w:spacing w:line="240" w:lineRule="auto"/>
              <w:ind w:firstLine="0" w:firstLineChars="0"/>
              <w:jc w:val="center"/>
              <w:textAlignment w:val="bottom"/>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rPr>
              <w:t>手动</w:t>
            </w:r>
          </w:p>
        </w:tc>
        <w:tc>
          <w:tcPr>
            <w:tcW w:w="847" w:type="dxa"/>
            <w:vMerge w:val="restart"/>
            <w:tcBorders>
              <w:top w:val="nil"/>
              <w:left w:val="nil"/>
              <w:right w:val="single" w:color="auto" w:sz="4" w:space="0"/>
            </w:tcBorders>
            <w:vAlign w:val="center"/>
          </w:tcPr>
          <w:p w14:paraId="223A86FA">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气动</w:t>
            </w:r>
          </w:p>
        </w:tc>
      </w:tr>
      <w:tr w14:paraId="0044E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689B2EF0">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12</w:t>
            </w:r>
          </w:p>
        </w:tc>
        <w:tc>
          <w:tcPr>
            <w:tcW w:w="2893" w:type="dxa"/>
            <w:tcBorders>
              <w:top w:val="nil"/>
              <w:left w:val="single" w:color="auto" w:sz="4" w:space="0"/>
              <w:bottom w:val="single" w:color="auto" w:sz="4" w:space="0"/>
              <w:right w:val="single" w:color="auto" w:sz="4" w:space="0"/>
            </w:tcBorders>
            <w:vAlign w:val="center"/>
          </w:tcPr>
          <w:p w14:paraId="471BBFDB">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　</w:t>
            </w:r>
          </w:p>
        </w:tc>
        <w:tc>
          <w:tcPr>
            <w:tcW w:w="1928" w:type="dxa"/>
            <w:tcBorders>
              <w:top w:val="nil"/>
              <w:left w:val="nil"/>
              <w:bottom w:val="single" w:color="auto" w:sz="4" w:space="0"/>
              <w:right w:val="single" w:color="auto" w:sz="4" w:space="0"/>
            </w:tcBorders>
            <w:vAlign w:val="center"/>
          </w:tcPr>
          <w:p w14:paraId="2419387A">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北上料皮带落料点后</w:t>
            </w:r>
          </w:p>
        </w:tc>
        <w:tc>
          <w:tcPr>
            <w:tcW w:w="719" w:type="dxa"/>
            <w:tcBorders>
              <w:top w:val="nil"/>
              <w:left w:val="nil"/>
              <w:bottom w:val="single" w:color="auto" w:sz="4" w:space="0"/>
              <w:right w:val="single" w:color="auto" w:sz="4" w:space="0"/>
            </w:tcBorders>
            <w:vAlign w:val="center"/>
          </w:tcPr>
          <w:p w14:paraId="5E9EC128">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7CFE27D7">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32FB61DF">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w:t>
            </w:r>
          </w:p>
        </w:tc>
        <w:tc>
          <w:tcPr>
            <w:tcW w:w="847" w:type="dxa"/>
            <w:tcBorders>
              <w:top w:val="nil"/>
              <w:left w:val="nil"/>
              <w:bottom w:val="single" w:color="auto" w:sz="4" w:space="0"/>
              <w:right w:val="single" w:color="auto" w:sz="4" w:space="0"/>
            </w:tcBorders>
            <w:vAlign w:val="center"/>
          </w:tcPr>
          <w:p w14:paraId="13AC3735">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w:t>
            </w:r>
          </w:p>
        </w:tc>
        <w:tc>
          <w:tcPr>
            <w:tcW w:w="847" w:type="dxa"/>
            <w:tcBorders>
              <w:top w:val="nil"/>
              <w:left w:val="nil"/>
              <w:bottom w:val="single" w:color="auto" w:sz="4" w:space="0"/>
              <w:right w:val="single" w:color="auto" w:sz="4" w:space="0"/>
            </w:tcBorders>
            <w:shd w:val="clear" w:color="auto" w:fill="auto"/>
            <w:vAlign w:val="center"/>
          </w:tcPr>
          <w:p w14:paraId="520353BC">
            <w:pPr>
              <w:widowControl/>
              <w:shd w:val="clear"/>
              <w:snapToGrid w:val="0"/>
              <w:spacing w:line="240" w:lineRule="auto"/>
              <w:ind w:firstLine="0" w:firstLineChars="0"/>
              <w:jc w:val="center"/>
              <w:textAlignment w:val="bottom"/>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rPr>
              <w:t>手动</w:t>
            </w:r>
          </w:p>
        </w:tc>
        <w:tc>
          <w:tcPr>
            <w:tcW w:w="847" w:type="dxa"/>
            <w:vMerge w:val="continue"/>
            <w:tcBorders>
              <w:left w:val="nil"/>
              <w:right w:val="single" w:color="auto" w:sz="4" w:space="0"/>
            </w:tcBorders>
            <w:vAlign w:val="center"/>
          </w:tcPr>
          <w:p w14:paraId="1AED7537">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44D01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784F1BB7">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13</w:t>
            </w:r>
          </w:p>
        </w:tc>
        <w:tc>
          <w:tcPr>
            <w:tcW w:w="2893" w:type="dxa"/>
            <w:tcBorders>
              <w:top w:val="nil"/>
              <w:left w:val="single" w:color="auto" w:sz="4" w:space="0"/>
              <w:bottom w:val="single" w:color="auto" w:sz="4" w:space="0"/>
              <w:right w:val="single" w:color="auto" w:sz="4" w:space="0"/>
            </w:tcBorders>
            <w:vAlign w:val="center"/>
          </w:tcPr>
          <w:p w14:paraId="7B59CA2C">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　</w:t>
            </w:r>
          </w:p>
        </w:tc>
        <w:tc>
          <w:tcPr>
            <w:tcW w:w="1928" w:type="dxa"/>
            <w:tcBorders>
              <w:top w:val="nil"/>
              <w:left w:val="nil"/>
              <w:bottom w:val="single" w:color="auto" w:sz="4" w:space="0"/>
              <w:right w:val="single" w:color="auto" w:sz="4" w:space="0"/>
            </w:tcBorders>
            <w:vAlign w:val="center"/>
          </w:tcPr>
          <w:p w14:paraId="4C27EB49">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北上料皮带落料点前</w:t>
            </w:r>
          </w:p>
        </w:tc>
        <w:tc>
          <w:tcPr>
            <w:tcW w:w="719" w:type="dxa"/>
            <w:tcBorders>
              <w:top w:val="nil"/>
              <w:left w:val="nil"/>
              <w:bottom w:val="single" w:color="auto" w:sz="4" w:space="0"/>
              <w:right w:val="single" w:color="auto" w:sz="4" w:space="0"/>
            </w:tcBorders>
            <w:vAlign w:val="center"/>
          </w:tcPr>
          <w:p w14:paraId="77A651EE">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77C9820E">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7CE82B11">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12000</w:t>
            </w:r>
          </w:p>
        </w:tc>
        <w:tc>
          <w:tcPr>
            <w:tcW w:w="847" w:type="dxa"/>
            <w:tcBorders>
              <w:top w:val="nil"/>
              <w:left w:val="nil"/>
              <w:bottom w:val="single" w:color="auto" w:sz="4" w:space="0"/>
              <w:right w:val="single" w:color="auto" w:sz="4" w:space="0"/>
            </w:tcBorders>
            <w:vAlign w:val="center"/>
          </w:tcPr>
          <w:p w14:paraId="28FDE90B">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12000</w:t>
            </w:r>
          </w:p>
        </w:tc>
        <w:tc>
          <w:tcPr>
            <w:tcW w:w="847" w:type="dxa"/>
            <w:tcBorders>
              <w:top w:val="nil"/>
              <w:left w:val="nil"/>
              <w:bottom w:val="single" w:color="auto" w:sz="4" w:space="0"/>
              <w:right w:val="single" w:color="auto" w:sz="4" w:space="0"/>
            </w:tcBorders>
            <w:shd w:val="clear" w:color="auto" w:fill="auto"/>
            <w:vAlign w:val="center"/>
          </w:tcPr>
          <w:p w14:paraId="6B1814FD">
            <w:pPr>
              <w:widowControl/>
              <w:shd w:val="clear"/>
              <w:snapToGrid w:val="0"/>
              <w:spacing w:line="240" w:lineRule="auto"/>
              <w:ind w:firstLine="0" w:firstLineChars="0"/>
              <w:jc w:val="center"/>
              <w:textAlignment w:val="bottom"/>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rPr>
              <w:t>手动</w:t>
            </w:r>
          </w:p>
        </w:tc>
        <w:tc>
          <w:tcPr>
            <w:tcW w:w="847" w:type="dxa"/>
            <w:vMerge w:val="continue"/>
            <w:tcBorders>
              <w:left w:val="nil"/>
              <w:right w:val="single" w:color="auto" w:sz="4" w:space="0"/>
            </w:tcBorders>
            <w:vAlign w:val="center"/>
          </w:tcPr>
          <w:p w14:paraId="75700339">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017B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216537A9">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14</w:t>
            </w:r>
          </w:p>
        </w:tc>
        <w:tc>
          <w:tcPr>
            <w:tcW w:w="2893" w:type="dxa"/>
            <w:tcBorders>
              <w:top w:val="nil"/>
              <w:left w:val="single" w:color="auto" w:sz="4" w:space="0"/>
              <w:bottom w:val="single" w:color="auto" w:sz="4" w:space="0"/>
              <w:right w:val="single" w:color="auto" w:sz="4" w:space="0"/>
            </w:tcBorders>
            <w:vAlign w:val="center"/>
          </w:tcPr>
          <w:p w14:paraId="6E01B813">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15#-1、-2振动筛返料→碱返皮带</w:t>
            </w:r>
          </w:p>
        </w:tc>
        <w:tc>
          <w:tcPr>
            <w:tcW w:w="1928" w:type="dxa"/>
            <w:tcBorders>
              <w:top w:val="nil"/>
              <w:left w:val="nil"/>
              <w:bottom w:val="single" w:color="auto" w:sz="4" w:space="0"/>
              <w:right w:val="single" w:color="auto" w:sz="4" w:space="0"/>
            </w:tcBorders>
            <w:vAlign w:val="center"/>
          </w:tcPr>
          <w:p w14:paraId="637810E6">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碱返皮带受料点后</w:t>
            </w:r>
          </w:p>
        </w:tc>
        <w:tc>
          <w:tcPr>
            <w:tcW w:w="719" w:type="dxa"/>
            <w:tcBorders>
              <w:top w:val="nil"/>
              <w:left w:val="nil"/>
              <w:bottom w:val="single" w:color="auto" w:sz="4" w:space="0"/>
              <w:right w:val="single" w:color="auto" w:sz="4" w:space="0"/>
            </w:tcBorders>
            <w:vAlign w:val="center"/>
          </w:tcPr>
          <w:p w14:paraId="1A90C27E">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660C95A0">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274C6B74">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w:t>
            </w:r>
          </w:p>
        </w:tc>
        <w:tc>
          <w:tcPr>
            <w:tcW w:w="847" w:type="dxa"/>
            <w:tcBorders>
              <w:top w:val="nil"/>
              <w:left w:val="nil"/>
              <w:bottom w:val="single" w:color="auto" w:sz="4" w:space="0"/>
              <w:right w:val="single" w:color="auto" w:sz="4" w:space="0"/>
            </w:tcBorders>
            <w:vAlign w:val="center"/>
          </w:tcPr>
          <w:p w14:paraId="25B9D5F9">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w:t>
            </w:r>
          </w:p>
        </w:tc>
        <w:tc>
          <w:tcPr>
            <w:tcW w:w="847" w:type="dxa"/>
            <w:tcBorders>
              <w:top w:val="nil"/>
              <w:left w:val="nil"/>
              <w:bottom w:val="single" w:color="auto" w:sz="4" w:space="0"/>
              <w:right w:val="single" w:color="auto" w:sz="4" w:space="0"/>
            </w:tcBorders>
            <w:shd w:val="clear" w:color="auto" w:fill="auto"/>
            <w:vAlign w:val="center"/>
          </w:tcPr>
          <w:p w14:paraId="6451B777">
            <w:pPr>
              <w:widowControl/>
              <w:shd w:val="clear"/>
              <w:snapToGrid w:val="0"/>
              <w:spacing w:line="240" w:lineRule="auto"/>
              <w:ind w:firstLine="0" w:firstLineChars="0"/>
              <w:jc w:val="center"/>
              <w:textAlignment w:val="bottom"/>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rPr>
              <w:t>手动</w:t>
            </w:r>
          </w:p>
        </w:tc>
        <w:tc>
          <w:tcPr>
            <w:tcW w:w="847" w:type="dxa"/>
            <w:vMerge w:val="continue"/>
            <w:tcBorders>
              <w:left w:val="nil"/>
              <w:right w:val="single" w:color="auto" w:sz="4" w:space="0"/>
            </w:tcBorders>
            <w:vAlign w:val="center"/>
          </w:tcPr>
          <w:p w14:paraId="3540ABB0">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602FF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4117F70C">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15</w:t>
            </w:r>
          </w:p>
        </w:tc>
        <w:tc>
          <w:tcPr>
            <w:tcW w:w="2893" w:type="dxa"/>
            <w:tcBorders>
              <w:top w:val="nil"/>
              <w:left w:val="single" w:color="auto" w:sz="4" w:space="0"/>
              <w:bottom w:val="single" w:color="auto" w:sz="4" w:space="0"/>
              <w:right w:val="single" w:color="auto" w:sz="4" w:space="0"/>
            </w:tcBorders>
            <w:vAlign w:val="center"/>
          </w:tcPr>
          <w:p w14:paraId="41AE30B2">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　</w:t>
            </w:r>
          </w:p>
        </w:tc>
        <w:tc>
          <w:tcPr>
            <w:tcW w:w="1928" w:type="dxa"/>
            <w:tcBorders>
              <w:top w:val="nil"/>
              <w:left w:val="nil"/>
              <w:bottom w:val="single" w:color="auto" w:sz="4" w:space="0"/>
              <w:right w:val="single" w:color="auto" w:sz="4" w:space="0"/>
            </w:tcBorders>
            <w:vAlign w:val="center"/>
          </w:tcPr>
          <w:p w14:paraId="32B9B65C">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碱返皮带受料点前</w:t>
            </w:r>
          </w:p>
        </w:tc>
        <w:tc>
          <w:tcPr>
            <w:tcW w:w="719" w:type="dxa"/>
            <w:tcBorders>
              <w:top w:val="nil"/>
              <w:left w:val="nil"/>
              <w:bottom w:val="single" w:color="auto" w:sz="4" w:space="0"/>
              <w:right w:val="single" w:color="auto" w:sz="4" w:space="0"/>
            </w:tcBorders>
            <w:vAlign w:val="center"/>
          </w:tcPr>
          <w:p w14:paraId="6F028C53">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031766CB">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50F6FB07">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12000</w:t>
            </w:r>
          </w:p>
        </w:tc>
        <w:tc>
          <w:tcPr>
            <w:tcW w:w="847" w:type="dxa"/>
            <w:tcBorders>
              <w:top w:val="nil"/>
              <w:left w:val="nil"/>
              <w:bottom w:val="single" w:color="auto" w:sz="4" w:space="0"/>
              <w:right w:val="single" w:color="auto" w:sz="4" w:space="0"/>
            </w:tcBorders>
            <w:vAlign w:val="center"/>
          </w:tcPr>
          <w:p w14:paraId="36E5A97B">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12000</w:t>
            </w:r>
          </w:p>
        </w:tc>
        <w:tc>
          <w:tcPr>
            <w:tcW w:w="847" w:type="dxa"/>
            <w:tcBorders>
              <w:top w:val="nil"/>
              <w:left w:val="nil"/>
              <w:bottom w:val="single" w:color="auto" w:sz="4" w:space="0"/>
              <w:right w:val="single" w:color="auto" w:sz="4" w:space="0"/>
            </w:tcBorders>
            <w:shd w:val="clear" w:color="auto" w:fill="auto"/>
            <w:vAlign w:val="center"/>
          </w:tcPr>
          <w:p w14:paraId="0CF1F9BE">
            <w:pPr>
              <w:widowControl/>
              <w:shd w:val="clear"/>
              <w:snapToGrid w:val="0"/>
              <w:spacing w:line="240" w:lineRule="auto"/>
              <w:ind w:firstLine="0" w:firstLineChars="0"/>
              <w:jc w:val="center"/>
              <w:textAlignment w:val="bottom"/>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rPr>
              <w:t>手动</w:t>
            </w:r>
          </w:p>
        </w:tc>
        <w:tc>
          <w:tcPr>
            <w:tcW w:w="847" w:type="dxa"/>
            <w:vMerge w:val="continue"/>
            <w:tcBorders>
              <w:left w:val="nil"/>
              <w:bottom w:val="single" w:color="auto" w:sz="4" w:space="0"/>
              <w:right w:val="single" w:color="auto" w:sz="4" w:space="0"/>
            </w:tcBorders>
            <w:vAlign w:val="center"/>
          </w:tcPr>
          <w:p w14:paraId="5080B19D">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7DFA6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52DB6FDF">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16</w:t>
            </w:r>
          </w:p>
        </w:tc>
        <w:tc>
          <w:tcPr>
            <w:tcW w:w="2893" w:type="dxa"/>
            <w:tcBorders>
              <w:top w:val="nil"/>
              <w:left w:val="single" w:color="auto" w:sz="4" w:space="0"/>
              <w:bottom w:val="single" w:color="auto" w:sz="4" w:space="0"/>
              <w:right w:val="single" w:color="auto" w:sz="4" w:space="0"/>
            </w:tcBorders>
            <w:vAlign w:val="center"/>
          </w:tcPr>
          <w:p w14:paraId="6D9B50CB">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16#-1、-2振动筛→南上料皮带（振筛本体、筛上物出料溜槽、北上料皮带落料点）</w:t>
            </w:r>
          </w:p>
        </w:tc>
        <w:tc>
          <w:tcPr>
            <w:tcW w:w="1928" w:type="dxa"/>
            <w:tcBorders>
              <w:top w:val="nil"/>
              <w:left w:val="nil"/>
              <w:bottom w:val="single" w:color="auto" w:sz="4" w:space="0"/>
              <w:right w:val="single" w:color="auto" w:sz="4" w:space="0"/>
            </w:tcBorders>
            <w:vAlign w:val="center"/>
          </w:tcPr>
          <w:p w14:paraId="3DFF4633">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振筛筛尾</w:t>
            </w:r>
          </w:p>
        </w:tc>
        <w:tc>
          <w:tcPr>
            <w:tcW w:w="719" w:type="dxa"/>
            <w:tcBorders>
              <w:top w:val="nil"/>
              <w:left w:val="nil"/>
              <w:bottom w:val="single" w:color="auto" w:sz="4" w:space="0"/>
              <w:right w:val="single" w:color="auto" w:sz="4" w:space="0"/>
            </w:tcBorders>
            <w:vAlign w:val="center"/>
          </w:tcPr>
          <w:p w14:paraId="39BAAA48">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w:t>
            </w:r>
          </w:p>
        </w:tc>
        <w:tc>
          <w:tcPr>
            <w:tcW w:w="885" w:type="dxa"/>
            <w:tcBorders>
              <w:top w:val="nil"/>
              <w:left w:val="nil"/>
              <w:bottom w:val="single" w:color="auto" w:sz="4" w:space="0"/>
              <w:right w:val="single" w:color="auto" w:sz="4" w:space="0"/>
            </w:tcBorders>
            <w:vAlign w:val="center"/>
          </w:tcPr>
          <w:p w14:paraId="6D681E37">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w:t>
            </w:r>
          </w:p>
        </w:tc>
        <w:tc>
          <w:tcPr>
            <w:tcW w:w="796" w:type="dxa"/>
            <w:tcBorders>
              <w:top w:val="nil"/>
              <w:left w:val="nil"/>
              <w:bottom w:val="single" w:color="auto" w:sz="4" w:space="0"/>
              <w:right w:val="single" w:color="auto" w:sz="4" w:space="0"/>
            </w:tcBorders>
            <w:vAlign w:val="center"/>
          </w:tcPr>
          <w:p w14:paraId="4AA40086">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8000</w:t>
            </w:r>
          </w:p>
        </w:tc>
        <w:tc>
          <w:tcPr>
            <w:tcW w:w="847" w:type="dxa"/>
            <w:tcBorders>
              <w:top w:val="nil"/>
              <w:left w:val="nil"/>
              <w:bottom w:val="single" w:color="auto" w:sz="4" w:space="0"/>
              <w:right w:val="single" w:color="auto" w:sz="4" w:space="0"/>
            </w:tcBorders>
            <w:vAlign w:val="center"/>
          </w:tcPr>
          <w:p w14:paraId="7DD600D5">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16000</w:t>
            </w:r>
          </w:p>
        </w:tc>
        <w:tc>
          <w:tcPr>
            <w:tcW w:w="847" w:type="dxa"/>
            <w:tcBorders>
              <w:top w:val="nil"/>
              <w:left w:val="nil"/>
              <w:bottom w:val="single" w:color="auto" w:sz="4" w:space="0"/>
              <w:right w:val="single" w:color="auto" w:sz="4" w:space="0"/>
            </w:tcBorders>
            <w:shd w:val="clear" w:color="auto" w:fill="auto"/>
            <w:vAlign w:val="center"/>
          </w:tcPr>
          <w:p w14:paraId="1940AF78">
            <w:pPr>
              <w:widowControl/>
              <w:shd w:val="clear"/>
              <w:snapToGrid w:val="0"/>
              <w:spacing w:line="240" w:lineRule="auto"/>
              <w:ind w:firstLine="0" w:firstLineChars="0"/>
              <w:jc w:val="center"/>
              <w:textAlignment w:val="bottom"/>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rPr>
              <w:t>手动</w:t>
            </w:r>
          </w:p>
        </w:tc>
        <w:tc>
          <w:tcPr>
            <w:tcW w:w="847" w:type="dxa"/>
            <w:vMerge w:val="restart"/>
            <w:tcBorders>
              <w:top w:val="nil"/>
              <w:left w:val="nil"/>
              <w:right w:val="single" w:color="auto" w:sz="4" w:space="0"/>
            </w:tcBorders>
            <w:vAlign w:val="center"/>
          </w:tcPr>
          <w:p w14:paraId="15A19DD0">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气动</w:t>
            </w:r>
          </w:p>
        </w:tc>
      </w:tr>
      <w:tr w14:paraId="5E07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3FF17276">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17</w:t>
            </w:r>
          </w:p>
        </w:tc>
        <w:tc>
          <w:tcPr>
            <w:tcW w:w="2893" w:type="dxa"/>
            <w:tcBorders>
              <w:top w:val="nil"/>
              <w:left w:val="single" w:color="auto" w:sz="4" w:space="0"/>
              <w:bottom w:val="single" w:color="auto" w:sz="4" w:space="0"/>
              <w:right w:val="single" w:color="auto" w:sz="4" w:space="0"/>
            </w:tcBorders>
            <w:vAlign w:val="center"/>
          </w:tcPr>
          <w:p w14:paraId="07E0F8DF">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　</w:t>
            </w:r>
          </w:p>
        </w:tc>
        <w:tc>
          <w:tcPr>
            <w:tcW w:w="1928" w:type="dxa"/>
            <w:tcBorders>
              <w:top w:val="nil"/>
              <w:left w:val="nil"/>
              <w:bottom w:val="single" w:color="auto" w:sz="4" w:space="0"/>
              <w:right w:val="single" w:color="auto" w:sz="4" w:space="0"/>
            </w:tcBorders>
            <w:vAlign w:val="center"/>
          </w:tcPr>
          <w:p w14:paraId="0671FDB2">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北上料皮带落料点后</w:t>
            </w:r>
          </w:p>
        </w:tc>
        <w:tc>
          <w:tcPr>
            <w:tcW w:w="719" w:type="dxa"/>
            <w:tcBorders>
              <w:top w:val="nil"/>
              <w:left w:val="nil"/>
              <w:bottom w:val="single" w:color="auto" w:sz="4" w:space="0"/>
              <w:right w:val="single" w:color="auto" w:sz="4" w:space="0"/>
            </w:tcBorders>
            <w:vAlign w:val="center"/>
          </w:tcPr>
          <w:p w14:paraId="761DEEC1">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7885FBFC">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0628F713">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w:t>
            </w:r>
          </w:p>
        </w:tc>
        <w:tc>
          <w:tcPr>
            <w:tcW w:w="847" w:type="dxa"/>
            <w:tcBorders>
              <w:top w:val="nil"/>
              <w:left w:val="nil"/>
              <w:bottom w:val="single" w:color="auto" w:sz="4" w:space="0"/>
              <w:right w:val="single" w:color="auto" w:sz="4" w:space="0"/>
            </w:tcBorders>
            <w:vAlign w:val="center"/>
          </w:tcPr>
          <w:p w14:paraId="26E06F95">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w:t>
            </w:r>
          </w:p>
        </w:tc>
        <w:tc>
          <w:tcPr>
            <w:tcW w:w="847" w:type="dxa"/>
            <w:tcBorders>
              <w:top w:val="nil"/>
              <w:left w:val="nil"/>
              <w:bottom w:val="single" w:color="auto" w:sz="4" w:space="0"/>
              <w:right w:val="single" w:color="auto" w:sz="4" w:space="0"/>
            </w:tcBorders>
            <w:shd w:val="clear" w:color="auto" w:fill="auto"/>
            <w:vAlign w:val="center"/>
          </w:tcPr>
          <w:p w14:paraId="23BB22C5">
            <w:pPr>
              <w:widowControl/>
              <w:shd w:val="clear"/>
              <w:snapToGrid w:val="0"/>
              <w:spacing w:line="240" w:lineRule="auto"/>
              <w:ind w:firstLine="0" w:firstLineChars="0"/>
              <w:jc w:val="center"/>
              <w:textAlignment w:val="bottom"/>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rPr>
              <w:t>手动</w:t>
            </w:r>
          </w:p>
        </w:tc>
        <w:tc>
          <w:tcPr>
            <w:tcW w:w="847" w:type="dxa"/>
            <w:vMerge w:val="continue"/>
            <w:tcBorders>
              <w:left w:val="nil"/>
              <w:right w:val="single" w:color="auto" w:sz="4" w:space="0"/>
            </w:tcBorders>
            <w:vAlign w:val="center"/>
          </w:tcPr>
          <w:p w14:paraId="5BAF950F">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49549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0710A96D">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18</w:t>
            </w:r>
          </w:p>
        </w:tc>
        <w:tc>
          <w:tcPr>
            <w:tcW w:w="2893" w:type="dxa"/>
            <w:tcBorders>
              <w:top w:val="nil"/>
              <w:left w:val="single" w:color="auto" w:sz="4" w:space="0"/>
              <w:bottom w:val="single" w:color="auto" w:sz="4" w:space="0"/>
              <w:right w:val="single" w:color="auto" w:sz="4" w:space="0"/>
            </w:tcBorders>
            <w:vAlign w:val="center"/>
          </w:tcPr>
          <w:p w14:paraId="654CAB6F">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　</w:t>
            </w:r>
          </w:p>
        </w:tc>
        <w:tc>
          <w:tcPr>
            <w:tcW w:w="1928" w:type="dxa"/>
            <w:tcBorders>
              <w:top w:val="nil"/>
              <w:left w:val="nil"/>
              <w:bottom w:val="single" w:color="auto" w:sz="4" w:space="0"/>
              <w:right w:val="single" w:color="auto" w:sz="4" w:space="0"/>
            </w:tcBorders>
            <w:vAlign w:val="center"/>
          </w:tcPr>
          <w:p w14:paraId="2F734493">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北上料皮带落料点前</w:t>
            </w:r>
          </w:p>
        </w:tc>
        <w:tc>
          <w:tcPr>
            <w:tcW w:w="719" w:type="dxa"/>
            <w:tcBorders>
              <w:top w:val="nil"/>
              <w:left w:val="nil"/>
              <w:bottom w:val="single" w:color="auto" w:sz="4" w:space="0"/>
              <w:right w:val="single" w:color="auto" w:sz="4" w:space="0"/>
            </w:tcBorders>
            <w:vAlign w:val="center"/>
          </w:tcPr>
          <w:p w14:paraId="196459D9">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477C36EB">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59C6ACB1">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12000</w:t>
            </w:r>
          </w:p>
        </w:tc>
        <w:tc>
          <w:tcPr>
            <w:tcW w:w="847" w:type="dxa"/>
            <w:tcBorders>
              <w:top w:val="nil"/>
              <w:left w:val="nil"/>
              <w:bottom w:val="single" w:color="auto" w:sz="4" w:space="0"/>
              <w:right w:val="single" w:color="auto" w:sz="4" w:space="0"/>
            </w:tcBorders>
            <w:vAlign w:val="center"/>
          </w:tcPr>
          <w:p w14:paraId="73E95D1C">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12000</w:t>
            </w:r>
          </w:p>
        </w:tc>
        <w:tc>
          <w:tcPr>
            <w:tcW w:w="847" w:type="dxa"/>
            <w:tcBorders>
              <w:top w:val="nil"/>
              <w:left w:val="nil"/>
              <w:bottom w:val="single" w:color="auto" w:sz="4" w:space="0"/>
              <w:right w:val="single" w:color="auto" w:sz="4" w:space="0"/>
            </w:tcBorders>
            <w:shd w:val="clear" w:color="auto" w:fill="auto"/>
            <w:vAlign w:val="center"/>
          </w:tcPr>
          <w:p w14:paraId="6789F1EE">
            <w:pPr>
              <w:widowControl/>
              <w:shd w:val="clear"/>
              <w:snapToGrid w:val="0"/>
              <w:spacing w:line="240" w:lineRule="auto"/>
              <w:ind w:firstLine="0" w:firstLineChars="0"/>
              <w:jc w:val="center"/>
              <w:textAlignment w:val="bottom"/>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rPr>
              <w:t>手动</w:t>
            </w:r>
          </w:p>
        </w:tc>
        <w:tc>
          <w:tcPr>
            <w:tcW w:w="847" w:type="dxa"/>
            <w:vMerge w:val="continue"/>
            <w:tcBorders>
              <w:left w:val="nil"/>
              <w:right w:val="single" w:color="auto" w:sz="4" w:space="0"/>
            </w:tcBorders>
            <w:vAlign w:val="center"/>
          </w:tcPr>
          <w:p w14:paraId="722E9826">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30DA9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2194A408">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19</w:t>
            </w:r>
          </w:p>
        </w:tc>
        <w:tc>
          <w:tcPr>
            <w:tcW w:w="2893" w:type="dxa"/>
            <w:tcBorders>
              <w:top w:val="nil"/>
              <w:left w:val="single" w:color="auto" w:sz="4" w:space="0"/>
              <w:bottom w:val="single" w:color="auto" w:sz="4" w:space="0"/>
              <w:right w:val="single" w:color="auto" w:sz="4" w:space="0"/>
            </w:tcBorders>
            <w:vAlign w:val="center"/>
          </w:tcPr>
          <w:p w14:paraId="0F5A0FC6">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16#-1、-2振动筛返料→小皮带→碱返（酸返）皮带</w:t>
            </w:r>
          </w:p>
        </w:tc>
        <w:tc>
          <w:tcPr>
            <w:tcW w:w="1928" w:type="dxa"/>
            <w:tcBorders>
              <w:top w:val="single" w:color="auto" w:sz="4" w:space="0"/>
              <w:left w:val="single" w:color="auto" w:sz="4" w:space="0"/>
              <w:bottom w:val="single" w:color="auto" w:sz="4" w:space="0"/>
              <w:right w:val="single" w:color="auto" w:sz="4" w:space="0"/>
            </w:tcBorders>
            <w:shd w:val="clear" w:color="auto" w:fill="auto"/>
            <w:vAlign w:val="center"/>
          </w:tcPr>
          <w:p w14:paraId="43D8BCA6">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碱返（酸返）皮带受料点后</w:t>
            </w:r>
          </w:p>
        </w:tc>
        <w:tc>
          <w:tcPr>
            <w:tcW w:w="719" w:type="dxa"/>
            <w:tcBorders>
              <w:top w:val="single" w:color="auto" w:sz="4" w:space="0"/>
              <w:left w:val="nil"/>
              <w:bottom w:val="single" w:color="auto" w:sz="4" w:space="0"/>
              <w:right w:val="single" w:color="auto" w:sz="4" w:space="0"/>
            </w:tcBorders>
            <w:shd w:val="clear" w:color="auto" w:fill="auto"/>
            <w:vAlign w:val="center"/>
          </w:tcPr>
          <w:p w14:paraId="4D0324B3">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w:t>
            </w:r>
          </w:p>
        </w:tc>
        <w:tc>
          <w:tcPr>
            <w:tcW w:w="885" w:type="dxa"/>
            <w:tcBorders>
              <w:top w:val="single" w:color="auto" w:sz="4" w:space="0"/>
              <w:left w:val="nil"/>
              <w:bottom w:val="single" w:color="auto" w:sz="4" w:space="0"/>
              <w:right w:val="single" w:color="auto" w:sz="4" w:space="0"/>
            </w:tcBorders>
            <w:shd w:val="clear" w:color="auto" w:fill="auto"/>
            <w:vAlign w:val="center"/>
          </w:tcPr>
          <w:p w14:paraId="1E35D9BB">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single" w:color="auto" w:sz="4" w:space="0"/>
              <w:left w:val="nil"/>
              <w:bottom w:val="single" w:color="auto" w:sz="4" w:space="0"/>
              <w:right w:val="single" w:color="auto" w:sz="4" w:space="0"/>
            </w:tcBorders>
            <w:shd w:val="clear" w:color="auto" w:fill="auto"/>
            <w:vAlign w:val="center"/>
          </w:tcPr>
          <w:p w14:paraId="7EB88128">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w:t>
            </w:r>
          </w:p>
        </w:tc>
        <w:tc>
          <w:tcPr>
            <w:tcW w:w="847" w:type="dxa"/>
            <w:tcBorders>
              <w:top w:val="single" w:color="auto" w:sz="4" w:space="0"/>
              <w:left w:val="nil"/>
              <w:bottom w:val="single" w:color="auto" w:sz="4" w:space="0"/>
              <w:right w:val="single" w:color="auto" w:sz="4" w:space="0"/>
            </w:tcBorders>
            <w:shd w:val="clear" w:color="auto" w:fill="auto"/>
            <w:vAlign w:val="center"/>
          </w:tcPr>
          <w:p w14:paraId="724ED088">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w:t>
            </w:r>
          </w:p>
        </w:tc>
        <w:tc>
          <w:tcPr>
            <w:tcW w:w="847" w:type="dxa"/>
            <w:tcBorders>
              <w:top w:val="single" w:color="auto" w:sz="4" w:space="0"/>
              <w:left w:val="nil"/>
              <w:bottom w:val="single" w:color="auto" w:sz="4" w:space="0"/>
              <w:right w:val="single" w:color="auto" w:sz="4" w:space="0"/>
            </w:tcBorders>
            <w:shd w:val="clear" w:color="auto" w:fill="auto"/>
            <w:vAlign w:val="center"/>
          </w:tcPr>
          <w:p w14:paraId="2B9CE9DE">
            <w:pPr>
              <w:widowControl/>
              <w:shd w:val="clear"/>
              <w:snapToGrid w:val="0"/>
              <w:spacing w:line="240" w:lineRule="auto"/>
              <w:ind w:firstLine="0" w:firstLineChars="0"/>
              <w:jc w:val="center"/>
              <w:textAlignment w:val="bottom"/>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rPr>
              <w:t>手动</w:t>
            </w:r>
          </w:p>
        </w:tc>
        <w:tc>
          <w:tcPr>
            <w:tcW w:w="847" w:type="dxa"/>
            <w:vMerge w:val="continue"/>
            <w:tcBorders>
              <w:left w:val="nil"/>
              <w:right w:val="single" w:color="auto" w:sz="4" w:space="0"/>
            </w:tcBorders>
            <w:shd w:val="clear" w:color="auto" w:fill="auto"/>
            <w:vAlign w:val="center"/>
          </w:tcPr>
          <w:p w14:paraId="5EA366AF">
            <w:pPr>
              <w:widowControl/>
              <w:shd w:val="clear"/>
              <w:snapToGrid w:val="0"/>
              <w:spacing w:line="240" w:lineRule="auto"/>
              <w:ind w:firstLine="0" w:firstLineChars="0"/>
              <w:jc w:val="center"/>
              <w:textAlignment w:val="bottom"/>
              <w:rPr>
                <w:rFonts w:hint="eastAsia"/>
                <w:color w:val="auto"/>
                <w:highlight w:val="none"/>
              </w:rPr>
            </w:pPr>
          </w:p>
        </w:tc>
      </w:tr>
      <w:tr w14:paraId="485C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24C5A762">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20</w:t>
            </w:r>
          </w:p>
        </w:tc>
        <w:tc>
          <w:tcPr>
            <w:tcW w:w="2893" w:type="dxa"/>
            <w:tcBorders>
              <w:top w:val="nil"/>
              <w:left w:val="single" w:color="auto" w:sz="4" w:space="0"/>
              <w:bottom w:val="single" w:color="auto" w:sz="4" w:space="0"/>
              <w:right w:val="single" w:color="auto" w:sz="4" w:space="0"/>
            </w:tcBorders>
            <w:vAlign w:val="center"/>
          </w:tcPr>
          <w:p w14:paraId="3D61BD43">
            <w:pPr>
              <w:widowControl/>
              <w:shd w:val="clear"/>
              <w:snapToGrid w:val="0"/>
              <w:spacing w:line="240" w:lineRule="auto"/>
              <w:ind w:firstLine="0" w:firstLineChars="0"/>
              <w:textAlignment w:val="bottom"/>
              <w:rPr>
                <w:rFonts w:cs="宋体"/>
                <w:color w:val="auto"/>
                <w:sz w:val="21"/>
                <w:szCs w:val="21"/>
                <w:highlight w:val="none"/>
              </w:rPr>
            </w:pPr>
          </w:p>
        </w:tc>
        <w:tc>
          <w:tcPr>
            <w:tcW w:w="1928" w:type="dxa"/>
            <w:tcBorders>
              <w:top w:val="nil"/>
              <w:left w:val="single" w:color="auto" w:sz="4" w:space="0"/>
              <w:bottom w:val="single" w:color="auto" w:sz="4" w:space="0"/>
              <w:right w:val="single" w:color="auto" w:sz="4" w:space="0"/>
            </w:tcBorders>
            <w:shd w:val="clear" w:color="auto" w:fill="auto"/>
            <w:vAlign w:val="center"/>
          </w:tcPr>
          <w:p w14:paraId="75CF4F3E">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小皮带受料</w:t>
            </w:r>
          </w:p>
        </w:tc>
        <w:tc>
          <w:tcPr>
            <w:tcW w:w="719" w:type="dxa"/>
            <w:tcBorders>
              <w:top w:val="nil"/>
              <w:left w:val="nil"/>
              <w:bottom w:val="single" w:color="auto" w:sz="4" w:space="0"/>
              <w:right w:val="single" w:color="auto" w:sz="4" w:space="0"/>
            </w:tcBorders>
            <w:shd w:val="clear" w:color="auto" w:fill="auto"/>
            <w:vAlign w:val="center"/>
          </w:tcPr>
          <w:p w14:paraId="67336C86">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w:t>
            </w:r>
          </w:p>
        </w:tc>
        <w:tc>
          <w:tcPr>
            <w:tcW w:w="885" w:type="dxa"/>
            <w:tcBorders>
              <w:top w:val="nil"/>
              <w:left w:val="nil"/>
              <w:bottom w:val="single" w:color="auto" w:sz="4" w:space="0"/>
              <w:right w:val="single" w:color="auto" w:sz="4" w:space="0"/>
            </w:tcBorders>
            <w:shd w:val="clear" w:color="auto" w:fill="auto"/>
            <w:vAlign w:val="center"/>
          </w:tcPr>
          <w:p w14:paraId="7C5E8969">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w:t>
            </w:r>
          </w:p>
        </w:tc>
        <w:tc>
          <w:tcPr>
            <w:tcW w:w="796" w:type="dxa"/>
            <w:tcBorders>
              <w:top w:val="nil"/>
              <w:left w:val="nil"/>
              <w:bottom w:val="single" w:color="auto" w:sz="4" w:space="0"/>
              <w:right w:val="single" w:color="auto" w:sz="4" w:space="0"/>
            </w:tcBorders>
            <w:shd w:val="clear" w:color="auto" w:fill="auto"/>
            <w:vAlign w:val="center"/>
          </w:tcPr>
          <w:p w14:paraId="4693697D">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w:t>
            </w:r>
          </w:p>
        </w:tc>
        <w:tc>
          <w:tcPr>
            <w:tcW w:w="847" w:type="dxa"/>
            <w:tcBorders>
              <w:top w:val="nil"/>
              <w:left w:val="nil"/>
              <w:bottom w:val="single" w:color="auto" w:sz="4" w:space="0"/>
              <w:right w:val="single" w:color="auto" w:sz="4" w:space="0"/>
            </w:tcBorders>
            <w:shd w:val="clear" w:color="auto" w:fill="auto"/>
            <w:vAlign w:val="center"/>
          </w:tcPr>
          <w:p w14:paraId="1FAB368C">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10000</w:t>
            </w:r>
          </w:p>
        </w:tc>
        <w:tc>
          <w:tcPr>
            <w:tcW w:w="847" w:type="dxa"/>
            <w:tcBorders>
              <w:top w:val="nil"/>
              <w:left w:val="nil"/>
              <w:bottom w:val="single" w:color="auto" w:sz="4" w:space="0"/>
              <w:right w:val="single" w:color="auto" w:sz="4" w:space="0"/>
            </w:tcBorders>
            <w:shd w:val="clear" w:color="auto" w:fill="auto"/>
            <w:vAlign w:val="center"/>
          </w:tcPr>
          <w:p w14:paraId="5D2E6555">
            <w:pPr>
              <w:widowControl/>
              <w:shd w:val="clear"/>
              <w:snapToGrid w:val="0"/>
              <w:spacing w:line="240" w:lineRule="auto"/>
              <w:ind w:firstLine="0" w:firstLineChars="0"/>
              <w:jc w:val="center"/>
              <w:textAlignment w:val="bottom"/>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rPr>
              <w:t>手动</w:t>
            </w:r>
          </w:p>
        </w:tc>
        <w:tc>
          <w:tcPr>
            <w:tcW w:w="847" w:type="dxa"/>
            <w:vMerge w:val="continue"/>
            <w:tcBorders>
              <w:left w:val="nil"/>
              <w:right w:val="single" w:color="auto" w:sz="4" w:space="0"/>
            </w:tcBorders>
            <w:shd w:val="clear" w:color="auto" w:fill="auto"/>
            <w:vAlign w:val="center"/>
          </w:tcPr>
          <w:p w14:paraId="749A4A66">
            <w:pPr>
              <w:widowControl/>
              <w:shd w:val="clear"/>
              <w:snapToGrid w:val="0"/>
              <w:spacing w:line="240" w:lineRule="auto"/>
              <w:ind w:firstLine="0" w:firstLineChars="0"/>
              <w:jc w:val="center"/>
              <w:textAlignment w:val="bottom"/>
              <w:rPr>
                <w:rFonts w:hint="eastAsia"/>
                <w:color w:val="auto"/>
                <w:highlight w:val="none"/>
              </w:rPr>
            </w:pPr>
          </w:p>
        </w:tc>
      </w:tr>
      <w:tr w14:paraId="43211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38A1F7AE">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21</w:t>
            </w:r>
          </w:p>
        </w:tc>
        <w:tc>
          <w:tcPr>
            <w:tcW w:w="2893" w:type="dxa"/>
            <w:tcBorders>
              <w:top w:val="nil"/>
              <w:left w:val="single" w:color="auto" w:sz="4" w:space="0"/>
              <w:bottom w:val="single" w:color="auto" w:sz="4" w:space="0"/>
              <w:right w:val="single" w:color="auto" w:sz="4" w:space="0"/>
            </w:tcBorders>
            <w:vAlign w:val="center"/>
          </w:tcPr>
          <w:p w14:paraId="077F2A0C">
            <w:pPr>
              <w:widowControl/>
              <w:shd w:val="clear"/>
              <w:snapToGrid w:val="0"/>
              <w:spacing w:line="240" w:lineRule="auto"/>
              <w:ind w:firstLine="0" w:firstLineChars="0"/>
              <w:textAlignment w:val="bottom"/>
              <w:rPr>
                <w:rFonts w:cs="宋体"/>
                <w:color w:val="auto"/>
                <w:sz w:val="21"/>
                <w:szCs w:val="21"/>
                <w:highlight w:val="none"/>
              </w:rPr>
            </w:pPr>
          </w:p>
        </w:tc>
        <w:tc>
          <w:tcPr>
            <w:tcW w:w="1928" w:type="dxa"/>
            <w:tcBorders>
              <w:top w:val="nil"/>
              <w:left w:val="single" w:color="auto" w:sz="4" w:space="0"/>
              <w:bottom w:val="single" w:color="auto" w:sz="4" w:space="0"/>
              <w:right w:val="single" w:color="auto" w:sz="4" w:space="0"/>
            </w:tcBorders>
            <w:shd w:val="clear" w:color="auto" w:fill="auto"/>
            <w:vAlign w:val="center"/>
          </w:tcPr>
          <w:p w14:paraId="2B89E6D7">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小皮带头</w:t>
            </w:r>
          </w:p>
        </w:tc>
        <w:tc>
          <w:tcPr>
            <w:tcW w:w="719" w:type="dxa"/>
            <w:tcBorders>
              <w:top w:val="nil"/>
              <w:left w:val="nil"/>
              <w:bottom w:val="single" w:color="auto" w:sz="4" w:space="0"/>
              <w:right w:val="single" w:color="auto" w:sz="4" w:space="0"/>
            </w:tcBorders>
            <w:shd w:val="clear" w:color="auto" w:fill="auto"/>
            <w:vAlign w:val="center"/>
          </w:tcPr>
          <w:p w14:paraId="64118DC5">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w:t>
            </w:r>
          </w:p>
        </w:tc>
        <w:tc>
          <w:tcPr>
            <w:tcW w:w="885" w:type="dxa"/>
            <w:tcBorders>
              <w:top w:val="nil"/>
              <w:left w:val="nil"/>
              <w:bottom w:val="single" w:color="auto" w:sz="4" w:space="0"/>
              <w:right w:val="single" w:color="auto" w:sz="4" w:space="0"/>
            </w:tcBorders>
            <w:shd w:val="clear" w:color="auto" w:fill="auto"/>
            <w:vAlign w:val="center"/>
          </w:tcPr>
          <w:p w14:paraId="551A014C">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w:t>
            </w:r>
          </w:p>
        </w:tc>
        <w:tc>
          <w:tcPr>
            <w:tcW w:w="796" w:type="dxa"/>
            <w:tcBorders>
              <w:top w:val="nil"/>
              <w:left w:val="nil"/>
              <w:bottom w:val="single" w:color="auto" w:sz="4" w:space="0"/>
              <w:right w:val="single" w:color="auto" w:sz="4" w:space="0"/>
            </w:tcBorders>
            <w:shd w:val="clear" w:color="auto" w:fill="auto"/>
            <w:vAlign w:val="center"/>
          </w:tcPr>
          <w:p w14:paraId="77E491F5">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3500</w:t>
            </w:r>
          </w:p>
        </w:tc>
        <w:tc>
          <w:tcPr>
            <w:tcW w:w="847" w:type="dxa"/>
            <w:tcBorders>
              <w:top w:val="nil"/>
              <w:left w:val="nil"/>
              <w:bottom w:val="single" w:color="auto" w:sz="4" w:space="0"/>
              <w:right w:val="single" w:color="auto" w:sz="4" w:space="0"/>
            </w:tcBorders>
            <w:shd w:val="clear" w:color="auto" w:fill="auto"/>
            <w:vAlign w:val="center"/>
          </w:tcPr>
          <w:p w14:paraId="4F305C80">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7000</w:t>
            </w:r>
          </w:p>
        </w:tc>
        <w:tc>
          <w:tcPr>
            <w:tcW w:w="847" w:type="dxa"/>
            <w:tcBorders>
              <w:top w:val="nil"/>
              <w:left w:val="nil"/>
              <w:bottom w:val="single" w:color="auto" w:sz="4" w:space="0"/>
              <w:right w:val="single" w:color="auto" w:sz="4" w:space="0"/>
            </w:tcBorders>
            <w:shd w:val="clear" w:color="auto" w:fill="auto"/>
            <w:vAlign w:val="center"/>
          </w:tcPr>
          <w:p w14:paraId="139D2B98">
            <w:pPr>
              <w:widowControl/>
              <w:shd w:val="clear"/>
              <w:snapToGrid w:val="0"/>
              <w:spacing w:line="240" w:lineRule="auto"/>
              <w:ind w:firstLine="0" w:firstLineChars="0"/>
              <w:jc w:val="center"/>
              <w:textAlignment w:val="bottom"/>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rPr>
              <w:t>手动</w:t>
            </w:r>
          </w:p>
        </w:tc>
        <w:tc>
          <w:tcPr>
            <w:tcW w:w="847" w:type="dxa"/>
            <w:vMerge w:val="continue"/>
            <w:tcBorders>
              <w:left w:val="nil"/>
              <w:right w:val="single" w:color="auto" w:sz="4" w:space="0"/>
            </w:tcBorders>
            <w:shd w:val="clear" w:color="auto" w:fill="auto"/>
            <w:vAlign w:val="center"/>
          </w:tcPr>
          <w:p w14:paraId="272BBBB6">
            <w:pPr>
              <w:widowControl/>
              <w:shd w:val="clear"/>
              <w:snapToGrid w:val="0"/>
              <w:spacing w:line="240" w:lineRule="auto"/>
              <w:ind w:firstLine="0" w:firstLineChars="0"/>
              <w:jc w:val="center"/>
              <w:textAlignment w:val="bottom"/>
              <w:rPr>
                <w:rFonts w:hint="eastAsia"/>
                <w:color w:val="auto"/>
                <w:highlight w:val="none"/>
              </w:rPr>
            </w:pPr>
          </w:p>
        </w:tc>
      </w:tr>
      <w:tr w14:paraId="1C6C1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5878E875">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22</w:t>
            </w:r>
          </w:p>
        </w:tc>
        <w:tc>
          <w:tcPr>
            <w:tcW w:w="2893" w:type="dxa"/>
            <w:tcBorders>
              <w:top w:val="nil"/>
              <w:left w:val="single" w:color="auto" w:sz="4" w:space="0"/>
              <w:bottom w:val="single" w:color="auto" w:sz="4" w:space="0"/>
              <w:right w:val="single" w:color="auto" w:sz="4" w:space="0"/>
            </w:tcBorders>
            <w:vAlign w:val="center"/>
          </w:tcPr>
          <w:p w14:paraId="4FF4E30C">
            <w:pPr>
              <w:widowControl/>
              <w:shd w:val="clear"/>
              <w:snapToGrid w:val="0"/>
              <w:spacing w:line="240" w:lineRule="auto"/>
              <w:ind w:firstLine="0" w:firstLineChars="0"/>
              <w:textAlignment w:val="bottom"/>
              <w:rPr>
                <w:rFonts w:cs="宋体"/>
                <w:color w:val="auto"/>
                <w:sz w:val="21"/>
                <w:szCs w:val="21"/>
                <w:highlight w:val="none"/>
              </w:rPr>
            </w:pPr>
          </w:p>
        </w:tc>
        <w:tc>
          <w:tcPr>
            <w:tcW w:w="1928" w:type="dxa"/>
            <w:tcBorders>
              <w:top w:val="nil"/>
              <w:left w:val="single" w:color="auto" w:sz="4" w:space="0"/>
              <w:bottom w:val="single" w:color="auto" w:sz="4" w:space="0"/>
              <w:right w:val="single" w:color="auto" w:sz="4" w:space="0"/>
            </w:tcBorders>
            <w:shd w:val="clear" w:color="auto" w:fill="auto"/>
            <w:vAlign w:val="center"/>
          </w:tcPr>
          <w:p w14:paraId="56A22D02">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碱返（酸返）皮带受料点前</w:t>
            </w:r>
          </w:p>
        </w:tc>
        <w:tc>
          <w:tcPr>
            <w:tcW w:w="719" w:type="dxa"/>
            <w:tcBorders>
              <w:top w:val="nil"/>
              <w:left w:val="nil"/>
              <w:bottom w:val="single" w:color="auto" w:sz="4" w:space="0"/>
              <w:right w:val="single" w:color="auto" w:sz="4" w:space="0"/>
            </w:tcBorders>
            <w:shd w:val="clear" w:color="auto" w:fill="auto"/>
            <w:vAlign w:val="center"/>
          </w:tcPr>
          <w:p w14:paraId="0185B6C6">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w:t>
            </w:r>
          </w:p>
        </w:tc>
        <w:tc>
          <w:tcPr>
            <w:tcW w:w="885" w:type="dxa"/>
            <w:tcBorders>
              <w:top w:val="nil"/>
              <w:left w:val="nil"/>
              <w:bottom w:val="single" w:color="auto" w:sz="4" w:space="0"/>
              <w:right w:val="single" w:color="auto" w:sz="4" w:space="0"/>
            </w:tcBorders>
            <w:shd w:val="clear" w:color="auto" w:fill="auto"/>
            <w:vAlign w:val="center"/>
          </w:tcPr>
          <w:p w14:paraId="5A881A38">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shd w:val="clear" w:color="auto" w:fill="auto"/>
            <w:vAlign w:val="center"/>
          </w:tcPr>
          <w:p w14:paraId="4538583C">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12000</w:t>
            </w:r>
          </w:p>
        </w:tc>
        <w:tc>
          <w:tcPr>
            <w:tcW w:w="847" w:type="dxa"/>
            <w:tcBorders>
              <w:top w:val="nil"/>
              <w:left w:val="nil"/>
              <w:bottom w:val="single" w:color="auto" w:sz="4" w:space="0"/>
              <w:right w:val="single" w:color="auto" w:sz="4" w:space="0"/>
            </w:tcBorders>
            <w:shd w:val="clear" w:color="auto" w:fill="auto"/>
            <w:vAlign w:val="center"/>
          </w:tcPr>
          <w:p w14:paraId="3A8CF813">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12000</w:t>
            </w:r>
          </w:p>
        </w:tc>
        <w:tc>
          <w:tcPr>
            <w:tcW w:w="847" w:type="dxa"/>
            <w:tcBorders>
              <w:top w:val="nil"/>
              <w:left w:val="nil"/>
              <w:bottom w:val="single" w:color="auto" w:sz="4" w:space="0"/>
              <w:right w:val="single" w:color="auto" w:sz="4" w:space="0"/>
            </w:tcBorders>
            <w:shd w:val="clear" w:color="auto" w:fill="auto"/>
            <w:vAlign w:val="center"/>
          </w:tcPr>
          <w:p w14:paraId="1822DDE2">
            <w:pPr>
              <w:widowControl/>
              <w:shd w:val="clear"/>
              <w:snapToGrid w:val="0"/>
              <w:spacing w:line="240" w:lineRule="auto"/>
              <w:ind w:firstLine="0" w:firstLineChars="0"/>
              <w:jc w:val="center"/>
              <w:textAlignment w:val="bottom"/>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rPr>
              <w:t>手动</w:t>
            </w:r>
          </w:p>
        </w:tc>
        <w:tc>
          <w:tcPr>
            <w:tcW w:w="847" w:type="dxa"/>
            <w:vMerge w:val="continue"/>
            <w:tcBorders>
              <w:left w:val="nil"/>
              <w:bottom w:val="single" w:color="auto" w:sz="4" w:space="0"/>
              <w:right w:val="single" w:color="auto" w:sz="4" w:space="0"/>
            </w:tcBorders>
            <w:shd w:val="clear" w:color="auto" w:fill="auto"/>
            <w:vAlign w:val="center"/>
          </w:tcPr>
          <w:p w14:paraId="09C0AAE1">
            <w:pPr>
              <w:widowControl/>
              <w:shd w:val="clear"/>
              <w:snapToGrid w:val="0"/>
              <w:spacing w:line="240" w:lineRule="auto"/>
              <w:ind w:firstLine="0" w:firstLineChars="0"/>
              <w:jc w:val="center"/>
              <w:textAlignment w:val="bottom"/>
              <w:rPr>
                <w:rFonts w:hint="eastAsia"/>
                <w:color w:val="auto"/>
                <w:highlight w:val="none"/>
              </w:rPr>
            </w:pPr>
          </w:p>
        </w:tc>
      </w:tr>
      <w:tr w14:paraId="391D3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2F53DF26">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23</w:t>
            </w:r>
          </w:p>
        </w:tc>
        <w:tc>
          <w:tcPr>
            <w:tcW w:w="2893" w:type="dxa"/>
            <w:tcBorders>
              <w:top w:val="nil"/>
              <w:left w:val="single" w:color="auto" w:sz="4" w:space="0"/>
              <w:bottom w:val="single" w:color="auto" w:sz="4" w:space="0"/>
              <w:right w:val="single" w:color="auto" w:sz="4" w:space="0"/>
            </w:tcBorders>
            <w:vAlign w:val="center"/>
          </w:tcPr>
          <w:p w14:paraId="6E614FE8">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11#仓下振动筛出口溜槽上部</w:t>
            </w:r>
          </w:p>
        </w:tc>
        <w:tc>
          <w:tcPr>
            <w:tcW w:w="1928" w:type="dxa"/>
            <w:tcBorders>
              <w:top w:val="nil"/>
              <w:left w:val="nil"/>
              <w:bottom w:val="single" w:color="auto" w:sz="4" w:space="0"/>
              <w:right w:val="single" w:color="auto" w:sz="4" w:space="0"/>
            </w:tcBorders>
            <w:vAlign w:val="center"/>
          </w:tcPr>
          <w:p w14:paraId="68E09613">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振筛筛尾</w:t>
            </w:r>
          </w:p>
        </w:tc>
        <w:tc>
          <w:tcPr>
            <w:tcW w:w="719" w:type="dxa"/>
            <w:tcBorders>
              <w:top w:val="nil"/>
              <w:left w:val="nil"/>
              <w:bottom w:val="single" w:color="auto" w:sz="4" w:space="0"/>
              <w:right w:val="single" w:color="auto" w:sz="4" w:space="0"/>
            </w:tcBorders>
            <w:vAlign w:val="center"/>
          </w:tcPr>
          <w:p w14:paraId="71844C4B">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3CCC89A8">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06401F00">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8000</w:t>
            </w:r>
          </w:p>
        </w:tc>
        <w:tc>
          <w:tcPr>
            <w:tcW w:w="847" w:type="dxa"/>
            <w:tcBorders>
              <w:top w:val="nil"/>
              <w:left w:val="nil"/>
              <w:bottom w:val="single" w:color="auto" w:sz="4" w:space="0"/>
              <w:right w:val="single" w:color="auto" w:sz="4" w:space="0"/>
            </w:tcBorders>
            <w:vAlign w:val="center"/>
          </w:tcPr>
          <w:p w14:paraId="681D1ABF">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8000</w:t>
            </w:r>
          </w:p>
        </w:tc>
        <w:tc>
          <w:tcPr>
            <w:tcW w:w="847" w:type="dxa"/>
            <w:tcBorders>
              <w:top w:val="nil"/>
              <w:left w:val="nil"/>
              <w:bottom w:val="single" w:color="auto" w:sz="4" w:space="0"/>
              <w:right w:val="single" w:color="auto" w:sz="4" w:space="0"/>
            </w:tcBorders>
            <w:shd w:val="clear" w:color="auto" w:fill="auto"/>
            <w:vAlign w:val="center"/>
          </w:tcPr>
          <w:p w14:paraId="3EE84D18">
            <w:pPr>
              <w:widowControl/>
              <w:shd w:val="clear"/>
              <w:snapToGrid w:val="0"/>
              <w:spacing w:line="240" w:lineRule="auto"/>
              <w:ind w:firstLine="0" w:firstLineChars="0"/>
              <w:jc w:val="center"/>
              <w:textAlignment w:val="bottom"/>
              <w:rPr>
                <w:rFonts w:hint="default" w:ascii="宋体" w:hAnsi="宋体" w:eastAsia="宋体" w:cs="宋体"/>
                <w:color w:val="auto"/>
                <w:kern w:val="2"/>
                <w:sz w:val="21"/>
                <w:szCs w:val="21"/>
                <w:highlight w:val="none"/>
                <w:lang w:val="en-US" w:eastAsia="zh-CN" w:bidi="ar-SA"/>
              </w:rPr>
            </w:pPr>
            <w:r>
              <w:rPr>
                <w:rFonts w:hint="eastAsia" w:cs="宋体"/>
                <w:color w:val="auto"/>
                <w:sz w:val="21"/>
                <w:szCs w:val="21"/>
                <w:highlight w:val="none"/>
              </w:rPr>
              <w:t>气动+手动</w:t>
            </w:r>
          </w:p>
        </w:tc>
        <w:tc>
          <w:tcPr>
            <w:tcW w:w="847" w:type="dxa"/>
            <w:tcBorders>
              <w:top w:val="nil"/>
              <w:left w:val="nil"/>
              <w:bottom w:val="single" w:color="auto" w:sz="4" w:space="0"/>
              <w:right w:val="single" w:color="auto" w:sz="4" w:space="0"/>
            </w:tcBorders>
            <w:vAlign w:val="center"/>
          </w:tcPr>
          <w:p w14:paraId="64EF19B2">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w:t>
            </w:r>
          </w:p>
        </w:tc>
      </w:tr>
      <w:tr w14:paraId="2CDC4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203A7DAB">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24</w:t>
            </w:r>
          </w:p>
        </w:tc>
        <w:tc>
          <w:tcPr>
            <w:tcW w:w="2893" w:type="dxa"/>
            <w:tcBorders>
              <w:top w:val="nil"/>
              <w:left w:val="single" w:color="auto" w:sz="4" w:space="0"/>
              <w:bottom w:val="single" w:color="auto" w:sz="4" w:space="0"/>
              <w:right w:val="single" w:color="auto" w:sz="4" w:space="0"/>
            </w:tcBorders>
            <w:vAlign w:val="center"/>
          </w:tcPr>
          <w:p w14:paraId="3D0A2062">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11#仓下振动筛返料→碱返皮带及酸返皮带</w:t>
            </w:r>
          </w:p>
        </w:tc>
        <w:tc>
          <w:tcPr>
            <w:tcW w:w="1928" w:type="dxa"/>
            <w:tcBorders>
              <w:top w:val="nil"/>
              <w:left w:val="nil"/>
              <w:bottom w:val="single" w:color="auto" w:sz="4" w:space="0"/>
              <w:right w:val="single" w:color="auto" w:sz="4" w:space="0"/>
            </w:tcBorders>
            <w:vAlign w:val="center"/>
          </w:tcPr>
          <w:p w14:paraId="318E6D30">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碱返皮带及酸返皮带后</w:t>
            </w:r>
          </w:p>
        </w:tc>
        <w:tc>
          <w:tcPr>
            <w:tcW w:w="719" w:type="dxa"/>
            <w:tcBorders>
              <w:top w:val="nil"/>
              <w:left w:val="nil"/>
              <w:bottom w:val="single" w:color="auto" w:sz="4" w:space="0"/>
              <w:right w:val="single" w:color="auto" w:sz="4" w:space="0"/>
            </w:tcBorders>
            <w:vAlign w:val="center"/>
          </w:tcPr>
          <w:p w14:paraId="47D95550">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w:t>
            </w:r>
          </w:p>
        </w:tc>
        <w:tc>
          <w:tcPr>
            <w:tcW w:w="885" w:type="dxa"/>
            <w:tcBorders>
              <w:top w:val="nil"/>
              <w:left w:val="nil"/>
              <w:bottom w:val="single" w:color="auto" w:sz="4" w:space="0"/>
              <w:right w:val="single" w:color="auto" w:sz="4" w:space="0"/>
            </w:tcBorders>
            <w:vAlign w:val="center"/>
          </w:tcPr>
          <w:p w14:paraId="0D3EFF0C">
            <w:pPr>
              <w:widowControl/>
              <w:shd w:val="clear"/>
              <w:snapToGrid w:val="0"/>
              <w:spacing w:line="240" w:lineRule="auto"/>
              <w:ind w:firstLine="0" w:firstLineChars="0"/>
              <w:jc w:val="center"/>
              <w:textAlignment w:val="bottom"/>
              <w:rPr>
                <w:rFonts w:hint="eastAsia" w:eastAsia="宋体" w:cs="宋体"/>
                <w:color w:val="auto"/>
                <w:sz w:val="21"/>
                <w:szCs w:val="21"/>
                <w:highlight w:val="none"/>
                <w:lang w:eastAsia="zh-CN"/>
              </w:rPr>
            </w:pPr>
            <w:r>
              <w:rPr>
                <w:rFonts w:hint="eastAsia" w:cs="宋体"/>
                <w:color w:val="auto"/>
                <w:sz w:val="21"/>
                <w:szCs w:val="21"/>
                <w:highlight w:val="none"/>
                <w:lang w:val="en-US" w:eastAsia="zh-CN"/>
              </w:rPr>
              <w:t>2</w:t>
            </w:r>
          </w:p>
        </w:tc>
        <w:tc>
          <w:tcPr>
            <w:tcW w:w="796" w:type="dxa"/>
            <w:tcBorders>
              <w:top w:val="nil"/>
              <w:left w:val="nil"/>
              <w:bottom w:val="single" w:color="auto" w:sz="4" w:space="0"/>
              <w:right w:val="single" w:color="auto" w:sz="4" w:space="0"/>
            </w:tcBorders>
            <w:vAlign w:val="center"/>
          </w:tcPr>
          <w:p w14:paraId="2CBC2764">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3500</w:t>
            </w:r>
          </w:p>
        </w:tc>
        <w:tc>
          <w:tcPr>
            <w:tcW w:w="847" w:type="dxa"/>
            <w:tcBorders>
              <w:top w:val="nil"/>
              <w:left w:val="nil"/>
              <w:bottom w:val="single" w:color="auto" w:sz="4" w:space="0"/>
              <w:right w:val="single" w:color="auto" w:sz="4" w:space="0"/>
            </w:tcBorders>
            <w:vAlign w:val="center"/>
          </w:tcPr>
          <w:p w14:paraId="61497F69">
            <w:pPr>
              <w:widowControl/>
              <w:shd w:val="clear"/>
              <w:snapToGrid w:val="0"/>
              <w:spacing w:line="240" w:lineRule="auto"/>
              <w:ind w:firstLine="0" w:firstLineChars="0"/>
              <w:jc w:val="center"/>
              <w:textAlignment w:val="bottom"/>
              <w:rPr>
                <w:rFonts w:hint="default" w:eastAsia="宋体" w:cs="宋体"/>
                <w:color w:val="auto"/>
                <w:sz w:val="21"/>
                <w:szCs w:val="21"/>
                <w:highlight w:val="none"/>
                <w:lang w:val="en-US" w:eastAsia="zh-CN"/>
              </w:rPr>
            </w:pPr>
            <w:r>
              <w:rPr>
                <w:rFonts w:hint="eastAsia" w:cs="宋体"/>
                <w:color w:val="auto"/>
                <w:sz w:val="21"/>
                <w:szCs w:val="21"/>
                <w:highlight w:val="none"/>
              </w:rPr>
              <w:t>7000</w:t>
            </w:r>
          </w:p>
        </w:tc>
        <w:tc>
          <w:tcPr>
            <w:tcW w:w="847" w:type="dxa"/>
            <w:tcBorders>
              <w:top w:val="nil"/>
              <w:left w:val="nil"/>
              <w:bottom w:val="single" w:color="auto" w:sz="4" w:space="0"/>
              <w:right w:val="single" w:color="auto" w:sz="4" w:space="0"/>
            </w:tcBorders>
            <w:shd w:val="clear" w:color="auto" w:fill="auto"/>
            <w:vAlign w:val="center"/>
          </w:tcPr>
          <w:p w14:paraId="0FCC8402">
            <w:pPr>
              <w:widowControl/>
              <w:shd w:val="clear"/>
              <w:snapToGrid w:val="0"/>
              <w:spacing w:line="240" w:lineRule="auto"/>
              <w:ind w:firstLine="0" w:firstLineChars="0"/>
              <w:jc w:val="center"/>
              <w:textAlignment w:val="bottom"/>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rPr>
              <w:t>手动</w:t>
            </w:r>
          </w:p>
        </w:tc>
        <w:tc>
          <w:tcPr>
            <w:tcW w:w="847" w:type="dxa"/>
            <w:tcBorders>
              <w:top w:val="nil"/>
              <w:left w:val="nil"/>
              <w:bottom w:val="single" w:color="auto" w:sz="4" w:space="0"/>
              <w:right w:val="single" w:color="auto" w:sz="4" w:space="0"/>
            </w:tcBorders>
            <w:vAlign w:val="center"/>
          </w:tcPr>
          <w:p w14:paraId="4E277D5F">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w:t>
            </w:r>
          </w:p>
        </w:tc>
      </w:tr>
      <w:tr w14:paraId="60053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1A241333">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25</w:t>
            </w:r>
          </w:p>
        </w:tc>
        <w:tc>
          <w:tcPr>
            <w:tcW w:w="2893" w:type="dxa"/>
            <w:tcBorders>
              <w:top w:val="nil"/>
              <w:left w:val="single" w:color="auto" w:sz="4" w:space="0"/>
              <w:bottom w:val="single" w:color="auto" w:sz="4" w:space="0"/>
              <w:right w:val="single" w:color="auto" w:sz="4" w:space="0"/>
            </w:tcBorders>
            <w:vAlign w:val="center"/>
          </w:tcPr>
          <w:p w14:paraId="61D9486B">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　</w:t>
            </w:r>
          </w:p>
        </w:tc>
        <w:tc>
          <w:tcPr>
            <w:tcW w:w="1928" w:type="dxa"/>
            <w:tcBorders>
              <w:top w:val="nil"/>
              <w:left w:val="nil"/>
              <w:bottom w:val="single" w:color="auto" w:sz="4" w:space="0"/>
              <w:right w:val="single" w:color="auto" w:sz="4" w:space="0"/>
            </w:tcBorders>
            <w:vAlign w:val="center"/>
          </w:tcPr>
          <w:p w14:paraId="429A111F">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碱返皮带及酸返皮带前</w:t>
            </w:r>
          </w:p>
        </w:tc>
        <w:tc>
          <w:tcPr>
            <w:tcW w:w="719" w:type="dxa"/>
            <w:tcBorders>
              <w:top w:val="nil"/>
              <w:left w:val="nil"/>
              <w:bottom w:val="single" w:color="auto" w:sz="4" w:space="0"/>
              <w:right w:val="single" w:color="auto" w:sz="4" w:space="0"/>
            </w:tcBorders>
            <w:vAlign w:val="center"/>
          </w:tcPr>
          <w:p w14:paraId="04D51D6E">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w:t>
            </w:r>
          </w:p>
        </w:tc>
        <w:tc>
          <w:tcPr>
            <w:tcW w:w="885" w:type="dxa"/>
            <w:tcBorders>
              <w:top w:val="nil"/>
              <w:left w:val="nil"/>
              <w:bottom w:val="single" w:color="auto" w:sz="4" w:space="0"/>
              <w:right w:val="single" w:color="auto" w:sz="4" w:space="0"/>
            </w:tcBorders>
            <w:vAlign w:val="center"/>
          </w:tcPr>
          <w:p w14:paraId="6C28BD11">
            <w:pPr>
              <w:widowControl/>
              <w:shd w:val="clear"/>
              <w:snapToGrid w:val="0"/>
              <w:spacing w:line="240" w:lineRule="auto"/>
              <w:ind w:firstLine="0" w:firstLineChars="0"/>
              <w:jc w:val="center"/>
              <w:textAlignment w:val="bottom"/>
              <w:rPr>
                <w:rFonts w:hint="eastAsia" w:eastAsia="宋体" w:cs="宋体"/>
                <w:color w:val="auto"/>
                <w:sz w:val="21"/>
                <w:szCs w:val="21"/>
                <w:highlight w:val="none"/>
                <w:lang w:eastAsia="zh-CN"/>
              </w:rPr>
            </w:pPr>
            <w:r>
              <w:rPr>
                <w:rFonts w:hint="eastAsia" w:cs="宋体"/>
                <w:color w:val="auto"/>
                <w:sz w:val="21"/>
                <w:szCs w:val="21"/>
                <w:highlight w:val="none"/>
                <w:lang w:val="en-US" w:eastAsia="zh-CN"/>
              </w:rPr>
              <w:t>1</w:t>
            </w:r>
          </w:p>
        </w:tc>
        <w:tc>
          <w:tcPr>
            <w:tcW w:w="796" w:type="dxa"/>
            <w:tcBorders>
              <w:top w:val="nil"/>
              <w:left w:val="nil"/>
              <w:bottom w:val="single" w:color="auto" w:sz="4" w:space="0"/>
              <w:right w:val="single" w:color="auto" w:sz="4" w:space="0"/>
            </w:tcBorders>
            <w:vAlign w:val="center"/>
          </w:tcPr>
          <w:p w14:paraId="2D809525">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7000</w:t>
            </w:r>
          </w:p>
        </w:tc>
        <w:tc>
          <w:tcPr>
            <w:tcW w:w="847" w:type="dxa"/>
            <w:tcBorders>
              <w:top w:val="nil"/>
              <w:left w:val="nil"/>
              <w:bottom w:val="single" w:color="auto" w:sz="4" w:space="0"/>
              <w:right w:val="single" w:color="auto" w:sz="4" w:space="0"/>
            </w:tcBorders>
            <w:vAlign w:val="center"/>
          </w:tcPr>
          <w:p w14:paraId="224CCFBE">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7000</w:t>
            </w:r>
          </w:p>
        </w:tc>
        <w:tc>
          <w:tcPr>
            <w:tcW w:w="847" w:type="dxa"/>
            <w:tcBorders>
              <w:top w:val="nil"/>
              <w:left w:val="nil"/>
              <w:bottom w:val="single" w:color="auto" w:sz="4" w:space="0"/>
              <w:right w:val="single" w:color="auto" w:sz="4" w:space="0"/>
            </w:tcBorders>
            <w:shd w:val="clear" w:color="auto" w:fill="auto"/>
            <w:vAlign w:val="center"/>
          </w:tcPr>
          <w:p w14:paraId="4FC1012C">
            <w:pPr>
              <w:widowControl/>
              <w:shd w:val="clear"/>
              <w:snapToGrid w:val="0"/>
              <w:spacing w:line="240" w:lineRule="auto"/>
              <w:ind w:firstLine="0" w:firstLineChars="0"/>
              <w:jc w:val="center"/>
              <w:textAlignment w:val="bottom"/>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rPr>
              <w:t>气动+手动</w:t>
            </w:r>
          </w:p>
        </w:tc>
        <w:tc>
          <w:tcPr>
            <w:tcW w:w="847" w:type="dxa"/>
            <w:tcBorders>
              <w:top w:val="nil"/>
              <w:left w:val="nil"/>
              <w:bottom w:val="single" w:color="auto" w:sz="4" w:space="0"/>
              <w:right w:val="single" w:color="auto" w:sz="4" w:space="0"/>
            </w:tcBorders>
            <w:vAlign w:val="center"/>
          </w:tcPr>
          <w:p w14:paraId="702A30B3">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w:t>
            </w:r>
          </w:p>
        </w:tc>
      </w:tr>
      <w:tr w14:paraId="1EFBC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0E9A36E9">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26</w:t>
            </w:r>
          </w:p>
        </w:tc>
        <w:tc>
          <w:tcPr>
            <w:tcW w:w="2893" w:type="dxa"/>
            <w:tcBorders>
              <w:top w:val="nil"/>
              <w:left w:val="single" w:color="auto" w:sz="4" w:space="0"/>
              <w:bottom w:val="single" w:color="auto" w:sz="4" w:space="0"/>
              <w:right w:val="single" w:color="auto" w:sz="4" w:space="0"/>
            </w:tcBorders>
            <w:vAlign w:val="center"/>
          </w:tcPr>
          <w:p w14:paraId="29D80967">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12#仓下振动筛出口溜槽上部</w:t>
            </w:r>
          </w:p>
        </w:tc>
        <w:tc>
          <w:tcPr>
            <w:tcW w:w="1928" w:type="dxa"/>
            <w:tcBorders>
              <w:top w:val="nil"/>
              <w:left w:val="nil"/>
              <w:bottom w:val="single" w:color="auto" w:sz="4" w:space="0"/>
              <w:right w:val="single" w:color="auto" w:sz="4" w:space="0"/>
            </w:tcBorders>
            <w:vAlign w:val="center"/>
          </w:tcPr>
          <w:p w14:paraId="48E24037">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振筛筛尾</w:t>
            </w:r>
          </w:p>
        </w:tc>
        <w:tc>
          <w:tcPr>
            <w:tcW w:w="719" w:type="dxa"/>
            <w:tcBorders>
              <w:top w:val="nil"/>
              <w:left w:val="nil"/>
              <w:bottom w:val="single" w:color="auto" w:sz="4" w:space="0"/>
              <w:right w:val="single" w:color="auto" w:sz="4" w:space="0"/>
            </w:tcBorders>
            <w:vAlign w:val="center"/>
          </w:tcPr>
          <w:p w14:paraId="0B88AC07">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7CA757E5">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404D55AF">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8000</w:t>
            </w:r>
          </w:p>
        </w:tc>
        <w:tc>
          <w:tcPr>
            <w:tcW w:w="847" w:type="dxa"/>
            <w:tcBorders>
              <w:top w:val="nil"/>
              <w:left w:val="nil"/>
              <w:bottom w:val="single" w:color="auto" w:sz="4" w:space="0"/>
              <w:right w:val="single" w:color="auto" w:sz="4" w:space="0"/>
            </w:tcBorders>
            <w:vAlign w:val="center"/>
          </w:tcPr>
          <w:p w14:paraId="49D715B4">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8000</w:t>
            </w:r>
          </w:p>
        </w:tc>
        <w:tc>
          <w:tcPr>
            <w:tcW w:w="847" w:type="dxa"/>
            <w:tcBorders>
              <w:top w:val="nil"/>
              <w:left w:val="nil"/>
              <w:bottom w:val="single" w:color="auto" w:sz="4" w:space="0"/>
              <w:right w:val="single" w:color="auto" w:sz="4" w:space="0"/>
            </w:tcBorders>
            <w:shd w:val="clear" w:color="auto" w:fill="auto"/>
            <w:vAlign w:val="center"/>
          </w:tcPr>
          <w:p w14:paraId="1C080C51">
            <w:pPr>
              <w:widowControl/>
              <w:shd w:val="clear"/>
              <w:snapToGrid w:val="0"/>
              <w:spacing w:line="240" w:lineRule="auto"/>
              <w:ind w:firstLine="0" w:firstLineChars="0"/>
              <w:jc w:val="center"/>
              <w:textAlignment w:val="bottom"/>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rPr>
              <w:t>气动+手动</w:t>
            </w:r>
          </w:p>
        </w:tc>
        <w:tc>
          <w:tcPr>
            <w:tcW w:w="847" w:type="dxa"/>
            <w:tcBorders>
              <w:top w:val="nil"/>
              <w:left w:val="nil"/>
              <w:bottom w:val="single" w:color="auto" w:sz="4" w:space="0"/>
              <w:right w:val="single" w:color="auto" w:sz="4" w:space="0"/>
            </w:tcBorders>
            <w:vAlign w:val="center"/>
          </w:tcPr>
          <w:p w14:paraId="3CCD82B1">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w:t>
            </w:r>
          </w:p>
        </w:tc>
      </w:tr>
      <w:tr w14:paraId="02433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7CF1AE2C">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27</w:t>
            </w:r>
          </w:p>
        </w:tc>
        <w:tc>
          <w:tcPr>
            <w:tcW w:w="2893" w:type="dxa"/>
            <w:tcBorders>
              <w:top w:val="nil"/>
              <w:left w:val="single" w:color="auto" w:sz="4" w:space="0"/>
              <w:bottom w:val="single" w:color="auto" w:sz="4" w:space="0"/>
              <w:right w:val="single" w:color="auto" w:sz="4" w:space="0"/>
            </w:tcBorders>
            <w:vAlign w:val="center"/>
          </w:tcPr>
          <w:p w14:paraId="1EB3D695">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12#仓下振动筛返料→碱返皮带及酸返皮带</w:t>
            </w:r>
          </w:p>
        </w:tc>
        <w:tc>
          <w:tcPr>
            <w:tcW w:w="1928" w:type="dxa"/>
            <w:tcBorders>
              <w:top w:val="nil"/>
              <w:left w:val="nil"/>
              <w:bottom w:val="single" w:color="auto" w:sz="4" w:space="0"/>
              <w:right w:val="single" w:color="auto" w:sz="4" w:space="0"/>
            </w:tcBorders>
            <w:vAlign w:val="center"/>
          </w:tcPr>
          <w:p w14:paraId="3F23E1E1">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碱返皮带及酸返皮带后</w:t>
            </w:r>
          </w:p>
        </w:tc>
        <w:tc>
          <w:tcPr>
            <w:tcW w:w="719" w:type="dxa"/>
            <w:tcBorders>
              <w:top w:val="nil"/>
              <w:left w:val="nil"/>
              <w:bottom w:val="single" w:color="auto" w:sz="4" w:space="0"/>
              <w:right w:val="single" w:color="auto" w:sz="4" w:space="0"/>
            </w:tcBorders>
            <w:vAlign w:val="center"/>
          </w:tcPr>
          <w:p w14:paraId="43BB3A16">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w:t>
            </w:r>
          </w:p>
        </w:tc>
        <w:tc>
          <w:tcPr>
            <w:tcW w:w="885" w:type="dxa"/>
            <w:tcBorders>
              <w:top w:val="nil"/>
              <w:left w:val="nil"/>
              <w:bottom w:val="single" w:color="auto" w:sz="4" w:space="0"/>
              <w:right w:val="single" w:color="auto" w:sz="4" w:space="0"/>
            </w:tcBorders>
            <w:vAlign w:val="center"/>
          </w:tcPr>
          <w:p w14:paraId="7DEAF83E">
            <w:pPr>
              <w:widowControl/>
              <w:shd w:val="clear"/>
              <w:snapToGrid w:val="0"/>
              <w:spacing w:line="240" w:lineRule="auto"/>
              <w:ind w:firstLine="0" w:firstLineChars="0"/>
              <w:jc w:val="center"/>
              <w:textAlignment w:val="bottom"/>
              <w:rPr>
                <w:rFonts w:hint="eastAsia" w:eastAsia="宋体" w:cs="宋体"/>
                <w:color w:val="auto"/>
                <w:sz w:val="21"/>
                <w:szCs w:val="21"/>
                <w:highlight w:val="none"/>
                <w:lang w:eastAsia="zh-CN"/>
              </w:rPr>
            </w:pPr>
            <w:r>
              <w:rPr>
                <w:rFonts w:hint="eastAsia" w:cs="宋体"/>
                <w:color w:val="auto"/>
                <w:sz w:val="21"/>
                <w:szCs w:val="21"/>
                <w:highlight w:val="none"/>
                <w:lang w:val="en-US" w:eastAsia="zh-CN"/>
              </w:rPr>
              <w:t>2</w:t>
            </w:r>
          </w:p>
        </w:tc>
        <w:tc>
          <w:tcPr>
            <w:tcW w:w="796" w:type="dxa"/>
            <w:tcBorders>
              <w:top w:val="nil"/>
              <w:left w:val="nil"/>
              <w:bottom w:val="single" w:color="auto" w:sz="4" w:space="0"/>
              <w:right w:val="single" w:color="auto" w:sz="4" w:space="0"/>
            </w:tcBorders>
            <w:vAlign w:val="center"/>
          </w:tcPr>
          <w:p w14:paraId="5644755C">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3500</w:t>
            </w:r>
          </w:p>
        </w:tc>
        <w:tc>
          <w:tcPr>
            <w:tcW w:w="847" w:type="dxa"/>
            <w:tcBorders>
              <w:top w:val="nil"/>
              <w:left w:val="nil"/>
              <w:bottom w:val="single" w:color="auto" w:sz="4" w:space="0"/>
              <w:right w:val="single" w:color="auto" w:sz="4" w:space="0"/>
            </w:tcBorders>
            <w:vAlign w:val="center"/>
          </w:tcPr>
          <w:p w14:paraId="4CFD662C">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7000</w:t>
            </w:r>
          </w:p>
        </w:tc>
        <w:tc>
          <w:tcPr>
            <w:tcW w:w="847" w:type="dxa"/>
            <w:tcBorders>
              <w:top w:val="nil"/>
              <w:left w:val="nil"/>
              <w:bottom w:val="single" w:color="auto" w:sz="4" w:space="0"/>
              <w:right w:val="single" w:color="auto" w:sz="4" w:space="0"/>
            </w:tcBorders>
            <w:shd w:val="clear" w:color="auto" w:fill="auto"/>
            <w:vAlign w:val="center"/>
          </w:tcPr>
          <w:p w14:paraId="3A192902">
            <w:pPr>
              <w:widowControl/>
              <w:shd w:val="clear"/>
              <w:snapToGrid w:val="0"/>
              <w:spacing w:line="240" w:lineRule="auto"/>
              <w:ind w:firstLine="0" w:firstLineChars="0"/>
              <w:jc w:val="center"/>
              <w:textAlignment w:val="bottom"/>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rPr>
              <w:t>手动</w:t>
            </w:r>
          </w:p>
        </w:tc>
        <w:tc>
          <w:tcPr>
            <w:tcW w:w="847" w:type="dxa"/>
            <w:tcBorders>
              <w:top w:val="nil"/>
              <w:left w:val="nil"/>
              <w:bottom w:val="single" w:color="auto" w:sz="4" w:space="0"/>
              <w:right w:val="single" w:color="auto" w:sz="4" w:space="0"/>
            </w:tcBorders>
            <w:vAlign w:val="center"/>
          </w:tcPr>
          <w:p w14:paraId="1414D093">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w:t>
            </w:r>
          </w:p>
        </w:tc>
      </w:tr>
      <w:tr w14:paraId="6EBD3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4430FC08">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28</w:t>
            </w:r>
          </w:p>
        </w:tc>
        <w:tc>
          <w:tcPr>
            <w:tcW w:w="2893" w:type="dxa"/>
            <w:tcBorders>
              <w:top w:val="nil"/>
              <w:left w:val="single" w:color="auto" w:sz="4" w:space="0"/>
              <w:bottom w:val="single" w:color="auto" w:sz="4" w:space="0"/>
              <w:right w:val="single" w:color="auto" w:sz="4" w:space="0"/>
            </w:tcBorders>
            <w:vAlign w:val="center"/>
          </w:tcPr>
          <w:p w14:paraId="357B9D81">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　</w:t>
            </w:r>
          </w:p>
        </w:tc>
        <w:tc>
          <w:tcPr>
            <w:tcW w:w="1928" w:type="dxa"/>
            <w:tcBorders>
              <w:top w:val="nil"/>
              <w:left w:val="nil"/>
              <w:bottom w:val="single" w:color="auto" w:sz="4" w:space="0"/>
              <w:right w:val="single" w:color="auto" w:sz="4" w:space="0"/>
            </w:tcBorders>
            <w:vAlign w:val="center"/>
          </w:tcPr>
          <w:p w14:paraId="6D1E1EF8">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碱返皮带及酸返皮带前</w:t>
            </w:r>
          </w:p>
        </w:tc>
        <w:tc>
          <w:tcPr>
            <w:tcW w:w="719" w:type="dxa"/>
            <w:tcBorders>
              <w:top w:val="nil"/>
              <w:left w:val="nil"/>
              <w:bottom w:val="single" w:color="auto" w:sz="4" w:space="0"/>
              <w:right w:val="single" w:color="auto" w:sz="4" w:space="0"/>
            </w:tcBorders>
            <w:vAlign w:val="center"/>
          </w:tcPr>
          <w:p w14:paraId="72F96FEC">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w:t>
            </w:r>
          </w:p>
        </w:tc>
        <w:tc>
          <w:tcPr>
            <w:tcW w:w="885" w:type="dxa"/>
            <w:tcBorders>
              <w:top w:val="nil"/>
              <w:left w:val="nil"/>
              <w:bottom w:val="single" w:color="auto" w:sz="4" w:space="0"/>
              <w:right w:val="single" w:color="auto" w:sz="4" w:space="0"/>
            </w:tcBorders>
            <w:vAlign w:val="center"/>
          </w:tcPr>
          <w:p w14:paraId="39753EDB">
            <w:pPr>
              <w:widowControl/>
              <w:shd w:val="clear"/>
              <w:snapToGrid w:val="0"/>
              <w:spacing w:line="240" w:lineRule="auto"/>
              <w:ind w:firstLine="0" w:firstLineChars="0"/>
              <w:jc w:val="center"/>
              <w:textAlignment w:val="bottom"/>
              <w:rPr>
                <w:rFonts w:hint="eastAsia" w:eastAsia="宋体" w:cs="宋体"/>
                <w:color w:val="auto"/>
                <w:sz w:val="21"/>
                <w:szCs w:val="21"/>
                <w:highlight w:val="none"/>
                <w:lang w:eastAsia="zh-CN"/>
              </w:rPr>
            </w:pPr>
            <w:r>
              <w:rPr>
                <w:rFonts w:hint="eastAsia" w:cs="宋体"/>
                <w:color w:val="auto"/>
                <w:sz w:val="21"/>
                <w:szCs w:val="21"/>
                <w:highlight w:val="none"/>
                <w:lang w:val="en-US" w:eastAsia="zh-CN"/>
              </w:rPr>
              <w:t>1</w:t>
            </w:r>
          </w:p>
        </w:tc>
        <w:tc>
          <w:tcPr>
            <w:tcW w:w="796" w:type="dxa"/>
            <w:tcBorders>
              <w:top w:val="nil"/>
              <w:left w:val="nil"/>
              <w:bottom w:val="single" w:color="auto" w:sz="4" w:space="0"/>
              <w:right w:val="single" w:color="auto" w:sz="4" w:space="0"/>
            </w:tcBorders>
            <w:vAlign w:val="center"/>
          </w:tcPr>
          <w:p w14:paraId="7AC7A0FB">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7000</w:t>
            </w:r>
          </w:p>
        </w:tc>
        <w:tc>
          <w:tcPr>
            <w:tcW w:w="847" w:type="dxa"/>
            <w:tcBorders>
              <w:top w:val="nil"/>
              <w:left w:val="nil"/>
              <w:bottom w:val="single" w:color="auto" w:sz="4" w:space="0"/>
              <w:right w:val="single" w:color="auto" w:sz="4" w:space="0"/>
            </w:tcBorders>
            <w:vAlign w:val="center"/>
          </w:tcPr>
          <w:p w14:paraId="6C8DE3F8">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7000</w:t>
            </w:r>
          </w:p>
        </w:tc>
        <w:tc>
          <w:tcPr>
            <w:tcW w:w="847" w:type="dxa"/>
            <w:tcBorders>
              <w:top w:val="nil"/>
              <w:left w:val="nil"/>
              <w:bottom w:val="single" w:color="auto" w:sz="4" w:space="0"/>
              <w:right w:val="single" w:color="auto" w:sz="4" w:space="0"/>
            </w:tcBorders>
            <w:shd w:val="clear" w:color="auto" w:fill="auto"/>
            <w:vAlign w:val="center"/>
          </w:tcPr>
          <w:p w14:paraId="039604B4">
            <w:pPr>
              <w:widowControl/>
              <w:shd w:val="clear"/>
              <w:snapToGrid w:val="0"/>
              <w:spacing w:line="240" w:lineRule="auto"/>
              <w:ind w:firstLine="0" w:firstLineChars="0"/>
              <w:jc w:val="center"/>
              <w:textAlignment w:val="bottom"/>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rPr>
              <w:t>气动+手动</w:t>
            </w:r>
          </w:p>
        </w:tc>
        <w:tc>
          <w:tcPr>
            <w:tcW w:w="847" w:type="dxa"/>
            <w:tcBorders>
              <w:top w:val="nil"/>
              <w:left w:val="nil"/>
              <w:bottom w:val="single" w:color="auto" w:sz="4" w:space="0"/>
              <w:right w:val="single" w:color="auto" w:sz="4" w:space="0"/>
            </w:tcBorders>
            <w:vAlign w:val="center"/>
          </w:tcPr>
          <w:p w14:paraId="14AB800E">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w:t>
            </w:r>
          </w:p>
        </w:tc>
      </w:tr>
      <w:tr w14:paraId="794F9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07ADFB8B">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29</w:t>
            </w:r>
          </w:p>
        </w:tc>
        <w:tc>
          <w:tcPr>
            <w:tcW w:w="2893" w:type="dxa"/>
            <w:tcBorders>
              <w:top w:val="nil"/>
              <w:left w:val="single" w:color="auto" w:sz="4" w:space="0"/>
              <w:bottom w:val="single" w:color="auto" w:sz="4" w:space="0"/>
              <w:right w:val="single" w:color="auto" w:sz="4" w:space="0"/>
            </w:tcBorders>
            <w:vAlign w:val="center"/>
          </w:tcPr>
          <w:p w14:paraId="4B464D3C">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13#仓下振动筛出口溜槽上部</w:t>
            </w:r>
          </w:p>
        </w:tc>
        <w:tc>
          <w:tcPr>
            <w:tcW w:w="1928" w:type="dxa"/>
            <w:tcBorders>
              <w:top w:val="nil"/>
              <w:left w:val="nil"/>
              <w:bottom w:val="single" w:color="auto" w:sz="4" w:space="0"/>
              <w:right w:val="single" w:color="auto" w:sz="4" w:space="0"/>
            </w:tcBorders>
            <w:vAlign w:val="center"/>
          </w:tcPr>
          <w:p w14:paraId="7E17ADD1">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振筛筛尾</w:t>
            </w:r>
          </w:p>
        </w:tc>
        <w:tc>
          <w:tcPr>
            <w:tcW w:w="719" w:type="dxa"/>
            <w:tcBorders>
              <w:top w:val="nil"/>
              <w:left w:val="nil"/>
              <w:bottom w:val="single" w:color="auto" w:sz="4" w:space="0"/>
              <w:right w:val="single" w:color="auto" w:sz="4" w:space="0"/>
            </w:tcBorders>
            <w:vAlign w:val="center"/>
          </w:tcPr>
          <w:p w14:paraId="700593FE">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7AF79571">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31A784C6">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8000</w:t>
            </w:r>
          </w:p>
        </w:tc>
        <w:tc>
          <w:tcPr>
            <w:tcW w:w="847" w:type="dxa"/>
            <w:tcBorders>
              <w:top w:val="nil"/>
              <w:left w:val="nil"/>
              <w:bottom w:val="single" w:color="auto" w:sz="4" w:space="0"/>
              <w:right w:val="single" w:color="auto" w:sz="4" w:space="0"/>
            </w:tcBorders>
            <w:vAlign w:val="center"/>
          </w:tcPr>
          <w:p w14:paraId="629C0550">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8000</w:t>
            </w:r>
          </w:p>
        </w:tc>
        <w:tc>
          <w:tcPr>
            <w:tcW w:w="847" w:type="dxa"/>
            <w:tcBorders>
              <w:top w:val="nil"/>
              <w:left w:val="nil"/>
              <w:bottom w:val="single" w:color="auto" w:sz="4" w:space="0"/>
              <w:right w:val="single" w:color="auto" w:sz="4" w:space="0"/>
            </w:tcBorders>
            <w:shd w:val="clear" w:color="auto" w:fill="auto"/>
            <w:vAlign w:val="center"/>
          </w:tcPr>
          <w:p w14:paraId="4436FD7A">
            <w:pPr>
              <w:widowControl/>
              <w:shd w:val="clear"/>
              <w:snapToGrid w:val="0"/>
              <w:spacing w:line="240" w:lineRule="auto"/>
              <w:ind w:firstLine="0" w:firstLineChars="0"/>
              <w:jc w:val="center"/>
              <w:textAlignment w:val="bottom"/>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rPr>
              <w:t>气动+手动</w:t>
            </w:r>
          </w:p>
        </w:tc>
        <w:tc>
          <w:tcPr>
            <w:tcW w:w="847" w:type="dxa"/>
            <w:tcBorders>
              <w:top w:val="nil"/>
              <w:left w:val="nil"/>
              <w:bottom w:val="single" w:color="auto" w:sz="4" w:space="0"/>
              <w:right w:val="single" w:color="auto" w:sz="4" w:space="0"/>
            </w:tcBorders>
            <w:vAlign w:val="center"/>
          </w:tcPr>
          <w:p w14:paraId="5622C442">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w:t>
            </w:r>
          </w:p>
        </w:tc>
      </w:tr>
      <w:tr w14:paraId="73679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624DB010">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30</w:t>
            </w:r>
          </w:p>
        </w:tc>
        <w:tc>
          <w:tcPr>
            <w:tcW w:w="2893" w:type="dxa"/>
            <w:tcBorders>
              <w:top w:val="nil"/>
              <w:left w:val="single" w:color="auto" w:sz="4" w:space="0"/>
              <w:bottom w:val="single" w:color="auto" w:sz="4" w:space="0"/>
              <w:right w:val="single" w:color="auto" w:sz="4" w:space="0"/>
            </w:tcBorders>
            <w:vAlign w:val="center"/>
          </w:tcPr>
          <w:p w14:paraId="2EC86505">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13#仓下振动筛返料→碱返皮带及酸返皮带</w:t>
            </w:r>
          </w:p>
        </w:tc>
        <w:tc>
          <w:tcPr>
            <w:tcW w:w="1928" w:type="dxa"/>
            <w:tcBorders>
              <w:top w:val="nil"/>
              <w:left w:val="nil"/>
              <w:bottom w:val="single" w:color="auto" w:sz="4" w:space="0"/>
              <w:right w:val="single" w:color="auto" w:sz="4" w:space="0"/>
            </w:tcBorders>
            <w:vAlign w:val="center"/>
          </w:tcPr>
          <w:p w14:paraId="1A28879B">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碱返皮带及酸返皮带后</w:t>
            </w:r>
          </w:p>
        </w:tc>
        <w:tc>
          <w:tcPr>
            <w:tcW w:w="719" w:type="dxa"/>
            <w:tcBorders>
              <w:top w:val="nil"/>
              <w:left w:val="nil"/>
              <w:bottom w:val="single" w:color="auto" w:sz="4" w:space="0"/>
              <w:right w:val="single" w:color="auto" w:sz="4" w:space="0"/>
            </w:tcBorders>
            <w:vAlign w:val="center"/>
          </w:tcPr>
          <w:p w14:paraId="7271E76F">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w:t>
            </w:r>
          </w:p>
        </w:tc>
        <w:tc>
          <w:tcPr>
            <w:tcW w:w="885" w:type="dxa"/>
            <w:tcBorders>
              <w:top w:val="nil"/>
              <w:left w:val="nil"/>
              <w:bottom w:val="single" w:color="auto" w:sz="4" w:space="0"/>
              <w:right w:val="single" w:color="auto" w:sz="4" w:space="0"/>
            </w:tcBorders>
            <w:vAlign w:val="center"/>
          </w:tcPr>
          <w:p w14:paraId="72BF723A">
            <w:pPr>
              <w:widowControl/>
              <w:shd w:val="clear"/>
              <w:snapToGrid w:val="0"/>
              <w:spacing w:line="240" w:lineRule="auto"/>
              <w:ind w:firstLine="0" w:firstLineChars="0"/>
              <w:jc w:val="center"/>
              <w:textAlignment w:val="bottom"/>
              <w:rPr>
                <w:rFonts w:hint="eastAsia" w:eastAsia="宋体" w:cs="宋体"/>
                <w:color w:val="auto"/>
                <w:sz w:val="21"/>
                <w:szCs w:val="21"/>
                <w:highlight w:val="none"/>
                <w:lang w:eastAsia="zh-CN"/>
              </w:rPr>
            </w:pPr>
            <w:r>
              <w:rPr>
                <w:rFonts w:hint="eastAsia" w:cs="宋体"/>
                <w:color w:val="auto"/>
                <w:sz w:val="21"/>
                <w:szCs w:val="21"/>
                <w:highlight w:val="none"/>
                <w:lang w:val="en-US" w:eastAsia="zh-CN"/>
              </w:rPr>
              <w:t>2</w:t>
            </w:r>
          </w:p>
        </w:tc>
        <w:tc>
          <w:tcPr>
            <w:tcW w:w="796" w:type="dxa"/>
            <w:tcBorders>
              <w:top w:val="nil"/>
              <w:left w:val="nil"/>
              <w:bottom w:val="single" w:color="auto" w:sz="4" w:space="0"/>
              <w:right w:val="single" w:color="auto" w:sz="4" w:space="0"/>
            </w:tcBorders>
            <w:vAlign w:val="center"/>
          </w:tcPr>
          <w:p w14:paraId="1EA5316E">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3500</w:t>
            </w:r>
          </w:p>
        </w:tc>
        <w:tc>
          <w:tcPr>
            <w:tcW w:w="847" w:type="dxa"/>
            <w:tcBorders>
              <w:top w:val="nil"/>
              <w:left w:val="nil"/>
              <w:bottom w:val="single" w:color="auto" w:sz="4" w:space="0"/>
              <w:right w:val="single" w:color="auto" w:sz="4" w:space="0"/>
            </w:tcBorders>
            <w:vAlign w:val="center"/>
          </w:tcPr>
          <w:p w14:paraId="1075E533">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7000</w:t>
            </w:r>
          </w:p>
        </w:tc>
        <w:tc>
          <w:tcPr>
            <w:tcW w:w="847" w:type="dxa"/>
            <w:tcBorders>
              <w:top w:val="nil"/>
              <w:left w:val="nil"/>
              <w:bottom w:val="single" w:color="auto" w:sz="4" w:space="0"/>
              <w:right w:val="single" w:color="auto" w:sz="4" w:space="0"/>
            </w:tcBorders>
            <w:shd w:val="clear" w:color="auto" w:fill="auto"/>
            <w:vAlign w:val="center"/>
          </w:tcPr>
          <w:p w14:paraId="2DF88CEF">
            <w:pPr>
              <w:widowControl/>
              <w:shd w:val="clear"/>
              <w:snapToGrid w:val="0"/>
              <w:spacing w:line="240" w:lineRule="auto"/>
              <w:ind w:firstLine="0" w:firstLineChars="0"/>
              <w:jc w:val="center"/>
              <w:textAlignment w:val="bottom"/>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rPr>
              <w:t>手动</w:t>
            </w:r>
          </w:p>
        </w:tc>
        <w:tc>
          <w:tcPr>
            <w:tcW w:w="847" w:type="dxa"/>
            <w:tcBorders>
              <w:top w:val="nil"/>
              <w:left w:val="nil"/>
              <w:bottom w:val="single" w:color="auto" w:sz="4" w:space="0"/>
              <w:right w:val="single" w:color="auto" w:sz="4" w:space="0"/>
            </w:tcBorders>
            <w:vAlign w:val="center"/>
          </w:tcPr>
          <w:p w14:paraId="06E29601">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w:t>
            </w:r>
          </w:p>
        </w:tc>
      </w:tr>
      <w:tr w14:paraId="41984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1236B424">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31</w:t>
            </w:r>
          </w:p>
        </w:tc>
        <w:tc>
          <w:tcPr>
            <w:tcW w:w="2893" w:type="dxa"/>
            <w:tcBorders>
              <w:top w:val="nil"/>
              <w:left w:val="single" w:color="auto" w:sz="4" w:space="0"/>
              <w:bottom w:val="single" w:color="auto" w:sz="4" w:space="0"/>
              <w:right w:val="single" w:color="auto" w:sz="4" w:space="0"/>
            </w:tcBorders>
            <w:vAlign w:val="center"/>
          </w:tcPr>
          <w:p w14:paraId="168F9B12">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　</w:t>
            </w:r>
          </w:p>
        </w:tc>
        <w:tc>
          <w:tcPr>
            <w:tcW w:w="1928" w:type="dxa"/>
            <w:tcBorders>
              <w:top w:val="nil"/>
              <w:left w:val="nil"/>
              <w:bottom w:val="single" w:color="auto" w:sz="4" w:space="0"/>
              <w:right w:val="single" w:color="auto" w:sz="4" w:space="0"/>
            </w:tcBorders>
            <w:vAlign w:val="center"/>
          </w:tcPr>
          <w:p w14:paraId="13143389">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碱返皮带及酸返皮带前</w:t>
            </w:r>
          </w:p>
        </w:tc>
        <w:tc>
          <w:tcPr>
            <w:tcW w:w="719" w:type="dxa"/>
            <w:tcBorders>
              <w:top w:val="nil"/>
              <w:left w:val="nil"/>
              <w:bottom w:val="single" w:color="auto" w:sz="4" w:space="0"/>
              <w:right w:val="single" w:color="auto" w:sz="4" w:space="0"/>
            </w:tcBorders>
            <w:vAlign w:val="center"/>
          </w:tcPr>
          <w:p w14:paraId="06F5ECBE">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w:t>
            </w:r>
          </w:p>
        </w:tc>
        <w:tc>
          <w:tcPr>
            <w:tcW w:w="885" w:type="dxa"/>
            <w:tcBorders>
              <w:top w:val="nil"/>
              <w:left w:val="nil"/>
              <w:bottom w:val="single" w:color="auto" w:sz="4" w:space="0"/>
              <w:right w:val="single" w:color="auto" w:sz="4" w:space="0"/>
            </w:tcBorders>
            <w:vAlign w:val="center"/>
          </w:tcPr>
          <w:p w14:paraId="531E005F">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1C168EA6">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7000</w:t>
            </w:r>
          </w:p>
        </w:tc>
        <w:tc>
          <w:tcPr>
            <w:tcW w:w="847" w:type="dxa"/>
            <w:tcBorders>
              <w:top w:val="nil"/>
              <w:left w:val="nil"/>
              <w:bottom w:val="single" w:color="auto" w:sz="4" w:space="0"/>
              <w:right w:val="single" w:color="auto" w:sz="4" w:space="0"/>
            </w:tcBorders>
            <w:vAlign w:val="center"/>
          </w:tcPr>
          <w:p w14:paraId="4BDA5AAC">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7000</w:t>
            </w:r>
          </w:p>
        </w:tc>
        <w:tc>
          <w:tcPr>
            <w:tcW w:w="847" w:type="dxa"/>
            <w:tcBorders>
              <w:top w:val="nil"/>
              <w:left w:val="nil"/>
              <w:bottom w:val="single" w:color="auto" w:sz="4" w:space="0"/>
              <w:right w:val="single" w:color="auto" w:sz="4" w:space="0"/>
            </w:tcBorders>
            <w:shd w:val="clear" w:color="auto" w:fill="auto"/>
            <w:vAlign w:val="center"/>
          </w:tcPr>
          <w:p w14:paraId="19F51233">
            <w:pPr>
              <w:widowControl/>
              <w:shd w:val="clear"/>
              <w:snapToGrid w:val="0"/>
              <w:spacing w:line="240" w:lineRule="auto"/>
              <w:ind w:firstLine="0" w:firstLineChars="0"/>
              <w:jc w:val="center"/>
              <w:textAlignment w:val="bottom"/>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rPr>
              <w:t>气动+手动</w:t>
            </w:r>
          </w:p>
        </w:tc>
        <w:tc>
          <w:tcPr>
            <w:tcW w:w="847" w:type="dxa"/>
            <w:tcBorders>
              <w:top w:val="nil"/>
              <w:left w:val="nil"/>
              <w:bottom w:val="single" w:color="auto" w:sz="4" w:space="0"/>
              <w:right w:val="single" w:color="auto" w:sz="4" w:space="0"/>
            </w:tcBorders>
            <w:vAlign w:val="center"/>
          </w:tcPr>
          <w:p w14:paraId="714950E8">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w:t>
            </w:r>
          </w:p>
        </w:tc>
      </w:tr>
      <w:tr w14:paraId="7CB65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3ED98663">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32</w:t>
            </w:r>
          </w:p>
        </w:tc>
        <w:tc>
          <w:tcPr>
            <w:tcW w:w="2893" w:type="dxa"/>
            <w:tcBorders>
              <w:top w:val="nil"/>
              <w:left w:val="single" w:color="auto" w:sz="4" w:space="0"/>
              <w:bottom w:val="single" w:color="auto" w:sz="4" w:space="0"/>
              <w:right w:val="single" w:color="auto" w:sz="4" w:space="0"/>
            </w:tcBorders>
            <w:vAlign w:val="center"/>
          </w:tcPr>
          <w:p w14:paraId="31F5A15B">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14#仓下振动筛出口溜槽上部</w:t>
            </w:r>
          </w:p>
        </w:tc>
        <w:tc>
          <w:tcPr>
            <w:tcW w:w="1928" w:type="dxa"/>
            <w:tcBorders>
              <w:top w:val="nil"/>
              <w:left w:val="nil"/>
              <w:bottom w:val="single" w:color="auto" w:sz="4" w:space="0"/>
              <w:right w:val="single" w:color="auto" w:sz="4" w:space="0"/>
            </w:tcBorders>
            <w:vAlign w:val="center"/>
          </w:tcPr>
          <w:p w14:paraId="3CA9F930">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振筛筛尾</w:t>
            </w:r>
          </w:p>
        </w:tc>
        <w:tc>
          <w:tcPr>
            <w:tcW w:w="719" w:type="dxa"/>
            <w:tcBorders>
              <w:top w:val="nil"/>
              <w:left w:val="nil"/>
              <w:bottom w:val="single" w:color="auto" w:sz="4" w:space="0"/>
              <w:right w:val="single" w:color="auto" w:sz="4" w:space="0"/>
            </w:tcBorders>
            <w:vAlign w:val="center"/>
          </w:tcPr>
          <w:p w14:paraId="57EC221B">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166B0D70">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638E1999">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8000</w:t>
            </w:r>
          </w:p>
        </w:tc>
        <w:tc>
          <w:tcPr>
            <w:tcW w:w="847" w:type="dxa"/>
            <w:tcBorders>
              <w:top w:val="nil"/>
              <w:left w:val="nil"/>
              <w:bottom w:val="single" w:color="auto" w:sz="4" w:space="0"/>
              <w:right w:val="single" w:color="auto" w:sz="4" w:space="0"/>
            </w:tcBorders>
            <w:vAlign w:val="center"/>
          </w:tcPr>
          <w:p w14:paraId="77FF2716">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8000</w:t>
            </w:r>
          </w:p>
        </w:tc>
        <w:tc>
          <w:tcPr>
            <w:tcW w:w="847" w:type="dxa"/>
            <w:tcBorders>
              <w:top w:val="nil"/>
              <w:left w:val="nil"/>
              <w:bottom w:val="single" w:color="auto" w:sz="4" w:space="0"/>
              <w:right w:val="single" w:color="auto" w:sz="4" w:space="0"/>
            </w:tcBorders>
            <w:vAlign w:val="center"/>
          </w:tcPr>
          <w:p w14:paraId="66D522DD">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气动+手动</w:t>
            </w:r>
          </w:p>
        </w:tc>
        <w:tc>
          <w:tcPr>
            <w:tcW w:w="847" w:type="dxa"/>
            <w:tcBorders>
              <w:top w:val="nil"/>
              <w:left w:val="nil"/>
              <w:bottom w:val="single" w:color="auto" w:sz="4" w:space="0"/>
              <w:right w:val="single" w:color="auto" w:sz="4" w:space="0"/>
            </w:tcBorders>
            <w:vAlign w:val="center"/>
          </w:tcPr>
          <w:p w14:paraId="11B5B1F7">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w:t>
            </w:r>
          </w:p>
        </w:tc>
      </w:tr>
      <w:tr w14:paraId="4327C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2299D876">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33</w:t>
            </w:r>
          </w:p>
        </w:tc>
        <w:tc>
          <w:tcPr>
            <w:tcW w:w="2893" w:type="dxa"/>
            <w:tcBorders>
              <w:top w:val="nil"/>
              <w:left w:val="single" w:color="auto" w:sz="4" w:space="0"/>
              <w:bottom w:val="single" w:color="auto" w:sz="4" w:space="0"/>
              <w:right w:val="single" w:color="auto" w:sz="4" w:space="0"/>
            </w:tcBorders>
            <w:vAlign w:val="center"/>
          </w:tcPr>
          <w:p w14:paraId="5DA0CCE0">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14#仓下振动筛返料→碱返皮带及酸返皮带</w:t>
            </w:r>
          </w:p>
        </w:tc>
        <w:tc>
          <w:tcPr>
            <w:tcW w:w="1928" w:type="dxa"/>
            <w:tcBorders>
              <w:top w:val="nil"/>
              <w:left w:val="nil"/>
              <w:bottom w:val="single" w:color="auto" w:sz="4" w:space="0"/>
              <w:right w:val="single" w:color="auto" w:sz="4" w:space="0"/>
            </w:tcBorders>
            <w:vAlign w:val="center"/>
          </w:tcPr>
          <w:p w14:paraId="06E7E3CE">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碱返皮带及酸返皮带后</w:t>
            </w:r>
          </w:p>
        </w:tc>
        <w:tc>
          <w:tcPr>
            <w:tcW w:w="719" w:type="dxa"/>
            <w:tcBorders>
              <w:top w:val="nil"/>
              <w:left w:val="nil"/>
              <w:bottom w:val="single" w:color="auto" w:sz="4" w:space="0"/>
              <w:right w:val="single" w:color="auto" w:sz="4" w:space="0"/>
            </w:tcBorders>
            <w:vAlign w:val="center"/>
          </w:tcPr>
          <w:p w14:paraId="6B9C0BC9">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w:t>
            </w:r>
          </w:p>
        </w:tc>
        <w:tc>
          <w:tcPr>
            <w:tcW w:w="885" w:type="dxa"/>
            <w:tcBorders>
              <w:top w:val="nil"/>
              <w:left w:val="nil"/>
              <w:bottom w:val="single" w:color="auto" w:sz="4" w:space="0"/>
              <w:right w:val="single" w:color="auto" w:sz="4" w:space="0"/>
            </w:tcBorders>
            <w:vAlign w:val="center"/>
          </w:tcPr>
          <w:p w14:paraId="3B583AD1">
            <w:pPr>
              <w:widowControl/>
              <w:shd w:val="clear"/>
              <w:snapToGrid w:val="0"/>
              <w:spacing w:line="240" w:lineRule="auto"/>
              <w:ind w:firstLine="0" w:firstLineChars="0"/>
              <w:jc w:val="center"/>
              <w:textAlignment w:val="bottom"/>
              <w:rPr>
                <w:rFonts w:hint="eastAsia" w:eastAsia="宋体" w:cs="宋体"/>
                <w:color w:val="auto"/>
                <w:sz w:val="21"/>
                <w:szCs w:val="21"/>
                <w:highlight w:val="none"/>
                <w:lang w:eastAsia="zh-CN"/>
              </w:rPr>
            </w:pPr>
            <w:r>
              <w:rPr>
                <w:rFonts w:hint="eastAsia" w:cs="宋体"/>
                <w:color w:val="auto"/>
                <w:sz w:val="21"/>
                <w:szCs w:val="21"/>
                <w:highlight w:val="none"/>
                <w:lang w:val="en-US" w:eastAsia="zh-CN"/>
              </w:rPr>
              <w:t>2</w:t>
            </w:r>
          </w:p>
        </w:tc>
        <w:tc>
          <w:tcPr>
            <w:tcW w:w="796" w:type="dxa"/>
            <w:tcBorders>
              <w:top w:val="nil"/>
              <w:left w:val="nil"/>
              <w:bottom w:val="single" w:color="auto" w:sz="4" w:space="0"/>
              <w:right w:val="single" w:color="auto" w:sz="4" w:space="0"/>
            </w:tcBorders>
            <w:vAlign w:val="center"/>
          </w:tcPr>
          <w:p w14:paraId="61300530">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3500</w:t>
            </w:r>
          </w:p>
        </w:tc>
        <w:tc>
          <w:tcPr>
            <w:tcW w:w="847" w:type="dxa"/>
            <w:tcBorders>
              <w:top w:val="nil"/>
              <w:left w:val="nil"/>
              <w:bottom w:val="single" w:color="auto" w:sz="4" w:space="0"/>
              <w:right w:val="single" w:color="auto" w:sz="4" w:space="0"/>
            </w:tcBorders>
            <w:vAlign w:val="center"/>
          </w:tcPr>
          <w:p w14:paraId="3415813F">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7000</w:t>
            </w:r>
          </w:p>
        </w:tc>
        <w:tc>
          <w:tcPr>
            <w:tcW w:w="847" w:type="dxa"/>
            <w:tcBorders>
              <w:top w:val="nil"/>
              <w:left w:val="nil"/>
              <w:bottom w:val="single" w:color="auto" w:sz="4" w:space="0"/>
              <w:right w:val="single" w:color="auto" w:sz="4" w:space="0"/>
            </w:tcBorders>
            <w:shd w:val="clear" w:color="auto" w:fill="auto"/>
            <w:vAlign w:val="center"/>
          </w:tcPr>
          <w:p w14:paraId="4CB37E65">
            <w:pPr>
              <w:widowControl/>
              <w:shd w:val="clear"/>
              <w:snapToGrid w:val="0"/>
              <w:spacing w:line="240" w:lineRule="auto"/>
              <w:ind w:firstLine="0" w:firstLineChars="0"/>
              <w:jc w:val="center"/>
              <w:textAlignment w:val="bottom"/>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rPr>
              <w:t>手动</w:t>
            </w:r>
          </w:p>
        </w:tc>
        <w:tc>
          <w:tcPr>
            <w:tcW w:w="847" w:type="dxa"/>
            <w:tcBorders>
              <w:top w:val="nil"/>
              <w:left w:val="nil"/>
              <w:bottom w:val="single" w:color="auto" w:sz="4" w:space="0"/>
              <w:right w:val="single" w:color="auto" w:sz="4" w:space="0"/>
            </w:tcBorders>
            <w:vAlign w:val="center"/>
          </w:tcPr>
          <w:p w14:paraId="5AA3F164">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w:t>
            </w:r>
          </w:p>
        </w:tc>
      </w:tr>
      <w:tr w14:paraId="2DAE3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6A582413">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34</w:t>
            </w:r>
          </w:p>
        </w:tc>
        <w:tc>
          <w:tcPr>
            <w:tcW w:w="2893" w:type="dxa"/>
            <w:tcBorders>
              <w:top w:val="nil"/>
              <w:left w:val="single" w:color="auto" w:sz="4" w:space="0"/>
              <w:bottom w:val="single" w:color="auto" w:sz="4" w:space="0"/>
              <w:right w:val="single" w:color="auto" w:sz="4" w:space="0"/>
            </w:tcBorders>
            <w:vAlign w:val="center"/>
          </w:tcPr>
          <w:p w14:paraId="0DE1BE7C">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　</w:t>
            </w:r>
          </w:p>
        </w:tc>
        <w:tc>
          <w:tcPr>
            <w:tcW w:w="1928" w:type="dxa"/>
            <w:tcBorders>
              <w:top w:val="nil"/>
              <w:left w:val="nil"/>
              <w:bottom w:val="single" w:color="auto" w:sz="4" w:space="0"/>
              <w:right w:val="single" w:color="auto" w:sz="4" w:space="0"/>
            </w:tcBorders>
            <w:vAlign w:val="center"/>
          </w:tcPr>
          <w:p w14:paraId="4651E49F">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碱返皮带及酸返皮带前</w:t>
            </w:r>
          </w:p>
        </w:tc>
        <w:tc>
          <w:tcPr>
            <w:tcW w:w="719" w:type="dxa"/>
            <w:tcBorders>
              <w:top w:val="nil"/>
              <w:left w:val="nil"/>
              <w:bottom w:val="single" w:color="auto" w:sz="4" w:space="0"/>
              <w:right w:val="single" w:color="auto" w:sz="4" w:space="0"/>
            </w:tcBorders>
            <w:vAlign w:val="center"/>
          </w:tcPr>
          <w:p w14:paraId="100E8A4B">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w:t>
            </w:r>
          </w:p>
        </w:tc>
        <w:tc>
          <w:tcPr>
            <w:tcW w:w="885" w:type="dxa"/>
            <w:tcBorders>
              <w:top w:val="nil"/>
              <w:left w:val="nil"/>
              <w:bottom w:val="single" w:color="auto" w:sz="4" w:space="0"/>
              <w:right w:val="single" w:color="auto" w:sz="4" w:space="0"/>
            </w:tcBorders>
            <w:vAlign w:val="center"/>
          </w:tcPr>
          <w:p w14:paraId="3C6BF127">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14ADD1FB">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7000</w:t>
            </w:r>
          </w:p>
        </w:tc>
        <w:tc>
          <w:tcPr>
            <w:tcW w:w="847" w:type="dxa"/>
            <w:tcBorders>
              <w:top w:val="nil"/>
              <w:left w:val="nil"/>
              <w:bottom w:val="single" w:color="auto" w:sz="4" w:space="0"/>
              <w:right w:val="single" w:color="auto" w:sz="4" w:space="0"/>
            </w:tcBorders>
            <w:vAlign w:val="center"/>
          </w:tcPr>
          <w:p w14:paraId="0F535E2C">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7000</w:t>
            </w:r>
          </w:p>
        </w:tc>
        <w:tc>
          <w:tcPr>
            <w:tcW w:w="847" w:type="dxa"/>
            <w:tcBorders>
              <w:top w:val="nil"/>
              <w:left w:val="nil"/>
              <w:bottom w:val="single" w:color="auto" w:sz="4" w:space="0"/>
              <w:right w:val="single" w:color="auto" w:sz="4" w:space="0"/>
            </w:tcBorders>
            <w:shd w:val="clear" w:color="auto" w:fill="auto"/>
            <w:vAlign w:val="center"/>
          </w:tcPr>
          <w:p w14:paraId="66B97411">
            <w:pPr>
              <w:widowControl/>
              <w:shd w:val="clear"/>
              <w:snapToGrid w:val="0"/>
              <w:spacing w:line="240" w:lineRule="auto"/>
              <w:ind w:firstLine="0" w:firstLineChars="0"/>
              <w:jc w:val="center"/>
              <w:textAlignment w:val="bottom"/>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rPr>
              <w:t>气动+手动</w:t>
            </w:r>
          </w:p>
        </w:tc>
        <w:tc>
          <w:tcPr>
            <w:tcW w:w="847" w:type="dxa"/>
            <w:tcBorders>
              <w:top w:val="nil"/>
              <w:left w:val="nil"/>
              <w:bottom w:val="single" w:color="auto" w:sz="4" w:space="0"/>
              <w:right w:val="single" w:color="auto" w:sz="4" w:space="0"/>
            </w:tcBorders>
            <w:vAlign w:val="center"/>
          </w:tcPr>
          <w:p w14:paraId="226223B5">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w:t>
            </w:r>
          </w:p>
        </w:tc>
      </w:tr>
      <w:tr w14:paraId="160F0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724B250F">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35</w:t>
            </w:r>
          </w:p>
        </w:tc>
        <w:tc>
          <w:tcPr>
            <w:tcW w:w="2893" w:type="dxa"/>
            <w:tcBorders>
              <w:top w:val="nil"/>
              <w:left w:val="single" w:color="auto" w:sz="4" w:space="0"/>
              <w:bottom w:val="single" w:color="auto" w:sz="4" w:space="0"/>
              <w:right w:val="single" w:color="auto" w:sz="4" w:space="0"/>
            </w:tcBorders>
            <w:vAlign w:val="center"/>
          </w:tcPr>
          <w:p w14:paraId="38D684D1">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北上料皮带机头</w:t>
            </w:r>
          </w:p>
        </w:tc>
        <w:tc>
          <w:tcPr>
            <w:tcW w:w="1928" w:type="dxa"/>
            <w:tcBorders>
              <w:top w:val="nil"/>
              <w:left w:val="nil"/>
              <w:bottom w:val="single" w:color="auto" w:sz="4" w:space="0"/>
              <w:right w:val="single" w:color="auto" w:sz="4" w:space="0"/>
            </w:tcBorders>
            <w:vAlign w:val="center"/>
          </w:tcPr>
          <w:p w14:paraId="7F565875">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北上料皮带机头</w:t>
            </w:r>
          </w:p>
        </w:tc>
        <w:tc>
          <w:tcPr>
            <w:tcW w:w="719" w:type="dxa"/>
            <w:tcBorders>
              <w:top w:val="nil"/>
              <w:left w:val="nil"/>
              <w:bottom w:val="single" w:color="auto" w:sz="4" w:space="0"/>
              <w:right w:val="single" w:color="auto" w:sz="4" w:space="0"/>
            </w:tcBorders>
            <w:vAlign w:val="center"/>
          </w:tcPr>
          <w:p w14:paraId="42748EE6">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252700A8">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64766FD8">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8000</w:t>
            </w:r>
          </w:p>
        </w:tc>
        <w:tc>
          <w:tcPr>
            <w:tcW w:w="847" w:type="dxa"/>
            <w:tcBorders>
              <w:top w:val="nil"/>
              <w:left w:val="nil"/>
              <w:bottom w:val="single" w:color="auto" w:sz="4" w:space="0"/>
              <w:right w:val="single" w:color="auto" w:sz="4" w:space="0"/>
            </w:tcBorders>
            <w:vAlign w:val="center"/>
          </w:tcPr>
          <w:p w14:paraId="5255C838">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8000</w:t>
            </w:r>
          </w:p>
        </w:tc>
        <w:tc>
          <w:tcPr>
            <w:tcW w:w="847" w:type="dxa"/>
            <w:tcBorders>
              <w:top w:val="nil"/>
              <w:left w:val="nil"/>
              <w:bottom w:val="single" w:color="auto" w:sz="4" w:space="0"/>
              <w:right w:val="single" w:color="auto" w:sz="4" w:space="0"/>
            </w:tcBorders>
            <w:vAlign w:val="center"/>
          </w:tcPr>
          <w:p w14:paraId="71B3740B">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手动</w:t>
            </w:r>
          </w:p>
        </w:tc>
        <w:tc>
          <w:tcPr>
            <w:tcW w:w="847" w:type="dxa"/>
            <w:tcBorders>
              <w:top w:val="nil"/>
              <w:left w:val="nil"/>
              <w:bottom w:val="single" w:color="auto" w:sz="4" w:space="0"/>
              <w:right w:val="single" w:color="auto" w:sz="4" w:space="0"/>
            </w:tcBorders>
            <w:vAlign w:val="center"/>
          </w:tcPr>
          <w:p w14:paraId="54DFF3D8">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w:t>
            </w:r>
          </w:p>
        </w:tc>
      </w:tr>
      <w:tr w14:paraId="3527B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7553FBF4">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36</w:t>
            </w:r>
          </w:p>
        </w:tc>
        <w:tc>
          <w:tcPr>
            <w:tcW w:w="2893" w:type="dxa"/>
            <w:tcBorders>
              <w:top w:val="nil"/>
              <w:left w:val="single" w:color="auto" w:sz="4" w:space="0"/>
              <w:bottom w:val="single" w:color="auto" w:sz="4" w:space="0"/>
              <w:right w:val="single" w:color="auto" w:sz="4" w:space="0"/>
            </w:tcBorders>
            <w:vAlign w:val="center"/>
          </w:tcPr>
          <w:p w14:paraId="30825792">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南上料皮带机头</w:t>
            </w:r>
          </w:p>
        </w:tc>
        <w:tc>
          <w:tcPr>
            <w:tcW w:w="1928" w:type="dxa"/>
            <w:tcBorders>
              <w:top w:val="nil"/>
              <w:left w:val="nil"/>
              <w:bottom w:val="single" w:color="auto" w:sz="4" w:space="0"/>
              <w:right w:val="single" w:color="auto" w:sz="4" w:space="0"/>
            </w:tcBorders>
            <w:vAlign w:val="center"/>
          </w:tcPr>
          <w:p w14:paraId="5A184822">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南上料皮带机头</w:t>
            </w:r>
          </w:p>
        </w:tc>
        <w:tc>
          <w:tcPr>
            <w:tcW w:w="719" w:type="dxa"/>
            <w:tcBorders>
              <w:top w:val="nil"/>
              <w:left w:val="nil"/>
              <w:bottom w:val="single" w:color="auto" w:sz="4" w:space="0"/>
              <w:right w:val="single" w:color="auto" w:sz="4" w:space="0"/>
            </w:tcBorders>
            <w:vAlign w:val="center"/>
          </w:tcPr>
          <w:p w14:paraId="7983D25D">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60E23667">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0B72FEA3">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8000</w:t>
            </w:r>
          </w:p>
        </w:tc>
        <w:tc>
          <w:tcPr>
            <w:tcW w:w="847" w:type="dxa"/>
            <w:tcBorders>
              <w:top w:val="nil"/>
              <w:left w:val="nil"/>
              <w:bottom w:val="single" w:color="auto" w:sz="4" w:space="0"/>
              <w:right w:val="single" w:color="auto" w:sz="4" w:space="0"/>
            </w:tcBorders>
            <w:vAlign w:val="center"/>
          </w:tcPr>
          <w:p w14:paraId="16600C03">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8000</w:t>
            </w:r>
          </w:p>
        </w:tc>
        <w:tc>
          <w:tcPr>
            <w:tcW w:w="847" w:type="dxa"/>
            <w:tcBorders>
              <w:top w:val="nil"/>
              <w:left w:val="nil"/>
              <w:bottom w:val="single" w:color="auto" w:sz="4" w:space="0"/>
              <w:right w:val="single" w:color="auto" w:sz="4" w:space="0"/>
            </w:tcBorders>
            <w:vAlign w:val="center"/>
          </w:tcPr>
          <w:p w14:paraId="7E37E9A9">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手动</w:t>
            </w:r>
          </w:p>
        </w:tc>
        <w:tc>
          <w:tcPr>
            <w:tcW w:w="847" w:type="dxa"/>
            <w:tcBorders>
              <w:top w:val="nil"/>
              <w:left w:val="nil"/>
              <w:bottom w:val="single" w:color="auto" w:sz="4" w:space="0"/>
              <w:right w:val="single" w:color="auto" w:sz="4" w:space="0"/>
            </w:tcBorders>
            <w:vAlign w:val="center"/>
          </w:tcPr>
          <w:p w14:paraId="35788A09">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w:t>
            </w:r>
          </w:p>
        </w:tc>
      </w:tr>
      <w:tr w14:paraId="2F1FA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13AB2D55">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37</w:t>
            </w:r>
          </w:p>
        </w:tc>
        <w:tc>
          <w:tcPr>
            <w:tcW w:w="2893" w:type="dxa"/>
            <w:tcBorders>
              <w:top w:val="nil"/>
              <w:left w:val="single" w:color="auto" w:sz="4" w:space="0"/>
              <w:bottom w:val="single" w:color="auto" w:sz="4" w:space="0"/>
              <w:right w:val="single" w:color="auto" w:sz="4" w:space="0"/>
            </w:tcBorders>
            <w:vAlign w:val="center"/>
          </w:tcPr>
          <w:p w14:paraId="7AFAA72D">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碎铁上料</w:t>
            </w:r>
          </w:p>
        </w:tc>
        <w:tc>
          <w:tcPr>
            <w:tcW w:w="1928" w:type="dxa"/>
            <w:tcBorders>
              <w:top w:val="nil"/>
              <w:left w:val="nil"/>
              <w:bottom w:val="single" w:color="auto" w:sz="4" w:space="0"/>
              <w:right w:val="single" w:color="auto" w:sz="4" w:space="0"/>
            </w:tcBorders>
            <w:vAlign w:val="center"/>
          </w:tcPr>
          <w:p w14:paraId="50B11664">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碎铁上料皮带头</w:t>
            </w:r>
          </w:p>
        </w:tc>
        <w:tc>
          <w:tcPr>
            <w:tcW w:w="719" w:type="dxa"/>
            <w:tcBorders>
              <w:top w:val="nil"/>
              <w:left w:val="nil"/>
              <w:bottom w:val="single" w:color="auto" w:sz="4" w:space="0"/>
              <w:right w:val="single" w:color="auto" w:sz="4" w:space="0"/>
            </w:tcBorders>
            <w:vAlign w:val="center"/>
          </w:tcPr>
          <w:p w14:paraId="14628CBA">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1691BED6">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60A94E44">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8000</w:t>
            </w:r>
          </w:p>
        </w:tc>
        <w:tc>
          <w:tcPr>
            <w:tcW w:w="847" w:type="dxa"/>
            <w:tcBorders>
              <w:top w:val="nil"/>
              <w:left w:val="nil"/>
              <w:bottom w:val="single" w:color="auto" w:sz="4" w:space="0"/>
              <w:right w:val="single" w:color="auto" w:sz="4" w:space="0"/>
            </w:tcBorders>
            <w:vAlign w:val="center"/>
          </w:tcPr>
          <w:p w14:paraId="3FED728A">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8000</w:t>
            </w:r>
          </w:p>
        </w:tc>
        <w:tc>
          <w:tcPr>
            <w:tcW w:w="847" w:type="dxa"/>
            <w:tcBorders>
              <w:top w:val="nil"/>
              <w:left w:val="nil"/>
              <w:bottom w:val="single" w:color="auto" w:sz="4" w:space="0"/>
              <w:right w:val="single" w:color="auto" w:sz="4" w:space="0"/>
            </w:tcBorders>
            <w:vAlign w:val="center"/>
          </w:tcPr>
          <w:p w14:paraId="0656C762">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气动+手动</w:t>
            </w:r>
          </w:p>
        </w:tc>
        <w:tc>
          <w:tcPr>
            <w:tcW w:w="847" w:type="dxa"/>
            <w:tcBorders>
              <w:top w:val="nil"/>
              <w:left w:val="nil"/>
              <w:bottom w:val="single" w:color="auto" w:sz="4" w:space="0"/>
              <w:right w:val="single" w:color="auto" w:sz="4" w:space="0"/>
            </w:tcBorders>
            <w:vAlign w:val="center"/>
          </w:tcPr>
          <w:p w14:paraId="3F0D6365">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w:t>
            </w:r>
          </w:p>
        </w:tc>
      </w:tr>
      <w:tr w14:paraId="2BDA1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5B2CB37C">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38</w:t>
            </w:r>
          </w:p>
        </w:tc>
        <w:tc>
          <w:tcPr>
            <w:tcW w:w="2893" w:type="dxa"/>
            <w:tcBorders>
              <w:top w:val="nil"/>
              <w:left w:val="single" w:color="auto" w:sz="4" w:space="0"/>
              <w:bottom w:val="single" w:color="auto" w:sz="4" w:space="0"/>
              <w:right w:val="single" w:color="auto" w:sz="4" w:space="0"/>
            </w:tcBorders>
            <w:vAlign w:val="center"/>
          </w:tcPr>
          <w:p w14:paraId="7EB0E244">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南焦筛（振筛本体、振筛出料溜槽、振筛筛下碎焦料斗）</w:t>
            </w:r>
          </w:p>
        </w:tc>
        <w:tc>
          <w:tcPr>
            <w:tcW w:w="1928" w:type="dxa"/>
            <w:tcBorders>
              <w:top w:val="nil"/>
              <w:left w:val="nil"/>
              <w:bottom w:val="single" w:color="auto" w:sz="4" w:space="0"/>
              <w:right w:val="single" w:color="auto" w:sz="4" w:space="0"/>
            </w:tcBorders>
            <w:vAlign w:val="center"/>
          </w:tcPr>
          <w:p w14:paraId="029600C8">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振筛筛尾</w:t>
            </w:r>
          </w:p>
        </w:tc>
        <w:tc>
          <w:tcPr>
            <w:tcW w:w="719" w:type="dxa"/>
            <w:tcBorders>
              <w:top w:val="nil"/>
              <w:left w:val="nil"/>
              <w:bottom w:val="single" w:color="auto" w:sz="4" w:space="0"/>
              <w:right w:val="single" w:color="auto" w:sz="4" w:space="0"/>
            </w:tcBorders>
            <w:vAlign w:val="center"/>
          </w:tcPr>
          <w:p w14:paraId="3355E3C8">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28AFF8D7">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722FD3B7">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8000</w:t>
            </w:r>
          </w:p>
        </w:tc>
        <w:tc>
          <w:tcPr>
            <w:tcW w:w="847" w:type="dxa"/>
            <w:tcBorders>
              <w:top w:val="nil"/>
              <w:left w:val="nil"/>
              <w:bottom w:val="single" w:color="auto" w:sz="4" w:space="0"/>
              <w:right w:val="single" w:color="auto" w:sz="4" w:space="0"/>
            </w:tcBorders>
            <w:vAlign w:val="center"/>
          </w:tcPr>
          <w:p w14:paraId="1880BEF3">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8000</w:t>
            </w:r>
          </w:p>
        </w:tc>
        <w:tc>
          <w:tcPr>
            <w:tcW w:w="847" w:type="dxa"/>
            <w:tcBorders>
              <w:top w:val="nil"/>
              <w:left w:val="nil"/>
              <w:bottom w:val="single" w:color="auto" w:sz="4" w:space="0"/>
              <w:right w:val="single" w:color="auto" w:sz="4" w:space="0"/>
            </w:tcBorders>
            <w:vAlign w:val="center"/>
          </w:tcPr>
          <w:p w14:paraId="75ED21E6">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手动</w:t>
            </w:r>
          </w:p>
        </w:tc>
        <w:tc>
          <w:tcPr>
            <w:tcW w:w="847" w:type="dxa"/>
            <w:vMerge w:val="restart"/>
            <w:tcBorders>
              <w:top w:val="nil"/>
              <w:left w:val="nil"/>
              <w:right w:val="single" w:color="auto" w:sz="4" w:space="0"/>
            </w:tcBorders>
            <w:vAlign w:val="center"/>
          </w:tcPr>
          <w:p w14:paraId="4145902E">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气动</w:t>
            </w:r>
          </w:p>
        </w:tc>
      </w:tr>
      <w:tr w14:paraId="6EA47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7D471F11">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39</w:t>
            </w:r>
          </w:p>
        </w:tc>
        <w:tc>
          <w:tcPr>
            <w:tcW w:w="2893" w:type="dxa"/>
            <w:tcBorders>
              <w:top w:val="nil"/>
              <w:left w:val="single" w:color="auto" w:sz="4" w:space="0"/>
              <w:bottom w:val="single" w:color="auto" w:sz="4" w:space="0"/>
              <w:right w:val="single" w:color="auto" w:sz="4" w:space="0"/>
            </w:tcBorders>
            <w:vAlign w:val="center"/>
          </w:tcPr>
          <w:p w14:paraId="2E649ADE">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　</w:t>
            </w:r>
          </w:p>
        </w:tc>
        <w:tc>
          <w:tcPr>
            <w:tcW w:w="1928" w:type="dxa"/>
            <w:tcBorders>
              <w:top w:val="nil"/>
              <w:left w:val="nil"/>
              <w:bottom w:val="single" w:color="auto" w:sz="4" w:space="0"/>
              <w:right w:val="single" w:color="auto" w:sz="4" w:space="0"/>
            </w:tcBorders>
            <w:vAlign w:val="center"/>
          </w:tcPr>
          <w:p w14:paraId="2B9EF436">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振筛筛下碎焦料斗受料</w:t>
            </w:r>
          </w:p>
        </w:tc>
        <w:tc>
          <w:tcPr>
            <w:tcW w:w="719" w:type="dxa"/>
            <w:tcBorders>
              <w:top w:val="nil"/>
              <w:left w:val="nil"/>
              <w:bottom w:val="single" w:color="auto" w:sz="4" w:space="0"/>
              <w:right w:val="single" w:color="auto" w:sz="4" w:space="0"/>
            </w:tcBorders>
            <w:vAlign w:val="center"/>
          </w:tcPr>
          <w:p w14:paraId="21D95BC7">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4239E8CC">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11500312">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8000</w:t>
            </w:r>
          </w:p>
        </w:tc>
        <w:tc>
          <w:tcPr>
            <w:tcW w:w="847" w:type="dxa"/>
            <w:tcBorders>
              <w:top w:val="nil"/>
              <w:left w:val="nil"/>
              <w:bottom w:val="single" w:color="auto" w:sz="4" w:space="0"/>
              <w:right w:val="single" w:color="auto" w:sz="4" w:space="0"/>
            </w:tcBorders>
            <w:vAlign w:val="center"/>
          </w:tcPr>
          <w:p w14:paraId="46F3DAC0">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8000</w:t>
            </w:r>
          </w:p>
        </w:tc>
        <w:tc>
          <w:tcPr>
            <w:tcW w:w="847" w:type="dxa"/>
            <w:tcBorders>
              <w:top w:val="nil"/>
              <w:left w:val="nil"/>
              <w:bottom w:val="single" w:color="auto" w:sz="4" w:space="0"/>
              <w:right w:val="single" w:color="auto" w:sz="4" w:space="0"/>
            </w:tcBorders>
            <w:vAlign w:val="center"/>
          </w:tcPr>
          <w:p w14:paraId="0EB6F892">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手动</w:t>
            </w:r>
          </w:p>
        </w:tc>
        <w:tc>
          <w:tcPr>
            <w:tcW w:w="847" w:type="dxa"/>
            <w:vMerge w:val="continue"/>
            <w:tcBorders>
              <w:left w:val="nil"/>
              <w:bottom w:val="single" w:color="auto" w:sz="4" w:space="0"/>
              <w:right w:val="single" w:color="auto" w:sz="4" w:space="0"/>
            </w:tcBorders>
            <w:vAlign w:val="center"/>
          </w:tcPr>
          <w:p w14:paraId="2D37E353">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2D9E7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2A6A548F">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40</w:t>
            </w:r>
          </w:p>
        </w:tc>
        <w:tc>
          <w:tcPr>
            <w:tcW w:w="2893" w:type="dxa"/>
            <w:tcBorders>
              <w:top w:val="nil"/>
              <w:left w:val="single" w:color="auto" w:sz="4" w:space="0"/>
              <w:bottom w:val="single" w:color="auto" w:sz="4" w:space="0"/>
              <w:right w:val="single" w:color="auto" w:sz="4" w:space="0"/>
            </w:tcBorders>
            <w:vAlign w:val="center"/>
          </w:tcPr>
          <w:p w14:paraId="124649B9">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北焦筛（振筛本体、振筛出料溜槽、振筛筛下碎焦料斗）</w:t>
            </w:r>
          </w:p>
        </w:tc>
        <w:tc>
          <w:tcPr>
            <w:tcW w:w="1928" w:type="dxa"/>
            <w:tcBorders>
              <w:top w:val="nil"/>
              <w:left w:val="nil"/>
              <w:bottom w:val="single" w:color="auto" w:sz="4" w:space="0"/>
              <w:right w:val="single" w:color="auto" w:sz="4" w:space="0"/>
            </w:tcBorders>
            <w:vAlign w:val="center"/>
          </w:tcPr>
          <w:p w14:paraId="2876DA8D">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振筛筛尾</w:t>
            </w:r>
          </w:p>
        </w:tc>
        <w:tc>
          <w:tcPr>
            <w:tcW w:w="719" w:type="dxa"/>
            <w:tcBorders>
              <w:top w:val="nil"/>
              <w:left w:val="nil"/>
              <w:bottom w:val="single" w:color="auto" w:sz="4" w:space="0"/>
              <w:right w:val="single" w:color="auto" w:sz="4" w:space="0"/>
            </w:tcBorders>
            <w:vAlign w:val="center"/>
          </w:tcPr>
          <w:p w14:paraId="66024724">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4C2399E1">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795758CE">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8000</w:t>
            </w:r>
          </w:p>
        </w:tc>
        <w:tc>
          <w:tcPr>
            <w:tcW w:w="847" w:type="dxa"/>
            <w:tcBorders>
              <w:top w:val="nil"/>
              <w:left w:val="nil"/>
              <w:bottom w:val="single" w:color="auto" w:sz="4" w:space="0"/>
              <w:right w:val="single" w:color="auto" w:sz="4" w:space="0"/>
            </w:tcBorders>
            <w:vAlign w:val="center"/>
          </w:tcPr>
          <w:p w14:paraId="6CE6F7C9">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8000</w:t>
            </w:r>
          </w:p>
        </w:tc>
        <w:tc>
          <w:tcPr>
            <w:tcW w:w="847" w:type="dxa"/>
            <w:tcBorders>
              <w:top w:val="nil"/>
              <w:left w:val="nil"/>
              <w:bottom w:val="single" w:color="auto" w:sz="4" w:space="0"/>
              <w:right w:val="single" w:color="auto" w:sz="4" w:space="0"/>
            </w:tcBorders>
            <w:vAlign w:val="center"/>
          </w:tcPr>
          <w:p w14:paraId="259BE605">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手动</w:t>
            </w:r>
          </w:p>
        </w:tc>
        <w:tc>
          <w:tcPr>
            <w:tcW w:w="847" w:type="dxa"/>
            <w:vMerge w:val="restart"/>
            <w:tcBorders>
              <w:top w:val="nil"/>
              <w:left w:val="nil"/>
              <w:right w:val="single" w:color="auto" w:sz="4" w:space="0"/>
            </w:tcBorders>
            <w:vAlign w:val="center"/>
          </w:tcPr>
          <w:p w14:paraId="3069F54A">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气动</w:t>
            </w:r>
          </w:p>
        </w:tc>
      </w:tr>
      <w:tr w14:paraId="7BC42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0A021814">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41</w:t>
            </w:r>
          </w:p>
        </w:tc>
        <w:tc>
          <w:tcPr>
            <w:tcW w:w="2893" w:type="dxa"/>
            <w:tcBorders>
              <w:top w:val="nil"/>
              <w:left w:val="single" w:color="auto" w:sz="4" w:space="0"/>
              <w:bottom w:val="single" w:color="auto" w:sz="4" w:space="0"/>
              <w:right w:val="single" w:color="auto" w:sz="4" w:space="0"/>
            </w:tcBorders>
            <w:vAlign w:val="center"/>
          </w:tcPr>
          <w:p w14:paraId="22E0092E">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　</w:t>
            </w:r>
          </w:p>
        </w:tc>
        <w:tc>
          <w:tcPr>
            <w:tcW w:w="1928" w:type="dxa"/>
            <w:tcBorders>
              <w:top w:val="nil"/>
              <w:left w:val="nil"/>
              <w:bottom w:val="single" w:color="auto" w:sz="4" w:space="0"/>
              <w:right w:val="single" w:color="auto" w:sz="4" w:space="0"/>
            </w:tcBorders>
            <w:vAlign w:val="center"/>
          </w:tcPr>
          <w:p w14:paraId="31A5523B">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振筛筛下碎焦料斗受料</w:t>
            </w:r>
          </w:p>
        </w:tc>
        <w:tc>
          <w:tcPr>
            <w:tcW w:w="719" w:type="dxa"/>
            <w:tcBorders>
              <w:top w:val="nil"/>
              <w:left w:val="nil"/>
              <w:bottom w:val="single" w:color="auto" w:sz="4" w:space="0"/>
              <w:right w:val="single" w:color="auto" w:sz="4" w:space="0"/>
            </w:tcBorders>
            <w:vAlign w:val="center"/>
          </w:tcPr>
          <w:p w14:paraId="0FEC60C6">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2354DB47">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13F2C567">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8000</w:t>
            </w:r>
          </w:p>
        </w:tc>
        <w:tc>
          <w:tcPr>
            <w:tcW w:w="847" w:type="dxa"/>
            <w:tcBorders>
              <w:top w:val="nil"/>
              <w:left w:val="nil"/>
              <w:bottom w:val="single" w:color="auto" w:sz="4" w:space="0"/>
              <w:right w:val="single" w:color="auto" w:sz="4" w:space="0"/>
            </w:tcBorders>
            <w:vAlign w:val="center"/>
          </w:tcPr>
          <w:p w14:paraId="045EBA79">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8000</w:t>
            </w:r>
          </w:p>
        </w:tc>
        <w:tc>
          <w:tcPr>
            <w:tcW w:w="847" w:type="dxa"/>
            <w:tcBorders>
              <w:top w:val="nil"/>
              <w:left w:val="nil"/>
              <w:bottom w:val="single" w:color="auto" w:sz="4" w:space="0"/>
              <w:right w:val="single" w:color="auto" w:sz="4" w:space="0"/>
            </w:tcBorders>
            <w:vAlign w:val="center"/>
          </w:tcPr>
          <w:p w14:paraId="22AF10EC">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手动</w:t>
            </w:r>
          </w:p>
        </w:tc>
        <w:tc>
          <w:tcPr>
            <w:tcW w:w="847" w:type="dxa"/>
            <w:vMerge w:val="continue"/>
            <w:tcBorders>
              <w:left w:val="nil"/>
              <w:bottom w:val="single" w:color="auto" w:sz="4" w:space="0"/>
              <w:right w:val="single" w:color="auto" w:sz="4" w:space="0"/>
            </w:tcBorders>
            <w:vAlign w:val="center"/>
          </w:tcPr>
          <w:p w14:paraId="1CBA8CF4">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318E6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2E733D81">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42</w:t>
            </w:r>
          </w:p>
        </w:tc>
        <w:tc>
          <w:tcPr>
            <w:tcW w:w="2893" w:type="dxa"/>
            <w:tcBorders>
              <w:top w:val="nil"/>
              <w:left w:val="single" w:color="auto" w:sz="4" w:space="0"/>
              <w:bottom w:val="single" w:color="auto" w:sz="4" w:space="0"/>
              <w:right w:val="single" w:color="auto" w:sz="4" w:space="0"/>
            </w:tcBorders>
            <w:vAlign w:val="center"/>
          </w:tcPr>
          <w:p w14:paraId="58D73601">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料坑内矿石料坑顶部卸料点</w:t>
            </w:r>
          </w:p>
        </w:tc>
        <w:tc>
          <w:tcPr>
            <w:tcW w:w="1928" w:type="dxa"/>
            <w:tcBorders>
              <w:top w:val="nil"/>
              <w:left w:val="nil"/>
              <w:bottom w:val="single" w:color="auto" w:sz="4" w:space="0"/>
              <w:right w:val="single" w:color="auto" w:sz="4" w:space="0"/>
            </w:tcBorders>
            <w:vAlign w:val="center"/>
          </w:tcPr>
          <w:p w14:paraId="610CEAF5">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料坑内矿石料坑顶部卸料点</w:t>
            </w:r>
          </w:p>
        </w:tc>
        <w:tc>
          <w:tcPr>
            <w:tcW w:w="719" w:type="dxa"/>
            <w:tcBorders>
              <w:top w:val="nil"/>
              <w:left w:val="nil"/>
              <w:bottom w:val="single" w:color="auto" w:sz="4" w:space="0"/>
              <w:right w:val="single" w:color="auto" w:sz="4" w:space="0"/>
            </w:tcBorders>
            <w:vAlign w:val="center"/>
          </w:tcPr>
          <w:p w14:paraId="796BCDC3">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w:t>
            </w:r>
          </w:p>
        </w:tc>
        <w:tc>
          <w:tcPr>
            <w:tcW w:w="885" w:type="dxa"/>
            <w:tcBorders>
              <w:top w:val="nil"/>
              <w:left w:val="nil"/>
              <w:bottom w:val="single" w:color="auto" w:sz="4" w:space="0"/>
              <w:right w:val="single" w:color="auto" w:sz="4" w:space="0"/>
            </w:tcBorders>
            <w:vAlign w:val="center"/>
          </w:tcPr>
          <w:p w14:paraId="736BD3D9">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w:t>
            </w:r>
          </w:p>
        </w:tc>
        <w:tc>
          <w:tcPr>
            <w:tcW w:w="796" w:type="dxa"/>
            <w:tcBorders>
              <w:top w:val="nil"/>
              <w:left w:val="nil"/>
              <w:bottom w:val="single" w:color="auto" w:sz="4" w:space="0"/>
              <w:right w:val="single" w:color="auto" w:sz="4" w:space="0"/>
            </w:tcBorders>
            <w:vAlign w:val="center"/>
          </w:tcPr>
          <w:p w14:paraId="5B276914">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50000</w:t>
            </w:r>
          </w:p>
        </w:tc>
        <w:tc>
          <w:tcPr>
            <w:tcW w:w="847" w:type="dxa"/>
            <w:tcBorders>
              <w:top w:val="nil"/>
              <w:left w:val="nil"/>
              <w:bottom w:val="single" w:color="auto" w:sz="4" w:space="0"/>
              <w:right w:val="single" w:color="auto" w:sz="4" w:space="0"/>
            </w:tcBorders>
            <w:vAlign w:val="center"/>
          </w:tcPr>
          <w:p w14:paraId="0EE70FD7">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100000</w:t>
            </w:r>
          </w:p>
        </w:tc>
        <w:tc>
          <w:tcPr>
            <w:tcW w:w="847" w:type="dxa"/>
            <w:tcBorders>
              <w:top w:val="nil"/>
              <w:left w:val="nil"/>
              <w:bottom w:val="single" w:color="auto" w:sz="4" w:space="0"/>
              <w:right w:val="single" w:color="auto" w:sz="4" w:space="0"/>
            </w:tcBorders>
            <w:vAlign w:val="center"/>
          </w:tcPr>
          <w:p w14:paraId="109974E4">
            <w:pPr>
              <w:widowControl/>
              <w:shd w:val="clear"/>
              <w:snapToGrid w:val="0"/>
              <w:spacing w:line="240" w:lineRule="auto"/>
              <w:ind w:firstLine="0" w:firstLineChars="0"/>
              <w:jc w:val="center"/>
              <w:textAlignment w:val="bottom"/>
              <w:rPr>
                <w:rFonts w:hint="eastAsia" w:eastAsia="宋体" w:cs="宋体"/>
                <w:color w:val="auto"/>
                <w:sz w:val="21"/>
                <w:szCs w:val="21"/>
                <w:highlight w:val="none"/>
                <w:lang w:val="en-US" w:eastAsia="zh-CN"/>
              </w:rPr>
            </w:pPr>
            <w:r>
              <w:rPr>
                <w:rFonts w:hint="eastAsia" w:cs="宋体"/>
                <w:color w:val="auto"/>
                <w:sz w:val="21"/>
                <w:szCs w:val="21"/>
                <w:highlight w:val="none"/>
              </w:rPr>
              <w:t>手动</w:t>
            </w:r>
          </w:p>
        </w:tc>
        <w:tc>
          <w:tcPr>
            <w:tcW w:w="847" w:type="dxa"/>
            <w:tcBorders>
              <w:top w:val="nil"/>
              <w:left w:val="nil"/>
              <w:bottom w:val="single" w:color="auto" w:sz="4" w:space="0"/>
              <w:right w:val="single" w:color="auto" w:sz="4" w:space="0"/>
            </w:tcBorders>
            <w:vAlign w:val="center"/>
          </w:tcPr>
          <w:p w14:paraId="3657F9D4">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1330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2ED7FBE0">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43</w:t>
            </w:r>
          </w:p>
        </w:tc>
        <w:tc>
          <w:tcPr>
            <w:tcW w:w="2893" w:type="dxa"/>
            <w:tcBorders>
              <w:top w:val="nil"/>
              <w:left w:val="single" w:color="auto" w:sz="4" w:space="0"/>
              <w:bottom w:val="single" w:color="auto" w:sz="4" w:space="0"/>
              <w:right w:val="single" w:color="auto" w:sz="4" w:space="0"/>
            </w:tcBorders>
            <w:vAlign w:val="center"/>
          </w:tcPr>
          <w:p w14:paraId="42CB8988">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料坑内南焦、北焦、矿石称量斗闸门卸料点</w:t>
            </w:r>
          </w:p>
        </w:tc>
        <w:tc>
          <w:tcPr>
            <w:tcW w:w="1928" w:type="dxa"/>
            <w:tcBorders>
              <w:top w:val="nil"/>
              <w:left w:val="nil"/>
              <w:bottom w:val="single" w:color="auto" w:sz="4" w:space="0"/>
              <w:right w:val="single" w:color="auto" w:sz="4" w:space="0"/>
            </w:tcBorders>
            <w:vAlign w:val="center"/>
          </w:tcPr>
          <w:p w14:paraId="3034D4C5">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料坑内南焦、北焦、矿石称量斗闸门卸料点</w:t>
            </w:r>
          </w:p>
        </w:tc>
        <w:tc>
          <w:tcPr>
            <w:tcW w:w="719" w:type="dxa"/>
            <w:tcBorders>
              <w:top w:val="nil"/>
              <w:left w:val="nil"/>
              <w:bottom w:val="single" w:color="auto" w:sz="4" w:space="0"/>
              <w:right w:val="single" w:color="auto" w:sz="4" w:space="0"/>
            </w:tcBorders>
            <w:vAlign w:val="center"/>
          </w:tcPr>
          <w:p w14:paraId="66579A6A">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4</w:t>
            </w:r>
          </w:p>
        </w:tc>
        <w:tc>
          <w:tcPr>
            <w:tcW w:w="885" w:type="dxa"/>
            <w:tcBorders>
              <w:top w:val="nil"/>
              <w:left w:val="nil"/>
              <w:bottom w:val="single" w:color="auto" w:sz="4" w:space="0"/>
              <w:right w:val="single" w:color="auto" w:sz="4" w:space="0"/>
            </w:tcBorders>
            <w:vAlign w:val="center"/>
          </w:tcPr>
          <w:p w14:paraId="540FF1E5">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w:t>
            </w:r>
          </w:p>
        </w:tc>
        <w:tc>
          <w:tcPr>
            <w:tcW w:w="796" w:type="dxa"/>
            <w:tcBorders>
              <w:top w:val="nil"/>
              <w:left w:val="nil"/>
              <w:bottom w:val="single" w:color="auto" w:sz="4" w:space="0"/>
              <w:right w:val="single" w:color="auto" w:sz="4" w:space="0"/>
            </w:tcBorders>
            <w:vAlign w:val="center"/>
          </w:tcPr>
          <w:p w14:paraId="73F0FE73">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20000</w:t>
            </w:r>
          </w:p>
        </w:tc>
        <w:tc>
          <w:tcPr>
            <w:tcW w:w="847" w:type="dxa"/>
            <w:tcBorders>
              <w:top w:val="nil"/>
              <w:left w:val="nil"/>
              <w:bottom w:val="single" w:color="auto" w:sz="4" w:space="0"/>
              <w:right w:val="single" w:color="auto" w:sz="4" w:space="0"/>
            </w:tcBorders>
            <w:vAlign w:val="center"/>
          </w:tcPr>
          <w:p w14:paraId="3FADE993">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40000</w:t>
            </w:r>
          </w:p>
        </w:tc>
        <w:tc>
          <w:tcPr>
            <w:tcW w:w="847" w:type="dxa"/>
            <w:tcBorders>
              <w:top w:val="nil"/>
              <w:left w:val="nil"/>
              <w:bottom w:val="single" w:color="auto" w:sz="4" w:space="0"/>
              <w:right w:val="single" w:color="auto" w:sz="4" w:space="0"/>
            </w:tcBorders>
            <w:vAlign w:val="center"/>
          </w:tcPr>
          <w:p w14:paraId="512AEB3A">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气动</w:t>
            </w:r>
          </w:p>
        </w:tc>
        <w:tc>
          <w:tcPr>
            <w:tcW w:w="847" w:type="dxa"/>
            <w:tcBorders>
              <w:top w:val="nil"/>
              <w:left w:val="nil"/>
              <w:bottom w:val="single" w:color="auto" w:sz="4" w:space="0"/>
              <w:right w:val="single" w:color="auto" w:sz="4" w:space="0"/>
            </w:tcBorders>
            <w:vAlign w:val="center"/>
          </w:tcPr>
          <w:p w14:paraId="4D01AFFB">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2E1A7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4F7610AE">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44</w:t>
            </w:r>
          </w:p>
        </w:tc>
        <w:tc>
          <w:tcPr>
            <w:tcW w:w="2893" w:type="dxa"/>
            <w:tcBorders>
              <w:top w:val="nil"/>
              <w:left w:val="single" w:color="auto" w:sz="4" w:space="0"/>
              <w:bottom w:val="single" w:color="auto" w:sz="4" w:space="0"/>
              <w:right w:val="single" w:color="auto" w:sz="4" w:space="0"/>
            </w:tcBorders>
            <w:vAlign w:val="center"/>
          </w:tcPr>
          <w:p w14:paraId="617C01DF">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料坑内南焦、北焦返焦料斗闸门卸料点上部侧面</w:t>
            </w:r>
          </w:p>
        </w:tc>
        <w:tc>
          <w:tcPr>
            <w:tcW w:w="1928" w:type="dxa"/>
            <w:tcBorders>
              <w:top w:val="nil"/>
              <w:left w:val="nil"/>
              <w:bottom w:val="single" w:color="auto" w:sz="4" w:space="0"/>
              <w:right w:val="single" w:color="auto" w:sz="4" w:space="0"/>
            </w:tcBorders>
            <w:vAlign w:val="center"/>
          </w:tcPr>
          <w:p w14:paraId="7FE83E4C">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料坑内南焦、北焦、称量斗闸门卸料点上部侧面</w:t>
            </w:r>
          </w:p>
        </w:tc>
        <w:tc>
          <w:tcPr>
            <w:tcW w:w="719" w:type="dxa"/>
            <w:tcBorders>
              <w:top w:val="nil"/>
              <w:left w:val="nil"/>
              <w:bottom w:val="single" w:color="auto" w:sz="4" w:space="0"/>
              <w:right w:val="single" w:color="auto" w:sz="4" w:space="0"/>
            </w:tcBorders>
            <w:vAlign w:val="center"/>
          </w:tcPr>
          <w:p w14:paraId="2EA36E2F">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w:t>
            </w:r>
          </w:p>
        </w:tc>
        <w:tc>
          <w:tcPr>
            <w:tcW w:w="885" w:type="dxa"/>
            <w:tcBorders>
              <w:top w:val="nil"/>
              <w:left w:val="nil"/>
              <w:bottom w:val="single" w:color="auto" w:sz="4" w:space="0"/>
              <w:right w:val="single" w:color="auto" w:sz="4" w:space="0"/>
            </w:tcBorders>
            <w:vAlign w:val="center"/>
          </w:tcPr>
          <w:p w14:paraId="7DBE877C">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28F236E7">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20000</w:t>
            </w:r>
          </w:p>
        </w:tc>
        <w:tc>
          <w:tcPr>
            <w:tcW w:w="847" w:type="dxa"/>
            <w:tcBorders>
              <w:top w:val="nil"/>
              <w:left w:val="nil"/>
              <w:bottom w:val="single" w:color="auto" w:sz="4" w:space="0"/>
              <w:right w:val="single" w:color="auto" w:sz="4" w:space="0"/>
            </w:tcBorders>
            <w:vAlign w:val="center"/>
          </w:tcPr>
          <w:p w14:paraId="5E570704">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20000</w:t>
            </w:r>
          </w:p>
        </w:tc>
        <w:tc>
          <w:tcPr>
            <w:tcW w:w="847" w:type="dxa"/>
            <w:tcBorders>
              <w:top w:val="nil"/>
              <w:left w:val="nil"/>
              <w:bottom w:val="single" w:color="auto" w:sz="4" w:space="0"/>
              <w:right w:val="single" w:color="auto" w:sz="4" w:space="0"/>
            </w:tcBorders>
            <w:vAlign w:val="center"/>
          </w:tcPr>
          <w:p w14:paraId="40E15E19">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气动</w:t>
            </w:r>
          </w:p>
        </w:tc>
        <w:tc>
          <w:tcPr>
            <w:tcW w:w="847" w:type="dxa"/>
            <w:tcBorders>
              <w:top w:val="nil"/>
              <w:left w:val="nil"/>
              <w:bottom w:val="single" w:color="auto" w:sz="4" w:space="0"/>
              <w:right w:val="single" w:color="auto" w:sz="4" w:space="0"/>
            </w:tcBorders>
            <w:vAlign w:val="center"/>
          </w:tcPr>
          <w:p w14:paraId="729B077B">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055D7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58EA2BAA">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45</w:t>
            </w:r>
          </w:p>
        </w:tc>
        <w:tc>
          <w:tcPr>
            <w:tcW w:w="2893" w:type="dxa"/>
            <w:tcBorders>
              <w:top w:val="nil"/>
              <w:left w:val="single" w:color="auto" w:sz="4" w:space="0"/>
              <w:bottom w:val="single" w:color="auto" w:sz="4" w:space="0"/>
              <w:right w:val="single" w:color="auto" w:sz="4" w:space="0"/>
            </w:tcBorders>
            <w:vAlign w:val="center"/>
          </w:tcPr>
          <w:p w14:paraId="43CF01EA">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料坑内南焦、北焦返焦料斗卸料点上部楼板顶部</w:t>
            </w:r>
          </w:p>
        </w:tc>
        <w:tc>
          <w:tcPr>
            <w:tcW w:w="1928" w:type="dxa"/>
            <w:tcBorders>
              <w:top w:val="nil"/>
              <w:left w:val="nil"/>
              <w:bottom w:val="single" w:color="auto" w:sz="4" w:space="0"/>
              <w:right w:val="single" w:color="auto" w:sz="4" w:space="0"/>
            </w:tcBorders>
            <w:vAlign w:val="center"/>
          </w:tcPr>
          <w:p w14:paraId="7913F44A">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料坑内南焦、北焦、称量斗闸门卸料点上部楼板顶部</w:t>
            </w:r>
          </w:p>
        </w:tc>
        <w:tc>
          <w:tcPr>
            <w:tcW w:w="719" w:type="dxa"/>
            <w:tcBorders>
              <w:top w:val="nil"/>
              <w:left w:val="nil"/>
              <w:bottom w:val="single" w:color="auto" w:sz="4" w:space="0"/>
              <w:right w:val="single" w:color="auto" w:sz="4" w:space="0"/>
            </w:tcBorders>
            <w:vAlign w:val="center"/>
          </w:tcPr>
          <w:p w14:paraId="6DA7C301">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w:t>
            </w:r>
          </w:p>
        </w:tc>
        <w:tc>
          <w:tcPr>
            <w:tcW w:w="885" w:type="dxa"/>
            <w:tcBorders>
              <w:top w:val="nil"/>
              <w:left w:val="nil"/>
              <w:bottom w:val="single" w:color="auto" w:sz="4" w:space="0"/>
              <w:right w:val="single" w:color="auto" w:sz="4" w:space="0"/>
            </w:tcBorders>
            <w:vAlign w:val="center"/>
          </w:tcPr>
          <w:p w14:paraId="6B459D2C">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w:t>
            </w:r>
          </w:p>
        </w:tc>
        <w:tc>
          <w:tcPr>
            <w:tcW w:w="796" w:type="dxa"/>
            <w:tcBorders>
              <w:top w:val="nil"/>
              <w:left w:val="nil"/>
              <w:bottom w:val="single" w:color="auto" w:sz="4" w:space="0"/>
              <w:right w:val="single" w:color="auto" w:sz="4" w:space="0"/>
            </w:tcBorders>
            <w:vAlign w:val="center"/>
          </w:tcPr>
          <w:p w14:paraId="3B3FEFAA">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12000</w:t>
            </w:r>
          </w:p>
        </w:tc>
        <w:tc>
          <w:tcPr>
            <w:tcW w:w="847" w:type="dxa"/>
            <w:tcBorders>
              <w:top w:val="nil"/>
              <w:left w:val="nil"/>
              <w:bottom w:val="single" w:color="auto" w:sz="4" w:space="0"/>
              <w:right w:val="single" w:color="auto" w:sz="4" w:space="0"/>
            </w:tcBorders>
            <w:vAlign w:val="center"/>
          </w:tcPr>
          <w:p w14:paraId="41C932F6">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24000</w:t>
            </w:r>
          </w:p>
        </w:tc>
        <w:tc>
          <w:tcPr>
            <w:tcW w:w="847" w:type="dxa"/>
            <w:tcBorders>
              <w:top w:val="nil"/>
              <w:left w:val="nil"/>
              <w:bottom w:val="single" w:color="auto" w:sz="4" w:space="0"/>
              <w:right w:val="single" w:color="auto" w:sz="4" w:space="0"/>
            </w:tcBorders>
            <w:vAlign w:val="center"/>
          </w:tcPr>
          <w:p w14:paraId="44BBAC6B">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手动</w:t>
            </w:r>
          </w:p>
        </w:tc>
        <w:tc>
          <w:tcPr>
            <w:tcW w:w="847" w:type="dxa"/>
            <w:tcBorders>
              <w:top w:val="nil"/>
              <w:left w:val="nil"/>
              <w:bottom w:val="single" w:color="auto" w:sz="4" w:space="0"/>
              <w:right w:val="single" w:color="auto" w:sz="4" w:space="0"/>
            </w:tcBorders>
            <w:vAlign w:val="center"/>
          </w:tcPr>
          <w:p w14:paraId="53D81F99">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13694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18EB953D">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46</w:t>
            </w:r>
          </w:p>
        </w:tc>
        <w:tc>
          <w:tcPr>
            <w:tcW w:w="2893" w:type="dxa"/>
            <w:tcBorders>
              <w:top w:val="nil"/>
              <w:left w:val="single" w:color="auto" w:sz="4" w:space="0"/>
              <w:bottom w:val="single" w:color="auto" w:sz="4" w:space="0"/>
              <w:right w:val="single" w:color="auto" w:sz="4" w:space="0"/>
            </w:tcBorders>
            <w:vAlign w:val="center"/>
          </w:tcPr>
          <w:p w14:paraId="4C15C777">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料坑内矿石称量斗</w:t>
            </w:r>
          </w:p>
        </w:tc>
        <w:tc>
          <w:tcPr>
            <w:tcW w:w="1928" w:type="dxa"/>
            <w:tcBorders>
              <w:top w:val="nil"/>
              <w:left w:val="nil"/>
              <w:bottom w:val="single" w:color="auto" w:sz="4" w:space="0"/>
              <w:right w:val="single" w:color="auto" w:sz="4" w:space="0"/>
            </w:tcBorders>
            <w:vAlign w:val="center"/>
          </w:tcPr>
          <w:p w14:paraId="010B3E87">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料坑内矿石称量斗顶部</w:t>
            </w:r>
          </w:p>
        </w:tc>
        <w:tc>
          <w:tcPr>
            <w:tcW w:w="719" w:type="dxa"/>
            <w:tcBorders>
              <w:top w:val="nil"/>
              <w:left w:val="nil"/>
              <w:bottom w:val="single" w:color="auto" w:sz="4" w:space="0"/>
              <w:right w:val="single" w:color="auto" w:sz="4" w:space="0"/>
            </w:tcBorders>
            <w:vAlign w:val="center"/>
          </w:tcPr>
          <w:p w14:paraId="2CEE5352">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w:t>
            </w:r>
          </w:p>
        </w:tc>
        <w:tc>
          <w:tcPr>
            <w:tcW w:w="885" w:type="dxa"/>
            <w:tcBorders>
              <w:top w:val="nil"/>
              <w:left w:val="nil"/>
              <w:bottom w:val="single" w:color="auto" w:sz="4" w:space="0"/>
              <w:right w:val="single" w:color="auto" w:sz="4" w:space="0"/>
            </w:tcBorders>
            <w:vAlign w:val="center"/>
          </w:tcPr>
          <w:p w14:paraId="130BDD26">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2</w:t>
            </w:r>
          </w:p>
        </w:tc>
        <w:tc>
          <w:tcPr>
            <w:tcW w:w="796" w:type="dxa"/>
            <w:tcBorders>
              <w:top w:val="nil"/>
              <w:left w:val="nil"/>
              <w:bottom w:val="single" w:color="auto" w:sz="4" w:space="0"/>
              <w:right w:val="single" w:color="auto" w:sz="4" w:space="0"/>
            </w:tcBorders>
            <w:vAlign w:val="center"/>
          </w:tcPr>
          <w:p w14:paraId="380ECE6C">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w:t>
            </w:r>
          </w:p>
        </w:tc>
        <w:tc>
          <w:tcPr>
            <w:tcW w:w="847" w:type="dxa"/>
            <w:tcBorders>
              <w:top w:val="nil"/>
              <w:left w:val="nil"/>
              <w:bottom w:val="single" w:color="auto" w:sz="4" w:space="0"/>
              <w:right w:val="single" w:color="auto" w:sz="4" w:space="0"/>
            </w:tcBorders>
            <w:vAlign w:val="center"/>
          </w:tcPr>
          <w:p w14:paraId="2DB4D0F8">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10000</w:t>
            </w:r>
          </w:p>
        </w:tc>
        <w:tc>
          <w:tcPr>
            <w:tcW w:w="847" w:type="dxa"/>
            <w:tcBorders>
              <w:top w:val="nil"/>
              <w:left w:val="nil"/>
              <w:bottom w:val="single" w:color="auto" w:sz="4" w:space="0"/>
              <w:right w:val="single" w:color="auto" w:sz="4" w:space="0"/>
            </w:tcBorders>
            <w:vAlign w:val="center"/>
          </w:tcPr>
          <w:p w14:paraId="5FCCF52D">
            <w:pPr>
              <w:widowControl/>
              <w:shd w:val="clear"/>
              <w:snapToGrid w:val="0"/>
              <w:spacing w:line="240" w:lineRule="auto"/>
              <w:ind w:firstLine="0" w:firstLineChars="0"/>
              <w:jc w:val="center"/>
              <w:textAlignment w:val="bottom"/>
              <w:rPr>
                <w:rFonts w:hint="default" w:eastAsia="宋体" w:cs="宋体"/>
                <w:color w:val="auto"/>
                <w:sz w:val="21"/>
                <w:szCs w:val="21"/>
                <w:highlight w:val="none"/>
                <w:lang w:val="en-US" w:eastAsia="zh-CN"/>
              </w:rPr>
            </w:pPr>
            <w:r>
              <w:rPr>
                <w:rFonts w:hint="eastAsia" w:cs="宋体"/>
                <w:color w:val="auto"/>
                <w:sz w:val="21"/>
                <w:szCs w:val="21"/>
                <w:highlight w:val="none"/>
              </w:rPr>
              <w:t>手动</w:t>
            </w:r>
          </w:p>
        </w:tc>
        <w:tc>
          <w:tcPr>
            <w:tcW w:w="847" w:type="dxa"/>
            <w:tcBorders>
              <w:top w:val="nil"/>
              <w:left w:val="nil"/>
              <w:bottom w:val="single" w:color="auto" w:sz="4" w:space="0"/>
              <w:right w:val="single" w:color="auto" w:sz="4" w:space="0"/>
            </w:tcBorders>
            <w:vAlign w:val="center"/>
          </w:tcPr>
          <w:p w14:paraId="35B05210">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2ADEA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36047CC6">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47</w:t>
            </w:r>
          </w:p>
        </w:tc>
        <w:tc>
          <w:tcPr>
            <w:tcW w:w="2893" w:type="dxa"/>
            <w:tcBorders>
              <w:top w:val="nil"/>
              <w:left w:val="single" w:color="auto" w:sz="4" w:space="0"/>
              <w:bottom w:val="single" w:color="auto" w:sz="4" w:space="0"/>
              <w:right w:val="single" w:color="auto" w:sz="4" w:space="0"/>
            </w:tcBorders>
            <w:vAlign w:val="center"/>
          </w:tcPr>
          <w:p w14:paraId="417CEB1B">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43#皮带机头返矿溜槽→酸返皮带落料点</w:t>
            </w:r>
          </w:p>
        </w:tc>
        <w:tc>
          <w:tcPr>
            <w:tcW w:w="1928" w:type="dxa"/>
            <w:tcBorders>
              <w:top w:val="nil"/>
              <w:left w:val="nil"/>
              <w:bottom w:val="single" w:color="auto" w:sz="4" w:space="0"/>
              <w:right w:val="single" w:color="auto" w:sz="4" w:space="0"/>
            </w:tcBorders>
            <w:vAlign w:val="center"/>
          </w:tcPr>
          <w:p w14:paraId="73F332B9">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酸返皮带受料点后</w:t>
            </w:r>
          </w:p>
        </w:tc>
        <w:tc>
          <w:tcPr>
            <w:tcW w:w="719" w:type="dxa"/>
            <w:tcBorders>
              <w:top w:val="nil"/>
              <w:left w:val="nil"/>
              <w:bottom w:val="single" w:color="auto" w:sz="4" w:space="0"/>
              <w:right w:val="single" w:color="auto" w:sz="4" w:space="0"/>
            </w:tcBorders>
            <w:vAlign w:val="center"/>
          </w:tcPr>
          <w:p w14:paraId="0DF83105">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58ECD69F">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4E998A79">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3500</w:t>
            </w:r>
          </w:p>
        </w:tc>
        <w:tc>
          <w:tcPr>
            <w:tcW w:w="847" w:type="dxa"/>
            <w:tcBorders>
              <w:top w:val="nil"/>
              <w:left w:val="nil"/>
              <w:bottom w:val="single" w:color="auto" w:sz="4" w:space="0"/>
              <w:right w:val="single" w:color="auto" w:sz="4" w:space="0"/>
            </w:tcBorders>
            <w:vAlign w:val="center"/>
          </w:tcPr>
          <w:p w14:paraId="7E64BE3A">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3500</w:t>
            </w:r>
          </w:p>
        </w:tc>
        <w:tc>
          <w:tcPr>
            <w:tcW w:w="847" w:type="dxa"/>
            <w:tcBorders>
              <w:top w:val="nil"/>
              <w:left w:val="nil"/>
              <w:bottom w:val="single" w:color="auto" w:sz="4" w:space="0"/>
              <w:right w:val="single" w:color="auto" w:sz="4" w:space="0"/>
            </w:tcBorders>
            <w:vAlign w:val="center"/>
          </w:tcPr>
          <w:p w14:paraId="4317F2A9">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手动</w:t>
            </w:r>
          </w:p>
        </w:tc>
        <w:tc>
          <w:tcPr>
            <w:tcW w:w="847" w:type="dxa"/>
            <w:tcBorders>
              <w:top w:val="nil"/>
              <w:left w:val="nil"/>
              <w:bottom w:val="single" w:color="auto" w:sz="4" w:space="0"/>
              <w:right w:val="single" w:color="auto" w:sz="4" w:space="0"/>
            </w:tcBorders>
            <w:vAlign w:val="center"/>
          </w:tcPr>
          <w:p w14:paraId="3AB7F210">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03A29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3724CB56">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48</w:t>
            </w:r>
          </w:p>
        </w:tc>
        <w:tc>
          <w:tcPr>
            <w:tcW w:w="2893" w:type="dxa"/>
            <w:tcBorders>
              <w:top w:val="nil"/>
              <w:left w:val="single" w:color="auto" w:sz="4" w:space="0"/>
              <w:bottom w:val="single" w:color="auto" w:sz="4" w:space="0"/>
              <w:right w:val="single" w:color="auto" w:sz="4" w:space="0"/>
            </w:tcBorders>
            <w:vAlign w:val="center"/>
          </w:tcPr>
          <w:p w14:paraId="2E5BB15D">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　</w:t>
            </w:r>
          </w:p>
        </w:tc>
        <w:tc>
          <w:tcPr>
            <w:tcW w:w="1928" w:type="dxa"/>
            <w:tcBorders>
              <w:top w:val="nil"/>
              <w:left w:val="nil"/>
              <w:bottom w:val="single" w:color="auto" w:sz="4" w:space="0"/>
              <w:right w:val="single" w:color="auto" w:sz="4" w:space="0"/>
            </w:tcBorders>
            <w:vAlign w:val="center"/>
          </w:tcPr>
          <w:p w14:paraId="163659F5">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酸返皮带受料点前</w:t>
            </w:r>
          </w:p>
        </w:tc>
        <w:tc>
          <w:tcPr>
            <w:tcW w:w="719" w:type="dxa"/>
            <w:tcBorders>
              <w:top w:val="nil"/>
              <w:left w:val="nil"/>
              <w:bottom w:val="single" w:color="auto" w:sz="4" w:space="0"/>
              <w:right w:val="single" w:color="auto" w:sz="4" w:space="0"/>
            </w:tcBorders>
            <w:vAlign w:val="center"/>
          </w:tcPr>
          <w:p w14:paraId="7D061394">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6DEED938">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47F0D028">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w:t>
            </w:r>
          </w:p>
        </w:tc>
        <w:tc>
          <w:tcPr>
            <w:tcW w:w="847" w:type="dxa"/>
            <w:tcBorders>
              <w:top w:val="nil"/>
              <w:left w:val="nil"/>
              <w:bottom w:val="single" w:color="auto" w:sz="4" w:space="0"/>
              <w:right w:val="single" w:color="auto" w:sz="4" w:space="0"/>
            </w:tcBorders>
            <w:vAlign w:val="center"/>
          </w:tcPr>
          <w:p w14:paraId="5F74380F">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w:t>
            </w:r>
          </w:p>
        </w:tc>
        <w:tc>
          <w:tcPr>
            <w:tcW w:w="847" w:type="dxa"/>
            <w:tcBorders>
              <w:top w:val="nil"/>
              <w:left w:val="nil"/>
              <w:bottom w:val="single" w:color="auto" w:sz="4" w:space="0"/>
              <w:right w:val="single" w:color="auto" w:sz="4" w:space="0"/>
            </w:tcBorders>
            <w:vAlign w:val="center"/>
          </w:tcPr>
          <w:p w14:paraId="47650E6B">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手动</w:t>
            </w:r>
          </w:p>
        </w:tc>
        <w:tc>
          <w:tcPr>
            <w:tcW w:w="847" w:type="dxa"/>
            <w:tcBorders>
              <w:top w:val="nil"/>
              <w:left w:val="nil"/>
              <w:bottom w:val="single" w:color="auto" w:sz="4" w:space="0"/>
              <w:right w:val="single" w:color="auto" w:sz="4" w:space="0"/>
            </w:tcBorders>
            <w:vAlign w:val="center"/>
          </w:tcPr>
          <w:p w14:paraId="5820AED0">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07E74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2E59FB7D">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kern w:val="0"/>
                <w:sz w:val="21"/>
                <w:szCs w:val="21"/>
                <w:highlight w:val="none"/>
              </w:rPr>
              <w:t>49</w:t>
            </w:r>
          </w:p>
        </w:tc>
        <w:tc>
          <w:tcPr>
            <w:tcW w:w="2893" w:type="dxa"/>
            <w:tcBorders>
              <w:top w:val="nil"/>
              <w:left w:val="single" w:color="auto" w:sz="4" w:space="0"/>
              <w:bottom w:val="single" w:color="auto" w:sz="4" w:space="0"/>
              <w:right w:val="single" w:color="auto" w:sz="4" w:space="0"/>
            </w:tcBorders>
            <w:vAlign w:val="center"/>
          </w:tcPr>
          <w:p w14:paraId="56B17C09">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42#皮带机头返矿溜槽→碱返皮带落料点</w:t>
            </w:r>
          </w:p>
        </w:tc>
        <w:tc>
          <w:tcPr>
            <w:tcW w:w="1928" w:type="dxa"/>
            <w:tcBorders>
              <w:top w:val="nil"/>
              <w:left w:val="nil"/>
              <w:bottom w:val="single" w:color="auto" w:sz="4" w:space="0"/>
              <w:right w:val="single" w:color="auto" w:sz="4" w:space="0"/>
            </w:tcBorders>
            <w:vAlign w:val="center"/>
          </w:tcPr>
          <w:p w14:paraId="6A42CF54">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碱返皮带受料点后</w:t>
            </w:r>
          </w:p>
        </w:tc>
        <w:tc>
          <w:tcPr>
            <w:tcW w:w="719" w:type="dxa"/>
            <w:tcBorders>
              <w:top w:val="nil"/>
              <w:left w:val="nil"/>
              <w:bottom w:val="single" w:color="auto" w:sz="4" w:space="0"/>
              <w:right w:val="single" w:color="auto" w:sz="4" w:space="0"/>
            </w:tcBorders>
            <w:vAlign w:val="center"/>
          </w:tcPr>
          <w:p w14:paraId="0C5C61EF">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08DD8565">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308BE312">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3500</w:t>
            </w:r>
          </w:p>
        </w:tc>
        <w:tc>
          <w:tcPr>
            <w:tcW w:w="847" w:type="dxa"/>
            <w:tcBorders>
              <w:top w:val="nil"/>
              <w:left w:val="nil"/>
              <w:bottom w:val="single" w:color="auto" w:sz="4" w:space="0"/>
              <w:right w:val="single" w:color="auto" w:sz="4" w:space="0"/>
            </w:tcBorders>
            <w:vAlign w:val="center"/>
          </w:tcPr>
          <w:p w14:paraId="2BC1D8D5">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3500</w:t>
            </w:r>
          </w:p>
        </w:tc>
        <w:tc>
          <w:tcPr>
            <w:tcW w:w="847" w:type="dxa"/>
            <w:tcBorders>
              <w:top w:val="nil"/>
              <w:left w:val="nil"/>
              <w:bottom w:val="single" w:color="auto" w:sz="4" w:space="0"/>
              <w:right w:val="single" w:color="auto" w:sz="4" w:space="0"/>
            </w:tcBorders>
            <w:vAlign w:val="center"/>
          </w:tcPr>
          <w:p w14:paraId="3BC3BB8C">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手动</w:t>
            </w:r>
          </w:p>
        </w:tc>
        <w:tc>
          <w:tcPr>
            <w:tcW w:w="847" w:type="dxa"/>
            <w:tcBorders>
              <w:top w:val="nil"/>
              <w:left w:val="nil"/>
              <w:bottom w:val="single" w:color="auto" w:sz="4" w:space="0"/>
              <w:right w:val="single" w:color="auto" w:sz="4" w:space="0"/>
            </w:tcBorders>
            <w:vAlign w:val="center"/>
          </w:tcPr>
          <w:p w14:paraId="5F7949FD">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2C5D1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177D1160">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kern w:val="0"/>
                <w:sz w:val="21"/>
                <w:szCs w:val="21"/>
                <w:highlight w:val="none"/>
              </w:rPr>
              <w:t>50</w:t>
            </w:r>
          </w:p>
        </w:tc>
        <w:tc>
          <w:tcPr>
            <w:tcW w:w="2893" w:type="dxa"/>
            <w:tcBorders>
              <w:top w:val="nil"/>
              <w:left w:val="single" w:color="auto" w:sz="4" w:space="0"/>
              <w:bottom w:val="single" w:color="auto" w:sz="4" w:space="0"/>
              <w:right w:val="single" w:color="auto" w:sz="4" w:space="0"/>
            </w:tcBorders>
            <w:vAlign w:val="center"/>
          </w:tcPr>
          <w:p w14:paraId="7DFF9D10">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　</w:t>
            </w:r>
          </w:p>
        </w:tc>
        <w:tc>
          <w:tcPr>
            <w:tcW w:w="1928" w:type="dxa"/>
            <w:tcBorders>
              <w:top w:val="nil"/>
              <w:left w:val="nil"/>
              <w:bottom w:val="single" w:color="auto" w:sz="4" w:space="0"/>
              <w:right w:val="single" w:color="auto" w:sz="4" w:space="0"/>
            </w:tcBorders>
            <w:vAlign w:val="center"/>
          </w:tcPr>
          <w:p w14:paraId="3710F928">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碱返皮带受料点前</w:t>
            </w:r>
          </w:p>
        </w:tc>
        <w:tc>
          <w:tcPr>
            <w:tcW w:w="719" w:type="dxa"/>
            <w:tcBorders>
              <w:top w:val="nil"/>
              <w:left w:val="nil"/>
              <w:bottom w:val="single" w:color="auto" w:sz="4" w:space="0"/>
              <w:right w:val="single" w:color="auto" w:sz="4" w:space="0"/>
            </w:tcBorders>
            <w:vAlign w:val="center"/>
          </w:tcPr>
          <w:p w14:paraId="430ED598">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636D0D9D">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56937ABF">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w:t>
            </w:r>
          </w:p>
        </w:tc>
        <w:tc>
          <w:tcPr>
            <w:tcW w:w="847" w:type="dxa"/>
            <w:tcBorders>
              <w:top w:val="nil"/>
              <w:left w:val="nil"/>
              <w:bottom w:val="single" w:color="auto" w:sz="4" w:space="0"/>
              <w:right w:val="single" w:color="auto" w:sz="4" w:space="0"/>
            </w:tcBorders>
            <w:vAlign w:val="center"/>
          </w:tcPr>
          <w:p w14:paraId="090EE73E">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w:t>
            </w:r>
          </w:p>
        </w:tc>
        <w:tc>
          <w:tcPr>
            <w:tcW w:w="847" w:type="dxa"/>
            <w:tcBorders>
              <w:top w:val="nil"/>
              <w:left w:val="nil"/>
              <w:bottom w:val="single" w:color="auto" w:sz="4" w:space="0"/>
              <w:right w:val="single" w:color="auto" w:sz="4" w:space="0"/>
            </w:tcBorders>
            <w:vAlign w:val="center"/>
          </w:tcPr>
          <w:p w14:paraId="5282EF56">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手动</w:t>
            </w:r>
          </w:p>
        </w:tc>
        <w:tc>
          <w:tcPr>
            <w:tcW w:w="847" w:type="dxa"/>
            <w:tcBorders>
              <w:top w:val="nil"/>
              <w:left w:val="nil"/>
              <w:bottom w:val="single" w:color="auto" w:sz="4" w:space="0"/>
              <w:right w:val="single" w:color="auto" w:sz="4" w:space="0"/>
            </w:tcBorders>
            <w:vAlign w:val="center"/>
          </w:tcPr>
          <w:p w14:paraId="41BDDF8A">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39CF6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2B1F1B6D">
            <w:pPr>
              <w:widowControl/>
              <w:shd w:val="clear"/>
              <w:snapToGrid w:val="0"/>
              <w:spacing w:line="240" w:lineRule="auto"/>
              <w:ind w:firstLine="0" w:firstLineChars="0"/>
              <w:jc w:val="center"/>
              <w:textAlignment w:val="bottom"/>
              <w:rPr>
                <w:rFonts w:cs="宋体"/>
                <w:color w:val="auto"/>
                <w:kern w:val="0"/>
                <w:sz w:val="21"/>
                <w:szCs w:val="21"/>
                <w:highlight w:val="none"/>
              </w:rPr>
            </w:pPr>
            <w:r>
              <w:rPr>
                <w:rFonts w:hint="eastAsia" w:cs="宋体"/>
                <w:color w:val="auto"/>
                <w:kern w:val="0"/>
                <w:sz w:val="21"/>
                <w:szCs w:val="21"/>
                <w:highlight w:val="none"/>
              </w:rPr>
              <w:t>51</w:t>
            </w:r>
          </w:p>
        </w:tc>
        <w:tc>
          <w:tcPr>
            <w:tcW w:w="2893" w:type="dxa"/>
            <w:tcBorders>
              <w:top w:val="nil"/>
              <w:left w:val="single" w:color="auto" w:sz="4" w:space="0"/>
              <w:bottom w:val="single" w:color="auto" w:sz="4" w:space="0"/>
              <w:right w:val="single" w:color="auto" w:sz="4" w:space="0"/>
            </w:tcBorders>
            <w:vAlign w:val="center"/>
          </w:tcPr>
          <w:p w14:paraId="3456EE5D">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42#、43#皮带机头</w:t>
            </w:r>
            <w:r>
              <w:rPr>
                <w:rFonts w:hint="eastAsia" w:cs="宋体"/>
                <w:color w:val="auto"/>
                <w:sz w:val="21"/>
                <w:szCs w:val="21"/>
                <w:highlight w:val="none"/>
                <w:lang w:val="en-US" w:eastAsia="zh-CN"/>
              </w:rPr>
              <w:t>返矿</w:t>
            </w:r>
            <w:r>
              <w:rPr>
                <w:rFonts w:hint="eastAsia" w:cs="宋体"/>
                <w:color w:val="auto"/>
                <w:sz w:val="21"/>
                <w:szCs w:val="21"/>
                <w:highlight w:val="none"/>
              </w:rPr>
              <w:t>仓顶</w:t>
            </w:r>
          </w:p>
        </w:tc>
        <w:tc>
          <w:tcPr>
            <w:tcW w:w="1928" w:type="dxa"/>
            <w:tcBorders>
              <w:top w:val="nil"/>
              <w:left w:val="nil"/>
              <w:bottom w:val="single" w:color="auto" w:sz="4" w:space="0"/>
              <w:right w:val="single" w:color="auto" w:sz="4" w:space="0"/>
            </w:tcBorders>
            <w:vAlign w:val="center"/>
          </w:tcPr>
          <w:p w14:paraId="695C07CC">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lang w:val="en-US" w:eastAsia="zh-CN"/>
              </w:rPr>
              <w:t>返矿</w:t>
            </w:r>
            <w:r>
              <w:rPr>
                <w:rFonts w:hint="eastAsia" w:cs="宋体"/>
                <w:color w:val="auto"/>
                <w:sz w:val="21"/>
                <w:szCs w:val="21"/>
                <w:highlight w:val="none"/>
              </w:rPr>
              <w:t>仓顶</w:t>
            </w:r>
          </w:p>
        </w:tc>
        <w:tc>
          <w:tcPr>
            <w:tcW w:w="719" w:type="dxa"/>
            <w:tcBorders>
              <w:top w:val="nil"/>
              <w:left w:val="nil"/>
              <w:bottom w:val="single" w:color="auto" w:sz="4" w:space="0"/>
              <w:right w:val="single" w:color="auto" w:sz="4" w:space="0"/>
            </w:tcBorders>
            <w:vAlign w:val="center"/>
          </w:tcPr>
          <w:p w14:paraId="3CB5B5A1">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7AF914A7">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2AA481D5">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w:t>
            </w:r>
          </w:p>
        </w:tc>
        <w:tc>
          <w:tcPr>
            <w:tcW w:w="847" w:type="dxa"/>
            <w:tcBorders>
              <w:top w:val="nil"/>
              <w:left w:val="nil"/>
              <w:bottom w:val="single" w:color="auto" w:sz="4" w:space="0"/>
              <w:right w:val="single" w:color="auto" w:sz="4" w:space="0"/>
            </w:tcBorders>
            <w:vAlign w:val="center"/>
          </w:tcPr>
          <w:p w14:paraId="5A0D11EA">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w:t>
            </w:r>
          </w:p>
        </w:tc>
        <w:tc>
          <w:tcPr>
            <w:tcW w:w="847" w:type="dxa"/>
            <w:tcBorders>
              <w:top w:val="nil"/>
              <w:left w:val="nil"/>
              <w:bottom w:val="single" w:color="auto" w:sz="4" w:space="0"/>
              <w:right w:val="single" w:color="auto" w:sz="4" w:space="0"/>
            </w:tcBorders>
            <w:vAlign w:val="center"/>
          </w:tcPr>
          <w:p w14:paraId="0AA5239D">
            <w:pPr>
              <w:widowControl/>
              <w:shd w:val="clear"/>
              <w:snapToGrid w:val="0"/>
              <w:spacing w:line="240" w:lineRule="auto"/>
              <w:ind w:firstLine="0" w:firstLineChars="0"/>
              <w:jc w:val="center"/>
              <w:textAlignment w:val="bottom"/>
              <w:rPr>
                <w:rFonts w:hint="default" w:eastAsia="宋体" w:cs="宋体"/>
                <w:color w:val="auto"/>
                <w:sz w:val="21"/>
                <w:szCs w:val="21"/>
                <w:highlight w:val="none"/>
                <w:lang w:val="en-US" w:eastAsia="zh-CN"/>
              </w:rPr>
            </w:pPr>
            <w:r>
              <w:rPr>
                <w:rFonts w:hint="eastAsia" w:cs="宋体"/>
                <w:color w:val="auto"/>
                <w:sz w:val="21"/>
                <w:szCs w:val="21"/>
                <w:highlight w:val="none"/>
              </w:rPr>
              <w:t>手动</w:t>
            </w:r>
          </w:p>
        </w:tc>
        <w:tc>
          <w:tcPr>
            <w:tcW w:w="847" w:type="dxa"/>
            <w:tcBorders>
              <w:top w:val="nil"/>
              <w:left w:val="nil"/>
              <w:bottom w:val="single" w:color="auto" w:sz="4" w:space="0"/>
              <w:right w:val="single" w:color="auto" w:sz="4" w:space="0"/>
            </w:tcBorders>
            <w:vAlign w:val="center"/>
          </w:tcPr>
          <w:p w14:paraId="4280A665">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76526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04529250">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kern w:val="0"/>
                <w:sz w:val="21"/>
                <w:szCs w:val="21"/>
                <w:highlight w:val="none"/>
              </w:rPr>
              <w:t>52</w:t>
            </w:r>
          </w:p>
        </w:tc>
        <w:tc>
          <w:tcPr>
            <w:tcW w:w="2893" w:type="dxa"/>
            <w:tcBorders>
              <w:top w:val="nil"/>
              <w:left w:val="single" w:color="auto" w:sz="4" w:space="0"/>
              <w:bottom w:val="single" w:color="auto" w:sz="4" w:space="0"/>
              <w:right w:val="single" w:color="auto" w:sz="4" w:space="0"/>
            </w:tcBorders>
            <w:shd w:val="clear" w:color="auto" w:fill="auto"/>
            <w:vAlign w:val="center"/>
          </w:tcPr>
          <w:p w14:paraId="69DD8C89">
            <w:pPr>
              <w:widowControl/>
              <w:shd w:val="clear"/>
              <w:snapToGrid w:val="0"/>
              <w:spacing w:line="240" w:lineRule="auto"/>
              <w:ind w:firstLine="0" w:firstLineChars="0"/>
              <w:textAlignment w:val="bottom"/>
              <w:rPr>
                <w:rFonts w:hint="default" w:ascii="宋体" w:hAnsi="宋体" w:eastAsia="宋体" w:cs="宋体"/>
                <w:color w:val="auto"/>
                <w:kern w:val="2"/>
                <w:sz w:val="21"/>
                <w:szCs w:val="21"/>
                <w:highlight w:val="none"/>
                <w:lang w:val="en-US" w:eastAsia="zh-CN" w:bidi="ar-SA"/>
              </w:rPr>
            </w:pPr>
            <w:r>
              <w:rPr>
                <w:rFonts w:hint="eastAsia" w:cs="宋体"/>
                <w:color w:val="auto"/>
                <w:sz w:val="21"/>
                <w:szCs w:val="21"/>
                <w:highlight w:val="none"/>
                <w:lang w:val="en-US" w:eastAsia="zh-CN"/>
              </w:rPr>
              <w:t>44#机头落料</w:t>
            </w:r>
          </w:p>
        </w:tc>
        <w:tc>
          <w:tcPr>
            <w:tcW w:w="1928" w:type="dxa"/>
            <w:tcBorders>
              <w:top w:val="nil"/>
              <w:left w:val="nil"/>
              <w:bottom w:val="single" w:color="auto" w:sz="4" w:space="0"/>
              <w:right w:val="single" w:color="auto" w:sz="4" w:space="0"/>
            </w:tcBorders>
            <w:vAlign w:val="center"/>
          </w:tcPr>
          <w:p w14:paraId="3BC921CE">
            <w:pPr>
              <w:widowControl/>
              <w:shd w:val="clear"/>
              <w:snapToGrid w:val="0"/>
              <w:spacing w:line="240" w:lineRule="auto"/>
              <w:ind w:firstLine="0" w:firstLineChars="0"/>
              <w:textAlignment w:val="bottom"/>
              <w:rPr>
                <w:rFonts w:hint="default" w:eastAsia="宋体" w:cs="宋体"/>
                <w:color w:val="auto"/>
                <w:sz w:val="21"/>
                <w:szCs w:val="21"/>
                <w:highlight w:val="none"/>
                <w:lang w:val="en-US" w:eastAsia="zh-CN"/>
              </w:rPr>
            </w:pPr>
            <w:r>
              <w:rPr>
                <w:rFonts w:hint="eastAsia" w:cs="宋体"/>
                <w:color w:val="auto"/>
                <w:sz w:val="21"/>
                <w:szCs w:val="21"/>
                <w:highlight w:val="none"/>
              </w:rPr>
              <w:t>44#机头返焦仓汽车受料</w:t>
            </w:r>
          </w:p>
        </w:tc>
        <w:tc>
          <w:tcPr>
            <w:tcW w:w="719" w:type="dxa"/>
            <w:tcBorders>
              <w:top w:val="nil"/>
              <w:left w:val="nil"/>
              <w:bottom w:val="single" w:color="auto" w:sz="4" w:space="0"/>
              <w:right w:val="single" w:color="auto" w:sz="4" w:space="0"/>
            </w:tcBorders>
            <w:vAlign w:val="center"/>
          </w:tcPr>
          <w:p w14:paraId="0A752748">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41D804BD">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0</w:t>
            </w:r>
          </w:p>
        </w:tc>
        <w:tc>
          <w:tcPr>
            <w:tcW w:w="796" w:type="dxa"/>
            <w:tcBorders>
              <w:top w:val="nil"/>
              <w:left w:val="nil"/>
              <w:bottom w:val="single" w:color="auto" w:sz="4" w:space="0"/>
              <w:right w:val="single" w:color="auto" w:sz="4" w:space="0"/>
            </w:tcBorders>
            <w:vAlign w:val="center"/>
          </w:tcPr>
          <w:p w14:paraId="0ECD728A">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40000</w:t>
            </w:r>
          </w:p>
        </w:tc>
        <w:tc>
          <w:tcPr>
            <w:tcW w:w="847" w:type="dxa"/>
            <w:tcBorders>
              <w:top w:val="nil"/>
              <w:left w:val="nil"/>
              <w:bottom w:val="single" w:color="auto" w:sz="4" w:space="0"/>
              <w:right w:val="single" w:color="auto" w:sz="4" w:space="0"/>
            </w:tcBorders>
            <w:vAlign w:val="center"/>
          </w:tcPr>
          <w:p w14:paraId="483DC381">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0</w:t>
            </w:r>
          </w:p>
        </w:tc>
        <w:tc>
          <w:tcPr>
            <w:tcW w:w="847" w:type="dxa"/>
            <w:tcBorders>
              <w:top w:val="nil"/>
              <w:left w:val="nil"/>
              <w:bottom w:val="single" w:color="auto" w:sz="4" w:space="0"/>
              <w:right w:val="single" w:color="auto" w:sz="4" w:space="0"/>
            </w:tcBorders>
            <w:vAlign w:val="center"/>
          </w:tcPr>
          <w:p w14:paraId="06E4420F">
            <w:pPr>
              <w:widowControl/>
              <w:shd w:val="clear"/>
              <w:snapToGrid w:val="0"/>
              <w:spacing w:line="240" w:lineRule="auto"/>
              <w:ind w:firstLine="0" w:firstLineChars="0"/>
              <w:jc w:val="center"/>
              <w:textAlignment w:val="bottom"/>
              <w:rPr>
                <w:rFonts w:hint="eastAsia" w:eastAsia="宋体" w:cs="宋体"/>
                <w:color w:val="auto"/>
                <w:sz w:val="21"/>
                <w:szCs w:val="21"/>
                <w:highlight w:val="none"/>
                <w:lang w:val="en-US" w:eastAsia="zh-CN"/>
              </w:rPr>
            </w:pPr>
            <w:r>
              <w:rPr>
                <w:rFonts w:hint="eastAsia" w:cs="宋体"/>
                <w:color w:val="auto"/>
                <w:sz w:val="21"/>
                <w:szCs w:val="21"/>
                <w:highlight w:val="none"/>
              </w:rPr>
              <w:t>气动</w:t>
            </w:r>
          </w:p>
        </w:tc>
        <w:tc>
          <w:tcPr>
            <w:tcW w:w="847" w:type="dxa"/>
            <w:tcBorders>
              <w:top w:val="nil"/>
              <w:left w:val="nil"/>
              <w:bottom w:val="single" w:color="auto" w:sz="4" w:space="0"/>
              <w:right w:val="single" w:color="auto" w:sz="4" w:space="0"/>
            </w:tcBorders>
            <w:vAlign w:val="center"/>
          </w:tcPr>
          <w:p w14:paraId="136A7F37">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23704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281FDE8B">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kern w:val="0"/>
                <w:sz w:val="21"/>
                <w:szCs w:val="21"/>
                <w:highlight w:val="none"/>
              </w:rPr>
              <w:t>53</w:t>
            </w:r>
          </w:p>
        </w:tc>
        <w:tc>
          <w:tcPr>
            <w:tcW w:w="2893" w:type="dxa"/>
            <w:tcBorders>
              <w:top w:val="nil"/>
              <w:left w:val="single" w:color="auto" w:sz="4" w:space="0"/>
              <w:bottom w:val="single" w:color="auto" w:sz="4" w:space="0"/>
              <w:right w:val="single" w:color="auto" w:sz="4" w:space="0"/>
            </w:tcBorders>
            <w:vAlign w:val="center"/>
          </w:tcPr>
          <w:p w14:paraId="7303EED1">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酸返皮带头轮罩上部</w:t>
            </w:r>
          </w:p>
        </w:tc>
        <w:tc>
          <w:tcPr>
            <w:tcW w:w="1928" w:type="dxa"/>
            <w:tcBorders>
              <w:top w:val="nil"/>
              <w:left w:val="nil"/>
              <w:bottom w:val="single" w:color="auto" w:sz="4" w:space="0"/>
              <w:right w:val="single" w:color="auto" w:sz="4" w:space="0"/>
            </w:tcBorders>
            <w:vAlign w:val="center"/>
          </w:tcPr>
          <w:p w14:paraId="34273C89">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酸返皮带头轮罩上部</w:t>
            </w:r>
          </w:p>
        </w:tc>
        <w:tc>
          <w:tcPr>
            <w:tcW w:w="719" w:type="dxa"/>
            <w:tcBorders>
              <w:top w:val="nil"/>
              <w:left w:val="nil"/>
              <w:bottom w:val="single" w:color="auto" w:sz="4" w:space="0"/>
              <w:right w:val="single" w:color="auto" w:sz="4" w:space="0"/>
            </w:tcBorders>
            <w:vAlign w:val="center"/>
          </w:tcPr>
          <w:p w14:paraId="1EA47AED">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0ADA1464">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2CE50627">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w:t>
            </w:r>
          </w:p>
        </w:tc>
        <w:tc>
          <w:tcPr>
            <w:tcW w:w="847" w:type="dxa"/>
            <w:tcBorders>
              <w:top w:val="nil"/>
              <w:left w:val="nil"/>
              <w:bottom w:val="single" w:color="auto" w:sz="4" w:space="0"/>
              <w:right w:val="single" w:color="auto" w:sz="4" w:space="0"/>
            </w:tcBorders>
            <w:vAlign w:val="center"/>
          </w:tcPr>
          <w:p w14:paraId="59071520">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w:t>
            </w:r>
          </w:p>
        </w:tc>
        <w:tc>
          <w:tcPr>
            <w:tcW w:w="847" w:type="dxa"/>
            <w:tcBorders>
              <w:top w:val="nil"/>
              <w:left w:val="nil"/>
              <w:bottom w:val="single" w:color="auto" w:sz="4" w:space="0"/>
              <w:right w:val="single" w:color="auto" w:sz="4" w:space="0"/>
            </w:tcBorders>
            <w:vAlign w:val="center"/>
          </w:tcPr>
          <w:p w14:paraId="7A7A599C">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手动</w:t>
            </w:r>
          </w:p>
        </w:tc>
        <w:tc>
          <w:tcPr>
            <w:tcW w:w="847" w:type="dxa"/>
            <w:tcBorders>
              <w:top w:val="nil"/>
              <w:left w:val="nil"/>
              <w:bottom w:val="single" w:color="auto" w:sz="4" w:space="0"/>
              <w:right w:val="single" w:color="auto" w:sz="4" w:space="0"/>
            </w:tcBorders>
            <w:vAlign w:val="center"/>
          </w:tcPr>
          <w:p w14:paraId="5FCB16CA">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71EA0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2D6389E8">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kern w:val="0"/>
                <w:sz w:val="21"/>
                <w:szCs w:val="21"/>
                <w:highlight w:val="none"/>
              </w:rPr>
              <w:t>54</w:t>
            </w:r>
          </w:p>
        </w:tc>
        <w:tc>
          <w:tcPr>
            <w:tcW w:w="2893" w:type="dxa"/>
            <w:tcBorders>
              <w:top w:val="nil"/>
              <w:left w:val="single" w:color="auto" w:sz="4" w:space="0"/>
              <w:bottom w:val="single" w:color="auto" w:sz="4" w:space="0"/>
              <w:right w:val="single" w:color="auto" w:sz="4" w:space="0"/>
            </w:tcBorders>
            <w:vAlign w:val="center"/>
          </w:tcPr>
          <w:p w14:paraId="1B6B2DD2">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碱返皮带头轮罩上部</w:t>
            </w:r>
          </w:p>
        </w:tc>
        <w:tc>
          <w:tcPr>
            <w:tcW w:w="1928" w:type="dxa"/>
            <w:tcBorders>
              <w:top w:val="nil"/>
              <w:left w:val="nil"/>
              <w:bottom w:val="single" w:color="auto" w:sz="4" w:space="0"/>
              <w:right w:val="single" w:color="auto" w:sz="4" w:space="0"/>
            </w:tcBorders>
            <w:vAlign w:val="center"/>
          </w:tcPr>
          <w:p w14:paraId="25C7DADC">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碱返皮带头轮罩上部</w:t>
            </w:r>
          </w:p>
        </w:tc>
        <w:tc>
          <w:tcPr>
            <w:tcW w:w="719" w:type="dxa"/>
            <w:tcBorders>
              <w:top w:val="nil"/>
              <w:left w:val="nil"/>
              <w:bottom w:val="single" w:color="auto" w:sz="4" w:space="0"/>
              <w:right w:val="single" w:color="auto" w:sz="4" w:space="0"/>
            </w:tcBorders>
            <w:vAlign w:val="center"/>
          </w:tcPr>
          <w:p w14:paraId="5839ADD7">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6F2B4089">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0971C81B">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w:t>
            </w:r>
          </w:p>
        </w:tc>
        <w:tc>
          <w:tcPr>
            <w:tcW w:w="847" w:type="dxa"/>
            <w:tcBorders>
              <w:top w:val="nil"/>
              <w:left w:val="nil"/>
              <w:bottom w:val="single" w:color="auto" w:sz="4" w:space="0"/>
              <w:right w:val="single" w:color="auto" w:sz="4" w:space="0"/>
            </w:tcBorders>
            <w:vAlign w:val="center"/>
          </w:tcPr>
          <w:p w14:paraId="6042D7A4">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w:t>
            </w:r>
          </w:p>
        </w:tc>
        <w:tc>
          <w:tcPr>
            <w:tcW w:w="847" w:type="dxa"/>
            <w:tcBorders>
              <w:top w:val="nil"/>
              <w:left w:val="nil"/>
              <w:bottom w:val="single" w:color="auto" w:sz="4" w:space="0"/>
              <w:right w:val="single" w:color="auto" w:sz="4" w:space="0"/>
            </w:tcBorders>
            <w:vAlign w:val="center"/>
          </w:tcPr>
          <w:p w14:paraId="695CD418">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手动</w:t>
            </w:r>
          </w:p>
        </w:tc>
        <w:tc>
          <w:tcPr>
            <w:tcW w:w="847" w:type="dxa"/>
            <w:tcBorders>
              <w:top w:val="nil"/>
              <w:left w:val="nil"/>
              <w:bottom w:val="single" w:color="auto" w:sz="4" w:space="0"/>
              <w:right w:val="single" w:color="auto" w:sz="4" w:space="0"/>
            </w:tcBorders>
            <w:vAlign w:val="center"/>
          </w:tcPr>
          <w:p w14:paraId="3FD6724B">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4AE9A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3355A4F8">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kern w:val="0"/>
                <w:sz w:val="21"/>
                <w:szCs w:val="21"/>
                <w:highlight w:val="none"/>
              </w:rPr>
              <w:t>55</w:t>
            </w:r>
          </w:p>
        </w:tc>
        <w:tc>
          <w:tcPr>
            <w:tcW w:w="2893" w:type="dxa"/>
            <w:tcBorders>
              <w:top w:val="nil"/>
              <w:left w:val="single" w:color="auto" w:sz="4" w:space="0"/>
              <w:bottom w:val="single" w:color="auto" w:sz="4" w:space="0"/>
              <w:right w:val="single" w:color="auto" w:sz="4" w:space="0"/>
            </w:tcBorders>
            <w:vAlign w:val="center"/>
          </w:tcPr>
          <w:p w14:paraId="60995BCD">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酸返皮带→酸返垂直皮带</w:t>
            </w:r>
          </w:p>
        </w:tc>
        <w:tc>
          <w:tcPr>
            <w:tcW w:w="1928" w:type="dxa"/>
            <w:tcBorders>
              <w:top w:val="nil"/>
              <w:left w:val="nil"/>
              <w:bottom w:val="single" w:color="auto" w:sz="4" w:space="0"/>
              <w:right w:val="single" w:color="auto" w:sz="4" w:space="0"/>
            </w:tcBorders>
            <w:vAlign w:val="center"/>
          </w:tcPr>
          <w:p w14:paraId="7186E96A">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酸返垂直皮带受料</w:t>
            </w:r>
          </w:p>
        </w:tc>
        <w:tc>
          <w:tcPr>
            <w:tcW w:w="719" w:type="dxa"/>
            <w:tcBorders>
              <w:top w:val="nil"/>
              <w:left w:val="nil"/>
              <w:bottom w:val="single" w:color="auto" w:sz="4" w:space="0"/>
              <w:right w:val="single" w:color="auto" w:sz="4" w:space="0"/>
            </w:tcBorders>
            <w:vAlign w:val="center"/>
          </w:tcPr>
          <w:p w14:paraId="7FFD13D5">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743729F2">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5695BF5F">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8000</w:t>
            </w:r>
          </w:p>
        </w:tc>
        <w:tc>
          <w:tcPr>
            <w:tcW w:w="847" w:type="dxa"/>
            <w:tcBorders>
              <w:top w:val="nil"/>
              <w:left w:val="nil"/>
              <w:bottom w:val="single" w:color="auto" w:sz="4" w:space="0"/>
              <w:right w:val="single" w:color="auto" w:sz="4" w:space="0"/>
            </w:tcBorders>
            <w:vAlign w:val="center"/>
          </w:tcPr>
          <w:p w14:paraId="7F34AA2A">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8000</w:t>
            </w:r>
          </w:p>
        </w:tc>
        <w:tc>
          <w:tcPr>
            <w:tcW w:w="847" w:type="dxa"/>
            <w:tcBorders>
              <w:top w:val="nil"/>
              <w:left w:val="nil"/>
              <w:bottom w:val="single" w:color="auto" w:sz="4" w:space="0"/>
              <w:right w:val="single" w:color="auto" w:sz="4" w:space="0"/>
            </w:tcBorders>
            <w:vAlign w:val="center"/>
          </w:tcPr>
          <w:p w14:paraId="1BA814EB">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手动</w:t>
            </w:r>
          </w:p>
        </w:tc>
        <w:tc>
          <w:tcPr>
            <w:tcW w:w="847" w:type="dxa"/>
            <w:tcBorders>
              <w:top w:val="nil"/>
              <w:left w:val="nil"/>
              <w:bottom w:val="single" w:color="auto" w:sz="4" w:space="0"/>
              <w:right w:val="single" w:color="auto" w:sz="4" w:space="0"/>
            </w:tcBorders>
            <w:vAlign w:val="center"/>
          </w:tcPr>
          <w:p w14:paraId="151D68D3">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1C855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5D85066F">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kern w:val="0"/>
                <w:sz w:val="21"/>
                <w:szCs w:val="21"/>
                <w:highlight w:val="none"/>
              </w:rPr>
              <w:t>56</w:t>
            </w:r>
          </w:p>
        </w:tc>
        <w:tc>
          <w:tcPr>
            <w:tcW w:w="2893" w:type="dxa"/>
            <w:tcBorders>
              <w:top w:val="nil"/>
              <w:left w:val="single" w:color="auto" w:sz="4" w:space="0"/>
              <w:bottom w:val="single" w:color="auto" w:sz="4" w:space="0"/>
              <w:right w:val="single" w:color="auto" w:sz="4" w:space="0"/>
            </w:tcBorders>
            <w:vAlign w:val="center"/>
          </w:tcPr>
          <w:p w14:paraId="36147A97">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碱返皮带→碱返垂直皮带</w:t>
            </w:r>
          </w:p>
        </w:tc>
        <w:tc>
          <w:tcPr>
            <w:tcW w:w="1928" w:type="dxa"/>
            <w:tcBorders>
              <w:top w:val="nil"/>
              <w:left w:val="nil"/>
              <w:bottom w:val="single" w:color="auto" w:sz="4" w:space="0"/>
              <w:right w:val="single" w:color="auto" w:sz="4" w:space="0"/>
            </w:tcBorders>
            <w:vAlign w:val="center"/>
          </w:tcPr>
          <w:p w14:paraId="075BC197">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碱返垂直皮带受料</w:t>
            </w:r>
          </w:p>
        </w:tc>
        <w:tc>
          <w:tcPr>
            <w:tcW w:w="719" w:type="dxa"/>
            <w:tcBorders>
              <w:top w:val="nil"/>
              <w:left w:val="nil"/>
              <w:bottom w:val="single" w:color="auto" w:sz="4" w:space="0"/>
              <w:right w:val="single" w:color="auto" w:sz="4" w:space="0"/>
            </w:tcBorders>
            <w:vAlign w:val="center"/>
          </w:tcPr>
          <w:p w14:paraId="37832889">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66123BDA">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6C35ACCD">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8000</w:t>
            </w:r>
          </w:p>
        </w:tc>
        <w:tc>
          <w:tcPr>
            <w:tcW w:w="847" w:type="dxa"/>
            <w:tcBorders>
              <w:top w:val="nil"/>
              <w:left w:val="nil"/>
              <w:bottom w:val="single" w:color="auto" w:sz="4" w:space="0"/>
              <w:right w:val="single" w:color="auto" w:sz="4" w:space="0"/>
            </w:tcBorders>
            <w:vAlign w:val="center"/>
          </w:tcPr>
          <w:p w14:paraId="6FDB05E9">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8000</w:t>
            </w:r>
          </w:p>
        </w:tc>
        <w:tc>
          <w:tcPr>
            <w:tcW w:w="847" w:type="dxa"/>
            <w:tcBorders>
              <w:top w:val="nil"/>
              <w:left w:val="nil"/>
              <w:bottom w:val="single" w:color="auto" w:sz="4" w:space="0"/>
              <w:right w:val="single" w:color="auto" w:sz="4" w:space="0"/>
            </w:tcBorders>
            <w:vAlign w:val="center"/>
          </w:tcPr>
          <w:p w14:paraId="177B8DD4">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手动</w:t>
            </w:r>
          </w:p>
        </w:tc>
        <w:tc>
          <w:tcPr>
            <w:tcW w:w="847" w:type="dxa"/>
            <w:tcBorders>
              <w:top w:val="nil"/>
              <w:left w:val="nil"/>
              <w:bottom w:val="single" w:color="auto" w:sz="4" w:space="0"/>
              <w:right w:val="single" w:color="auto" w:sz="4" w:space="0"/>
            </w:tcBorders>
            <w:vAlign w:val="center"/>
          </w:tcPr>
          <w:p w14:paraId="6397B6FA">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543C8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7D8DDAC7">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kern w:val="0"/>
                <w:sz w:val="21"/>
                <w:szCs w:val="21"/>
                <w:highlight w:val="none"/>
              </w:rPr>
              <w:t>57</w:t>
            </w:r>
          </w:p>
        </w:tc>
        <w:tc>
          <w:tcPr>
            <w:tcW w:w="2893" w:type="dxa"/>
            <w:tcBorders>
              <w:top w:val="nil"/>
              <w:left w:val="single" w:color="auto" w:sz="4" w:space="0"/>
              <w:bottom w:val="single" w:color="auto" w:sz="4" w:space="0"/>
              <w:right w:val="single" w:color="auto" w:sz="4" w:space="0"/>
            </w:tcBorders>
            <w:vAlign w:val="center"/>
          </w:tcPr>
          <w:p w14:paraId="3D330ACB">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酸返垂直皮带头轮罩上部</w:t>
            </w:r>
          </w:p>
        </w:tc>
        <w:tc>
          <w:tcPr>
            <w:tcW w:w="1928" w:type="dxa"/>
            <w:tcBorders>
              <w:top w:val="nil"/>
              <w:left w:val="nil"/>
              <w:bottom w:val="single" w:color="auto" w:sz="4" w:space="0"/>
              <w:right w:val="single" w:color="auto" w:sz="4" w:space="0"/>
            </w:tcBorders>
            <w:vAlign w:val="center"/>
          </w:tcPr>
          <w:p w14:paraId="392553CA">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皮带头轮罩上部</w:t>
            </w:r>
          </w:p>
        </w:tc>
        <w:tc>
          <w:tcPr>
            <w:tcW w:w="719" w:type="dxa"/>
            <w:tcBorders>
              <w:top w:val="nil"/>
              <w:left w:val="nil"/>
              <w:bottom w:val="single" w:color="auto" w:sz="4" w:space="0"/>
              <w:right w:val="single" w:color="auto" w:sz="4" w:space="0"/>
            </w:tcBorders>
            <w:vAlign w:val="center"/>
          </w:tcPr>
          <w:p w14:paraId="27B91E08">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61292A06">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6533A471">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w:t>
            </w:r>
          </w:p>
        </w:tc>
        <w:tc>
          <w:tcPr>
            <w:tcW w:w="847" w:type="dxa"/>
            <w:tcBorders>
              <w:top w:val="nil"/>
              <w:left w:val="nil"/>
              <w:bottom w:val="single" w:color="auto" w:sz="4" w:space="0"/>
              <w:right w:val="single" w:color="auto" w:sz="4" w:space="0"/>
            </w:tcBorders>
            <w:vAlign w:val="center"/>
          </w:tcPr>
          <w:p w14:paraId="5502BD24">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w:t>
            </w:r>
          </w:p>
        </w:tc>
        <w:tc>
          <w:tcPr>
            <w:tcW w:w="847" w:type="dxa"/>
            <w:tcBorders>
              <w:top w:val="nil"/>
              <w:left w:val="nil"/>
              <w:bottom w:val="single" w:color="auto" w:sz="4" w:space="0"/>
              <w:right w:val="single" w:color="auto" w:sz="4" w:space="0"/>
            </w:tcBorders>
            <w:vAlign w:val="center"/>
          </w:tcPr>
          <w:p w14:paraId="3703B628">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手动</w:t>
            </w:r>
          </w:p>
        </w:tc>
        <w:tc>
          <w:tcPr>
            <w:tcW w:w="847" w:type="dxa"/>
            <w:tcBorders>
              <w:top w:val="nil"/>
              <w:left w:val="nil"/>
              <w:bottom w:val="single" w:color="auto" w:sz="4" w:space="0"/>
              <w:right w:val="single" w:color="auto" w:sz="4" w:space="0"/>
            </w:tcBorders>
            <w:vAlign w:val="center"/>
          </w:tcPr>
          <w:p w14:paraId="0BDB9686">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19727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6C7D1AA2">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kern w:val="0"/>
                <w:sz w:val="21"/>
                <w:szCs w:val="21"/>
                <w:highlight w:val="none"/>
              </w:rPr>
              <w:t>59</w:t>
            </w:r>
          </w:p>
        </w:tc>
        <w:tc>
          <w:tcPr>
            <w:tcW w:w="2893" w:type="dxa"/>
            <w:tcBorders>
              <w:top w:val="nil"/>
              <w:left w:val="single" w:color="auto" w:sz="4" w:space="0"/>
              <w:bottom w:val="single" w:color="auto" w:sz="4" w:space="0"/>
              <w:right w:val="single" w:color="auto" w:sz="4" w:space="0"/>
            </w:tcBorders>
            <w:vAlign w:val="center"/>
          </w:tcPr>
          <w:p w14:paraId="7835D0AD">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碱返垂直皮带头轮罩上部</w:t>
            </w:r>
          </w:p>
        </w:tc>
        <w:tc>
          <w:tcPr>
            <w:tcW w:w="1928" w:type="dxa"/>
            <w:tcBorders>
              <w:top w:val="nil"/>
              <w:left w:val="nil"/>
              <w:bottom w:val="single" w:color="auto" w:sz="4" w:space="0"/>
              <w:right w:val="single" w:color="auto" w:sz="4" w:space="0"/>
            </w:tcBorders>
            <w:vAlign w:val="center"/>
          </w:tcPr>
          <w:p w14:paraId="42E62413">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皮带头轮罩上部</w:t>
            </w:r>
          </w:p>
        </w:tc>
        <w:tc>
          <w:tcPr>
            <w:tcW w:w="719" w:type="dxa"/>
            <w:tcBorders>
              <w:top w:val="nil"/>
              <w:left w:val="nil"/>
              <w:bottom w:val="single" w:color="auto" w:sz="4" w:space="0"/>
              <w:right w:val="single" w:color="auto" w:sz="4" w:space="0"/>
            </w:tcBorders>
            <w:vAlign w:val="center"/>
          </w:tcPr>
          <w:p w14:paraId="18334742">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885" w:type="dxa"/>
            <w:tcBorders>
              <w:top w:val="nil"/>
              <w:left w:val="nil"/>
              <w:bottom w:val="single" w:color="auto" w:sz="4" w:space="0"/>
              <w:right w:val="single" w:color="auto" w:sz="4" w:space="0"/>
            </w:tcBorders>
            <w:vAlign w:val="center"/>
          </w:tcPr>
          <w:p w14:paraId="58DF30B9">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1</w:t>
            </w:r>
          </w:p>
        </w:tc>
        <w:tc>
          <w:tcPr>
            <w:tcW w:w="796" w:type="dxa"/>
            <w:tcBorders>
              <w:top w:val="nil"/>
              <w:left w:val="nil"/>
              <w:bottom w:val="single" w:color="auto" w:sz="4" w:space="0"/>
              <w:right w:val="single" w:color="auto" w:sz="4" w:space="0"/>
            </w:tcBorders>
            <w:vAlign w:val="center"/>
          </w:tcPr>
          <w:p w14:paraId="0C02D565">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w:t>
            </w:r>
          </w:p>
        </w:tc>
        <w:tc>
          <w:tcPr>
            <w:tcW w:w="847" w:type="dxa"/>
            <w:tcBorders>
              <w:top w:val="nil"/>
              <w:left w:val="nil"/>
              <w:bottom w:val="single" w:color="auto" w:sz="4" w:space="0"/>
              <w:right w:val="single" w:color="auto" w:sz="4" w:space="0"/>
            </w:tcBorders>
            <w:vAlign w:val="center"/>
          </w:tcPr>
          <w:p w14:paraId="5F327878">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5000</w:t>
            </w:r>
          </w:p>
        </w:tc>
        <w:tc>
          <w:tcPr>
            <w:tcW w:w="847" w:type="dxa"/>
            <w:tcBorders>
              <w:top w:val="nil"/>
              <w:left w:val="nil"/>
              <w:bottom w:val="single" w:color="auto" w:sz="4" w:space="0"/>
              <w:right w:val="single" w:color="auto" w:sz="4" w:space="0"/>
            </w:tcBorders>
            <w:vAlign w:val="center"/>
          </w:tcPr>
          <w:p w14:paraId="75D8868E">
            <w:pPr>
              <w:widowControl/>
              <w:shd w:val="clear"/>
              <w:snapToGrid w:val="0"/>
              <w:spacing w:line="240" w:lineRule="auto"/>
              <w:ind w:firstLine="0" w:firstLineChars="0"/>
              <w:jc w:val="center"/>
              <w:textAlignment w:val="bottom"/>
              <w:rPr>
                <w:rFonts w:hint="eastAsia" w:cs="宋体"/>
                <w:color w:val="auto"/>
                <w:sz w:val="21"/>
                <w:szCs w:val="21"/>
                <w:highlight w:val="none"/>
              </w:rPr>
            </w:pPr>
            <w:r>
              <w:rPr>
                <w:rFonts w:hint="eastAsia" w:cs="宋体"/>
                <w:color w:val="auto"/>
                <w:sz w:val="21"/>
                <w:szCs w:val="21"/>
                <w:highlight w:val="none"/>
              </w:rPr>
              <w:t>手动</w:t>
            </w:r>
          </w:p>
        </w:tc>
        <w:tc>
          <w:tcPr>
            <w:tcW w:w="847" w:type="dxa"/>
            <w:tcBorders>
              <w:top w:val="nil"/>
              <w:left w:val="nil"/>
              <w:bottom w:val="single" w:color="auto" w:sz="4" w:space="0"/>
              <w:right w:val="single" w:color="auto" w:sz="4" w:space="0"/>
            </w:tcBorders>
            <w:vAlign w:val="center"/>
          </w:tcPr>
          <w:p w14:paraId="27BBFA84">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0EBE8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15441C40">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74</w:t>
            </w:r>
          </w:p>
        </w:tc>
        <w:tc>
          <w:tcPr>
            <w:tcW w:w="2893" w:type="dxa"/>
            <w:tcBorders>
              <w:top w:val="nil"/>
              <w:left w:val="single" w:color="auto" w:sz="4" w:space="0"/>
              <w:bottom w:val="single" w:color="auto" w:sz="4" w:space="0"/>
              <w:right w:val="single" w:color="auto" w:sz="4" w:space="0"/>
            </w:tcBorders>
            <w:vAlign w:val="center"/>
          </w:tcPr>
          <w:p w14:paraId="129C4BC0">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　</w:t>
            </w:r>
          </w:p>
        </w:tc>
        <w:tc>
          <w:tcPr>
            <w:tcW w:w="1928" w:type="dxa"/>
            <w:tcBorders>
              <w:top w:val="nil"/>
              <w:left w:val="nil"/>
              <w:bottom w:val="single" w:color="auto" w:sz="4" w:space="0"/>
              <w:right w:val="single" w:color="auto" w:sz="4" w:space="0"/>
            </w:tcBorders>
            <w:vAlign w:val="center"/>
          </w:tcPr>
          <w:p w14:paraId="77A83CB7">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阀门漏风</w:t>
            </w:r>
          </w:p>
        </w:tc>
        <w:tc>
          <w:tcPr>
            <w:tcW w:w="719" w:type="dxa"/>
            <w:tcBorders>
              <w:top w:val="nil"/>
              <w:left w:val="nil"/>
              <w:bottom w:val="single" w:color="auto" w:sz="4" w:space="0"/>
              <w:right w:val="single" w:color="auto" w:sz="4" w:space="0"/>
            </w:tcBorders>
            <w:vAlign w:val="center"/>
          </w:tcPr>
          <w:p w14:paraId="6EDB6FEC">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0</w:t>
            </w:r>
          </w:p>
        </w:tc>
        <w:tc>
          <w:tcPr>
            <w:tcW w:w="885" w:type="dxa"/>
            <w:tcBorders>
              <w:top w:val="nil"/>
              <w:left w:val="nil"/>
              <w:bottom w:val="single" w:color="auto" w:sz="4" w:space="0"/>
              <w:right w:val="single" w:color="auto" w:sz="4" w:space="0"/>
            </w:tcBorders>
            <w:vAlign w:val="center"/>
          </w:tcPr>
          <w:p w14:paraId="0B0971EA">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0</w:t>
            </w:r>
          </w:p>
        </w:tc>
        <w:tc>
          <w:tcPr>
            <w:tcW w:w="796" w:type="dxa"/>
            <w:tcBorders>
              <w:top w:val="nil"/>
              <w:left w:val="nil"/>
              <w:bottom w:val="single" w:color="auto" w:sz="4" w:space="0"/>
              <w:right w:val="single" w:color="auto" w:sz="4" w:space="0"/>
            </w:tcBorders>
            <w:vAlign w:val="center"/>
          </w:tcPr>
          <w:p w14:paraId="52E2311B">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　</w:t>
            </w:r>
          </w:p>
        </w:tc>
        <w:tc>
          <w:tcPr>
            <w:tcW w:w="847" w:type="dxa"/>
            <w:tcBorders>
              <w:top w:val="nil"/>
              <w:left w:val="nil"/>
              <w:bottom w:val="single" w:color="auto" w:sz="4" w:space="0"/>
              <w:right w:val="single" w:color="auto" w:sz="4" w:space="0"/>
            </w:tcBorders>
            <w:vAlign w:val="center"/>
          </w:tcPr>
          <w:p w14:paraId="269B6EE7">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7500</w:t>
            </w:r>
          </w:p>
        </w:tc>
        <w:tc>
          <w:tcPr>
            <w:tcW w:w="847" w:type="dxa"/>
            <w:tcBorders>
              <w:top w:val="nil"/>
              <w:left w:val="nil"/>
              <w:bottom w:val="single" w:color="auto" w:sz="4" w:space="0"/>
              <w:right w:val="single" w:color="auto" w:sz="4" w:space="0"/>
            </w:tcBorders>
            <w:vAlign w:val="center"/>
          </w:tcPr>
          <w:p w14:paraId="443D5F6B">
            <w:pPr>
              <w:widowControl/>
              <w:shd w:val="clear"/>
              <w:snapToGrid w:val="0"/>
              <w:spacing w:line="240" w:lineRule="auto"/>
              <w:ind w:firstLine="0" w:firstLineChars="0"/>
              <w:jc w:val="center"/>
              <w:textAlignment w:val="bottom"/>
              <w:rPr>
                <w:rFonts w:hint="eastAsia" w:cs="宋体"/>
                <w:color w:val="auto"/>
                <w:sz w:val="21"/>
                <w:szCs w:val="21"/>
                <w:highlight w:val="none"/>
              </w:rPr>
            </w:pPr>
          </w:p>
        </w:tc>
        <w:tc>
          <w:tcPr>
            <w:tcW w:w="847" w:type="dxa"/>
            <w:tcBorders>
              <w:top w:val="nil"/>
              <w:left w:val="nil"/>
              <w:bottom w:val="single" w:color="auto" w:sz="4" w:space="0"/>
              <w:right w:val="single" w:color="auto" w:sz="4" w:space="0"/>
            </w:tcBorders>
            <w:vAlign w:val="center"/>
          </w:tcPr>
          <w:p w14:paraId="6930D849">
            <w:pPr>
              <w:widowControl/>
              <w:shd w:val="clear"/>
              <w:snapToGrid w:val="0"/>
              <w:spacing w:line="240" w:lineRule="auto"/>
              <w:ind w:firstLine="0" w:firstLineChars="0"/>
              <w:jc w:val="center"/>
              <w:textAlignment w:val="bottom"/>
              <w:rPr>
                <w:rFonts w:hint="eastAsia" w:cs="宋体"/>
                <w:color w:val="auto"/>
                <w:sz w:val="21"/>
                <w:szCs w:val="21"/>
                <w:highlight w:val="none"/>
              </w:rPr>
            </w:pPr>
          </w:p>
        </w:tc>
      </w:tr>
      <w:tr w14:paraId="04590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 w:type="dxa"/>
            <w:vAlign w:val="center"/>
          </w:tcPr>
          <w:p w14:paraId="03B34525">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75</w:t>
            </w:r>
          </w:p>
        </w:tc>
        <w:tc>
          <w:tcPr>
            <w:tcW w:w="2893" w:type="dxa"/>
            <w:tcBorders>
              <w:top w:val="nil"/>
              <w:left w:val="single" w:color="auto" w:sz="4" w:space="0"/>
              <w:bottom w:val="single" w:color="auto" w:sz="4" w:space="0"/>
              <w:right w:val="single" w:color="auto" w:sz="4" w:space="0"/>
            </w:tcBorders>
            <w:vAlign w:val="center"/>
          </w:tcPr>
          <w:p w14:paraId="46AF94EF">
            <w:pPr>
              <w:widowControl/>
              <w:shd w:val="clear"/>
              <w:snapToGrid w:val="0"/>
              <w:spacing w:line="240" w:lineRule="auto"/>
              <w:ind w:firstLine="0" w:firstLineChars="0"/>
              <w:textAlignment w:val="bottom"/>
              <w:rPr>
                <w:rFonts w:cs="宋体"/>
                <w:color w:val="auto"/>
                <w:sz w:val="21"/>
                <w:szCs w:val="21"/>
                <w:highlight w:val="none"/>
              </w:rPr>
            </w:pPr>
          </w:p>
        </w:tc>
        <w:tc>
          <w:tcPr>
            <w:tcW w:w="1928" w:type="dxa"/>
            <w:tcBorders>
              <w:top w:val="nil"/>
              <w:left w:val="nil"/>
              <w:bottom w:val="single" w:color="auto" w:sz="4" w:space="0"/>
              <w:right w:val="single" w:color="auto" w:sz="4" w:space="0"/>
            </w:tcBorders>
            <w:vAlign w:val="center"/>
          </w:tcPr>
          <w:p w14:paraId="5A730651">
            <w:pPr>
              <w:widowControl/>
              <w:shd w:val="clear"/>
              <w:snapToGrid w:val="0"/>
              <w:spacing w:line="240" w:lineRule="auto"/>
              <w:ind w:firstLine="0" w:firstLineChars="0"/>
              <w:textAlignment w:val="bottom"/>
              <w:rPr>
                <w:rFonts w:cs="宋体"/>
                <w:color w:val="auto"/>
                <w:sz w:val="21"/>
                <w:szCs w:val="21"/>
                <w:highlight w:val="none"/>
              </w:rPr>
            </w:pPr>
            <w:r>
              <w:rPr>
                <w:rFonts w:hint="eastAsia" w:cs="宋体"/>
                <w:color w:val="auto"/>
                <w:sz w:val="21"/>
                <w:szCs w:val="21"/>
                <w:highlight w:val="none"/>
              </w:rPr>
              <w:t>合计</w:t>
            </w:r>
          </w:p>
        </w:tc>
        <w:tc>
          <w:tcPr>
            <w:tcW w:w="719" w:type="dxa"/>
            <w:tcBorders>
              <w:top w:val="nil"/>
              <w:left w:val="nil"/>
              <w:bottom w:val="single" w:color="auto" w:sz="4" w:space="0"/>
              <w:right w:val="single" w:color="auto" w:sz="4" w:space="0"/>
            </w:tcBorders>
            <w:vAlign w:val="center"/>
          </w:tcPr>
          <w:p w14:paraId="43907E9C">
            <w:pPr>
              <w:widowControl/>
              <w:shd w:val="clear"/>
              <w:snapToGrid w:val="0"/>
              <w:spacing w:line="240" w:lineRule="auto"/>
              <w:ind w:firstLine="0" w:firstLineChars="0"/>
              <w:jc w:val="center"/>
              <w:textAlignment w:val="bottom"/>
              <w:rPr>
                <w:rFonts w:cs="宋体"/>
                <w:color w:val="auto"/>
                <w:sz w:val="21"/>
                <w:szCs w:val="21"/>
                <w:highlight w:val="none"/>
              </w:rPr>
            </w:pPr>
            <w:r>
              <w:rPr>
                <w:rFonts w:cs="宋体"/>
                <w:color w:val="auto"/>
                <w:sz w:val="21"/>
                <w:szCs w:val="21"/>
                <w:highlight w:val="none"/>
              </w:rPr>
              <w:fldChar w:fldCharType="begin"/>
            </w:r>
            <w:r>
              <w:rPr>
                <w:rFonts w:cs="宋体"/>
                <w:color w:val="auto"/>
                <w:sz w:val="21"/>
                <w:szCs w:val="21"/>
                <w:highlight w:val="none"/>
              </w:rPr>
              <w:instrText xml:space="preserve"> =SUM(ABOVE) </w:instrText>
            </w:r>
            <w:r>
              <w:rPr>
                <w:rFonts w:cs="宋体"/>
                <w:color w:val="auto"/>
                <w:sz w:val="21"/>
                <w:szCs w:val="21"/>
                <w:highlight w:val="none"/>
              </w:rPr>
              <w:fldChar w:fldCharType="separate"/>
            </w:r>
            <w:r>
              <w:rPr>
                <w:rFonts w:cs="宋体"/>
                <w:color w:val="auto"/>
                <w:sz w:val="21"/>
                <w:szCs w:val="21"/>
                <w:highlight w:val="none"/>
              </w:rPr>
              <w:t>96</w:t>
            </w:r>
            <w:r>
              <w:rPr>
                <w:rFonts w:cs="宋体"/>
                <w:color w:val="auto"/>
                <w:sz w:val="21"/>
                <w:szCs w:val="21"/>
                <w:highlight w:val="none"/>
              </w:rPr>
              <w:fldChar w:fldCharType="end"/>
            </w:r>
          </w:p>
        </w:tc>
        <w:tc>
          <w:tcPr>
            <w:tcW w:w="885" w:type="dxa"/>
            <w:tcBorders>
              <w:top w:val="nil"/>
              <w:left w:val="nil"/>
              <w:bottom w:val="single" w:color="auto" w:sz="4" w:space="0"/>
              <w:right w:val="single" w:color="auto" w:sz="4" w:space="0"/>
            </w:tcBorders>
            <w:vAlign w:val="center"/>
          </w:tcPr>
          <w:p w14:paraId="12C79906">
            <w:pPr>
              <w:widowControl/>
              <w:shd w:val="clear"/>
              <w:snapToGrid w:val="0"/>
              <w:spacing w:line="240" w:lineRule="auto"/>
              <w:ind w:firstLine="0" w:firstLineChars="0"/>
              <w:jc w:val="center"/>
              <w:textAlignment w:val="bottom"/>
              <w:rPr>
                <w:rFonts w:cs="宋体"/>
                <w:color w:val="auto"/>
                <w:sz w:val="21"/>
                <w:szCs w:val="21"/>
                <w:highlight w:val="none"/>
              </w:rPr>
            </w:pPr>
            <w:r>
              <w:rPr>
                <w:rFonts w:cs="宋体"/>
                <w:color w:val="auto"/>
                <w:sz w:val="21"/>
                <w:szCs w:val="21"/>
                <w:highlight w:val="none"/>
              </w:rPr>
              <w:fldChar w:fldCharType="begin"/>
            </w:r>
            <w:r>
              <w:rPr>
                <w:rFonts w:cs="宋体"/>
                <w:color w:val="auto"/>
                <w:sz w:val="21"/>
                <w:szCs w:val="21"/>
                <w:highlight w:val="none"/>
              </w:rPr>
              <w:instrText xml:space="preserve"> =SUM(ABOVE) </w:instrText>
            </w:r>
            <w:r>
              <w:rPr>
                <w:rFonts w:cs="宋体"/>
                <w:color w:val="auto"/>
                <w:sz w:val="21"/>
                <w:szCs w:val="21"/>
                <w:highlight w:val="none"/>
              </w:rPr>
              <w:fldChar w:fldCharType="separate"/>
            </w:r>
            <w:r>
              <w:rPr>
                <w:rFonts w:cs="宋体"/>
                <w:color w:val="auto"/>
                <w:sz w:val="21"/>
                <w:szCs w:val="21"/>
                <w:highlight w:val="none"/>
              </w:rPr>
              <w:t>82</w:t>
            </w:r>
            <w:r>
              <w:rPr>
                <w:rFonts w:cs="宋体"/>
                <w:color w:val="auto"/>
                <w:sz w:val="21"/>
                <w:szCs w:val="21"/>
                <w:highlight w:val="none"/>
              </w:rPr>
              <w:fldChar w:fldCharType="end"/>
            </w:r>
          </w:p>
        </w:tc>
        <w:tc>
          <w:tcPr>
            <w:tcW w:w="796" w:type="dxa"/>
            <w:tcBorders>
              <w:top w:val="nil"/>
              <w:left w:val="nil"/>
              <w:bottom w:val="single" w:color="auto" w:sz="4" w:space="0"/>
              <w:right w:val="single" w:color="auto" w:sz="4" w:space="0"/>
            </w:tcBorders>
            <w:vAlign w:val="center"/>
          </w:tcPr>
          <w:p w14:paraId="3E3ECE95">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t>　</w:t>
            </w:r>
          </w:p>
        </w:tc>
        <w:tc>
          <w:tcPr>
            <w:tcW w:w="847" w:type="dxa"/>
            <w:tcBorders>
              <w:top w:val="nil"/>
              <w:left w:val="nil"/>
              <w:bottom w:val="single" w:color="auto" w:sz="4" w:space="0"/>
              <w:right w:val="single" w:color="auto" w:sz="4" w:space="0"/>
            </w:tcBorders>
            <w:vAlign w:val="center"/>
          </w:tcPr>
          <w:p w14:paraId="132E7DBB">
            <w:pPr>
              <w:widowControl/>
              <w:shd w:val="clear"/>
              <w:snapToGrid w:val="0"/>
              <w:spacing w:line="240" w:lineRule="auto"/>
              <w:ind w:firstLine="0" w:firstLineChars="0"/>
              <w:jc w:val="center"/>
              <w:textAlignment w:val="bottom"/>
              <w:rPr>
                <w:rFonts w:cs="宋体"/>
                <w:color w:val="auto"/>
                <w:sz w:val="21"/>
                <w:szCs w:val="21"/>
                <w:highlight w:val="none"/>
              </w:rPr>
            </w:pPr>
            <w:r>
              <w:rPr>
                <w:rFonts w:hint="eastAsia" w:cs="宋体"/>
                <w:color w:val="auto"/>
                <w:sz w:val="21"/>
                <w:szCs w:val="21"/>
                <w:highlight w:val="none"/>
              </w:rPr>
              <w:fldChar w:fldCharType="begin"/>
            </w:r>
            <w:r>
              <w:rPr>
                <w:rFonts w:hint="eastAsia" w:cs="宋体"/>
                <w:color w:val="auto"/>
                <w:sz w:val="21"/>
                <w:szCs w:val="21"/>
                <w:highlight w:val="none"/>
              </w:rPr>
              <w:instrText xml:space="preserve"> =SUM(ABOVE) </w:instrText>
            </w:r>
            <w:r>
              <w:rPr>
                <w:rFonts w:hint="eastAsia" w:cs="宋体"/>
                <w:color w:val="auto"/>
                <w:sz w:val="21"/>
                <w:szCs w:val="21"/>
                <w:highlight w:val="none"/>
              </w:rPr>
              <w:fldChar w:fldCharType="separate"/>
            </w:r>
            <w:r>
              <w:rPr>
                <w:rFonts w:hint="eastAsia" w:cs="宋体"/>
                <w:color w:val="auto"/>
                <w:sz w:val="21"/>
                <w:szCs w:val="21"/>
                <w:highlight w:val="none"/>
              </w:rPr>
              <w:t>700000</w:t>
            </w:r>
            <w:r>
              <w:rPr>
                <w:rFonts w:hint="eastAsia" w:cs="宋体"/>
                <w:color w:val="auto"/>
                <w:sz w:val="21"/>
                <w:szCs w:val="21"/>
                <w:highlight w:val="none"/>
              </w:rPr>
              <w:fldChar w:fldCharType="end"/>
            </w:r>
          </w:p>
        </w:tc>
        <w:tc>
          <w:tcPr>
            <w:tcW w:w="847" w:type="dxa"/>
            <w:tcBorders>
              <w:top w:val="nil"/>
              <w:left w:val="nil"/>
              <w:bottom w:val="single" w:color="auto" w:sz="4" w:space="0"/>
              <w:right w:val="single" w:color="auto" w:sz="4" w:space="0"/>
            </w:tcBorders>
            <w:vAlign w:val="center"/>
          </w:tcPr>
          <w:p w14:paraId="4B4388A4">
            <w:pPr>
              <w:widowControl/>
              <w:shd w:val="clear"/>
              <w:snapToGrid w:val="0"/>
              <w:spacing w:line="240" w:lineRule="auto"/>
              <w:ind w:firstLine="0" w:firstLineChars="0"/>
              <w:jc w:val="center"/>
              <w:textAlignment w:val="bottom"/>
              <w:rPr>
                <w:rFonts w:cs="宋体"/>
                <w:color w:val="auto"/>
                <w:sz w:val="21"/>
                <w:szCs w:val="21"/>
                <w:highlight w:val="none"/>
              </w:rPr>
            </w:pPr>
          </w:p>
        </w:tc>
        <w:tc>
          <w:tcPr>
            <w:tcW w:w="847" w:type="dxa"/>
            <w:tcBorders>
              <w:top w:val="nil"/>
              <w:left w:val="nil"/>
              <w:bottom w:val="single" w:color="auto" w:sz="4" w:space="0"/>
              <w:right w:val="single" w:color="auto" w:sz="4" w:space="0"/>
            </w:tcBorders>
            <w:vAlign w:val="center"/>
          </w:tcPr>
          <w:p w14:paraId="549F15DE">
            <w:pPr>
              <w:widowControl/>
              <w:shd w:val="clear"/>
              <w:snapToGrid w:val="0"/>
              <w:spacing w:line="240" w:lineRule="auto"/>
              <w:ind w:firstLine="0" w:firstLineChars="0"/>
              <w:jc w:val="center"/>
              <w:textAlignment w:val="bottom"/>
              <w:rPr>
                <w:rFonts w:cs="宋体"/>
                <w:color w:val="auto"/>
                <w:sz w:val="21"/>
                <w:szCs w:val="21"/>
                <w:highlight w:val="none"/>
              </w:rPr>
            </w:pPr>
          </w:p>
        </w:tc>
      </w:tr>
    </w:tbl>
    <w:p w14:paraId="68F05C0F">
      <w:pPr>
        <w:shd w:val="clear"/>
        <w:rPr>
          <w:color w:val="auto"/>
          <w:highlight w:val="none"/>
        </w:rPr>
      </w:pPr>
    </w:p>
    <w:p w14:paraId="0FB2BF4C">
      <w:pPr>
        <w:shd w:val="clear"/>
        <w:rPr>
          <w:rFonts w:hint="default" w:eastAsia="宋体"/>
          <w:color w:val="auto"/>
          <w:highlight w:val="none"/>
          <w:lang w:val="en-US" w:eastAsia="zh-CN"/>
        </w:rPr>
      </w:pPr>
      <w:r>
        <w:rPr>
          <w:rFonts w:hint="eastAsia"/>
          <w:color w:val="auto"/>
          <w:highlight w:val="none"/>
        </w:rPr>
        <w:t>考虑到系统同时使用情况和系统漏风量，2号高炉地沟除尘系统设计风量为7</w:t>
      </w:r>
      <w:r>
        <w:rPr>
          <w:color w:val="auto"/>
          <w:highlight w:val="none"/>
        </w:rPr>
        <w:t>0</w:t>
      </w:r>
      <w:r>
        <w:rPr>
          <w:rFonts w:hint="eastAsia"/>
          <w:color w:val="auto"/>
          <w:highlight w:val="none"/>
        </w:rPr>
        <w:t>00</w:t>
      </w:r>
      <w:r>
        <w:rPr>
          <w:color w:val="auto"/>
          <w:highlight w:val="none"/>
        </w:rPr>
        <w:t>00</w:t>
      </w:r>
      <w:r>
        <w:rPr>
          <w:rFonts w:hint="eastAsia"/>
          <w:color w:val="auto"/>
          <w:highlight w:val="none"/>
        </w:rPr>
        <w:t>m³/h。考虑将现有设计风量为7</w:t>
      </w:r>
      <w:r>
        <w:rPr>
          <w:color w:val="auto"/>
          <w:highlight w:val="none"/>
        </w:rPr>
        <w:t>5</w:t>
      </w:r>
      <w:r>
        <w:rPr>
          <w:rFonts w:hint="eastAsia"/>
          <w:color w:val="auto"/>
          <w:highlight w:val="none"/>
        </w:rPr>
        <w:t>0</w:t>
      </w:r>
      <w:r>
        <w:rPr>
          <w:color w:val="auto"/>
          <w:highlight w:val="none"/>
        </w:rPr>
        <w:t>000</w:t>
      </w:r>
      <w:r>
        <w:rPr>
          <w:rFonts w:hint="eastAsia"/>
          <w:color w:val="auto"/>
          <w:highlight w:val="none"/>
        </w:rPr>
        <w:t>m³/h的出铁场除尘系统利旧改造为地沟除尘系统。现有的地沟除尘系统拆除后作为布置新建出铁场除尘用地。</w:t>
      </w:r>
      <w:r>
        <w:rPr>
          <w:rFonts w:hint="eastAsia"/>
          <w:color w:val="auto"/>
          <w:highlight w:val="none"/>
          <w:lang w:val="en-US" w:eastAsia="zh-CN"/>
        </w:rPr>
        <w:t>44号皮带焦炭返焦仓汽车受料四周封闭，设电动卷帘门。</w:t>
      </w:r>
    </w:p>
    <w:p w14:paraId="62C5AEB1">
      <w:pPr>
        <w:shd w:val="clear"/>
        <w:rPr>
          <w:color w:val="auto"/>
          <w:highlight w:val="none"/>
        </w:rPr>
      </w:pPr>
      <w:r>
        <w:rPr>
          <w:rFonts w:hint="eastAsia"/>
          <w:color w:val="auto"/>
          <w:highlight w:val="none"/>
        </w:rPr>
        <w:t>原有烟囱（烟囱直径</w:t>
      </w:r>
      <w:r>
        <w:rPr>
          <w:color w:val="auto"/>
          <w:highlight w:val="none"/>
        </w:rPr>
        <w:t>4.0</w:t>
      </w:r>
      <w:r>
        <w:rPr>
          <w:rFonts w:hint="eastAsia"/>
          <w:color w:val="auto"/>
          <w:highlight w:val="none"/>
        </w:rPr>
        <w:t>24m）加高至</w:t>
      </w:r>
      <w:r>
        <w:rPr>
          <w:color w:val="auto"/>
          <w:highlight w:val="none"/>
        </w:rPr>
        <w:t>4</w:t>
      </w:r>
      <w:r>
        <w:rPr>
          <w:rFonts w:hint="eastAsia"/>
          <w:color w:val="auto"/>
          <w:highlight w:val="none"/>
        </w:rPr>
        <w:t>5m，烟囱根据实际情况考虑进行加固处理，按照在线监测的要求改造烟囱爬梯、平台及取样装置。现有风机、电机利旧，变频器更换，现有冲渣排气筒至除尘器之间的除尘管道和除尘器至排气筒之间的连接管道利旧</w:t>
      </w:r>
      <w:r>
        <w:rPr>
          <w:rFonts w:hint="eastAsia"/>
          <w:color w:val="auto"/>
          <w:highlight w:val="none"/>
          <w:lang w:val="en-US" w:eastAsia="zh-CN"/>
        </w:rPr>
        <w:t>改造</w:t>
      </w:r>
      <w:r>
        <w:rPr>
          <w:rFonts w:hint="eastAsia"/>
          <w:color w:val="auto"/>
          <w:highlight w:val="none"/>
        </w:rPr>
        <w:t>。现有除尘器进行利旧改造，因除尘器结构安全性综合鉴定评定为三级，需对除尘器结构检测加固；将除尘器上箱体拆除，高度由14m降低至约8m，重新改造并在除尘器中部设置进出风道，增设大仓隔板，实现离线清灰。布袋过滤方式改造为滤筒过滤方式，增加过滤面积过滤风速由1.0m/min降低至0.</w:t>
      </w:r>
      <w:r>
        <w:rPr>
          <w:color w:val="auto"/>
          <w:highlight w:val="none"/>
        </w:rPr>
        <w:t>7</w:t>
      </w:r>
      <w:r>
        <w:rPr>
          <w:rFonts w:hint="eastAsia"/>
          <w:color w:val="auto"/>
          <w:highlight w:val="none"/>
        </w:rPr>
        <w:t>m/min以下，满足烟囱出口颗粒物排放浓度≤10mg/m³的要求。除尘器灰斗下方的卸料阀、刮板输灰机、斗式提升机更换。控制系统更换为DCS控制系统，更换超低排CEMS监测系统，满足超低排放要求。</w:t>
      </w:r>
    </w:p>
    <w:p w14:paraId="7AFC76CD">
      <w:pPr>
        <w:shd w:val="clear"/>
        <w:rPr>
          <w:color w:val="auto"/>
          <w:highlight w:val="none"/>
        </w:rPr>
      </w:pPr>
      <w:r>
        <w:rPr>
          <w:rFonts w:hint="eastAsia"/>
          <w:color w:val="auto"/>
          <w:highlight w:val="none"/>
        </w:rPr>
        <w:t>新建75</w:t>
      </w:r>
      <w:r>
        <w:rPr>
          <w:color w:val="auto"/>
          <w:highlight w:val="none"/>
        </w:rPr>
        <w:t>m</w:t>
      </w:r>
      <w:r>
        <w:rPr>
          <w:color w:val="auto"/>
          <w:highlight w:val="none"/>
          <w:vertAlign w:val="superscript"/>
        </w:rPr>
        <w:t>3</w:t>
      </w:r>
      <w:r>
        <w:rPr>
          <w:rFonts w:hint="eastAsia"/>
          <w:color w:val="auto"/>
          <w:highlight w:val="none"/>
        </w:rPr>
        <w:t>集中灰仓及平台替换现有的集合灰仓。集中灰仓下方设置两个卸灰口，两个卸灰口支路均通过吸排罐车拉运至2×360m</w:t>
      </w:r>
      <w:r>
        <w:rPr>
          <w:rFonts w:hint="eastAsia"/>
          <w:color w:val="auto"/>
          <w:highlight w:val="none"/>
          <w:vertAlign w:val="superscript"/>
        </w:rPr>
        <w:t>2</w:t>
      </w:r>
      <w:r>
        <w:rPr>
          <w:rFonts w:hint="eastAsia"/>
          <w:color w:val="auto"/>
          <w:highlight w:val="none"/>
        </w:rPr>
        <w:t>烧结机配料室预留接口气力输送至配料除尘仓。</w:t>
      </w:r>
    </w:p>
    <w:p w14:paraId="699C99C8">
      <w:pPr>
        <w:shd w:val="clear"/>
        <w:rPr>
          <w:color w:val="auto"/>
          <w:highlight w:val="none"/>
        </w:rPr>
      </w:pPr>
      <w:r>
        <w:rPr>
          <w:rFonts w:hint="eastAsia"/>
          <w:color w:val="auto"/>
          <w:highlight w:val="none"/>
        </w:rPr>
        <w:t>拆除各除尘点到除尘器间的所有除尘管道，除尘器前后的除尘管道及各除尘点到除尘器的除尘管道全部根据新的风量分配和除尘器改造进行重新布置设计。</w:t>
      </w:r>
    </w:p>
    <w:p w14:paraId="166DBDB1">
      <w:pPr>
        <w:shd w:val="clear"/>
        <w:rPr>
          <w:color w:val="auto"/>
          <w:highlight w:val="none"/>
        </w:rPr>
      </w:pPr>
      <w:r>
        <w:rPr>
          <w:rFonts w:hint="eastAsia"/>
          <w:color w:val="auto"/>
          <w:highlight w:val="none"/>
        </w:rPr>
        <w:t>改造后主要设备参数如下：</w:t>
      </w:r>
    </w:p>
    <w:p w14:paraId="055B867B">
      <w:pPr>
        <w:numPr>
          <w:ilvl w:val="0"/>
          <w:numId w:val="29"/>
        </w:numPr>
        <w:shd w:val="clear"/>
        <w:ind w:firstLineChars="0"/>
        <w:rPr>
          <w:color w:val="auto"/>
          <w:highlight w:val="none"/>
        </w:rPr>
      </w:pPr>
      <w:r>
        <w:rPr>
          <w:rFonts w:hint="eastAsia"/>
          <w:color w:val="auto"/>
          <w:highlight w:val="none"/>
        </w:rPr>
        <w:t>滤筒除尘器（利旧改造）</w:t>
      </w:r>
    </w:p>
    <w:p w14:paraId="110747E3">
      <w:pPr>
        <w:shd w:val="clear"/>
        <w:jc w:val="center"/>
        <w:rPr>
          <w:color w:val="auto"/>
          <w:highlight w:val="none"/>
        </w:rPr>
      </w:pPr>
      <w:r>
        <w:rPr>
          <w:rFonts w:hint="eastAsia"/>
          <w:color w:val="auto"/>
          <w:highlight w:val="none"/>
        </w:rPr>
        <w:t>表7.4.3-2</w:t>
      </w:r>
    </w:p>
    <w:tbl>
      <w:tblPr>
        <w:tblStyle w:val="6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2377"/>
        <w:gridCol w:w="3952"/>
        <w:gridCol w:w="1259"/>
      </w:tblGrid>
      <w:tr w14:paraId="5269B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blHeader/>
        </w:trPr>
        <w:tc>
          <w:tcPr>
            <w:tcW w:w="660" w:type="dxa"/>
            <w:vAlign w:val="center"/>
          </w:tcPr>
          <w:p w14:paraId="0E6566A3">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序号</w:t>
            </w:r>
          </w:p>
        </w:tc>
        <w:tc>
          <w:tcPr>
            <w:tcW w:w="2377" w:type="dxa"/>
            <w:vAlign w:val="center"/>
          </w:tcPr>
          <w:p w14:paraId="6C2E0080">
            <w:pPr>
              <w:shd w:val="clear"/>
              <w:adjustRightInd w:val="0"/>
              <w:snapToGrid w:val="0"/>
              <w:ind w:firstLine="420"/>
              <w:jc w:val="center"/>
              <w:textAlignment w:val="baseline"/>
              <w:rPr>
                <w:rFonts w:cs="宋体"/>
                <w:color w:val="auto"/>
                <w:kern w:val="0"/>
                <w:sz w:val="21"/>
                <w:szCs w:val="21"/>
                <w:highlight w:val="none"/>
              </w:rPr>
            </w:pPr>
            <w:r>
              <w:rPr>
                <w:rFonts w:hint="eastAsia" w:cs="宋体"/>
                <w:color w:val="auto"/>
                <w:kern w:val="0"/>
                <w:sz w:val="21"/>
                <w:szCs w:val="21"/>
                <w:highlight w:val="none"/>
              </w:rPr>
              <w:t>项   目</w:t>
            </w:r>
          </w:p>
        </w:tc>
        <w:tc>
          <w:tcPr>
            <w:tcW w:w="3952" w:type="dxa"/>
            <w:vAlign w:val="center"/>
          </w:tcPr>
          <w:p w14:paraId="13EF0D70">
            <w:pPr>
              <w:shd w:val="clear"/>
              <w:adjustRightInd w:val="0"/>
              <w:snapToGrid w:val="0"/>
              <w:ind w:firstLine="420"/>
              <w:jc w:val="center"/>
              <w:textAlignment w:val="baseline"/>
              <w:rPr>
                <w:rFonts w:cs="宋体"/>
                <w:color w:val="auto"/>
                <w:kern w:val="0"/>
                <w:sz w:val="21"/>
                <w:szCs w:val="21"/>
                <w:highlight w:val="none"/>
              </w:rPr>
            </w:pPr>
            <w:r>
              <w:rPr>
                <w:rFonts w:hint="eastAsia" w:cs="宋体"/>
                <w:color w:val="auto"/>
                <w:kern w:val="0"/>
                <w:sz w:val="21"/>
                <w:szCs w:val="21"/>
                <w:highlight w:val="none"/>
              </w:rPr>
              <w:t>技 术 数 据</w:t>
            </w:r>
          </w:p>
        </w:tc>
        <w:tc>
          <w:tcPr>
            <w:tcW w:w="1259" w:type="dxa"/>
          </w:tcPr>
          <w:p w14:paraId="5913BAB5">
            <w:pPr>
              <w:shd w:val="clear"/>
              <w:adjustRightInd w:val="0"/>
              <w:snapToGrid w:val="0"/>
              <w:ind w:firstLine="420"/>
              <w:jc w:val="center"/>
              <w:textAlignment w:val="baseline"/>
              <w:rPr>
                <w:rFonts w:cs="宋体"/>
                <w:color w:val="auto"/>
                <w:kern w:val="0"/>
                <w:sz w:val="21"/>
                <w:szCs w:val="21"/>
                <w:highlight w:val="none"/>
              </w:rPr>
            </w:pPr>
            <w:r>
              <w:rPr>
                <w:rFonts w:hint="eastAsia" w:cs="宋体"/>
                <w:color w:val="auto"/>
                <w:kern w:val="0"/>
                <w:sz w:val="21"/>
                <w:szCs w:val="21"/>
                <w:highlight w:val="none"/>
              </w:rPr>
              <w:t>备注</w:t>
            </w:r>
          </w:p>
        </w:tc>
      </w:tr>
      <w:tr w14:paraId="64B21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78DFF8B5">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1</w:t>
            </w:r>
          </w:p>
        </w:tc>
        <w:tc>
          <w:tcPr>
            <w:tcW w:w="2377" w:type="dxa"/>
            <w:vAlign w:val="center"/>
          </w:tcPr>
          <w:p w14:paraId="6FD8E9C2">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除尘系统</w:t>
            </w:r>
          </w:p>
        </w:tc>
        <w:tc>
          <w:tcPr>
            <w:tcW w:w="3952" w:type="dxa"/>
            <w:vAlign w:val="center"/>
          </w:tcPr>
          <w:p w14:paraId="087CF4BB">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地沟除尘系统（槽下+返矿转运）</w:t>
            </w:r>
          </w:p>
        </w:tc>
        <w:tc>
          <w:tcPr>
            <w:tcW w:w="1259" w:type="dxa"/>
          </w:tcPr>
          <w:p w14:paraId="6BA6523C">
            <w:pPr>
              <w:widowControl/>
              <w:shd w:val="clear"/>
              <w:snapToGrid w:val="0"/>
              <w:ind w:firstLine="0" w:firstLineChars="0"/>
              <w:jc w:val="center"/>
              <w:rPr>
                <w:rFonts w:cs="宋体"/>
                <w:color w:val="auto"/>
                <w:kern w:val="0"/>
                <w:sz w:val="21"/>
                <w:szCs w:val="21"/>
                <w:highlight w:val="none"/>
              </w:rPr>
            </w:pPr>
          </w:p>
        </w:tc>
      </w:tr>
      <w:tr w14:paraId="49E82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29E7D3A7">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2</w:t>
            </w:r>
          </w:p>
        </w:tc>
        <w:tc>
          <w:tcPr>
            <w:tcW w:w="2377" w:type="dxa"/>
            <w:vAlign w:val="center"/>
          </w:tcPr>
          <w:p w14:paraId="655BE021">
            <w:pPr>
              <w:shd w:val="clear"/>
              <w:adjustRightInd w:val="0"/>
              <w:snapToGrid w:val="0"/>
              <w:ind w:firstLine="0" w:firstLineChars="0"/>
              <w:jc w:val="center"/>
              <w:textAlignment w:val="baseline"/>
              <w:rPr>
                <w:rFonts w:cs="宋体"/>
                <w:color w:val="auto"/>
                <w:kern w:val="0"/>
                <w:sz w:val="21"/>
                <w:szCs w:val="21"/>
                <w:highlight w:val="none"/>
              </w:rPr>
            </w:pPr>
          </w:p>
        </w:tc>
        <w:tc>
          <w:tcPr>
            <w:tcW w:w="3952" w:type="dxa"/>
            <w:vAlign w:val="center"/>
          </w:tcPr>
          <w:p w14:paraId="23665448">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低压脉冲袋式除尘器</w:t>
            </w:r>
          </w:p>
        </w:tc>
        <w:tc>
          <w:tcPr>
            <w:tcW w:w="1259" w:type="dxa"/>
          </w:tcPr>
          <w:p w14:paraId="0AEF14B0">
            <w:pPr>
              <w:widowControl/>
              <w:shd w:val="clear"/>
              <w:snapToGrid w:val="0"/>
              <w:ind w:firstLine="0" w:firstLineChars="0"/>
              <w:jc w:val="center"/>
              <w:rPr>
                <w:rFonts w:cs="宋体"/>
                <w:color w:val="auto"/>
                <w:kern w:val="0"/>
                <w:sz w:val="21"/>
                <w:szCs w:val="21"/>
                <w:highlight w:val="none"/>
              </w:rPr>
            </w:pPr>
          </w:p>
        </w:tc>
      </w:tr>
      <w:tr w14:paraId="44005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75A21283">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3</w:t>
            </w:r>
          </w:p>
        </w:tc>
        <w:tc>
          <w:tcPr>
            <w:tcW w:w="2377" w:type="dxa"/>
            <w:vAlign w:val="center"/>
          </w:tcPr>
          <w:p w14:paraId="38C77D4D">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工况处理风量（m</w:t>
            </w:r>
            <w:r>
              <w:rPr>
                <w:rFonts w:hint="eastAsia" w:cs="宋体"/>
                <w:color w:val="auto"/>
                <w:kern w:val="0"/>
                <w:sz w:val="21"/>
                <w:szCs w:val="21"/>
                <w:highlight w:val="none"/>
                <w:vertAlign w:val="superscript"/>
              </w:rPr>
              <w:t>3</w:t>
            </w:r>
            <w:r>
              <w:rPr>
                <w:rFonts w:hint="eastAsia" w:cs="宋体"/>
                <w:color w:val="auto"/>
                <w:kern w:val="0"/>
                <w:sz w:val="21"/>
                <w:szCs w:val="21"/>
                <w:highlight w:val="none"/>
              </w:rPr>
              <w:t>/h）</w:t>
            </w:r>
          </w:p>
        </w:tc>
        <w:tc>
          <w:tcPr>
            <w:tcW w:w="3952" w:type="dxa"/>
            <w:vAlign w:val="center"/>
          </w:tcPr>
          <w:p w14:paraId="4C2D3BB9">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700000（工况）</w:t>
            </w:r>
          </w:p>
        </w:tc>
        <w:tc>
          <w:tcPr>
            <w:tcW w:w="1259" w:type="dxa"/>
          </w:tcPr>
          <w:p w14:paraId="23B6C928">
            <w:pPr>
              <w:shd w:val="clear"/>
              <w:adjustRightInd w:val="0"/>
              <w:snapToGrid w:val="0"/>
              <w:ind w:firstLine="0" w:firstLineChars="0"/>
              <w:jc w:val="center"/>
              <w:textAlignment w:val="baseline"/>
              <w:rPr>
                <w:rFonts w:cs="宋体"/>
                <w:color w:val="auto"/>
                <w:kern w:val="0"/>
                <w:sz w:val="21"/>
                <w:szCs w:val="21"/>
                <w:highlight w:val="none"/>
              </w:rPr>
            </w:pPr>
          </w:p>
        </w:tc>
      </w:tr>
      <w:tr w14:paraId="213F0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exact"/>
        </w:trPr>
        <w:tc>
          <w:tcPr>
            <w:tcW w:w="660" w:type="dxa"/>
            <w:vAlign w:val="center"/>
          </w:tcPr>
          <w:p w14:paraId="49885AD2">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4</w:t>
            </w:r>
          </w:p>
        </w:tc>
        <w:tc>
          <w:tcPr>
            <w:tcW w:w="2377" w:type="dxa"/>
            <w:vAlign w:val="center"/>
          </w:tcPr>
          <w:p w14:paraId="2C322AC8">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粉尘性质</w:t>
            </w:r>
          </w:p>
        </w:tc>
        <w:tc>
          <w:tcPr>
            <w:tcW w:w="3952" w:type="dxa"/>
            <w:vAlign w:val="center"/>
          </w:tcPr>
          <w:p w14:paraId="7C5BA31A">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烧结矿、球团矿、焦粉、块矿等除尘烟尘</w:t>
            </w:r>
          </w:p>
        </w:tc>
        <w:tc>
          <w:tcPr>
            <w:tcW w:w="1259" w:type="dxa"/>
          </w:tcPr>
          <w:p w14:paraId="7A6DFD1E">
            <w:pPr>
              <w:shd w:val="clear"/>
              <w:adjustRightInd w:val="0"/>
              <w:snapToGrid w:val="0"/>
              <w:ind w:firstLine="0" w:firstLineChars="0"/>
              <w:jc w:val="center"/>
              <w:textAlignment w:val="baseline"/>
              <w:rPr>
                <w:rFonts w:cs="宋体"/>
                <w:color w:val="auto"/>
                <w:kern w:val="0"/>
                <w:sz w:val="21"/>
                <w:szCs w:val="21"/>
                <w:highlight w:val="none"/>
              </w:rPr>
            </w:pPr>
          </w:p>
        </w:tc>
      </w:tr>
      <w:tr w14:paraId="0FACD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0008DCF9">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5</w:t>
            </w:r>
          </w:p>
        </w:tc>
        <w:tc>
          <w:tcPr>
            <w:tcW w:w="2377" w:type="dxa"/>
            <w:vAlign w:val="center"/>
          </w:tcPr>
          <w:p w14:paraId="6DFD9916">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正常烟气温度（℃）</w:t>
            </w:r>
          </w:p>
        </w:tc>
        <w:tc>
          <w:tcPr>
            <w:tcW w:w="3952" w:type="dxa"/>
            <w:vAlign w:val="center"/>
          </w:tcPr>
          <w:p w14:paraId="4142E5BF">
            <w:pPr>
              <w:widowControl/>
              <w:shd w:val="clear"/>
              <w:snapToGrid w:val="0"/>
              <w:ind w:firstLine="0" w:firstLineChars="0"/>
              <w:jc w:val="center"/>
              <w:rPr>
                <w:rFonts w:cs="宋体"/>
                <w:color w:val="auto"/>
                <w:kern w:val="0"/>
                <w:sz w:val="21"/>
                <w:szCs w:val="21"/>
                <w:highlight w:val="none"/>
              </w:rPr>
            </w:pPr>
            <w:r>
              <w:rPr>
                <w:rFonts w:hint="eastAsia" w:cs="宋体"/>
                <w:color w:val="auto"/>
                <w:kern w:val="0"/>
                <w:sz w:val="21"/>
                <w:szCs w:val="21"/>
                <w:highlight w:val="none"/>
              </w:rPr>
              <w:t>常温</w:t>
            </w:r>
          </w:p>
        </w:tc>
        <w:tc>
          <w:tcPr>
            <w:tcW w:w="1259" w:type="dxa"/>
          </w:tcPr>
          <w:p w14:paraId="7F6905EB">
            <w:pPr>
              <w:widowControl/>
              <w:shd w:val="clear"/>
              <w:snapToGrid w:val="0"/>
              <w:ind w:firstLine="0" w:firstLineChars="0"/>
              <w:jc w:val="center"/>
              <w:rPr>
                <w:rFonts w:cs="宋体"/>
                <w:color w:val="auto"/>
                <w:kern w:val="0"/>
                <w:sz w:val="21"/>
                <w:szCs w:val="21"/>
                <w:highlight w:val="none"/>
              </w:rPr>
            </w:pPr>
          </w:p>
        </w:tc>
      </w:tr>
      <w:tr w14:paraId="14C4D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0707EEB3">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6</w:t>
            </w:r>
          </w:p>
        </w:tc>
        <w:tc>
          <w:tcPr>
            <w:tcW w:w="2377" w:type="dxa"/>
            <w:vAlign w:val="center"/>
          </w:tcPr>
          <w:p w14:paraId="632D8097">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出口烟尘浓度（mg/Nm³）</w:t>
            </w:r>
          </w:p>
        </w:tc>
        <w:tc>
          <w:tcPr>
            <w:tcW w:w="3952" w:type="dxa"/>
            <w:vAlign w:val="center"/>
          </w:tcPr>
          <w:p w14:paraId="39301EB5">
            <w:pPr>
              <w:widowControl/>
              <w:shd w:val="clear"/>
              <w:snapToGrid w:val="0"/>
              <w:ind w:firstLine="0" w:firstLineChars="0"/>
              <w:jc w:val="center"/>
              <w:rPr>
                <w:rFonts w:cs="宋体"/>
                <w:color w:val="auto"/>
                <w:kern w:val="0"/>
                <w:sz w:val="21"/>
                <w:szCs w:val="21"/>
                <w:highlight w:val="none"/>
              </w:rPr>
            </w:pPr>
            <w:r>
              <w:rPr>
                <w:rFonts w:hint="eastAsia" w:cs="宋体"/>
                <w:color w:val="auto"/>
                <w:kern w:val="0"/>
                <w:sz w:val="21"/>
                <w:szCs w:val="21"/>
                <w:highlight w:val="none"/>
              </w:rPr>
              <w:t>≤10</w:t>
            </w:r>
          </w:p>
        </w:tc>
        <w:tc>
          <w:tcPr>
            <w:tcW w:w="1259" w:type="dxa"/>
          </w:tcPr>
          <w:p w14:paraId="72E75412">
            <w:pPr>
              <w:widowControl/>
              <w:shd w:val="clear"/>
              <w:snapToGrid w:val="0"/>
              <w:ind w:firstLine="0" w:firstLineChars="0"/>
              <w:jc w:val="center"/>
              <w:rPr>
                <w:rFonts w:cs="宋体"/>
                <w:color w:val="auto"/>
                <w:kern w:val="0"/>
                <w:sz w:val="21"/>
                <w:szCs w:val="21"/>
                <w:highlight w:val="none"/>
              </w:rPr>
            </w:pPr>
          </w:p>
        </w:tc>
      </w:tr>
      <w:tr w14:paraId="32254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009A6D8A">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7</w:t>
            </w:r>
          </w:p>
        </w:tc>
        <w:tc>
          <w:tcPr>
            <w:tcW w:w="2377" w:type="dxa"/>
            <w:vAlign w:val="center"/>
          </w:tcPr>
          <w:p w14:paraId="0F88EBA9">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入口浓度（g/Nm³）</w:t>
            </w:r>
          </w:p>
        </w:tc>
        <w:tc>
          <w:tcPr>
            <w:tcW w:w="3952" w:type="dxa"/>
            <w:vAlign w:val="center"/>
          </w:tcPr>
          <w:p w14:paraId="76BB8627">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3～10</w:t>
            </w:r>
          </w:p>
        </w:tc>
        <w:tc>
          <w:tcPr>
            <w:tcW w:w="1259" w:type="dxa"/>
          </w:tcPr>
          <w:p w14:paraId="35183F05">
            <w:pPr>
              <w:shd w:val="clear"/>
              <w:adjustRightInd w:val="0"/>
              <w:snapToGrid w:val="0"/>
              <w:ind w:firstLine="0" w:firstLineChars="0"/>
              <w:jc w:val="center"/>
              <w:textAlignment w:val="baseline"/>
              <w:rPr>
                <w:rFonts w:cs="宋体"/>
                <w:color w:val="auto"/>
                <w:kern w:val="0"/>
                <w:sz w:val="21"/>
                <w:szCs w:val="21"/>
                <w:highlight w:val="none"/>
              </w:rPr>
            </w:pPr>
          </w:p>
        </w:tc>
      </w:tr>
      <w:tr w14:paraId="5A7CD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335D315F">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8</w:t>
            </w:r>
          </w:p>
        </w:tc>
        <w:tc>
          <w:tcPr>
            <w:tcW w:w="2377" w:type="dxa"/>
            <w:vAlign w:val="center"/>
          </w:tcPr>
          <w:p w14:paraId="23425881">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总过滤面积（m</w:t>
            </w:r>
            <w:r>
              <w:rPr>
                <w:rFonts w:hint="eastAsia" w:cs="宋体"/>
                <w:color w:val="auto"/>
                <w:kern w:val="0"/>
                <w:sz w:val="21"/>
                <w:szCs w:val="21"/>
                <w:highlight w:val="none"/>
                <w:vertAlign w:val="superscript"/>
              </w:rPr>
              <w:t>2</w:t>
            </w:r>
            <w:r>
              <w:rPr>
                <w:rFonts w:hint="eastAsia" w:cs="宋体"/>
                <w:color w:val="auto"/>
                <w:kern w:val="0"/>
                <w:sz w:val="21"/>
                <w:szCs w:val="21"/>
                <w:highlight w:val="none"/>
              </w:rPr>
              <w:t>）</w:t>
            </w:r>
          </w:p>
        </w:tc>
        <w:tc>
          <w:tcPr>
            <w:tcW w:w="3952" w:type="dxa"/>
            <w:vAlign w:val="center"/>
          </w:tcPr>
          <w:p w14:paraId="73524326">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16815</w:t>
            </w:r>
          </w:p>
        </w:tc>
        <w:tc>
          <w:tcPr>
            <w:tcW w:w="1259" w:type="dxa"/>
          </w:tcPr>
          <w:p w14:paraId="0A434F58">
            <w:pPr>
              <w:shd w:val="clear"/>
              <w:adjustRightInd w:val="0"/>
              <w:snapToGrid w:val="0"/>
              <w:ind w:firstLine="0" w:firstLineChars="0"/>
              <w:jc w:val="center"/>
              <w:textAlignment w:val="baseline"/>
              <w:rPr>
                <w:rFonts w:cs="宋体"/>
                <w:color w:val="auto"/>
                <w:kern w:val="0"/>
                <w:sz w:val="21"/>
                <w:szCs w:val="21"/>
                <w:highlight w:val="none"/>
              </w:rPr>
            </w:pPr>
          </w:p>
        </w:tc>
      </w:tr>
      <w:tr w14:paraId="1082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7A6CAF73">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9</w:t>
            </w:r>
          </w:p>
        </w:tc>
        <w:tc>
          <w:tcPr>
            <w:tcW w:w="2377" w:type="dxa"/>
            <w:vAlign w:val="center"/>
          </w:tcPr>
          <w:p w14:paraId="26B81107">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过滤风速（m/min）</w:t>
            </w:r>
          </w:p>
        </w:tc>
        <w:tc>
          <w:tcPr>
            <w:tcW w:w="3952" w:type="dxa"/>
            <w:vAlign w:val="center"/>
          </w:tcPr>
          <w:p w14:paraId="66083866">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0.694</w:t>
            </w:r>
          </w:p>
        </w:tc>
        <w:tc>
          <w:tcPr>
            <w:tcW w:w="1259" w:type="dxa"/>
          </w:tcPr>
          <w:p w14:paraId="0865DF4E">
            <w:pPr>
              <w:shd w:val="clear"/>
              <w:adjustRightInd w:val="0"/>
              <w:snapToGrid w:val="0"/>
              <w:ind w:firstLine="0" w:firstLineChars="0"/>
              <w:jc w:val="center"/>
              <w:textAlignment w:val="baseline"/>
              <w:rPr>
                <w:rFonts w:cs="宋体"/>
                <w:color w:val="auto"/>
                <w:kern w:val="0"/>
                <w:sz w:val="21"/>
                <w:szCs w:val="21"/>
                <w:highlight w:val="none"/>
              </w:rPr>
            </w:pPr>
          </w:p>
        </w:tc>
      </w:tr>
      <w:tr w14:paraId="36230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34E4609E">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10</w:t>
            </w:r>
          </w:p>
        </w:tc>
        <w:tc>
          <w:tcPr>
            <w:tcW w:w="2377" w:type="dxa"/>
            <w:vAlign w:val="center"/>
          </w:tcPr>
          <w:p w14:paraId="0DEACC34">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灰斗数</w:t>
            </w:r>
          </w:p>
        </w:tc>
        <w:tc>
          <w:tcPr>
            <w:tcW w:w="3952" w:type="dxa"/>
            <w:vAlign w:val="center"/>
          </w:tcPr>
          <w:p w14:paraId="2542C495">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8</w:t>
            </w:r>
          </w:p>
        </w:tc>
        <w:tc>
          <w:tcPr>
            <w:tcW w:w="1259" w:type="dxa"/>
          </w:tcPr>
          <w:p w14:paraId="0242218C">
            <w:pPr>
              <w:shd w:val="clear"/>
              <w:adjustRightInd w:val="0"/>
              <w:snapToGrid w:val="0"/>
              <w:ind w:firstLine="0" w:firstLineChars="0"/>
              <w:jc w:val="center"/>
              <w:textAlignment w:val="baseline"/>
              <w:rPr>
                <w:rFonts w:cs="宋体"/>
                <w:color w:val="auto"/>
                <w:kern w:val="0"/>
                <w:sz w:val="21"/>
                <w:szCs w:val="21"/>
                <w:highlight w:val="none"/>
              </w:rPr>
            </w:pPr>
          </w:p>
        </w:tc>
      </w:tr>
      <w:tr w14:paraId="08E9D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2DEB4251">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11</w:t>
            </w:r>
          </w:p>
        </w:tc>
        <w:tc>
          <w:tcPr>
            <w:tcW w:w="2377" w:type="dxa"/>
            <w:vAlign w:val="center"/>
          </w:tcPr>
          <w:p w14:paraId="6955FC4A">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布置形式</w:t>
            </w:r>
          </w:p>
        </w:tc>
        <w:tc>
          <w:tcPr>
            <w:tcW w:w="3952" w:type="dxa"/>
            <w:vAlign w:val="center"/>
          </w:tcPr>
          <w:p w14:paraId="5A8F1654">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双排布置</w:t>
            </w:r>
          </w:p>
        </w:tc>
        <w:tc>
          <w:tcPr>
            <w:tcW w:w="1259" w:type="dxa"/>
          </w:tcPr>
          <w:p w14:paraId="1148A33D">
            <w:pPr>
              <w:shd w:val="clear"/>
              <w:adjustRightInd w:val="0"/>
              <w:snapToGrid w:val="0"/>
              <w:ind w:firstLine="0" w:firstLineChars="0"/>
              <w:jc w:val="center"/>
              <w:textAlignment w:val="baseline"/>
              <w:rPr>
                <w:rFonts w:cs="宋体"/>
                <w:color w:val="auto"/>
                <w:kern w:val="0"/>
                <w:sz w:val="21"/>
                <w:szCs w:val="21"/>
                <w:highlight w:val="none"/>
              </w:rPr>
            </w:pPr>
          </w:p>
        </w:tc>
      </w:tr>
      <w:tr w14:paraId="3441B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exact"/>
        </w:trPr>
        <w:tc>
          <w:tcPr>
            <w:tcW w:w="660" w:type="dxa"/>
            <w:vAlign w:val="center"/>
          </w:tcPr>
          <w:p w14:paraId="093B949D">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12</w:t>
            </w:r>
          </w:p>
        </w:tc>
        <w:tc>
          <w:tcPr>
            <w:tcW w:w="2377" w:type="dxa"/>
            <w:vAlign w:val="center"/>
          </w:tcPr>
          <w:p w14:paraId="6D2C8D30">
            <w:pPr>
              <w:widowControl/>
              <w:shd w:val="clear"/>
              <w:snapToGrid w:val="0"/>
              <w:ind w:firstLine="0" w:firstLineChars="0"/>
              <w:jc w:val="center"/>
              <w:rPr>
                <w:rFonts w:cs="宋体"/>
                <w:color w:val="auto"/>
                <w:kern w:val="0"/>
                <w:sz w:val="21"/>
                <w:szCs w:val="21"/>
                <w:highlight w:val="none"/>
              </w:rPr>
            </w:pPr>
            <w:r>
              <w:rPr>
                <w:rFonts w:hint="eastAsia"/>
                <w:color w:val="auto"/>
                <w:highlight w:val="none"/>
              </w:rPr>
              <w:t>滤筒</w:t>
            </w:r>
            <w:r>
              <w:rPr>
                <w:color w:val="auto"/>
                <w:kern w:val="0"/>
                <w:highlight w:val="none"/>
              </w:rPr>
              <w:t>材质</w:t>
            </w:r>
          </w:p>
        </w:tc>
        <w:tc>
          <w:tcPr>
            <w:tcW w:w="3952" w:type="dxa"/>
            <w:vAlign w:val="center"/>
          </w:tcPr>
          <w:p w14:paraId="7CE648C4">
            <w:pPr>
              <w:widowControl/>
              <w:shd w:val="clear"/>
              <w:snapToGrid w:val="0"/>
              <w:spacing w:line="240" w:lineRule="auto"/>
              <w:ind w:firstLine="0" w:firstLineChars="0"/>
              <w:jc w:val="center"/>
              <w:rPr>
                <w:rFonts w:cs="宋体"/>
                <w:color w:val="auto"/>
                <w:kern w:val="0"/>
                <w:sz w:val="21"/>
                <w:szCs w:val="21"/>
                <w:highlight w:val="none"/>
              </w:rPr>
            </w:pPr>
            <w:r>
              <w:rPr>
                <w:rFonts w:hint="eastAsia"/>
                <w:color w:val="auto"/>
                <w:kern w:val="0"/>
                <w:highlight w:val="none"/>
              </w:rPr>
              <w:t>聚酯+PTFE覆膜</w:t>
            </w:r>
          </w:p>
        </w:tc>
        <w:tc>
          <w:tcPr>
            <w:tcW w:w="1259" w:type="dxa"/>
          </w:tcPr>
          <w:p w14:paraId="4A410811">
            <w:pPr>
              <w:widowControl/>
              <w:shd w:val="clear"/>
              <w:snapToGrid w:val="0"/>
              <w:ind w:firstLine="0" w:firstLineChars="0"/>
              <w:jc w:val="center"/>
              <w:rPr>
                <w:rFonts w:cs="宋体"/>
                <w:color w:val="auto"/>
                <w:kern w:val="0"/>
                <w:sz w:val="21"/>
                <w:szCs w:val="21"/>
                <w:highlight w:val="none"/>
              </w:rPr>
            </w:pPr>
          </w:p>
        </w:tc>
      </w:tr>
      <w:tr w14:paraId="6A619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exact"/>
        </w:trPr>
        <w:tc>
          <w:tcPr>
            <w:tcW w:w="660" w:type="dxa"/>
            <w:vAlign w:val="center"/>
          </w:tcPr>
          <w:p w14:paraId="46574269">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13</w:t>
            </w:r>
          </w:p>
        </w:tc>
        <w:tc>
          <w:tcPr>
            <w:tcW w:w="2377" w:type="dxa"/>
            <w:vAlign w:val="center"/>
          </w:tcPr>
          <w:p w14:paraId="7168B831">
            <w:pPr>
              <w:widowControl/>
              <w:shd w:val="clear"/>
              <w:snapToGrid w:val="0"/>
              <w:ind w:firstLine="0" w:firstLineChars="0"/>
              <w:jc w:val="center"/>
              <w:rPr>
                <w:rFonts w:cs="宋体"/>
                <w:color w:val="auto"/>
                <w:kern w:val="0"/>
                <w:sz w:val="21"/>
                <w:szCs w:val="21"/>
                <w:highlight w:val="none"/>
              </w:rPr>
            </w:pPr>
            <w:r>
              <w:rPr>
                <w:rFonts w:hint="eastAsia"/>
                <w:color w:val="auto"/>
                <w:highlight w:val="none"/>
              </w:rPr>
              <w:t>滤筒</w:t>
            </w:r>
            <w:r>
              <w:rPr>
                <w:color w:val="auto"/>
                <w:kern w:val="0"/>
                <w:highlight w:val="none"/>
              </w:rPr>
              <w:t>规格</w:t>
            </w:r>
          </w:p>
        </w:tc>
        <w:tc>
          <w:tcPr>
            <w:tcW w:w="3952" w:type="dxa"/>
            <w:vAlign w:val="center"/>
          </w:tcPr>
          <w:p w14:paraId="32EF5494">
            <w:pPr>
              <w:shd w:val="clear"/>
              <w:adjustRightInd w:val="0"/>
              <w:snapToGrid w:val="0"/>
              <w:spacing w:line="240" w:lineRule="auto"/>
              <w:ind w:firstLine="0" w:firstLineChars="0"/>
              <w:jc w:val="center"/>
              <w:textAlignment w:val="baseline"/>
              <w:rPr>
                <w:rFonts w:cs="宋体"/>
                <w:color w:val="auto"/>
                <w:kern w:val="0"/>
                <w:sz w:val="21"/>
                <w:szCs w:val="21"/>
                <w:highlight w:val="none"/>
              </w:rPr>
            </w:pPr>
            <w:r>
              <w:rPr>
                <w:color w:val="auto"/>
                <w:kern w:val="0"/>
                <w:highlight w:val="none"/>
              </w:rPr>
              <w:t>160×</w:t>
            </w:r>
            <w:r>
              <w:rPr>
                <w:rFonts w:hint="eastAsia"/>
                <w:color w:val="auto"/>
                <w:kern w:val="0"/>
                <w:highlight w:val="none"/>
              </w:rPr>
              <w:t>2</w:t>
            </w:r>
            <w:r>
              <w:rPr>
                <w:color w:val="auto"/>
                <w:kern w:val="0"/>
                <w:highlight w:val="none"/>
              </w:rPr>
              <w:t>5</w:t>
            </w:r>
            <w:r>
              <w:rPr>
                <w:rFonts w:hint="eastAsia"/>
                <w:color w:val="auto"/>
                <w:kern w:val="0"/>
                <w:highlight w:val="none"/>
              </w:rPr>
              <w:t>0</w:t>
            </w:r>
            <w:r>
              <w:rPr>
                <w:color w:val="auto"/>
                <w:kern w:val="0"/>
                <w:highlight w:val="none"/>
              </w:rPr>
              <w:t>0（3036条）</w:t>
            </w:r>
            <w:r>
              <w:rPr>
                <w:color w:val="auto"/>
                <w:highlight w:val="none"/>
              </w:rPr>
              <w:t>,</w:t>
            </w:r>
            <w:r>
              <w:rPr>
                <w:rFonts w:hint="eastAsia"/>
                <w:color w:val="auto"/>
                <w:highlight w:val="none"/>
              </w:rPr>
              <w:t>单个滤筒过滤面积</w:t>
            </w:r>
            <w:r>
              <w:rPr>
                <w:color w:val="auto"/>
                <w:highlight w:val="none"/>
              </w:rPr>
              <w:t>5.54</w:t>
            </w:r>
            <w:r>
              <w:rPr>
                <w:rFonts w:hint="eastAsia"/>
                <w:color w:val="auto"/>
                <w:highlight w:val="none"/>
              </w:rPr>
              <w:t>m</w:t>
            </w:r>
            <w:r>
              <w:rPr>
                <w:rFonts w:hint="eastAsia"/>
                <w:color w:val="auto"/>
                <w:highlight w:val="none"/>
                <w:vertAlign w:val="superscript"/>
              </w:rPr>
              <w:t>2</w:t>
            </w:r>
          </w:p>
        </w:tc>
        <w:tc>
          <w:tcPr>
            <w:tcW w:w="1259" w:type="dxa"/>
          </w:tcPr>
          <w:p w14:paraId="2A4FAB8C">
            <w:pPr>
              <w:widowControl/>
              <w:shd w:val="clear"/>
              <w:snapToGrid w:val="0"/>
              <w:ind w:firstLine="0" w:firstLineChars="0"/>
              <w:jc w:val="center"/>
              <w:rPr>
                <w:rFonts w:cs="宋体"/>
                <w:color w:val="auto"/>
                <w:kern w:val="0"/>
                <w:sz w:val="21"/>
                <w:szCs w:val="21"/>
                <w:highlight w:val="none"/>
              </w:rPr>
            </w:pPr>
          </w:p>
        </w:tc>
      </w:tr>
      <w:tr w14:paraId="296AF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5EAD6F55">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14</w:t>
            </w:r>
          </w:p>
        </w:tc>
        <w:tc>
          <w:tcPr>
            <w:tcW w:w="2377" w:type="dxa"/>
            <w:vAlign w:val="center"/>
          </w:tcPr>
          <w:p w14:paraId="60425026">
            <w:pPr>
              <w:widowControl/>
              <w:shd w:val="clear"/>
              <w:snapToGrid w:val="0"/>
              <w:ind w:firstLine="0" w:firstLineChars="0"/>
              <w:jc w:val="center"/>
              <w:rPr>
                <w:rFonts w:cs="宋体"/>
                <w:color w:val="auto"/>
                <w:kern w:val="0"/>
                <w:sz w:val="21"/>
                <w:szCs w:val="21"/>
                <w:highlight w:val="none"/>
              </w:rPr>
            </w:pPr>
            <w:r>
              <w:rPr>
                <w:rFonts w:hint="eastAsia" w:cs="宋体"/>
                <w:color w:val="auto"/>
                <w:kern w:val="0"/>
                <w:sz w:val="21"/>
                <w:szCs w:val="21"/>
                <w:highlight w:val="none"/>
              </w:rPr>
              <w:t>脉冲阀</w:t>
            </w:r>
          </w:p>
        </w:tc>
        <w:tc>
          <w:tcPr>
            <w:tcW w:w="3952" w:type="dxa"/>
            <w:vAlign w:val="center"/>
          </w:tcPr>
          <w:p w14:paraId="1FDE5E8B">
            <w:pPr>
              <w:widowControl/>
              <w:shd w:val="clear"/>
              <w:snapToGrid w:val="0"/>
              <w:ind w:firstLine="0" w:firstLineChars="0"/>
              <w:jc w:val="center"/>
              <w:rPr>
                <w:rFonts w:cs="宋体"/>
                <w:color w:val="auto"/>
                <w:kern w:val="0"/>
                <w:sz w:val="21"/>
                <w:szCs w:val="21"/>
                <w:highlight w:val="none"/>
              </w:rPr>
            </w:pPr>
            <w:r>
              <w:rPr>
                <w:rFonts w:hint="eastAsia" w:cs="宋体"/>
                <w:color w:val="auto"/>
                <w:kern w:val="0"/>
                <w:sz w:val="21"/>
                <w:szCs w:val="21"/>
                <w:highlight w:val="none"/>
              </w:rPr>
              <w:t>淹没阀3.5寸（132个）</w:t>
            </w:r>
          </w:p>
        </w:tc>
        <w:tc>
          <w:tcPr>
            <w:tcW w:w="1259" w:type="dxa"/>
          </w:tcPr>
          <w:p w14:paraId="4D92DE98">
            <w:pPr>
              <w:widowControl/>
              <w:shd w:val="clear"/>
              <w:snapToGrid w:val="0"/>
              <w:ind w:firstLine="0" w:firstLineChars="0"/>
              <w:jc w:val="center"/>
              <w:rPr>
                <w:rFonts w:cs="宋体"/>
                <w:color w:val="auto"/>
                <w:kern w:val="0"/>
                <w:sz w:val="21"/>
                <w:szCs w:val="21"/>
                <w:highlight w:val="none"/>
              </w:rPr>
            </w:pPr>
          </w:p>
        </w:tc>
      </w:tr>
      <w:tr w14:paraId="6DB83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49AC3C6B">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15</w:t>
            </w:r>
          </w:p>
        </w:tc>
        <w:tc>
          <w:tcPr>
            <w:tcW w:w="2377" w:type="dxa"/>
            <w:vAlign w:val="center"/>
          </w:tcPr>
          <w:p w14:paraId="0871E24B">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检修方式</w:t>
            </w:r>
          </w:p>
        </w:tc>
        <w:tc>
          <w:tcPr>
            <w:tcW w:w="3952" w:type="dxa"/>
            <w:vAlign w:val="center"/>
          </w:tcPr>
          <w:p w14:paraId="6C30AE3F">
            <w:pPr>
              <w:shd w:val="clear"/>
              <w:snapToGrid w:val="0"/>
              <w:ind w:firstLine="0" w:firstLineChars="0"/>
              <w:jc w:val="center"/>
              <w:rPr>
                <w:rFonts w:cs="宋体"/>
                <w:color w:val="auto"/>
                <w:kern w:val="0"/>
                <w:sz w:val="21"/>
                <w:szCs w:val="21"/>
                <w:highlight w:val="none"/>
              </w:rPr>
            </w:pPr>
            <w:r>
              <w:rPr>
                <w:rFonts w:hint="eastAsia" w:cs="宋体"/>
                <w:color w:val="auto"/>
                <w:kern w:val="0"/>
                <w:sz w:val="21"/>
                <w:szCs w:val="21"/>
                <w:highlight w:val="none"/>
              </w:rPr>
              <w:t>在线检修</w:t>
            </w:r>
          </w:p>
        </w:tc>
        <w:tc>
          <w:tcPr>
            <w:tcW w:w="1259" w:type="dxa"/>
          </w:tcPr>
          <w:p w14:paraId="790FCC19">
            <w:pPr>
              <w:shd w:val="clear"/>
              <w:adjustRightInd w:val="0"/>
              <w:snapToGrid w:val="0"/>
              <w:ind w:firstLine="0" w:firstLineChars="0"/>
              <w:jc w:val="center"/>
              <w:textAlignment w:val="baseline"/>
              <w:rPr>
                <w:rFonts w:cs="宋体"/>
                <w:color w:val="auto"/>
                <w:kern w:val="0"/>
                <w:sz w:val="21"/>
                <w:szCs w:val="21"/>
                <w:highlight w:val="none"/>
              </w:rPr>
            </w:pPr>
          </w:p>
        </w:tc>
      </w:tr>
      <w:tr w14:paraId="50CF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25FB73F9">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16</w:t>
            </w:r>
          </w:p>
        </w:tc>
        <w:tc>
          <w:tcPr>
            <w:tcW w:w="2377" w:type="dxa"/>
            <w:vAlign w:val="center"/>
          </w:tcPr>
          <w:p w14:paraId="5CB9D548">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收尘器漏风率</w:t>
            </w:r>
          </w:p>
        </w:tc>
        <w:tc>
          <w:tcPr>
            <w:tcW w:w="3952" w:type="dxa"/>
            <w:vAlign w:val="center"/>
          </w:tcPr>
          <w:p w14:paraId="12DFBF1F">
            <w:pPr>
              <w:shd w:val="clear"/>
              <w:snapToGrid w:val="0"/>
              <w:ind w:firstLine="0" w:firstLineChars="0"/>
              <w:jc w:val="center"/>
              <w:rPr>
                <w:rFonts w:cs="宋体"/>
                <w:color w:val="auto"/>
                <w:kern w:val="0"/>
                <w:sz w:val="21"/>
                <w:szCs w:val="21"/>
                <w:highlight w:val="none"/>
              </w:rPr>
            </w:pPr>
            <w:r>
              <w:rPr>
                <w:rFonts w:hint="eastAsia" w:cs="宋体"/>
                <w:color w:val="auto"/>
                <w:kern w:val="0"/>
                <w:sz w:val="21"/>
                <w:szCs w:val="21"/>
                <w:highlight w:val="none"/>
              </w:rPr>
              <w:t>≤2%</w:t>
            </w:r>
          </w:p>
        </w:tc>
        <w:tc>
          <w:tcPr>
            <w:tcW w:w="1259" w:type="dxa"/>
          </w:tcPr>
          <w:p w14:paraId="17B2F862">
            <w:pPr>
              <w:shd w:val="clear"/>
              <w:snapToGrid w:val="0"/>
              <w:ind w:firstLine="0" w:firstLineChars="0"/>
              <w:jc w:val="center"/>
              <w:rPr>
                <w:rFonts w:cs="宋体"/>
                <w:color w:val="auto"/>
                <w:kern w:val="0"/>
                <w:sz w:val="21"/>
                <w:szCs w:val="21"/>
                <w:highlight w:val="none"/>
              </w:rPr>
            </w:pPr>
          </w:p>
        </w:tc>
      </w:tr>
      <w:tr w14:paraId="25AF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7C026AE0">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17</w:t>
            </w:r>
          </w:p>
        </w:tc>
        <w:tc>
          <w:tcPr>
            <w:tcW w:w="2377" w:type="dxa"/>
            <w:vAlign w:val="center"/>
          </w:tcPr>
          <w:p w14:paraId="45B1EB31">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收尘器阻力（Pa）</w:t>
            </w:r>
          </w:p>
        </w:tc>
        <w:tc>
          <w:tcPr>
            <w:tcW w:w="3952" w:type="dxa"/>
            <w:vAlign w:val="center"/>
          </w:tcPr>
          <w:p w14:paraId="3EFB152A">
            <w:pPr>
              <w:shd w:val="clear"/>
              <w:snapToGrid w:val="0"/>
              <w:ind w:firstLine="0" w:firstLineChars="0"/>
              <w:jc w:val="center"/>
              <w:rPr>
                <w:rFonts w:cs="宋体"/>
                <w:color w:val="auto"/>
                <w:kern w:val="0"/>
                <w:sz w:val="21"/>
                <w:szCs w:val="21"/>
                <w:highlight w:val="none"/>
              </w:rPr>
            </w:pPr>
            <w:r>
              <w:rPr>
                <w:rFonts w:hint="eastAsia" w:cs="宋体"/>
                <w:color w:val="auto"/>
                <w:kern w:val="0"/>
                <w:sz w:val="21"/>
                <w:szCs w:val="21"/>
                <w:highlight w:val="none"/>
              </w:rPr>
              <w:t>≤1200</w:t>
            </w:r>
          </w:p>
        </w:tc>
        <w:tc>
          <w:tcPr>
            <w:tcW w:w="1259" w:type="dxa"/>
          </w:tcPr>
          <w:p w14:paraId="08349A4B">
            <w:pPr>
              <w:shd w:val="clear"/>
              <w:snapToGrid w:val="0"/>
              <w:ind w:firstLine="0" w:firstLineChars="0"/>
              <w:jc w:val="center"/>
              <w:rPr>
                <w:rFonts w:cs="宋体"/>
                <w:color w:val="auto"/>
                <w:kern w:val="0"/>
                <w:sz w:val="21"/>
                <w:szCs w:val="21"/>
                <w:highlight w:val="none"/>
              </w:rPr>
            </w:pPr>
          </w:p>
        </w:tc>
      </w:tr>
      <w:tr w14:paraId="6F1EE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60CCA862">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18</w:t>
            </w:r>
          </w:p>
        </w:tc>
        <w:tc>
          <w:tcPr>
            <w:tcW w:w="2377" w:type="dxa"/>
            <w:vAlign w:val="center"/>
          </w:tcPr>
          <w:p w14:paraId="6DA5D415">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除尘器耐压等级</w:t>
            </w:r>
          </w:p>
        </w:tc>
        <w:tc>
          <w:tcPr>
            <w:tcW w:w="3952" w:type="dxa"/>
            <w:vAlign w:val="center"/>
          </w:tcPr>
          <w:p w14:paraId="7FC47357">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设计负压-8kPa</w:t>
            </w:r>
          </w:p>
        </w:tc>
        <w:tc>
          <w:tcPr>
            <w:tcW w:w="1259" w:type="dxa"/>
          </w:tcPr>
          <w:p w14:paraId="0E52670E">
            <w:pPr>
              <w:shd w:val="clear"/>
              <w:adjustRightInd w:val="0"/>
              <w:snapToGrid w:val="0"/>
              <w:ind w:firstLine="0" w:firstLineChars="0"/>
              <w:jc w:val="center"/>
              <w:textAlignment w:val="baseline"/>
              <w:rPr>
                <w:rFonts w:cs="宋体"/>
                <w:color w:val="auto"/>
                <w:kern w:val="0"/>
                <w:sz w:val="21"/>
                <w:szCs w:val="21"/>
                <w:highlight w:val="none"/>
              </w:rPr>
            </w:pPr>
          </w:p>
        </w:tc>
      </w:tr>
      <w:tr w14:paraId="5A9C0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393424FE">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19</w:t>
            </w:r>
          </w:p>
        </w:tc>
        <w:tc>
          <w:tcPr>
            <w:tcW w:w="2377" w:type="dxa"/>
            <w:vAlign w:val="center"/>
          </w:tcPr>
          <w:p w14:paraId="5DFC66A9">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清灰方式</w:t>
            </w:r>
          </w:p>
        </w:tc>
        <w:tc>
          <w:tcPr>
            <w:tcW w:w="3952" w:type="dxa"/>
            <w:vAlign w:val="center"/>
          </w:tcPr>
          <w:p w14:paraId="6E5E6EAC">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离线清灰</w:t>
            </w:r>
          </w:p>
        </w:tc>
        <w:tc>
          <w:tcPr>
            <w:tcW w:w="1259" w:type="dxa"/>
          </w:tcPr>
          <w:p w14:paraId="2809EFC5">
            <w:pPr>
              <w:shd w:val="clear"/>
              <w:adjustRightInd w:val="0"/>
              <w:snapToGrid w:val="0"/>
              <w:ind w:firstLine="0" w:firstLineChars="0"/>
              <w:jc w:val="center"/>
              <w:textAlignment w:val="baseline"/>
              <w:rPr>
                <w:rFonts w:cs="宋体"/>
                <w:color w:val="auto"/>
                <w:kern w:val="0"/>
                <w:sz w:val="21"/>
                <w:szCs w:val="21"/>
                <w:highlight w:val="none"/>
              </w:rPr>
            </w:pPr>
          </w:p>
        </w:tc>
      </w:tr>
      <w:tr w14:paraId="377A9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7BBA09AE">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20</w:t>
            </w:r>
          </w:p>
        </w:tc>
        <w:tc>
          <w:tcPr>
            <w:tcW w:w="2377" w:type="dxa"/>
            <w:vAlign w:val="center"/>
          </w:tcPr>
          <w:p w14:paraId="54E5D91E">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喷吹气源</w:t>
            </w:r>
          </w:p>
        </w:tc>
        <w:tc>
          <w:tcPr>
            <w:tcW w:w="3952" w:type="dxa"/>
            <w:vAlign w:val="center"/>
          </w:tcPr>
          <w:p w14:paraId="6F651CD7">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压缩空气</w:t>
            </w:r>
          </w:p>
        </w:tc>
        <w:tc>
          <w:tcPr>
            <w:tcW w:w="1259" w:type="dxa"/>
          </w:tcPr>
          <w:p w14:paraId="7FF5DE31">
            <w:pPr>
              <w:shd w:val="clear"/>
              <w:adjustRightInd w:val="0"/>
              <w:snapToGrid w:val="0"/>
              <w:ind w:firstLine="0" w:firstLineChars="0"/>
              <w:jc w:val="center"/>
              <w:textAlignment w:val="baseline"/>
              <w:rPr>
                <w:rFonts w:cs="宋体"/>
                <w:color w:val="auto"/>
                <w:kern w:val="0"/>
                <w:sz w:val="21"/>
                <w:szCs w:val="21"/>
                <w:highlight w:val="none"/>
              </w:rPr>
            </w:pPr>
          </w:p>
        </w:tc>
      </w:tr>
      <w:tr w14:paraId="6D3BA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660" w:type="dxa"/>
            <w:vAlign w:val="center"/>
          </w:tcPr>
          <w:p w14:paraId="12C739C8">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21</w:t>
            </w:r>
          </w:p>
        </w:tc>
        <w:tc>
          <w:tcPr>
            <w:tcW w:w="2377" w:type="dxa"/>
            <w:vAlign w:val="center"/>
          </w:tcPr>
          <w:p w14:paraId="0DD49005">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喷吹压力（MPa）</w:t>
            </w:r>
          </w:p>
        </w:tc>
        <w:tc>
          <w:tcPr>
            <w:tcW w:w="3952" w:type="dxa"/>
            <w:vAlign w:val="center"/>
          </w:tcPr>
          <w:p w14:paraId="6A20EE2E">
            <w:pPr>
              <w:shd w:val="clear"/>
              <w:adjustRightInd w:val="0"/>
              <w:snapToGrid w:val="0"/>
              <w:ind w:firstLine="0" w:firstLineChars="0"/>
              <w:jc w:val="center"/>
              <w:textAlignment w:val="baseline"/>
              <w:rPr>
                <w:rFonts w:cs="宋体"/>
                <w:color w:val="auto"/>
                <w:kern w:val="0"/>
                <w:sz w:val="21"/>
                <w:szCs w:val="21"/>
                <w:highlight w:val="none"/>
              </w:rPr>
            </w:pPr>
            <w:r>
              <w:rPr>
                <w:rFonts w:hint="eastAsia" w:cs="宋体"/>
                <w:color w:val="auto"/>
                <w:kern w:val="0"/>
                <w:sz w:val="21"/>
                <w:szCs w:val="21"/>
                <w:highlight w:val="none"/>
              </w:rPr>
              <w:t>0.4-0.6</w:t>
            </w:r>
          </w:p>
        </w:tc>
        <w:tc>
          <w:tcPr>
            <w:tcW w:w="1259" w:type="dxa"/>
          </w:tcPr>
          <w:p w14:paraId="2BB1673F">
            <w:pPr>
              <w:shd w:val="clear"/>
              <w:adjustRightInd w:val="0"/>
              <w:snapToGrid w:val="0"/>
              <w:ind w:firstLine="0" w:firstLineChars="0"/>
              <w:jc w:val="center"/>
              <w:textAlignment w:val="baseline"/>
              <w:rPr>
                <w:rFonts w:cs="宋体"/>
                <w:color w:val="auto"/>
                <w:kern w:val="0"/>
                <w:sz w:val="21"/>
                <w:szCs w:val="21"/>
                <w:highlight w:val="none"/>
              </w:rPr>
            </w:pPr>
          </w:p>
        </w:tc>
      </w:tr>
    </w:tbl>
    <w:p w14:paraId="7D89F06A">
      <w:pPr>
        <w:shd w:val="clear"/>
        <w:rPr>
          <w:color w:val="auto"/>
          <w:highlight w:val="none"/>
        </w:rPr>
      </w:pPr>
      <w:r>
        <w:rPr>
          <w:rFonts w:hint="eastAsia"/>
          <w:color w:val="auto"/>
          <w:highlight w:val="none"/>
        </w:rPr>
        <w:t>2）除尘风机（利旧现出铁场除尘风机）</w:t>
      </w:r>
    </w:p>
    <w:p w14:paraId="376A000D">
      <w:pPr>
        <w:shd w:val="clear"/>
        <w:rPr>
          <w:color w:val="auto"/>
          <w:highlight w:val="none"/>
        </w:rPr>
      </w:pPr>
      <w:r>
        <w:rPr>
          <w:rFonts w:hint="eastAsia"/>
          <w:color w:val="auto"/>
          <w:highlight w:val="none"/>
        </w:rPr>
        <w:t>数量：1套</w:t>
      </w:r>
    </w:p>
    <w:p w14:paraId="1D3F69D3">
      <w:pPr>
        <w:shd w:val="clear"/>
        <w:rPr>
          <w:color w:val="auto"/>
          <w:highlight w:val="none"/>
        </w:rPr>
      </w:pPr>
      <w:r>
        <w:rPr>
          <w:rFonts w:hint="eastAsia"/>
          <w:color w:val="auto"/>
          <w:highlight w:val="none"/>
        </w:rPr>
        <w:t>风量：750</w:t>
      </w:r>
      <w:r>
        <w:rPr>
          <w:color w:val="auto"/>
          <w:highlight w:val="none"/>
        </w:rPr>
        <w:t>000</w:t>
      </w:r>
      <w:r>
        <w:rPr>
          <w:rFonts w:hint="eastAsia"/>
          <w:color w:val="auto"/>
          <w:highlight w:val="none"/>
        </w:rPr>
        <w:t>m³/h</w:t>
      </w:r>
    </w:p>
    <w:p w14:paraId="625F8AB7">
      <w:pPr>
        <w:shd w:val="clear"/>
        <w:rPr>
          <w:color w:val="auto"/>
          <w:highlight w:val="none"/>
        </w:rPr>
      </w:pPr>
      <w:r>
        <w:rPr>
          <w:rFonts w:hint="eastAsia"/>
          <w:color w:val="auto"/>
          <w:highlight w:val="none"/>
        </w:rPr>
        <w:t>全压：5</w:t>
      </w:r>
      <w:r>
        <w:rPr>
          <w:color w:val="auto"/>
          <w:highlight w:val="none"/>
        </w:rPr>
        <w:t>5</w:t>
      </w:r>
      <w:r>
        <w:rPr>
          <w:rFonts w:hint="eastAsia"/>
          <w:color w:val="auto"/>
          <w:highlight w:val="none"/>
        </w:rPr>
        <w:t>00Pa</w:t>
      </w:r>
    </w:p>
    <w:p w14:paraId="2814663E">
      <w:pPr>
        <w:shd w:val="clear"/>
        <w:rPr>
          <w:color w:val="auto"/>
          <w:highlight w:val="none"/>
        </w:rPr>
      </w:pPr>
      <w:r>
        <w:rPr>
          <w:rFonts w:hint="eastAsia"/>
          <w:color w:val="auto"/>
          <w:highlight w:val="none"/>
        </w:rPr>
        <w:t>3）除尘变频电机（利旧现出铁场除尘电机）</w:t>
      </w:r>
    </w:p>
    <w:p w14:paraId="60AB20D8">
      <w:pPr>
        <w:shd w:val="clear"/>
        <w:rPr>
          <w:color w:val="auto"/>
          <w:highlight w:val="none"/>
        </w:rPr>
      </w:pPr>
      <w:r>
        <w:rPr>
          <w:rFonts w:hint="eastAsia"/>
          <w:color w:val="auto"/>
          <w:highlight w:val="none"/>
        </w:rPr>
        <w:t>数量：1套</w:t>
      </w:r>
    </w:p>
    <w:p w14:paraId="431D9393">
      <w:pPr>
        <w:shd w:val="clear"/>
        <w:rPr>
          <w:color w:val="auto"/>
          <w:highlight w:val="none"/>
        </w:rPr>
      </w:pPr>
      <w:r>
        <w:rPr>
          <w:rFonts w:hint="eastAsia"/>
          <w:color w:val="auto"/>
          <w:highlight w:val="none"/>
        </w:rPr>
        <w:t>额定功率：1800kW</w:t>
      </w:r>
    </w:p>
    <w:p w14:paraId="63C915FB">
      <w:pPr>
        <w:shd w:val="clear"/>
        <w:rPr>
          <w:color w:val="auto"/>
          <w:highlight w:val="none"/>
        </w:rPr>
      </w:pPr>
      <w:r>
        <w:rPr>
          <w:rFonts w:hint="eastAsia"/>
          <w:color w:val="auto"/>
          <w:highlight w:val="none"/>
        </w:rPr>
        <w:t>额定电压：6kV</w:t>
      </w:r>
    </w:p>
    <w:p w14:paraId="7E6C4730">
      <w:pPr>
        <w:shd w:val="clear"/>
        <w:rPr>
          <w:color w:val="auto"/>
          <w:highlight w:val="none"/>
        </w:rPr>
      </w:pPr>
      <w:r>
        <w:rPr>
          <w:rFonts w:hint="eastAsia"/>
          <w:color w:val="auto"/>
          <w:highlight w:val="none"/>
        </w:rPr>
        <w:t xml:space="preserve">4）刮板输送机    </w:t>
      </w:r>
      <w:r>
        <w:rPr>
          <w:color w:val="auto"/>
          <w:highlight w:val="none"/>
        </w:rPr>
        <w:t>2台</w:t>
      </w:r>
      <w:r>
        <w:rPr>
          <w:rFonts w:hint="eastAsia"/>
          <w:color w:val="auto"/>
          <w:highlight w:val="none"/>
        </w:rPr>
        <w:t>（更换）</w:t>
      </w:r>
    </w:p>
    <w:p w14:paraId="336A0894">
      <w:pPr>
        <w:shd w:val="clear"/>
        <w:ind w:firstLine="849" w:firstLineChars="354"/>
        <w:rPr>
          <w:color w:val="auto"/>
          <w:highlight w:val="none"/>
        </w:rPr>
      </w:pPr>
      <w:r>
        <w:rPr>
          <w:rFonts w:hint="eastAsia"/>
          <w:color w:val="auto"/>
          <w:highlight w:val="none"/>
        </w:rPr>
        <w:t xml:space="preserve">型号：YD310 </w:t>
      </w:r>
    </w:p>
    <w:p w14:paraId="129FA58C">
      <w:pPr>
        <w:shd w:val="clear"/>
        <w:ind w:firstLine="849" w:firstLineChars="354"/>
        <w:rPr>
          <w:color w:val="auto"/>
          <w:highlight w:val="none"/>
        </w:rPr>
      </w:pPr>
      <w:r>
        <w:rPr>
          <w:rFonts w:hint="eastAsia"/>
          <w:color w:val="auto"/>
          <w:highlight w:val="none"/>
        </w:rPr>
        <w:t>输送能力：6-12</w:t>
      </w:r>
      <w:r>
        <w:rPr>
          <w:color w:val="auto"/>
          <w:highlight w:val="none"/>
        </w:rPr>
        <w:t>m</w:t>
      </w:r>
      <w:r>
        <w:rPr>
          <w:color w:val="auto"/>
          <w:highlight w:val="none"/>
          <w:vertAlign w:val="superscript"/>
        </w:rPr>
        <w:t>3</w:t>
      </w:r>
      <w:r>
        <w:rPr>
          <w:color w:val="auto"/>
          <w:highlight w:val="none"/>
        </w:rPr>
        <w:t>/h</w:t>
      </w:r>
    </w:p>
    <w:p w14:paraId="1CED57B7">
      <w:pPr>
        <w:shd w:val="clear"/>
        <w:ind w:firstLine="849" w:firstLineChars="354"/>
        <w:rPr>
          <w:color w:val="auto"/>
          <w:highlight w:val="none"/>
        </w:rPr>
      </w:pPr>
      <w:r>
        <w:rPr>
          <w:rFonts w:hint="eastAsia"/>
          <w:color w:val="auto"/>
          <w:highlight w:val="none"/>
        </w:rPr>
        <w:t>输送距离： L~16.4m</w:t>
      </w:r>
    </w:p>
    <w:p w14:paraId="611E767B">
      <w:pPr>
        <w:shd w:val="clear"/>
        <w:ind w:firstLine="849" w:firstLineChars="354"/>
        <w:rPr>
          <w:color w:val="auto"/>
          <w:highlight w:val="none"/>
        </w:rPr>
      </w:pPr>
      <w:r>
        <w:rPr>
          <w:color w:val="auto"/>
          <w:highlight w:val="none"/>
        </w:rPr>
        <w:t>功率</w:t>
      </w:r>
      <w:r>
        <w:rPr>
          <w:rFonts w:hint="eastAsia"/>
          <w:color w:val="auto"/>
          <w:highlight w:val="none"/>
        </w:rPr>
        <w:t xml:space="preserve">：7.5kW </w:t>
      </w:r>
    </w:p>
    <w:p w14:paraId="75350EFC">
      <w:pPr>
        <w:shd w:val="clear"/>
        <w:ind w:firstLine="849" w:firstLineChars="354"/>
        <w:rPr>
          <w:color w:val="auto"/>
          <w:highlight w:val="none"/>
        </w:rPr>
      </w:pPr>
      <w:r>
        <w:rPr>
          <w:rFonts w:hint="eastAsia"/>
          <w:color w:val="auto"/>
          <w:highlight w:val="none"/>
        </w:rPr>
        <w:t>电压：380V</w:t>
      </w:r>
    </w:p>
    <w:p w14:paraId="59766C0A">
      <w:pPr>
        <w:shd w:val="clear"/>
        <w:rPr>
          <w:color w:val="auto"/>
          <w:highlight w:val="none"/>
        </w:rPr>
      </w:pPr>
      <w:r>
        <w:rPr>
          <w:rFonts w:hint="eastAsia"/>
          <w:color w:val="auto"/>
          <w:highlight w:val="none"/>
        </w:rPr>
        <w:t xml:space="preserve">4）刮板输送机    </w:t>
      </w:r>
      <w:r>
        <w:rPr>
          <w:color w:val="auto"/>
          <w:highlight w:val="none"/>
        </w:rPr>
        <w:t>1台</w:t>
      </w:r>
      <w:r>
        <w:rPr>
          <w:rFonts w:hint="eastAsia"/>
          <w:color w:val="auto"/>
          <w:highlight w:val="none"/>
        </w:rPr>
        <w:t>（更换）</w:t>
      </w:r>
    </w:p>
    <w:p w14:paraId="6E3EC9BB">
      <w:pPr>
        <w:shd w:val="clear"/>
        <w:ind w:firstLine="849" w:firstLineChars="354"/>
        <w:rPr>
          <w:color w:val="auto"/>
          <w:highlight w:val="none"/>
        </w:rPr>
      </w:pPr>
      <w:r>
        <w:rPr>
          <w:rFonts w:hint="eastAsia"/>
          <w:color w:val="auto"/>
          <w:highlight w:val="none"/>
        </w:rPr>
        <w:t xml:space="preserve">型号：YD430 </w:t>
      </w:r>
    </w:p>
    <w:p w14:paraId="2C4E41FF">
      <w:pPr>
        <w:shd w:val="clear"/>
        <w:ind w:firstLine="849" w:firstLineChars="354"/>
        <w:rPr>
          <w:color w:val="auto"/>
          <w:highlight w:val="none"/>
        </w:rPr>
      </w:pPr>
      <w:r>
        <w:rPr>
          <w:rFonts w:hint="eastAsia"/>
          <w:color w:val="auto"/>
          <w:highlight w:val="none"/>
        </w:rPr>
        <w:t>输送能力：10-25</w:t>
      </w:r>
      <w:r>
        <w:rPr>
          <w:color w:val="auto"/>
          <w:highlight w:val="none"/>
        </w:rPr>
        <w:t>m</w:t>
      </w:r>
      <w:r>
        <w:rPr>
          <w:color w:val="auto"/>
          <w:highlight w:val="none"/>
          <w:vertAlign w:val="superscript"/>
        </w:rPr>
        <w:t>3</w:t>
      </w:r>
      <w:r>
        <w:rPr>
          <w:color w:val="auto"/>
          <w:highlight w:val="none"/>
        </w:rPr>
        <w:t>/h</w:t>
      </w:r>
    </w:p>
    <w:p w14:paraId="099D24C2">
      <w:pPr>
        <w:shd w:val="clear"/>
        <w:ind w:firstLine="849" w:firstLineChars="354"/>
        <w:rPr>
          <w:color w:val="auto"/>
          <w:highlight w:val="none"/>
        </w:rPr>
      </w:pPr>
      <w:r>
        <w:rPr>
          <w:rFonts w:hint="eastAsia"/>
          <w:color w:val="auto"/>
          <w:highlight w:val="none"/>
        </w:rPr>
        <w:t>输送距离： L=12.75m</w:t>
      </w:r>
    </w:p>
    <w:p w14:paraId="4AF70058">
      <w:pPr>
        <w:shd w:val="clear"/>
        <w:ind w:firstLine="849" w:firstLineChars="354"/>
        <w:rPr>
          <w:color w:val="auto"/>
          <w:highlight w:val="none"/>
        </w:rPr>
      </w:pPr>
      <w:r>
        <w:rPr>
          <w:color w:val="auto"/>
          <w:highlight w:val="none"/>
        </w:rPr>
        <w:t>功率</w:t>
      </w:r>
      <w:r>
        <w:rPr>
          <w:rFonts w:hint="eastAsia"/>
          <w:color w:val="auto"/>
          <w:highlight w:val="none"/>
        </w:rPr>
        <w:t xml:space="preserve">：7.5kW </w:t>
      </w:r>
    </w:p>
    <w:p w14:paraId="64C014A0">
      <w:pPr>
        <w:shd w:val="clear"/>
        <w:ind w:firstLine="849" w:firstLineChars="354"/>
        <w:rPr>
          <w:color w:val="auto"/>
          <w:highlight w:val="none"/>
        </w:rPr>
      </w:pPr>
      <w:r>
        <w:rPr>
          <w:rFonts w:hint="eastAsia"/>
          <w:color w:val="auto"/>
          <w:highlight w:val="none"/>
        </w:rPr>
        <w:t>电压：380V</w:t>
      </w:r>
    </w:p>
    <w:p w14:paraId="23810590">
      <w:pPr>
        <w:shd w:val="clear"/>
        <w:ind w:firstLine="484" w:firstLineChars="202"/>
        <w:rPr>
          <w:color w:val="auto"/>
          <w:highlight w:val="none"/>
        </w:rPr>
      </w:pPr>
      <w:r>
        <w:rPr>
          <w:rFonts w:hint="eastAsia"/>
          <w:color w:val="auto"/>
          <w:highlight w:val="none"/>
        </w:rPr>
        <w:t>5）斗式提升机（更换）</w:t>
      </w:r>
    </w:p>
    <w:p w14:paraId="1A6A2721">
      <w:pPr>
        <w:shd w:val="clear"/>
        <w:ind w:firstLine="849" w:firstLineChars="354"/>
        <w:rPr>
          <w:color w:val="auto"/>
          <w:highlight w:val="none"/>
        </w:rPr>
      </w:pPr>
      <w:r>
        <w:rPr>
          <w:rFonts w:hint="eastAsia"/>
          <w:color w:val="auto"/>
          <w:highlight w:val="none"/>
        </w:rPr>
        <w:t>型号：DT30T</w:t>
      </w:r>
    </w:p>
    <w:p w14:paraId="37C370D4">
      <w:pPr>
        <w:shd w:val="clear"/>
        <w:ind w:firstLine="849" w:firstLineChars="354"/>
        <w:rPr>
          <w:color w:val="auto"/>
          <w:highlight w:val="none"/>
        </w:rPr>
      </w:pPr>
      <w:r>
        <w:rPr>
          <w:rFonts w:hint="eastAsia"/>
          <w:color w:val="auto"/>
          <w:highlight w:val="none"/>
        </w:rPr>
        <w:t>输送能力：8-25</w:t>
      </w:r>
      <w:r>
        <w:rPr>
          <w:color w:val="auto"/>
          <w:highlight w:val="none"/>
        </w:rPr>
        <w:t>m</w:t>
      </w:r>
      <w:r>
        <w:rPr>
          <w:color w:val="auto"/>
          <w:highlight w:val="none"/>
          <w:vertAlign w:val="superscript"/>
        </w:rPr>
        <w:t>3</w:t>
      </w:r>
      <w:r>
        <w:rPr>
          <w:color w:val="auto"/>
          <w:highlight w:val="none"/>
        </w:rPr>
        <w:t>/h</w:t>
      </w:r>
    </w:p>
    <w:p w14:paraId="1F8CC81D">
      <w:pPr>
        <w:shd w:val="clear"/>
        <w:ind w:firstLine="849" w:firstLineChars="354"/>
        <w:rPr>
          <w:color w:val="auto"/>
          <w:highlight w:val="none"/>
        </w:rPr>
      </w:pPr>
      <w:r>
        <w:rPr>
          <w:rFonts w:hint="eastAsia"/>
          <w:color w:val="auto"/>
          <w:highlight w:val="none"/>
        </w:rPr>
        <w:t xml:space="preserve">提升机高度：18m </w:t>
      </w:r>
    </w:p>
    <w:p w14:paraId="31244E2F">
      <w:pPr>
        <w:shd w:val="clear"/>
        <w:ind w:firstLine="849" w:firstLineChars="354"/>
        <w:rPr>
          <w:color w:val="auto"/>
          <w:highlight w:val="none"/>
        </w:rPr>
      </w:pPr>
      <w:r>
        <w:rPr>
          <w:color w:val="auto"/>
          <w:highlight w:val="none"/>
        </w:rPr>
        <w:t>功率</w:t>
      </w:r>
      <w:r>
        <w:rPr>
          <w:rFonts w:hint="eastAsia"/>
          <w:color w:val="auto"/>
          <w:highlight w:val="none"/>
        </w:rPr>
        <w:t>：11kW</w:t>
      </w:r>
    </w:p>
    <w:p w14:paraId="27A156F5">
      <w:pPr>
        <w:shd w:val="clear"/>
        <w:ind w:firstLine="849" w:firstLineChars="354"/>
        <w:rPr>
          <w:color w:val="auto"/>
          <w:highlight w:val="none"/>
        </w:rPr>
      </w:pPr>
      <w:r>
        <w:rPr>
          <w:rFonts w:hint="eastAsia"/>
          <w:color w:val="auto"/>
          <w:highlight w:val="none"/>
        </w:rPr>
        <w:t>电压：380V</w:t>
      </w:r>
    </w:p>
    <w:p w14:paraId="6B151018">
      <w:pPr>
        <w:shd w:val="clear"/>
        <w:ind w:firstLine="484" w:firstLineChars="202"/>
        <w:rPr>
          <w:color w:val="auto"/>
          <w:highlight w:val="none"/>
        </w:rPr>
      </w:pPr>
      <w:r>
        <w:rPr>
          <w:rFonts w:hint="eastAsia"/>
          <w:color w:val="auto"/>
          <w:highlight w:val="none"/>
        </w:rPr>
        <w:t xml:space="preserve">6）储灰仓（新建） </w:t>
      </w:r>
    </w:p>
    <w:p w14:paraId="519080AA">
      <w:pPr>
        <w:shd w:val="clear"/>
        <w:ind w:firstLine="849" w:firstLineChars="354"/>
        <w:rPr>
          <w:color w:val="auto"/>
          <w:highlight w:val="none"/>
        </w:rPr>
      </w:pPr>
      <w:r>
        <w:rPr>
          <w:rFonts w:hint="eastAsia"/>
          <w:color w:val="auto"/>
          <w:highlight w:val="none"/>
        </w:rPr>
        <w:t>型号：</w:t>
      </w:r>
      <w:r>
        <w:rPr>
          <w:color w:val="auto"/>
          <w:highlight w:val="none"/>
        </w:rPr>
        <w:t>HC</w:t>
      </w:r>
      <w:r>
        <w:rPr>
          <w:rFonts w:hint="eastAsia"/>
          <w:color w:val="auto"/>
          <w:highlight w:val="none"/>
        </w:rPr>
        <w:t>75</w:t>
      </w:r>
    </w:p>
    <w:p w14:paraId="275A5516">
      <w:pPr>
        <w:shd w:val="clear"/>
        <w:ind w:firstLine="849" w:firstLineChars="354"/>
        <w:rPr>
          <w:color w:val="auto"/>
          <w:highlight w:val="none"/>
        </w:rPr>
      </w:pPr>
      <w:r>
        <w:rPr>
          <w:color w:val="auto"/>
          <w:highlight w:val="none"/>
        </w:rPr>
        <w:t>容量：</w:t>
      </w:r>
      <w:r>
        <w:rPr>
          <w:rFonts w:hint="eastAsia"/>
          <w:color w:val="auto"/>
          <w:highlight w:val="none"/>
        </w:rPr>
        <w:t>75</w:t>
      </w:r>
      <w:r>
        <w:rPr>
          <w:color w:val="auto"/>
          <w:highlight w:val="none"/>
        </w:rPr>
        <w:t>m</w:t>
      </w:r>
      <w:r>
        <w:rPr>
          <w:color w:val="auto"/>
          <w:highlight w:val="none"/>
          <w:vertAlign w:val="superscript"/>
        </w:rPr>
        <w:t>3</w:t>
      </w:r>
    </w:p>
    <w:p w14:paraId="2F25152D">
      <w:pPr>
        <w:shd w:val="clear"/>
        <w:ind w:firstLine="849" w:firstLineChars="354"/>
        <w:rPr>
          <w:color w:val="auto"/>
          <w:highlight w:val="none"/>
        </w:rPr>
      </w:pPr>
      <w:r>
        <w:rPr>
          <w:rFonts w:hint="eastAsia"/>
          <w:color w:val="auto"/>
          <w:highlight w:val="none"/>
        </w:rPr>
        <w:t>双卸灰口</w:t>
      </w:r>
    </w:p>
    <w:p w14:paraId="5154E172">
      <w:pPr>
        <w:shd w:val="clear"/>
        <w:ind w:left="0" w:leftChars="0" w:firstLine="0" w:firstLineChars="0"/>
        <w:outlineLvl w:val="2"/>
        <w:rPr>
          <w:rFonts w:hint="eastAsia" w:cs="Times New Roman"/>
          <w:color w:val="auto"/>
          <w:szCs w:val="28"/>
          <w:highlight w:val="none"/>
        </w:rPr>
      </w:pPr>
      <w:r>
        <w:rPr>
          <w:rFonts w:hint="eastAsia" w:cs="Times New Roman"/>
          <w:color w:val="auto"/>
          <w:szCs w:val="28"/>
          <w:highlight w:val="none"/>
        </w:rPr>
        <w:t>7.4.4</w:t>
      </w:r>
      <w:r>
        <w:rPr>
          <w:rFonts w:hint="eastAsia" w:cs="Times New Roman"/>
          <w:color w:val="auto"/>
          <w:szCs w:val="28"/>
          <w:highlight w:val="none"/>
          <w:lang w:val="en-US" w:eastAsia="zh-CN"/>
        </w:rPr>
        <w:t xml:space="preserve"> </w:t>
      </w:r>
      <w:r>
        <w:rPr>
          <w:rFonts w:hint="eastAsia" w:cs="Times New Roman"/>
          <w:color w:val="auto"/>
          <w:szCs w:val="28"/>
          <w:highlight w:val="none"/>
        </w:rPr>
        <w:t>1#高炉现有集合灰仓改造和1号高炉的矿槽除尘器烟囱改造</w:t>
      </w:r>
    </w:p>
    <w:p w14:paraId="02436802">
      <w:pPr>
        <w:shd w:val="clear"/>
        <w:rPr>
          <w:rFonts w:ascii="宋体" w:hAnsi="宋体" w:eastAsia="宋体" w:cs="宋体"/>
          <w:color w:val="auto"/>
          <w:sz w:val="24"/>
          <w:szCs w:val="24"/>
          <w:highlight w:val="none"/>
        </w:rPr>
      </w:pPr>
      <w:r>
        <w:rPr>
          <w:rFonts w:ascii="宋体" w:hAnsi="宋体" w:eastAsia="宋体" w:cs="宋体"/>
          <w:color w:val="auto"/>
          <w:sz w:val="24"/>
          <w:szCs w:val="24"/>
          <w:highlight w:val="none"/>
        </w:rPr>
        <w:t>1号高炉的槽上除尘（即现有的4#除尘系统）、出铁场除尘、地沟除尘的除尘灰目前采用汽车外运至烧结系统，不满足超低排放要求，在1号高炉的槽上除尘（即现有的4#除尘系统）、出铁场除尘、地沟除尘的集中灰仓下方各增加一个卸灰口，</w:t>
      </w:r>
      <w:r>
        <w:rPr>
          <w:rFonts w:hint="eastAsia" w:ascii="宋体" w:hAnsi="宋体" w:eastAsia="宋体" w:cs="宋体"/>
          <w:color w:val="auto"/>
          <w:sz w:val="24"/>
          <w:szCs w:val="24"/>
          <w:highlight w:val="none"/>
        </w:rPr>
        <w:t>在4#除尘器集中灰仓下方改造成双卸灰口型式，两个卸灰口支路均通过吸排罐车拉运至</w:t>
      </w:r>
      <w:r>
        <w:rPr>
          <w:rFonts w:ascii="宋体" w:hAnsi="宋体" w:eastAsia="宋体" w:cs="宋体"/>
          <w:color w:val="auto"/>
          <w:sz w:val="24"/>
          <w:szCs w:val="24"/>
          <w:highlight w:val="none"/>
        </w:rPr>
        <w:t>2×360m</w:t>
      </w:r>
      <w:r>
        <w:rPr>
          <w:rFonts w:ascii="宋体" w:hAnsi="宋体" w:eastAsia="宋体" w:cs="宋体"/>
          <w:color w:val="auto"/>
          <w:sz w:val="24"/>
          <w:szCs w:val="24"/>
          <w:highlight w:val="none"/>
          <w:vertAlign w:val="superscript"/>
        </w:rPr>
        <w:t>2</w:t>
      </w:r>
      <w:r>
        <w:rPr>
          <w:rFonts w:ascii="宋体" w:hAnsi="宋体" w:eastAsia="宋体" w:cs="宋体"/>
          <w:color w:val="auto"/>
          <w:sz w:val="24"/>
          <w:szCs w:val="24"/>
          <w:highlight w:val="none"/>
        </w:rPr>
        <w:t>烧结机配料室预留接口气力输送至配料除尘仓；现有的卸灰口输灰方式不变。</w:t>
      </w:r>
    </w:p>
    <w:p w14:paraId="06B809D1">
      <w:pPr>
        <w:shd w:val="clear"/>
        <w:rPr>
          <w:color w:val="auto"/>
          <w:highlight w:val="none"/>
        </w:rPr>
      </w:pPr>
      <w:r>
        <w:rPr>
          <w:rFonts w:hint="eastAsia"/>
          <w:color w:val="auto"/>
          <w:highlight w:val="none"/>
        </w:rPr>
        <w:t>另外，1号高炉的矿槽除尘器烟囱需进行合规性改造，烟囱进行加高处理,烟筒直径D4200，高度由32m加高至40m，检测平台高度从18.00m提高到27.00m，检测孔高度提高到28.200m。</w:t>
      </w:r>
      <w:bookmarkStart w:id="622" w:name="_Hlk184629256"/>
      <w:r>
        <w:rPr>
          <w:rFonts w:hint="eastAsia"/>
          <w:color w:val="auto"/>
          <w:highlight w:val="none"/>
        </w:rPr>
        <w:t>原有CEMS存在全流程标定不通过，配合烟囱进行加高处理，更换排气筒超低排CEMS监测系统。</w:t>
      </w:r>
      <w:bookmarkEnd w:id="622"/>
    </w:p>
    <w:p w14:paraId="2F19D3BF">
      <w:pPr>
        <w:shd w:val="clear"/>
        <w:ind w:firstLineChars="0"/>
        <w:outlineLvl w:val="2"/>
        <w:rPr>
          <w:rFonts w:cs="Times New Roman"/>
          <w:color w:val="auto"/>
          <w:szCs w:val="28"/>
          <w:highlight w:val="none"/>
        </w:rPr>
      </w:pPr>
      <w:bookmarkStart w:id="623" w:name="_Toc3432"/>
      <w:r>
        <w:rPr>
          <w:rFonts w:hint="eastAsia" w:cs="Times New Roman"/>
          <w:color w:val="auto"/>
          <w:szCs w:val="28"/>
          <w:highlight w:val="none"/>
        </w:rPr>
        <w:t>7.4.5 F4转运站除尘</w:t>
      </w:r>
      <w:bookmarkEnd w:id="623"/>
    </w:p>
    <w:p w14:paraId="1B19DAD7">
      <w:pPr>
        <w:shd w:val="clear"/>
        <w:adjustRightInd w:val="0"/>
        <w:snapToGrid w:val="0"/>
        <w:rPr>
          <w:rFonts w:cs="宋体"/>
          <w:snapToGrid w:val="0"/>
          <w:color w:val="auto"/>
          <w:kern w:val="0"/>
          <w:highlight w:val="none"/>
        </w:rPr>
      </w:pPr>
      <w:r>
        <w:rPr>
          <w:rFonts w:hint="eastAsia" w:cs="宋体"/>
          <w:snapToGrid w:val="0"/>
          <w:color w:val="auto"/>
          <w:kern w:val="0"/>
          <w:highlight w:val="none"/>
        </w:rPr>
        <w:t>本转运站除尘主要为F04皮带头卸料和</w:t>
      </w:r>
      <w:r>
        <w:rPr>
          <w:rFonts w:cs="宋体"/>
          <w:snapToGrid w:val="0"/>
          <w:color w:val="auto"/>
          <w:kern w:val="0"/>
          <w:highlight w:val="none"/>
        </w:rPr>
        <w:t>FK-2胶带机</w:t>
      </w:r>
      <w:r>
        <w:rPr>
          <w:rFonts w:hint="eastAsia" w:cs="宋体"/>
          <w:snapToGrid w:val="0"/>
          <w:color w:val="auto"/>
          <w:kern w:val="0"/>
          <w:highlight w:val="none"/>
        </w:rPr>
        <w:t>受料点，除尘总风量为16500m3/h。由于F4转运站距离2#高炉区域较远，靠近3#高炉矿槽除尘系统，考虑将F4转运站除尘接入到3#高炉矿槽主干管上，</w:t>
      </w:r>
      <w:r>
        <w:rPr>
          <w:rFonts w:hint="eastAsia"/>
          <w:color w:val="auto"/>
          <w:highlight w:val="none"/>
        </w:rPr>
        <w:t>接管管径D570x5</w:t>
      </w:r>
      <w:r>
        <w:rPr>
          <w:rFonts w:hint="eastAsia" w:cs="宋体"/>
          <w:snapToGrid w:val="0"/>
          <w:color w:val="auto"/>
          <w:kern w:val="0"/>
          <w:highlight w:val="none"/>
        </w:rPr>
        <w:t>，现有新3号高炉矿槽除尘器能力满足使用要求。</w:t>
      </w:r>
    </w:p>
    <w:p w14:paraId="43650773">
      <w:pPr>
        <w:shd w:val="clear"/>
        <w:ind w:firstLineChars="0"/>
        <w:outlineLvl w:val="2"/>
        <w:rPr>
          <w:rFonts w:cs="Times New Roman"/>
          <w:color w:val="auto"/>
          <w:szCs w:val="28"/>
          <w:highlight w:val="none"/>
        </w:rPr>
      </w:pPr>
      <w:bookmarkStart w:id="624" w:name="_Toc14417"/>
      <w:bookmarkStart w:id="625" w:name="_Toc20774"/>
      <w:bookmarkStart w:id="626" w:name="_Toc19983"/>
      <w:bookmarkStart w:id="627" w:name="_Toc9993"/>
      <w:bookmarkStart w:id="628" w:name="_Toc175920399"/>
      <w:r>
        <w:rPr>
          <w:rFonts w:hint="eastAsia" w:cs="Times New Roman"/>
          <w:color w:val="auto"/>
          <w:szCs w:val="28"/>
          <w:highlight w:val="none"/>
        </w:rPr>
        <w:t>7.4.6新烧结机配料室除尘灰仓</w:t>
      </w:r>
    </w:p>
    <w:p w14:paraId="36A29AA0">
      <w:pPr>
        <w:shd w:val="clear"/>
        <w:adjustRightInd w:val="0"/>
        <w:snapToGrid w:val="0"/>
        <w:rPr>
          <w:rFonts w:cs="宋体"/>
          <w:snapToGrid w:val="0"/>
          <w:color w:val="auto"/>
          <w:kern w:val="0"/>
          <w:highlight w:val="none"/>
        </w:rPr>
      </w:pPr>
      <w:r>
        <w:rPr>
          <w:rFonts w:hint="eastAsia" w:cs="宋体"/>
          <w:snapToGrid w:val="0"/>
          <w:color w:val="auto"/>
          <w:kern w:val="0"/>
          <w:highlight w:val="none"/>
        </w:rPr>
        <w:t>烧结配料室除尘灰仓增加两路从地面到仓顶的气力输送管路，每路管道都能输送到两个除尘灰仓，在分支处增加气动球阀，共增加4台气动球阀。</w:t>
      </w:r>
    </w:p>
    <w:p w14:paraId="1104C1B9">
      <w:pPr>
        <w:shd w:val="clear"/>
        <w:adjustRightInd w:val="0"/>
        <w:snapToGrid w:val="0"/>
        <w:rPr>
          <w:color w:val="auto"/>
          <w:highlight w:val="none"/>
        </w:rPr>
      </w:pPr>
      <w:r>
        <w:rPr>
          <w:rFonts w:hint="eastAsia" w:cs="宋体"/>
          <w:snapToGrid w:val="0"/>
          <w:color w:val="auto"/>
          <w:kern w:val="0"/>
          <w:highlight w:val="none"/>
        </w:rPr>
        <w:t>环境除尘灰需使用压缩空气输灰，气力输送管路吸排罐车接口旁边设置一路压缩空气管道、阀门，接口处设置法兰截止阀。重力除尘灰需使用氮气输灰，吸排罐车接口旁边增加一个氮气罐及管道、阀门，作为吸排罐车的气源。</w:t>
      </w:r>
    </w:p>
    <w:p w14:paraId="1FF7BA37">
      <w:pPr>
        <w:shd w:val="clear"/>
        <w:ind w:firstLine="0" w:firstLineChars="0"/>
        <w:outlineLvl w:val="1"/>
        <w:rPr>
          <w:rFonts w:cs="Times New Roman"/>
          <w:b/>
          <w:color w:val="auto"/>
          <w:sz w:val="28"/>
          <w:szCs w:val="28"/>
          <w:highlight w:val="none"/>
        </w:rPr>
      </w:pPr>
      <w:bookmarkStart w:id="629" w:name="_Toc440"/>
      <w:bookmarkStart w:id="630" w:name="_Toc19727"/>
      <w:r>
        <w:rPr>
          <w:rFonts w:hint="eastAsia" w:cs="Times New Roman"/>
          <w:b/>
          <w:color w:val="auto"/>
          <w:sz w:val="28"/>
          <w:szCs w:val="28"/>
          <w:highlight w:val="none"/>
        </w:rPr>
        <w:t>7.5通风空调设施</w:t>
      </w:r>
      <w:bookmarkEnd w:id="624"/>
      <w:bookmarkEnd w:id="625"/>
      <w:bookmarkEnd w:id="626"/>
      <w:bookmarkEnd w:id="627"/>
      <w:bookmarkEnd w:id="629"/>
      <w:bookmarkEnd w:id="630"/>
    </w:p>
    <w:bookmarkEnd w:id="628"/>
    <w:p w14:paraId="1717D62A">
      <w:pPr>
        <w:shd w:val="clear"/>
        <w:ind w:firstLineChars="0"/>
        <w:outlineLvl w:val="2"/>
        <w:rPr>
          <w:rFonts w:cs="Times New Roman"/>
          <w:color w:val="auto"/>
          <w:szCs w:val="28"/>
          <w:highlight w:val="none"/>
        </w:rPr>
      </w:pPr>
      <w:bookmarkStart w:id="631" w:name="_Toc11294"/>
      <w:r>
        <w:rPr>
          <w:rFonts w:hint="eastAsia" w:cs="Times New Roman"/>
          <w:color w:val="auto"/>
          <w:szCs w:val="28"/>
          <w:highlight w:val="none"/>
        </w:rPr>
        <w:t>7.5.1通风</w:t>
      </w:r>
      <w:bookmarkEnd w:id="631"/>
    </w:p>
    <w:p w14:paraId="07D9DA28">
      <w:pPr>
        <w:shd w:val="clear"/>
        <w:adjustRightInd w:val="0"/>
        <w:snapToGrid w:val="0"/>
        <w:rPr>
          <w:rFonts w:hint="eastAsia" w:cs="宋体"/>
          <w:snapToGrid w:val="0"/>
          <w:color w:val="auto"/>
          <w:kern w:val="0"/>
          <w:highlight w:val="none"/>
        </w:rPr>
      </w:pPr>
      <w:r>
        <w:rPr>
          <w:rFonts w:hint="eastAsia" w:cs="宋体"/>
          <w:snapToGrid w:val="0"/>
          <w:color w:val="auto"/>
          <w:kern w:val="0"/>
          <w:highlight w:val="none"/>
        </w:rPr>
        <w:t>新建的配电室、变频器、分析小屋是等房间采用自然进风、轴流风机机械排风的通风方式，已排除室内的余热。通风设备选用 T35-11 轴流风机。轴流风机兼作事故排风用。轴流风机与消防联锁。</w:t>
      </w:r>
    </w:p>
    <w:p w14:paraId="2F320B68">
      <w:pPr>
        <w:shd w:val="clear"/>
        <w:adjustRightInd w:val="0"/>
        <w:snapToGrid w:val="0"/>
        <w:rPr>
          <w:rFonts w:hint="default" w:eastAsia="宋体" w:cs="宋体"/>
          <w:snapToGrid w:val="0"/>
          <w:color w:val="auto"/>
          <w:kern w:val="0"/>
          <w:highlight w:val="none"/>
          <w:lang w:val="en-US" w:eastAsia="zh-CN"/>
        </w:rPr>
      </w:pPr>
      <w:r>
        <w:rPr>
          <w:rFonts w:hint="eastAsia" w:cs="宋体"/>
          <w:snapToGrid w:val="0"/>
          <w:color w:val="auto"/>
          <w:kern w:val="0"/>
          <w:highlight w:val="none"/>
          <w:lang w:val="en-US" w:eastAsia="zh-CN"/>
        </w:rPr>
        <w:t>变频器排气管排到室外，进风设置新风过滤系统。</w:t>
      </w:r>
    </w:p>
    <w:p w14:paraId="1AD140F1">
      <w:pPr>
        <w:shd w:val="clear"/>
        <w:spacing w:after="120"/>
        <w:ind w:firstLine="240" w:firstLineChars="100"/>
        <w:jc w:val="center"/>
        <w:rPr>
          <w:color w:val="auto"/>
          <w:highlight w:val="none"/>
        </w:rPr>
      </w:pPr>
      <w:r>
        <w:rPr>
          <w:color w:val="auto"/>
          <w:highlight w:val="none"/>
        </w:rPr>
        <w:t>表</w:t>
      </w:r>
      <w:r>
        <w:rPr>
          <w:rFonts w:hint="eastAsia"/>
          <w:color w:val="auto"/>
          <w:highlight w:val="none"/>
        </w:rPr>
        <w:t>7.5.1</w:t>
      </w:r>
      <w:r>
        <w:rPr>
          <w:color w:val="auto"/>
          <w:highlight w:val="none"/>
        </w:rPr>
        <w:t xml:space="preserve">    各建筑物通风设备选型表</w:t>
      </w:r>
    </w:p>
    <w:tbl>
      <w:tblPr>
        <w:tblStyle w:val="60"/>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2046"/>
        <w:gridCol w:w="1072"/>
        <w:gridCol w:w="2880"/>
        <w:gridCol w:w="709"/>
        <w:gridCol w:w="741"/>
        <w:gridCol w:w="773"/>
      </w:tblGrid>
      <w:tr w14:paraId="2B95C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34" w:type="dxa"/>
            <w:vMerge w:val="restart"/>
            <w:vAlign w:val="center"/>
          </w:tcPr>
          <w:p w14:paraId="207E16CF">
            <w:pPr>
              <w:widowControl/>
              <w:shd w:val="clear"/>
              <w:adjustRightInd w:val="0"/>
              <w:snapToGrid w:val="0"/>
              <w:spacing w:line="240" w:lineRule="auto"/>
              <w:ind w:firstLine="0" w:firstLineChars="0"/>
              <w:jc w:val="center"/>
              <w:rPr>
                <w:color w:val="auto"/>
                <w:sz w:val="21"/>
                <w:szCs w:val="21"/>
                <w:highlight w:val="none"/>
              </w:rPr>
            </w:pPr>
            <w:r>
              <w:rPr>
                <w:color w:val="auto"/>
                <w:sz w:val="21"/>
                <w:szCs w:val="21"/>
                <w:highlight w:val="none"/>
              </w:rPr>
              <w:t>序</w:t>
            </w:r>
          </w:p>
          <w:p w14:paraId="51ECA103">
            <w:pPr>
              <w:widowControl/>
              <w:shd w:val="clear"/>
              <w:adjustRightInd w:val="0"/>
              <w:snapToGrid w:val="0"/>
              <w:spacing w:line="240" w:lineRule="auto"/>
              <w:ind w:firstLine="0" w:firstLineChars="0"/>
              <w:jc w:val="center"/>
              <w:rPr>
                <w:color w:val="auto"/>
                <w:sz w:val="21"/>
                <w:szCs w:val="21"/>
                <w:highlight w:val="none"/>
              </w:rPr>
            </w:pPr>
            <w:r>
              <w:rPr>
                <w:color w:val="auto"/>
                <w:sz w:val="21"/>
                <w:szCs w:val="21"/>
                <w:highlight w:val="none"/>
              </w:rPr>
              <w:t>号</w:t>
            </w:r>
          </w:p>
        </w:tc>
        <w:tc>
          <w:tcPr>
            <w:tcW w:w="2046" w:type="dxa"/>
            <w:vMerge w:val="restart"/>
            <w:vAlign w:val="center"/>
          </w:tcPr>
          <w:p w14:paraId="25C712C1">
            <w:pPr>
              <w:widowControl/>
              <w:shd w:val="clear"/>
              <w:adjustRightInd w:val="0"/>
              <w:snapToGrid w:val="0"/>
              <w:spacing w:line="240" w:lineRule="auto"/>
              <w:ind w:firstLine="0" w:firstLineChars="0"/>
              <w:jc w:val="center"/>
              <w:rPr>
                <w:color w:val="auto"/>
                <w:sz w:val="21"/>
                <w:szCs w:val="21"/>
                <w:highlight w:val="none"/>
              </w:rPr>
            </w:pPr>
            <w:r>
              <w:rPr>
                <w:color w:val="auto"/>
                <w:sz w:val="21"/>
                <w:szCs w:val="21"/>
                <w:highlight w:val="none"/>
              </w:rPr>
              <w:t>建筑名称</w:t>
            </w:r>
          </w:p>
        </w:tc>
        <w:tc>
          <w:tcPr>
            <w:tcW w:w="1072" w:type="dxa"/>
            <w:vMerge w:val="restart"/>
            <w:vAlign w:val="center"/>
          </w:tcPr>
          <w:p w14:paraId="220FDDF4">
            <w:pPr>
              <w:widowControl/>
              <w:shd w:val="clear"/>
              <w:adjustRightInd w:val="0"/>
              <w:snapToGrid w:val="0"/>
              <w:spacing w:line="240" w:lineRule="auto"/>
              <w:ind w:firstLine="0" w:firstLineChars="0"/>
              <w:jc w:val="center"/>
              <w:rPr>
                <w:color w:val="auto"/>
                <w:sz w:val="21"/>
                <w:szCs w:val="21"/>
                <w:highlight w:val="none"/>
              </w:rPr>
            </w:pPr>
            <w:r>
              <w:rPr>
                <w:color w:val="auto"/>
                <w:sz w:val="21"/>
                <w:szCs w:val="21"/>
                <w:highlight w:val="none"/>
              </w:rPr>
              <w:t>设备名称</w:t>
            </w:r>
          </w:p>
        </w:tc>
        <w:tc>
          <w:tcPr>
            <w:tcW w:w="2880" w:type="dxa"/>
            <w:vMerge w:val="restart"/>
            <w:vAlign w:val="center"/>
          </w:tcPr>
          <w:p w14:paraId="53A25E2D">
            <w:pPr>
              <w:widowControl/>
              <w:shd w:val="clear"/>
              <w:adjustRightInd w:val="0"/>
              <w:snapToGrid w:val="0"/>
              <w:spacing w:line="240" w:lineRule="auto"/>
              <w:ind w:firstLine="0" w:firstLineChars="0"/>
              <w:jc w:val="center"/>
              <w:rPr>
                <w:color w:val="auto"/>
                <w:sz w:val="21"/>
                <w:szCs w:val="21"/>
                <w:highlight w:val="none"/>
              </w:rPr>
            </w:pPr>
            <w:r>
              <w:rPr>
                <w:color w:val="auto"/>
                <w:sz w:val="21"/>
                <w:szCs w:val="21"/>
                <w:highlight w:val="none"/>
              </w:rPr>
              <w:t>型号规格</w:t>
            </w:r>
          </w:p>
        </w:tc>
        <w:tc>
          <w:tcPr>
            <w:tcW w:w="709" w:type="dxa"/>
            <w:vAlign w:val="center"/>
          </w:tcPr>
          <w:p w14:paraId="6C881A9A">
            <w:pPr>
              <w:widowControl/>
              <w:shd w:val="clear"/>
              <w:adjustRightInd w:val="0"/>
              <w:snapToGrid w:val="0"/>
              <w:spacing w:line="240" w:lineRule="auto"/>
              <w:ind w:firstLine="0" w:firstLineChars="0"/>
              <w:jc w:val="center"/>
              <w:rPr>
                <w:color w:val="auto"/>
                <w:sz w:val="21"/>
                <w:szCs w:val="21"/>
                <w:highlight w:val="none"/>
              </w:rPr>
            </w:pPr>
            <w:r>
              <w:rPr>
                <w:color w:val="auto"/>
                <w:sz w:val="21"/>
                <w:szCs w:val="21"/>
                <w:highlight w:val="none"/>
              </w:rPr>
              <w:t>数量</w:t>
            </w:r>
          </w:p>
        </w:tc>
        <w:tc>
          <w:tcPr>
            <w:tcW w:w="741" w:type="dxa"/>
            <w:vAlign w:val="center"/>
          </w:tcPr>
          <w:p w14:paraId="318314EB">
            <w:pPr>
              <w:widowControl/>
              <w:shd w:val="clear"/>
              <w:adjustRightInd w:val="0"/>
              <w:snapToGrid w:val="0"/>
              <w:spacing w:line="240" w:lineRule="auto"/>
              <w:ind w:firstLine="0" w:firstLineChars="0"/>
              <w:jc w:val="center"/>
              <w:rPr>
                <w:color w:val="auto"/>
                <w:sz w:val="21"/>
                <w:szCs w:val="21"/>
                <w:highlight w:val="none"/>
              </w:rPr>
            </w:pPr>
            <w:r>
              <w:rPr>
                <w:color w:val="auto"/>
                <w:sz w:val="21"/>
                <w:szCs w:val="21"/>
                <w:highlight w:val="none"/>
              </w:rPr>
              <w:t>功率</w:t>
            </w:r>
          </w:p>
        </w:tc>
        <w:tc>
          <w:tcPr>
            <w:tcW w:w="773" w:type="dxa"/>
            <w:vAlign w:val="center"/>
          </w:tcPr>
          <w:p w14:paraId="182697FB">
            <w:pPr>
              <w:widowControl/>
              <w:shd w:val="clear"/>
              <w:adjustRightInd w:val="0"/>
              <w:snapToGrid w:val="0"/>
              <w:spacing w:line="240" w:lineRule="auto"/>
              <w:ind w:firstLine="0" w:firstLineChars="0"/>
              <w:jc w:val="center"/>
              <w:rPr>
                <w:color w:val="auto"/>
                <w:sz w:val="21"/>
                <w:szCs w:val="21"/>
                <w:highlight w:val="none"/>
              </w:rPr>
            </w:pPr>
            <w:r>
              <w:rPr>
                <w:color w:val="auto"/>
                <w:sz w:val="21"/>
                <w:szCs w:val="21"/>
                <w:highlight w:val="none"/>
              </w:rPr>
              <w:t>电压</w:t>
            </w:r>
          </w:p>
        </w:tc>
      </w:tr>
      <w:tr w14:paraId="655BD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34" w:type="dxa"/>
            <w:vMerge w:val="continue"/>
            <w:vAlign w:val="center"/>
          </w:tcPr>
          <w:p w14:paraId="04A84EE7">
            <w:pPr>
              <w:widowControl/>
              <w:shd w:val="clear"/>
              <w:adjustRightInd w:val="0"/>
              <w:snapToGrid w:val="0"/>
              <w:spacing w:line="240" w:lineRule="auto"/>
              <w:ind w:firstLine="0" w:firstLineChars="0"/>
              <w:rPr>
                <w:color w:val="auto"/>
                <w:sz w:val="21"/>
                <w:szCs w:val="21"/>
                <w:highlight w:val="none"/>
              </w:rPr>
            </w:pPr>
          </w:p>
        </w:tc>
        <w:tc>
          <w:tcPr>
            <w:tcW w:w="2046" w:type="dxa"/>
            <w:vMerge w:val="continue"/>
            <w:vAlign w:val="center"/>
          </w:tcPr>
          <w:p w14:paraId="0B20CFA1">
            <w:pPr>
              <w:widowControl/>
              <w:shd w:val="clear"/>
              <w:adjustRightInd w:val="0"/>
              <w:snapToGrid w:val="0"/>
              <w:spacing w:line="240" w:lineRule="auto"/>
              <w:ind w:firstLine="0" w:firstLineChars="0"/>
              <w:rPr>
                <w:color w:val="auto"/>
                <w:sz w:val="21"/>
                <w:szCs w:val="21"/>
                <w:highlight w:val="none"/>
              </w:rPr>
            </w:pPr>
          </w:p>
        </w:tc>
        <w:tc>
          <w:tcPr>
            <w:tcW w:w="1072" w:type="dxa"/>
            <w:vMerge w:val="continue"/>
            <w:vAlign w:val="center"/>
          </w:tcPr>
          <w:p w14:paraId="4CBC608C">
            <w:pPr>
              <w:widowControl/>
              <w:shd w:val="clear"/>
              <w:adjustRightInd w:val="0"/>
              <w:snapToGrid w:val="0"/>
              <w:spacing w:line="240" w:lineRule="auto"/>
              <w:ind w:firstLine="0" w:firstLineChars="0"/>
              <w:rPr>
                <w:color w:val="auto"/>
                <w:sz w:val="21"/>
                <w:szCs w:val="21"/>
                <w:highlight w:val="none"/>
              </w:rPr>
            </w:pPr>
          </w:p>
        </w:tc>
        <w:tc>
          <w:tcPr>
            <w:tcW w:w="2880" w:type="dxa"/>
            <w:vMerge w:val="continue"/>
            <w:vAlign w:val="center"/>
          </w:tcPr>
          <w:p w14:paraId="273E947D">
            <w:pPr>
              <w:widowControl/>
              <w:shd w:val="clear"/>
              <w:adjustRightInd w:val="0"/>
              <w:snapToGrid w:val="0"/>
              <w:spacing w:line="240" w:lineRule="auto"/>
              <w:ind w:firstLine="0" w:firstLineChars="0"/>
              <w:rPr>
                <w:color w:val="auto"/>
                <w:sz w:val="21"/>
                <w:szCs w:val="21"/>
                <w:highlight w:val="none"/>
              </w:rPr>
            </w:pPr>
          </w:p>
        </w:tc>
        <w:tc>
          <w:tcPr>
            <w:tcW w:w="709" w:type="dxa"/>
            <w:vAlign w:val="center"/>
          </w:tcPr>
          <w:p w14:paraId="04598C31">
            <w:pPr>
              <w:widowControl/>
              <w:shd w:val="clear"/>
              <w:adjustRightInd w:val="0"/>
              <w:snapToGrid w:val="0"/>
              <w:spacing w:line="240" w:lineRule="auto"/>
              <w:ind w:firstLine="0" w:firstLineChars="0"/>
              <w:rPr>
                <w:color w:val="auto"/>
                <w:sz w:val="21"/>
                <w:szCs w:val="21"/>
                <w:highlight w:val="none"/>
              </w:rPr>
            </w:pPr>
            <w:r>
              <w:rPr>
                <w:color w:val="auto"/>
                <w:sz w:val="21"/>
                <w:szCs w:val="21"/>
                <w:highlight w:val="none"/>
              </w:rPr>
              <w:t>台</w:t>
            </w:r>
          </w:p>
        </w:tc>
        <w:tc>
          <w:tcPr>
            <w:tcW w:w="741" w:type="dxa"/>
            <w:vAlign w:val="center"/>
          </w:tcPr>
          <w:p w14:paraId="046BE092">
            <w:pPr>
              <w:widowControl/>
              <w:shd w:val="clear"/>
              <w:adjustRightInd w:val="0"/>
              <w:snapToGrid w:val="0"/>
              <w:spacing w:line="240" w:lineRule="auto"/>
              <w:ind w:firstLine="0" w:firstLineChars="0"/>
              <w:rPr>
                <w:color w:val="auto"/>
                <w:sz w:val="21"/>
                <w:szCs w:val="21"/>
                <w:highlight w:val="none"/>
              </w:rPr>
            </w:pPr>
            <w:r>
              <w:rPr>
                <w:color w:val="auto"/>
                <w:sz w:val="21"/>
                <w:szCs w:val="21"/>
                <w:highlight w:val="none"/>
              </w:rPr>
              <w:t>kW</w:t>
            </w:r>
          </w:p>
        </w:tc>
        <w:tc>
          <w:tcPr>
            <w:tcW w:w="773" w:type="dxa"/>
            <w:vAlign w:val="center"/>
          </w:tcPr>
          <w:p w14:paraId="40181872">
            <w:pPr>
              <w:widowControl/>
              <w:shd w:val="clear"/>
              <w:adjustRightInd w:val="0"/>
              <w:snapToGrid w:val="0"/>
              <w:spacing w:line="240" w:lineRule="auto"/>
              <w:ind w:firstLine="0" w:firstLineChars="0"/>
              <w:jc w:val="center"/>
              <w:rPr>
                <w:color w:val="auto"/>
                <w:sz w:val="21"/>
                <w:szCs w:val="21"/>
                <w:highlight w:val="none"/>
              </w:rPr>
            </w:pPr>
            <w:r>
              <w:rPr>
                <w:color w:val="auto"/>
                <w:sz w:val="21"/>
                <w:szCs w:val="21"/>
                <w:highlight w:val="none"/>
              </w:rPr>
              <w:t>V</w:t>
            </w:r>
          </w:p>
        </w:tc>
      </w:tr>
      <w:tr w14:paraId="0EABA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4" w:type="dxa"/>
            <w:vAlign w:val="center"/>
          </w:tcPr>
          <w:p w14:paraId="4B0FF893">
            <w:pPr>
              <w:widowControl/>
              <w:shd w:val="clear"/>
              <w:adjustRightInd w:val="0"/>
              <w:snapToGrid w:val="0"/>
              <w:spacing w:line="240" w:lineRule="auto"/>
              <w:ind w:firstLine="0" w:firstLineChars="0"/>
              <w:jc w:val="center"/>
              <w:rPr>
                <w:color w:val="auto"/>
                <w:sz w:val="21"/>
                <w:szCs w:val="21"/>
                <w:highlight w:val="none"/>
              </w:rPr>
            </w:pPr>
            <w:r>
              <w:rPr>
                <w:color w:val="auto"/>
                <w:sz w:val="21"/>
                <w:szCs w:val="21"/>
                <w:highlight w:val="none"/>
              </w:rPr>
              <w:t>1</w:t>
            </w:r>
          </w:p>
        </w:tc>
        <w:tc>
          <w:tcPr>
            <w:tcW w:w="2046" w:type="dxa"/>
            <w:vAlign w:val="center"/>
          </w:tcPr>
          <w:p w14:paraId="50985F7C">
            <w:pPr>
              <w:widowControl/>
              <w:shd w:val="clea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出铁场封闭平台封闭罩</w:t>
            </w:r>
          </w:p>
        </w:tc>
        <w:tc>
          <w:tcPr>
            <w:tcW w:w="1072" w:type="dxa"/>
            <w:vAlign w:val="center"/>
          </w:tcPr>
          <w:p w14:paraId="06E8C13F">
            <w:pPr>
              <w:widowControl/>
              <w:shd w:val="clea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移动式轴流通风机</w:t>
            </w:r>
          </w:p>
        </w:tc>
        <w:tc>
          <w:tcPr>
            <w:tcW w:w="2880" w:type="dxa"/>
            <w:vAlign w:val="center"/>
          </w:tcPr>
          <w:p w14:paraId="7C9AC1F4">
            <w:pPr>
              <w:widowControl/>
              <w:shd w:val="clea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034-11/12 No07 ；转速：1450r/min；风量：13000m</w:t>
            </w:r>
            <w:r>
              <w:rPr>
                <w:rFonts w:hint="eastAsia"/>
                <w:color w:val="auto"/>
                <w:sz w:val="21"/>
                <w:szCs w:val="21"/>
                <w:highlight w:val="none"/>
                <w:vertAlign w:val="superscript"/>
              </w:rPr>
              <w:t>3</w:t>
            </w:r>
            <w:r>
              <w:rPr>
                <w:rFonts w:hint="eastAsia"/>
                <w:color w:val="auto"/>
                <w:sz w:val="21"/>
                <w:szCs w:val="21"/>
                <w:highlight w:val="none"/>
              </w:rPr>
              <w:t>/h，全压：100Pa</w:t>
            </w:r>
          </w:p>
        </w:tc>
        <w:tc>
          <w:tcPr>
            <w:tcW w:w="709" w:type="dxa"/>
            <w:vAlign w:val="center"/>
          </w:tcPr>
          <w:p w14:paraId="2B8C7604">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2</w:t>
            </w:r>
          </w:p>
        </w:tc>
        <w:tc>
          <w:tcPr>
            <w:tcW w:w="741" w:type="dxa"/>
            <w:vAlign w:val="center"/>
          </w:tcPr>
          <w:p w14:paraId="52A00561">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3</w:t>
            </w:r>
          </w:p>
        </w:tc>
        <w:tc>
          <w:tcPr>
            <w:tcW w:w="773" w:type="dxa"/>
            <w:vAlign w:val="center"/>
          </w:tcPr>
          <w:p w14:paraId="31168DFF">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380</w:t>
            </w:r>
          </w:p>
        </w:tc>
      </w:tr>
      <w:tr w14:paraId="1BC10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4" w:type="dxa"/>
            <w:vAlign w:val="center"/>
          </w:tcPr>
          <w:p w14:paraId="65FB7869">
            <w:pPr>
              <w:widowControl/>
              <w:shd w:val="clear"/>
              <w:adjustRightInd w:val="0"/>
              <w:snapToGrid w:val="0"/>
              <w:spacing w:line="240" w:lineRule="auto"/>
              <w:ind w:firstLine="0" w:firstLineChars="0"/>
              <w:jc w:val="center"/>
              <w:rPr>
                <w:color w:val="auto"/>
                <w:sz w:val="21"/>
                <w:szCs w:val="21"/>
                <w:highlight w:val="none"/>
              </w:rPr>
            </w:pPr>
            <w:r>
              <w:rPr>
                <w:color w:val="auto"/>
                <w:sz w:val="21"/>
                <w:szCs w:val="21"/>
                <w:highlight w:val="none"/>
              </w:rPr>
              <w:t>2　</w:t>
            </w:r>
          </w:p>
        </w:tc>
        <w:tc>
          <w:tcPr>
            <w:tcW w:w="2046" w:type="dxa"/>
            <w:vAlign w:val="center"/>
          </w:tcPr>
          <w:p w14:paraId="4B7C10BB">
            <w:pPr>
              <w:widowControl/>
              <w:shd w:val="clea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新建出铁场除尘电气室</w:t>
            </w:r>
          </w:p>
        </w:tc>
        <w:tc>
          <w:tcPr>
            <w:tcW w:w="1072" w:type="dxa"/>
            <w:vAlign w:val="center"/>
          </w:tcPr>
          <w:p w14:paraId="65F12C8A">
            <w:pPr>
              <w:widowControl/>
              <w:shd w:val="clea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轴流风机</w:t>
            </w:r>
          </w:p>
        </w:tc>
        <w:tc>
          <w:tcPr>
            <w:tcW w:w="2880" w:type="dxa"/>
            <w:vAlign w:val="center"/>
          </w:tcPr>
          <w:p w14:paraId="69769109">
            <w:pPr>
              <w:widowControl/>
              <w:shd w:val="clea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T35-11NO5.0；转速：1450r/min；风量：7237m</w:t>
            </w:r>
            <w:r>
              <w:rPr>
                <w:rFonts w:hint="eastAsia"/>
                <w:color w:val="auto"/>
                <w:sz w:val="21"/>
                <w:szCs w:val="21"/>
                <w:highlight w:val="none"/>
                <w:vertAlign w:val="superscript"/>
              </w:rPr>
              <w:t>3</w:t>
            </w:r>
            <w:r>
              <w:rPr>
                <w:rFonts w:hint="eastAsia"/>
                <w:color w:val="auto"/>
                <w:sz w:val="21"/>
                <w:szCs w:val="21"/>
                <w:highlight w:val="none"/>
              </w:rPr>
              <w:t>/h，H=129.6Pa，</w:t>
            </w:r>
          </w:p>
        </w:tc>
        <w:tc>
          <w:tcPr>
            <w:tcW w:w="709" w:type="dxa"/>
            <w:vAlign w:val="center"/>
          </w:tcPr>
          <w:p w14:paraId="1D4EAF9C">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6</w:t>
            </w:r>
          </w:p>
        </w:tc>
        <w:tc>
          <w:tcPr>
            <w:tcW w:w="741" w:type="dxa"/>
            <w:vAlign w:val="center"/>
          </w:tcPr>
          <w:p w14:paraId="57917EAB">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0.55</w:t>
            </w:r>
          </w:p>
        </w:tc>
        <w:tc>
          <w:tcPr>
            <w:tcW w:w="773" w:type="dxa"/>
            <w:vAlign w:val="center"/>
          </w:tcPr>
          <w:p w14:paraId="758F15E4">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380</w:t>
            </w:r>
          </w:p>
        </w:tc>
      </w:tr>
      <w:tr w14:paraId="5FE63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4" w:type="dxa"/>
            <w:vAlign w:val="center"/>
          </w:tcPr>
          <w:p w14:paraId="639B5D8A">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6</w:t>
            </w:r>
          </w:p>
        </w:tc>
        <w:tc>
          <w:tcPr>
            <w:tcW w:w="2046" w:type="dxa"/>
            <w:vAlign w:val="center"/>
          </w:tcPr>
          <w:p w14:paraId="664A8435">
            <w:pPr>
              <w:widowControl/>
              <w:shd w:val="clea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新建出铁场除尘分析小室</w:t>
            </w:r>
          </w:p>
        </w:tc>
        <w:tc>
          <w:tcPr>
            <w:tcW w:w="1072" w:type="dxa"/>
            <w:vAlign w:val="center"/>
          </w:tcPr>
          <w:p w14:paraId="5FCD3BC8">
            <w:pPr>
              <w:widowControl/>
              <w:shd w:val="clea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轴流风机</w:t>
            </w:r>
          </w:p>
        </w:tc>
        <w:tc>
          <w:tcPr>
            <w:tcW w:w="2880" w:type="dxa"/>
            <w:vAlign w:val="center"/>
          </w:tcPr>
          <w:p w14:paraId="7CA3297F">
            <w:pPr>
              <w:widowControl/>
              <w:shd w:val="clea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T35-11№2.8；转速：1450r/min；风量：1133m</w:t>
            </w:r>
            <w:r>
              <w:rPr>
                <w:rFonts w:hint="eastAsia"/>
                <w:color w:val="auto"/>
                <w:sz w:val="21"/>
                <w:szCs w:val="21"/>
                <w:highlight w:val="none"/>
                <w:vertAlign w:val="superscript"/>
              </w:rPr>
              <w:t>3</w:t>
            </w:r>
            <w:r>
              <w:rPr>
                <w:rFonts w:hint="eastAsia"/>
                <w:color w:val="auto"/>
                <w:sz w:val="21"/>
                <w:szCs w:val="21"/>
                <w:highlight w:val="none"/>
              </w:rPr>
              <w:t>/h；全压35.7Pa</w:t>
            </w:r>
          </w:p>
        </w:tc>
        <w:tc>
          <w:tcPr>
            <w:tcW w:w="709" w:type="dxa"/>
            <w:vAlign w:val="center"/>
          </w:tcPr>
          <w:p w14:paraId="7D9CC0DF">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1</w:t>
            </w:r>
          </w:p>
        </w:tc>
        <w:tc>
          <w:tcPr>
            <w:tcW w:w="741" w:type="dxa"/>
            <w:vAlign w:val="center"/>
          </w:tcPr>
          <w:p w14:paraId="18C4CDB2">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0.025</w:t>
            </w:r>
          </w:p>
        </w:tc>
        <w:tc>
          <w:tcPr>
            <w:tcW w:w="773" w:type="dxa"/>
            <w:vAlign w:val="center"/>
          </w:tcPr>
          <w:p w14:paraId="172DC59C">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220</w:t>
            </w:r>
          </w:p>
        </w:tc>
      </w:tr>
      <w:tr w14:paraId="71D42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4" w:type="dxa"/>
            <w:vAlign w:val="center"/>
          </w:tcPr>
          <w:p w14:paraId="193A5C80">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7</w:t>
            </w:r>
            <w:r>
              <w:rPr>
                <w:color w:val="auto"/>
                <w:sz w:val="21"/>
                <w:szCs w:val="21"/>
                <w:highlight w:val="none"/>
              </w:rPr>
              <w:t>　</w:t>
            </w:r>
          </w:p>
        </w:tc>
        <w:tc>
          <w:tcPr>
            <w:tcW w:w="2046" w:type="dxa"/>
            <w:vAlign w:val="center"/>
          </w:tcPr>
          <w:p w14:paraId="1CEA66EA">
            <w:pPr>
              <w:widowControl/>
              <w:shd w:val="clea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矿槽除尘系统（槽上+碎焦筛分）除尘分析小室</w:t>
            </w:r>
          </w:p>
        </w:tc>
        <w:tc>
          <w:tcPr>
            <w:tcW w:w="1072" w:type="dxa"/>
            <w:vAlign w:val="center"/>
          </w:tcPr>
          <w:p w14:paraId="13BCE3CE">
            <w:pPr>
              <w:widowControl/>
              <w:shd w:val="clea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轴流风机</w:t>
            </w:r>
          </w:p>
        </w:tc>
        <w:tc>
          <w:tcPr>
            <w:tcW w:w="2880" w:type="dxa"/>
            <w:vAlign w:val="center"/>
          </w:tcPr>
          <w:p w14:paraId="3C884EC5">
            <w:pPr>
              <w:widowControl/>
              <w:shd w:val="clea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T35-11№2.8；转速：1450r/min；风量：1133m</w:t>
            </w:r>
            <w:r>
              <w:rPr>
                <w:rFonts w:hint="eastAsia"/>
                <w:color w:val="auto"/>
                <w:sz w:val="21"/>
                <w:szCs w:val="21"/>
                <w:highlight w:val="none"/>
                <w:vertAlign w:val="superscript"/>
              </w:rPr>
              <w:t>3</w:t>
            </w:r>
            <w:r>
              <w:rPr>
                <w:rFonts w:hint="eastAsia"/>
                <w:color w:val="auto"/>
                <w:sz w:val="21"/>
                <w:szCs w:val="21"/>
                <w:highlight w:val="none"/>
              </w:rPr>
              <w:t>/h；全压35.7Pa</w:t>
            </w:r>
          </w:p>
        </w:tc>
        <w:tc>
          <w:tcPr>
            <w:tcW w:w="709" w:type="dxa"/>
            <w:vAlign w:val="center"/>
          </w:tcPr>
          <w:p w14:paraId="118DAED8">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1</w:t>
            </w:r>
          </w:p>
        </w:tc>
        <w:tc>
          <w:tcPr>
            <w:tcW w:w="741" w:type="dxa"/>
            <w:vAlign w:val="center"/>
          </w:tcPr>
          <w:p w14:paraId="53D8DEA1">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0.025</w:t>
            </w:r>
          </w:p>
        </w:tc>
        <w:tc>
          <w:tcPr>
            <w:tcW w:w="773" w:type="dxa"/>
            <w:vAlign w:val="center"/>
          </w:tcPr>
          <w:p w14:paraId="68EA5E9D">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220</w:t>
            </w:r>
          </w:p>
        </w:tc>
      </w:tr>
      <w:tr w14:paraId="7E732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4" w:type="dxa"/>
            <w:vAlign w:val="center"/>
          </w:tcPr>
          <w:p w14:paraId="75673588">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8</w:t>
            </w:r>
            <w:r>
              <w:rPr>
                <w:color w:val="auto"/>
                <w:sz w:val="21"/>
                <w:szCs w:val="21"/>
                <w:highlight w:val="none"/>
              </w:rPr>
              <w:t>　</w:t>
            </w:r>
          </w:p>
        </w:tc>
        <w:tc>
          <w:tcPr>
            <w:tcW w:w="2046" w:type="dxa"/>
            <w:vAlign w:val="center"/>
          </w:tcPr>
          <w:p w14:paraId="705E44FB">
            <w:pPr>
              <w:widowControl/>
              <w:shd w:val="clea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地沟除尘系统（槽下+返矿转运）除尘分析小室</w:t>
            </w:r>
          </w:p>
        </w:tc>
        <w:tc>
          <w:tcPr>
            <w:tcW w:w="1072" w:type="dxa"/>
            <w:vAlign w:val="center"/>
          </w:tcPr>
          <w:p w14:paraId="7AFC8A86">
            <w:pPr>
              <w:widowControl/>
              <w:shd w:val="clea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轴流风机</w:t>
            </w:r>
          </w:p>
        </w:tc>
        <w:tc>
          <w:tcPr>
            <w:tcW w:w="2880" w:type="dxa"/>
            <w:vAlign w:val="center"/>
          </w:tcPr>
          <w:p w14:paraId="7C57FC98">
            <w:pPr>
              <w:widowControl/>
              <w:shd w:val="clea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T35-11№2.8；转速：1450r/min；风量：1133m</w:t>
            </w:r>
            <w:r>
              <w:rPr>
                <w:rFonts w:hint="eastAsia"/>
                <w:color w:val="auto"/>
                <w:sz w:val="21"/>
                <w:szCs w:val="21"/>
                <w:highlight w:val="none"/>
                <w:vertAlign w:val="superscript"/>
              </w:rPr>
              <w:t>3</w:t>
            </w:r>
            <w:r>
              <w:rPr>
                <w:rFonts w:hint="eastAsia"/>
                <w:color w:val="auto"/>
                <w:sz w:val="21"/>
                <w:szCs w:val="21"/>
                <w:highlight w:val="none"/>
              </w:rPr>
              <w:t>/h；全压35.7Pa</w:t>
            </w:r>
          </w:p>
        </w:tc>
        <w:tc>
          <w:tcPr>
            <w:tcW w:w="709" w:type="dxa"/>
            <w:vAlign w:val="center"/>
          </w:tcPr>
          <w:p w14:paraId="0A81BE7C">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1</w:t>
            </w:r>
          </w:p>
        </w:tc>
        <w:tc>
          <w:tcPr>
            <w:tcW w:w="741" w:type="dxa"/>
            <w:vAlign w:val="center"/>
          </w:tcPr>
          <w:p w14:paraId="57C40055">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0.025</w:t>
            </w:r>
          </w:p>
        </w:tc>
        <w:tc>
          <w:tcPr>
            <w:tcW w:w="773" w:type="dxa"/>
            <w:vAlign w:val="center"/>
          </w:tcPr>
          <w:p w14:paraId="58213343">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220</w:t>
            </w:r>
          </w:p>
        </w:tc>
      </w:tr>
    </w:tbl>
    <w:p w14:paraId="36C259FC">
      <w:pPr>
        <w:shd w:val="clear"/>
        <w:rPr>
          <w:color w:val="auto"/>
          <w:highlight w:val="none"/>
        </w:rPr>
      </w:pPr>
    </w:p>
    <w:p w14:paraId="0968AB9F">
      <w:pPr>
        <w:shd w:val="clear"/>
        <w:ind w:firstLineChars="0"/>
        <w:outlineLvl w:val="2"/>
        <w:rPr>
          <w:rFonts w:cs="Times New Roman"/>
          <w:color w:val="auto"/>
          <w:szCs w:val="28"/>
          <w:highlight w:val="none"/>
        </w:rPr>
      </w:pPr>
      <w:bookmarkStart w:id="632" w:name="_Toc4456"/>
      <w:r>
        <w:rPr>
          <w:rFonts w:hint="eastAsia" w:cs="Times New Roman"/>
          <w:color w:val="auto"/>
          <w:szCs w:val="28"/>
          <w:highlight w:val="none"/>
        </w:rPr>
        <w:t>7.5.2空调</w:t>
      </w:r>
      <w:bookmarkEnd w:id="632"/>
    </w:p>
    <w:p w14:paraId="4E8C6328">
      <w:pPr>
        <w:shd w:val="clear"/>
        <w:rPr>
          <w:color w:val="auto"/>
          <w:highlight w:val="none"/>
        </w:rPr>
      </w:pPr>
      <w:r>
        <w:rPr>
          <w:rFonts w:hint="eastAsia"/>
          <w:color w:val="auto"/>
          <w:highlight w:val="none"/>
        </w:rPr>
        <w:t>新建的分析小屋等按照工艺要求设置空调，</w:t>
      </w:r>
      <w:r>
        <w:rPr>
          <w:color w:val="auto"/>
          <w:highlight w:val="none"/>
        </w:rPr>
        <w:t>安装空调和采暖设备，室内温度应保持在 15-30℃，相对湿度应≤60%，空调具有来电自动重启功能</w:t>
      </w:r>
      <w:r>
        <w:rPr>
          <w:rFonts w:cs="Cambria Math"/>
          <w:color w:val="auto"/>
          <w:highlight w:val="none"/>
          <w:u w:color="000000"/>
        </w:rPr>
        <w:t>。</w:t>
      </w:r>
      <w:r>
        <w:rPr>
          <w:rFonts w:hint="eastAsia" w:cs="Cambria Math"/>
          <w:color w:val="auto"/>
          <w:highlight w:val="none"/>
          <w:u w:color="000000"/>
        </w:rPr>
        <w:t>新建的</w:t>
      </w:r>
      <w:r>
        <w:rPr>
          <w:rFonts w:hint="eastAsia"/>
          <w:color w:val="auto"/>
          <w:highlight w:val="none"/>
        </w:rPr>
        <w:t>低压配电及</w:t>
      </w:r>
      <w:r>
        <w:rPr>
          <w:color w:val="auto"/>
          <w:highlight w:val="none"/>
        </w:rPr>
        <w:t>PLC室</w:t>
      </w:r>
      <w:r>
        <w:rPr>
          <w:rFonts w:hint="eastAsia"/>
          <w:color w:val="auto"/>
          <w:highlight w:val="none"/>
        </w:rPr>
        <w:t>、变频器室等按照工艺要求设置冷暖空调，用于排除室内余热，保持室内工作区夏季温度≤32℃，改善设备工作环境。</w:t>
      </w:r>
    </w:p>
    <w:p w14:paraId="6F2F2A74">
      <w:pPr>
        <w:shd w:val="clear"/>
        <w:rPr>
          <w:rFonts w:cs="Cambria Math"/>
          <w:color w:val="auto"/>
          <w:highlight w:val="none"/>
        </w:rPr>
      </w:pPr>
      <w:r>
        <w:rPr>
          <w:rFonts w:hint="eastAsia" w:cs="Cambria Math"/>
          <w:color w:val="auto"/>
          <w:highlight w:val="none"/>
        </w:rPr>
        <w:t>所有空调设备与消防进行联锁。</w:t>
      </w:r>
    </w:p>
    <w:bookmarkEnd w:id="582"/>
    <w:bookmarkEnd w:id="583"/>
    <w:bookmarkEnd w:id="584"/>
    <w:bookmarkEnd w:id="585"/>
    <w:p w14:paraId="44117734">
      <w:pPr>
        <w:shd w:val="clear"/>
        <w:spacing w:after="120"/>
        <w:ind w:firstLine="240" w:firstLineChars="100"/>
        <w:jc w:val="center"/>
        <w:rPr>
          <w:color w:val="auto"/>
          <w:sz w:val="21"/>
          <w:highlight w:val="none"/>
        </w:rPr>
      </w:pPr>
      <w:r>
        <w:rPr>
          <w:color w:val="auto"/>
          <w:highlight w:val="none"/>
        </w:rPr>
        <w:t>表</w:t>
      </w:r>
      <w:r>
        <w:rPr>
          <w:rFonts w:hint="eastAsia"/>
          <w:color w:val="auto"/>
          <w:highlight w:val="none"/>
        </w:rPr>
        <w:t>7.5.2</w:t>
      </w:r>
      <w:r>
        <w:rPr>
          <w:color w:val="auto"/>
          <w:highlight w:val="none"/>
        </w:rPr>
        <w:t xml:space="preserve">   各建筑物</w:t>
      </w:r>
      <w:r>
        <w:rPr>
          <w:rFonts w:hint="eastAsia"/>
          <w:color w:val="auto"/>
          <w:highlight w:val="none"/>
        </w:rPr>
        <w:t>空调</w:t>
      </w:r>
      <w:r>
        <w:rPr>
          <w:color w:val="auto"/>
          <w:highlight w:val="none"/>
        </w:rPr>
        <w:t>设备选型表</w:t>
      </w:r>
    </w:p>
    <w:tbl>
      <w:tblPr>
        <w:tblStyle w:val="60"/>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2022"/>
        <w:gridCol w:w="1061"/>
        <w:gridCol w:w="2851"/>
        <w:gridCol w:w="704"/>
        <w:gridCol w:w="816"/>
        <w:gridCol w:w="769"/>
      </w:tblGrid>
      <w:tr w14:paraId="181F2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32" w:type="dxa"/>
            <w:vMerge w:val="restart"/>
            <w:vAlign w:val="center"/>
          </w:tcPr>
          <w:p w14:paraId="29730E4A">
            <w:pPr>
              <w:widowControl/>
              <w:shd w:val="clear"/>
              <w:adjustRightInd w:val="0"/>
              <w:snapToGrid w:val="0"/>
              <w:spacing w:line="240" w:lineRule="auto"/>
              <w:ind w:firstLine="0" w:firstLineChars="0"/>
              <w:jc w:val="center"/>
              <w:rPr>
                <w:color w:val="auto"/>
                <w:sz w:val="21"/>
                <w:szCs w:val="21"/>
                <w:highlight w:val="none"/>
              </w:rPr>
            </w:pPr>
            <w:r>
              <w:rPr>
                <w:color w:val="auto"/>
                <w:sz w:val="21"/>
                <w:szCs w:val="21"/>
                <w:highlight w:val="none"/>
              </w:rPr>
              <w:t>序</w:t>
            </w:r>
          </w:p>
          <w:p w14:paraId="3E9BCC05">
            <w:pPr>
              <w:widowControl/>
              <w:shd w:val="clear"/>
              <w:adjustRightInd w:val="0"/>
              <w:snapToGrid w:val="0"/>
              <w:spacing w:line="240" w:lineRule="auto"/>
              <w:ind w:firstLine="0" w:firstLineChars="0"/>
              <w:jc w:val="center"/>
              <w:rPr>
                <w:color w:val="auto"/>
                <w:sz w:val="21"/>
                <w:szCs w:val="21"/>
                <w:highlight w:val="none"/>
              </w:rPr>
            </w:pPr>
            <w:r>
              <w:rPr>
                <w:color w:val="auto"/>
                <w:sz w:val="21"/>
                <w:szCs w:val="21"/>
                <w:highlight w:val="none"/>
              </w:rPr>
              <w:t>号</w:t>
            </w:r>
          </w:p>
        </w:tc>
        <w:tc>
          <w:tcPr>
            <w:tcW w:w="2022" w:type="dxa"/>
            <w:vMerge w:val="restart"/>
            <w:vAlign w:val="center"/>
          </w:tcPr>
          <w:p w14:paraId="1D5FF8D3">
            <w:pPr>
              <w:widowControl/>
              <w:shd w:val="clear"/>
              <w:adjustRightInd w:val="0"/>
              <w:snapToGrid w:val="0"/>
              <w:spacing w:line="240" w:lineRule="auto"/>
              <w:ind w:firstLine="0" w:firstLineChars="0"/>
              <w:jc w:val="center"/>
              <w:rPr>
                <w:color w:val="auto"/>
                <w:sz w:val="21"/>
                <w:szCs w:val="21"/>
                <w:highlight w:val="none"/>
              </w:rPr>
            </w:pPr>
            <w:r>
              <w:rPr>
                <w:color w:val="auto"/>
                <w:sz w:val="21"/>
                <w:szCs w:val="21"/>
                <w:highlight w:val="none"/>
              </w:rPr>
              <w:t>建筑名称</w:t>
            </w:r>
          </w:p>
        </w:tc>
        <w:tc>
          <w:tcPr>
            <w:tcW w:w="1061" w:type="dxa"/>
            <w:vMerge w:val="restart"/>
            <w:vAlign w:val="center"/>
          </w:tcPr>
          <w:p w14:paraId="2FF75469">
            <w:pPr>
              <w:widowControl/>
              <w:shd w:val="clear"/>
              <w:adjustRightInd w:val="0"/>
              <w:snapToGrid w:val="0"/>
              <w:spacing w:line="240" w:lineRule="auto"/>
              <w:ind w:firstLine="0" w:firstLineChars="0"/>
              <w:jc w:val="center"/>
              <w:rPr>
                <w:color w:val="auto"/>
                <w:sz w:val="21"/>
                <w:szCs w:val="21"/>
                <w:highlight w:val="none"/>
              </w:rPr>
            </w:pPr>
            <w:r>
              <w:rPr>
                <w:color w:val="auto"/>
                <w:sz w:val="21"/>
                <w:szCs w:val="21"/>
                <w:highlight w:val="none"/>
              </w:rPr>
              <w:t>设备名称</w:t>
            </w:r>
          </w:p>
        </w:tc>
        <w:tc>
          <w:tcPr>
            <w:tcW w:w="2851" w:type="dxa"/>
            <w:vMerge w:val="restart"/>
            <w:vAlign w:val="center"/>
          </w:tcPr>
          <w:p w14:paraId="4858D3BE">
            <w:pPr>
              <w:widowControl/>
              <w:shd w:val="clear"/>
              <w:adjustRightInd w:val="0"/>
              <w:snapToGrid w:val="0"/>
              <w:spacing w:line="240" w:lineRule="auto"/>
              <w:ind w:firstLine="0" w:firstLineChars="0"/>
              <w:jc w:val="center"/>
              <w:rPr>
                <w:color w:val="auto"/>
                <w:sz w:val="21"/>
                <w:szCs w:val="21"/>
                <w:highlight w:val="none"/>
              </w:rPr>
            </w:pPr>
            <w:r>
              <w:rPr>
                <w:color w:val="auto"/>
                <w:sz w:val="21"/>
                <w:szCs w:val="21"/>
                <w:highlight w:val="none"/>
              </w:rPr>
              <w:t>型号规格</w:t>
            </w:r>
          </w:p>
        </w:tc>
        <w:tc>
          <w:tcPr>
            <w:tcW w:w="704" w:type="dxa"/>
            <w:vAlign w:val="center"/>
          </w:tcPr>
          <w:p w14:paraId="7A00BADD">
            <w:pPr>
              <w:widowControl/>
              <w:shd w:val="clear"/>
              <w:adjustRightInd w:val="0"/>
              <w:snapToGrid w:val="0"/>
              <w:spacing w:line="240" w:lineRule="auto"/>
              <w:ind w:firstLine="0" w:firstLineChars="0"/>
              <w:jc w:val="center"/>
              <w:rPr>
                <w:color w:val="auto"/>
                <w:sz w:val="21"/>
                <w:szCs w:val="21"/>
                <w:highlight w:val="none"/>
              </w:rPr>
            </w:pPr>
            <w:r>
              <w:rPr>
                <w:color w:val="auto"/>
                <w:sz w:val="21"/>
                <w:szCs w:val="21"/>
                <w:highlight w:val="none"/>
              </w:rPr>
              <w:t>数量</w:t>
            </w:r>
          </w:p>
        </w:tc>
        <w:tc>
          <w:tcPr>
            <w:tcW w:w="816" w:type="dxa"/>
            <w:vAlign w:val="center"/>
          </w:tcPr>
          <w:p w14:paraId="68F5B444">
            <w:pPr>
              <w:widowControl/>
              <w:shd w:val="clear"/>
              <w:adjustRightInd w:val="0"/>
              <w:snapToGrid w:val="0"/>
              <w:spacing w:line="240" w:lineRule="auto"/>
              <w:ind w:firstLine="0" w:firstLineChars="0"/>
              <w:jc w:val="center"/>
              <w:rPr>
                <w:color w:val="auto"/>
                <w:sz w:val="21"/>
                <w:szCs w:val="21"/>
                <w:highlight w:val="none"/>
              </w:rPr>
            </w:pPr>
            <w:r>
              <w:rPr>
                <w:color w:val="auto"/>
                <w:sz w:val="21"/>
                <w:szCs w:val="21"/>
                <w:highlight w:val="none"/>
              </w:rPr>
              <w:t>功率</w:t>
            </w:r>
          </w:p>
        </w:tc>
        <w:tc>
          <w:tcPr>
            <w:tcW w:w="769" w:type="dxa"/>
            <w:vAlign w:val="center"/>
          </w:tcPr>
          <w:p w14:paraId="472BFF5E">
            <w:pPr>
              <w:widowControl/>
              <w:shd w:val="clear"/>
              <w:adjustRightInd w:val="0"/>
              <w:snapToGrid w:val="0"/>
              <w:spacing w:line="240" w:lineRule="auto"/>
              <w:ind w:firstLine="0" w:firstLineChars="0"/>
              <w:jc w:val="center"/>
              <w:rPr>
                <w:color w:val="auto"/>
                <w:sz w:val="21"/>
                <w:szCs w:val="21"/>
                <w:highlight w:val="none"/>
              </w:rPr>
            </w:pPr>
            <w:r>
              <w:rPr>
                <w:color w:val="auto"/>
                <w:sz w:val="21"/>
                <w:szCs w:val="21"/>
                <w:highlight w:val="none"/>
              </w:rPr>
              <w:t>电压</w:t>
            </w:r>
          </w:p>
        </w:tc>
      </w:tr>
      <w:tr w14:paraId="71DAC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32" w:type="dxa"/>
            <w:vMerge w:val="continue"/>
            <w:vAlign w:val="center"/>
          </w:tcPr>
          <w:p w14:paraId="1D9A5DAD">
            <w:pPr>
              <w:widowControl/>
              <w:shd w:val="clear"/>
              <w:adjustRightInd w:val="0"/>
              <w:snapToGrid w:val="0"/>
              <w:spacing w:line="240" w:lineRule="auto"/>
              <w:ind w:firstLine="0" w:firstLineChars="0"/>
              <w:rPr>
                <w:color w:val="auto"/>
                <w:sz w:val="21"/>
                <w:szCs w:val="21"/>
                <w:highlight w:val="none"/>
              </w:rPr>
            </w:pPr>
          </w:p>
        </w:tc>
        <w:tc>
          <w:tcPr>
            <w:tcW w:w="2022" w:type="dxa"/>
            <w:vMerge w:val="continue"/>
            <w:vAlign w:val="center"/>
          </w:tcPr>
          <w:p w14:paraId="0D0B045F">
            <w:pPr>
              <w:widowControl/>
              <w:shd w:val="clear"/>
              <w:adjustRightInd w:val="0"/>
              <w:snapToGrid w:val="0"/>
              <w:spacing w:line="240" w:lineRule="auto"/>
              <w:ind w:firstLine="0" w:firstLineChars="0"/>
              <w:rPr>
                <w:color w:val="auto"/>
                <w:sz w:val="21"/>
                <w:szCs w:val="21"/>
                <w:highlight w:val="none"/>
              </w:rPr>
            </w:pPr>
          </w:p>
        </w:tc>
        <w:tc>
          <w:tcPr>
            <w:tcW w:w="1061" w:type="dxa"/>
            <w:vMerge w:val="continue"/>
            <w:vAlign w:val="center"/>
          </w:tcPr>
          <w:p w14:paraId="43624580">
            <w:pPr>
              <w:widowControl/>
              <w:shd w:val="clear"/>
              <w:adjustRightInd w:val="0"/>
              <w:snapToGrid w:val="0"/>
              <w:spacing w:line="240" w:lineRule="auto"/>
              <w:ind w:firstLine="0" w:firstLineChars="0"/>
              <w:rPr>
                <w:color w:val="auto"/>
                <w:sz w:val="21"/>
                <w:szCs w:val="21"/>
                <w:highlight w:val="none"/>
              </w:rPr>
            </w:pPr>
          </w:p>
        </w:tc>
        <w:tc>
          <w:tcPr>
            <w:tcW w:w="2851" w:type="dxa"/>
            <w:vMerge w:val="continue"/>
            <w:vAlign w:val="center"/>
          </w:tcPr>
          <w:p w14:paraId="55B7F7BD">
            <w:pPr>
              <w:widowControl/>
              <w:shd w:val="clear"/>
              <w:adjustRightInd w:val="0"/>
              <w:snapToGrid w:val="0"/>
              <w:spacing w:line="240" w:lineRule="auto"/>
              <w:ind w:firstLine="0" w:firstLineChars="0"/>
              <w:rPr>
                <w:color w:val="auto"/>
                <w:sz w:val="21"/>
                <w:szCs w:val="21"/>
                <w:highlight w:val="none"/>
              </w:rPr>
            </w:pPr>
          </w:p>
        </w:tc>
        <w:tc>
          <w:tcPr>
            <w:tcW w:w="704" w:type="dxa"/>
            <w:vAlign w:val="center"/>
          </w:tcPr>
          <w:p w14:paraId="5313C741">
            <w:pPr>
              <w:widowControl/>
              <w:shd w:val="clear"/>
              <w:adjustRightInd w:val="0"/>
              <w:snapToGrid w:val="0"/>
              <w:spacing w:line="240" w:lineRule="auto"/>
              <w:ind w:firstLine="0" w:firstLineChars="0"/>
              <w:rPr>
                <w:color w:val="auto"/>
                <w:sz w:val="21"/>
                <w:szCs w:val="21"/>
                <w:highlight w:val="none"/>
              </w:rPr>
            </w:pPr>
            <w:r>
              <w:rPr>
                <w:color w:val="auto"/>
                <w:sz w:val="21"/>
                <w:szCs w:val="21"/>
                <w:highlight w:val="none"/>
              </w:rPr>
              <w:t>台</w:t>
            </w:r>
          </w:p>
        </w:tc>
        <w:tc>
          <w:tcPr>
            <w:tcW w:w="816" w:type="dxa"/>
            <w:vAlign w:val="center"/>
          </w:tcPr>
          <w:p w14:paraId="54444CAD">
            <w:pPr>
              <w:widowControl/>
              <w:shd w:val="clear"/>
              <w:adjustRightInd w:val="0"/>
              <w:snapToGrid w:val="0"/>
              <w:spacing w:line="240" w:lineRule="auto"/>
              <w:ind w:firstLine="0" w:firstLineChars="0"/>
              <w:rPr>
                <w:color w:val="auto"/>
                <w:sz w:val="21"/>
                <w:szCs w:val="21"/>
                <w:highlight w:val="none"/>
              </w:rPr>
            </w:pPr>
            <w:r>
              <w:rPr>
                <w:color w:val="auto"/>
                <w:sz w:val="21"/>
                <w:szCs w:val="21"/>
                <w:highlight w:val="none"/>
              </w:rPr>
              <w:t>kW</w:t>
            </w:r>
          </w:p>
        </w:tc>
        <w:tc>
          <w:tcPr>
            <w:tcW w:w="769" w:type="dxa"/>
            <w:vAlign w:val="center"/>
          </w:tcPr>
          <w:p w14:paraId="16E3CE0A">
            <w:pPr>
              <w:widowControl/>
              <w:shd w:val="clear"/>
              <w:adjustRightInd w:val="0"/>
              <w:snapToGrid w:val="0"/>
              <w:spacing w:line="240" w:lineRule="auto"/>
              <w:ind w:firstLine="0" w:firstLineChars="0"/>
              <w:jc w:val="center"/>
              <w:rPr>
                <w:color w:val="auto"/>
                <w:sz w:val="21"/>
                <w:szCs w:val="21"/>
                <w:highlight w:val="none"/>
              </w:rPr>
            </w:pPr>
            <w:r>
              <w:rPr>
                <w:color w:val="auto"/>
                <w:sz w:val="21"/>
                <w:szCs w:val="21"/>
                <w:highlight w:val="none"/>
              </w:rPr>
              <w:t>V</w:t>
            </w:r>
          </w:p>
        </w:tc>
      </w:tr>
      <w:tr w14:paraId="0925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2" w:type="dxa"/>
            <w:vAlign w:val="center"/>
          </w:tcPr>
          <w:p w14:paraId="637AC0C1">
            <w:pPr>
              <w:widowControl/>
              <w:shd w:val="clear"/>
              <w:adjustRightInd w:val="0"/>
              <w:snapToGrid w:val="0"/>
              <w:spacing w:line="240" w:lineRule="auto"/>
              <w:ind w:firstLine="0" w:firstLineChars="0"/>
              <w:jc w:val="center"/>
              <w:rPr>
                <w:color w:val="auto"/>
                <w:sz w:val="21"/>
                <w:szCs w:val="21"/>
                <w:highlight w:val="none"/>
              </w:rPr>
            </w:pPr>
            <w:r>
              <w:rPr>
                <w:color w:val="auto"/>
                <w:sz w:val="21"/>
                <w:szCs w:val="21"/>
                <w:highlight w:val="none"/>
              </w:rPr>
              <w:t>1</w:t>
            </w:r>
          </w:p>
        </w:tc>
        <w:tc>
          <w:tcPr>
            <w:tcW w:w="2022" w:type="dxa"/>
            <w:vAlign w:val="center"/>
          </w:tcPr>
          <w:p w14:paraId="6CA9A46B">
            <w:pPr>
              <w:widowControl/>
              <w:shd w:val="clea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新建出铁场除尘低压配电及</w:t>
            </w:r>
            <w:r>
              <w:rPr>
                <w:color w:val="auto"/>
                <w:sz w:val="21"/>
                <w:szCs w:val="21"/>
                <w:highlight w:val="none"/>
              </w:rPr>
              <w:t>PLC室</w:t>
            </w:r>
          </w:p>
        </w:tc>
        <w:tc>
          <w:tcPr>
            <w:tcW w:w="1061" w:type="dxa"/>
            <w:vAlign w:val="center"/>
          </w:tcPr>
          <w:p w14:paraId="2A4BFDF3">
            <w:pPr>
              <w:widowControl/>
              <w:shd w:val="clea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风冷热泵型空调机</w:t>
            </w:r>
          </w:p>
        </w:tc>
        <w:tc>
          <w:tcPr>
            <w:tcW w:w="2851" w:type="dxa"/>
            <w:vAlign w:val="center"/>
          </w:tcPr>
          <w:p w14:paraId="7F895505">
            <w:pPr>
              <w:widowControl/>
              <w:shd w:val="clea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RF1</w:t>
            </w:r>
            <w:r>
              <w:rPr>
                <w:color w:val="auto"/>
                <w:sz w:val="21"/>
                <w:szCs w:val="21"/>
                <w:highlight w:val="none"/>
              </w:rPr>
              <w:t>4</w:t>
            </w:r>
            <w:r>
              <w:rPr>
                <w:rFonts w:hint="eastAsia"/>
                <w:color w:val="auto"/>
                <w:sz w:val="21"/>
                <w:szCs w:val="21"/>
                <w:highlight w:val="none"/>
              </w:rPr>
              <w:t>SONP制冷量：13.</w:t>
            </w:r>
            <w:r>
              <w:rPr>
                <w:color w:val="auto"/>
                <w:sz w:val="21"/>
                <w:szCs w:val="21"/>
                <w:highlight w:val="none"/>
              </w:rPr>
              <w:t>6k</w:t>
            </w:r>
            <w:r>
              <w:rPr>
                <w:rFonts w:hint="eastAsia"/>
                <w:color w:val="auto"/>
                <w:sz w:val="21"/>
                <w:szCs w:val="21"/>
                <w:highlight w:val="none"/>
              </w:rPr>
              <w:t>W；制热量：</w:t>
            </w:r>
            <w:r>
              <w:rPr>
                <w:color w:val="auto"/>
                <w:sz w:val="21"/>
                <w:szCs w:val="21"/>
                <w:highlight w:val="none"/>
              </w:rPr>
              <w:t>13.8k</w:t>
            </w:r>
            <w:r>
              <w:rPr>
                <w:rFonts w:hint="eastAsia"/>
                <w:color w:val="auto"/>
                <w:sz w:val="21"/>
                <w:szCs w:val="21"/>
                <w:highlight w:val="none"/>
              </w:rPr>
              <w:t>W，风量：2500 m</w:t>
            </w:r>
            <w:r>
              <w:rPr>
                <w:rFonts w:hint="eastAsia"/>
                <w:color w:val="auto"/>
                <w:sz w:val="21"/>
                <w:szCs w:val="21"/>
                <w:highlight w:val="none"/>
                <w:vertAlign w:val="superscript"/>
              </w:rPr>
              <w:t>3</w:t>
            </w:r>
            <w:r>
              <w:rPr>
                <w:rFonts w:hint="eastAsia"/>
                <w:color w:val="auto"/>
                <w:sz w:val="21"/>
                <w:szCs w:val="21"/>
                <w:highlight w:val="none"/>
              </w:rPr>
              <w:t>/h</w:t>
            </w:r>
          </w:p>
        </w:tc>
        <w:tc>
          <w:tcPr>
            <w:tcW w:w="704" w:type="dxa"/>
            <w:vAlign w:val="center"/>
          </w:tcPr>
          <w:p w14:paraId="79080188">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1</w:t>
            </w:r>
          </w:p>
        </w:tc>
        <w:tc>
          <w:tcPr>
            <w:tcW w:w="816" w:type="dxa"/>
            <w:vAlign w:val="center"/>
          </w:tcPr>
          <w:p w14:paraId="488DB43A">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4</w:t>
            </w:r>
            <w:r>
              <w:rPr>
                <w:color w:val="auto"/>
                <w:sz w:val="21"/>
                <w:szCs w:val="21"/>
                <w:highlight w:val="none"/>
              </w:rPr>
              <w:t>.91</w:t>
            </w:r>
          </w:p>
        </w:tc>
        <w:tc>
          <w:tcPr>
            <w:tcW w:w="769" w:type="dxa"/>
            <w:vAlign w:val="center"/>
          </w:tcPr>
          <w:p w14:paraId="67799F36">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380</w:t>
            </w:r>
          </w:p>
        </w:tc>
      </w:tr>
      <w:tr w14:paraId="0D77D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2" w:type="dxa"/>
            <w:vAlign w:val="center"/>
          </w:tcPr>
          <w:p w14:paraId="1EFD6518">
            <w:pPr>
              <w:widowControl/>
              <w:shd w:val="clear"/>
              <w:adjustRightInd w:val="0"/>
              <w:snapToGrid w:val="0"/>
              <w:spacing w:line="240" w:lineRule="auto"/>
              <w:ind w:firstLine="0" w:firstLineChars="0"/>
              <w:jc w:val="center"/>
              <w:rPr>
                <w:color w:val="auto"/>
                <w:sz w:val="21"/>
                <w:szCs w:val="21"/>
                <w:highlight w:val="none"/>
              </w:rPr>
            </w:pPr>
            <w:r>
              <w:rPr>
                <w:color w:val="auto"/>
                <w:sz w:val="21"/>
                <w:szCs w:val="21"/>
                <w:highlight w:val="none"/>
              </w:rPr>
              <w:t>2　</w:t>
            </w:r>
          </w:p>
        </w:tc>
        <w:tc>
          <w:tcPr>
            <w:tcW w:w="2022" w:type="dxa"/>
            <w:vAlign w:val="center"/>
          </w:tcPr>
          <w:p w14:paraId="3AF29859">
            <w:pPr>
              <w:widowControl/>
              <w:shd w:val="clea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新建出铁场除尘变频器室</w:t>
            </w:r>
          </w:p>
        </w:tc>
        <w:tc>
          <w:tcPr>
            <w:tcW w:w="1061" w:type="dxa"/>
            <w:vAlign w:val="center"/>
          </w:tcPr>
          <w:p w14:paraId="53101CE1">
            <w:pPr>
              <w:widowControl/>
              <w:shd w:val="clea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风冷热泵型全新风空调机（配过滤板）</w:t>
            </w:r>
          </w:p>
        </w:tc>
        <w:tc>
          <w:tcPr>
            <w:tcW w:w="2851" w:type="dxa"/>
            <w:vAlign w:val="center"/>
          </w:tcPr>
          <w:p w14:paraId="47EAEA55">
            <w:pPr>
              <w:widowControl/>
              <w:shd w:val="clea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RF34SONP制冷量：</w:t>
            </w:r>
            <w:r>
              <w:rPr>
                <w:color w:val="auto"/>
                <w:sz w:val="21"/>
                <w:szCs w:val="21"/>
                <w:highlight w:val="none"/>
              </w:rPr>
              <w:t>33.1k</w:t>
            </w:r>
            <w:r>
              <w:rPr>
                <w:rFonts w:hint="eastAsia"/>
                <w:color w:val="auto"/>
                <w:sz w:val="21"/>
                <w:szCs w:val="21"/>
                <w:highlight w:val="none"/>
              </w:rPr>
              <w:t>W；制热量：</w:t>
            </w:r>
            <w:r>
              <w:rPr>
                <w:color w:val="auto"/>
                <w:sz w:val="21"/>
                <w:szCs w:val="21"/>
                <w:highlight w:val="none"/>
              </w:rPr>
              <w:t>35k</w:t>
            </w:r>
            <w:r>
              <w:rPr>
                <w:rFonts w:hint="eastAsia"/>
                <w:color w:val="auto"/>
                <w:sz w:val="21"/>
                <w:szCs w:val="21"/>
                <w:highlight w:val="none"/>
              </w:rPr>
              <w:t>W，风量：6500 m3/h</w:t>
            </w:r>
          </w:p>
        </w:tc>
        <w:tc>
          <w:tcPr>
            <w:tcW w:w="704" w:type="dxa"/>
            <w:vAlign w:val="center"/>
          </w:tcPr>
          <w:p w14:paraId="0094F1E8">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1</w:t>
            </w:r>
          </w:p>
        </w:tc>
        <w:tc>
          <w:tcPr>
            <w:tcW w:w="816" w:type="dxa"/>
            <w:vAlign w:val="center"/>
          </w:tcPr>
          <w:p w14:paraId="7145AC4E">
            <w:pPr>
              <w:widowControl/>
              <w:shd w:val="clear"/>
              <w:adjustRightInd w:val="0"/>
              <w:snapToGrid w:val="0"/>
              <w:spacing w:line="240" w:lineRule="auto"/>
              <w:ind w:firstLine="0" w:firstLineChars="0"/>
              <w:jc w:val="center"/>
              <w:rPr>
                <w:color w:val="auto"/>
                <w:sz w:val="21"/>
                <w:szCs w:val="21"/>
                <w:highlight w:val="none"/>
              </w:rPr>
            </w:pPr>
            <w:r>
              <w:rPr>
                <w:color w:val="auto"/>
                <w:sz w:val="21"/>
                <w:szCs w:val="21"/>
                <w:highlight w:val="none"/>
              </w:rPr>
              <w:t>12.49</w:t>
            </w:r>
          </w:p>
        </w:tc>
        <w:tc>
          <w:tcPr>
            <w:tcW w:w="769" w:type="dxa"/>
            <w:vAlign w:val="center"/>
          </w:tcPr>
          <w:p w14:paraId="1CE7ED46">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380</w:t>
            </w:r>
          </w:p>
        </w:tc>
      </w:tr>
      <w:tr w14:paraId="03FF0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2" w:type="dxa"/>
            <w:vAlign w:val="center"/>
          </w:tcPr>
          <w:p w14:paraId="3C45DF2D">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6</w:t>
            </w:r>
            <w:r>
              <w:rPr>
                <w:color w:val="auto"/>
                <w:sz w:val="21"/>
                <w:szCs w:val="21"/>
                <w:highlight w:val="none"/>
              </w:rPr>
              <w:t>　</w:t>
            </w:r>
          </w:p>
        </w:tc>
        <w:tc>
          <w:tcPr>
            <w:tcW w:w="2022" w:type="dxa"/>
            <w:vAlign w:val="center"/>
          </w:tcPr>
          <w:p w14:paraId="3171A696">
            <w:pPr>
              <w:widowControl/>
              <w:shd w:val="clea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新建出铁场除尘分析小室</w:t>
            </w:r>
          </w:p>
        </w:tc>
        <w:tc>
          <w:tcPr>
            <w:tcW w:w="1061" w:type="dxa"/>
            <w:vAlign w:val="center"/>
          </w:tcPr>
          <w:p w14:paraId="25D42240">
            <w:pPr>
              <w:widowControl/>
              <w:shd w:val="clea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风冷柜式空调机</w:t>
            </w:r>
          </w:p>
        </w:tc>
        <w:tc>
          <w:tcPr>
            <w:tcW w:w="2851" w:type="dxa"/>
            <w:vAlign w:val="center"/>
          </w:tcPr>
          <w:p w14:paraId="20BFE9EB">
            <w:pPr>
              <w:widowControl/>
              <w:shd w:val="clea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KFR-72LW/D制冷量：7.4</w:t>
            </w:r>
            <w:r>
              <w:rPr>
                <w:color w:val="auto"/>
                <w:sz w:val="21"/>
                <w:szCs w:val="21"/>
                <w:highlight w:val="none"/>
              </w:rPr>
              <w:t>k</w:t>
            </w:r>
            <w:r>
              <w:rPr>
                <w:rFonts w:hint="eastAsia"/>
                <w:color w:val="auto"/>
                <w:sz w:val="21"/>
                <w:szCs w:val="21"/>
                <w:highlight w:val="none"/>
              </w:rPr>
              <w:t>W;制热量：8.2</w:t>
            </w:r>
            <w:r>
              <w:rPr>
                <w:color w:val="auto"/>
                <w:sz w:val="21"/>
                <w:szCs w:val="21"/>
                <w:highlight w:val="none"/>
              </w:rPr>
              <w:t>k</w:t>
            </w:r>
            <w:r>
              <w:rPr>
                <w:rFonts w:hint="eastAsia"/>
                <w:color w:val="auto"/>
                <w:sz w:val="21"/>
                <w:szCs w:val="21"/>
                <w:highlight w:val="none"/>
              </w:rPr>
              <w:t>W风量：1100 m3/h</w:t>
            </w:r>
          </w:p>
        </w:tc>
        <w:tc>
          <w:tcPr>
            <w:tcW w:w="704" w:type="dxa"/>
            <w:vAlign w:val="center"/>
          </w:tcPr>
          <w:p w14:paraId="4731200E">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1</w:t>
            </w:r>
          </w:p>
        </w:tc>
        <w:tc>
          <w:tcPr>
            <w:tcW w:w="816" w:type="dxa"/>
            <w:vAlign w:val="center"/>
          </w:tcPr>
          <w:p w14:paraId="632C2EB9">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2.7</w:t>
            </w:r>
          </w:p>
        </w:tc>
        <w:tc>
          <w:tcPr>
            <w:tcW w:w="769" w:type="dxa"/>
            <w:vAlign w:val="center"/>
          </w:tcPr>
          <w:p w14:paraId="43348039">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220</w:t>
            </w:r>
          </w:p>
        </w:tc>
      </w:tr>
      <w:tr w14:paraId="5F0BA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2" w:type="dxa"/>
            <w:vAlign w:val="center"/>
          </w:tcPr>
          <w:p w14:paraId="745E5A94">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7</w:t>
            </w:r>
          </w:p>
        </w:tc>
        <w:tc>
          <w:tcPr>
            <w:tcW w:w="2022" w:type="dxa"/>
            <w:vAlign w:val="center"/>
          </w:tcPr>
          <w:p w14:paraId="59EA238B">
            <w:pPr>
              <w:widowControl/>
              <w:shd w:val="clea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矿槽除尘系统（槽上+碎焦筛分）除尘分析小室</w:t>
            </w:r>
          </w:p>
        </w:tc>
        <w:tc>
          <w:tcPr>
            <w:tcW w:w="1061" w:type="dxa"/>
            <w:vAlign w:val="center"/>
          </w:tcPr>
          <w:p w14:paraId="3903D58F">
            <w:pPr>
              <w:widowControl/>
              <w:shd w:val="clea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风冷柜式空调机</w:t>
            </w:r>
          </w:p>
        </w:tc>
        <w:tc>
          <w:tcPr>
            <w:tcW w:w="2851" w:type="dxa"/>
            <w:vAlign w:val="center"/>
          </w:tcPr>
          <w:p w14:paraId="641869D0">
            <w:pPr>
              <w:widowControl/>
              <w:shd w:val="clea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KFR-72LW/D制冷量：7.4</w:t>
            </w:r>
            <w:r>
              <w:rPr>
                <w:color w:val="auto"/>
                <w:sz w:val="21"/>
                <w:szCs w:val="21"/>
                <w:highlight w:val="none"/>
              </w:rPr>
              <w:t>k</w:t>
            </w:r>
            <w:r>
              <w:rPr>
                <w:rFonts w:hint="eastAsia"/>
                <w:color w:val="auto"/>
                <w:sz w:val="21"/>
                <w:szCs w:val="21"/>
                <w:highlight w:val="none"/>
              </w:rPr>
              <w:t>W;制热量：8.2</w:t>
            </w:r>
            <w:r>
              <w:rPr>
                <w:color w:val="auto"/>
                <w:sz w:val="21"/>
                <w:szCs w:val="21"/>
                <w:highlight w:val="none"/>
              </w:rPr>
              <w:t>k</w:t>
            </w:r>
            <w:r>
              <w:rPr>
                <w:rFonts w:hint="eastAsia"/>
                <w:color w:val="auto"/>
                <w:sz w:val="21"/>
                <w:szCs w:val="21"/>
                <w:highlight w:val="none"/>
              </w:rPr>
              <w:t>W风量：1100 m3/h</w:t>
            </w:r>
          </w:p>
        </w:tc>
        <w:tc>
          <w:tcPr>
            <w:tcW w:w="704" w:type="dxa"/>
            <w:vAlign w:val="center"/>
          </w:tcPr>
          <w:p w14:paraId="01667766">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1</w:t>
            </w:r>
          </w:p>
        </w:tc>
        <w:tc>
          <w:tcPr>
            <w:tcW w:w="816" w:type="dxa"/>
            <w:vAlign w:val="center"/>
          </w:tcPr>
          <w:p w14:paraId="4871FDCF">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2.7</w:t>
            </w:r>
          </w:p>
        </w:tc>
        <w:tc>
          <w:tcPr>
            <w:tcW w:w="769" w:type="dxa"/>
            <w:vAlign w:val="center"/>
          </w:tcPr>
          <w:p w14:paraId="0DCA4F28">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220</w:t>
            </w:r>
          </w:p>
        </w:tc>
      </w:tr>
      <w:tr w14:paraId="70CD9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2" w:type="dxa"/>
            <w:vAlign w:val="center"/>
          </w:tcPr>
          <w:p w14:paraId="02091FD9">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8</w:t>
            </w:r>
          </w:p>
        </w:tc>
        <w:tc>
          <w:tcPr>
            <w:tcW w:w="2022" w:type="dxa"/>
            <w:vAlign w:val="center"/>
          </w:tcPr>
          <w:p w14:paraId="611FEBE3">
            <w:pPr>
              <w:widowControl/>
              <w:shd w:val="clea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地沟除尘系统（槽下+返矿转运）除尘分析小室</w:t>
            </w:r>
          </w:p>
        </w:tc>
        <w:tc>
          <w:tcPr>
            <w:tcW w:w="1061" w:type="dxa"/>
            <w:vAlign w:val="center"/>
          </w:tcPr>
          <w:p w14:paraId="3A292FD0">
            <w:pPr>
              <w:widowControl/>
              <w:shd w:val="clea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风冷柜式空调机</w:t>
            </w:r>
          </w:p>
        </w:tc>
        <w:tc>
          <w:tcPr>
            <w:tcW w:w="2851" w:type="dxa"/>
            <w:vAlign w:val="center"/>
          </w:tcPr>
          <w:p w14:paraId="54739590">
            <w:pPr>
              <w:widowControl/>
              <w:shd w:val="clea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KFR-72LW/D制冷量：7.4</w:t>
            </w:r>
            <w:r>
              <w:rPr>
                <w:color w:val="auto"/>
                <w:sz w:val="21"/>
                <w:szCs w:val="21"/>
                <w:highlight w:val="none"/>
              </w:rPr>
              <w:t>k</w:t>
            </w:r>
            <w:r>
              <w:rPr>
                <w:rFonts w:hint="eastAsia"/>
                <w:color w:val="auto"/>
                <w:sz w:val="21"/>
                <w:szCs w:val="21"/>
                <w:highlight w:val="none"/>
              </w:rPr>
              <w:t>W;制热量：8.2</w:t>
            </w:r>
            <w:r>
              <w:rPr>
                <w:color w:val="auto"/>
                <w:sz w:val="21"/>
                <w:szCs w:val="21"/>
                <w:highlight w:val="none"/>
              </w:rPr>
              <w:t>k</w:t>
            </w:r>
            <w:r>
              <w:rPr>
                <w:rFonts w:hint="eastAsia"/>
                <w:color w:val="auto"/>
                <w:sz w:val="21"/>
                <w:szCs w:val="21"/>
                <w:highlight w:val="none"/>
              </w:rPr>
              <w:t>W风量：1100 m3/h</w:t>
            </w:r>
          </w:p>
        </w:tc>
        <w:tc>
          <w:tcPr>
            <w:tcW w:w="704" w:type="dxa"/>
            <w:vAlign w:val="center"/>
          </w:tcPr>
          <w:p w14:paraId="7A27DD2A">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1</w:t>
            </w:r>
          </w:p>
        </w:tc>
        <w:tc>
          <w:tcPr>
            <w:tcW w:w="816" w:type="dxa"/>
            <w:vAlign w:val="center"/>
          </w:tcPr>
          <w:p w14:paraId="3A9638F0">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2.7</w:t>
            </w:r>
          </w:p>
        </w:tc>
        <w:tc>
          <w:tcPr>
            <w:tcW w:w="769" w:type="dxa"/>
            <w:vAlign w:val="center"/>
          </w:tcPr>
          <w:p w14:paraId="40DBFA15">
            <w:pPr>
              <w:widowControl/>
              <w:shd w:val="clea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220</w:t>
            </w:r>
          </w:p>
        </w:tc>
      </w:tr>
    </w:tbl>
    <w:p w14:paraId="3EF21F16">
      <w:pPr>
        <w:shd w:val="clear"/>
        <w:rPr>
          <w:color w:val="auto"/>
          <w:highlight w:val="none"/>
        </w:rPr>
      </w:pPr>
      <w:r>
        <w:rPr>
          <w:rFonts w:hint="eastAsia"/>
          <w:color w:val="auto"/>
          <w:highlight w:val="none"/>
        </w:rPr>
        <w:t>本次高炉改造，未改造的设备设施用房的通风、空调、采暖等设施全部利旧，采暖水量不新增。</w:t>
      </w:r>
    </w:p>
    <w:p w14:paraId="0C7B94B3">
      <w:pPr>
        <w:shd w:val="clear"/>
        <w:rPr>
          <w:color w:val="auto"/>
          <w:highlight w:val="none"/>
        </w:rPr>
      </w:pPr>
    </w:p>
    <w:p w14:paraId="4DB299D5">
      <w:pPr>
        <w:shd w:val="clear"/>
        <w:rPr>
          <w:color w:val="auto"/>
          <w:highlight w:val="none"/>
        </w:rPr>
      </w:pPr>
    </w:p>
    <w:p w14:paraId="101F846E">
      <w:pPr>
        <w:pStyle w:val="27"/>
        <w:shd w:val="clear"/>
        <w:spacing w:line="240" w:lineRule="auto"/>
        <w:jc w:val="center"/>
        <w:outlineLvl w:val="0"/>
        <w:rPr>
          <w:b/>
          <w:bCs/>
          <w:color w:val="auto"/>
          <w:sz w:val="32"/>
          <w:szCs w:val="32"/>
          <w:highlight w:val="none"/>
        </w:rPr>
      </w:pPr>
      <w:r>
        <w:rPr>
          <w:rFonts w:hint="eastAsia"/>
          <w:color w:val="auto"/>
          <w:highlight w:val="none"/>
        </w:rPr>
        <w:br w:type="page"/>
      </w:r>
      <w:bookmarkStart w:id="633" w:name="_Toc31912"/>
      <w:bookmarkStart w:id="634" w:name="_Toc30559"/>
      <w:bookmarkStart w:id="635" w:name="_Toc20371"/>
      <w:bookmarkStart w:id="636" w:name="_Toc1184"/>
      <w:bookmarkStart w:id="637" w:name="_Toc21110"/>
      <w:bookmarkStart w:id="638" w:name="_Toc3722"/>
      <w:bookmarkStart w:id="639" w:name="_Toc175920401"/>
      <w:r>
        <w:rPr>
          <w:b/>
          <w:bCs/>
          <w:color w:val="auto"/>
          <w:sz w:val="32"/>
          <w:szCs w:val="32"/>
          <w:highlight w:val="none"/>
        </w:rPr>
        <w:t>8 供配电设施</w:t>
      </w:r>
      <w:bookmarkEnd w:id="633"/>
      <w:bookmarkEnd w:id="634"/>
      <w:bookmarkEnd w:id="635"/>
      <w:bookmarkEnd w:id="636"/>
      <w:bookmarkEnd w:id="637"/>
      <w:bookmarkEnd w:id="638"/>
      <w:bookmarkEnd w:id="639"/>
    </w:p>
    <w:p w14:paraId="6223033E">
      <w:pPr>
        <w:shd w:val="clear"/>
        <w:ind w:firstLine="0" w:firstLineChars="0"/>
        <w:outlineLvl w:val="1"/>
        <w:rPr>
          <w:rFonts w:cs="Times New Roman"/>
          <w:b/>
          <w:color w:val="auto"/>
          <w:sz w:val="28"/>
          <w:szCs w:val="28"/>
          <w:highlight w:val="none"/>
        </w:rPr>
      </w:pPr>
      <w:bookmarkStart w:id="640" w:name="_Toc18054"/>
      <w:bookmarkStart w:id="641" w:name="_Toc28937"/>
      <w:bookmarkStart w:id="642" w:name="_Toc32674"/>
      <w:bookmarkStart w:id="643" w:name="_Toc27111"/>
      <w:bookmarkStart w:id="644" w:name="_Toc17084"/>
      <w:bookmarkStart w:id="645" w:name="_Toc175920402"/>
      <w:bookmarkStart w:id="646" w:name="_Toc19640"/>
      <w:r>
        <w:rPr>
          <w:rFonts w:hint="eastAsia" w:cs="Times New Roman"/>
          <w:b/>
          <w:color w:val="auto"/>
          <w:sz w:val="28"/>
          <w:szCs w:val="28"/>
          <w:highlight w:val="none"/>
        </w:rPr>
        <w:t>8.1 概述</w:t>
      </w:r>
      <w:bookmarkEnd w:id="640"/>
      <w:bookmarkEnd w:id="641"/>
      <w:bookmarkEnd w:id="642"/>
      <w:bookmarkEnd w:id="643"/>
      <w:bookmarkEnd w:id="644"/>
      <w:bookmarkEnd w:id="645"/>
      <w:bookmarkEnd w:id="646"/>
    </w:p>
    <w:p w14:paraId="76566DD5">
      <w:pPr>
        <w:shd w:val="clear"/>
        <w:ind w:firstLine="0" w:firstLineChars="0"/>
        <w:outlineLvl w:val="2"/>
        <w:rPr>
          <w:rFonts w:cs="Times New Roman"/>
          <w:color w:val="auto"/>
          <w:szCs w:val="28"/>
          <w:highlight w:val="none"/>
        </w:rPr>
      </w:pPr>
      <w:bookmarkStart w:id="647" w:name="_Toc5834"/>
      <w:r>
        <w:rPr>
          <w:rFonts w:cs="Times New Roman"/>
          <w:color w:val="auto"/>
          <w:szCs w:val="28"/>
          <w:highlight w:val="none"/>
        </w:rPr>
        <w:t>8.1.1 设计范围</w:t>
      </w:r>
      <w:bookmarkEnd w:id="647"/>
    </w:p>
    <w:p w14:paraId="70FF726D">
      <w:pPr>
        <w:shd w:val="clear"/>
        <w:rPr>
          <w:color w:val="auto"/>
          <w:highlight w:val="none"/>
        </w:rPr>
      </w:pPr>
      <w:r>
        <w:rPr>
          <w:rFonts w:hint="eastAsia"/>
          <w:color w:val="auto"/>
          <w:highlight w:val="none"/>
        </w:rPr>
        <w:t>本次炼铁厂</w:t>
      </w:r>
      <w:r>
        <w:rPr>
          <w:color w:val="auto"/>
          <w:highlight w:val="none"/>
        </w:rPr>
        <w:t>2号高炉优化升级及超低排改造项目</w:t>
      </w:r>
      <w:r>
        <w:rPr>
          <w:rFonts w:hint="eastAsia"/>
          <w:color w:val="auto"/>
          <w:highlight w:val="none"/>
        </w:rPr>
        <w:t>设计范围包括：</w:t>
      </w:r>
      <w:r>
        <w:rPr>
          <w:color w:val="auto"/>
          <w:highlight w:val="none"/>
        </w:rPr>
        <w:t>高炉本体</w:t>
      </w:r>
      <w:r>
        <w:rPr>
          <w:rFonts w:hint="eastAsia"/>
          <w:color w:val="auto"/>
          <w:highlight w:val="none"/>
        </w:rPr>
        <w:t>及</w:t>
      </w:r>
      <w:r>
        <w:rPr>
          <w:color w:val="auto"/>
          <w:highlight w:val="none"/>
        </w:rPr>
        <w:t>公辅设施的高压供配电系统</w:t>
      </w:r>
      <w:r>
        <w:rPr>
          <w:rFonts w:hint="eastAsia"/>
          <w:color w:val="auto"/>
          <w:highlight w:val="none"/>
        </w:rPr>
        <w:t>的改造。</w:t>
      </w:r>
    </w:p>
    <w:p w14:paraId="44ACB115">
      <w:pPr>
        <w:shd w:val="clear"/>
        <w:rPr>
          <w:color w:val="auto"/>
          <w:highlight w:val="none"/>
        </w:rPr>
      </w:pPr>
      <w:r>
        <w:rPr>
          <w:rFonts w:hint="eastAsia"/>
          <w:color w:val="auto"/>
          <w:highlight w:val="none"/>
        </w:rPr>
        <w:t>电气专业的主要设计内容包括高压配电系统设计、低压配电系统设计、电动机控制中心（</w:t>
      </w:r>
      <w:r>
        <w:rPr>
          <w:color w:val="auto"/>
          <w:highlight w:val="none"/>
        </w:rPr>
        <w:t>MCC</w:t>
      </w:r>
      <w:r>
        <w:rPr>
          <w:rFonts w:hint="eastAsia"/>
          <w:color w:val="auto"/>
          <w:highlight w:val="none"/>
        </w:rPr>
        <w:t>）设计、变电所/电气室设施的设置、电气传动及自动化控制系统设计、辅助照明设计、电缆敷设设计和防雷接地设计等。</w:t>
      </w:r>
    </w:p>
    <w:p w14:paraId="19DE891D">
      <w:pPr>
        <w:shd w:val="clear"/>
        <w:ind w:firstLine="0" w:firstLineChars="0"/>
        <w:outlineLvl w:val="2"/>
        <w:rPr>
          <w:rFonts w:cs="Times New Roman"/>
          <w:color w:val="auto"/>
          <w:szCs w:val="28"/>
          <w:highlight w:val="none"/>
        </w:rPr>
      </w:pPr>
      <w:bookmarkStart w:id="648" w:name="_Toc26172"/>
      <w:r>
        <w:rPr>
          <w:rFonts w:cs="Times New Roman"/>
          <w:color w:val="auto"/>
          <w:szCs w:val="28"/>
          <w:highlight w:val="none"/>
        </w:rPr>
        <w:t>8.1.2 设计</w:t>
      </w:r>
      <w:r>
        <w:rPr>
          <w:rFonts w:hint="eastAsia" w:cs="Times New Roman"/>
          <w:color w:val="auto"/>
          <w:szCs w:val="28"/>
          <w:highlight w:val="none"/>
        </w:rPr>
        <w:t>依据</w:t>
      </w:r>
      <w:bookmarkEnd w:id="648"/>
    </w:p>
    <w:p w14:paraId="748FBDDC">
      <w:pPr>
        <w:shd w:val="clear"/>
        <w:rPr>
          <w:color w:val="auto"/>
          <w:highlight w:val="none"/>
        </w:rPr>
      </w:pPr>
      <w:r>
        <w:rPr>
          <w:color w:val="auto"/>
          <w:highlight w:val="none"/>
        </w:rPr>
        <w:t>依据</w:t>
      </w:r>
      <w:r>
        <w:rPr>
          <w:rFonts w:hint="eastAsia"/>
          <w:color w:val="auto"/>
          <w:highlight w:val="none"/>
        </w:rPr>
        <w:t>国家及行业相关设计规范及</w:t>
      </w:r>
      <w:r>
        <w:rPr>
          <w:color w:val="auto"/>
          <w:highlight w:val="none"/>
        </w:rPr>
        <w:t>各专业提供的资料编制。</w:t>
      </w:r>
    </w:p>
    <w:p w14:paraId="7F4BC906">
      <w:pPr>
        <w:shd w:val="clear"/>
        <w:rPr>
          <w:color w:val="auto"/>
          <w:highlight w:val="none"/>
        </w:rPr>
      </w:pPr>
      <w:r>
        <w:rPr>
          <w:rFonts w:hint="eastAsia"/>
          <w:color w:val="auto"/>
          <w:highlight w:val="none"/>
        </w:rPr>
        <w:t>1）业主的项目委托书。</w:t>
      </w:r>
    </w:p>
    <w:p w14:paraId="3B32CB58">
      <w:pPr>
        <w:shd w:val="clear"/>
        <w:rPr>
          <w:color w:val="auto"/>
          <w:highlight w:val="none"/>
        </w:rPr>
      </w:pPr>
      <w:r>
        <w:rPr>
          <w:rFonts w:hint="eastAsia"/>
          <w:color w:val="auto"/>
          <w:highlight w:val="none"/>
        </w:rPr>
        <w:t>2）相关专业设计任务书。</w:t>
      </w:r>
    </w:p>
    <w:p w14:paraId="4305AD66">
      <w:pPr>
        <w:shd w:val="clear"/>
        <w:rPr>
          <w:color w:val="auto"/>
          <w:highlight w:val="none"/>
        </w:rPr>
      </w:pPr>
      <w:r>
        <w:rPr>
          <w:rFonts w:hint="eastAsia"/>
          <w:color w:val="auto"/>
          <w:highlight w:val="none"/>
        </w:rPr>
        <w:t>3）国标GB</w:t>
      </w:r>
      <w:r>
        <w:rPr>
          <w:color w:val="auto"/>
          <w:highlight w:val="none"/>
        </w:rPr>
        <w:t xml:space="preserve"> </w:t>
      </w:r>
      <w:r>
        <w:rPr>
          <w:rFonts w:hint="eastAsia"/>
          <w:color w:val="auto"/>
          <w:highlight w:val="none"/>
        </w:rPr>
        <w:t>50052-2009《供配电系统设计规范》</w:t>
      </w:r>
    </w:p>
    <w:p w14:paraId="2ADF2567">
      <w:pPr>
        <w:shd w:val="clear"/>
        <w:rPr>
          <w:color w:val="auto"/>
          <w:highlight w:val="none"/>
        </w:rPr>
      </w:pPr>
      <w:r>
        <w:rPr>
          <w:rFonts w:hint="eastAsia"/>
          <w:color w:val="auto"/>
          <w:highlight w:val="none"/>
        </w:rPr>
        <w:t>4）国标GB</w:t>
      </w:r>
      <w:r>
        <w:rPr>
          <w:color w:val="auto"/>
          <w:highlight w:val="none"/>
        </w:rPr>
        <w:t xml:space="preserve"> </w:t>
      </w:r>
      <w:r>
        <w:rPr>
          <w:rFonts w:hint="eastAsia"/>
          <w:color w:val="auto"/>
          <w:highlight w:val="none"/>
        </w:rPr>
        <w:t>50059-2011《35～110kV变电所设计规范》</w:t>
      </w:r>
    </w:p>
    <w:p w14:paraId="6767A38F">
      <w:pPr>
        <w:shd w:val="clear"/>
        <w:rPr>
          <w:color w:val="auto"/>
          <w:highlight w:val="none"/>
        </w:rPr>
      </w:pPr>
      <w:r>
        <w:rPr>
          <w:rFonts w:hint="eastAsia"/>
          <w:color w:val="auto"/>
          <w:highlight w:val="none"/>
        </w:rPr>
        <w:t>5）国标GB 50053-2013《20kV及以下变电所设计规范》</w:t>
      </w:r>
    </w:p>
    <w:p w14:paraId="5D74A2F0">
      <w:pPr>
        <w:shd w:val="clear"/>
        <w:rPr>
          <w:color w:val="auto"/>
          <w:highlight w:val="none"/>
        </w:rPr>
      </w:pPr>
      <w:r>
        <w:rPr>
          <w:rFonts w:hint="eastAsia"/>
          <w:color w:val="auto"/>
          <w:highlight w:val="none"/>
        </w:rPr>
        <w:t>6）国标GB</w:t>
      </w:r>
      <w:r>
        <w:rPr>
          <w:color w:val="auto"/>
          <w:highlight w:val="none"/>
        </w:rPr>
        <w:t xml:space="preserve"> </w:t>
      </w:r>
      <w:r>
        <w:rPr>
          <w:rFonts w:hint="eastAsia"/>
          <w:color w:val="auto"/>
          <w:highlight w:val="none"/>
        </w:rPr>
        <w:t>50227-2017《并联电容器装置设计规范》</w:t>
      </w:r>
    </w:p>
    <w:p w14:paraId="13A7D75E">
      <w:pPr>
        <w:shd w:val="clear"/>
        <w:rPr>
          <w:color w:val="auto"/>
          <w:highlight w:val="none"/>
        </w:rPr>
      </w:pPr>
      <w:r>
        <w:rPr>
          <w:rFonts w:hint="eastAsia"/>
          <w:color w:val="auto"/>
          <w:highlight w:val="none"/>
        </w:rPr>
        <w:t>7）国标GB/T 50064-2014《交流电气装置的过电压保护和绝缘配合设计规范》</w:t>
      </w:r>
    </w:p>
    <w:p w14:paraId="4D5F592F">
      <w:pPr>
        <w:shd w:val="clear"/>
        <w:rPr>
          <w:color w:val="auto"/>
          <w:highlight w:val="none"/>
        </w:rPr>
      </w:pPr>
      <w:r>
        <w:rPr>
          <w:rFonts w:hint="eastAsia"/>
          <w:color w:val="auto"/>
          <w:highlight w:val="none"/>
        </w:rPr>
        <w:t>8）国标GB</w:t>
      </w:r>
      <w:r>
        <w:rPr>
          <w:color w:val="auto"/>
          <w:highlight w:val="none"/>
        </w:rPr>
        <w:t xml:space="preserve"> </w:t>
      </w:r>
      <w:r>
        <w:rPr>
          <w:rFonts w:hint="eastAsia"/>
          <w:color w:val="auto"/>
          <w:highlight w:val="none"/>
        </w:rPr>
        <w:t>50057-2010《建筑物防雷设计规范》</w:t>
      </w:r>
    </w:p>
    <w:p w14:paraId="7A474954">
      <w:pPr>
        <w:shd w:val="clear"/>
        <w:rPr>
          <w:color w:val="auto"/>
          <w:highlight w:val="none"/>
        </w:rPr>
      </w:pPr>
      <w:r>
        <w:rPr>
          <w:rFonts w:hint="eastAsia"/>
          <w:color w:val="auto"/>
          <w:highlight w:val="none"/>
        </w:rPr>
        <w:t>9）国标GB/T 50065-2011《交流电气装置的接地设计规范》</w:t>
      </w:r>
    </w:p>
    <w:p w14:paraId="76FF6B08">
      <w:pPr>
        <w:shd w:val="clear"/>
        <w:rPr>
          <w:color w:val="auto"/>
          <w:highlight w:val="none"/>
        </w:rPr>
      </w:pPr>
      <w:r>
        <w:rPr>
          <w:rFonts w:hint="eastAsia"/>
          <w:color w:val="auto"/>
          <w:highlight w:val="none"/>
        </w:rPr>
        <w:t>10）国标GB 50414-2018《钢铁冶金企业设计防火标准》</w:t>
      </w:r>
    </w:p>
    <w:p w14:paraId="4E4362D3">
      <w:pPr>
        <w:shd w:val="clear"/>
        <w:rPr>
          <w:color w:val="auto"/>
          <w:highlight w:val="none"/>
        </w:rPr>
      </w:pPr>
      <w:r>
        <w:rPr>
          <w:rFonts w:hint="eastAsia"/>
          <w:color w:val="auto"/>
          <w:highlight w:val="none"/>
        </w:rPr>
        <w:t>11）国标GB 50260-2013《电力设施抗震设计规范》</w:t>
      </w:r>
    </w:p>
    <w:p w14:paraId="2F0E8DAE">
      <w:pPr>
        <w:shd w:val="clear"/>
        <w:ind w:firstLine="0" w:firstLineChars="0"/>
        <w:outlineLvl w:val="1"/>
        <w:rPr>
          <w:rFonts w:cs="Times New Roman"/>
          <w:b/>
          <w:color w:val="auto"/>
          <w:sz w:val="28"/>
          <w:szCs w:val="28"/>
          <w:highlight w:val="none"/>
        </w:rPr>
      </w:pPr>
      <w:bookmarkStart w:id="649" w:name="_Toc6397"/>
      <w:bookmarkStart w:id="650" w:name="_Toc1043"/>
      <w:bookmarkStart w:id="651" w:name="_Toc175920403"/>
      <w:bookmarkStart w:id="652" w:name="_Toc5800"/>
      <w:bookmarkStart w:id="653" w:name="_Toc6686"/>
      <w:bookmarkStart w:id="654" w:name="_Toc4846"/>
      <w:bookmarkStart w:id="655" w:name="_Toc28887"/>
      <w:r>
        <w:rPr>
          <w:rFonts w:hint="eastAsia" w:cs="Times New Roman"/>
          <w:b/>
          <w:color w:val="auto"/>
          <w:sz w:val="28"/>
          <w:szCs w:val="28"/>
          <w:highlight w:val="none"/>
        </w:rPr>
        <w:t>8.2 供电电源及高压供配电系统</w:t>
      </w:r>
      <w:bookmarkEnd w:id="649"/>
      <w:bookmarkEnd w:id="650"/>
      <w:bookmarkEnd w:id="651"/>
      <w:bookmarkEnd w:id="652"/>
      <w:bookmarkEnd w:id="653"/>
      <w:bookmarkEnd w:id="654"/>
      <w:bookmarkEnd w:id="655"/>
    </w:p>
    <w:p w14:paraId="717126F2">
      <w:pPr>
        <w:shd w:val="clear"/>
        <w:ind w:firstLine="0" w:firstLineChars="0"/>
        <w:outlineLvl w:val="2"/>
        <w:rPr>
          <w:rFonts w:cs="Times New Roman"/>
          <w:color w:val="auto"/>
          <w:szCs w:val="28"/>
          <w:highlight w:val="none"/>
        </w:rPr>
      </w:pPr>
      <w:bookmarkStart w:id="656" w:name="_Toc32546"/>
      <w:r>
        <w:rPr>
          <w:rFonts w:cs="Times New Roman"/>
          <w:color w:val="auto"/>
          <w:szCs w:val="28"/>
          <w:highlight w:val="none"/>
        </w:rPr>
        <w:t>8.</w:t>
      </w:r>
      <w:r>
        <w:rPr>
          <w:rFonts w:hint="eastAsia" w:cs="Times New Roman"/>
          <w:color w:val="auto"/>
          <w:szCs w:val="28"/>
          <w:highlight w:val="none"/>
        </w:rPr>
        <w:t>2</w:t>
      </w:r>
      <w:r>
        <w:rPr>
          <w:rFonts w:cs="Times New Roman"/>
          <w:color w:val="auto"/>
          <w:szCs w:val="28"/>
          <w:highlight w:val="none"/>
        </w:rPr>
        <w:t xml:space="preserve">.1 </w:t>
      </w:r>
      <w:r>
        <w:rPr>
          <w:rFonts w:hint="eastAsia" w:cs="Times New Roman"/>
          <w:color w:val="auto"/>
          <w:szCs w:val="28"/>
          <w:highlight w:val="none"/>
        </w:rPr>
        <w:t>炼铁变电所改造</w:t>
      </w:r>
      <w:bookmarkEnd w:id="656"/>
    </w:p>
    <w:p w14:paraId="1753B3C1">
      <w:pPr>
        <w:shd w:val="clear"/>
        <w:ind w:firstLine="0" w:firstLineChars="0"/>
        <w:outlineLvl w:val="3"/>
        <w:rPr>
          <w:color w:val="auto"/>
          <w:highlight w:val="none"/>
        </w:rPr>
      </w:pPr>
      <w:r>
        <w:rPr>
          <w:rFonts w:hint="eastAsia"/>
          <w:color w:val="auto"/>
          <w:highlight w:val="none"/>
        </w:rPr>
        <w:t>8.2.1.1 炼铁变电所改造用电负荷现状概述</w:t>
      </w:r>
    </w:p>
    <w:p w14:paraId="489837B6">
      <w:pPr>
        <w:shd w:val="clear"/>
        <w:rPr>
          <w:color w:val="auto"/>
          <w:highlight w:val="none"/>
        </w:rPr>
      </w:pPr>
      <w:r>
        <w:rPr>
          <w:rFonts w:hint="eastAsia"/>
          <w:color w:val="auto"/>
          <w:highlight w:val="none"/>
        </w:rPr>
        <w:t>现有1、2号高炉炼铁高压变电所，配置10kV开关柜38台，其中10kV馈出回路26路，10kV电容器回路2路，10kV备用回路2路；配置6kV开关柜21台，其中6kV馈出回路11路，6kV电容器回路2路，6kV备用回路2路。该炼铁变电所向现有1、2号高炉区域变压器、热风炉助燃风机、出铁场除尘电机、渣处理粒化渣浆泵等高压用电设备供电。</w:t>
      </w:r>
    </w:p>
    <w:p w14:paraId="72E7B2C5">
      <w:pPr>
        <w:shd w:val="clear"/>
        <w:ind w:firstLine="0" w:firstLineChars="0"/>
        <w:outlineLvl w:val="3"/>
        <w:rPr>
          <w:color w:val="auto"/>
          <w:highlight w:val="none"/>
        </w:rPr>
      </w:pPr>
      <w:r>
        <w:rPr>
          <w:rFonts w:hint="eastAsia"/>
          <w:color w:val="auto"/>
          <w:highlight w:val="none"/>
        </w:rPr>
        <w:t>8.2.1.2 本次改造新增或改造高压用电设备情况</w:t>
      </w:r>
    </w:p>
    <w:p w14:paraId="39BEF0C8">
      <w:pPr>
        <w:shd w:val="clear"/>
        <w:rPr>
          <w:color w:val="auto"/>
          <w:highlight w:val="none"/>
        </w:rPr>
      </w:pPr>
      <w:r>
        <w:rPr>
          <w:rFonts w:hint="eastAsia"/>
          <w:color w:val="auto"/>
          <w:highlight w:val="none"/>
        </w:rPr>
        <w:t>2号高炉改造后，炼铁变电所供电范围内新增或改造的高压负荷包括：</w:t>
      </w:r>
    </w:p>
    <w:p w14:paraId="053DE6BC">
      <w:pPr>
        <w:shd w:val="clear"/>
        <w:rPr>
          <w:color w:val="auto"/>
          <w:highlight w:val="none"/>
        </w:rPr>
      </w:pPr>
      <w:r>
        <w:rPr>
          <w:rFonts w:hint="eastAsia"/>
          <w:color w:val="auto"/>
          <w:highlight w:val="none"/>
        </w:rPr>
        <w:t>1）2号高炉出铁场除尘电机</w:t>
      </w:r>
      <w:r>
        <w:rPr>
          <w:rFonts w:hint="eastAsia"/>
          <w:color w:val="auto"/>
          <w:highlight w:val="none"/>
          <w:lang w:val="en-US" w:eastAsia="zh-CN"/>
        </w:rPr>
        <w:t>新增</w:t>
      </w:r>
      <w:r>
        <w:rPr>
          <w:color w:val="auto"/>
          <w:highlight w:val="none"/>
        </w:rPr>
        <w:t>1</w:t>
      </w:r>
      <w:r>
        <w:rPr>
          <w:rFonts w:hint="eastAsia"/>
          <w:color w:val="auto"/>
          <w:highlight w:val="none"/>
        </w:rPr>
        <w:t>台</w:t>
      </w:r>
      <w:r>
        <w:rPr>
          <w:color w:val="auto"/>
          <w:highlight w:val="none"/>
        </w:rPr>
        <w:t>3150kW</w:t>
      </w:r>
      <w:r>
        <w:rPr>
          <w:rFonts w:hint="eastAsia"/>
          <w:color w:val="auto"/>
          <w:highlight w:val="none"/>
        </w:rPr>
        <w:t>/10kV。</w:t>
      </w:r>
    </w:p>
    <w:p w14:paraId="260B3DA6">
      <w:pPr>
        <w:shd w:val="clear"/>
        <w:rPr>
          <w:color w:val="auto"/>
          <w:highlight w:val="none"/>
        </w:rPr>
      </w:pPr>
      <w:r>
        <w:rPr>
          <w:rFonts w:hint="eastAsia"/>
          <w:color w:val="auto"/>
          <w:highlight w:val="none"/>
        </w:rPr>
        <w:t>2）2号高炉矿槽除尘电机利旧，原来的1台1250kW/6kV不变。</w:t>
      </w:r>
    </w:p>
    <w:p w14:paraId="391A260A">
      <w:pPr>
        <w:shd w:val="clear"/>
        <w:rPr>
          <w:color w:val="auto"/>
          <w:highlight w:val="none"/>
        </w:rPr>
      </w:pPr>
      <w:r>
        <w:rPr>
          <w:rFonts w:hint="eastAsia"/>
          <w:color w:val="auto"/>
          <w:highlight w:val="none"/>
        </w:rPr>
        <w:t>3）2号高炉地沟除尘电机改为1台1800kW/6kV</w:t>
      </w:r>
      <w:r>
        <w:rPr>
          <w:rFonts w:hint="eastAsia"/>
          <w:color w:val="auto"/>
          <w:highlight w:val="none"/>
          <w:lang w:eastAsia="zh-CN"/>
        </w:rPr>
        <w:t>（</w:t>
      </w:r>
      <w:r>
        <w:rPr>
          <w:rFonts w:hint="eastAsia"/>
          <w:color w:val="auto"/>
          <w:highlight w:val="none"/>
          <w:lang w:val="en-US" w:eastAsia="zh-CN"/>
        </w:rPr>
        <w:t>利旧</w:t>
      </w:r>
      <w:r>
        <w:rPr>
          <w:rFonts w:hint="eastAsia"/>
          <w:color w:val="auto"/>
          <w:highlight w:val="none"/>
          <w:lang w:eastAsia="zh-CN"/>
        </w:rPr>
        <w:t>）</w:t>
      </w:r>
      <w:r>
        <w:rPr>
          <w:rFonts w:hint="eastAsia"/>
          <w:color w:val="auto"/>
          <w:highlight w:val="none"/>
        </w:rPr>
        <w:t>。</w:t>
      </w:r>
    </w:p>
    <w:p w14:paraId="133C5469">
      <w:pPr>
        <w:shd w:val="clear"/>
        <w:rPr>
          <w:color w:val="auto"/>
          <w:highlight w:val="none"/>
        </w:rPr>
      </w:pPr>
      <w:r>
        <w:rPr>
          <w:rFonts w:hint="eastAsia"/>
          <w:color w:val="auto"/>
          <w:highlight w:val="none"/>
        </w:rPr>
        <w:t>本次2号高炉改造后，炼铁变电所10kV侧新增供电的电气设备装机容量约为</w:t>
      </w:r>
      <w:r>
        <w:rPr>
          <w:color w:val="auto"/>
          <w:highlight w:val="none"/>
        </w:rPr>
        <w:t>3150kW</w:t>
      </w:r>
      <w:r>
        <w:rPr>
          <w:rFonts w:hint="eastAsia"/>
          <w:color w:val="auto"/>
          <w:highlight w:val="none"/>
        </w:rPr>
        <w:t>，新增用电计算负荷Pjs＝</w:t>
      </w:r>
      <w:r>
        <w:rPr>
          <w:color w:val="auto"/>
          <w:highlight w:val="none"/>
        </w:rPr>
        <w:t>2362</w:t>
      </w:r>
      <w:r>
        <w:rPr>
          <w:rFonts w:hint="eastAsia"/>
          <w:color w:val="auto"/>
          <w:highlight w:val="none"/>
        </w:rPr>
        <w:t>kW，Qjs＝</w:t>
      </w:r>
      <w:r>
        <w:rPr>
          <w:color w:val="auto"/>
          <w:highlight w:val="none"/>
        </w:rPr>
        <w:t>1144</w:t>
      </w:r>
      <w:r>
        <w:rPr>
          <w:rFonts w:hint="eastAsia"/>
          <w:color w:val="auto"/>
          <w:highlight w:val="none"/>
        </w:rPr>
        <w:t>kvar，Sjs=</w:t>
      </w:r>
      <w:r>
        <w:rPr>
          <w:color w:val="auto"/>
          <w:highlight w:val="none"/>
        </w:rPr>
        <w:t>2625</w:t>
      </w:r>
      <w:r>
        <w:rPr>
          <w:rFonts w:hint="eastAsia"/>
          <w:color w:val="auto"/>
          <w:highlight w:val="none"/>
        </w:rPr>
        <w:t>kVA。炼铁变电所6kV侧相应减少供电的电气设备装机容量约为</w:t>
      </w:r>
      <w:r>
        <w:rPr>
          <w:color w:val="auto"/>
          <w:highlight w:val="none"/>
        </w:rPr>
        <w:t>340</w:t>
      </w:r>
      <w:r>
        <w:rPr>
          <w:rFonts w:hint="eastAsia"/>
          <w:color w:val="auto"/>
          <w:highlight w:val="none"/>
        </w:rPr>
        <w:t>kW。</w:t>
      </w:r>
    </w:p>
    <w:p w14:paraId="7F9CB52F">
      <w:pPr>
        <w:shd w:val="clear"/>
        <w:ind w:firstLine="0" w:firstLineChars="0"/>
        <w:outlineLvl w:val="3"/>
        <w:rPr>
          <w:color w:val="auto"/>
          <w:highlight w:val="none"/>
        </w:rPr>
      </w:pPr>
      <w:r>
        <w:rPr>
          <w:rFonts w:hint="eastAsia"/>
          <w:color w:val="auto"/>
          <w:highlight w:val="none"/>
        </w:rPr>
        <w:t>8.2.1.3 炼铁变电所改造方案</w:t>
      </w:r>
    </w:p>
    <w:p w14:paraId="17A9F96E">
      <w:pPr>
        <w:shd w:val="clear"/>
        <w:rPr>
          <w:color w:val="auto"/>
          <w:highlight w:val="none"/>
        </w:rPr>
      </w:pPr>
      <w:r>
        <w:rPr>
          <w:rFonts w:hint="eastAsia"/>
          <w:color w:val="auto"/>
          <w:highlight w:val="none"/>
        </w:rPr>
        <w:t>考虑到炼铁变电所现状及高压用电设备改造情况，</w:t>
      </w:r>
      <w:r>
        <w:rPr>
          <w:color w:val="auto"/>
          <w:highlight w:val="none"/>
        </w:rPr>
        <w:t>2</w:t>
      </w:r>
      <w:r>
        <w:rPr>
          <w:rFonts w:hint="eastAsia"/>
          <w:color w:val="auto"/>
          <w:highlight w:val="none"/>
        </w:rPr>
        <w:t>号高炉改造利旧现有炼铁变电所内10kV及6kV开关柜、直流屏、继电保护及监控系统，根据需要对部分10kV开关柜内一、二次元器件进行改造，详细改造方案如下：</w:t>
      </w:r>
    </w:p>
    <w:p w14:paraId="00F43A5D">
      <w:pPr>
        <w:shd w:val="clear"/>
        <w:rPr>
          <w:rFonts w:hint="eastAsia"/>
          <w:color w:val="auto"/>
          <w:highlight w:val="none"/>
        </w:rPr>
      </w:pPr>
      <w:r>
        <w:rPr>
          <w:rFonts w:hint="eastAsia"/>
          <w:color w:val="auto"/>
          <w:highlight w:val="none"/>
        </w:rPr>
        <w:t>1）2023年</w:t>
      </w:r>
      <w:r>
        <w:rPr>
          <w:color w:val="auto"/>
          <w:highlight w:val="none"/>
        </w:rPr>
        <w:t>11</w:t>
      </w:r>
      <w:r>
        <w:rPr>
          <w:rFonts w:hint="eastAsia"/>
          <w:color w:val="auto"/>
          <w:highlight w:val="none"/>
        </w:rPr>
        <w:t>月新3号高炉配套喷煤建成投用后，现有一喷煤停用，此时供喷煤电气室1#、2#变压器10kV电源回路可退出，相应供喷煤电气室1#、2#变压器回路10kV开关柜HA18（编号1</w:t>
      </w:r>
      <w:r>
        <w:rPr>
          <w:color w:val="auto"/>
          <w:highlight w:val="none"/>
        </w:rPr>
        <w:t>018</w:t>
      </w:r>
      <w:r>
        <w:rPr>
          <w:rFonts w:hint="eastAsia"/>
          <w:color w:val="auto"/>
          <w:highlight w:val="none"/>
        </w:rPr>
        <w:t>）和HB17（编号1</w:t>
      </w:r>
      <w:r>
        <w:rPr>
          <w:color w:val="auto"/>
          <w:highlight w:val="none"/>
        </w:rPr>
        <w:t>047</w:t>
      </w:r>
      <w:r>
        <w:rPr>
          <w:rFonts w:hint="eastAsia"/>
          <w:color w:val="auto"/>
          <w:highlight w:val="none"/>
        </w:rPr>
        <w:t>）可作为它用。将10kV开关柜HB17（编号1</w:t>
      </w:r>
      <w:r>
        <w:rPr>
          <w:color w:val="auto"/>
          <w:highlight w:val="none"/>
        </w:rPr>
        <w:t>047</w:t>
      </w:r>
      <w:r>
        <w:rPr>
          <w:rFonts w:hint="eastAsia"/>
          <w:color w:val="auto"/>
          <w:highlight w:val="none"/>
        </w:rPr>
        <w:t>）改为2号高炉新建出铁场除尘电机（</w:t>
      </w:r>
      <w:r>
        <w:rPr>
          <w:color w:val="auto"/>
          <w:highlight w:val="none"/>
        </w:rPr>
        <w:t>3150kW</w:t>
      </w:r>
      <w:r>
        <w:rPr>
          <w:rFonts w:hint="eastAsia"/>
          <w:color w:val="auto"/>
          <w:highlight w:val="none"/>
        </w:rPr>
        <w:t>）供电回路，且需更换HB17柜内CT和微机综保装置，将CT变比150/5A更换为300/5A；将原有10kV变压器保护测控装置更换为10kV线路保护测控装置，</w:t>
      </w:r>
      <w:r>
        <w:rPr>
          <w:rFonts w:hint="eastAsia"/>
          <w:color w:val="auto"/>
          <w:highlight w:val="none"/>
          <w:lang w:val="en-US" w:eastAsia="zh-CN"/>
        </w:rPr>
        <w:t>更换柜内断路器（替换为永磁式断路器</w:t>
      </w:r>
      <w:r>
        <w:rPr>
          <w:rFonts w:ascii="宋体" w:hAnsi="宋体" w:eastAsia="宋体" w:cs="宋体"/>
          <w:color w:val="auto"/>
          <w:sz w:val="24"/>
          <w:szCs w:val="24"/>
          <w:highlight w:val="none"/>
        </w:rPr>
        <w:t>YDDMB-12/DL1250-31.5</w:t>
      </w:r>
      <w:r>
        <w:rPr>
          <w:rFonts w:hint="eastAsia"/>
          <w:color w:val="auto"/>
          <w:highlight w:val="none"/>
          <w:lang w:val="en-US" w:eastAsia="zh-CN"/>
        </w:rPr>
        <w:t>），柜内增加无线测温装置，数据上传至铁前变电站，</w:t>
      </w:r>
      <w:r>
        <w:rPr>
          <w:rFonts w:hint="eastAsia"/>
          <w:color w:val="auto"/>
          <w:highlight w:val="none"/>
        </w:rPr>
        <w:t>柜内其它一、二次元器件均利旧。</w:t>
      </w:r>
    </w:p>
    <w:p w14:paraId="4B7CA1CC">
      <w:pPr>
        <w:shd w:val="clear"/>
        <w:rPr>
          <w:rFonts w:hint="eastAsia" w:eastAsia="宋体"/>
          <w:color w:val="auto"/>
          <w:highlight w:val="none"/>
          <w:lang w:eastAsia="zh-CN"/>
        </w:rPr>
      </w:pPr>
      <w:r>
        <w:rPr>
          <w:rFonts w:hint="eastAsia"/>
          <w:color w:val="auto"/>
          <w:highlight w:val="none"/>
        </w:rPr>
        <w:t>2）利旧改造原有矿槽除尘现场6kV开关柜为利旧改造的2号高炉矿槽除尘电机（1250kW）供电，需更换柜内过电压保护器和断路器及滑道，软启动装置控制器更换；柜内其它一、二次元器件均利旧</w:t>
      </w:r>
      <w:r>
        <w:rPr>
          <w:rFonts w:hint="eastAsia"/>
          <w:color w:val="auto"/>
          <w:highlight w:val="none"/>
          <w:lang w:eastAsia="zh-CN"/>
        </w:rPr>
        <w:t>。</w:t>
      </w:r>
    </w:p>
    <w:p w14:paraId="32199EE9">
      <w:pPr>
        <w:shd w:val="clear"/>
        <w:rPr>
          <w:color w:val="auto"/>
          <w:highlight w:val="none"/>
        </w:rPr>
      </w:pPr>
      <w:r>
        <w:rPr>
          <w:rFonts w:hint="eastAsia"/>
          <w:color w:val="auto"/>
          <w:highlight w:val="none"/>
        </w:rPr>
        <w:t>3）利旧</w:t>
      </w:r>
      <w:r>
        <w:rPr>
          <w:rFonts w:hint="eastAsia"/>
          <w:color w:val="auto"/>
          <w:highlight w:val="none"/>
          <w:lang w:val="en-US" w:eastAsia="zh-CN"/>
        </w:rPr>
        <w:t>改造</w:t>
      </w:r>
      <w:r>
        <w:rPr>
          <w:rFonts w:hint="eastAsia"/>
          <w:color w:val="auto"/>
          <w:highlight w:val="none"/>
        </w:rPr>
        <w:t>原有</w:t>
      </w:r>
      <w:r>
        <w:rPr>
          <w:rFonts w:hint="eastAsia"/>
          <w:color w:val="auto"/>
          <w:highlight w:val="none"/>
          <w:lang w:val="en-US" w:eastAsia="zh-CN"/>
        </w:rPr>
        <w:t>出铁场除尘现场</w:t>
      </w:r>
      <w:r>
        <w:rPr>
          <w:rFonts w:hint="eastAsia"/>
          <w:color w:val="auto"/>
          <w:highlight w:val="none"/>
        </w:rPr>
        <w:t>6kV开关柜为2号高炉地沟除尘电机（1800kW）供电，需更换柜内CT、过电压保护器和微机综保装置，将CT变比150/5A更换为300/5A；将原有6kV电动机型过电压保护器更换为6kV电站型过电压保护器；将原有6kV电动机保护测控装置更换为6kV线路保护测控装置，柜内其它一、二次元器件均利旧。</w:t>
      </w:r>
    </w:p>
    <w:p w14:paraId="3BD94AEB">
      <w:pPr>
        <w:shd w:val="clear"/>
        <w:rPr>
          <w:color w:val="auto"/>
          <w:highlight w:val="none"/>
        </w:rPr>
      </w:pPr>
      <w:r>
        <w:rPr>
          <w:rFonts w:hint="eastAsia"/>
          <w:color w:val="auto"/>
          <w:highlight w:val="none"/>
        </w:rPr>
        <w:t>5）当2号高炉改造完毕后，经核算：炼铁变电所10kV系统主母排（3×TMY-100×10）、进线柜真空断路器和电流互感器（VSCA-12/2000-31.5及</w:t>
      </w:r>
      <w:r>
        <w:rPr>
          <w:color w:val="auto"/>
          <w:highlight w:val="none"/>
        </w:rPr>
        <w:t>LZZBJ9-10C2</w:t>
      </w:r>
      <w:r>
        <w:rPr>
          <w:rFonts w:hint="eastAsia"/>
          <w:color w:val="auto"/>
          <w:highlight w:val="none"/>
        </w:rPr>
        <w:t>，</w:t>
      </w:r>
      <w:r>
        <w:rPr>
          <w:color w:val="auto"/>
          <w:highlight w:val="none"/>
        </w:rPr>
        <w:t>1500/5A</w:t>
      </w:r>
      <w:r>
        <w:rPr>
          <w:rFonts w:hint="eastAsia"/>
          <w:color w:val="auto"/>
          <w:highlight w:val="none"/>
        </w:rPr>
        <w:t>）、母联分段柜真空断路器和电流互感器（VSCA-12/1250-31.5及</w:t>
      </w:r>
      <w:r>
        <w:rPr>
          <w:color w:val="auto"/>
          <w:highlight w:val="none"/>
        </w:rPr>
        <w:t>LZZBJ9-10C2</w:t>
      </w:r>
      <w:r>
        <w:rPr>
          <w:rFonts w:hint="eastAsia"/>
          <w:color w:val="auto"/>
          <w:highlight w:val="none"/>
        </w:rPr>
        <w:t>，</w:t>
      </w:r>
      <w:r>
        <w:rPr>
          <w:color w:val="auto"/>
          <w:highlight w:val="none"/>
        </w:rPr>
        <w:t>1</w:t>
      </w:r>
      <w:r>
        <w:rPr>
          <w:rFonts w:hint="eastAsia"/>
          <w:color w:val="auto"/>
          <w:highlight w:val="none"/>
        </w:rPr>
        <w:t>2</w:t>
      </w:r>
      <w:r>
        <w:rPr>
          <w:color w:val="auto"/>
          <w:highlight w:val="none"/>
        </w:rPr>
        <w:t>00/5A</w:t>
      </w:r>
      <w:r>
        <w:rPr>
          <w:rFonts w:hint="eastAsia"/>
          <w:color w:val="auto"/>
          <w:highlight w:val="none"/>
        </w:rPr>
        <w:t>）、母联隔离柜手车（1250A-31.5kA）及进线电缆</w:t>
      </w:r>
      <w:r>
        <w:rPr>
          <w:color w:val="auto"/>
          <w:highlight w:val="none"/>
        </w:rPr>
        <w:t>ZR-YJV-8.7/15</w:t>
      </w:r>
      <w:r>
        <w:rPr>
          <w:rFonts w:hint="eastAsia"/>
          <w:color w:val="auto"/>
          <w:highlight w:val="none"/>
        </w:rPr>
        <w:t>-4（3×240）均满足要求，均可以利旧。炼铁变电所6kV系统主母排（3×TMY-100×10）、进线柜真空断路器和电流互感器（VSCA-12/2000-31.5及</w:t>
      </w:r>
      <w:r>
        <w:rPr>
          <w:color w:val="auto"/>
          <w:highlight w:val="none"/>
        </w:rPr>
        <w:t>LZZBJ9-10C2</w:t>
      </w:r>
      <w:r>
        <w:rPr>
          <w:rFonts w:hint="eastAsia"/>
          <w:color w:val="auto"/>
          <w:highlight w:val="none"/>
        </w:rPr>
        <w:t>，8</w:t>
      </w:r>
      <w:r>
        <w:rPr>
          <w:color w:val="auto"/>
          <w:highlight w:val="none"/>
        </w:rPr>
        <w:t>00/5A</w:t>
      </w:r>
      <w:r>
        <w:rPr>
          <w:rFonts w:hint="eastAsia"/>
          <w:color w:val="auto"/>
          <w:highlight w:val="none"/>
        </w:rPr>
        <w:t>）、母联分段柜真空断路器和电流互感器（VSCA-12/1250-31.5及</w:t>
      </w:r>
      <w:r>
        <w:rPr>
          <w:color w:val="auto"/>
          <w:highlight w:val="none"/>
        </w:rPr>
        <w:t>LZZBJ9-10C2</w:t>
      </w:r>
      <w:r>
        <w:rPr>
          <w:rFonts w:hint="eastAsia"/>
          <w:color w:val="auto"/>
          <w:highlight w:val="none"/>
        </w:rPr>
        <w:t>，6</w:t>
      </w:r>
      <w:r>
        <w:rPr>
          <w:color w:val="auto"/>
          <w:highlight w:val="none"/>
        </w:rPr>
        <w:t>00/5A</w:t>
      </w:r>
      <w:r>
        <w:rPr>
          <w:rFonts w:hint="eastAsia"/>
          <w:color w:val="auto"/>
          <w:highlight w:val="none"/>
        </w:rPr>
        <w:t>）、母联隔离柜手车（1250A-31.5kA）及进线电缆</w:t>
      </w:r>
      <w:r>
        <w:rPr>
          <w:color w:val="auto"/>
          <w:highlight w:val="none"/>
        </w:rPr>
        <w:t>ZR-YJV-8.7/15</w:t>
      </w:r>
      <w:r>
        <w:rPr>
          <w:rFonts w:hint="eastAsia"/>
          <w:color w:val="auto"/>
          <w:highlight w:val="none"/>
        </w:rPr>
        <w:t>-2（3×240）均满足要求，均可以利旧。</w:t>
      </w:r>
    </w:p>
    <w:p w14:paraId="14CF8AC1">
      <w:pPr>
        <w:shd w:val="clear"/>
        <w:ind w:firstLine="0" w:firstLineChars="0"/>
        <w:outlineLvl w:val="2"/>
        <w:rPr>
          <w:rFonts w:cs="Times New Roman"/>
          <w:color w:val="auto"/>
          <w:szCs w:val="28"/>
          <w:highlight w:val="none"/>
        </w:rPr>
      </w:pPr>
      <w:bookmarkStart w:id="657" w:name="_Toc16158"/>
      <w:r>
        <w:rPr>
          <w:rFonts w:cs="Times New Roman"/>
          <w:color w:val="auto"/>
          <w:szCs w:val="28"/>
          <w:highlight w:val="none"/>
        </w:rPr>
        <w:t>8.</w:t>
      </w:r>
      <w:r>
        <w:rPr>
          <w:rFonts w:hint="eastAsia" w:cs="Times New Roman"/>
          <w:color w:val="auto"/>
          <w:szCs w:val="28"/>
          <w:highlight w:val="none"/>
        </w:rPr>
        <w:t>2</w:t>
      </w:r>
      <w:r>
        <w:rPr>
          <w:rFonts w:cs="Times New Roman"/>
          <w:color w:val="auto"/>
          <w:szCs w:val="28"/>
          <w:highlight w:val="none"/>
        </w:rPr>
        <w:t xml:space="preserve">.2 </w:t>
      </w:r>
      <w:r>
        <w:rPr>
          <w:rFonts w:hint="eastAsia" w:cs="Times New Roman"/>
          <w:color w:val="auto"/>
          <w:szCs w:val="28"/>
          <w:highlight w:val="none"/>
        </w:rPr>
        <w:t>新增10kV、6kV除尘电机就地10kV、6kV开关柜</w:t>
      </w:r>
      <w:bookmarkEnd w:id="657"/>
    </w:p>
    <w:p w14:paraId="13966ACF">
      <w:pPr>
        <w:shd w:val="clear"/>
        <w:rPr>
          <w:color w:val="auto"/>
          <w:highlight w:val="none"/>
        </w:rPr>
      </w:pPr>
      <w:r>
        <w:rPr>
          <w:rFonts w:hint="eastAsia"/>
          <w:color w:val="auto"/>
          <w:highlight w:val="none"/>
        </w:rPr>
        <w:t>根据与业主沟通交流，为满足现场紧急启、停除尘风机的操作需要，对2号高炉新建出铁场除尘电机（</w:t>
      </w:r>
      <w:r>
        <w:rPr>
          <w:color w:val="auto"/>
          <w:highlight w:val="none"/>
        </w:rPr>
        <w:t>3150kW</w:t>
      </w:r>
      <w:r>
        <w:rPr>
          <w:rFonts w:hint="eastAsia"/>
          <w:color w:val="auto"/>
          <w:highlight w:val="none"/>
        </w:rPr>
        <w:t>/10kV）在现场就地设置一台10kV开关柜对其进行合、分闸控制。对2号高炉利旧的矿槽除尘电机（1</w:t>
      </w:r>
      <w:r>
        <w:rPr>
          <w:color w:val="auto"/>
          <w:highlight w:val="none"/>
        </w:rPr>
        <w:t>25</w:t>
      </w:r>
      <w:r>
        <w:rPr>
          <w:rFonts w:hint="eastAsia"/>
          <w:color w:val="auto"/>
          <w:highlight w:val="none"/>
        </w:rPr>
        <w:t>0kW/6kV）和地沟除尘电机（1800kW/6kV）各自就地6kV开关柜进行利旧改造。</w:t>
      </w:r>
    </w:p>
    <w:p w14:paraId="414AB523">
      <w:pPr>
        <w:pStyle w:val="26"/>
        <w:shd w:val="clear"/>
        <w:rPr>
          <w:rFonts w:hint="default" w:eastAsia="宋体"/>
          <w:color w:val="auto"/>
          <w:highlight w:val="none"/>
          <w:lang w:val="en-US" w:eastAsia="zh-CN"/>
        </w:rPr>
      </w:pPr>
      <w:r>
        <w:rPr>
          <w:rFonts w:hint="eastAsia"/>
          <w:color w:val="auto"/>
          <w:highlight w:val="none"/>
          <w:lang w:val="en-US" w:eastAsia="zh-CN"/>
        </w:rPr>
        <w:t>新增高压柜及动力电缆配置温度在线检测系统。</w:t>
      </w:r>
    </w:p>
    <w:p w14:paraId="564555CD">
      <w:pPr>
        <w:shd w:val="clear"/>
        <w:ind w:firstLine="0" w:firstLineChars="0"/>
        <w:outlineLvl w:val="2"/>
        <w:rPr>
          <w:rFonts w:cs="Times New Roman"/>
          <w:color w:val="auto"/>
          <w:szCs w:val="28"/>
          <w:highlight w:val="none"/>
        </w:rPr>
      </w:pPr>
      <w:bookmarkStart w:id="658" w:name="_Toc7937"/>
      <w:r>
        <w:rPr>
          <w:rFonts w:cs="Times New Roman"/>
          <w:color w:val="auto"/>
          <w:szCs w:val="28"/>
          <w:highlight w:val="none"/>
        </w:rPr>
        <w:t>8.</w:t>
      </w:r>
      <w:r>
        <w:rPr>
          <w:rFonts w:hint="eastAsia" w:cs="Times New Roman"/>
          <w:color w:val="auto"/>
          <w:szCs w:val="28"/>
          <w:highlight w:val="none"/>
        </w:rPr>
        <w:t>2</w:t>
      </w:r>
      <w:r>
        <w:rPr>
          <w:rFonts w:cs="Times New Roman"/>
          <w:color w:val="auto"/>
          <w:szCs w:val="28"/>
          <w:highlight w:val="none"/>
        </w:rPr>
        <w:t xml:space="preserve">.3 </w:t>
      </w:r>
      <w:r>
        <w:rPr>
          <w:rFonts w:hint="eastAsia" w:cs="Times New Roman"/>
          <w:color w:val="auto"/>
          <w:szCs w:val="28"/>
          <w:highlight w:val="none"/>
        </w:rPr>
        <w:t>软水泵房10kV开关站改造</w:t>
      </w:r>
      <w:bookmarkEnd w:id="658"/>
    </w:p>
    <w:p w14:paraId="19BEA789">
      <w:pPr>
        <w:shd w:val="clear"/>
        <w:jc w:val="both"/>
        <w:textAlignment w:val="baseline"/>
        <w:rPr>
          <w:rFonts w:ascii="Times New Roman" w:hAnsi="Times New Roman" w:cs="Times New Roman"/>
          <w:color w:val="auto"/>
          <w:highlight w:val="none"/>
        </w:rPr>
      </w:pPr>
      <w:r>
        <w:rPr>
          <w:rFonts w:hint="eastAsia" w:ascii="Times New Roman" w:hAnsi="Times New Roman" w:cs="Times New Roman"/>
          <w:color w:val="auto"/>
          <w:highlight w:val="none"/>
        </w:rPr>
        <w:t>本次2号高炉改造，利旧软水泵房10kV开关站所有电力设施。</w:t>
      </w:r>
    </w:p>
    <w:p w14:paraId="419EE108">
      <w:pPr>
        <w:shd w:val="clear"/>
        <w:ind w:firstLine="0" w:firstLineChars="0"/>
        <w:outlineLvl w:val="2"/>
        <w:rPr>
          <w:rFonts w:cs="Times New Roman"/>
          <w:color w:val="auto"/>
          <w:szCs w:val="28"/>
          <w:highlight w:val="none"/>
        </w:rPr>
      </w:pPr>
      <w:bookmarkStart w:id="659" w:name="_Toc16001"/>
      <w:r>
        <w:rPr>
          <w:rFonts w:hint="eastAsia" w:cs="Times New Roman"/>
          <w:color w:val="auto"/>
          <w:szCs w:val="28"/>
          <w:highlight w:val="none"/>
        </w:rPr>
        <w:t>8.2.4</w:t>
      </w:r>
      <w:r>
        <w:rPr>
          <w:rFonts w:cs="Times New Roman"/>
          <w:color w:val="auto"/>
          <w:szCs w:val="28"/>
          <w:highlight w:val="none"/>
        </w:rPr>
        <w:t xml:space="preserve"> </w:t>
      </w:r>
      <w:r>
        <w:rPr>
          <w:rFonts w:hint="eastAsia" w:cs="Times New Roman"/>
          <w:color w:val="auto"/>
          <w:szCs w:val="28"/>
          <w:highlight w:val="none"/>
        </w:rPr>
        <w:t>TRT站改造</w:t>
      </w:r>
      <w:bookmarkEnd w:id="659"/>
    </w:p>
    <w:p w14:paraId="6CEAAA9E">
      <w:pPr>
        <w:shd w:val="clear"/>
        <w:jc w:val="both"/>
        <w:textAlignment w:val="baseline"/>
        <w:rPr>
          <w:rFonts w:ascii="Times New Roman" w:hAnsi="Times New Roman" w:cs="Times New Roman"/>
          <w:color w:val="auto"/>
          <w:highlight w:val="none"/>
        </w:rPr>
      </w:pPr>
      <w:r>
        <w:rPr>
          <w:rFonts w:hint="eastAsia" w:ascii="Times New Roman" w:hAnsi="Times New Roman" w:cs="Times New Roman"/>
          <w:color w:val="auto"/>
          <w:highlight w:val="none"/>
        </w:rPr>
        <w:t>本次2号高炉改造，利旧TRT站所有电力设施。</w:t>
      </w:r>
    </w:p>
    <w:p w14:paraId="1DD996B2">
      <w:pPr>
        <w:shd w:val="clear"/>
        <w:ind w:firstLine="0" w:firstLineChars="0"/>
        <w:outlineLvl w:val="1"/>
        <w:rPr>
          <w:rFonts w:cs="Times New Roman"/>
          <w:b/>
          <w:color w:val="auto"/>
          <w:sz w:val="28"/>
          <w:szCs w:val="28"/>
          <w:highlight w:val="none"/>
        </w:rPr>
      </w:pPr>
      <w:bookmarkStart w:id="660" w:name="_Toc1657"/>
      <w:bookmarkStart w:id="661" w:name="_Toc15938"/>
      <w:bookmarkStart w:id="662" w:name="_Toc103071632"/>
      <w:bookmarkStart w:id="663" w:name="_Toc2232"/>
      <w:bookmarkStart w:id="664" w:name="_Toc19896"/>
      <w:bookmarkStart w:id="665" w:name="_Toc175920404"/>
      <w:bookmarkStart w:id="666" w:name="_Toc29192"/>
      <w:bookmarkStart w:id="667" w:name="_Toc19669"/>
      <w:r>
        <w:rPr>
          <w:rFonts w:hint="eastAsia" w:cs="Times New Roman"/>
          <w:b/>
          <w:color w:val="auto"/>
          <w:sz w:val="28"/>
          <w:szCs w:val="28"/>
          <w:highlight w:val="none"/>
        </w:rPr>
        <w:t>8.3 站用电及直流电源</w:t>
      </w:r>
      <w:bookmarkEnd w:id="660"/>
      <w:bookmarkEnd w:id="661"/>
      <w:bookmarkEnd w:id="662"/>
      <w:bookmarkEnd w:id="663"/>
      <w:bookmarkEnd w:id="664"/>
      <w:bookmarkEnd w:id="665"/>
      <w:bookmarkEnd w:id="666"/>
      <w:bookmarkEnd w:id="667"/>
    </w:p>
    <w:p w14:paraId="0B5FAE7B">
      <w:pPr>
        <w:shd w:val="clear"/>
        <w:rPr>
          <w:color w:val="auto"/>
          <w:highlight w:val="none"/>
        </w:rPr>
      </w:pPr>
      <w:bookmarkStart w:id="668" w:name="_Toc175920405"/>
      <w:r>
        <w:rPr>
          <w:rFonts w:hint="eastAsia"/>
          <w:color w:val="auto"/>
          <w:highlight w:val="none"/>
        </w:rPr>
        <w:t>本工程炼铁变电所、软水泵房10kV开关站及TRT站利旧原有站用电为站内各用电设备及照明等动力负荷提供电源。</w:t>
      </w:r>
    </w:p>
    <w:p w14:paraId="623DD1D1">
      <w:pPr>
        <w:shd w:val="clear"/>
        <w:rPr>
          <w:color w:val="auto"/>
          <w:highlight w:val="none"/>
        </w:rPr>
      </w:pPr>
      <w:r>
        <w:rPr>
          <w:rFonts w:hint="eastAsia"/>
          <w:color w:val="auto"/>
          <w:highlight w:val="none"/>
        </w:rPr>
        <w:t>本工程炼铁变电所、软水泵房10kV开关站及TRT站利旧原有直流屏。</w:t>
      </w:r>
    </w:p>
    <w:p w14:paraId="4EA1CFF7">
      <w:pPr>
        <w:shd w:val="clear"/>
        <w:rPr>
          <w:color w:val="auto"/>
          <w:highlight w:val="none"/>
        </w:rPr>
      </w:pPr>
      <w:r>
        <w:rPr>
          <w:rFonts w:hint="eastAsia"/>
          <w:color w:val="auto"/>
          <w:highlight w:val="none"/>
        </w:rPr>
        <w:t>新增10kV和6</w:t>
      </w:r>
      <w:r>
        <w:rPr>
          <w:color w:val="auto"/>
          <w:highlight w:val="none"/>
        </w:rPr>
        <w:t>kV</w:t>
      </w:r>
      <w:r>
        <w:rPr>
          <w:rFonts w:hint="eastAsia"/>
          <w:color w:val="auto"/>
          <w:highlight w:val="none"/>
        </w:rPr>
        <w:t>电机就地开关柜均采用</w:t>
      </w:r>
      <w:r>
        <w:rPr>
          <w:rFonts w:hint="eastAsia"/>
          <w:color w:val="auto"/>
          <w:highlight w:val="none"/>
          <w:lang w:val="en-US" w:eastAsia="zh-CN"/>
        </w:rPr>
        <w:t>现场增加直流电源装置</w:t>
      </w:r>
      <w:r>
        <w:rPr>
          <w:color w:val="auto"/>
          <w:highlight w:val="none"/>
        </w:rPr>
        <w:t>给10</w:t>
      </w:r>
      <w:r>
        <w:rPr>
          <w:rFonts w:hint="eastAsia"/>
          <w:color w:val="auto"/>
          <w:highlight w:val="none"/>
        </w:rPr>
        <w:t>kV、6kV</w:t>
      </w:r>
      <w:r>
        <w:rPr>
          <w:color w:val="auto"/>
          <w:highlight w:val="none"/>
        </w:rPr>
        <w:t>开关设备提供控制、合闸电源</w:t>
      </w:r>
      <w:r>
        <w:rPr>
          <w:rFonts w:hint="eastAsia"/>
          <w:color w:val="auto"/>
          <w:highlight w:val="none"/>
        </w:rPr>
        <w:t>。利旧的矿槽除尘电机（1</w:t>
      </w:r>
      <w:r>
        <w:rPr>
          <w:color w:val="auto"/>
          <w:highlight w:val="none"/>
        </w:rPr>
        <w:t>25</w:t>
      </w:r>
      <w:r>
        <w:rPr>
          <w:rFonts w:hint="eastAsia"/>
          <w:color w:val="auto"/>
          <w:highlight w:val="none"/>
        </w:rPr>
        <w:t>0kW/6kV）和地沟除尘电机（1800kW/6kV）各自就地6kV开关柜保持原有方式提供控制、合闸电源。</w:t>
      </w:r>
    </w:p>
    <w:p w14:paraId="21A0C9E5">
      <w:pPr>
        <w:shd w:val="clear"/>
        <w:ind w:firstLine="0" w:firstLineChars="0"/>
        <w:outlineLvl w:val="1"/>
        <w:rPr>
          <w:rFonts w:cs="Times New Roman"/>
          <w:b/>
          <w:color w:val="auto"/>
          <w:sz w:val="28"/>
          <w:szCs w:val="28"/>
          <w:highlight w:val="none"/>
        </w:rPr>
      </w:pPr>
      <w:bookmarkStart w:id="669" w:name="_Toc3448"/>
      <w:bookmarkStart w:id="670" w:name="_Toc26571"/>
      <w:bookmarkStart w:id="671" w:name="_Toc8996"/>
      <w:bookmarkStart w:id="672" w:name="_Toc20315"/>
      <w:bookmarkStart w:id="673" w:name="_Toc2096"/>
      <w:bookmarkStart w:id="674" w:name="_Toc4480"/>
      <w:r>
        <w:rPr>
          <w:rFonts w:hint="eastAsia" w:cs="Times New Roman"/>
          <w:b/>
          <w:color w:val="auto"/>
          <w:sz w:val="28"/>
          <w:szCs w:val="28"/>
          <w:highlight w:val="none"/>
        </w:rPr>
        <w:t>8.4 电机启动与调速</w:t>
      </w:r>
      <w:bookmarkEnd w:id="668"/>
      <w:bookmarkEnd w:id="669"/>
      <w:bookmarkEnd w:id="670"/>
      <w:bookmarkEnd w:id="671"/>
      <w:bookmarkEnd w:id="672"/>
      <w:bookmarkEnd w:id="673"/>
      <w:bookmarkEnd w:id="674"/>
    </w:p>
    <w:p w14:paraId="6D59D5A8">
      <w:pPr>
        <w:shd w:val="clear"/>
        <w:rPr>
          <w:color w:val="auto"/>
          <w:highlight w:val="none"/>
        </w:rPr>
      </w:pPr>
      <w:bookmarkStart w:id="675" w:name="_Toc175920406"/>
      <w:r>
        <w:rPr>
          <w:color w:val="auto"/>
          <w:highlight w:val="none"/>
        </w:rPr>
        <w:t>2</w:t>
      </w:r>
      <w:r>
        <w:rPr>
          <w:rFonts w:hint="eastAsia"/>
          <w:color w:val="auto"/>
          <w:highlight w:val="none"/>
        </w:rPr>
        <w:t>号高炉改造，以下10kV、6kV电机配套变频器装置及软启动装置：</w:t>
      </w:r>
    </w:p>
    <w:p w14:paraId="2FCD3255">
      <w:pPr>
        <w:shd w:val="clear"/>
        <w:rPr>
          <w:color w:val="auto"/>
          <w:highlight w:val="none"/>
        </w:rPr>
      </w:pPr>
      <w:r>
        <w:rPr>
          <w:rFonts w:hint="eastAsia"/>
          <w:color w:val="auto"/>
          <w:highlight w:val="none"/>
        </w:rPr>
        <w:t>1）2号高炉出铁场除尘电机采用变频器起动及调速，带手动旁路柜，为一拖一方式。</w:t>
      </w:r>
      <w:r>
        <w:rPr>
          <w:color w:val="auto"/>
          <w:highlight w:val="none"/>
        </w:rPr>
        <w:t>另设一套软启动装置作为备用</w:t>
      </w:r>
      <w:r>
        <w:rPr>
          <w:rFonts w:hint="eastAsia"/>
          <w:color w:val="auto"/>
          <w:highlight w:val="none"/>
        </w:rPr>
        <w:t>，当变频器故障时可切换至软启动回路工频运行</w:t>
      </w:r>
      <w:r>
        <w:rPr>
          <w:color w:val="auto"/>
          <w:highlight w:val="none"/>
        </w:rPr>
        <w:t>。</w:t>
      </w:r>
    </w:p>
    <w:p w14:paraId="63E3D0D7">
      <w:pPr>
        <w:shd w:val="clear"/>
        <w:rPr>
          <w:color w:val="auto"/>
          <w:highlight w:val="none"/>
        </w:rPr>
      </w:pPr>
      <w:r>
        <w:rPr>
          <w:rFonts w:hint="eastAsia"/>
          <w:color w:val="auto"/>
          <w:highlight w:val="none"/>
        </w:rPr>
        <w:t>2）2号高炉矿槽</w:t>
      </w:r>
      <w:r>
        <w:rPr>
          <w:color w:val="auto"/>
          <w:highlight w:val="none"/>
        </w:rPr>
        <w:t>除尘</w:t>
      </w:r>
      <w:r>
        <w:rPr>
          <w:rFonts w:hint="eastAsia"/>
          <w:color w:val="auto"/>
          <w:highlight w:val="none"/>
        </w:rPr>
        <w:t>电</w:t>
      </w:r>
      <w:r>
        <w:rPr>
          <w:color w:val="auto"/>
          <w:highlight w:val="none"/>
        </w:rPr>
        <w:t>机</w:t>
      </w:r>
      <w:r>
        <w:rPr>
          <w:rFonts w:hint="eastAsia"/>
          <w:color w:val="auto"/>
          <w:highlight w:val="none"/>
        </w:rPr>
        <w:t>新增变频器，</w:t>
      </w:r>
      <w:r>
        <w:rPr>
          <w:color w:val="auto"/>
          <w:highlight w:val="none"/>
        </w:rPr>
        <w:t>采用</w:t>
      </w:r>
      <w:r>
        <w:rPr>
          <w:rFonts w:hint="eastAsia"/>
          <w:color w:val="auto"/>
          <w:highlight w:val="none"/>
        </w:rPr>
        <w:t>变频器起动及调速，带手动旁路柜，为一拖一方式。且利旧原有</w:t>
      </w:r>
      <w:r>
        <w:rPr>
          <w:color w:val="auto"/>
          <w:highlight w:val="none"/>
        </w:rPr>
        <w:t>软启动装置作为备用</w:t>
      </w:r>
      <w:r>
        <w:rPr>
          <w:rFonts w:hint="eastAsia"/>
          <w:color w:val="auto"/>
          <w:highlight w:val="none"/>
        </w:rPr>
        <w:t>，当变频器故障时可切换至软启动回路工频运行</w:t>
      </w:r>
      <w:r>
        <w:rPr>
          <w:color w:val="auto"/>
          <w:highlight w:val="none"/>
        </w:rPr>
        <w:t>。</w:t>
      </w:r>
    </w:p>
    <w:p w14:paraId="5A49E20D">
      <w:pPr>
        <w:shd w:val="clear"/>
        <w:rPr>
          <w:color w:val="auto"/>
          <w:highlight w:val="none"/>
        </w:rPr>
      </w:pPr>
      <w:r>
        <w:rPr>
          <w:rFonts w:hint="eastAsia"/>
          <w:color w:val="auto"/>
          <w:highlight w:val="none"/>
        </w:rPr>
        <w:t>3）2号高炉地沟</w:t>
      </w:r>
      <w:r>
        <w:rPr>
          <w:color w:val="auto"/>
          <w:highlight w:val="none"/>
        </w:rPr>
        <w:t>除尘</w:t>
      </w:r>
      <w:r>
        <w:rPr>
          <w:rFonts w:hint="eastAsia"/>
          <w:color w:val="auto"/>
          <w:highlight w:val="none"/>
        </w:rPr>
        <w:t>电</w:t>
      </w:r>
      <w:r>
        <w:rPr>
          <w:color w:val="auto"/>
          <w:highlight w:val="none"/>
        </w:rPr>
        <w:t>机</w:t>
      </w:r>
      <w:r>
        <w:rPr>
          <w:rFonts w:hint="eastAsia"/>
          <w:color w:val="auto"/>
          <w:highlight w:val="none"/>
        </w:rPr>
        <w:t>更换变频器，</w:t>
      </w:r>
      <w:r>
        <w:rPr>
          <w:color w:val="auto"/>
          <w:highlight w:val="none"/>
        </w:rPr>
        <w:t>采用</w:t>
      </w:r>
      <w:r>
        <w:rPr>
          <w:rFonts w:hint="eastAsia"/>
          <w:color w:val="auto"/>
          <w:highlight w:val="none"/>
        </w:rPr>
        <w:t>变频器起动及调速，带手动旁路柜，为一拖一方式。且利旧原有</w:t>
      </w:r>
      <w:r>
        <w:rPr>
          <w:color w:val="auto"/>
          <w:highlight w:val="none"/>
        </w:rPr>
        <w:t>软启动装置作为备用</w:t>
      </w:r>
      <w:r>
        <w:rPr>
          <w:rFonts w:hint="eastAsia"/>
          <w:color w:val="auto"/>
          <w:highlight w:val="none"/>
        </w:rPr>
        <w:t>，当变频器故障时可切换至软启动回路工频运行。</w:t>
      </w:r>
    </w:p>
    <w:p w14:paraId="4910B8CA">
      <w:pPr>
        <w:shd w:val="clear"/>
        <w:ind w:firstLine="0" w:firstLineChars="0"/>
        <w:outlineLvl w:val="1"/>
        <w:rPr>
          <w:rFonts w:cs="Times New Roman"/>
          <w:b/>
          <w:color w:val="auto"/>
          <w:sz w:val="28"/>
          <w:szCs w:val="28"/>
          <w:highlight w:val="none"/>
        </w:rPr>
      </w:pPr>
      <w:bookmarkStart w:id="676" w:name="_Toc26740"/>
      <w:bookmarkStart w:id="677" w:name="_Toc5575"/>
      <w:bookmarkStart w:id="678" w:name="_Toc13921"/>
      <w:bookmarkStart w:id="679" w:name="_Toc9347"/>
      <w:bookmarkStart w:id="680" w:name="_Toc26394"/>
      <w:bookmarkStart w:id="681" w:name="_Toc19837"/>
      <w:r>
        <w:rPr>
          <w:rFonts w:hint="eastAsia" w:cs="Times New Roman"/>
          <w:b/>
          <w:color w:val="auto"/>
          <w:sz w:val="28"/>
          <w:szCs w:val="28"/>
          <w:highlight w:val="none"/>
        </w:rPr>
        <w:t>8.5 无功补偿装置</w:t>
      </w:r>
      <w:bookmarkEnd w:id="675"/>
      <w:bookmarkEnd w:id="676"/>
      <w:bookmarkEnd w:id="677"/>
      <w:bookmarkEnd w:id="678"/>
      <w:bookmarkEnd w:id="679"/>
      <w:bookmarkEnd w:id="680"/>
      <w:bookmarkEnd w:id="681"/>
    </w:p>
    <w:p w14:paraId="134F6205">
      <w:pPr>
        <w:shd w:val="clear"/>
        <w:rPr>
          <w:color w:val="auto"/>
          <w:highlight w:val="none"/>
        </w:rPr>
      </w:pPr>
      <w:bookmarkStart w:id="682" w:name="_Toc175920407"/>
      <w:r>
        <w:rPr>
          <w:rFonts w:hint="eastAsia"/>
          <w:color w:val="auto"/>
          <w:highlight w:val="none"/>
        </w:rPr>
        <w:t>本次</w:t>
      </w:r>
      <w:r>
        <w:rPr>
          <w:color w:val="auto"/>
          <w:highlight w:val="none"/>
        </w:rPr>
        <w:t>2</w:t>
      </w:r>
      <w:r>
        <w:rPr>
          <w:rFonts w:hint="eastAsia"/>
          <w:color w:val="auto"/>
          <w:highlight w:val="none"/>
        </w:rPr>
        <w:t>号高炉改造，新增的各10kV、6kV电机均配套变频器装置，功率因数可达到0</w:t>
      </w:r>
      <w:r>
        <w:rPr>
          <w:color w:val="auto"/>
          <w:highlight w:val="none"/>
        </w:rPr>
        <w:t>.95</w:t>
      </w:r>
      <w:r>
        <w:rPr>
          <w:rFonts w:hint="eastAsia"/>
          <w:color w:val="auto"/>
          <w:highlight w:val="none"/>
        </w:rPr>
        <w:t>以上，不会降低原炼铁变电所10kV、6kV系统母线功率因数。故利旧原有炼铁变电所10kV、6kV和软水泵房10kV开关站内无功补偿装置。</w:t>
      </w:r>
    </w:p>
    <w:p w14:paraId="27CCE13B">
      <w:pPr>
        <w:shd w:val="clear"/>
        <w:ind w:firstLine="0" w:firstLineChars="0"/>
        <w:outlineLvl w:val="1"/>
        <w:rPr>
          <w:rFonts w:cs="Times New Roman"/>
          <w:b/>
          <w:color w:val="auto"/>
          <w:sz w:val="28"/>
          <w:szCs w:val="28"/>
          <w:highlight w:val="none"/>
        </w:rPr>
      </w:pPr>
      <w:bookmarkStart w:id="683" w:name="_Toc12130"/>
      <w:bookmarkStart w:id="684" w:name="_Toc14130"/>
      <w:bookmarkStart w:id="685" w:name="_Toc9322"/>
      <w:bookmarkStart w:id="686" w:name="_Toc4287"/>
      <w:bookmarkStart w:id="687" w:name="_Toc5374"/>
      <w:bookmarkStart w:id="688" w:name="_Toc5075"/>
      <w:r>
        <w:rPr>
          <w:rFonts w:hint="eastAsia" w:cs="Times New Roman"/>
          <w:b/>
          <w:color w:val="auto"/>
          <w:sz w:val="28"/>
          <w:szCs w:val="28"/>
          <w:highlight w:val="none"/>
        </w:rPr>
        <w:t>8.6 中性点接地方式</w:t>
      </w:r>
      <w:bookmarkEnd w:id="682"/>
      <w:bookmarkEnd w:id="683"/>
      <w:bookmarkEnd w:id="684"/>
      <w:bookmarkEnd w:id="685"/>
      <w:bookmarkEnd w:id="686"/>
      <w:bookmarkEnd w:id="687"/>
      <w:bookmarkEnd w:id="688"/>
    </w:p>
    <w:p w14:paraId="5EAEE076">
      <w:pPr>
        <w:shd w:val="clear"/>
        <w:rPr>
          <w:color w:val="auto"/>
          <w:highlight w:val="none"/>
        </w:rPr>
      </w:pPr>
      <w:bookmarkStart w:id="689" w:name="_Toc175920408"/>
      <w:r>
        <w:rPr>
          <w:rFonts w:hint="eastAsia"/>
          <w:color w:val="auto"/>
          <w:highlight w:val="none"/>
        </w:rPr>
        <w:t>10kV系统中性点接地方式与</w:t>
      </w:r>
      <w:r>
        <w:rPr>
          <w:color w:val="auto"/>
          <w:highlight w:val="none"/>
        </w:rPr>
        <w:t>上级</w:t>
      </w:r>
      <w:r>
        <w:rPr>
          <w:rFonts w:hint="eastAsia"/>
          <w:color w:val="auto"/>
          <w:highlight w:val="none"/>
        </w:rPr>
        <w:t>铁前</w:t>
      </w:r>
      <w:r>
        <w:rPr>
          <w:color w:val="auto"/>
          <w:highlight w:val="none"/>
        </w:rPr>
        <w:t>变电</w:t>
      </w:r>
      <w:r>
        <w:rPr>
          <w:rFonts w:hint="eastAsia"/>
          <w:color w:val="auto"/>
          <w:highlight w:val="none"/>
          <w:lang w:eastAsia="zh-CN"/>
        </w:rPr>
        <w:t>站</w:t>
      </w:r>
      <w:r>
        <w:rPr>
          <w:color w:val="auto"/>
          <w:highlight w:val="none"/>
        </w:rPr>
        <w:t>10</w:t>
      </w:r>
      <w:r>
        <w:rPr>
          <w:rFonts w:hint="eastAsia"/>
          <w:color w:val="auto"/>
          <w:highlight w:val="none"/>
        </w:rPr>
        <w:t>kV</w:t>
      </w:r>
      <w:r>
        <w:rPr>
          <w:color w:val="auto"/>
          <w:highlight w:val="none"/>
        </w:rPr>
        <w:t>系统中性点接地方式保持一致。</w:t>
      </w:r>
    </w:p>
    <w:p w14:paraId="65350258">
      <w:pPr>
        <w:shd w:val="clear"/>
        <w:ind w:firstLine="0" w:firstLineChars="0"/>
        <w:outlineLvl w:val="1"/>
        <w:rPr>
          <w:rFonts w:cs="Times New Roman"/>
          <w:b/>
          <w:color w:val="auto"/>
          <w:sz w:val="28"/>
          <w:szCs w:val="28"/>
          <w:highlight w:val="none"/>
        </w:rPr>
      </w:pPr>
      <w:bookmarkStart w:id="690" w:name="_Toc26749"/>
      <w:bookmarkStart w:id="691" w:name="_Toc17228"/>
      <w:bookmarkStart w:id="692" w:name="_Toc17556"/>
      <w:bookmarkStart w:id="693" w:name="_Toc7979"/>
      <w:bookmarkStart w:id="694" w:name="_Toc5460"/>
      <w:bookmarkStart w:id="695" w:name="_Toc16088"/>
      <w:r>
        <w:rPr>
          <w:rFonts w:hint="eastAsia" w:cs="Times New Roman"/>
          <w:b/>
          <w:color w:val="auto"/>
          <w:sz w:val="28"/>
          <w:szCs w:val="28"/>
          <w:highlight w:val="none"/>
        </w:rPr>
        <w:t>8.7 继电保护、测量、信号及监控系统</w:t>
      </w:r>
      <w:bookmarkEnd w:id="689"/>
      <w:bookmarkEnd w:id="690"/>
      <w:bookmarkEnd w:id="691"/>
      <w:bookmarkEnd w:id="692"/>
      <w:bookmarkEnd w:id="693"/>
      <w:bookmarkEnd w:id="694"/>
      <w:bookmarkEnd w:id="695"/>
    </w:p>
    <w:p w14:paraId="66B1CF48">
      <w:pPr>
        <w:shd w:val="clear"/>
        <w:ind w:firstLine="0" w:firstLineChars="0"/>
        <w:outlineLvl w:val="2"/>
        <w:rPr>
          <w:rFonts w:cs="Times New Roman"/>
          <w:color w:val="auto"/>
          <w:szCs w:val="28"/>
          <w:highlight w:val="none"/>
        </w:rPr>
      </w:pPr>
      <w:bookmarkStart w:id="696" w:name="_Toc11772"/>
      <w:r>
        <w:rPr>
          <w:rFonts w:cs="Times New Roman"/>
          <w:color w:val="auto"/>
          <w:szCs w:val="28"/>
          <w:highlight w:val="none"/>
        </w:rPr>
        <w:t>8.</w:t>
      </w:r>
      <w:r>
        <w:rPr>
          <w:rFonts w:hint="eastAsia" w:cs="Times New Roman"/>
          <w:color w:val="auto"/>
          <w:szCs w:val="28"/>
          <w:highlight w:val="none"/>
        </w:rPr>
        <w:t>7</w:t>
      </w:r>
      <w:r>
        <w:rPr>
          <w:rFonts w:cs="Times New Roman"/>
          <w:color w:val="auto"/>
          <w:szCs w:val="28"/>
          <w:highlight w:val="none"/>
        </w:rPr>
        <w:t>.</w:t>
      </w:r>
      <w:r>
        <w:rPr>
          <w:rFonts w:hint="eastAsia" w:cs="Times New Roman"/>
          <w:color w:val="auto"/>
          <w:szCs w:val="28"/>
          <w:highlight w:val="none"/>
        </w:rPr>
        <w:t>1 继电保护</w:t>
      </w:r>
      <w:bookmarkEnd w:id="696"/>
    </w:p>
    <w:p w14:paraId="35613818">
      <w:pPr>
        <w:shd w:val="clear"/>
        <w:rPr>
          <w:color w:val="auto"/>
          <w:highlight w:val="none"/>
        </w:rPr>
      </w:pPr>
      <w:bookmarkStart w:id="697" w:name="_Toc79840397"/>
      <w:r>
        <w:rPr>
          <w:rFonts w:hint="eastAsia"/>
          <w:color w:val="auto"/>
          <w:highlight w:val="none"/>
        </w:rPr>
        <w:t>炼铁变电所10kV系统新更换的</w:t>
      </w:r>
      <w:r>
        <w:rPr>
          <w:color w:val="auto"/>
          <w:highlight w:val="none"/>
        </w:rPr>
        <w:t>微机型保护测控装置</w:t>
      </w:r>
      <w:r>
        <w:rPr>
          <w:rFonts w:hint="eastAsia"/>
          <w:color w:val="auto"/>
          <w:highlight w:val="none"/>
        </w:rPr>
        <w:t>和新增10kV除尘电机就地10kV开关柜内</w:t>
      </w:r>
      <w:r>
        <w:rPr>
          <w:color w:val="auto"/>
          <w:highlight w:val="none"/>
        </w:rPr>
        <w:t>微机型保护测控装置</w:t>
      </w:r>
      <w:r>
        <w:rPr>
          <w:rFonts w:hint="eastAsia"/>
          <w:color w:val="auto"/>
          <w:highlight w:val="none"/>
        </w:rPr>
        <w:t>，具备如下功能：</w:t>
      </w:r>
    </w:p>
    <w:p w14:paraId="5447EF30">
      <w:pPr>
        <w:shd w:val="clear"/>
        <w:rPr>
          <w:color w:val="auto"/>
          <w:highlight w:val="none"/>
        </w:rPr>
      </w:pPr>
      <w:r>
        <w:rPr>
          <w:color w:val="auto"/>
          <w:highlight w:val="none"/>
        </w:rPr>
        <w:t>10</w:t>
      </w:r>
      <w:r>
        <w:rPr>
          <w:rFonts w:hint="eastAsia"/>
          <w:color w:val="auto"/>
          <w:highlight w:val="none"/>
        </w:rPr>
        <w:t>kV</w:t>
      </w:r>
      <w:r>
        <w:rPr>
          <w:color w:val="auto"/>
          <w:highlight w:val="none"/>
        </w:rPr>
        <w:t>馈出线设有电流速断、过电流和单相接地保护</w:t>
      </w:r>
      <w:r>
        <w:rPr>
          <w:rFonts w:hint="eastAsia"/>
          <w:color w:val="auto"/>
          <w:highlight w:val="none"/>
        </w:rPr>
        <w:t>。</w:t>
      </w:r>
    </w:p>
    <w:p w14:paraId="6F41C385">
      <w:pPr>
        <w:shd w:val="clear"/>
        <w:rPr>
          <w:color w:val="auto"/>
          <w:highlight w:val="none"/>
        </w:rPr>
      </w:pPr>
      <w:r>
        <w:rPr>
          <w:color w:val="auto"/>
          <w:highlight w:val="none"/>
        </w:rPr>
        <w:t>10</w:t>
      </w:r>
      <w:r>
        <w:rPr>
          <w:rFonts w:hint="eastAsia"/>
          <w:color w:val="auto"/>
          <w:highlight w:val="none"/>
        </w:rPr>
        <w:t>kV</w:t>
      </w:r>
      <w:r>
        <w:rPr>
          <w:color w:val="auto"/>
          <w:highlight w:val="none"/>
        </w:rPr>
        <w:t>电动机馈出回路设有电流速断、过负荷和低电压和单相接地保护。大于2000kW的非变频运行的电机还配置电动机</w:t>
      </w:r>
      <w:r>
        <w:rPr>
          <w:rFonts w:hint="eastAsia"/>
          <w:color w:val="auto"/>
          <w:highlight w:val="none"/>
        </w:rPr>
        <w:t>纵联</w:t>
      </w:r>
      <w:r>
        <w:rPr>
          <w:color w:val="auto"/>
          <w:highlight w:val="none"/>
        </w:rPr>
        <w:t>差动保护。</w:t>
      </w:r>
    </w:p>
    <w:p w14:paraId="0EDAD310">
      <w:pPr>
        <w:shd w:val="clear"/>
        <w:rPr>
          <w:color w:val="auto"/>
          <w:highlight w:val="none"/>
        </w:rPr>
      </w:pPr>
      <w:r>
        <w:rPr>
          <w:color w:val="auto"/>
          <w:highlight w:val="none"/>
        </w:rPr>
        <w:t>以上所有10</w:t>
      </w:r>
      <w:r>
        <w:rPr>
          <w:rFonts w:hint="eastAsia"/>
          <w:color w:val="auto"/>
          <w:highlight w:val="none"/>
        </w:rPr>
        <w:t>kV</w:t>
      </w:r>
      <w:r>
        <w:rPr>
          <w:color w:val="auto"/>
          <w:highlight w:val="none"/>
        </w:rPr>
        <w:t>保护装置采用保护、控制、测量和信号一体化的微机保护测控装置，保护测控装置就地安装于开关柜内。</w:t>
      </w:r>
    </w:p>
    <w:p w14:paraId="0D4B468F">
      <w:pPr>
        <w:shd w:val="clear"/>
        <w:rPr>
          <w:color w:val="auto"/>
          <w:highlight w:val="none"/>
        </w:rPr>
      </w:pPr>
      <w:r>
        <w:rPr>
          <w:rFonts w:hint="eastAsia"/>
          <w:color w:val="auto"/>
          <w:highlight w:val="none"/>
        </w:rPr>
        <w:t>炼铁变电所</w:t>
      </w:r>
      <w:r>
        <w:rPr>
          <w:color w:val="auto"/>
          <w:highlight w:val="none"/>
        </w:rPr>
        <w:t>6</w:t>
      </w:r>
      <w:r>
        <w:rPr>
          <w:rFonts w:hint="eastAsia"/>
          <w:color w:val="auto"/>
          <w:highlight w:val="none"/>
        </w:rPr>
        <w:t>kV系统更换的</w:t>
      </w:r>
      <w:r>
        <w:rPr>
          <w:color w:val="auto"/>
          <w:highlight w:val="none"/>
        </w:rPr>
        <w:t>微机型保护测控装置</w:t>
      </w:r>
      <w:r>
        <w:rPr>
          <w:rFonts w:hint="eastAsia"/>
          <w:color w:val="auto"/>
          <w:highlight w:val="none"/>
        </w:rPr>
        <w:t>和电机就地</w:t>
      </w:r>
      <w:r>
        <w:rPr>
          <w:color w:val="auto"/>
          <w:highlight w:val="none"/>
        </w:rPr>
        <w:t>6</w:t>
      </w:r>
      <w:r>
        <w:rPr>
          <w:rFonts w:hint="eastAsia"/>
          <w:color w:val="auto"/>
          <w:highlight w:val="none"/>
        </w:rPr>
        <w:t>kV开关柜内</w:t>
      </w:r>
      <w:r>
        <w:rPr>
          <w:color w:val="auto"/>
          <w:highlight w:val="none"/>
        </w:rPr>
        <w:t>微机型保护测控装置</w:t>
      </w:r>
      <w:r>
        <w:rPr>
          <w:rFonts w:hint="eastAsia"/>
          <w:color w:val="auto"/>
          <w:highlight w:val="none"/>
        </w:rPr>
        <w:t>，具备如下功能：</w:t>
      </w:r>
    </w:p>
    <w:p w14:paraId="16281CE3">
      <w:pPr>
        <w:shd w:val="clear"/>
        <w:rPr>
          <w:color w:val="auto"/>
          <w:highlight w:val="none"/>
        </w:rPr>
      </w:pPr>
      <w:r>
        <w:rPr>
          <w:color w:val="auto"/>
          <w:highlight w:val="none"/>
        </w:rPr>
        <w:t>6</w:t>
      </w:r>
      <w:r>
        <w:rPr>
          <w:rFonts w:hint="eastAsia"/>
          <w:color w:val="auto"/>
          <w:highlight w:val="none"/>
        </w:rPr>
        <w:t>kV</w:t>
      </w:r>
      <w:r>
        <w:rPr>
          <w:color w:val="auto"/>
          <w:highlight w:val="none"/>
        </w:rPr>
        <w:t>馈出线设有电流速断、过电流和单相接地保护</w:t>
      </w:r>
      <w:r>
        <w:rPr>
          <w:rFonts w:hint="eastAsia"/>
          <w:color w:val="auto"/>
          <w:highlight w:val="none"/>
        </w:rPr>
        <w:t>。</w:t>
      </w:r>
    </w:p>
    <w:p w14:paraId="6C9976FB">
      <w:pPr>
        <w:shd w:val="clear"/>
        <w:rPr>
          <w:color w:val="auto"/>
          <w:highlight w:val="none"/>
        </w:rPr>
      </w:pPr>
      <w:r>
        <w:rPr>
          <w:color w:val="auto"/>
          <w:highlight w:val="none"/>
        </w:rPr>
        <w:t>6</w:t>
      </w:r>
      <w:r>
        <w:rPr>
          <w:rFonts w:hint="eastAsia"/>
          <w:color w:val="auto"/>
          <w:highlight w:val="none"/>
        </w:rPr>
        <w:t>kV</w:t>
      </w:r>
      <w:r>
        <w:rPr>
          <w:color w:val="auto"/>
          <w:highlight w:val="none"/>
        </w:rPr>
        <w:t>电动机馈出回路设有电流速断、过负荷和低电压和单相接地保护。大于2000kW的非变频运行的电机还配置电动机</w:t>
      </w:r>
      <w:r>
        <w:rPr>
          <w:rFonts w:hint="eastAsia"/>
          <w:color w:val="auto"/>
          <w:highlight w:val="none"/>
        </w:rPr>
        <w:t>纵联</w:t>
      </w:r>
      <w:r>
        <w:rPr>
          <w:color w:val="auto"/>
          <w:highlight w:val="none"/>
        </w:rPr>
        <w:t>差动保护。</w:t>
      </w:r>
    </w:p>
    <w:p w14:paraId="3066BB4F">
      <w:pPr>
        <w:shd w:val="clear"/>
        <w:rPr>
          <w:color w:val="auto"/>
          <w:highlight w:val="none"/>
        </w:rPr>
      </w:pPr>
      <w:r>
        <w:rPr>
          <w:color w:val="auto"/>
          <w:highlight w:val="none"/>
        </w:rPr>
        <w:t>以上所有6</w:t>
      </w:r>
      <w:r>
        <w:rPr>
          <w:rFonts w:hint="eastAsia"/>
          <w:color w:val="auto"/>
          <w:highlight w:val="none"/>
        </w:rPr>
        <w:t>kV</w:t>
      </w:r>
      <w:r>
        <w:rPr>
          <w:color w:val="auto"/>
          <w:highlight w:val="none"/>
        </w:rPr>
        <w:t>保护装置采用保护、控制、测量和信号一体化的微机保护测控装置，保护测控装置就地安装于开关柜内。</w:t>
      </w:r>
    </w:p>
    <w:p w14:paraId="5FC6E54B">
      <w:pPr>
        <w:shd w:val="clear"/>
        <w:ind w:firstLine="0" w:firstLineChars="0"/>
        <w:outlineLvl w:val="2"/>
        <w:rPr>
          <w:rFonts w:cs="Times New Roman"/>
          <w:color w:val="auto"/>
          <w:szCs w:val="28"/>
          <w:highlight w:val="none"/>
        </w:rPr>
      </w:pPr>
      <w:bookmarkStart w:id="698" w:name="_Toc12521"/>
      <w:r>
        <w:rPr>
          <w:rFonts w:cs="Times New Roman"/>
          <w:color w:val="auto"/>
          <w:szCs w:val="28"/>
          <w:highlight w:val="none"/>
        </w:rPr>
        <w:t>8.</w:t>
      </w:r>
      <w:r>
        <w:rPr>
          <w:rFonts w:hint="eastAsia" w:cs="Times New Roman"/>
          <w:color w:val="auto"/>
          <w:szCs w:val="28"/>
          <w:highlight w:val="none"/>
        </w:rPr>
        <w:t>7</w:t>
      </w:r>
      <w:r>
        <w:rPr>
          <w:rFonts w:cs="Times New Roman"/>
          <w:color w:val="auto"/>
          <w:szCs w:val="28"/>
          <w:highlight w:val="none"/>
        </w:rPr>
        <w:t>.</w:t>
      </w:r>
      <w:r>
        <w:rPr>
          <w:rFonts w:hint="eastAsia" w:cs="Times New Roman"/>
          <w:color w:val="auto"/>
          <w:szCs w:val="28"/>
          <w:highlight w:val="none"/>
        </w:rPr>
        <w:t xml:space="preserve">2 </w:t>
      </w:r>
      <w:r>
        <w:rPr>
          <w:rFonts w:cs="Times New Roman"/>
          <w:color w:val="auto"/>
          <w:szCs w:val="28"/>
          <w:highlight w:val="none"/>
        </w:rPr>
        <w:t>测量、计量和信号</w:t>
      </w:r>
      <w:bookmarkEnd w:id="697"/>
      <w:bookmarkEnd w:id="698"/>
    </w:p>
    <w:p w14:paraId="515CC8CB">
      <w:pPr>
        <w:shd w:val="clear"/>
        <w:rPr>
          <w:color w:val="auto"/>
          <w:highlight w:val="none"/>
        </w:rPr>
      </w:pPr>
      <w:bookmarkStart w:id="699" w:name="_Toc79840398"/>
      <w:r>
        <w:rPr>
          <w:rFonts w:hint="eastAsia"/>
          <w:color w:val="auto"/>
          <w:highlight w:val="none"/>
        </w:rPr>
        <w:t>上述新增的</w:t>
      </w:r>
      <w:r>
        <w:rPr>
          <w:color w:val="auto"/>
          <w:highlight w:val="none"/>
        </w:rPr>
        <w:t>1</w:t>
      </w:r>
      <w:r>
        <w:rPr>
          <w:rFonts w:hint="eastAsia"/>
          <w:color w:val="auto"/>
          <w:highlight w:val="none"/>
        </w:rPr>
        <w:t>台10kV就地开关柜和</w:t>
      </w:r>
      <w:r>
        <w:rPr>
          <w:color w:val="auto"/>
          <w:highlight w:val="none"/>
        </w:rPr>
        <w:t>1</w:t>
      </w:r>
      <w:r>
        <w:rPr>
          <w:rFonts w:hint="eastAsia"/>
          <w:color w:val="auto"/>
          <w:highlight w:val="none"/>
        </w:rPr>
        <w:t>台</w:t>
      </w:r>
      <w:r>
        <w:rPr>
          <w:color w:val="auto"/>
          <w:highlight w:val="none"/>
        </w:rPr>
        <w:t>6</w:t>
      </w:r>
      <w:r>
        <w:rPr>
          <w:rFonts w:hint="eastAsia"/>
          <w:color w:val="auto"/>
          <w:highlight w:val="none"/>
        </w:rPr>
        <w:t>kV就地开关柜各</w:t>
      </w:r>
      <w:r>
        <w:rPr>
          <w:color w:val="auto"/>
          <w:highlight w:val="none"/>
        </w:rPr>
        <w:t>装设</w:t>
      </w:r>
      <w:r>
        <w:rPr>
          <w:rFonts w:hint="eastAsia"/>
          <w:color w:val="auto"/>
          <w:highlight w:val="none"/>
        </w:rPr>
        <w:t>1块多功能电力仪表，有功计量精度</w:t>
      </w:r>
      <w:r>
        <w:rPr>
          <w:color w:val="auto"/>
          <w:highlight w:val="none"/>
        </w:rPr>
        <w:t>0.5级</w:t>
      </w:r>
      <w:r>
        <w:rPr>
          <w:rFonts w:hint="eastAsia"/>
          <w:color w:val="auto"/>
          <w:highlight w:val="none"/>
        </w:rPr>
        <w:t>，</w:t>
      </w:r>
      <w:r>
        <w:rPr>
          <w:color w:val="auto"/>
          <w:highlight w:val="none"/>
        </w:rPr>
        <w:t>多功能电</w:t>
      </w:r>
      <w:r>
        <w:rPr>
          <w:rFonts w:hint="eastAsia"/>
          <w:color w:val="auto"/>
          <w:highlight w:val="none"/>
        </w:rPr>
        <w:t>力仪</w:t>
      </w:r>
      <w:r>
        <w:rPr>
          <w:color w:val="auto"/>
          <w:highlight w:val="none"/>
        </w:rPr>
        <w:t>表</w:t>
      </w:r>
      <w:r>
        <w:rPr>
          <w:rFonts w:hint="eastAsia"/>
          <w:color w:val="auto"/>
          <w:highlight w:val="none"/>
        </w:rPr>
        <w:t>带有485通讯接口。</w:t>
      </w:r>
    </w:p>
    <w:p w14:paraId="05BDFB17">
      <w:pPr>
        <w:shd w:val="clear"/>
        <w:rPr>
          <w:color w:val="auto"/>
          <w:highlight w:val="none"/>
        </w:rPr>
      </w:pPr>
      <w:r>
        <w:rPr>
          <w:color w:val="auto"/>
          <w:highlight w:val="none"/>
        </w:rPr>
        <w:t>10kV</w:t>
      </w:r>
      <w:r>
        <w:rPr>
          <w:rFonts w:hint="eastAsia"/>
          <w:color w:val="auto"/>
          <w:highlight w:val="none"/>
        </w:rPr>
        <w:t>、6KV供配电系统的各回路开关状态、电流、电压等信号均可通过微机保护测控装置进行采集并上传。</w:t>
      </w:r>
    </w:p>
    <w:p w14:paraId="10348802">
      <w:pPr>
        <w:shd w:val="clear"/>
        <w:rPr>
          <w:color w:val="auto"/>
          <w:highlight w:val="none"/>
        </w:rPr>
      </w:pPr>
      <w:r>
        <w:rPr>
          <w:rFonts w:hint="eastAsia"/>
          <w:color w:val="auto"/>
          <w:highlight w:val="none"/>
        </w:rPr>
        <w:t>对于原有炼铁变电所改造的开关柜回路电度表计量采集应统一上传至上级有人值守站所和酒钢集团计量管理系统。</w:t>
      </w:r>
    </w:p>
    <w:p w14:paraId="279CE152">
      <w:pPr>
        <w:shd w:val="clear"/>
        <w:ind w:firstLine="0" w:firstLineChars="0"/>
        <w:outlineLvl w:val="2"/>
        <w:rPr>
          <w:rFonts w:cs="Times New Roman"/>
          <w:color w:val="auto"/>
          <w:szCs w:val="28"/>
          <w:highlight w:val="none"/>
        </w:rPr>
      </w:pPr>
      <w:bookmarkStart w:id="700" w:name="_Toc13259"/>
      <w:r>
        <w:rPr>
          <w:rFonts w:cs="Times New Roman"/>
          <w:color w:val="auto"/>
          <w:szCs w:val="28"/>
          <w:highlight w:val="none"/>
        </w:rPr>
        <w:t>8.</w:t>
      </w:r>
      <w:r>
        <w:rPr>
          <w:rFonts w:hint="eastAsia" w:cs="Times New Roman"/>
          <w:color w:val="auto"/>
          <w:szCs w:val="28"/>
          <w:highlight w:val="none"/>
        </w:rPr>
        <w:t>7</w:t>
      </w:r>
      <w:r>
        <w:rPr>
          <w:rFonts w:cs="Times New Roman"/>
          <w:color w:val="auto"/>
          <w:szCs w:val="28"/>
          <w:highlight w:val="none"/>
        </w:rPr>
        <w:t>.</w:t>
      </w:r>
      <w:r>
        <w:rPr>
          <w:rFonts w:hint="eastAsia" w:cs="Times New Roman"/>
          <w:color w:val="auto"/>
          <w:szCs w:val="28"/>
          <w:highlight w:val="none"/>
        </w:rPr>
        <w:t>3 监控系统</w:t>
      </w:r>
      <w:bookmarkEnd w:id="700"/>
    </w:p>
    <w:bookmarkEnd w:id="699"/>
    <w:p w14:paraId="626FD417">
      <w:pPr>
        <w:shd w:val="clear"/>
        <w:rPr>
          <w:color w:val="auto"/>
          <w:highlight w:val="none"/>
        </w:rPr>
      </w:pPr>
      <w:bookmarkStart w:id="701" w:name="_Toc175920409"/>
      <w:bookmarkStart w:id="702" w:name="_Toc79840399"/>
      <w:bookmarkStart w:id="703" w:name="_Toc1349"/>
      <w:r>
        <w:rPr>
          <w:rFonts w:hint="eastAsia"/>
          <w:color w:val="auto"/>
          <w:highlight w:val="none"/>
        </w:rPr>
        <w:t>利旧原有炼铁变电所</w:t>
      </w:r>
      <w:r>
        <w:rPr>
          <w:color w:val="auto"/>
          <w:highlight w:val="none"/>
        </w:rPr>
        <w:t>设置</w:t>
      </w:r>
      <w:r>
        <w:rPr>
          <w:rFonts w:hint="eastAsia"/>
          <w:color w:val="auto"/>
          <w:highlight w:val="none"/>
        </w:rPr>
        <w:t>的</w:t>
      </w:r>
      <w:r>
        <w:rPr>
          <w:color w:val="auto"/>
          <w:highlight w:val="none"/>
        </w:rPr>
        <w:t>变电站综合自动化监控系统。</w:t>
      </w:r>
    </w:p>
    <w:p w14:paraId="27A54680">
      <w:pPr>
        <w:shd w:val="clear"/>
        <w:rPr>
          <w:color w:val="auto"/>
          <w:highlight w:val="none"/>
        </w:rPr>
      </w:pPr>
      <w:r>
        <w:rPr>
          <w:rFonts w:hint="eastAsia"/>
          <w:color w:val="auto"/>
          <w:highlight w:val="none"/>
        </w:rPr>
        <w:t>对</w:t>
      </w:r>
      <w:r>
        <w:rPr>
          <w:rFonts w:hint="eastAsia"/>
          <w:color w:val="auto"/>
          <w:highlight w:val="none"/>
          <w:lang w:val="en-US" w:eastAsia="zh-CN"/>
        </w:rPr>
        <w:t>改造的两面高压柜回路</w:t>
      </w:r>
      <w:r>
        <w:rPr>
          <w:rFonts w:hint="eastAsia"/>
          <w:color w:val="auto"/>
          <w:highlight w:val="none"/>
        </w:rPr>
        <w:t>遥测、遥信</w:t>
      </w:r>
      <w:r>
        <w:rPr>
          <w:rFonts w:hint="eastAsia"/>
          <w:color w:val="auto"/>
          <w:highlight w:val="none"/>
          <w:lang w:eastAsia="zh-CN"/>
        </w:rPr>
        <w:t>、</w:t>
      </w:r>
      <w:r>
        <w:rPr>
          <w:rFonts w:hint="eastAsia"/>
          <w:color w:val="auto"/>
          <w:highlight w:val="none"/>
          <w:lang w:val="en-US" w:eastAsia="zh-CN"/>
        </w:rPr>
        <w:t>遥调、遥控、温度在线检测</w:t>
      </w:r>
      <w:r>
        <w:rPr>
          <w:rFonts w:hint="eastAsia"/>
          <w:color w:val="auto"/>
          <w:highlight w:val="none"/>
        </w:rPr>
        <w:t>及允许信号等上传至</w:t>
      </w:r>
      <w:r>
        <w:rPr>
          <w:rFonts w:hint="eastAsia"/>
          <w:color w:val="auto"/>
          <w:highlight w:val="none"/>
          <w:lang w:val="en-US" w:eastAsia="zh-CN"/>
        </w:rPr>
        <w:t>铁前变电站及上级有人值守站所</w:t>
      </w:r>
      <w:r>
        <w:rPr>
          <w:rFonts w:hint="eastAsia"/>
          <w:color w:val="auto"/>
          <w:highlight w:val="none"/>
        </w:rPr>
        <w:t>，并能远程操作。</w:t>
      </w:r>
    </w:p>
    <w:p w14:paraId="25C36B0A">
      <w:pPr>
        <w:shd w:val="clear"/>
        <w:ind w:firstLine="0" w:firstLineChars="0"/>
        <w:outlineLvl w:val="1"/>
        <w:rPr>
          <w:rFonts w:cs="Times New Roman"/>
          <w:b/>
          <w:color w:val="auto"/>
          <w:sz w:val="28"/>
          <w:szCs w:val="28"/>
          <w:highlight w:val="none"/>
        </w:rPr>
      </w:pPr>
      <w:bookmarkStart w:id="704" w:name="_Toc28319"/>
      <w:bookmarkStart w:id="705" w:name="_Toc27281"/>
      <w:bookmarkStart w:id="706" w:name="_Toc25329"/>
      <w:bookmarkStart w:id="707" w:name="_Toc752"/>
      <w:bookmarkStart w:id="708" w:name="_Toc21014"/>
      <w:bookmarkStart w:id="709" w:name="_Toc19012"/>
      <w:r>
        <w:rPr>
          <w:rFonts w:hint="eastAsia" w:cs="Times New Roman"/>
          <w:b/>
          <w:color w:val="auto"/>
          <w:sz w:val="28"/>
          <w:szCs w:val="28"/>
          <w:highlight w:val="none"/>
        </w:rPr>
        <w:t>8.8 电气设备布置</w:t>
      </w:r>
      <w:bookmarkEnd w:id="701"/>
      <w:bookmarkEnd w:id="702"/>
      <w:bookmarkEnd w:id="703"/>
      <w:bookmarkEnd w:id="704"/>
      <w:bookmarkEnd w:id="705"/>
      <w:bookmarkEnd w:id="706"/>
      <w:bookmarkEnd w:id="707"/>
      <w:bookmarkEnd w:id="708"/>
      <w:bookmarkEnd w:id="709"/>
    </w:p>
    <w:p w14:paraId="7C35021C">
      <w:pPr>
        <w:shd w:val="clear"/>
        <w:rPr>
          <w:rFonts w:hint="eastAsia" w:eastAsia="宋体"/>
          <w:color w:val="auto"/>
          <w:highlight w:val="none"/>
          <w:lang w:val="en-US" w:eastAsia="zh-CN"/>
        </w:rPr>
      </w:pPr>
      <w:bookmarkStart w:id="710" w:name="_Toc79840400"/>
      <w:bookmarkStart w:id="711" w:name="_Toc489438763"/>
      <w:bookmarkStart w:id="712" w:name="_Toc20948"/>
      <w:bookmarkStart w:id="713" w:name="_Toc516755622"/>
      <w:bookmarkStart w:id="714" w:name="_Toc175920410"/>
      <w:r>
        <w:rPr>
          <w:color w:val="auto"/>
          <w:highlight w:val="none"/>
        </w:rPr>
        <w:t>出铁场除尘</w:t>
      </w:r>
      <w:r>
        <w:rPr>
          <w:rFonts w:hint="eastAsia"/>
          <w:color w:val="auto"/>
          <w:highlight w:val="none"/>
        </w:rPr>
        <w:t>电</w:t>
      </w:r>
      <w:r>
        <w:rPr>
          <w:color w:val="auto"/>
          <w:highlight w:val="none"/>
        </w:rPr>
        <w:t>机配套的</w:t>
      </w:r>
      <w:r>
        <w:rPr>
          <w:rFonts w:hint="eastAsia"/>
          <w:color w:val="auto"/>
          <w:highlight w:val="none"/>
        </w:rPr>
        <w:t>就地柜、</w:t>
      </w:r>
      <w:r>
        <w:rPr>
          <w:color w:val="auto"/>
          <w:highlight w:val="none"/>
        </w:rPr>
        <w:t>10</w:t>
      </w:r>
      <w:r>
        <w:rPr>
          <w:rFonts w:hint="eastAsia"/>
          <w:color w:val="auto"/>
          <w:highlight w:val="none"/>
        </w:rPr>
        <w:t>kV</w:t>
      </w:r>
      <w:r>
        <w:rPr>
          <w:color w:val="auto"/>
          <w:highlight w:val="none"/>
        </w:rPr>
        <w:t>变频器柜</w:t>
      </w:r>
      <w:r>
        <w:rPr>
          <w:rFonts w:hint="eastAsia"/>
          <w:color w:val="auto"/>
          <w:highlight w:val="none"/>
        </w:rPr>
        <w:t>和软启动柜</w:t>
      </w:r>
      <w:r>
        <w:rPr>
          <w:color w:val="auto"/>
          <w:highlight w:val="none"/>
        </w:rPr>
        <w:t>布置在出铁场除尘电气室一层的10</w:t>
      </w:r>
      <w:r>
        <w:rPr>
          <w:rFonts w:hint="eastAsia"/>
          <w:color w:val="auto"/>
          <w:highlight w:val="none"/>
        </w:rPr>
        <w:t>kV配电</w:t>
      </w:r>
      <w:r>
        <w:rPr>
          <w:color w:val="auto"/>
          <w:highlight w:val="none"/>
        </w:rPr>
        <w:t>室。</w:t>
      </w:r>
    </w:p>
    <w:p w14:paraId="59453851">
      <w:pPr>
        <w:shd w:val="clear"/>
        <w:rPr>
          <w:color w:val="auto"/>
          <w:highlight w:val="none"/>
        </w:rPr>
      </w:pPr>
      <w:r>
        <w:rPr>
          <w:rFonts w:hint="eastAsia"/>
          <w:color w:val="auto"/>
          <w:highlight w:val="none"/>
        </w:rPr>
        <w:t>矿槽</w:t>
      </w:r>
      <w:r>
        <w:rPr>
          <w:color w:val="auto"/>
          <w:highlight w:val="none"/>
        </w:rPr>
        <w:t>除尘</w:t>
      </w:r>
      <w:r>
        <w:rPr>
          <w:rFonts w:hint="eastAsia"/>
          <w:color w:val="auto"/>
          <w:highlight w:val="none"/>
        </w:rPr>
        <w:t>电</w:t>
      </w:r>
      <w:r>
        <w:rPr>
          <w:color w:val="auto"/>
          <w:highlight w:val="none"/>
        </w:rPr>
        <w:t>机配套的</w:t>
      </w:r>
      <w:r>
        <w:rPr>
          <w:rFonts w:hint="eastAsia"/>
          <w:color w:val="auto"/>
          <w:highlight w:val="none"/>
        </w:rPr>
        <w:t>6kV变频柜</w:t>
      </w:r>
      <w:r>
        <w:rPr>
          <w:color w:val="auto"/>
          <w:highlight w:val="none"/>
        </w:rPr>
        <w:t>布置在</w:t>
      </w:r>
      <w:r>
        <w:rPr>
          <w:rFonts w:hint="eastAsia"/>
          <w:color w:val="auto"/>
          <w:highlight w:val="none"/>
        </w:rPr>
        <w:t>利旧的矿槽</w:t>
      </w:r>
      <w:r>
        <w:rPr>
          <w:color w:val="auto"/>
          <w:highlight w:val="none"/>
        </w:rPr>
        <w:t>除尘电气室。</w:t>
      </w:r>
    </w:p>
    <w:p w14:paraId="6D136304">
      <w:pPr>
        <w:shd w:val="clear"/>
        <w:rPr>
          <w:color w:val="auto"/>
          <w:highlight w:val="none"/>
        </w:rPr>
      </w:pPr>
      <w:r>
        <w:rPr>
          <w:rFonts w:hint="eastAsia"/>
          <w:color w:val="auto"/>
          <w:highlight w:val="none"/>
        </w:rPr>
        <w:t>地沟</w:t>
      </w:r>
      <w:r>
        <w:rPr>
          <w:color w:val="auto"/>
          <w:highlight w:val="none"/>
        </w:rPr>
        <w:t>除尘</w:t>
      </w:r>
      <w:r>
        <w:rPr>
          <w:rFonts w:hint="eastAsia"/>
          <w:color w:val="auto"/>
          <w:highlight w:val="none"/>
        </w:rPr>
        <w:t>（利旧</w:t>
      </w:r>
      <w:r>
        <w:rPr>
          <w:rFonts w:hint="eastAsia"/>
          <w:color w:val="auto"/>
          <w:highlight w:val="none"/>
          <w:lang w:eastAsia="zh-CN"/>
        </w:rPr>
        <w:t>的</w:t>
      </w:r>
      <w:r>
        <w:rPr>
          <w:rFonts w:hint="eastAsia"/>
          <w:color w:val="auto"/>
          <w:highlight w:val="none"/>
        </w:rPr>
        <w:t>原出铁场除尘）电</w:t>
      </w:r>
      <w:r>
        <w:rPr>
          <w:color w:val="auto"/>
          <w:highlight w:val="none"/>
        </w:rPr>
        <w:t>机配套的</w:t>
      </w:r>
      <w:r>
        <w:rPr>
          <w:rFonts w:hint="eastAsia"/>
          <w:color w:val="auto"/>
          <w:highlight w:val="none"/>
        </w:rPr>
        <w:t>6kV变频柜</w:t>
      </w:r>
      <w:r>
        <w:rPr>
          <w:color w:val="auto"/>
          <w:highlight w:val="none"/>
        </w:rPr>
        <w:t>布置在</w:t>
      </w:r>
      <w:r>
        <w:rPr>
          <w:rFonts w:hint="eastAsia"/>
          <w:color w:val="auto"/>
          <w:highlight w:val="none"/>
        </w:rPr>
        <w:t>利旧的</w:t>
      </w:r>
      <w:r>
        <w:rPr>
          <w:rFonts w:hint="eastAsia"/>
          <w:color w:val="auto"/>
          <w:highlight w:val="none"/>
          <w:lang w:val="en-US" w:eastAsia="zh-CN"/>
        </w:rPr>
        <w:t>原出铁场除尘</w:t>
      </w:r>
      <w:r>
        <w:rPr>
          <w:color w:val="auto"/>
          <w:highlight w:val="none"/>
        </w:rPr>
        <w:t>电气室。</w:t>
      </w:r>
    </w:p>
    <w:p w14:paraId="0E2C51F1">
      <w:pPr>
        <w:shd w:val="clear"/>
        <w:rPr>
          <w:rFonts w:hint="eastAsia"/>
          <w:color w:val="auto"/>
          <w:highlight w:val="none"/>
        </w:rPr>
      </w:pPr>
      <w:r>
        <w:rPr>
          <w:rFonts w:hint="eastAsia"/>
          <w:color w:val="auto"/>
          <w:highlight w:val="none"/>
        </w:rPr>
        <w:t>利旧后的地沟除尘(原出铁场除尘)两路低压380V供电电源，目前由喷煤电气室供电，由于喷煤电气室拆除需迁移至2号高炉水渣电气窒，需设计敷设两路电源，长度约100m。利旧的地沟除尘电机（原出铁场除尘电机，1800kW/6kV） 现有的高压电缆、控制电缆全部利旧。更换变频器位置后相应的高、低压电缆设计。</w:t>
      </w:r>
    </w:p>
    <w:p w14:paraId="6FA11D36">
      <w:pPr>
        <w:shd w:val="clear"/>
        <w:ind w:firstLine="0" w:firstLineChars="0"/>
        <w:outlineLvl w:val="1"/>
        <w:rPr>
          <w:rFonts w:cs="Times New Roman"/>
          <w:b/>
          <w:color w:val="auto"/>
          <w:sz w:val="28"/>
          <w:szCs w:val="28"/>
          <w:highlight w:val="none"/>
        </w:rPr>
      </w:pPr>
      <w:bookmarkStart w:id="715" w:name="_Toc12151"/>
      <w:bookmarkStart w:id="716" w:name="_Toc2543"/>
      <w:bookmarkStart w:id="717" w:name="_Toc13530"/>
      <w:bookmarkStart w:id="718" w:name="_Toc16654"/>
      <w:bookmarkStart w:id="719" w:name="_Toc25741"/>
      <w:bookmarkStart w:id="720" w:name="_Toc21689"/>
      <w:r>
        <w:rPr>
          <w:rFonts w:hint="eastAsia" w:cs="Times New Roman"/>
          <w:b/>
          <w:color w:val="auto"/>
          <w:sz w:val="28"/>
          <w:szCs w:val="28"/>
          <w:highlight w:val="none"/>
        </w:rPr>
        <w:t>8.9</w:t>
      </w:r>
      <w:bookmarkEnd w:id="710"/>
      <w:bookmarkEnd w:id="711"/>
      <w:bookmarkEnd w:id="712"/>
      <w:bookmarkEnd w:id="713"/>
      <w:r>
        <w:rPr>
          <w:rFonts w:hint="eastAsia" w:cs="Times New Roman"/>
          <w:b/>
          <w:color w:val="auto"/>
          <w:sz w:val="28"/>
          <w:szCs w:val="28"/>
          <w:highlight w:val="none"/>
        </w:rPr>
        <w:t xml:space="preserve"> 主要电力设备选型</w:t>
      </w:r>
      <w:bookmarkEnd w:id="714"/>
      <w:bookmarkEnd w:id="715"/>
      <w:bookmarkEnd w:id="716"/>
      <w:bookmarkEnd w:id="717"/>
      <w:bookmarkEnd w:id="718"/>
      <w:bookmarkEnd w:id="719"/>
      <w:bookmarkEnd w:id="720"/>
    </w:p>
    <w:p w14:paraId="6C6134C9">
      <w:pPr>
        <w:shd w:val="clear"/>
        <w:rPr>
          <w:color w:val="auto"/>
          <w:highlight w:val="none"/>
        </w:rPr>
      </w:pPr>
      <w:bookmarkStart w:id="721" w:name="_Toc175920411"/>
      <w:bookmarkStart w:id="722" w:name="_Toc489438764"/>
      <w:bookmarkStart w:id="723" w:name="_Toc516755623"/>
      <w:r>
        <w:rPr>
          <w:color w:val="auto"/>
          <w:highlight w:val="none"/>
        </w:rPr>
        <w:t>10</w:t>
      </w:r>
      <w:r>
        <w:rPr>
          <w:rFonts w:hint="eastAsia"/>
          <w:color w:val="auto"/>
          <w:highlight w:val="none"/>
        </w:rPr>
        <w:t>kV、6kV</w:t>
      </w:r>
      <w:r>
        <w:rPr>
          <w:color w:val="auto"/>
          <w:highlight w:val="none"/>
        </w:rPr>
        <w:t>高压开关柜为国产金属铠装抽出中置式高压开关柜，内配开断能力为</w:t>
      </w:r>
      <w:r>
        <w:rPr>
          <w:rFonts w:hint="eastAsia"/>
          <w:color w:val="auto"/>
          <w:highlight w:val="none"/>
        </w:rPr>
        <w:t>31.5</w:t>
      </w:r>
      <w:r>
        <w:rPr>
          <w:color w:val="auto"/>
          <w:highlight w:val="none"/>
        </w:rPr>
        <w:t>kA的真空断路器。</w:t>
      </w:r>
    </w:p>
    <w:p w14:paraId="3DBBD539">
      <w:pPr>
        <w:shd w:val="clear"/>
        <w:rPr>
          <w:color w:val="auto"/>
          <w:highlight w:val="none"/>
        </w:rPr>
      </w:pPr>
      <w:r>
        <w:rPr>
          <w:color w:val="auto"/>
          <w:highlight w:val="none"/>
        </w:rPr>
        <w:t>10</w:t>
      </w:r>
      <w:r>
        <w:rPr>
          <w:rFonts w:hint="eastAsia"/>
          <w:color w:val="auto"/>
          <w:highlight w:val="none"/>
        </w:rPr>
        <w:t>kV、6kV</w:t>
      </w:r>
      <w:r>
        <w:rPr>
          <w:color w:val="auto"/>
          <w:highlight w:val="none"/>
        </w:rPr>
        <w:t>变频器调速装置选用优质产品。</w:t>
      </w:r>
    </w:p>
    <w:p w14:paraId="0920AA55">
      <w:pPr>
        <w:shd w:val="clear"/>
        <w:rPr>
          <w:color w:val="auto"/>
          <w:highlight w:val="none"/>
        </w:rPr>
      </w:pPr>
      <w:r>
        <w:rPr>
          <w:color w:val="auto"/>
          <w:highlight w:val="none"/>
        </w:rPr>
        <w:t>10</w:t>
      </w:r>
      <w:r>
        <w:rPr>
          <w:rFonts w:hint="eastAsia"/>
          <w:color w:val="auto"/>
          <w:highlight w:val="none"/>
        </w:rPr>
        <w:t>kV软启动</w:t>
      </w:r>
      <w:r>
        <w:rPr>
          <w:color w:val="auto"/>
          <w:highlight w:val="none"/>
        </w:rPr>
        <w:t>装置选用优质产品。</w:t>
      </w:r>
    </w:p>
    <w:p w14:paraId="28924013">
      <w:pPr>
        <w:shd w:val="clear"/>
        <w:rPr>
          <w:color w:val="auto"/>
          <w:highlight w:val="none"/>
        </w:rPr>
      </w:pPr>
      <w:r>
        <w:rPr>
          <w:color w:val="auto"/>
          <w:highlight w:val="none"/>
        </w:rPr>
        <w:t>微机型保护测控装置</w:t>
      </w:r>
      <w:r>
        <w:rPr>
          <w:rFonts w:hint="eastAsia"/>
          <w:color w:val="auto"/>
          <w:highlight w:val="none"/>
        </w:rPr>
        <w:t>选用与原有炼铁变电所同品牌同型号产品</w:t>
      </w:r>
      <w:r>
        <w:rPr>
          <w:color w:val="auto"/>
          <w:highlight w:val="none"/>
        </w:rPr>
        <w:t>。</w:t>
      </w:r>
    </w:p>
    <w:p w14:paraId="5D70F5DF">
      <w:pPr>
        <w:shd w:val="clear"/>
        <w:rPr>
          <w:color w:val="auto"/>
          <w:highlight w:val="none"/>
        </w:rPr>
      </w:pPr>
      <w:r>
        <w:rPr>
          <w:rFonts w:hint="eastAsia"/>
          <w:color w:val="auto"/>
          <w:highlight w:val="none"/>
        </w:rPr>
        <w:t>每台高压柜根据“五防”要求配置锁具及工具。</w:t>
      </w:r>
    </w:p>
    <w:p w14:paraId="007B6030">
      <w:pPr>
        <w:shd w:val="clear"/>
        <w:ind w:firstLine="0" w:firstLineChars="0"/>
        <w:outlineLvl w:val="1"/>
        <w:rPr>
          <w:rFonts w:cs="Times New Roman"/>
          <w:b/>
          <w:color w:val="auto"/>
          <w:sz w:val="28"/>
          <w:szCs w:val="28"/>
          <w:highlight w:val="none"/>
        </w:rPr>
      </w:pPr>
      <w:bookmarkStart w:id="724" w:name="_Toc9902"/>
      <w:bookmarkStart w:id="725" w:name="_Toc31861"/>
      <w:bookmarkStart w:id="726" w:name="_Toc32286"/>
      <w:bookmarkStart w:id="727" w:name="_Toc32401"/>
      <w:bookmarkStart w:id="728" w:name="_Toc9290"/>
      <w:bookmarkStart w:id="729" w:name="_Toc13951"/>
      <w:r>
        <w:rPr>
          <w:rFonts w:hint="eastAsia" w:cs="Times New Roman"/>
          <w:b/>
          <w:color w:val="auto"/>
          <w:sz w:val="28"/>
          <w:szCs w:val="28"/>
          <w:highlight w:val="none"/>
        </w:rPr>
        <w:t>8.10 电缆选型及线路敷设</w:t>
      </w:r>
      <w:bookmarkEnd w:id="721"/>
      <w:bookmarkEnd w:id="724"/>
      <w:bookmarkEnd w:id="725"/>
      <w:bookmarkEnd w:id="726"/>
      <w:bookmarkEnd w:id="727"/>
      <w:bookmarkEnd w:id="728"/>
      <w:bookmarkEnd w:id="729"/>
    </w:p>
    <w:bookmarkEnd w:id="722"/>
    <w:bookmarkEnd w:id="723"/>
    <w:p w14:paraId="7C66343E">
      <w:pPr>
        <w:shd w:val="clear"/>
        <w:rPr>
          <w:color w:val="auto"/>
          <w:highlight w:val="none"/>
        </w:rPr>
      </w:pPr>
      <w:bookmarkStart w:id="730" w:name="_Toc175920412"/>
      <w:bookmarkStart w:id="731" w:name="_Toc489438765"/>
      <w:r>
        <w:rPr>
          <w:color w:val="auto"/>
          <w:highlight w:val="none"/>
        </w:rPr>
        <w:t>10</w:t>
      </w:r>
      <w:r>
        <w:rPr>
          <w:rFonts w:hint="eastAsia"/>
          <w:color w:val="auto"/>
          <w:highlight w:val="none"/>
        </w:rPr>
        <w:t>kV</w:t>
      </w:r>
      <w:r>
        <w:rPr>
          <w:color w:val="auto"/>
          <w:highlight w:val="none"/>
        </w:rPr>
        <w:t>电力电缆选用阻燃型交联聚乙烯绝缘聚氯乙烯护套铜芯电缆ZC-YJV-8.7/15。</w:t>
      </w:r>
    </w:p>
    <w:p w14:paraId="3FD6481B">
      <w:pPr>
        <w:shd w:val="clear"/>
        <w:rPr>
          <w:color w:val="auto"/>
          <w:highlight w:val="none"/>
        </w:rPr>
      </w:pPr>
      <w:r>
        <w:rPr>
          <w:rFonts w:hint="eastAsia"/>
          <w:color w:val="auto"/>
          <w:highlight w:val="none"/>
          <w:lang w:val="en-US" w:eastAsia="zh-CN"/>
        </w:rPr>
        <w:t>6</w:t>
      </w:r>
      <w:r>
        <w:rPr>
          <w:rFonts w:hint="eastAsia"/>
          <w:color w:val="auto"/>
          <w:highlight w:val="none"/>
        </w:rPr>
        <w:t>kV</w:t>
      </w:r>
      <w:r>
        <w:rPr>
          <w:color w:val="auto"/>
          <w:highlight w:val="none"/>
        </w:rPr>
        <w:t>电力电缆选用阻燃型交联聚乙烯绝缘聚氯乙烯护套铜芯电缆ZC-YJV-</w:t>
      </w:r>
      <w:r>
        <w:rPr>
          <w:rFonts w:hint="eastAsia"/>
          <w:color w:val="auto"/>
          <w:highlight w:val="none"/>
          <w:lang w:val="en-US" w:eastAsia="zh-CN"/>
        </w:rPr>
        <w:t>6</w:t>
      </w:r>
      <w:r>
        <w:rPr>
          <w:color w:val="auto"/>
          <w:highlight w:val="none"/>
        </w:rPr>
        <w:t>/1</w:t>
      </w:r>
      <w:r>
        <w:rPr>
          <w:rFonts w:hint="eastAsia"/>
          <w:color w:val="auto"/>
          <w:highlight w:val="none"/>
          <w:lang w:val="en-US" w:eastAsia="zh-CN"/>
        </w:rPr>
        <w:t>0</w:t>
      </w:r>
      <w:r>
        <w:rPr>
          <w:color w:val="auto"/>
          <w:highlight w:val="none"/>
        </w:rPr>
        <w:t>。</w:t>
      </w:r>
    </w:p>
    <w:p w14:paraId="0FBB26F6">
      <w:pPr>
        <w:shd w:val="clear"/>
        <w:rPr>
          <w:color w:val="auto"/>
          <w:highlight w:val="none"/>
        </w:rPr>
      </w:pPr>
      <w:r>
        <w:rPr>
          <w:color w:val="auto"/>
          <w:highlight w:val="none"/>
        </w:rPr>
        <w:t>220/380V低压动力电缆选用阻燃型交联聚乙烯绝缘聚氯乙烯护套铜芯电缆ZC-YJV-0.6/1。</w:t>
      </w:r>
    </w:p>
    <w:p w14:paraId="4F7BF2A9">
      <w:pPr>
        <w:shd w:val="clear"/>
        <w:rPr>
          <w:color w:val="auto"/>
          <w:highlight w:val="none"/>
        </w:rPr>
      </w:pPr>
      <w:r>
        <w:rPr>
          <w:color w:val="auto"/>
          <w:highlight w:val="none"/>
        </w:rPr>
        <w:t>控制电缆选用阻燃</w:t>
      </w:r>
      <w:r>
        <w:rPr>
          <w:rFonts w:hint="eastAsia"/>
          <w:color w:val="auto"/>
          <w:highlight w:val="none"/>
          <w:lang w:val="en-US" w:eastAsia="zh-CN"/>
        </w:rPr>
        <w:t>屏蔽</w:t>
      </w:r>
      <w:r>
        <w:rPr>
          <w:color w:val="auto"/>
          <w:highlight w:val="none"/>
        </w:rPr>
        <w:t>型聚氯乙烯绝缘聚氯乙烯护套铜芯控制电缆</w:t>
      </w:r>
      <w:r>
        <w:rPr>
          <w:rFonts w:hint="eastAsia"/>
          <w:color w:val="auto"/>
          <w:highlight w:val="none"/>
        </w:rPr>
        <w:t>Z</w:t>
      </w:r>
      <w:r>
        <w:rPr>
          <w:color w:val="auto"/>
          <w:highlight w:val="none"/>
        </w:rPr>
        <w:t>C</w:t>
      </w:r>
      <w:r>
        <w:rPr>
          <w:rFonts w:hint="eastAsia"/>
          <w:color w:val="auto"/>
          <w:highlight w:val="none"/>
        </w:rPr>
        <w:t>-kVVP-500V</w:t>
      </w:r>
      <w:r>
        <w:rPr>
          <w:color w:val="auto"/>
          <w:highlight w:val="none"/>
        </w:rPr>
        <w:t>。</w:t>
      </w:r>
    </w:p>
    <w:p w14:paraId="5F6AC095">
      <w:pPr>
        <w:shd w:val="clear"/>
        <w:rPr>
          <w:color w:val="auto"/>
          <w:highlight w:val="none"/>
        </w:rPr>
      </w:pPr>
      <w:r>
        <w:rPr>
          <w:color w:val="auto"/>
          <w:highlight w:val="none"/>
        </w:rPr>
        <w:t>通讯、信号电缆选用阻燃型聚氯乙烯绝缘铜丝编织总屏蔽聚氯乙烯护套铜芯控制电缆。</w:t>
      </w:r>
    </w:p>
    <w:p w14:paraId="05161EDA">
      <w:pPr>
        <w:shd w:val="clear"/>
        <w:rPr>
          <w:color w:val="auto"/>
          <w:highlight w:val="none"/>
        </w:rPr>
      </w:pPr>
      <w:r>
        <w:rPr>
          <w:rFonts w:hint="eastAsia"/>
          <w:color w:val="auto"/>
          <w:highlight w:val="none"/>
        </w:rPr>
        <w:t>一般移动式电气设备等需经常移动或有较高柔软性要求的回路采用橡皮绝缘护套等软电缆。</w:t>
      </w:r>
    </w:p>
    <w:p w14:paraId="62DD5B0B">
      <w:pPr>
        <w:shd w:val="clear"/>
        <w:rPr>
          <w:color w:val="auto"/>
          <w:highlight w:val="none"/>
        </w:rPr>
      </w:pPr>
      <w:r>
        <w:rPr>
          <w:color w:val="auto"/>
          <w:highlight w:val="none"/>
        </w:rPr>
        <w:t>根据现场实际情况，所有电缆主要沿架空电缆通廊、架空电缆桥架、电缆沟敷设，局部结合穿钢管、直埋等敷设方式。</w:t>
      </w:r>
      <w:r>
        <w:rPr>
          <w:rFonts w:hint="eastAsia"/>
          <w:color w:val="auto"/>
          <w:highlight w:val="none"/>
        </w:rPr>
        <w:t>电缆敷设时尽可能避免通过高温、爆炸、易燃等区域，确实避不开的采取防护措施或采用阻燃耐高温或耐火电缆。</w:t>
      </w:r>
    </w:p>
    <w:p w14:paraId="2F4769CF">
      <w:pPr>
        <w:shd w:val="clear"/>
        <w:rPr>
          <w:color w:val="auto"/>
          <w:highlight w:val="none"/>
        </w:rPr>
      </w:pPr>
      <w:r>
        <w:rPr>
          <w:rFonts w:hint="eastAsia"/>
          <w:color w:val="auto"/>
          <w:highlight w:val="none"/>
        </w:rPr>
        <w:t>电缆芯线的最小截面</w:t>
      </w:r>
    </w:p>
    <w:p w14:paraId="3707D79A">
      <w:pPr>
        <w:shd w:val="clear"/>
        <w:rPr>
          <w:color w:val="auto"/>
          <w:highlight w:val="none"/>
        </w:rPr>
      </w:pPr>
      <w:r>
        <w:rPr>
          <w:rFonts w:hint="eastAsia"/>
          <w:color w:val="auto"/>
          <w:highlight w:val="none"/>
        </w:rPr>
        <w:t>电缆芯线的最小截面与电源保护设备的整定值相适应，最小截面为下列数值：</w:t>
      </w:r>
    </w:p>
    <w:p w14:paraId="63514755">
      <w:pPr>
        <w:shd w:val="clear"/>
        <w:rPr>
          <w:color w:val="auto"/>
          <w:highlight w:val="none"/>
        </w:rPr>
      </w:pPr>
      <w:r>
        <w:rPr>
          <w:rFonts w:hint="eastAsia"/>
          <w:color w:val="auto"/>
          <w:highlight w:val="none"/>
        </w:rPr>
        <w:t>动力用低压电线电缆铜芯2.5mm</w:t>
      </w:r>
      <w:r>
        <w:rPr>
          <w:rFonts w:hint="eastAsia"/>
          <w:color w:val="auto"/>
          <w:highlight w:val="none"/>
          <w:vertAlign w:val="superscript"/>
        </w:rPr>
        <w:t>2</w:t>
      </w:r>
      <w:r>
        <w:rPr>
          <w:rFonts w:hint="eastAsia"/>
          <w:color w:val="auto"/>
          <w:highlight w:val="none"/>
        </w:rPr>
        <w:t>。</w:t>
      </w:r>
    </w:p>
    <w:p w14:paraId="38033F9B">
      <w:pPr>
        <w:shd w:val="clear"/>
        <w:rPr>
          <w:color w:val="auto"/>
          <w:highlight w:val="none"/>
        </w:rPr>
      </w:pPr>
      <w:r>
        <w:rPr>
          <w:rFonts w:hint="eastAsia"/>
          <w:color w:val="auto"/>
          <w:highlight w:val="none"/>
        </w:rPr>
        <w:t>照明用低压电线电缆铜芯1.5mm</w:t>
      </w:r>
      <w:r>
        <w:rPr>
          <w:rFonts w:hint="eastAsia"/>
          <w:color w:val="auto"/>
          <w:highlight w:val="none"/>
          <w:vertAlign w:val="superscript"/>
        </w:rPr>
        <w:t>2</w:t>
      </w:r>
      <w:r>
        <w:rPr>
          <w:rFonts w:hint="eastAsia"/>
          <w:color w:val="auto"/>
          <w:highlight w:val="none"/>
        </w:rPr>
        <w:t>。</w:t>
      </w:r>
    </w:p>
    <w:p w14:paraId="70C41BD0">
      <w:pPr>
        <w:shd w:val="clear"/>
        <w:rPr>
          <w:color w:val="auto"/>
          <w:highlight w:val="none"/>
        </w:rPr>
      </w:pPr>
      <w:r>
        <w:rPr>
          <w:rFonts w:hint="eastAsia"/>
          <w:color w:val="auto"/>
          <w:highlight w:val="none"/>
        </w:rPr>
        <w:t>强电回路、控制信号回路用控制电缆铜芯1.5mm</w:t>
      </w:r>
      <w:r>
        <w:rPr>
          <w:rFonts w:hint="eastAsia"/>
          <w:color w:val="auto"/>
          <w:highlight w:val="none"/>
          <w:vertAlign w:val="superscript"/>
        </w:rPr>
        <w:t>2</w:t>
      </w:r>
      <w:r>
        <w:rPr>
          <w:rFonts w:hint="eastAsia"/>
          <w:color w:val="auto"/>
          <w:highlight w:val="none"/>
        </w:rPr>
        <w:t>。</w:t>
      </w:r>
    </w:p>
    <w:p w14:paraId="2518E563">
      <w:pPr>
        <w:shd w:val="clear"/>
        <w:rPr>
          <w:color w:val="auto"/>
          <w:highlight w:val="none"/>
        </w:rPr>
      </w:pPr>
      <w:r>
        <w:rPr>
          <w:rFonts w:hint="eastAsia"/>
          <w:color w:val="auto"/>
          <w:highlight w:val="none"/>
        </w:rPr>
        <w:t>弱电控制回路用控制电缆铜芯1.0mm</w:t>
      </w:r>
      <w:r>
        <w:rPr>
          <w:rFonts w:hint="eastAsia"/>
          <w:color w:val="auto"/>
          <w:highlight w:val="none"/>
          <w:vertAlign w:val="superscript"/>
        </w:rPr>
        <w:t>2</w:t>
      </w:r>
      <w:r>
        <w:rPr>
          <w:rFonts w:hint="eastAsia"/>
          <w:color w:val="auto"/>
          <w:highlight w:val="none"/>
        </w:rPr>
        <w:t>。</w:t>
      </w:r>
    </w:p>
    <w:p w14:paraId="3B245488">
      <w:pPr>
        <w:shd w:val="clear"/>
        <w:rPr>
          <w:color w:val="auto"/>
          <w:highlight w:val="none"/>
        </w:rPr>
      </w:pPr>
      <w:r>
        <w:rPr>
          <w:rFonts w:hint="eastAsia"/>
          <w:color w:val="auto"/>
          <w:highlight w:val="none"/>
        </w:rPr>
        <w:t>直流主传动快速断路器的控制回路铜芯2.5mm</w:t>
      </w:r>
      <w:r>
        <w:rPr>
          <w:rFonts w:hint="eastAsia"/>
          <w:color w:val="auto"/>
          <w:highlight w:val="none"/>
          <w:vertAlign w:val="superscript"/>
        </w:rPr>
        <w:t>2</w:t>
      </w:r>
      <w:r>
        <w:rPr>
          <w:rFonts w:hint="eastAsia"/>
          <w:color w:val="auto"/>
          <w:highlight w:val="none"/>
        </w:rPr>
        <w:t>。</w:t>
      </w:r>
    </w:p>
    <w:p w14:paraId="0DFE7F48">
      <w:pPr>
        <w:shd w:val="clear"/>
        <w:rPr>
          <w:color w:val="auto"/>
          <w:highlight w:val="none"/>
        </w:rPr>
      </w:pPr>
      <w:r>
        <w:rPr>
          <w:rFonts w:hint="eastAsia"/>
          <w:color w:val="auto"/>
          <w:highlight w:val="none"/>
        </w:rPr>
        <w:t>测量表计电流回路用控制电缆铜芯2.5mm</w:t>
      </w:r>
      <w:r>
        <w:rPr>
          <w:rFonts w:hint="eastAsia"/>
          <w:color w:val="auto"/>
          <w:highlight w:val="none"/>
          <w:vertAlign w:val="superscript"/>
        </w:rPr>
        <w:t>2</w:t>
      </w:r>
      <w:r>
        <w:rPr>
          <w:rFonts w:hint="eastAsia"/>
          <w:color w:val="auto"/>
          <w:highlight w:val="none"/>
        </w:rPr>
        <w:t>。</w:t>
      </w:r>
    </w:p>
    <w:p w14:paraId="60921028">
      <w:pPr>
        <w:shd w:val="clear"/>
        <w:rPr>
          <w:color w:val="auto"/>
          <w:highlight w:val="none"/>
        </w:rPr>
      </w:pPr>
      <w:r>
        <w:rPr>
          <w:rFonts w:hint="eastAsia"/>
          <w:color w:val="auto"/>
          <w:highlight w:val="none"/>
        </w:rPr>
        <w:t>移动设备铜芯2.5mm</w:t>
      </w:r>
      <w:r>
        <w:rPr>
          <w:rFonts w:hint="eastAsia"/>
          <w:color w:val="auto"/>
          <w:highlight w:val="none"/>
          <w:vertAlign w:val="superscript"/>
        </w:rPr>
        <w:t>2</w:t>
      </w:r>
      <w:r>
        <w:rPr>
          <w:rFonts w:hint="eastAsia"/>
          <w:color w:val="auto"/>
          <w:highlight w:val="none"/>
        </w:rPr>
        <w:t>。</w:t>
      </w:r>
    </w:p>
    <w:p w14:paraId="0633CF32">
      <w:pPr>
        <w:shd w:val="clear"/>
        <w:ind w:firstLine="0" w:firstLineChars="0"/>
        <w:outlineLvl w:val="1"/>
        <w:rPr>
          <w:rFonts w:cs="Times New Roman"/>
          <w:b/>
          <w:color w:val="auto"/>
          <w:sz w:val="28"/>
          <w:szCs w:val="28"/>
          <w:highlight w:val="none"/>
        </w:rPr>
      </w:pPr>
      <w:bookmarkStart w:id="732" w:name="_Toc29251"/>
      <w:bookmarkStart w:id="733" w:name="_Toc14678"/>
      <w:bookmarkStart w:id="734" w:name="_Toc12282"/>
      <w:bookmarkStart w:id="735" w:name="_Toc1432"/>
      <w:bookmarkStart w:id="736" w:name="_Toc10036"/>
      <w:bookmarkStart w:id="737" w:name="_Toc8706"/>
      <w:r>
        <w:rPr>
          <w:rFonts w:hint="eastAsia" w:cs="Times New Roman"/>
          <w:b/>
          <w:color w:val="auto"/>
          <w:sz w:val="28"/>
          <w:szCs w:val="28"/>
          <w:highlight w:val="none"/>
        </w:rPr>
        <w:t>8.11 火灾报警及防火措施</w:t>
      </w:r>
      <w:bookmarkEnd w:id="730"/>
      <w:bookmarkEnd w:id="732"/>
      <w:bookmarkEnd w:id="733"/>
      <w:bookmarkEnd w:id="734"/>
      <w:bookmarkEnd w:id="735"/>
      <w:bookmarkEnd w:id="736"/>
      <w:bookmarkEnd w:id="737"/>
    </w:p>
    <w:bookmarkEnd w:id="731"/>
    <w:p w14:paraId="0855A1A7">
      <w:pPr>
        <w:shd w:val="clear"/>
        <w:rPr>
          <w:color w:val="auto"/>
          <w:highlight w:val="none"/>
        </w:rPr>
      </w:pPr>
      <w:bookmarkStart w:id="738" w:name="_Toc175920413"/>
      <w:r>
        <w:rPr>
          <w:color w:val="auto"/>
          <w:highlight w:val="none"/>
        </w:rPr>
        <w:t>各站</w:t>
      </w:r>
      <w:r>
        <w:rPr>
          <w:rFonts w:hint="eastAsia"/>
          <w:color w:val="auto"/>
          <w:highlight w:val="none"/>
        </w:rPr>
        <w:t>10kV、6kV</w:t>
      </w:r>
      <w:r>
        <w:rPr>
          <w:color w:val="auto"/>
          <w:highlight w:val="none"/>
        </w:rPr>
        <w:t>配电室、</w:t>
      </w:r>
      <w:r>
        <w:rPr>
          <w:rFonts w:hint="eastAsia"/>
          <w:color w:val="auto"/>
          <w:highlight w:val="none"/>
        </w:rPr>
        <w:t>10kV变频器</w:t>
      </w:r>
      <w:r>
        <w:rPr>
          <w:color w:val="auto"/>
          <w:highlight w:val="none"/>
        </w:rPr>
        <w:t>室</w:t>
      </w:r>
      <w:r>
        <w:rPr>
          <w:rFonts w:hint="eastAsia"/>
          <w:color w:val="auto"/>
          <w:highlight w:val="none"/>
        </w:rPr>
        <w:t>、</w:t>
      </w:r>
      <w:r>
        <w:rPr>
          <w:color w:val="auto"/>
          <w:highlight w:val="none"/>
        </w:rPr>
        <w:t>控制室、</w:t>
      </w:r>
      <w:r>
        <w:rPr>
          <w:rFonts w:hint="eastAsia"/>
          <w:color w:val="auto"/>
          <w:highlight w:val="none"/>
          <w:lang w:val="en-US" w:eastAsia="zh-CN"/>
        </w:rPr>
        <w:t>电气室、</w:t>
      </w:r>
      <w:r>
        <w:rPr>
          <w:color w:val="auto"/>
          <w:highlight w:val="none"/>
        </w:rPr>
        <w:t>电缆室等处均装设火灾自动报警装置，详见电讯专业内容。</w:t>
      </w:r>
    </w:p>
    <w:p w14:paraId="70C54005">
      <w:pPr>
        <w:shd w:val="clear"/>
        <w:rPr>
          <w:color w:val="auto"/>
          <w:highlight w:val="none"/>
        </w:rPr>
      </w:pPr>
      <w:r>
        <w:rPr>
          <w:color w:val="auto"/>
          <w:highlight w:val="none"/>
        </w:rPr>
        <w:t>电缆敷设完毕后，电缆沟进入电气室的入口处、配电室楼板和墙上的电缆贯穿孔洞等均需采取安装防火门或用防火堵料严密封堵等防火措施。</w:t>
      </w:r>
    </w:p>
    <w:p w14:paraId="3F4B5A56">
      <w:pPr>
        <w:shd w:val="clear"/>
        <w:rPr>
          <w:color w:val="auto"/>
          <w:highlight w:val="none"/>
        </w:rPr>
      </w:pPr>
      <w:r>
        <w:rPr>
          <w:color w:val="auto"/>
          <w:highlight w:val="none"/>
        </w:rPr>
        <w:t>所有电缆采用阻燃电缆，水平穿越防火分隔的电缆，在防火分隔的两侧涂覆防火涂料，长度为1m，厚度为1mm；垂直穿越防火分隔的电缆，在防火分隔的下侧涂覆防火涂料，长度为1m，厚度为1mm；电缆直线段每隔30m和拐弯处应涂覆防火涂料，长度为2m，厚度为1mm。</w:t>
      </w:r>
    </w:p>
    <w:p w14:paraId="2043CBFF">
      <w:pPr>
        <w:shd w:val="clear"/>
        <w:rPr>
          <w:color w:val="auto"/>
          <w:highlight w:val="none"/>
        </w:rPr>
      </w:pPr>
      <w:r>
        <w:rPr>
          <w:rFonts w:hint="eastAsia"/>
          <w:color w:val="auto"/>
          <w:highlight w:val="none"/>
        </w:rPr>
        <w:t>因</w:t>
      </w:r>
      <w:r>
        <w:rPr>
          <w:color w:val="auto"/>
          <w:highlight w:val="none"/>
        </w:rPr>
        <w:t>2</w:t>
      </w:r>
      <w:r>
        <w:rPr>
          <w:rFonts w:hint="eastAsia"/>
          <w:color w:val="auto"/>
          <w:highlight w:val="none"/>
        </w:rPr>
        <w:t>号高炉改造项目施工造成的炼铁开关站消防设施破坏的，在项目施工时进行修复；对新增低压电缆、通信线路，按照规范要求粉刷防火涂料，并在电缆沟道内设置防火墙。</w:t>
      </w:r>
    </w:p>
    <w:p w14:paraId="07E7EF67">
      <w:pPr>
        <w:shd w:val="clear"/>
        <w:ind w:firstLine="0" w:firstLineChars="0"/>
        <w:outlineLvl w:val="1"/>
        <w:rPr>
          <w:rFonts w:cs="Times New Roman"/>
          <w:b/>
          <w:color w:val="auto"/>
          <w:sz w:val="28"/>
          <w:szCs w:val="28"/>
          <w:highlight w:val="none"/>
        </w:rPr>
      </w:pPr>
      <w:bookmarkStart w:id="739" w:name="_Toc3177"/>
      <w:bookmarkStart w:id="740" w:name="_Toc13712"/>
      <w:bookmarkStart w:id="741" w:name="_Toc595"/>
      <w:bookmarkStart w:id="742" w:name="_Toc5708"/>
      <w:bookmarkStart w:id="743" w:name="_Toc2647"/>
      <w:bookmarkStart w:id="744" w:name="_Toc19819"/>
      <w:r>
        <w:rPr>
          <w:rFonts w:hint="eastAsia" w:cs="Times New Roman"/>
          <w:b/>
          <w:color w:val="auto"/>
          <w:sz w:val="28"/>
          <w:szCs w:val="28"/>
          <w:highlight w:val="none"/>
        </w:rPr>
        <w:t>8.12 防震、防雷及接地</w:t>
      </w:r>
      <w:bookmarkEnd w:id="738"/>
      <w:bookmarkEnd w:id="739"/>
      <w:bookmarkEnd w:id="740"/>
      <w:bookmarkEnd w:id="741"/>
      <w:bookmarkEnd w:id="742"/>
      <w:bookmarkEnd w:id="743"/>
      <w:bookmarkEnd w:id="744"/>
    </w:p>
    <w:p w14:paraId="10EC0C87">
      <w:pPr>
        <w:shd w:val="clear"/>
        <w:ind w:firstLine="0" w:firstLineChars="0"/>
        <w:outlineLvl w:val="2"/>
        <w:rPr>
          <w:rFonts w:cs="Times New Roman"/>
          <w:color w:val="auto"/>
          <w:szCs w:val="28"/>
          <w:highlight w:val="none"/>
        </w:rPr>
      </w:pPr>
      <w:bookmarkStart w:id="745" w:name="_Toc26816"/>
      <w:r>
        <w:rPr>
          <w:rFonts w:cs="Times New Roman"/>
          <w:color w:val="auto"/>
          <w:szCs w:val="28"/>
          <w:highlight w:val="none"/>
        </w:rPr>
        <w:t>8.</w:t>
      </w:r>
      <w:r>
        <w:rPr>
          <w:rFonts w:hint="eastAsia" w:cs="Times New Roman"/>
          <w:color w:val="auto"/>
          <w:szCs w:val="28"/>
          <w:highlight w:val="none"/>
        </w:rPr>
        <w:t>12</w:t>
      </w:r>
      <w:r>
        <w:rPr>
          <w:rFonts w:cs="Times New Roman"/>
          <w:color w:val="auto"/>
          <w:szCs w:val="28"/>
          <w:highlight w:val="none"/>
        </w:rPr>
        <w:t>.</w:t>
      </w:r>
      <w:r>
        <w:rPr>
          <w:rFonts w:hint="eastAsia" w:cs="Times New Roman"/>
          <w:color w:val="auto"/>
          <w:szCs w:val="28"/>
          <w:highlight w:val="none"/>
        </w:rPr>
        <w:t>1 防震</w:t>
      </w:r>
      <w:bookmarkEnd w:id="745"/>
    </w:p>
    <w:p w14:paraId="5EE6F33D">
      <w:pPr>
        <w:shd w:val="clear"/>
        <w:rPr>
          <w:color w:val="auto"/>
          <w:highlight w:val="none"/>
        </w:rPr>
      </w:pPr>
      <w:r>
        <w:rPr>
          <w:color w:val="auto"/>
          <w:highlight w:val="none"/>
        </w:rPr>
        <w:t>根据建设部有关条文，全厂电气设备安装均应按相关规程规定采取抗震加固措施。</w:t>
      </w:r>
    </w:p>
    <w:p w14:paraId="5687560D">
      <w:pPr>
        <w:shd w:val="clear"/>
        <w:ind w:firstLine="0" w:firstLineChars="0"/>
        <w:outlineLvl w:val="2"/>
        <w:rPr>
          <w:rFonts w:cs="Times New Roman"/>
          <w:color w:val="auto"/>
          <w:szCs w:val="28"/>
          <w:highlight w:val="none"/>
        </w:rPr>
      </w:pPr>
      <w:bookmarkStart w:id="746" w:name="_Toc10622"/>
      <w:r>
        <w:rPr>
          <w:rFonts w:cs="Times New Roman"/>
          <w:color w:val="auto"/>
          <w:szCs w:val="28"/>
          <w:highlight w:val="none"/>
        </w:rPr>
        <w:t>8.</w:t>
      </w:r>
      <w:r>
        <w:rPr>
          <w:rFonts w:hint="eastAsia" w:cs="Times New Roman"/>
          <w:color w:val="auto"/>
          <w:szCs w:val="28"/>
          <w:highlight w:val="none"/>
        </w:rPr>
        <w:t>12</w:t>
      </w:r>
      <w:r>
        <w:rPr>
          <w:rFonts w:cs="Times New Roman"/>
          <w:color w:val="auto"/>
          <w:szCs w:val="28"/>
          <w:highlight w:val="none"/>
        </w:rPr>
        <w:t>.</w:t>
      </w:r>
      <w:r>
        <w:rPr>
          <w:rFonts w:hint="eastAsia" w:cs="Times New Roman"/>
          <w:color w:val="auto"/>
          <w:szCs w:val="28"/>
          <w:highlight w:val="none"/>
        </w:rPr>
        <w:t>2 防雷及接地</w:t>
      </w:r>
      <w:bookmarkEnd w:id="746"/>
    </w:p>
    <w:p w14:paraId="0EB42886">
      <w:pPr>
        <w:shd w:val="clear"/>
        <w:rPr>
          <w:color w:val="auto"/>
          <w:highlight w:val="none"/>
        </w:rPr>
      </w:pPr>
      <w:r>
        <w:rPr>
          <w:color w:val="auto"/>
          <w:highlight w:val="none"/>
        </w:rPr>
        <w:t>所有供电设备和构筑物均按国家有关规程、规范设计防雷和接地，保证设备正常运行和人身安全。本工程10</w:t>
      </w:r>
      <w:r>
        <w:rPr>
          <w:rFonts w:hint="eastAsia"/>
          <w:color w:val="auto"/>
          <w:highlight w:val="none"/>
        </w:rPr>
        <w:t>kV</w:t>
      </w:r>
      <w:r>
        <w:rPr>
          <w:color w:val="auto"/>
          <w:highlight w:val="none"/>
        </w:rPr>
        <w:t>变电所按二类或者三类防雷建筑物设计。</w:t>
      </w:r>
    </w:p>
    <w:p w14:paraId="4EF58000">
      <w:pPr>
        <w:shd w:val="clear"/>
        <w:rPr>
          <w:color w:val="auto"/>
          <w:highlight w:val="none"/>
        </w:rPr>
      </w:pPr>
      <w:r>
        <w:rPr>
          <w:color w:val="auto"/>
          <w:highlight w:val="none"/>
        </w:rPr>
        <w:t>1）直击雷保护</w:t>
      </w:r>
    </w:p>
    <w:p w14:paraId="63E6EABF">
      <w:pPr>
        <w:shd w:val="clear"/>
        <w:rPr>
          <w:color w:val="auto"/>
          <w:highlight w:val="none"/>
        </w:rPr>
      </w:pPr>
      <w:r>
        <w:rPr>
          <w:color w:val="auto"/>
          <w:highlight w:val="none"/>
        </w:rPr>
        <w:t>在各建筑物屋顶设置避雷带作为建筑物防直击雷保护。</w:t>
      </w:r>
    </w:p>
    <w:p w14:paraId="37D5AD21">
      <w:pPr>
        <w:shd w:val="clear"/>
        <w:rPr>
          <w:color w:val="auto"/>
          <w:highlight w:val="none"/>
        </w:rPr>
      </w:pPr>
      <w:r>
        <w:rPr>
          <w:color w:val="auto"/>
          <w:highlight w:val="none"/>
        </w:rPr>
        <w:t>2）侵入波保护</w:t>
      </w:r>
    </w:p>
    <w:p w14:paraId="438AA05C">
      <w:pPr>
        <w:shd w:val="clear"/>
        <w:rPr>
          <w:color w:val="auto"/>
          <w:highlight w:val="none"/>
        </w:rPr>
      </w:pPr>
      <w:r>
        <w:rPr>
          <w:color w:val="auto"/>
          <w:highlight w:val="none"/>
        </w:rPr>
        <w:t>为防止线路侵入的雷电波过电压，在10</w:t>
      </w:r>
      <w:r>
        <w:rPr>
          <w:rFonts w:hint="eastAsia"/>
          <w:color w:val="auto"/>
          <w:highlight w:val="none"/>
        </w:rPr>
        <w:t>kV</w:t>
      </w:r>
      <w:r>
        <w:rPr>
          <w:color w:val="auto"/>
          <w:highlight w:val="none"/>
        </w:rPr>
        <w:t>每段母线上分别装设氧化锌避雷器或过电压吸收装置。</w:t>
      </w:r>
    </w:p>
    <w:p w14:paraId="618CD848">
      <w:pPr>
        <w:shd w:val="clear"/>
        <w:rPr>
          <w:color w:val="auto"/>
          <w:highlight w:val="none"/>
        </w:rPr>
      </w:pPr>
      <w:r>
        <w:rPr>
          <w:color w:val="auto"/>
          <w:highlight w:val="none"/>
        </w:rPr>
        <w:t>为防止10</w:t>
      </w:r>
      <w:r>
        <w:rPr>
          <w:rFonts w:hint="eastAsia"/>
          <w:color w:val="auto"/>
          <w:highlight w:val="none"/>
        </w:rPr>
        <w:t>kV</w:t>
      </w:r>
      <w:r>
        <w:rPr>
          <w:color w:val="auto"/>
          <w:highlight w:val="none"/>
        </w:rPr>
        <w:t>真空断路器操作过电压引起的重燃，在断路器出口处安装一组氧化锌避雷器或过电压吸收装置。</w:t>
      </w:r>
    </w:p>
    <w:p w14:paraId="691E4C5A">
      <w:pPr>
        <w:shd w:val="clear"/>
        <w:rPr>
          <w:color w:val="auto"/>
          <w:highlight w:val="none"/>
        </w:rPr>
      </w:pPr>
      <w:r>
        <w:rPr>
          <w:color w:val="auto"/>
          <w:highlight w:val="none"/>
        </w:rPr>
        <w:t>3）接地</w:t>
      </w:r>
    </w:p>
    <w:p w14:paraId="7F80567E">
      <w:pPr>
        <w:shd w:val="clear"/>
        <w:rPr>
          <w:color w:val="auto"/>
          <w:highlight w:val="none"/>
        </w:rPr>
      </w:pPr>
      <w:r>
        <w:rPr>
          <w:color w:val="auto"/>
          <w:highlight w:val="none"/>
        </w:rPr>
        <w:t>在各变电所及开关站设置接地网络，接地网络以水平接地体为主，辅以垂直接地极，接地电阻不大于4欧。若防雷接地和保护接地难以分开，则接地电阻不大于1欧。</w:t>
      </w:r>
    </w:p>
    <w:p w14:paraId="4ADD241A">
      <w:pPr>
        <w:shd w:val="clear"/>
        <w:rPr>
          <w:color w:val="auto"/>
          <w:highlight w:val="none"/>
        </w:rPr>
      </w:pPr>
      <w:r>
        <w:rPr>
          <w:color w:val="auto"/>
          <w:highlight w:val="none"/>
        </w:rPr>
        <w:t>当与低压系统共用建筑物时与电气传动专业共用接地网。</w:t>
      </w:r>
    </w:p>
    <w:p w14:paraId="3B8F88A5">
      <w:pPr>
        <w:pStyle w:val="27"/>
        <w:shd w:val="clear"/>
        <w:spacing w:line="240" w:lineRule="auto"/>
        <w:ind w:firstLine="480"/>
        <w:jc w:val="center"/>
        <w:outlineLvl w:val="0"/>
        <w:rPr>
          <w:b/>
          <w:color w:val="auto"/>
          <w:kern w:val="0"/>
          <w:sz w:val="30"/>
          <w:szCs w:val="28"/>
          <w:highlight w:val="none"/>
        </w:rPr>
      </w:pPr>
      <w:r>
        <w:rPr>
          <w:color w:val="auto"/>
          <w:sz w:val="24"/>
          <w:highlight w:val="none"/>
        </w:rPr>
        <w:br w:type="page"/>
      </w:r>
      <w:bookmarkStart w:id="747" w:name="_Toc879"/>
      <w:bookmarkStart w:id="748" w:name="_Toc22076"/>
      <w:bookmarkStart w:id="749" w:name="_Toc503902920"/>
      <w:bookmarkStart w:id="750" w:name="_Toc175920414"/>
      <w:bookmarkStart w:id="751" w:name="_Toc9695"/>
      <w:bookmarkStart w:id="752" w:name="_Toc16738"/>
      <w:bookmarkStart w:id="753" w:name="_Toc25863"/>
      <w:bookmarkStart w:id="754" w:name="_Toc4382"/>
      <w:r>
        <w:rPr>
          <w:rFonts w:hint="eastAsia"/>
          <w:b/>
          <w:color w:val="auto"/>
          <w:kern w:val="0"/>
          <w:sz w:val="30"/>
          <w:szCs w:val="28"/>
          <w:highlight w:val="none"/>
        </w:rPr>
        <w:t>9 高炉自动化</w:t>
      </w:r>
      <w:bookmarkEnd w:id="747"/>
      <w:bookmarkEnd w:id="748"/>
      <w:bookmarkEnd w:id="749"/>
      <w:bookmarkEnd w:id="750"/>
      <w:bookmarkEnd w:id="751"/>
      <w:bookmarkEnd w:id="752"/>
      <w:bookmarkEnd w:id="753"/>
      <w:bookmarkEnd w:id="754"/>
    </w:p>
    <w:p w14:paraId="3A0AD6D3">
      <w:pPr>
        <w:shd w:val="clear"/>
        <w:ind w:firstLine="0" w:firstLineChars="0"/>
        <w:outlineLvl w:val="1"/>
        <w:rPr>
          <w:rFonts w:cs="Times New Roman"/>
          <w:b/>
          <w:color w:val="auto"/>
          <w:sz w:val="28"/>
          <w:szCs w:val="28"/>
          <w:highlight w:val="none"/>
        </w:rPr>
      </w:pPr>
      <w:bookmarkStart w:id="755" w:name="_Toc25819"/>
      <w:bookmarkStart w:id="756" w:name="_Toc25000"/>
      <w:bookmarkStart w:id="757" w:name="_Toc10976"/>
      <w:bookmarkStart w:id="758" w:name="_Toc25875"/>
      <w:bookmarkStart w:id="759" w:name="_Toc17162"/>
      <w:bookmarkStart w:id="760" w:name="_Toc4395"/>
      <w:bookmarkStart w:id="761" w:name="_Toc175920415"/>
      <w:r>
        <w:rPr>
          <w:rFonts w:hint="eastAsia" w:cs="Times New Roman"/>
          <w:b/>
          <w:color w:val="auto"/>
          <w:sz w:val="28"/>
          <w:szCs w:val="28"/>
          <w:highlight w:val="none"/>
        </w:rPr>
        <w:t>9.1 电气传动</w:t>
      </w:r>
      <w:bookmarkEnd w:id="755"/>
      <w:bookmarkEnd w:id="756"/>
      <w:bookmarkEnd w:id="757"/>
      <w:bookmarkEnd w:id="758"/>
      <w:bookmarkEnd w:id="759"/>
      <w:bookmarkEnd w:id="760"/>
      <w:bookmarkEnd w:id="761"/>
    </w:p>
    <w:p w14:paraId="28616529">
      <w:pPr>
        <w:shd w:val="clear"/>
        <w:ind w:firstLine="0" w:firstLineChars="0"/>
        <w:outlineLvl w:val="2"/>
        <w:rPr>
          <w:rFonts w:cs="Times New Roman"/>
          <w:color w:val="auto"/>
          <w:szCs w:val="28"/>
          <w:highlight w:val="none"/>
        </w:rPr>
      </w:pPr>
      <w:bookmarkStart w:id="762" w:name="_Toc31678"/>
      <w:r>
        <w:rPr>
          <w:rFonts w:cs="Times New Roman"/>
          <w:color w:val="auto"/>
          <w:szCs w:val="28"/>
          <w:highlight w:val="none"/>
        </w:rPr>
        <w:t xml:space="preserve">9.1.1 </w:t>
      </w:r>
      <w:r>
        <w:rPr>
          <w:rFonts w:hint="eastAsia" w:cs="Times New Roman"/>
          <w:color w:val="auto"/>
          <w:szCs w:val="28"/>
          <w:highlight w:val="none"/>
        </w:rPr>
        <w:t>电气传动</w:t>
      </w:r>
      <w:bookmarkEnd w:id="762"/>
    </w:p>
    <w:p w14:paraId="6190FCAF">
      <w:pPr>
        <w:shd w:val="clear"/>
        <w:rPr>
          <w:color w:val="auto"/>
          <w:highlight w:val="none"/>
        </w:rPr>
      </w:pPr>
      <w:r>
        <w:rPr>
          <w:rFonts w:hint="eastAsia"/>
          <w:color w:val="auto"/>
          <w:highlight w:val="none"/>
        </w:rPr>
        <w:t>酒钢</w:t>
      </w:r>
      <w:r>
        <w:rPr>
          <w:color w:val="auto"/>
          <w:highlight w:val="none"/>
        </w:rPr>
        <w:t>2</w:t>
      </w:r>
      <w:r>
        <w:rPr>
          <w:rFonts w:hint="eastAsia"/>
          <w:color w:val="auto"/>
          <w:highlight w:val="none"/>
        </w:rPr>
        <w:t>号高炉优化升级及超低排放改造项目，电气传动专业相关的各子系统具体如下：</w:t>
      </w:r>
    </w:p>
    <w:p w14:paraId="41750D36">
      <w:pPr>
        <w:shd w:val="clear"/>
        <w:rPr>
          <w:color w:val="auto"/>
          <w:highlight w:val="none"/>
        </w:rPr>
      </w:pPr>
      <w:r>
        <w:rPr>
          <w:rFonts w:hint="eastAsia"/>
          <w:color w:val="auto"/>
          <w:highlight w:val="none"/>
        </w:rPr>
        <w:t>槽上供料系统（电气室利旧、柜体利旧改造、桥架和电缆利旧；编码定位电缆保护性拆除与安装；对于更换电机的设备，功率未调整或变小的考虑电缆利旧；槽上3台卸料车更换，电控回路配套调整，电缆更换。槽上43#皮带机拉绳、跑偏等保护装置利旧，增设皮带防撕裂装置，防打滑、溜槽堵塞检测、声光报警，更换的皮带机（42# 44#）五防全部更换，新增一面五防继电器屏。）</w:t>
      </w:r>
    </w:p>
    <w:p w14:paraId="13EF86D9">
      <w:pPr>
        <w:shd w:val="clear"/>
        <w:rPr>
          <w:color w:val="auto"/>
          <w:highlight w:val="none"/>
        </w:rPr>
      </w:pPr>
      <w:r>
        <w:rPr>
          <w:rFonts w:hint="eastAsia"/>
          <w:color w:val="auto"/>
          <w:highlight w:val="none"/>
        </w:rPr>
        <w:t>槽下供配料（电气室利旧、柜体利旧，新增2台MCC柜布置在现有矿槽PLC室内、原有桥架和电缆利旧，对矿槽PLC室进行改造，以摆放新增的柜子；槽下南</w:t>
      </w:r>
      <w:r>
        <w:rPr>
          <w:rFonts w:hint="eastAsia"/>
          <w:color w:val="auto"/>
          <w:highlight w:val="none"/>
          <w:lang w:eastAsia="zh-CN"/>
        </w:rPr>
        <w:t>、</w:t>
      </w:r>
      <w:r>
        <w:rPr>
          <w:rFonts w:hint="eastAsia"/>
          <w:color w:val="auto"/>
          <w:highlight w:val="none"/>
        </w:rPr>
        <w:t>北上料</w:t>
      </w:r>
      <w:r>
        <w:rPr>
          <w:rFonts w:hint="eastAsia"/>
          <w:color w:val="auto"/>
          <w:highlight w:val="none"/>
          <w:lang w:val="en-US" w:eastAsia="zh-CN"/>
        </w:rPr>
        <w:t>等</w:t>
      </w:r>
      <w:r>
        <w:rPr>
          <w:rFonts w:hint="eastAsia"/>
          <w:color w:val="auto"/>
          <w:highlight w:val="none"/>
        </w:rPr>
        <w:t>皮带机</w:t>
      </w:r>
      <w:r>
        <w:rPr>
          <w:rFonts w:hint="eastAsia"/>
          <w:color w:val="auto"/>
          <w:highlight w:val="none"/>
          <w:lang w:eastAsia="zh-CN"/>
        </w:rPr>
        <w:t>，</w:t>
      </w:r>
      <w:r>
        <w:rPr>
          <w:rFonts w:hint="eastAsia"/>
          <w:color w:val="auto"/>
          <w:highlight w:val="none"/>
        </w:rPr>
        <w:t>拉绳、跑偏等保护装置恢复性拆除，增设皮带防撕裂装置，防打滑、溜槽堵塞检测、声光报警，新增一面五防继电器屏；碎焦卷扬控制电缆更换、机旁操作箱更换、碎焦卷扬限位开关更换，其余利旧；槽下</w:t>
      </w:r>
      <w:r>
        <w:rPr>
          <w:color w:val="auto"/>
          <w:highlight w:val="none"/>
        </w:rPr>
        <w:t>振动给料机振动筛机旁箱更换</w:t>
      </w:r>
      <w:r>
        <w:rPr>
          <w:rFonts w:hint="eastAsia"/>
          <w:color w:val="auto"/>
          <w:highlight w:val="none"/>
        </w:rPr>
        <w:t>；电气室考虑新增消防照明。）</w:t>
      </w:r>
    </w:p>
    <w:p w14:paraId="5485DDA1">
      <w:pPr>
        <w:shd w:val="clear"/>
        <w:rPr>
          <w:color w:val="auto"/>
          <w:highlight w:val="none"/>
        </w:rPr>
      </w:pPr>
      <w:r>
        <w:rPr>
          <w:rFonts w:hint="eastAsia"/>
          <w:color w:val="auto"/>
          <w:highlight w:val="none"/>
        </w:rPr>
        <w:t>上料系统（电气室利旧；卷扬机两台电机，由直流传动改为交流传动，2套交流传动装置</w:t>
      </w:r>
      <w:r>
        <w:rPr>
          <w:rFonts w:hint="eastAsia"/>
          <w:color w:val="auto"/>
          <w:highlight w:val="none"/>
          <w:lang w:eastAsia="zh-CN"/>
        </w:rPr>
        <w:t>（</w:t>
      </w:r>
      <w:r>
        <w:rPr>
          <w:rFonts w:hint="eastAsia"/>
          <w:color w:val="auto"/>
          <w:highlight w:val="none"/>
          <w:lang w:val="en-US" w:eastAsia="zh-CN"/>
        </w:rPr>
        <w:t>4台变频柜及切换柜</w:t>
      </w:r>
      <w:r>
        <w:rPr>
          <w:rFonts w:hint="eastAsia"/>
          <w:color w:val="auto"/>
          <w:highlight w:val="none"/>
          <w:lang w:eastAsia="zh-CN"/>
        </w:rPr>
        <w:t>）</w:t>
      </w:r>
      <w:r>
        <w:rPr>
          <w:rFonts w:hint="eastAsia"/>
          <w:color w:val="auto"/>
          <w:highlight w:val="none"/>
        </w:rPr>
        <w:t>交流传动装置</w:t>
      </w:r>
      <w:r>
        <w:rPr>
          <w:rFonts w:hint="eastAsia"/>
          <w:color w:val="auto"/>
          <w:highlight w:val="none"/>
          <w:lang w:val="en-US" w:eastAsia="zh-CN"/>
        </w:rPr>
        <w:t>配置</w:t>
      </w:r>
      <w:r>
        <w:rPr>
          <w:rFonts w:hint="eastAsia"/>
          <w:color w:val="auto"/>
          <w:highlight w:val="none"/>
        </w:rPr>
        <w:t>人机交互面板；桥架及电缆更换；PLC随卷扬机控制系统更换调整；对炉顶卷扬电气室地板进行修复加固，对部分隔墙拆除，以摆放卷扬系统的传动柜，卷扬控制系统更换。）</w:t>
      </w:r>
    </w:p>
    <w:p w14:paraId="647AED68">
      <w:pPr>
        <w:pStyle w:val="74"/>
        <w:shd w:val="clear"/>
        <w:rPr>
          <w:color w:val="auto"/>
          <w:highlight w:val="none"/>
        </w:rPr>
      </w:pPr>
      <w:r>
        <w:rPr>
          <w:rFonts w:hint="eastAsia"/>
          <w:color w:val="auto"/>
          <w:highlight w:val="none"/>
        </w:rPr>
        <w:t>炉顶系统（电气室利旧、探尺及旋转倾动电机为直流电机，8面直流传动柜重新设计更换，直流调速传动柜采用一用一备形式，8套直流调速装置信号通过硬线方式直接接入炉顶PLC控制系统；桥架及电缆利旧。）</w:t>
      </w:r>
    </w:p>
    <w:p w14:paraId="13D0592F">
      <w:pPr>
        <w:shd w:val="clear"/>
        <w:rPr>
          <w:color w:val="auto"/>
          <w:highlight w:val="none"/>
        </w:rPr>
      </w:pPr>
      <w:r>
        <w:rPr>
          <w:rFonts w:hint="eastAsia"/>
          <w:color w:val="auto"/>
          <w:highlight w:val="none"/>
        </w:rPr>
        <w:t>粗煤气系统（电气室利旧、重力除尘系统桥架和电缆</w:t>
      </w:r>
      <w:r>
        <w:rPr>
          <w:rFonts w:hint="eastAsia"/>
          <w:color w:val="auto"/>
          <w:highlight w:val="none"/>
          <w:lang w:val="en-US" w:eastAsia="zh-CN"/>
        </w:rPr>
        <w:t>利旧</w:t>
      </w:r>
      <w:r>
        <w:rPr>
          <w:rFonts w:hint="eastAsia"/>
          <w:color w:val="auto"/>
          <w:highlight w:val="none"/>
        </w:rPr>
        <w:t>。）</w:t>
      </w:r>
    </w:p>
    <w:p w14:paraId="13EA0EFD">
      <w:pPr>
        <w:shd w:val="clear"/>
        <w:rPr>
          <w:color w:val="auto"/>
          <w:highlight w:val="none"/>
        </w:rPr>
      </w:pPr>
      <w:r>
        <w:rPr>
          <w:rFonts w:hint="eastAsia"/>
          <w:color w:val="auto"/>
          <w:highlight w:val="none"/>
        </w:rPr>
        <w:t>出铁场系统（柜体利旧、桥架和电缆利旧，出铁场电动</w:t>
      </w:r>
      <w:r>
        <w:rPr>
          <w:rFonts w:hint="eastAsia"/>
          <w:color w:val="auto"/>
          <w:highlight w:val="none"/>
          <w:lang w:val="en-US" w:eastAsia="zh-CN"/>
        </w:rPr>
        <w:t>调节</w:t>
      </w:r>
      <w:r>
        <w:rPr>
          <w:rFonts w:hint="eastAsia"/>
          <w:color w:val="auto"/>
          <w:highlight w:val="none"/>
        </w:rPr>
        <w:t>阀</w:t>
      </w:r>
      <w:r>
        <w:rPr>
          <w:rFonts w:hint="eastAsia"/>
          <w:color w:val="auto"/>
          <w:highlight w:val="none"/>
          <w:lang w:val="en-US" w:eastAsia="zh-CN"/>
        </w:rPr>
        <w:t>4</w:t>
      </w:r>
      <w:r>
        <w:rPr>
          <w:rFonts w:hint="eastAsia"/>
          <w:color w:val="auto"/>
          <w:highlight w:val="none"/>
        </w:rPr>
        <w:t>台控制回路修改，改为带阀位反馈的控制方式。）</w:t>
      </w:r>
    </w:p>
    <w:p w14:paraId="4C8EED1D">
      <w:pPr>
        <w:shd w:val="clear"/>
        <w:rPr>
          <w:color w:val="auto"/>
          <w:highlight w:val="none"/>
        </w:rPr>
      </w:pPr>
      <w:r>
        <w:rPr>
          <w:rFonts w:hint="eastAsia"/>
          <w:color w:val="auto"/>
          <w:highlight w:val="none"/>
        </w:rPr>
        <w:t>渣处理系统（电气室利旧、柜体利旧、桥架和电缆利旧。）</w:t>
      </w:r>
    </w:p>
    <w:p w14:paraId="1BC3C007">
      <w:pPr>
        <w:shd w:val="clear"/>
        <w:rPr>
          <w:color w:val="auto"/>
          <w:highlight w:val="none"/>
        </w:rPr>
      </w:pPr>
      <w:r>
        <w:rPr>
          <w:rFonts w:hint="eastAsia"/>
          <w:color w:val="auto"/>
          <w:highlight w:val="none"/>
        </w:rPr>
        <w:t>循环水处理（电气室利旧、柜体利旧、桥架和电缆利旧，软水泵房屋面6台空冷器更换；</w:t>
      </w:r>
      <w:r>
        <w:rPr>
          <w:rFonts w:cs="宋体"/>
          <w:color w:val="auto"/>
          <w:highlight w:val="none"/>
        </w:rPr>
        <w:t>2台软水高压供水泵更换，一用一备，单台设备功率315KW/10KV；新增电动阀回路4个，新增冷却塔2台，提升泵2台，新增MCC柜3台，</w:t>
      </w:r>
      <w:r>
        <w:rPr>
          <w:rFonts w:hint="eastAsia"/>
          <w:color w:val="auto"/>
          <w:highlight w:val="none"/>
        </w:rPr>
        <w:t>改造现有水泵房仓库做为新增低压柜电气室，进线柜设置双电源开关）。</w:t>
      </w:r>
    </w:p>
    <w:p w14:paraId="67C653CA">
      <w:pPr>
        <w:shd w:val="clear"/>
        <w:rPr>
          <w:color w:val="auto"/>
          <w:highlight w:val="none"/>
        </w:rPr>
      </w:pPr>
      <w:r>
        <w:rPr>
          <w:rFonts w:hint="eastAsia"/>
          <w:color w:val="auto"/>
          <w:highlight w:val="none"/>
        </w:rPr>
        <w:t>矿槽除尘系统（利旧改造，矿槽除尘变频器布置在</w:t>
      </w:r>
      <w:r>
        <w:rPr>
          <w:rFonts w:hint="eastAsia"/>
          <w:color w:val="auto"/>
          <w:highlight w:val="none"/>
          <w:lang w:val="en-US" w:eastAsia="zh-CN"/>
        </w:rPr>
        <w:t>矿槽</w:t>
      </w:r>
      <w:r>
        <w:rPr>
          <w:rFonts w:hint="eastAsia"/>
          <w:color w:val="auto"/>
          <w:highlight w:val="none"/>
        </w:rPr>
        <w:t>除尘</w:t>
      </w:r>
      <w:r>
        <w:rPr>
          <w:rFonts w:hint="eastAsia"/>
          <w:color w:val="auto"/>
          <w:highlight w:val="none"/>
          <w:lang w:val="en-US" w:eastAsia="zh-CN"/>
        </w:rPr>
        <w:t>电气室</w:t>
      </w:r>
      <w:r>
        <w:rPr>
          <w:rFonts w:hint="eastAsia"/>
          <w:color w:val="auto"/>
          <w:highlight w:val="none"/>
        </w:rPr>
        <w:t>，原地沟除尘</w:t>
      </w:r>
      <w:r>
        <w:rPr>
          <w:rFonts w:hint="eastAsia"/>
          <w:color w:val="auto"/>
          <w:highlight w:val="none"/>
          <w:lang w:val="en-US" w:eastAsia="zh-CN"/>
        </w:rPr>
        <w:t>高、</w:t>
      </w:r>
      <w:r>
        <w:rPr>
          <w:rFonts w:hint="eastAsia"/>
          <w:color w:val="auto"/>
          <w:highlight w:val="none"/>
        </w:rPr>
        <w:t>低压柜拆除。）</w:t>
      </w:r>
    </w:p>
    <w:p w14:paraId="63C0EDED">
      <w:pPr>
        <w:shd w:val="clear"/>
        <w:rPr>
          <w:color w:val="auto"/>
          <w:highlight w:val="none"/>
        </w:rPr>
      </w:pPr>
      <w:r>
        <w:rPr>
          <w:rFonts w:hint="eastAsia"/>
          <w:color w:val="auto"/>
          <w:highlight w:val="none"/>
        </w:rPr>
        <w:t>地沟除尘系统（利旧原出铁场除尘，高低压柜利旧，电缆及桥架更换，两路低压进线电源需重新设计、迁移至2号高炉水渣电磁站，每根约100米</w:t>
      </w:r>
      <w:r>
        <w:rPr>
          <w:rFonts w:hint="eastAsia"/>
          <w:color w:val="auto"/>
          <w:highlight w:val="none"/>
          <w:lang w:eastAsia="zh-CN"/>
        </w:rPr>
        <w:t>。</w:t>
      </w:r>
      <w:r>
        <w:rPr>
          <w:rFonts w:hint="eastAsia"/>
          <w:color w:val="auto"/>
          <w:highlight w:val="none"/>
        </w:rPr>
        <w:t>）</w:t>
      </w:r>
    </w:p>
    <w:p w14:paraId="76F5038D">
      <w:pPr>
        <w:shd w:val="clear"/>
        <w:rPr>
          <w:color w:val="auto"/>
          <w:highlight w:val="none"/>
        </w:rPr>
      </w:pPr>
      <w:r>
        <w:rPr>
          <w:rFonts w:hint="eastAsia"/>
          <w:color w:val="auto"/>
          <w:highlight w:val="none"/>
        </w:rPr>
        <w:t>出铁场除尘系统</w:t>
      </w:r>
      <w:r>
        <w:rPr>
          <w:rFonts w:hint="eastAsia"/>
          <w:color w:val="auto"/>
          <w:highlight w:val="none"/>
          <w:lang w:eastAsia="zh-CN"/>
        </w:rPr>
        <w:t>、</w:t>
      </w:r>
      <w:r>
        <w:rPr>
          <w:rFonts w:hint="eastAsia"/>
          <w:color w:val="auto"/>
          <w:highlight w:val="none"/>
          <w:lang w:val="en-US" w:eastAsia="zh-CN"/>
        </w:rPr>
        <w:t>返矿系统</w:t>
      </w:r>
      <w:r>
        <w:rPr>
          <w:rFonts w:hint="eastAsia"/>
          <w:color w:val="auto"/>
          <w:highlight w:val="none"/>
        </w:rPr>
        <w:t>（</w:t>
      </w:r>
      <w:r>
        <w:rPr>
          <w:rFonts w:hint="eastAsia"/>
          <w:b w:val="0"/>
          <w:bCs w:val="0"/>
          <w:color w:val="auto"/>
          <w:sz w:val="24"/>
          <w:szCs w:val="24"/>
          <w:highlight w:val="none"/>
        </w:rPr>
        <w:t>新建</w:t>
      </w:r>
      <w:r>
        <w:rPr>
          <w:rFonts w:hint="eastAsia"/>
          <w:b w:val="0"/>
          <w:bCs w:val="0"/>
          <w:color w:val="auto"/>
          <w:sz w:val="24"/>
          <w:szCs w:val="24"/>
          <w:highlight w:val="none"/>
          <w:lang w:val="en-US" w:eastAsia="zh-CN"/>
        </w:rPr>
        <w:t>出铁场除尘与</w:t>
      </w:r>
      <w:r>
        <w:rPr>
          <w:rFonts w:hint="eastAsia"/>
          <w:b w:val="0"/>
          <w:bCs w:val="0"/>
          <w:color w:val="auto"/>
          <w:sz w:val="24"/>
          <w:szCs w:val="24"/>
          <w:highlight w:val="none"/>
        </w:rPr>
        <w:t>返矿</w:t>
      </w:r>
      <w:r>
        <w:rPr>
          <w:rFonts w:hint="eastAsia"/>
          <w:b w:val="0"/>
          <w:bCs w:val="0"/>
          <w:color w:val="auto"/>
          <w:sz w:val="24"/>
          <w:szCs w:val="24"/>
          <w:highlight w:val="none"/>
          <w:lang w:val="en-US" w:eastAsia="zh-CN"/>
        </w:rPr>
        <w:t>合建</w:t>
      </w:r>
      <w:r>
        <w:rPr>
          <w:rFonts w:hint="eastAsia"/>
          <w:b w:val="0"/>
          <w:bCs w:val="0"/>
          <w:color w:val="auto"/>
          <w:sz w:val="24"/>
          <w:szCs w:val="24"/>
          <w:highlight w:val="none"/>
        </w:rPr>
        <w:t>电气室，电气室布置新建出铁场除尘器下方，设置两路AC380V电源进线，电源引自矿槽电气室低压备用开关。</w:t>
      </w:r>
      <w:r>
        <w:rPr>
          <w:rFonts w:hint="eastAsia"/>
          <w:color w:val="auto"/>
          <w:highlight w:val="none"/>
        </w:rPr>
        <w:t>）</w:t>
      </w:r>
    </w:p>
    <w:p w14:paraId="3DB6000C">
      <w:pPr>
        <w:shd w:val="clear"/>
        <w:rPr>
          <w:color w:val="auto"/>
          <w:highlight w:val="none"/>
        </w:rPr>
      </w:pPr>
      <w:r>
        <w:rPr>
          <w:rFonts w:hint="eastAsia"/>
          <w:color w:val="auto"/>
          <w:highlight w:val="none"/>
        </w:rPr>
        <w:t>新建电气室设挡鼠板、检修牌等，电气柜前后配置绝缘胶垫。</w:t>
      </w:r>
    </w:p>
    <w:p w14:paraId="15AE4D67">
      <w:pPr>
        <w:shd w:val="clear"/>
        <w:rPr>
          <w:color w:val="auto"/>
          <w:highlight w:val="none"/>
        </w:rPr>
      </w:pPr>
      <w:r>
        <w:rPr>
          <w:rFonts w:hint="eastAsia"/>
          <w:color w:val="auto"/>
          <w:highlight w:val="none"/>
        </w:rPr>
        <w:t>照明（矿槽区域</w:t>
      </w:r>
      <w:r>
        <w:rPr>
          <w:rFonts w:hint="eastAsia"/>
          <w:color w:val="auto"/>
          <w:highlight w:val="none"/>
          <w:lang w:val="en-US" w:eastAsia="zh-CN"/>
        </w:rPr>
        <w:t>线路重新设计更换，灯具利旧增补</w:t>
      </w:r>
      <w:r>
        <w:rPr>
          <w:rFonts w:hint="eastAsia"/>
          <w:color w:val="auto"/>
          <w:highlight w:val="none"/>
        </w:rPr>
        <w:t>）</w:t>
      </w:r>
    </w:p>
    <w:p w14:paraId="02DD11FE">
      <w:pPr>
        <w:pStyle w:val="17"/>
        <w:shd w:val="clear"/>
        <w:rPr>
          <w:b w:val="0"/>
          <w:bCs w:val="0"/>
          <w:color w:val="auto"/>
          <w:sz w:val="24"/>
          <w:szCs w:val="24"/>
          <w:highlight w:val="none"/>
        </w:rPr>
      </w:pPr>
      <w:r>
        <w:rPr>
          <w:rFonts w:hint="eastAsia"/>
          <w:b w:val="0"/>
          <w:bCs w:val="0"/>
          <w:color w:val="auto"/>
          <w:sz w:val="24"/>
          <w:szCs w:val="24"/>
          <w:highlight w:val="none"/>
        </w:rPr>
        <w:t>除尘系统的受控电气设备应采用启机继电器和停机继电器分设的双回路控制，避免PLC停机时造成设备误停。对于连锁输出继电器应采用带手动强制的继电器，这样方便仪表进行校表和故障处理。</w:t>
      </w:r>
    </w:p>
    <w:p w14:paraId="57F880CC">
      <w:pPr>
        <w:shd w:val="clear"/>
        <w:rPr>
          <w:color w:val="auto"/>
          <w:highlight w:val="none"/>
        </w:rPr>
      </w:pPr>
      <w:r>
        <w:rPr>
          <w:rFonts w:hint="eastAsia"/>
          <w:color w:val="auto"/>
          <w:highlight w:val="none"/>
        </w:rPr>
        <w:t>电气传动专业的设计范围包括以上个各系统改造所涉及的供配电、传动设计、照明、防雷接地及厂区电缆设计。</w:t>
      </w:r>
    </w:p>
    <w:p w14:paraId="31B2EE39">
      <w:pPr>
        <w:shd w:val="clear"/>
        <w:ind w:firstLine="0" w:firstLineChars="0"/>
        <w:outlineLvl w:val="2"/>
        <w:rPr>
          <w:rFonts w:cs="Times New Roman"/>
          <w:color w:val="auto"/>
          <w:szCs w:val="28"/>
          <w:highlight w:val="none"/>
        </w:rPr>
      </w:pPr>
      <w:bookmarkStart w:id="763" w:name="_Toc11013"/>
      <w:r>
        <w:rPr>
          <w:rFonts w:cs="Times New Roman"/>
          <w:color w:val="auto"/>
          <w:szCs w:val="28"/>
          <w:highlight w:val="none"/>
        </w:rPr>
        <w:t xml:space="preserve">9.1.2 </w:t>
      </w:r>
      <w:r>
        <w:rPr>
          <w:rFonts w:hint="eastAsia" w:cs="Times New Roman"/>
          <w:color w:val="auto"/>
          <w:szCs w:val="28"/>
          <w:highlight w:val="none"/>
        </w:rPr>
        <w:t>电气技术参数</w:t>
      </w:r>
      <w:bookmarkEnd w:id="763"/>
    </w:p>
    <w:p w14:paraId="0C043290">
      <w:pPr>
        <w:shd w:val="clear"/>
        <w:rPr>
          <w:color w:val="auto"/>
          <w:highlight w:val="none"/>
        </w:rPr>
      </w:pPr>
      <w:r>
        <w:rPr>
          <w:rFonts w:hint="eastAsia"/>
          <w:color w:val="auto"/>
          <w:highlight w:val="none"/>
        </w:rPr>
        <w:t>电压</w:t>
      </w:r>
      <w:r>
        <w:rPr>
          <w:color w:val="auto"/>
          <w:highlight w:val="none"/>
        </w:rPr>
        <w:t xml:space="preserve">                   380VAC</w:t>
      </w:r>
      <w:r>
        <w:rPr>
          <w:rFonts w:hint="eastAsia"/>
          <w:color w:val="auto"/>
          <w:highlight w:val="none"/>
        </w:rPr>
        <w:t>±</w:t>
      </w:r>
      <w:r>
        <w:rPr>
          <w:color w:val="auto"/>
          <w:highlight w:val="none"/>
        </w:rPr>
        <w:t>10%</w:t>
      </w:r>
    </w:p>
    <w:p w14:paraId="006EFB30">
      <w:pPr>
        <w:shd w:val="clear"/>
        <w:rPr>
          <w:color w:val="auto"/>
          <w:highlight w:val="none"/>
        </w:rPr>
      </w:pPr>
      <w:r>
        <w:rPr>
          <w:rFonts w:hint="eastAsia"/>
          <w:color w:val="auto"/>
          <w:highlight w:val="none"/>
        </w:rPr>
        <w:t>频率</w:t>
      </w:r>
      <w:r>
        <w:rPr>
          <w:color w:val="auto"/>
          <w:highlight w:val="none"/>
        </w:rPr>
        <w:t xml:space="preserve">                   50Hz</w:t>
      </w:r>
      <w:r>
        <w:rPr>
          <w:rFonts w:hint="eastAsia"/>
          <w:color w:val="auto"/>
          <w:highlight w:val="none"/>
        </w:rPr>
        <w:t>±</w:t>
      </w:r>
      <w:r>
        <w:rPr>
          <w:color w:val="auto"/>
          <w:highlight w:val="none"/>
        </w:rPr>
        <w:t>1Hz</w:t>
      </w:r>
    </w:p>
    <w:p w14:paraId="72466C03">
      <w:pPr>
        <w:shd w:val="clear"/>
        <w:rPr>
          <w:color w:val="auto"/>
          <w:highlight w:val="none"/>
        </w:rPr>
      </w:pPr>
      <w:r>
        <w:rPr>
          <w:rFonts w:hint="eastAsia"/>
          <w:color w:val="auto"/>
          <w:highlight w:val="none"/>
        </w:rPr>
        <w:t>交流电动机电压</w:t>
      </w:r>
      <w:r>
        <w:rPr>
          <w:color w:val="auto"/>
          <w:highlight w:val="none"/>
        </w:rPr>
        <w:t xml:space="preserve">         380VAC</w:t>
      </w:r>
    </w:p>
    <w:p w14:paraId="408B2524">
      <w:pPr>
        <w:shd w:val="clear"/>
        <w:rPr>
          <w:color w:val="auto"/>
          <w:highlight w:val="none"/>
        </w:rPr>
      </w:pPr>
      <w:r>
        <w:rPr>
          <w:rFonts w:hint="eastAsia"/>
          <w:color w:val="auto"/>
          <w:highlight w:val="none"/>
        </w:rPr>
        <w:t>控制电源和照明电压</w:t>
      </w:r>
      <w:r>
        <w:rPr>
          <w:color w:val="auto"/>
          <w:highlight w:val="none"/>
        </w:rPr>
        <w:t xml:space="preserve">     220VAC</w:t>
      </w:r>
    </w:p>
    <w:p w14:paraId="57D65DB8">
      <w:pPr>
        <w:shd w:val="clear"/>
        <w:rPr>
          <w:color w:val="auto"/>
          <w:highlight w:val="none"/>
        </w:rPr>
      </w:pPr>
      <w:r>
        <w:rPr>
          <w:rFonts w:hint="eastAsia"/>
          <w:color w:val="auto"/>
          <w:highlight w:val="none"/>
        </w:rPr>
        <w:t>电磁阀电压</w:t>
      </w:r>
      <w:r>
        <w:rPr>
          <w:color w:val="auto"/>
          <w:highlight w:val="none"/>
        </w:rPr>
        <w:t xml:space="preserve">             24VDC</w:t>
      </w:r>
    </w:p>
    <w:p w14:paraId="1D6FE3B3">
      <w:pPr>
        <w:shd w:val="clear"/>
        <w:rPr>
          <w:color w:val="auto"/>
          <w:highlight w:val="none"/>
        </w:rPr>
      </w:pPr>
      <w:r>
        <w:rPr>
          <w:color w:val="auto"/>
          <w:highlight w:val="none"/>
        </w:rPr>
        <w:t>PLC I/O</w:t>
      </w:r>
      <w:r>
        <w:rPr>
          <w:rFonts w:hint="eastAsia"/>
          <w:color w:val="auto"/>
          <w:highlight w:val="none"/>
        </w:rPr>
        <w:t xml:space="preserve">模块电压 </w:t>
      </w:r>
      <w:r>
        <w:rPr>
          <w:color w:val="auto"/>
          <w:highlight w:val="none"/>
        </w:rPr>
        <w:t xml:space="preserve">       24VDC</w:t>
      </w:r>
    </w:p>
    <w:p w14:paraId="5ACA8EF2">
      <w:pPr>
        <w:shd w:val="clear"/>
        <w:rPr>
          <w:color w:val="auto"/>
          <w:highlight w:val="none"/>
        </w:rPr>
      </w:pPr>
      <w:r>
        <w:rPr>
          <w:rFonts w:hint="eastAsia"/>
          <w:color w:val="auto"/>
          <w:highlight w:val="none"/>
        </w:rPr>
        <w:t>传感器和操作装置</w:t>
      </w:r>
      <w:r>
        <w:rPr>
          <w:color w:val="auto"/>
          <w:highlight w:val="none"/>
        </w:rPr>
        <w:t xml:space="preserve">       24VDC</w:t>
      </w:r>
      <w:r>
        <w:rPr>
          <w:rFonts w:hint="eastAsia"/>
          <w:color w:val="auto"/>
          <w:highlight w:val="none"/>
        </w:rPr>
        <w:t>或220VAC</w:t>
      </w:r>
    </w:p>
    <w:p w14:paraId="39A8FCAB">
      <w:pPr>
        <w:shd w:val="clear"/>
        <w:ind w:firstLine="0" w:firstLineChars="0"/>
        <w:outlineLvl w:val="2"/>
        <w:rPr>
          <w:rFonts w:cs="Times New Roman"/>
          <w:color w:val="auto"/>
          <w:szCs w:val="28"/>
          <w:highlight w:val="none"/>
        </w:rPr>
      </w:pPr>
      <w:bookmarkStart w:id="764" w:name="_Toc13069"/>
      <w:r>
        <w:rPr>
          <w:rFonts w:cs="Times New Roman"/>
          <w:color w:val="auto"/>
          <w:szCs w:val="28"/>
          <w:highlight w:val="none"/>
        </w:rPr>
        <w:t xml:space="preserve">9.1.3 </w:t>
      </w:r>
      <w:r>
        <w:rPr>
          <w:rFonts w:hint="eastAsia" w:cs="Times New Roman"/>
          <w:color w:val="auto"/>
          <w:szCs w:val="28"/>
          <w:highlight w:val="none"/>
        </w:rPr>
        <w:t>标准</w:t>
      </w:r>
      <w:bookmarkEnd w:id="764"/>
    </w:p>
    <w:p w14:paraId="41BE2F67">
      <w:pPr>
        <w:shd w:val="clear"/>
        <w:rPr>
          <w:color w:val="auto"/>
          <w:highlight w:val="none"/>
        </w:rPr>
      </w:pPr>
      <w:r>
        <w:rPr>
          <w:rFonts w:hint="eastAsia"/>
          <w:color w:val="auto"/>
          <w:highlight w:val="none"/>
        </w:rPr>
        <w:t>中国国家标准</w:t>
      </w:r>
      <w:r>
        <w:rPr>
          <w:color w:val="auto"/>
          <w:highlight w:val="none"/>
        </w:rPr>
        <w:t>(GB)</w:t>
      </w:r>
      <w:r>
        <w:rPr>
          <w:rFonts w:hint="eastAsia"/>
          <w:color w:val="auto"/>
          <w:highlight w:val="none"/>
        </w:rPr>
        <w:t>。</w:t>
      </w:r>
    </w:p>
    <w:p w14:paraId="77A99BE2">
      <w:pPr>
        <w:shd w:val="clear"/>
        <w:ind w:firstLine="0" w:firstLineChars="0"/>
        <w:outlineLvl w:val="2"/>
        <w:rPr>
          <w:rFonts w:cs="Times New Roman"/>
          <w:color w:val="auto"/>
          <w:szCs w:val="28"/>
          <w:highlight w:val="none"/>
        </w:rPr>
      </w:pPr>
      <w:bookmarkStart w:id="765" w:name="_Toc17484"/>
      <w:r>
        <w:rPr>
          <w:rFonts w:cs="Times New Roman"/>
          <w:color w:val="auto"/>
          <w:szCs w:val="28"/>
          <w:highlight w:val="none"/>
        </w:rPr>
        <w:t xml:space="preserve">9.1.4 </w:t>
      </w:r>
      <w:r>
        <w:rPr>
          <w:rFonts w:hint="eastAsia" w:cs="Times New Roman"/>
          <w:color w:val="auto"/>
          <w:szCs w:val="28"/>
          <w:highlight w:val="none"/>
        </w:rPr>
        <w:t>低压供配电</w:t>
      </w:r>
      <w:bookmarkEnd w:id="765"/>
    </w:p>
    <w:p w14:paraId="51400071">
      <w:pPr>
        <w:shd w:val="clear"/>
        <w:rPr>
          <w:color w:val="auto"/>
          <w:highlight w:val="none"/>
        </w:rPr>
      </w:pPr>
      <w:r>
        <w:rPr>
          <w:color w:val="auto"/>
          <w:highlight w:val="none"/>
        </w:rPr>
        <w:t xml:space="preserve">9.1.4.1 </w:t>
      </w:r>
      <w:r>
        <w:rPr>
          <w:rFonts w:hint="eastAsia"/>
          <w:color w:val="auto"/>
          <w:highlight w:val="none"/>
        </w:rPr>
        <w:t>低压供配电基本方案</w:t>
      </w:r>
    </w:p>
    <w:p w14:paraId="69C5020F">
      <w:pPr>
        <w:shd w:val="clear"/>
        <w:rPr>
          <w:color w:val="auto"/>
          <w:highlight w:val="none"/>
        </w:rPr>
      </w:pPr>
      <w:r>
        <w:rPr>
          <w:rFonts w:hint="eastAsia"/>
          <w:color w:val="auto"/>
          <w:highlight w:val="none"/>
        </w:rPr>
        <w:t>本高炉负荷采用两路电源供电，当一路电源故障时，可手动切换至另一路电源，以保证用电设备的连续供电。新增除尘系统，低压用电采用双电源进线。</w:t>
      </w:r>
    </w:p>
    <w:p w14:paraId="210D30BF">
      <w:pPr>
        <w:shd w:val="clear"/>
        <w:rPr>
          <w:color w:val="auto"/>
          <w:highlight w:val="none"/>
        </w:rPr>
      </w:pPr>
      <w:r>
        <w:rPr>
          <w:rFonts w:hint="eastAsia"/>
          <w:color w:val="auto"/>
          <w:highlight w:val="none"/>
        </w:rPr>
        <w:t>供电方式采用放射式。配电系统采用</w:t>
      </w:r>
      <w:r>
        <w:rPr>
          <w:color w:val="auto"/>
          <w:highlight w:val="none"/>
        </w:rPr>
        <w:t>TN-</w:t>
      </w:r>
      <w:r>
        <w:rPr>
          <w:rFonts w:hint="eastAsia"/>
          <w:color w:val="auto"/>
          <w:highlight w:val="none"/>
        </w:rPr>
        <w:t>S系统。</w:t>
      </w:r>
    </w:p>
    <w:p w14:paraId="13B718AF">
      <w:pPr>
        <w:shd w:val="clear"/>
        <w:rPr>
          <w:color w:val="auto"/>
          <w:highlight w:val="none"/>
        </w:rPr>
      </w:pPr>
      <w:r>
        <w:rPr>
          <w:color w:val="auto"/>
          <w:highlight w:val="none"/>
        </w:rPr>
        <w:t>新增出铁场除尘</w:t>
      </w:r>
      <w:r>
        <w:rPr>
          <w:rFonts w:hint="eastAsia"/>
          <w:color w:val="auto"/>
          <w:highlight w:val="none"/>
          <w:lang w:val="en-US" w:eastAsia="zh-CN"/>
        </w:rPr>
        <w:t>及返矿系统</w:t>
      </w:r>
      <w:r>
        <w:rPr>
          <w:rFonts w:hint="eastAsia"/>
          <w:color w:val="auto"/>
          <w:highlight w:val="none"/>
        </w:rPr>
        <w:t>进线电源取电点位置2号高炉</w:t>
      </w:r>
      <w:r>
        <w:rPr>
          <w:rFonts w:hint="eastAsia"/>
          <w:color w:val="auto"/>
          <w:highlight w:val="none"/>
          <w:lang w:val="en-US" w:eastAsia="zh-CN"/>
        </w:rPr>
        <w:t>矿槽电气室</w:t>
      </w:r>
      <w:r>
        <w:rPr>
          <w:rFonts w:hint="eastAsia"/>
          <w:color w:val="auto"/>
          <w:highlight w:val="none"/>
        </w:rPr>
        <w:t>，采用双电源进线。</w:t>
      </w:r>
    </w:p>
    <w:p w14:paraId="087F4EF8">
      <w:pPr>
        <w:shd w:val="clear"/>
        <w:rPr>
          <w:color w:val="auto"/>
          <w:highlight w:val="none"/>
        </w:rPr>
      </w:pPr>
      <w:r>
        <w:rPr>
          <w:color w:val="auto"/>
          <w:highlight w:val="none"/>
        </w:rPr>
        <w:t>9.1.4.</w:t>
      </w:r>
      <w:r>
        <w:rPr>
          <w:rFonts w:hint="eastAsia"/>
          <w:color w:val="auto"/>
          <w:highlight w:val="none"/>
        </w:rPr>
        <w:t>2停电措施</w:t>
      </w:r>
    </w:p>
    <w:p w14:paraId="686B31A4">
      <w:pPr>
        <w:shd w:val="clear"/>
        <w:rPr>
          <w:color w:val="auto"/>
          <w:highlight w:val="none"/>
        </w:rPr>
      </w:pPr>
      <w:r>
        <w:rPr>
          <w:rFonts w:hint="eastAsia"/>
          <w:color w:val="auto"/>
          <w:highlight w:val="none"/>
        </w:rPr>
        <w:t>高炉低压用电负荷在正常情况下，各变电所由两台变压器互为备用。当两路电源同时故障时，电气采取以下措施：</w:t>
      </w:r>
    </w:p>
    <w:p w14:paraId="433B2F2D">
      <w:pPr>
        <w:shd w:val="clear"/>
        <w:rPr>
          <w:color w:val="auto"/>
          <w:highlight w:val="none"/>
        </w:rPr>
      </w:pPr>
      <w:r>
        <w:rPr>
          <w:rFonts w:hint="eastAsia"/>
          <w:color w:val="auto"/>
          <w:highlight w:val="none"/>
        </w:rPr>
        <w:t>（</w:t>
      </w:r>
      <w:r>
        <w:rPr>
          <w:color w:val="auto"/>
          <w:highlight w:val="none"/>
        </w:rPr>
        <w:t>1</w:t>
      </w:r>
      <w:r>
        <w:rPr>
          <w:rFonts w:hint="eastAsia"/>
          <w:color w:val="auto"/>
          <w:highlight w:val="none"/>
        </w:rPr>
        <w:t>）配备</w:t>
      </w:r>
      <w:r>
        <w:rPr>
          <w:color w:val="auto"/>
          <w:highlight w:val="none"/>
        </w:rPr>
        <w:t>UPS</w:t>
      </w:r>
      <w:r>
        <w:rPr>
          <w:rFonts w:hint="eastAsia"/>
          <w:color w:val="auto"/>
          <w:highlight w:val="none"/>
        </w:rPr>
        <w:t>不间断电源供电系统，其供电蓄电池型式为免维护密封蓄电池，时间不小于</w:t>
      </w:r>
      <w:r>
        <w:rPr>
          <w:color w:val="auto"/>
          <w:highlight w:val="none"/>
        </w:rPr>
        <w:t>30分钟</w:t>
      </w:r>
      <w:r>
        <w:rPr>
          <w:rFonts w:hint="eastAsia"/>
          <w:color w:val="auto"/>
          <w:highlight w:val="none"/>
        </w:rPr>
        <w:t>。主要供电负荷：</w:t>
      </w:r>
    </w:p>
    <w:p w14:paraId="4943B15C">
      <w:pPr>
        <w:shd w:val="clear"/>
        <w:rPr>
          <w:color w:val="auto"/>
          <w:highlight w:val="none"/>
        </w:rPr>
      </w:pPr>
      <w:r>
        <w:rPr>
          <w:rFonts w:hint="eastAsia"/>
          <w:color w:val="auto"/>
          <w:highlight w:val="none"/>
        </w:rPr>
        <w:t>电气、仪表和计算机等重要控制设备，以保护程序及相关数据等等。</w:t>
      </w:r>
    </w:p>
    <w:p w14:paraId="14425E7C">
      <w:pPr>
        <w:shd w:val="clear"/>
        <w:rPr>
          <w:color w:val="auto"/>
          <w:highlight w:val="none"/>
        </w:rPr>
      </w:pPr>
      <w:r>
        <w:rPr>
          <w:rFonts w:hint="eastAsia"/>
          <w:color w:val="auto"/>
          <w:highlight w:val="none"/>
        </w:rPr>
        <w:t>（2）热风炉配备</w:t>
      </w:r>
      <w:r>
        <w:rPr>
          <w:color w:val="auto"/>
          <w:highlight w:val="none"/>
        </w:rPr>
        <w:t>EPS</w:t>
      </w:r>
      <w:r>
        <w:rPr>
          <w:rFonts w:hint="eastAsia"/>
          <w:color w:val="auto"/>
          <w:highlight w:val="none"/>
        </w:rPr>
        <w:t>不间断电源供电系统，以保证高炉突然停电时冷风放风阀安全动作。</w:t>
      </w:r>
    </w:p>
    <w:p w14:paraId="4BBD46B2">
      <w:pPr>
        <w:shd w:val="clear"/>
        <w:rPr>
          <w:color w:val="auto"/>
          <w:highlight w:val="none"/>
        </w:rPr>
      </w:pPr>
      <w:r>
        <w:rPr>
          <w:rFonts w:hint="eastAsia"/>
          <w:color w:val="auto"/>
          <w:highlight w:val="none"/>
        </w:rPr>
        <w:t>（3）电气室、操作室的</w:t>
      </w:r>
      <w:r>
        <w:rPr>
          <w:rFonts w:hint="eastAsia"/>
          <w:color w:val="auto"/>
          <w:highlight w:val="none"/>
          <w:lang w:val="en-US" w:eastAsia="zh-CN"/>
        </w:rPr>
        <w:t>备用照</w:t>
      </w:r>
      <w:r>
        <w:rPr>
          <w:color w:val="auto"/>
          <w:highlight w:val="none"/>
        </w:rPr>
        <w:t>明采用有内部蓄电池的</w:t>
      </w:r>
      <w:r>
        <w:rPr>
          <w:rFonts w:hint="eastAsia"/>
          <w:color w:val="auto"/>
          <w:highlight w:val="none"/>
          <w:lang w:val="en-US" w:eastAsia="zh-CN"/>
        </w:rPr>
        <w:t>备用</w:t>
      </w:r>
      <w:r>
        <w:rPr>
          <w:color w:val="auto"/>
          <w:highlight w:val="none"/>
        </w:rPr>
        <w:t>照明灯，持续时间30分钟</w:t>
      </w:r>
      <w:r>
        <w:rPr>
          <w:rFonts w:hint="eastAsia"/>
          <w:color w:val="auto"/>
          <w:highlight w:val="none"/>
        </w:rPr>
        <w:t>。</w:t>
      </w:r>
    </w:p>
    <w:p w14:paraId="5AC4EE4B">
      <w:pPr>
        <w:shd w:val="clear"/>
        <w:ind w:firstLine="0" w:firstLineChars="0"/>
        <w:outlineLvl w:val="2"/>
        <w:rPr>
          <w:rFonts w:cs="Times New Roman"/>
          <w:color w:val="auto"/>
          <w:szCs w:val="28"/>
          <w:highlight w:val="none"/>
        </w:rPr>
      </w:pPr>
      <w:bookmarkStart w:id="766" w:name="_Toc5051"/>
      <w:r>
        <w:rPr>
          <w:rFonts w:cs="Times New Roman"/>
          <w:color w:val="auto"/>
          <w:szCs w:val="28"/>
          <w:highlight w:val="none"/>
        </w:rPr>
        <w:t xml:space="preserve">9.1.5 </w:t>
      </w:r>
      <w:r>
        <w:rPr>
          <w:rFonts w:hint="eastAsia" w:cs="Times New Roman"/>
          <w:color w:val="auto"/>
          <w:szCs w:val="28"/>
          <w:highlight w:val="none"/>
        </w:rPr>
        <w:t>电气设计指导原则</w:t>
      </w:r>
      <w:bookmarkEnd w:id="766"/>
    </w:p>
    <w:p w14:paraId="11BBCBC2">
      <w:pPr>
        <w:shd w:val="clear"/>
        <w:rPr>
          <w:color w:val="auto"/>
          <w:highlight w:val="none"/>
        </w:rPr>
      </w:pPr>
      <w:r>
        <w:rPr>
          <w:rFonts w:hint="eastAsia"/>
          <w:color w:val="auto"/>
          <w:highlight w:val="none"/>
        </w:rPr>
        <w:t>在后续设计中将遵照下述设计指导原则实施：</w:t>
      </w:r>
    </w:p>
    <w:p w14:paraId="5F2D8385">
      <w:pPr>
        <w:shd w:val="clear"/>
        <w:rPr>
          <w:color w:val="auto"/>
          <w:highlight w:val="none"/>
        </w:rPr>
      </w:pPr>
      <w:r>
        <w:rPr>
          <w:rFonts w:hint="eastAsia"/>
          <w:color w:val="auto"/>
          <w:highlight w:val="none"/>
        </w:rPr>
        <w:t>（1）高炉主工艺</w:t>
      </w:r>
      <w:r>
        <w:rPr>
          <w:color w:val="auto"/>
          <w:highlight w:val="none"/>
        </w:rPr>
        <w:t>PLC</w:t>
      </w:r>
      <w:r>
        <w:rPr>
          <w:rFonts w:hint="eastAsia"/>
          <w:color w:val="auto"/>
          <w:highlight w:val="none"/>
        </w:rPr>
        <w:t>控制系统的基础自动化级按“电－仪”一体化原则考虑设计。</w:t>
      </w:r>
    </w:p>
    <w:p w14:paraId="25CB2E81">
      <w:pPr>
        <w:shd w:val="clear"/>
        <w:rPr>
          <w:rFonts w:hint="default" w:eastAsia="宋体"/>
          <w:color w:val="auto"/>
          <w:highlight w:val="none"/>
          <w:lang w:val="en-US" w:eastAsia="zh-CN"/>
        </w:rPr>
      </w:pPr>
      <w:r>
        <w:rPr>
          <w:rFonts w:hint="eastAsia"/>
          <w:color w:val="auto"/>
          <w:highlight w:val="none"/>
        </w:rPr>
        <w:t>（2）重要电机</w:t>
      </w:r>
      <w:r>
        <w:rPr>
          <w:rFonts w:hint="eastAsia"/>
          <w:color w:val="auto"/>
          <w:highlight w:val="none"/>
          <w:lang w:eastAsia="zh-CN"/>
        </w:rPr>
        <w:t>（</w:t>
      </w:r>
      <w:r>
        <w:rPr>
          <w:rFonts w:hint="eastAsia"/>
          <w:color w:val="auto"/>
          <w:highlight w:val="none"/>
          <w:lang w:val="en-US" w:eastAsia="zh-CN"/>
        </w:rPr>
        <w:t>5.5kW及以上电机</w:t>
      </w:r>
      <w:r>
        <w:rPr>
          <w:rFonts w:hint="eastAsia"/>
          <w:color w:val="auto"/>
          <w:highlight w:val="none"/>
          <w:lang w:eastAsia="zh-CN"/>
        </w:rPr>
        <w:t>）</w:t>
      </w:r>
      <w:r>
        <w:rPr>
          <w:rFonts w:hint="eastAsia"/>
          <w:color w:val="auto"/>
          <w:highlight w:val="none"/>
        </w:rPr>
        <w:t>过载保护采用电机保护器，采集电流、温度等参数至PLC系统，在计算机画面上显示。</w:t>
      </w:r>
      <w:r>
        <w:rPr>
          <w:rFonts w:hint="eastAsia"/>
          <w:color w:val="auto"/>
          <w:highlight w:val="none"/>
          <w:lang w:val="en-US" w:eastAsia="zh-CN"/>
        </w:rPr>
        <w:t>其他电机使用过热继电器保护。</w:t>
      </w:r>
    </w:p>
    <w:p w14:paraId="1CD815B7">
      <w:pPr>
        <w:shd w:val="clear"/>
        <w:rPr>
          <w:color w:val="auto"/>
          <w:highlight w:val="none"/>
        </w:rPr>
      </w:pPr>
      <w:r>
        <w:rPr>
          <w:rFonts w:hint="eastAsia"/>
          <w:color w:val="auto"/>
          <w:highlight w:val="none"/>
        </w:rPr>
        <w:t>（3）为了节省投资及减少占地面积，根据工艺布置，采用尽可能集中的低压供配电变电所，以减少低压动力变压器台数及其上级高压变电所馈电回路数。</w:t>
      </w:r>
    </w:p>
    <w:p w14:paraId="23C73D00">
      <w:pPr>
        <w:shd w:val="clear"/>
        <w:rPr>
          <w:color w:val="auto"/>
          <w:highlight w:val="none"/>
        </w:rPr>
      </w:pPr>
      <w:r>
        <w:rPr>
          <w:rFonts w:hint="eastAsia"/>
          <w:color w:val="auto"/>
          <w:highlight w:val="none"/>
        </w:rPr>
        <w:t>（4）功率因数补偿在上级高压开关站统一进行集中补偿。</w:t>
      </w:r>
    </w:p>
    <w:p w14:paraId="18B344FA">
      <w:pPr>
        <w:shd w:val="clear"/>
        <w:rPr>
          <w:color w:val="auto"/>
          <w:highlight w:val="none"/>
        </w:rPr>
      </w:pPr>
      <w:r>
        <w:rPr>
          <w:rFonts w:hint="eastAsia"/>
          <w:color w:val="auto"/>
          <w:highlight w:val="none"/>
        </w:rPr>
        <w:t>（5）对于主工艺系统新增个别设备，电气柜和操作箱配套增加。</w:t>
      </w:r>
    </w:p>
    <w:p w14:paraId="0AAEBF7F">
      <w:pPr>
        <w:shd w:val="clear"/>
        <w:rPr>
          <w:color w:val="auto"/>
          <w:highlight w:val="none"/>
        </w:rPr>
      </w:pPr>
      <w:r>
        <w:rPr>
          <w:rFonts w:hint="eastAsia"/>
          <w:color w:val="auto"/>
          <w:highlight w:val="none"/>
        </w:rPr>
        <w:t>（6）新增低压设备设计时考虑电压凹陷时的治理措施。新上低压系统设计时考虑母联快切装置，实现一路电源故障时，另一路电源自动快速切换。</w:t>
      </w:r>
    </w:p>
    <w:p w14:paraId="5C167D39">
      <w:pPr>
        <w:shd w:val="clear"/>
        <w:ind w:firstLine="0" w:firstLineChars="0"/>
        <w:outlineLvl w:val="2"/>
        <w:rPr>
          <w:rFonts w:cs="Times New Roman"/>
          <w:color w:val="auto"/>
          <w:szCs w:val="28"/>
          <w:highlight w:val="none"/>
        </w:rPr>
      </w:pPr>
      <w:bookmarkStart w:id="767" w:name="_Toc24150"/>
      <w:r>
        <w:rPr>
          <w:rFonts w:cs="Times New Roman"/>
          <w:color w:val="auto"/>
          <w:szCs w:val="28"/>
          <w:highlight w:val="none"/>
        </w:rPr>
        <w:t>9.1.</w:t>
      </w:r>
      <w:r>
        <w:rPr>
          <w:rFonts w:hint="eastAsia" w:cs="Times New Roman"/>
          <w:color w:val="auto"/>
          <w:szCs w:val="28"/>
          <w:highlight w:val="none"/>
        </w:rPr>
        <w:t>6 主要设备选型</w:t>
      </w:r>
      <w:bookmarkEnd w:id="767"/>
    </w:p>
    <w:p w14:paraId="7CA82DDB">
      <w:pPr>
        <w:shd w:val="clear"/>
        <w:ind w:firstLine="0" w:firstLineChars="0"/>
        <w:outlineLvl w:val="3"/>
        <w:rPr>
          <w:color w:val="auto"/>
          <w:highlight w:val="none"/>
        </w:rPr>
      </w:pPr>
      <w:r>
        <w:rPr>
          <w:rFonts w:hint="eastAsia"/>
          <w:color w:val="auto"/>
          <w:highlight w:val="none"/>
        </w:rPr>
        <w:t>9.1.6.1</w:t>
      </w:r>
      <w:r>
        <w:rPr>
          <w:color w:val="auto"/>
          <w:highlight w:val="none"/>
        </w:rPr>
        <w:t xml:space="preserve"> </w:t>
      </w:r>
      <w:r>
        <w:rPr>
          <w:rFonts w:hint="eastAsia"/>
          <w:color w:val="auto"/>
          <w:highlight w:val="none"/>
        </w:rPr>
        <w:t>变压器</w:t>
      </w:r>
    </w:p>
    <w:p w14:paraId="02F6F14A">
      <w:pPr>
        <w:shd w:val="clear"/>
        <w:rPr>
          <w:color w:val="auto"/>
          <w:highlight w:val="none"/>
        </w:rPr>
      </w:pPr>
      <w:r>
        <w:rPr>
          <w:rFonts w:hint="eastAsia"/>
          <w:color w:val="auto"/>
          <w:highlight w:val="none"/>
        </w:rPr>
        <w:t>变压器选用高效节能变压器，满足法律法规要求。矿槽现有2台高能耗变压器S9-1000/10  1000KVA更换为一级能效变压器S</w:t>
      </w:r>
      <w:r>
        <w:rPr>
          <w:color w:val="auto"/>
          <w:highlight w:val="none"/>
        </w:rPr>
        <w:t>22</w:t>
      </w:r>
      <w:r>
        <w:rPr>
          <w:rFonts w:hint="eastAsia"/>
          <w:color w:val="auto"/>
          <w:highlight w:val="none"/>
        </w:rPr>
        <w:t>-</w:t>
      </w:r>
      <w:r>
        <w:rPr>
          <w:rFonts w:hint="eastAsia"/>
          <w:color w:val="auto"/>
          <w:highlight w:val="none"/>
          <w:lang w:val="en-US" w:eastAsia="zh-CN"/>
        </w:rPr>
        <w:t>1250</w:t>
      </w:r>
      <w:r>
        <w:rPr>
          <w:rFonts w:hint="eastAsia"/>
          <w:color w:val="auto"/>
          <w:highlight w:val="none"/>
        </w:rPr>
        <w:t>/10 10/0.4KV油浸变压器。一次侧配置高压隔离开关，需配置相应支架及高压绝缘子，小母线；二次侧要配置母线及支架、绝缘子，保证更换变压器后实现对接。2#变压器无事故油坑，需增设事故油坑。</w:t>
      </w:r>
    </w:p>
    <w:p w14:paraId="192F5F6A">
      <w:pPr>
        <w:shd w:val="clear"/>
        <w:rPr>
          <w:color w:val="auto"/>
          <w:highlight w:val="none"/>
        </w:rPr>
      </w:pPr>
      <w:r>
        <w:rPr>
          <w:rFonts w:hint="eastAsia"/>
          <w:color w:val="auto"/>
          <w:highlight w:val="none"/>
        </w:rPr>
        <w:t>一次电压                    10 kV±2×2.5%</w:t>
      </w:r>
    </w:p>
    <w:p w14:paraId="08C9B743">
      <w:pPr>
        <w:shd w:val="clear"/>
        <w:rPr>
          <w:color w:val="auto"/>
          <w:highlight w:val="none"/>
        </w:rPr>
      </w:pPr>
      <w:r>
        <w:rPr>
          <w:rFonts w:hint="eastAsia"/>
          <w:color w:val="auto"/>
          <w:highlight w:val="none"/>
        </w:rPr>
        <w:t>二次电压                    400V/230V</w:t>
      </w:r>
    </w:p>
    <w:p w14:paraId="1FD37C80">
      <w:pPr>
        <w:shd w:val="clear"/>
        <w:rPr>
          <w:color w:val="auto"/>
          <w:highlight w:val="none"/>
        </w:rPr>
      </w:pPr>
      <w:r>
        <w:rPr>
          <w:rFonts w:hint="eastAsia"/>
          <w:color w:val="auto"/>
          <w:highlight w:val="none"/>
        </w:rPr>
        <w:t>联结组别                    Dyn11</w:t>
      </w:r>
    </w:p>
    <w:p w14:paraId="48A2F2FB">
      <w:pPr>
        <w:shd w:val="clear"/>
        <w:rPr>
          <w:color w:val="auto"/>
          <w:highlight w:val="none"/>
        </w:rPr>
      </w:pPr>
      <w:r>
        <w:rPr>
          <w:rFonts w:hint="eastAsia"/>
          <w:color w:val="auto"/>
          <w:highlight w:val="none"/>
        </w:rPr>
        <w:t>阻抗电压Uk                 4～6 %</w:t>
      </w:r>
    </w:p>
    <w:p w14:paraId="40BF1568">
      <w:pPr>
        <w:shd w:val="clear"/>
        <w:rPr>
          <w:color w:val="auto"/>
          <w:highlight w:val="none"/>
        </w:rPr>
      </w:pPr>
      <w:r>
        <w:rPr>
          <w:rFonts w:hint="eastAsia"/>
          <w:color w:val="auto"/>
          <w:highlight w:val="none"/>
        </w:rPr>
        <w:t>出线方式：电缆出线</w:t>
      </w:r>
    </w:p>
    <w:p w14:paraId="2AC20E58">
      <w:pPr>
        <w:shd w:val="clear"/>
        <w:rPr>
          <w:rFonts w:hint="default"/>
          <w:color w:val="auto"/>
          <w:highlight w:val="none"/>
          <w:lang w:val="en-US"/>
        </w:rPr>
      </w:pPr>
      <w:r>
        <w:rPr>
          <w:rFonts w:hint="eastAsia"/>
          <w:color w:val="auto"/>
          <w:highlight w:val="none"/>
        </w:rPr>
        <w:t>2号高炉卷扬1#、2#整流变，原使用ZS9-800/6油浸整流变压器,由于主卷改为355kW（YZP400L1-4,额定电压690V,额定电流352A）两台交流电机，变压器需更换为S22-1000  6/0.69KV 油浸变压器;两台变压器均无事故油坑，需增设事故油坑；一次侧配置高压隔离开关，需配置相应支架及高压绝缘子，小母线；二次侧要配置母线及支架、绝缘子，保证更换变压器后实现对接。</w:t>
      </w:r>
      <w:r>
        <w:rPr>
          <w:rFonts w:hint="eastAsia"/>
          <w:color w:val="auto"/>
          <w:highlight w:val="none"/>
          <w:lang w:eastAsia="zh-CN"/>
        </w:rPr>
        <w:t>更换的变压器</w:t>
      </w:r>
      <w:r>
        <w:rPr>
          <w:rFonts w:hint="eastAsia"/>
          <w:color w:val="auto"/>
          <w:highlight w:val="none"/>
          <w:lang w:val="en-US" w:eastAsia="zh-CN"/>
        </w:rPr>
        <w:t>母线设置</w:t>
      </w:r>
      <w:r>
        <w:rPr>
          <w:rFonts w:hint="eastAsia" w:eastAsia="宋体" w:cs="Times New Roman"/>
          <w:color w:val="auto"/>
          <w:kern w:val="0"/>
          <w:sz w:val="24"/>
          <w:szCs w:val="20"/>
          <w:highlight w:val="none"/>
          <w:lang w:val="en-US" w:eastAsia="zh-CN"/>
        </w:rPr>
        <w:t>在线测温系统</w:t>
      </w:r>
      <w:r>
        <w:rPr>
          <w:rFonts w:hint="eastAsia" w:cs="Times New Roman"/>
          <w:color w:val="auto"/>
          <w:kern w:val="0"/>
          <w:sz w:val="24"/>
          <w:szCs w:val="20"/>
          <w:highlight w:val="none"/>
          <w:lang w:val="en-US" w:eastAsia="zh-CN"/>
        </w:rPr>
        <w:t>。</w:t>
      </w:r>
    </w:p>
    <w:p w14:paraId="1F1E7627">
      <w:pPr>
        <w:shd w:val="clear"/>
        <w:tabs>
          <w:tab w:val="left" w:pos="312"/>
        </w:tabs>
        <w:rPr>
          <w:color w:val="auto"/>
          <w:highlight w:val="none"/>
        </w:rPr>
      </w:pPr>
      <w:r>
        <w:rPr>
          <w:rFonts w:hint="eastAsia"/>
          <w:color w:val="auto"/>
          <w:highlight w:val="none"/>
          <w:lang w:eastAsia="zh-CN"/>
        </w:rPr>
        <w:t>更换的变压器</w:t>
      </w:r>
      <w:r>
        <w:rPr>
          <w:rFonts w:hint="eastAsia"/>
          <w:color w:val="auto"/>
          <w:highlight w:val="none"/>
        </w:rPr>
        <w:t>进线选用高压隔离开关，不使用高压负荷开关。</w:t>
      </w:r>
      <w:r>
        <w:rPr>
          <w:rFonts w:hint="eastAsia"/>
          <w:color w:val="auto"/>
          <w:highlight w:val="none"/>
          <w:lang w:val="en-US" w:eastAsia="zh-CN"/>
        </w:rPr>
        <w:t>设置</w:t>
      </w:r>
      <w:r>
        <w:rPr>
          <w:rFonts w:hint="eastAsia" w:eastAsia="宋体" w:cs="Times New Roman"/>
          <w:color w:val="auto"/>
          <w:kern w:val="0"/>
          <w:sz w:val="24"/>
          <w:szCs w:val="20"/>
          <w:highlight w:val="none"/>
          <w:lang w:val="en-US" w:eastAsia="zh-CN"/>
        </w:rPr>
        <w:t>在线测温系统</w:t>
      </w:r>
    </w:p>
    <w:p w14:paraId="2F3D8702">
      <w:pPr>
        <w:shd w:val="clear"/>
        <w:ind w:firstLine="0" w:firstLineChars="0"/>
        <w:outlineLvl w:val="3"/>
        <w:rPr>
          <w:color w:val="auto"/>
          <w:highlight w:val="none"/>
        </w:rPr>
      </w:pPr>
      <w:r>
        <w:rPr>
          <w:rFonts w:hint="eastAsia"/>
          <w:color w:val="auto"/>
          <w:highlight w:val="none"/>
        </w:rPr>
        <w:t>9.1.6.2 低压配电柜</w:t>
      </w:r>
    </w:p>
    <w:p w14:paraId="00540FA1">
      <w:pPr>
        <w:shd w:val="clear"/>
        <w:rPr>
          <w:color w:val="auto"/>
          <w:highlight w:val="none"/>
        </w:rPr>
      </w:pPr>
      <w:r>
        <w:rPr>
          <w:rFonts w:hint="eastAsia"/>
          <w:color w:val="auto"/>
          <w:highlight w:val="none"/>
        </w:rPr>
        <w:t>马达控制中心（MCC）</w:t>
      </w:r>
    </w:p>
    <w:p w14:paraId="6DE7613E">
      <w:pPr>
        <w:shd w:val="clear"/>
        <w:rPr>
          <w:color w:val="auto"/>
          <w:highlight w:val="none"/>
        </w:rPr>
      </w:pPr>
      <w:r>
        <w:rPr>
          <w:rFonts w:hint="eastAsia"/>
          <w:color w:val="auto"/>
          <w:highlight w:val="none"/>
        </w:rPr>
        <w:t>柜体结构型式：固定式（GGD）。</w:t>
      </w:r>
    </w:p>
    <w:p w14:paraId="1DFDDC14">
      <w:pPr>
        <w:shd w:val="clear"/>
        <w:rPr>
          <w:color w:val="auto"/>
          <w:highlight w:val="none"/>
        </w:rPr>
      </w:pPr>
      <w:r>
        <w:rPr>
          <w:rFonts w:hint="eastAsia"/>
          <w:color w:val="auto"/>
          <w:highlight w:val="none"/>
        </w:rPr>
        <w:t>防护等级：IP30</w:t>
      </w:r>
    </w:p>
    <w:p w14:paraId="4E581D36">
      <w:pPr>
        <w:shd w:val="clear"/>
        <w:rPr>
          <w:color w:val="auto"/>
          <w:highlight w:val="none"/>
        </w:rPr>
      </w:pPr>
      <w:r>
        <w:rPr>
          <w:rFonts w:hint="eastAsia"/>
          <w:color w:val="auto"/>
          <w:highlight w:val="none"/>
        </w:rPr>
        <w:t>柜体外形尺寸：宽×高×深</w:t>
      </w:r>
    </w:p>
    <w:p w14:paraId="7DEECC91">
      <w:pPr>
        <w:shd w:val="clear"/>
        <w:rPr>
          <w:color w:val="auto"/>
          <w:highlight w:val="none"/>
        </w:rPr>
      </w:pPr>
      <w:r>
        <w:rPr>
          <w:rFonts w:hint="eastAsia"/>
          <w:color w:val="auto"/>
          <w:highlight w:val="none"/>
        </w:rPr>
        <w:t>800(1000)mm×2200mm×600（800）mm</w:t>
      </w:r>
    </w:p>
    <w:p w14:paraId="0CBCD1D0">
      <w:pPr>
        <w:shd w:val="clear"/>
        <w:rPr>
          <w:color w:val="auto"/>
          <w:highlight w:val="none"/>
        </w:rPr>
      </w:pPr>
      <w:r>
        <w:rPr>
          <w:rFonts w:hint="eastAsia"/>
          <w:color w:val="auto"/>
          <w:highlight w:val="none"/>
        </w:rPr>
        <w:t>进出线方式：电缆进出线</w:t>
      </w:r>
      <w:r>
        <w:rPr>
          <w:rFonts w:hint="eastAsia"/>
          <w:color w:val="auto"/>
          <w:highlight w:val="none"/>
          <w:lang w:eastAsia="zh-CN"/>
        </w:rPr>
        <w:t>，新增的低压配电柜</w:t>
      </w:r>
      <w:r>
        <w:rPr>
          <w:rFonts w:hint="eastAsia"/>
          <w:color w:val="auto"/>
          <w:highlight w:val="none"/>
          <w:lang w:val="en-US" w:eastAsia="zh-CN"/>
        </w:rPr>
        <w:t>设置</w:t>
      </w:r>
      <w:r>
        <w:rPr>
          <w:rFonts w:hint="eastAsia" w:eastAsia="宋体" w:cs="Times New Roman"/>
          <w:color w:val="auto"/>
          <w:kern w:val="0"/>
          <w:sz w:val="24"/>
          <w:szCs w:val="20"/>
          <w:highlight w:val="none"/>
          <w:lang w:val="en-US" w:eastAsia="zh-CN"/>
        </w:rPr>
        <w:t>在线测温系统</w:t>
      </w:r>
    </w:p>
    <w:p w14:paraId="32319B92">
      <w:pPr>
        <w:shd w:val="clear"/>
        <w:rPr>
          <w:color w:val="auto"/>
          <w:highlight w:val="none"/>
        </w:rPr>
      </w:pPr>
      <w:r>
        <w:rPr>
          <w:rFonts w:hint="eastAsia"/>
          <w:color w:val="auto"/>
          <w:highlight w:val="none"/>
        </w:rPr>
        <w:t>柜内配线：柜内二次回路配线均采用多股软线，不小于1.5mm</w:t>
      </w:r>
      <w:r>
        <w:rPr>
          <w:rFonts w:hint="eastAsia"/>
          <w:color w:val="auto"/>
          <w:highlight w:val="none"/>
          <w:vertAlign w:val="superscript"/>
        </w:rPr>
        <w:t>2</w:t>
      </w:r>
      <w:r>
        <w:rPr>
          <w:rFonts w:hint="eastAsia"/>
          <w:color w:val="auto"/>
          <w:highlight w:val="none"/>
        </w:rPr>
        <w:t>，柜体后下部设有保护接地用的PE母排。</w:t>
      </w:r>
    </w:p>
    <w:p w14:paraId="0A1CCFA2">
      <w:pPr>
        <w:shd w:val="clear"/>
        <w:rPr>
          <w:color w:val="auto"/>
          <w:highlight w:val="none"/>
        </w:rPr>
      </w:pPr>
      <w:r>
        <w:rPr>
          <w:rFonts w:hint="eastAsia"/>
          <w:color w:val="auto"/>
          <w:highlight w:val="none"/>
        </w:rPr>
        <w:t>柜内元器件布置采用双面布置，盘前盘后均可维护。</w:t>
      </w:r>
    </w:p>
    <w:p w14:paraId="762AACEC">
      <w:pPr>
        <w:shd w:val="clear"/>
        <w:ind w:firstLine="0" w:firstLineChars="0"/>
        <w:outlineLvl w:val="3"/>
        <w:rPr>
          <w:color w:val="auto"/>
          <w:highlight w:val="none"/>
        </w:rPr>
      </w:pPr>
      <w:r>
        <w:rPr>
          <w:rFonts w:hint="eastAsia"/>
          <w:color w:val="auto"/>
          <w:highlight w:val="none"/>
        </w:rPr>
        <w:t>9.1.6.3 软启动装置</w:t>
      </w:r>
    </w:p>
    <w:p w14:paraId="6155C517">
      <w:pPr>
        <w:shd w:val="clear"/>
        <w:rPr>
          <w:color w:val="auto"/>
          <w:highlight w:val="none"/>
        </w:rPr>
      </w:pPr>
      <w:r>
        <w:rPr>
          <w:rFonts w:hint="eastAsia"/>
          <w:color w:val="auto"/>
          <w:highlight w:val="none"/>
        </w:rPr>
        <w:t>对于容量大于或等于55kW的交流电机，为了避免启动时对电网冲击过大而影响其它用电设备的正常运行，同时为了提高大电机和机械设备的使用寿命，将采用软启动方式启动。</w:t>
      </w:r>
    </w:p>
    <w:p w14:paraId="15829811">
      <w:pPr>
        <w:shd w:val="clear"/>
        <w:ind w:firstLine="0" w:firstLineChars="0"/>
        <w:outlineLvl w:val="2"/>
        <w:rPr>
          <w:rFonts w:cs="Times New Roman"/>
          <w:color w:val="auto"/>
          <w:szCs w:val="28"/>
          <w:highlight w:val="none"/>
        </w:rPr>
      </w:pPr>
      <w:bookmarkStart w:id="768" w:name="_Toc19585"/>
      <w:r>
        <w:rPr>
          <w:rFonts w:cs="Times New Roman"/>
          <w:color w:val="auto"/>
          <w:szCs w:val="28"/>
          <w:highlight w:val="none"/>
        </w:rPr>
        <w:t>9.1.</w:t>
      </w:r>
      <w:r>
        <w:rPr>
          <w:rFonts w:hint="eastAsia" w:cs="Times New Roman"/>
          <w:color w:val="auto"/>
          <w:szCs w:val="28"/>
          <w:highlight w:val="none"/>
        </w:rPr>
        <w:t>7 负荷特点及变压器设置</w:t>
      </w:r>
      <w:bookmarkEnd w:id="768"/>
    </w:p>
    <w:p w14:paraId="0C6C3AA8">
      <w:pPr>
        <w:shd w:val="clear"/>
        <w:rPr>
          <w:color w:val="auto"/>
          <w:highlight w:val="none"/>
        </w:rPr>
      </w:pPr>
      <w:r>
        <w:rPr>
          <w:rFonts w:hint="eastAsia"/>
          <w:color w:val="auto"/>
          <w:highlight w:val="none"/>
        </w:rPr>
        <w:t>高炉低压供配电按二类负荷设计，采用二路电源供电。</w:t>
      </w:r>
    </w:p>
    <w:p w14:paraId="39B02D9C">
      <w:pPr>
        <w:shd w:val="clear"/>
        <w:rPr>
          <w:color w:val="auto"/>
          <w:highlight w:val="none"/>
        </w:rPr>
      </w:pPr>
      <w:r>
        <w:rPr>
          <w:rFonts w:hint="eastAsia"/>
          <w:color w:val="auto"/>
          <w:highlight w:val="none"/>
        </w:rPr>
        <w:t>变电所除对各自的系统供配电外还分别对其附近的用电区域或照明进行放射式供电。</w:t>
      </w:r>
    </w:p>
    <w:p w14:paraId="04E206BD">
      <w:pPr>
        <w:shd w:val="clear"/>
        <w:rPr>
          <w:color w:val="auto"/>
          <w:highlight w:val="none"/>
        </w:rPr>
      </w:pPr>
      <w:r>
        <w:rPr>
          <w:rFonts w:hint="eastAsia"/>
          <w:color w:val="auto"/>
          <w:highlight w:val="none"/>
        </w:rPr>
        <w:t>本次低压供配电及电气传动所涉及到的设备数量变化较小，相关的电气室及变压器等电气设施均按利旧考虑，仅有</w:t>
      </w:r>
      <w:r>
        <w:rPr>
          <w:color w:val="auto"/>
          <w:highlight w:val="none"/>
        </w:rPr>
        <w:t>4</w:t>
      </w:r>
      <w:r>
        <w:rPr>
          <w:rFonts w:hint="eastAsia"/>
          <w:color w:val="auto"/>
          <w:highlight w:val="none"/>
        </w:rPr>
        <w:t>台变压器更换。少量新增需供电的设备及设备功率有变化的，重新进行设计，就近并入相关电气室相关系统。</w:t>
      </w:r>
    </w:p>
    <w:p w14:paraId="2AC47537">
      <w:pPr>
        <w:shd w:val="clear"/>
        <w:rPr>
          <w:color w:val="auto"/>
          <w:highlight w:val="none"/>
        </w:rPr>
      </w:pPr>
      <w:r>
        <w:rPr>
          <w:rFonts w:hint="eastAsia"/>
          <w:color w:val="auto"/>
          <w:highlight w:val="none"/>
        </w:rPr>
        <w:t>共设置新增</w:t>
      </w:r>
      <w:r>
        <w:rPr>
          <w:color w:val="auto"/>
          <w:highlight w:val="none"/>
        </w:rPr>
        <w:t>2</w:t>
      </w:r>
      <w:r>
        <w:rPr>
          <w:rFonts w:hint="eastAsia"/>
          <w:color w:val="auto"/>
          <w:highlight w:val="none"/>
        </w:rPr>
        <w:t>个电气室，即：</w:t>
      </w:r>
    </w:p>
    <w:p w14:paraId="27984D00">
      <w:pPr>
        <w:shd w:val="clear"/>
        <w:rPr>
          <w:color w:val="auto"/>
          <w:highlight w:val="none"/>
        </w:rPr>
      </w:pPr>
      <w:r>
        <w:rPr>
          <w:rFonts w:hint="eastAsia"/>
          <w:color w:val="auto"/>
          <w:highlight w:val="none"/>
        </w:rPr>
        <w:t>（1）</w:t>
      </w:r>
      <w:r>
        <w:rPr>
          <w:color w:val="auto"/>
          <w:highlight w:val="none"/>
        </w:rPr>
        <w:t>出铁场除尘</w:t>
      </w:r>
      <w:r>
        <w:rPr>
          <w:rFonts w:hint="eastAsia"/>
          <w:color w:val="auto"/>
          <w:highlight w:val="none"/>
          <w:lang w:val="en-US" w:eastAsia="zh-CN"/>
        </w:rPr>
        <w:t>及返矿</w:t>
      </w:r>
      <w:r>
        <w:rPr>
          <w:color w:val="auto"/>
          <w:highlight w:val="none"/>
        </w:rPr>
        <w:t>电气室</w:t>
      </w:r>
    </w:p>
    <w:p w14:paraId="1B67C653">
      <w:pPr>
        <w:shd w:val="clear"/>
        <w:ind w:firstLine="0" w:firstLineChars="0"/>
        <w:outlineLvl w:val="2"/>
        <w:rPr>
          <w:rFonts w:cs="Times New Roman"/>
          <w:color w:val="auto"/>
          <w:szCs w:val="28"/>
          <w:highlight w:val="none"/>
        </w:rPr>
      </w:pPr>
      <w:bookmarkStart w:id="769" w:name="_Toc28156"/>
      <w:r>
        <w:rPr>
          <w:rFonts w:cs="Times New Roman"/>
          <w:color w:val="auto"/>
          <w:szCs w:val="28"/>
          <w:highlight w:val="none"/>
        </w:rPr>
        <w:t>9.1.</w:t>
      </w:r>
      <w:r>
        <w:rPr>
          <w:rFonts w:hint="eastAsia" w:cs="Times New Roman"/>
          <w:color w:val="auto"/>
          <w:szCs w:val="28"/>
          <w:highlight w:val="none"/>
        </w:rPr>
        <w:t>8 电气室的设置</w:t>
      </w:r>
      <w:bookmarkEnd w:id="769"/>
    </w:p>
    <w:p w14:paraId="71A4C14F">
      <w:pPr>
        <w:shd w:val="clear"/>
        <w:jc w:val="center"/>
        <w:rPr>
          <w:bCs/>
          <w:color w:val="auto"/>
          <w:highlight w:val="none"/>
        </w:rPr>
      </w:pPr>
      <w:r>
        <w:rPr>
          <w:rFonts w:hint="eastAsia"/>
          <w:bCs/>
          <w:color w:val="auto"/>
          <w:highlight w:val="none"/>
        </w:rPr>
        <w:t>表</w:t>
      </w:r>
      <w:r>
        <w:rPr>
          <w:bCs/>
          <w:color w:val="auto"/>
          <w:highlight w:val="none"/>
        </w:rPr>
        <w:t>9-1</w:t>
      </w:r>
      <w:r>
        <w:rPr>
          <w:rFonts w:hint="eastAsia"/>
          <w:bCs/>
          <w:color w:val="auto"/>
          <w:highlight w:val="none"/>
        </w:rPr>
        <w:t xml:space="preserve">  电气室一览表（新增）</w:t>
      </w:r>
    </w:p>
    <w:tbl>
      <w:tblPr>
        <w:tblStyle w:val="60"/>
        <w:tblW w:w="890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43"/>
        <w:gridCol w:w="1441"/>
        <w:gridCol w:w="1575"/>
        <w:gridCol w:w="425"/>
        <w:gridCol w:w="1315"/>
        <w:gridCol w:w="2306"/>
        <w:gridCol w:w="1297"/>
      </w:tblGrid>
      <w:tr w14:paraId="37C2CA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43" w:type="dxa"/>
            <w:vAlign w:val="center"/>
          </w:tcPr>
          <w:p w14:paraId="4D96B557">
            <w:pPr>
              <w:pStyle w:val="448"/>
              <w:shd w:val="clear"/>
              <w:spacing w:line="300" w:lineRule="auto"/>
              <w:ind w:left="0"/>
              <w:rPr>
                <w:rFonts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41" w:type="dxa"/>
            <w:vAlign w:val="center"/>
          </w:tcPr>
          <w:p w14:paraId="7DB6295B">
            <w:pPr>
              <w:pStyle w:val="448"/>
              <w:shd w:val="clear"/>
              <w:spacing w:line="300" w:lineRule="auto"/>
              <w:ind w:left="0"/>
              <w:rPr>
                <w:rFonts w:ascii="宋体" w:hAnsi="宋体" w:eastAsia="宋体" w:cs="宋体"/>
                <w:color w:val="auto"/>
                <w:szCs w:val="21"/>
                <w:highlight w:val="none"/>
              </w:rPr>
            </w:pPr>
            <w:r>
              <w:rPr>
                <w:rFonts w:hint="eastAsia" w:ascii="宋体" w:hAnsi="宋体" w:eastAsia="宋体" w:cs="宋体"/>
                <w:color w:val="auto"/>
                <w:szCs w:val="21"/>
                <w:highlight w:val="none"/>
              </w:rPr>
              <w:t>构筑物名称</w:t>
            </w:r>
          </w:p>
        </w:tc>
        <w:tc>
          <w:tcPr>
            <w:tcW w:w="1575" w:type="dxa"/>
            <w:vAlign w:val="center"/>
          </w:tcPr>
          <w:p w14:paraId="47CA0962">
            <w:pPr>
              <w:pStyle w:val="448"/>
              <w:shd w:val="clear"/>
              <w:spacing w:line="300" w:lineRule="auto"/>
              <w:ind w:left="0"/>
              <w:rPr>
                <w:rFonts w:ascii="宋体" w:hAnsi="宋体" w:eastAsia="宋体" w:cs="宋体"/>
                <w:color w:val="auto"/>
                <w:szCs w:val="21"/>
                <w:highlight w:val="none"/>
              </w:rPr>
            </w:pPr>
            <w:r>
              <w:rPr>
                <w:rFonts w:hint="eastAsia" w:ascii="宋体" w:hAnsi="宋体" w:eastAsia="宋体" w:cs="宋体"/>
                <w:color w:val="auto"/>
                <w:szCs w:val="21"/>
                <w:highlight w:val="none"/>
              </w:rPr>
              <w:t>占地面积</w:t>
            </w:r>
          </w:p>
        </w:tc>
        <w:tc>
          <w:tcPr>
            <w:tcW w:w="425" w:type="dxa"/>
            <w:vAlign w:val="center"/>
          </w:tcPr>
          <w:p w14:paraId="107DE8E1">
            <w:pPr>
              <w:pStyle w:val="448"/>
              <w:shd w:val="clear"/>
              <w:spacing w:line="300" w:lineRule="auto"/>
              <w:ind w:left="0"/>
              <w:rPr>
                <w:rFonts w:ascii="宋体" w:hAnsi="宋体" w:eastAsia="宋体" w:cs="宋体"/>
                <w:color w:val="auto"/>
                <w:szCs w:val="21"/>
                <w:highlight w:val="none"/>
              </w:rPr>
            </w:pPr>
            <w:r>
              <w:rPr>
                <w:rFonts w:hint="eastAsia" w:ascii="宋体" w:hAnsi="宋体" w:eastAsia="宋体" w:cs="宋体"/>
                <w:color w:val="auto"/>
                <w:szCs w:val="21"/>
                <w:highlight w:val="none"/>
              </w:rPr>
              <w:t>层数</w:t>
            </w:r>
          </w:p>
        </w:tc>
        <w:tc>
          <w:tcPr>
            <w:tcW w:w="1315" w:type="dxa"/>
            <w:vAlign w:val="center"/>
          </w:tcPr>
          <w:p w14:paraId="7A3257A2">
            <w:pPr>
              <w:pStyle w:val="448"/>
              <w:shd w:val="clear"/>
              <w:spacing w:line="300" w:lineRule="auto"/>
              <w:ind w:left="0"/>
              <w:rPr>
                <w:rFonts w:ascii="宋体" w:hAnsi="宋体" w:eastAsia="宋体" w:cs="宋体"/>
                <w:color w:val="auto"/>
                <w:szCs w:val="21"/>
                <w:highlight w:val="none"/>
              </w:rPr>
            </w:pPr>
            <w:r>
              <w:rPr>
                <w:rFonts w:hint="eastAsia" w:ascii="宋体" w:hAnsi="宋体" w:eastAsia="宋体" w:cs="宋体"/>
                <w:color w:val="auto"/>
                <w:szCs w:val="21"/>
                <w:highlight w:val="none"/>
              </w:rPr>
              <w:t>构筑物内房间</w:t>
            </w:r>
          </w:p>
        </w:tc>
        <w:tc>
          <w:tcPr>
            <w:tcW w:w="2306" w:type="dxa"/>
            <w:vAlign w:val="center"/>
          </w:tcPr>
          <w:p w14:paraId="6854019E">
            <w:pPr>
              <w:pStyle w:val="448"/>
              <w:shd w:val="clear"/>
              <w:spacing w:line="300" w:lineRule="auto"/>
              <w:ind w:left="0"/>
              <w:rPr>
                <w:rFonts w:ascii="宋体" w:hAnsi="宋体" w:eastAsia="宋体" w:cs="宋体"/>
                <w:color w:val="auto"/>
                <w:szCs w:val="21"/>
                <w:highlight w:val="none"/>
              </w:rPr>
            </w:pPr>
            <w:r>
              <w:rPr>
                <w:rFonts w:hint="eastAsia" w:ascii="宋体" w:hAnsi="宋体" w:eastAsia="宋体" w:cs="宋体"/>
                <w:color w:val="auto"/>
                <w:szCs w:val="21"/>
                <w:highlight w:val="none"/>
              </w:rPr>
              <w:t>总图位置</w:t>
            </w:r>
          </w:p>
        </w:tc>
        <w:tc>
          <w:tcPr>
            <w:tcW w:w="1297" w:type="dxa"/>
            <w:vAlign w:val="center"/>
          </w:tcPr>
          <w:p w14:paraId="4AE4F137">
            <w:pPr>
              <w:pStyle w:val="448"/>
              <w:shd w:val="clear"/>
              <w:spacing w:line="300" w:lineRule="auto"/>
              <w:ind w:left="0"/>
              <w:rPr>
                <w:rFonts w:ascii="宋体" w:hAnsi="宋体" w:eastAsia="宋体" w:cs="宋体"/>
                <w:color w:val="auto"/>
                <w:szCs w:val="21"/>
                <w:highlight w:val="none"/>
              </w:rPr>
            </w:pPr>
            <w:r>
              <w:rPr>
                <w:rFonts w:hint="eastAsia" w:ascii="宋体" w:hAnsi="宋体" w:eastAsia="宋体" w:cs="宋体"/>
                <w:color w:val="auto"/>
                <w:szCs w:val="21"/>
                <w:highlight w:val="none"/>
              </w:rPr>
              <w:t>主要供电</w:t>
            </w:r>
          </w:p>
          <w:p w14:paraId="27797A2D">
            <w:pPr>
              <w:pStyle w:val="448"/>
              <w:shd w:val="clear"/>
              <w:spacing w:line="300" w:lineRule="auto"/>
              <w:ind w:left="0"/>
              <w:rPr>
                <w:rFonts w:ascii="宋体" w:hAnsi="宋体" w:eastAsia="宋体" w:cs="宋体"/>
                <w:color w:val="auto"/>
                <w:szCs w:val="21"/>
                <w:highlight w:val="none"/>
              </w:rPr>
            </w:pPr>
            <w:r>
              <w:rPr>
                <w:rFonts w:hint="eastAsia" w:ascii="宋体" w:hAnsi="宋体" w:eastAsia="宋体" w:cs="宋体"/>
                <w:color w:val="auto"/>
                <w:szCs w:val="21"/>
                <w:highlight w:val="none"/>
              </w:rPr>
              <w:t>范围</w:t>
            </w:r>
          </w:p>
        </w:tc>
      </w:tr>
      <w:tr w14:paraId="229956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43" w:type="dxa"/>
            <w:vAlign w:val="center"/>
          </w:tcPr>
          <w:p w14:paraId="3591206C">
            <w:pPr>
              <w:pStyle w:val="448"/>
              <w:shd w:val="clear"/>
              <w:spacing w:line="300" w:lineRule="auto"/>
              <w:ind w:left="0"/>
              <w:rPr>
                <w:rFonts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1</w:t>
            </w:r>
          </w:p>
        </w:tc>
        <w:tc>
          <w:tcPr>
            <w:tcW w:w="1441" w:type="dxa"/>
            <w:vAlign w:val="center"/>
          </w:tcPr>
          <w:p w14:paraId="3163ED7B">
            <w:pPr>
              <w:pStyle w:val="448"/>
              <w:shd w:val="clear"/>
              <w:spacing w:line="300" w:lineRule="auto"/>
              <w:ind w:left="0"/>
              <w:rPr>
                <w:rFonts w:ascii="宋体" w:hAnsi="宋体" w:eastAsia="宋体" w:cs="宋体"/>
                <w:color w:val="auto"/>
                <w:szCs w:val="21"/>
                <w:highlight w:val="none"/>
              </w:rPr>
            </w:pPr>
            <w:r>
              <w:rPr>
                <w:rFonts w:hint="eastAsia" w:ascii="宋体" w:hAnsi="宋体" w:eastAsia="宋体" w:cs="宋体"/>
                <w:color w:val="auto"/>
                <w:szCs w:val="21"/>
                <w:highlight w:val="none"/>
              </w:rPr>
              <w:t>出铁场除尘</w:t>
            </w:r>
            <w:r>
              <w:rPr>
                <w:rFonts w:hint="eastAsia" w:ascii="宋体" w:hAnsi="宋体" w:eastAsia="宋体" w:cs="宋体"/>
                <w:color w:val="auto"/>
                <w:szCs w:val="21"/>
                <w:highlight w:val="none"/>
                <w:lang w:val="en-US" w:eastAsia="zh-CN"/>
              </w:rPr>
              <w:t>及返矿</w:t>
            </w:r>
            <w:r>
              <w:rPr>
                <w:rFonts w:hint="eastAsia" w:ascii="宋体" w:hAnsi="宋体" w:eastAsia="宋体" w:cs="宋体"/>
                <w:color w:val="auto"/>
                <w:szCs w:val="21"/>
                <w:highlight w:val="none"/>
              </w:rPr>
              <w:t>电气室（新建）</w:t>
            </w:r>
          </w:p>
        </w:tc>
        <w:tc>
          <w:tcPr>
            <w:tcW w:w="1575" w:type="dxa"/>
            <w:vAlign w:val="center"/>
          </w:tcPr>
          <w:p w14:paraId="052E9F4C">
            <w:pPr>
              <w:pStyle w:val="448"/>
              <w:shd w:val="clear"/>
              <w:spacing w:line="300" w:lineRule="auto"/>
              <w:ind w:left="0"/>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m</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25</w:t>
            </w:r>
            <w:r>
              <w:rPr>
                <w:rFonts w:hint="eastAsia" w:ascii="宋体" w:hAnsi="宋体" w:eastAsia="宋体" w:cs="宋体"/>
                <w:color w:val="auto"/>
                <w:szCs w:val="21"/>
                <w:highlight w:val="none"/>
              </w:rPr>
              <w:t>m</w:t>
            </w:r>
          </w:p>
        </w:tc>
        <w:tc>
          <w:tcPr>
            <w:tcW w:w="425" w:type="dxa"/>
            <w:vAlign w:val="center"/>
          </w:tcPr>
          <w:p w14:paraId="0E49A8F1">
            <w:pPr>
              <w:pStyle w:val="448"/>
              <w:shd w:val="clear"/>
              <w:spacing w:line="300" w:lineRule="auto"/>
              <w:ind w:left="0"/>
              <w:rPr>
                <w:rFonts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315" w:type="dxa"/>
            <w:vAlign w:val="center"/>
          </w:tcPr>
          <w:p w14:paraId="516DB315">
            <w:pPr>
              <w:pStyle w:val="448"/>
              <w:shd w:val="clear"/>
              <w:spacing w:line="300" w:lineRule="auto"/>
              <w:ind w:left="0"/>
              <w:rPr>
                <w:rFonts w:ascii="宋体" w:hAnsi="宋体" w:eastAsia="宋体" w:cs="宋体"/>
                <w:color w:val="auto"/>
                <w:szCs w:val="21"/>
                <w:highlight w:val="none"/>
              </w:rPr>
            </w:pPr>
            <w:r>
              <w:rPr>
                <w:rFonts w:hint="eastAsia" w:ascii="宋体" w:hAnsi="宋体" w:eastAsia="宋体" w:cs="宋体"/>
                <w:color w:val="auto"/>
                <w:szCs w:val="21"/>
                <w:highlight w:val="none"/>
                <w:lang w:eastAsia="zh-CN"/>
              </w:rPr>
              <w:t>高</w:t>
            </w:r>
            <w:r>
              <w:rPr>
                <w:rFonts w:hint="eastAsia" w:ascii="宋体" w:hAnsi="宋体" w:eastAsia="宋体" w:cs="宋体"/>
                <w:color w:val="auto"/>
                <w:szCs w:val="21"/>
                <w:highlight w:val="none"/>
              </w:rPr>
              <w:t>低压电气室</w:t>
            </w:r>
          </w:p>
        </w:tc>
        <w:tc>
          <w:tcPr>
            <w:tcW w:w="2306" w:type="dxa"/>
            <w:vAlign w:val="center"/>
          </w:tcPr>
          <w:p w14:paraId="0B83B012">
            <w:pPr>
              <w:pStyle w:val="448"/>
              <w:shd w:val="clear"/>
              <w:spacing w:line="300" w:lineRule="auto"/>
              <w:ind w:left="0"/>
              <w:rPr>
                <w:rFonts w:ascii="宋体" w:hAnsi="宋体" w:eastAsia="宋体" w:cs="宋体"/>
                <w:color w:val="auto"/>
                <w:szCs w:val="21"/>
                <w:highlight w:val="none"/>
              </w:rPr>
            </w:pPr>
            <w:r>
              <w:rPr>
                <w:rFonts w:hint="eastAsia" w:ascii="宋体" w:hAnsi="宋体" w:eastAsia="宋体" w:cs="宋体"/>
                <w:color w:val="auto"/>
                <w:szCs w:val="21"/>
                <w:highlight w:val="none"/>
              </w:rPr>
              <w:t>出铁场除尘器下(利用除尘器下</w:t>
            </w:r>
            <w:r>
              <w:rPr>
                <w:rFonts w:hint="eastAsia" w:ascii="宋体" w:hAnsi="宋体" w:eastAsia="宋体" w:cs="宋体"/>
                <w:color w:val="auto"/>
                <w:szCs w:val="21"/>
                <w:highlight w:val="none"/>
                <w:lang w:eastAsia="zh-CN"/>
              </w:rPr>
              <w:t>空</w:t>
            </w:r>
            <w:r>
              <w:rPr>
                <w:rFonts w:hint="eastAsia" w:ascii="宋体" w:hAnsi="宋体" w:eastAsia="宋体" w:cs="宋体"/>
                <w:color w:val="auto"/>
                <w:szCs w:val="21"/>
                <w:highlight w:val="none"/>
              </w:rPr>
              <w:t>间)</w:t>
            </w:r>
          </w:p>
        </w:tc>
        <w:tc>
          <w:tcPr>
            <w:tcW w:w="1297" w:type="dxa"/>
            <w:vAlign w:val="center"/>
          </w:tcPr>
          <w:p w14:paraId="190F0C4B">
            <w:pPr>
              <w:pStyle w:val="448"/>
              <w:shd w:val="clear"/>
              <w:spacing w:line="300" w:lineRule="auto"/>
              <w:ind w:left="0"/>
              <w:rPr>
                <w:rFonts w:ascii="宋体" w:hAnsi="宋体" w:eastAsia="宋体" w:cs="宋体"/>
                <w:color w:val="auto"/>
                <w:szCs w:val="21"/>
                <w:highlight w:val="none"/>
              </w:rPr>
            </w:pPr>
            <w:r>
              <w:rPr>
                <w:rFonts w:hint="eastAsia" w:ascii="宋体" w:hAnsi="宋体" w:eastAsia="宋体" w:cs="宋体"/>
                <w:color w:val="auto"/>
                <w:szCs w:val="21"/>
                <w:highlight w:val="none"/>
                <w:lang w:eastAsia="zh-CN"/>
              </w:rPr>
              <w:t>出铁场除尘</w:t>
            </w:r>
          </w:p>
        </w:tc>
      </w:tr>
    </w:tbl>
    <w:p w14:paraId="333B0D11">
      <w:pPr>
        <w:shd w:val="clear"/>
        <w:rPr>
          <w:color w:val="auto"/>
          <w:highlight w:val="none"/>
        </w:rPr>
      </w:pPr>
      <w:bookmarkStart w:id="770" w:name="RANGE!A1:H27"/>
      <w:bookmarkEnd w:id="770"/>
      <w:bookmarkStart w:id="771" w:name="_Toc296772866"/>
      <w:r>
        <w:rPr>
          <w:rFonts w:hint="eastAsia"/>
          <w:color w:val="auto"/>
          <w:highlight w:val="none"/>
        </w:rPr>
        <w:t>备注：高压配电室和低压配电室均为分开设置。</w:t>
      </w:r>
    </w:p>
    <w:p w14:paraId="6F13A3B1">
      <w:pPr>
        <w:shd w:val="clear"/>
        <w:ind w:firstLine="0" w:firstLineChars="0"/>
        <w:outlineLvl w:val="2"/>
        <w:rPr>
          <w:rFonts w:cs="Times New Roman"/>
          <w:color w:val="auto"/>
          <w:szCs w:val="28"/>
          <w:highlight w:val="none"/>
        </w:rPr>
      </w:pPr>
      <w:bookmarkStart w:id="772" w:name="_Toc973"/>
      <w:r>
        <w:rPr>
          <w:rFonts w:cs="Times New Roman"/>
          <w:color w:val="auto"/>
          <w:szCs w:val="28"/>
          <w:highlight w:val="none"/>
        </w:rPr>
        <w:t>9.1.</w:t>
      </w:r>
      <w:r>
        <w:rPr>
          <w:rFonts w:hint="eastAsia" w:cs="Times New Roman"/>
          <w:color w:val="auto"/>
          <w:szCs w:val="28"/>
          <w:highlight w:val="none"/>
        </w:rPr>
        <w:t>9 电气操作方式</w:t>
      </w:r>
      <w:bookmarkEnd w:id="771"/>
      <w:bookmarkEnd w:id="772"/>
    </w:p>
    <w:p w14:paraId="657B4F19">
      <w:pPr>
        <w:shd w:val="clear"/>
        <w:rPr>
          <w:color w:val="auto"/>
          <w:highlight w:val="none"/>
        </w:rPr>
      </w:pPr>
      <w:r>
        <w:rPr>
          <w:rFonts w:hint="eastAsia"/>
          <w:color w:val="auto"/>
          <w:highlight w:val="none"/>
        </w:rPr>
        <w:t>（1）自动方式：各过程参数的设定值在</w:t>
      </w:r>
      <w:r>
        <w:rPr>
          <w:color w:val="auto"/>
          <w:highlight w:val="none"/>
        </w:rPr>
        <w:t>HMI</w:t>
      </w:r>
      <w:r>
        <w:rPr>
          <w:rFonts w:hint="eastAsia"/>
          <w:color w:val="auto"/>
          <w:highlight w:val="none"/>
        </w:rPr>
        <w:t>给出，操作员可以修改这些设定值，确认后由</w:t>
      </w:r>
      <w:r>
        <w:rPr>
          <w:color w:val="auto"/>
          <w:highlight w:val="none"/>
        </w:rPr>
        <w:t>PLC</w:t>
      </w:r>
      <w:r>
        <w:rPr>
          <w:rFonts w:hint="eastAsia"/>
          <w:color w:val="auto"/>
          <w:highlight w:val="none"/>
        </w:rPr>
        <w:t>进行自动控制。</w:t>
      </w:r>
    </w:p>
    <w:p w14:paraId="37114558">
      <w:pPr>
        <w:shd w:val="clear"/>
        <w:rPr>
          <w:color w:val="auto"/>
          <w:highlight w:val="none"/>
        </w:rPr>
      </w:pPr>
      <w:r>
        <w:rPr>
          <w:rFonts w:hint="eastAsia"/>
          <w:color w:val="auto"/>
          <w:highlight w:val="none"/>
        </w:rPr>
        <w:t>（2）集中手动方式：由操作员从</w:t>
      </w:r>
      <w:r>
        <w:rPr>
          <w:color w:val="auto"/>
          <w:highlight w:val="none"/>
        </w:rPr>
        <w:t>HMI</w:t>
      </w:r>
      <w:r>
        <w:rPr>
          <w:rFonts w:hint="eastAsia"/>
          <w:color w:val="auto"/>
          <w:highlight w:val="none"/>
        </w:rPr>
        <w:t>操作各设备，</w:t>
      </w:r>
      <w:r>
        <w:rPr>
          <w:color w:val="auto"/>
          <w:highlight w:val="none"/>
        </w:rPr>
        <w:t>PLC</w:t>
      </w:r>
      <w:r>
        <w:rPr>
          <w:rFonts w:hint="eastAsia"/>
          <w:color w:val="auto"/>
          <w:highlight w:val="none"/>
        </w:rPr>
        <w:t>保持必要的安全联锁。“机旁</w:t>
      </w:r>
      <w:r>
        <w:rPr>
          <w:color w:val="auto"/>
          <w:highlight w:val="none"/>
        </w:rPr>
        <w:t>-</w:t>
      </w:r>
      <w:r>
        <w:rPr>
          <w:rFonts w:hint="eastAsia"/>
          <w:color w:val="auto"/>
          <w:highlight w:val="none"/>
        </w:rPr>
        <w:t>集中”选择开关设置在现场操作箱上，选择“集中”方式操作时，操作人员可在操作室通过</w:t>
      </w:r>
      <w:r>
        <w:rPr>
          <w:color w:val="auto"/>
          <w:highlight w:val="none"/>
        </w:rPr>
        <w:t>HMI</w:t>
      </w:r>
      <w:r>
        <w:rPr>
          <w:rFonts w:hint="eastAsia"/>
          <w:color w:val="auto"/>
          <w:highlight w:val="none"/>
        </w:rPr>
        <w:t>（或操作台按钮）操作现场电气设备。</w:t>
      </w:r>
    </w:p>
    <w:p w14:paraId="4DB9E779">
      <w:pPr>
        <w:shd w:val="clear"/>
        <w:rPr>
          <w:color w:val="auto"/>
          <w:highlight w:val="none"/>
        </w:rPr>
      </w:pPr>
      <w:r>
        <w:rPr>
          <w:rFonts w:hint="eastAsia"/>
          <w:color w:val="auto"/>
          <w:highlight w:val="none"/>
        </w:rPr>
        <w:t>（3）机旁手动方式：由操作员从机旁操作箱上直接操作各设备。“机旁</w:t>
      </w:r>
      <w:r>
        <w:rPr>
          <w:color w:val="auto"/>
          <w:highlight w:val="none"/>
        </w:rPr>
        <w:t>-</w:t>
      </w:r>
      <w:r>
        <w:rPr>
          <w:rFonts w:hint="eastAsia"/>
          <w:color w:val="auto"/>
          <w:highlight w:val="none"/>
        </w:rPr>
        <w:t>集中”选择开关设置在现场操作箱上。当选择“机旁”操作时，在机旁操作并监视各设备的运转状态，方便现场调试、维修、维护，设备运转信号进入</w:t>
      </w:r>
      <w:r>
        <w:rPr>
          <w:color w:val="auto"/>
          <w:highlight w:val="none"/>
        </w:rPr>
        <w:t>PLC</w:t>
      </w:r>
      <w:r>
        <w:rPr>
          <w:rFonts w:hint="eastAsia"/>
          <w:color w:val="auto"/>
          <w:highlight w:val="none"/>
        </w:rPr>
        <w:t>监视；该方式主要用于单个设备的维护检修。</w:t>
      </w:r>
    </w:p>
    <w:p w14:paraId="3C6E2633">
      <w:pPr>
        <w:shd w:val="clear"/>
        <w:ind w:firstLine="0" w:firstLineChars="0"/>
        <w:outlineLvl w:val="2"/>
        <w:rPr>
          <w:rFonts w:cs="Times New Roman"/>
          <w:color w:val="auto"/>
          <w:szCs w:val="28"/>
          <w:highlight w:val="none"/>
        </w:rPr>
      </w:pPr>
      <w:bookmarkStart w:id="773" w:name="_Toc22785"/>
      <w:r>
        <w:rPr>
          <w:rFonts w:cs="Times New Roman"/>
          <w:color w:val="auto"/>
          <w:szCs w:val="28"/>
          <w:highlight w:val="none"/>
        </w:rPr>
        <w:t>9.1.</w:t>
      </w:r>
      <w:r>
        <w:rPr>
          <w:rFonts w:hint="eastAsia" w:cs="Times New Roman"/>
          <w:color w:val="auto"/>
          <w:szCs w:val="28"/>
          <w:highlight w:val="none"/>
        </w:rPr>
        <w:t>10 防雷与接地</w:t>
      </w:r>
      <w:bookmarkEnd w:id="773"/>
    </w:p>
    <w:p w14:paraId="612F7247">
      <w:pPr>
        <w:shd w:val="clear"/>
        <w:rPr>
          <w:color w:val="auto"/>
          <w:highlight w:val="none"/>
        </w:rPr>
      </w:pPr>
      <w:r>
        <w:rPr>
          <w:rFonts w:hint="eastAsia"/>
          <w:color w:val="auto"/>
          <w:highlight w:val="none"/>
        </w:rPr>
        <w:t>各系统均按所属建、构筑物防雷类别及其规程规范设置防雷接地装置，对于必要的设备和管道考虑防静电接地。电气设备、电气构件等正常不带电设备的金属外壳设保护接地，供电系统设工作接地。控制系统依据设备的技术要求单独设置接地系统。</w:t>
      </w:r>
    </w:p>
    <w:p w14:paraId="2B019415">
      <w:pPr>
        <w:shd w:val="clear"/>
        <w:ind w:firstLine="0" w:firstLineChars="0"/>
        <w:outlineLvl w:val="2"/>
        <w:rPr>
          <w:rFonts w:cs="Times New Roman"/>
          <w:color w:val="auto"/>
          <w:szCs w:val="28"/>
          <w:highlight w:val="none"/>
        </w:rPr>
      </w:pPr>
      <w:bookmarkStart w:id="774" w:name="_Toc17692"/>
      <w:r>
        <w:rPr>
          <w:rFonts w:cs="Times New Roman"/>
          <w:color w:val="auto"/>
          <w:szCs w:val="28"/>
          <w:highlight w:val="none"/>
        </w:rPr>
        <w:t>9.1.1</w:t>
      </w:r>
      <w:r>
        <w:rPr>
          <w:rFonts w:hint="eastAsia" w:cs="Times New Roman"/>
          <w:color w:val="auto"/>
          <w:szCs w:val="28"/>
          <w:highlight w:val="none"/>
        </w:rPr>
        <w:t>1 照明</w:t>
      </w:r>
      <w:bookmarkEnd w:id="774"/>
    </w:p>
    <w:p w14:paraId="5077E56D">
      <w:pPr>
        <w:shd w:val="clear"/>
        <w:rPr>
          <w:color w:val="auto"/>
          <w:highlight w:val="none"/>
        </w:rPr>
      </w:pPr>
      <w:r>
        <w:rPr>
          <w:color w:val="auto"/>
          <w:highlight w:val="none"/>
        </w:rPr>
        <w:t>矿槽封闭后</w:t>
      </w:r>
      <w:r>
        <w:rPr>
          <w:rFonts w:hint="eastAsia"/>
          <w:color w:val="auto"/>
          <w:highlight w:val="none"/>
        </w:rPr>
        <w:t>，</w:t>
      </w:r>
      <w:r>
        <w:rPr>
          <w:rFonts w:hint="eastAsia"/>
          <w:color w:val="auto"/>
          <w:highlight w:val="none"/>
          <w:lang w:val="en-US" w:eastAsia="zh-CN"/>
        </w:rPr>
        <w:t>除设置日常照明外，还需设置应急照明、</w:t>
      </w:r>
      <w:r>
        <w:rPr>
          <w:rFonts w:hint="eastAsia"/>
          <w:color w:val="auto"/>
          <w:highlight w:val="none"/>
        </w:rPr>
        <w:t>人员疏散指向应急照明灯</w:t>
      </w:r>
      <w:r>
        <w:rPr>
          <w:rFonts w:hint="eastAsia"/>
          <w:color w:val="auto"/>
          <w:highlight w:val="none"/>
          <w:lang w:val="en-US" w:eastAsia="zh-CN"/>
        </w:rPr>
        <w:t>等</w:t>
      </w:r>
      <w:r>
        <w:rPr>
          <w:rFonts w:hint="eastAsia"/>
          <w:color w:val="auto"/>
          <w:highlight w:val="none"/>
        </w:rPr>
        <w:t>。</w:t>
      </w:r>
    </w:p>
    <w:p w14:paraId="75A75FF0">
      <w:pPr>
        <w:shd w:val="clear"/>
        <w:rPr>
          <w:color w:val="auto"/>
          <w:highlight w:val="none"/>
        </w:rPr>
      </w:pPr>
      <w:r>
        <w:rPr>
          <w:color w:val="auto"/>
          <w:highlight w:val="none"/>
        </w:rPr>
        <w:t>车间内分散设置照明配电箱，由配电室内的照明配电柜对照明配电箱进行放射式供电。主要区域的照明灯具采用由不同的照明配电箱交叉供电的方式，以保证供电的可靠性和连续性。工作照明电压AC220V。电气室</w:t>
      </w:r>
      <w:r>
        <w:rPr>
          <w:rFonts w:hint="eastAsia"/>
          <w:color w:val="auto"/>
          <w:highlight w:val="none"/>
          <w:lang w:eastAsia="zh-CN"/>
        </w:rPr>
        <w:t>、</w:t>
      </w:r>
      <w:r>
        <w:rPr>
          <w:color w:val="auto"/>
          <w:highlight w:val="none"/>
        </w:rPr>
        <w:t>操作室设置应急照明灯具。</w:t>
      </w:r>
    </w:p>
    <w:p w14:paraId="247A3573">
      <w:pPr>
        <w:shd w:val="clear"/>
        <w:rPr>
          <w:color w:val="auto"/>
          <w:highlight w:val="none"/>
        </w:rPr>
      </w:pPr>
      <w:r>
        <w:rPr>
          <w:rFonts w:hint="eastAsia"/>
          <w:color w:val="auto"/>
          <w:highlight w:val="none"/>
        </w:rPr>
        <w:t>依据《消防应急照明和疏散指示系统技术规范》（GB51309-2018），新增或改扩建的电气室、操作室及利旧的电气室、操作室，如主控楼、TRT综合楼等安全疏散通道、安全出口、电缆隧道等场所设置应急照明，设置人员疏散指向应急照明灯。应急照明灯具内装蓄电池，应急照明持续时间不小于30min。</w:t>
      </w:r>
    </w:p>
    <w:p w14:paraId="68899D6F">
      <w:pPr>
        <w:shd w:val="clear"/>
        <w:rPr>
          <w:color w:val="auto"/>
          <w:highlight w:val="none"/>
        </w:rPr>
      </w:pPr>
      <w:r>
        <w:rPr>
          <w:rFonts w:hint="eastAsia"/>
          <w:color w:val="auto"/>
          <w:highlight w:val="none"/>
        </w:rPr>
        <w:t>车间内分散设置照明配电箱，由配电室内的照明配电柜对照明配电箱进行放射式供电。主要区域的照明灯具采用由不同的照明配电箱交叉供电的方式，以保证供电的可靠性和连续性。工作照明电压</w:t>
      </w:r>
      <w:r>
        <w:rPr>
          <w:color w:val="auto"/>
          <w:highlight w:val="none"/>
        </w:rPr>
        <w:t>AC220V</w:t>
      </w:r>
      <w:r>
        <w:rPr>
          <w:rFonts w:hint="eastAsia"/>
          <w:color w:val="auto"/>
          <w:highlight w:val="none"/>
        </w:rPr>
        <w:t>。电气室</w:t>
      </w:r>
      <w:r>
        <w:rPr>
          <w:rFonts w:hint="eastAsia"/>
          <w:color w:val="auto"/>
          <w:highlight w:val="none"/>
          <w:lang w:eastAsia="zh-CN"/>
        </w:rPr>
        <w:t>、</w:t>
      </w:r>
      <w:r>
        <w:rPr>
          <w:rFonts w:hint="eastAsia"/>
          <w:color w:val="auto"/>
          <w:highlight w:val="none"/>
        </w:rPr>
        <w:t>操作室设置</w:t>
      </w:r>
      <w:r>
        <w:rPr>
          <w:rFonts w:hint="eastAsia"/>
          <w:color w:val="auto"/>
          <w:highlight w:val="none"/>
          <w:lang w:val="en-US" w:eastAsia="zh-CN"/>
        </w:rPr>
        <w:t>备用照明及</w:t>
      </w:r>
      <w:r>
        <w:rPr>
          <w:rFonts w:hint="eastAsia"/>
          <w:color w:val="auto"/>
          <w:highlight w:val="none"/>
        </w:rPr>
        <w:t>应急照明灯具。</w:t>
      </w:r>
    </w:p>
    <w:p w14:paraId="0721DA54">
      <w:pPr>
        <w:shd w:val="clear"/>
        <w:ind w:firstLine="0" w:firstLineChars="0"/>
        <w:outlineLvl w:val="2"/>
        <w:rPr>
          <w:rFonts w:cs="Times New Roman"/>
          <w:color w:val="auto"/>
          <w:szCs w:val="28"/>
          <w:highlight w:val="none"/>
        </w:rPr>
      </w:pPr>
      <w:bookmarkStart w:id="775" w:name="_Toc28309"/>
      <w:r>
        <w:rPr>
          <w:rFonts w:cs="Times New Roman"/>
          <w:color w:val="auto"/>
          <w:szCs w:val="28"/>
          <w:highlight w:val="none"/>
        </w:rPr>
        <w:t>9.1.1</w:t>
      </w:r>
      <w:r>
        <w:rPr>
          <w:rFonts w:hint="eastAsia" w:cs="Times New Roman"/>
          <w:color w:val="auto"/>
          <w:szCs w:val="28"/>
          <w:highlight w:val="none"/>
        </w:rPr>
        <w:t>2 电缆敷设</w:t>
      </w:r>
      <w:bookmarkEnd w:id="775"/>
    </w:p>
    <w:p w14:paraId="4C703885">
      <w:pPr>
        <w:shd w:val="clear"/>
        <w:rPr>
          <w:color w:val="auto"/>
          <w:highlight w:val="none"/>
        </w:rPr>
      </w:pPr>
      <w:r>
        <w:rPr>
          <w:rFonts w:hint="eastAsia"/>
          <w:color w:val="auto"/>
          <w:highlight w:val="none"/>
        </w:rPr>
        <w:t>电缆敷设采用电缆沟、电缆夹层、电缆桥架、配管</w:t>
      </w:r>
      <w:r>
        <w:rPr>
          <w:color w:val="auto"/>
          <w:highlight w:val="none"/>
        </w:rPr>
        <w:t>/</w:t>
      </w:r>
      <w:r>
        <w:rPr>
          <w:rFonts w:hint="eastAsia"/>
          <w:color w:val="auto"/>
          <w:highlight w:val="none"/>
        </w:rPr>
        <w:t>埋管等方式。电缆配电线路注意避免通过高温区域，电缆采用阻燃电缆。</w:t>
      </w:r>
    </w:p>
    <w:p w14:paraId="79C2DEFD">
      <w:pPr>
        <w:shd w:val="clear"/>
        <w:ind w:firstLine="0" w:firstLineChars="0"/>
        <w:outlineLvl w:val="2"/>
        <w:rPr>
          <w:rFonts w:cs="Times New Roman"/>
          <w:color w:val="auto"/>
          <w:szCs w:val="28"/>
          <w:highlight w:val="none"/>
        </w:rPr>
      </w:pPr>
      <w:bookmarkStart w:id="776" w:name="_Toc22014"/>
      <w:r>
        <w:rPr>
          <w:rFonts w:cs="Times New Roman"/>
          <w:color w:val="auto"/>
          <w:szCs w:val="28"/>
          <w:highlight w:val="none"/>
        </w:rPr>
        <w:t>9.1.1</w:t>
      </w:r>
      <w:r>
        <w:rPr>
          <w:rFonts w:hint="eastAsia" w:cs="Times New Roman"/>
          <w:color w:val="auto"/>
          <w:szCs w:val="28"/>
          <w:highlight w:val="none"/>
        </w:rPr>
        <w:t>3 防火措施</w:t>
      </w:r>
      <w:bookmarkEnd w:id="776"/>
    </w:p>
    <w:p w14:paraId="32F7026D">
      <w:pPr>
        <w:shd w:val="clear"/>
        <w:rPr>
          <w:color w:val="auto"/>
          <w:highlight w:val="none"/>
        </w:rPr>
      </w:pPr>
      <w:r>
        <w:rPr>
          <w:rFonts w:hint="eastAsia"/>
          <w:color w:val="auto"/>
          <w:highlight w:val="none"/>
        </w:rPr>
        <w:t>电气室、操作室等电缆出入口处采用防火隔板或防火堵料加以封堵，以防止一旦有火灾引起火灾蔓延。主要电气室、操作室及电缆室设置火灾自动报警装置，并根据负荷情况设置手动灭火装置。</w:t>
      </w:r>
    </w:p>
    <w:p w14:paraId="1E7F6446">
      <w:pPr>
        <w:shd w:val="clear"/>
        <w:ind w:firstLine="0" w:firstLineChars="0"/>
        <w:outlineLvl w:val="1"/>
        <w:rPr>
          <w:rFonts w:cs="Times New Roman"/>
          <w:b/>
          <w:color w:val="auto"/>
          <w:sz w:val="28"/>
          <w:szCs w:val="28"/>
          <w:highlight w:val="none"/>
        </w:rPr>
      </w:pPr>
      <w:bookmarkStart w:id="777" w:name="_Toc16447"/>
      <w:bookmarkStart w:id="778" w:name="_Toc25030"/>
      <w:bookmarkStart w:id="779" w:name="_Toc9087"/>
      <w:bookmarkStart w:id="780" w:name="_Toc11449"/>
      <w:bookmarkStart w:id="781" w:name="_Toc28774"/>
      <w:bookmarkStart w:id="782" w:name="_Toc25989"/>
      <w:r>
        <w:rPr>
          <w:rFonts w:hint="eastAsia" w:cs="Times New Roman"/>
          <w:b/>
          <w:color w:val="auto"/>
          <w:sz w:val="28"/>
          <w:szCs w:val="28"/>
          <w:highlight w:val="none"/>
        </w:rPr>
        <w:t>9.2 基础自动化</w:t>
      </w:r>
      <w:bookmarkEnd w:id="777"/>
      <w:bookmarkEnd w:id="778"/>
      <w:bookmarkEnd w:id="779"/>
      <w:bookmarkEnd w:id="780"/>
      <w:bookmarkEnd w:id="781"/>
      <w:bookmarkEnd w:id="782"/>
    </w:p>
    <w:p w14:paraId="02EEB5EA">
      <w:pPr>
        <w:shd w:val="clear"/>
        <w:ind w:firstLine="0" w:firstLineChars="0"/>
        <w:outlineLvl w:val="2"/>
        <w:rPr>
          <w:rFonts w:cs="Times New Roman"/>
          <w:color w:val="auto"/>
          <w:szCs w:val="28"/>
          <w:highlight w:val="none"/>
        </w:rPr>
      </w:pPr>
      <w:bookmarkStart w:id="783" w:name="_Toc6231"/>
      <w:bookmarkStart w:id="784" w:name="OLE_LINK12"/>
      <w:bookmarkStart w:id="785" w:name="OLE_LINK11"/>
      <w:r>
        <w:rPr>
          <w:rFonts w:hint="eastAsia" w:cs="Times New Roman"/>
          <w:color w:val="auto"/>
          <w:szCs w:val="28"/>
          <w:highlight w:val="none"/>
        </w:rPr>
        <w:t>9.2.1概述</w:t>
      </w:r>
      <w:bookmarkEnd w:id="783"/>
    </w:p>
    <w:bookmarkEnd w:id="784"/>
    <w:bookmarkEnd w:id="785"/>
    <w:p w14:paraId="7131FF0E">
      <w:pPr>
        <w:pStyle w:val="74"/>
        <w:shd w:val="clear"/>
        <w:rPr>
          <w:color w:val="auto"/>
          <w:highlight w:val="none"/>
        </w:rPr>
      </w:pPr>
      <w:r>
        <w:rPr>
          <w:rFonts w:hint="eastAsia"/>
          <w:color w:val="auto"/>
          <w:highlight w:val="none"/>
        </w:rPr>
        <w:t>本方案为甘肃酒钢集团宏兴钢铁股份有限公司炼铁厂</w:t>
      </w:r>
      <w:r>
        <w:rPr>
          <w:color w:val="auto"/>
          <w:highlight w:val="none"/>
        </w:rPr>
        <w:t>2号高炉优化升级及超低排改造项目</w:t>
      </w:r>
      <w:r>
        <w:rPr>
          <w:rFonts w:hint="eastAsia"/>
          <w:color w:val="auto"/>
          <w:highlight w:val="none"/>
        </w:rPr>
        <w:t>基础自动化系统技术方案。方案的内容包括</w:t>
      </w:r>
      <w:bookmarkStart w:id="786" w:name="OLE_LINK5"/>
      <w:bookmarkStart w:id="787" w:name="OLE_LINK6"/>
      <w:r>
        <w:rPr>
          <w:rFonts w:hint="eastAsia"/>
          <w:color w:val="auto"/>
          <w:highlight w:val="none"/>
        </w:rPr>
        <w:t>新增出铁场、矿槽、地沟的D</w:t>
      </w:r>
      <w:r>
        <w:rPr>
          <w:color w:val="auto"/>
          <w:highlight w:val="none"/>
        </w:rPr>
        <w:t>CS控制</w:t>
      </w:r>
      <w:r>
        <w:rPr>
          <w:rFonts w:hint="eastAsia"/>
          <w:color w:val="auto"/>
          <w:highlight w:val="none"/>
        </w:rPr>
        <w:t>系统</w:t>
      </w:r>
      <w:bookmarkEnd w:id="786"/>
      <w:bookmarkEnd w:id="787"/>
      <w:r>
        <w:rPr>
          <w:rFonts w:hint="eastAsia"/>
          <w:color w:val="auto"/>
          <w:highlight w:val="none"/>
        </w:rPr>
        <w:t>设计，以及原有</w:t>
      </w:r>
      <w:r>
        <w:rPr>
          <w:color w:val="auto"/>
          <w:highlight w:val="none"/>
        </w:rPr>
        <w:t>2号高炉</w:t>
      </w:r>
      <w:r>
        <w:rPr>
          <w:rFonts w:hint="eastAsia"/>
          <w:color w:val="auto"/>
          <w:highlight w:val="none"/>
        </w:rPr>
        <w:t>P</w:t>
      </w:r>
      <w:r>
        <w:rPr>
          <w:color w:val="auto"/>
          <w:highlight w:val="none"/>
        </w:rPr>
        <w:t>LC控制系统</w:t>
      </w:r>
      <w:r>
        <w:rPr>
          <w:rFonts w:hint="eastAsia"/>
          <w:color w:val="auto"/>
          <w:highlight w:val="none"/>
        </w:rPr>
        <w:t>的利旧改造。</w:t>
      </w:r>
    </w:p>
    <w:p w14:paraId="2E999952">
      <w:pPr>
        <w:pStyle w:val="74"/>
        <w:shd w:val="clear"/>
        <w:rPr>
          <w:color w:val="auto"/>
          <w:highlight w:val="none"/>
        </w:rPr>
      </w:pPr>
      <w:r>
        <w:rPr>
          <w:color w:val="auto"/>
          <w:highlight w:val="none"/>
        </w:rPr>
        <w:t>按“三电一体化（EIC）”、“网络数据一体化”的原则</w:t>
      </w:r>
      <w:r>
        <w:rPr>
          <w:rFonts w:hint="eastAsia"/>
          <w:color w:val="auto"/>
          <w:highlight w:val="none"/>
        </w:rPr>
        <w:t>，</w:t>
      </w:r>
      <w:r>
        <w:rPr>
          <w:color w:val="auto"/>
          <w:highlight w:val="none"/>
        </w:rPr>
        <w:t>完成该工程的自动化设计。控制系统按照总体配齐，预留发展的原则设计。所谓总体配齐是指将满足现有工艺运转要求的系统整体配备齐全；所谓预留发展是指这次设计的系统应具有较强的扩展能力，以适应将来技术发展的需要。电仪系统设计根据这些原则，在功能分配上以及系统配置上做统一考虑。采用电仪一体化自动化控制系统，采用方便、快捷和良好的人机操作界面，同时要考虑系统的成熟性、兼容性、开放性，便于以后的扩展和开发。</w:t>
      </w:r>
    </w:p>
    <w:p w14:paraId="091AD1D8">
      <w:pPr>
        <w:shd w:val="clear"/>
        <w:ind w:firstLine="0" w:firstLineChars="0"/>
        <w:outlineLvl w:val="2"/>
        <w:rPr>
          <w:rFonts w:cs="Times New Roman"/>
          <w:color w:val="auto"/>
          <w:szCs w:val="28"/>
          <w:highlight w:val="none"/>
        </w:rPr>
      </w:pPr>
      <w:bookmarkStart w:id="788" w:name="_Toc514"/>
      <w:r>
        <w:rPr>
          <w:rFonts w:cs="Times New Roman"/>
          <w:color w:val="auto"/>
          <w:szCs w:val="28"/>
          <w:highlight w:val="none"/>
        </w:rPr>
        <w:t>9.</w:t>
      </w:r>
      <w:r>
        <w:rPr>
          <w:rFonts w:hint="eastAsia" w:cs="Times New Roman"/>
          <w:color w:val="auto"/>
          <w:szCs w:val="28"/>
          <w:highlight w:val="none"/>
        </w:rPr>
        <w:t>2</w:t>
      </w:r>
      <w:r>
        <w:rPr>
          <w:rFonts w:cs="Times New Roman"/>
          <w:color w:val="auto"/>
          <w:szCs w:val="28"/>
          <w:highlight w:val="none"/>
        </w:rPr>
        <w:t>.2 基础自动化系统的设置</w:t>
      </w:r>
      <w:bookmarkEnd w:id="788"/>
    </w:p>
    <w:p w14:paraId="6A0E60F9">
      <w:pPr>
        <w:pStyle w:val="74"/>
        <w:shd w:val="clear"/>
        <w:rPr>
          <w:color w:val="auto"/>
          <w:highlight w:val="none"/>
        </w:rPr>
      </w:pPr>
      <w:r>
        <w:rPr>
          <w:rFonts w:hint="eastAsia"/>
          <w:color w:val="auto"/>
          <w:highlight w:val="none"/>
        </w:rPr>
        <w:t>2</w:t>
      </w:r>
      <w:r>
        <w:rPr>
          <w:color w:val="auto"/>
          <w:highlight w:val="none"/>
        </w:rPr>
        <w:t>#高炉区域内的</w:t>
      </w:r>
      <w:r>
        <w:rPr>
          <w:rFonts w:hint="eastAsia"/>
          <w:color w:val="auto"/>
          <w:highlight w:val="none"/>
        </w:rPr>
        <w:t>P</w:t>
      </w:r>
      <w:r>
        <w:rPr>
          <w:color w:val="auto"/>
          <w:highlight w:val="none"/>
        </w:rPr>
        <w:t>LC控制系统包括：</w:t>
      </w:r>
    </w:p>
    <w:p w14:paraId="1BFE0D72">
      <w:pPr>
        <w:shd w:val="clear"/>
        <w:rPr>
          <w:color w:val="auto"/>
          <w:highlight w:val="none"/>
        </w:rPr>
      </w:pPr>
      <w:r>
        <w:rPr>
          <w:rFonts w:hint="eastAsia"/>
          <w:color w:val="auto"/>
          <w:highlight w:val="none"/>
        </w:rPr>
        <w:t>（1）矿槽P</w:t>
      </w:r>
      <w:r>
        <w:rPr>
          <w:color w:val="auto"/>
          <w:highlight w:val="none"/>
        </w:rPr>
        <w:t>LC</w:t>
      </w:r>
      <w:r>
        <w:rPr>
          <w:rFonts w:hint="eastAsia"/>
          <w:color w:val="auto"/>
          <w:highlight w:val="none"/>
        </w:rPr>
        <w:t>控制系统(</w:t>
      </w:r>
      <w:r>
        <w:rPr>
          <w:color w:val="auto"/>
          <w:highlight w:val="none"/>
        </w:rPr>
        <w:t>利旧</w:t>
      </w:r>
      <w:r>
        <w:rPr>
          <w:rFonts w:hint="eastAsia"/>
          <w:color w:val="auto"/>
          <w:highlight w:val="none"/>
          <w:lang w:eastAsia="zh-CN"/>
        </w:rPr>
        <w:t>改造</w:t>
      </w:r>
      <w:r>
        <w:rPr>
          <w:rFonts w:hint="eastAsia"/>
          <w:color w:val="auto"/>
          <w:highlight w:val="none"/>
        </w:rPr>
        <w:t>)；</w:t>
      </w:r>
    </w:p>
    <w:p w14:paraId="398FEC2B">
      <w:pPr>
        <w:shd w:val="clear"/>
        <w:rPr>
          <w:rFonts w:ascii="Times New Roman"/>
          <w:color w:val="auto"/>
          <w:highlight w:val="none"/>
        </w:rPr>
      </w:pPr>
      <w:r>
        <w:rPr>
          <w:rFonts w:hint="eastAsia" w:ascii="Times New Roman"/>
          <w:color w:val="auto"/>
          <w:highlight w:val="none"/>
        </w:rPr>
        <w:t>（2）</w:t>
      </w:r>
      <w:r>
        <w:rPr>
          <w:rFonts w:hint="eastAsia"/>
          <w:color w:val="auto"/>
          <w:highlight w:val="none"/>
        </w:rPr>
        <w:t>本体P</w:t>
      </w:r>
      <w:r>
        <w:rPr>
          <w:color w:val="auto"/>
          <w:highlight w:val="none"/>
        </w:rPr>
        <w:t>LC</w:t>
      </w:r>
      <w:r>
        <w:rPr>
          <w:rFonts w:hint="eastAsia"/>
          <w:color w:val="auto"/>
          <w:highlight w:val="none"/>
        </w:rPr>
        <w:t>控制系统(</w:t>
      </w:r>
      <w:r>
        <w:rPr>
          <w:color w:val="auto"/>
          <w:highlight w:val="none"/>
        </w:rPr>
        <w:t>利旧</w:t>
      </w:r>
      <w:r>
        <w:rPr>
          <w:rFonts w:hint="eastAsia"/>
          <w:color w:val="auto"/>
          <w:highlight w:val="none"/>
          <w:lang w:eastAsia="zh-CN"/>
        </w:rPr>
        <w:t>改造</w:t>
      </w:r>
      <w:r>
        <w:rPr>
          <w:rFonts w:hint="eastAsia"/>
          <w:color w:val="auto"/>
          <w:highlight w:val="none"/>
        </w:rPr>
        <w:t>)</w:t>
      </w:r>
      <w:r>
        <w:rPr>
          <w:rFonts w:hint="eastAsia" w:ascii="Times New Roman"/>
          <w:color w:val="auto"/>
          <w:highlight w:val="none"/>
        </w:rPr>
        <w:t>；</w:t>
      </w:r>
    </w:p>
    <w:p w14:paraId="38F00C77">
      <w:pPr>
        <w:shd w:val="clear"/>
        <w:rPr>
          <w:rFonts w:ascii="Times New Roman"/>
          <w:color w:val="auto"/>
          <w:highlight w:val="none"/>
        </w:rPr>
      </w:pPr>
      <w:r>
        <w:rPr>
          <w:rFonts w:hint="eastAsia" w:ascii="Times New Roman"/>
          <w:color w:val="auto"/>
          <w:highlight w:val="none"/>
        </w:rPr>
        <w:t>（3）</w:t>
      </w:r>
      <w:r>
        <w:rPr>
          <w:rFonts w:hint="eastAsia"/>
          <w:color w:val="auto"/>
          <w:highlight w:val="none"/>
        </w:rPr>
        <w:t>炉顶P</w:t>
      </w:r>
      <w:r>
        <w:rPr>
          <w:color w:val="auto"/>
          <w:highlight w:val="none"/>
        </w:rPr>
        <w:t>LC</w:t>
      </w:r>
      <w:r>
        <w:rPr>
          <w:rFonts w:hint="eastAsia"/>
          <w:color w:val="auto"/>
          <w:highlight w:val="none"/>
        </w:rPr>
        <w:t>控制系统(</w:t>
      </w:r>
      <w:r>
        <w:rPr>
          <w:color w:val="auto"/>
          <w:highlight w:val="none"/>
        </w:rPr>
        <w:t>利旧</w:t>
      </w:r>
      <w:r>
        <w:rPr>
          <w:rFonts w:hint="eastAsia"/>
          <w:color w:val="auto"/>
          <w:highlight w:val="none"/>
          <w:lang w:eastAsia="zh-CN"/>
        </w:rPr>
        <w:t>改造</w:t>
      </w:r>
      <w:r>
        <w:rPr>
          <w:rFonts w:hint="eastAsia"/>
          <w:color w:val="auto"/>
          <w:highlight w:val="none"/>
        </w:rPr>
        <w:t>)</w:t>
      </w:r>
      <w:r>
        <w:rPr>
          <w:rFonts w:hint="eastAsia" w:ascii="Times New Roman"/>
          <w:color w:val="auto"/>
          <w:highlight w:val="none"/>
        </w:rPr>
        <w:t>；</w:t>
      </w:r>
    </w:p>
    <w:p w14:paraId="74E258C5">
      <w:pPr>
        <w:shd w:val="clear"/>
        <w:rPr>
          <w:rFonts w:ascii="Times New Roman"/>
          <w:color w:val="auto"/>
          <w:highlight w:val="none"/>
        </w:rPr>
      </w:pPr>
      <w:r>
        <w:rPr>
          <w:rFonts w:hint="eastAsia" w:ascii="Times New Roman"/>
          <w:color w:val="auto"/>
          <w:highlight w:val="none"/>
        </w:rPr>
        <w:t>（4）</w:t>
      </w:r>
      <w:r>
        <w:rPr>
          <w:rFonts w:hint="eastAsia"/>
          <w:color w:val="auto"/>
          <w:highlight w:val="none"/>
        </w:rPr>
        <w:t>热风炉P</w:t>
      </w:r>
      <w:r>
        <w:rPr>
          <w:color w:val="auto"/>
          <w:highlight w:val="none"/>
        </w:rPr>
        <w:t>LC</w:t>
      </w:r>
      <w:r>
        <w:rPr>
          <w:rFonts w:hint="eastAsia"/>
          <w:color w:val="auto"/>
          <w:highlight w:val="none"/>
        </w:rPr>
        <w:t>控制系统(</w:t>
      </w:r>
      <w:r>
        <w:rPr>
          <w:color w:val="auto"/>
          <w:highlight w:val="none"/>
        </w:rPr>
        <w:t>利旧</w:t>
      </w:r>
      <w:r>
        <w:rPr>
          <w:rFonts w:hint="eastAsia"/>
          <w:color w:val="auto"/>
          <w:highlight w:val="none"/>
        </w:rPr>
        <w:t>)</w:t>
      </w:r>
      <w:r>
        <w:rPr>
          <w:rFonts w:hint="eastAsia" w:ascii="Times New Roman"/>
          <w:color w:val="auto"/>
          <w:highlight w:val="none"/>
        </w:rPr>
        <w:t>；</w:t>
      </w:r>
    </w:p>
    <w:p w14:paraId="607489A7">
      <w:pPr>
        <w:shd w:val="clear"/>
        <w:rPr>
          <w:rFonts w:ascii="Times New Roman"/>
          <w:color w:val="auto"/>
          <w:highlight w:val="none"/>
        </w:rPr>
      </w:pPr>
      <w:r>
        <w:rPr>
          <w:rFonts w:hint="eastAsia" w:ascii="Times New Roman"/>
          <w:color w:val="auto"/>
          <w:highlight w:val="none"/>
        </w:rPr>
        <w:t>（5）</w:t>
      </w:r>
      <w:r>
        <w:rPr>
          <w:rFonts w:hint="eastAsia"/>
          <w:color w:val="auto"/>
          <w:highlight w:val="none"/>
        </w:rPr>
        <w:t>干法除尘P</w:t>
      </w:r>
      <w:r>
        <w:rPr>
          <w:color w:val="auto"/>
          <w:highlight w:val="none"/>
        </w:rPr>
        <w:t>LC</w:t>
      </w:r>
      <w:r>
        <w:rPr>
          <w:rFonts w:hint="eastAsia"/>
          <w:color w:val="auto"/>
          <w:highlight w:val="none"/>
        </w:rPr>
        <w:t>控制系统(</w:t>
      </w:r>
      <w:r>
        <w:rPr>
          <w:color w:val="auto"/>
          <w:highlight w:val="none"/>
        </w:rPr>
        <w:t>利旧</w:t>
      </w:r>
      <w:r>
        <w:rPr>
          <w:rFonts w:hint="eastAsia"/>
          <w:color w:val="auto"/>
          <w:highlight w:val="none"/>
        </w:rPr>
        <w:t>)</w:t>
      </w:r>
      <w:r>
        <w:rPr>
          <w:rFonts w:hint="eastAsia" w:ascii="Times New Roman"/>
          <w:color w:val="auto"/>
          <w:highlight w:val="none"/>
        </w:rPr>
        <w:t>；</w:t>
      </w:r>
    </w:p>
    <w:p w14:paraId="3B3F9607">
      <w:pPr>
        <w:shd w:val="clear"/>
        <w:rPr>
          <w:rFonts w:ascii="Times New Roman"/>
          <w:color w:val="auto"/>
          <w:highlight w:val="none"/>
        </w:rPr>
      </w:pPr>
      <w:r>
        <w:rPr>
          <w:rFonts w:hint="eastAsia" w:ascii="Times New Roman"/>
          <w:color w:val="auto"/>
          <w:highlight w:val="none"/>
        </w:rPr>
        <w:t>（6）</w:t>
      </w:r>
      <w:r>
        <w:rPr>
          <w:rFonts w:hint="eastAsia"/>
          <w:color w:val="auto"/>
          <w:highlight w:val="none"/>
        </w:rPr>
        <w:t>渣处理P</w:t>
      </w:r>
      <w:r>
        <w:rPr>
          <w:color w:val="auto"/>
          <w:highlight w:val="none"/>
        </w:rPr>
        <w:t>LC</w:t>
      </w:r>
      <w:r>
        <w:rPr>
          <w:rFonts w:hint="eastAsia"/>
          <w:color w:val="auto"/>
          <w:highlight w:val="none"/>
        </w:rPr>
        <w:t>控制系统(</w:t>
      </w:r>
      <w:r>
        <w:rPr>
          <w:color w:val="auto"/>
          <w:highlight w:val="none"/>
        </w:rPr>
        <w:t>利旧</w:t>
      </w:r>
      <w:r>
        <w:rPr>
          <w:rFonts w:hint="eastAsia"/>
          <w:color w:val="auto"/>
          <w:highlight w:val="none"/>
        </w:rPr>
        <w:t>)</w:t>
      </w:r>
      <w:r>
        <w:rPr>
          <w:rFonts w:hint="eastAsia" w:ascii="Times New Roman"/>
          <w:color w:val="auto"/>
          <w:highlight w:val="none"/>
        </w:rPr>
        <w:t>；</w:t>
      </w:r>
    </w:p>
    <w:p w14:paraId="6933CD3A">
      <w:pPr>
        <w:pStyle w:val="74"/>
        <w:shd w:val="clear"/>
        <w:rPr>
          <w:color w:val="auto"/>
          <w:highlight w:val="none"/>
        </w:rPr>
      </w:pPr>
      <w:r>
        <w:rPr>
          <w:rFonts w:hint="eastAsia"/>
          <w:color w:val="auto"/>
          <w:highlight w:val="none"/>
        </w:rPr>
        <w:t>2</w:t>
      </w:r>
      <w:r>
        <w:rPr>
          <w:color w:val="auto"/>
          <w:highlight w:val="none"/>
        </w:rPr>
        <w:t>#高炉区域内的DCS控制系统包括：</w:t>
      </w:r>
    </w:p>
    <w:p w14:paraId="577238AD">
      <w:pPr>
        <w:shd w:val="clear"/>
        <w:rPr>
          <w:color w:val="auto"/>
          <w:highlight w:val="none"/>
        </w:rPr>
      </w:pPr>
      <w:r>
        <w:rPr>
          <w:rFonts w:hint="eastAsia"/>
          <w:color w:val="auto"/>
          <w:highlight w:val="none"/>
        </w:rPr>
        <w:t>（1）</w:t>
      </w:r>
      <w:r>
        <w:rPr>
          <w:rFonts w:hint="eastAsia"/>
          <w:color w:val="auto"/>
          <w:szCs w:val="20"/>
          <w:highlight w:val="none"/>
        </w:rPr>
        <w:t>出铁场</w:t>
      </w:r>
      <w:r>
        <w:rPr>
          <w:rFonts w:hint="eastAsia"/>
          <w:color w:val="auto"/>
          <w:highlight w:val="none"/>
        </w:rPr>
        <w:t>除尘</w:t>
      </w:r>
      <w:r>
        <w:rPr>
          <w:color w:val="auto"/>
          <w:highlight w:val="none"/>
        </w:rPr>
        <w:t>DCS</w:t>
      </w:r>
      <w:r>
        <w:rPr>
          <w:rFonts w:hint="eastAsia"/>
          <w:color w:val="auto"/>
          <w:highlight w:val="none"/>
        </w:rPr>
        <w:t>控制系统(</w:t>
      </w:r>
      <w:r>
        <w:rPr>
          <w:color w:val="auto"/>
          <w:highlight w:val="none"/>
        </w:rPr>
        <w:t>新增</w:t>
      </w:r>
      <w:r>
        <w:rPr>
          <w:rFonts w:hint="eastAsia"/>
          <w:color w:val="auto"/>
          <w:highlight w:val="none"/>
        </w:rPr>
        <w:t>)；</w:t>
      </w:r>
    </w:p>
    <w:p w14:paraId="608144F4">
      <w:pPr>
        <w:shd w:val="clear"/>
        <w:rPr>
          <w:rFonts w:ascii="Times New Roman"/>
          <w:color w:val="auto"/>
          <w:highlight w:val="none"/>
        </w:rPr>
      </w:pPr>
      <w:r>
        <w:rPr>
          <w:rFonts w:hint="eastAsia" w:ascii="Times New Roman"/>
          <w:color w:val="auto"/>
          <w:highlight w:val="none"/>
        </w:rPr>
        <w:t>（2）</w:t>
      </w:r>
      <w:r>
        <w:rPr>
          <w:rFonts w:hint="eastAsia"/>
          <w:color w:val="auto"/>
          <w:szCs w:val="20"/>
          <w:highlight w:val="none"/>
        </w:rPr>
        <w:t>矿槽</w:t>
      </w:r>
      <w:r>
        <w:rPr>
          <w:rFonts w:hint="eastAsia"/>
          <w:color w:val="auto"/>
          <w:highlight w:val="none"/>
        </w:rPr>
        <w:t>除尘</w:t>
      </w:r>
      <w:r>
        <w:rPr>
          <w:color w:val="auto"/>
          <w:highlight w:val="none"/>
        </w:rPr>
        <w:t>DCS</w:t>
      </w:r>
      <w:r>
        <w:rPr>
          <w:rFonts w:hint="eastAsia"/>
          <w:color w:val="auto"/>
          <w:highlight w:val="none"/>
        </w:rPr>
        <w:t>控制系统(</w:t>
      </w:r>
      <w:r>
        <w:rPr>
          <w:color w:val="auto"/>
          <w:highlight w:val="none"/>
        </w:rPr>
        <w:t>新增</w:t>
      </w:r>
      <w:r>
        <w:rPr>
          <w:rFonts w:hint="eastAsia"/>
          <w:color w:val="auto"/>
          <w:highlight w:val="none"/>
        </w:rPr>
        <w:t>)</w:t>
      </w:r>
      <w:r>
        <w:rPr>
          <w:rFonts w:hint="eastAsia" w:ascii="Times New Roman"/>
          <w:color w:val="auto"/>
          <w:highlight w:val="none"/>
        </w:rPr>
        <w:t>；</w:t>
      </w:r>
    </w:p>
    <w:p w14:paraId="4F54AAE8">
      <w:pPr>
        <w:shd w:val="clear"/>
        <w:rPr>
          <w:rFonts w:ascii="Times New Roman"/>
          <w:color w:val="auto"/>
          <w:highlight w:val="none"/>
        </w:rPr>
      </w:pPr>
      <w:r>
        <w:rPr>
          <w:rFonts w:hint="eastAsia" w:ascii="Times New Roman"/>
          <w:color w:val="auto"/>
          <w:highlight w:val="none"/>
        </w:rPr>
        <w:t>（3）</w:t>
      </w:r>
      <w:r>
        <w:rPr>
          <w:rFonts w:hint="eastAsia"/>
          <w:color w:val="auto"/>
          <w:szCs w:val="20"/>
          <w:highlight w:val="none"/>
        </w:rPr>
        <w:t>地沟</w:t>
      </w:r>
      <w:r>
        <w:rPr>
          <w:rFonts w:hint="eastAsia"/>
          <w:color w:val="auto"/>
          <w:highlight w:val="none"/>
        </w:rPr>
        <w:t>除尘</w:t>
      </w:r>
      <w:r>
        <w:rPr>
          <w:color w:val="auto"/>
          <w:highlight w:val="none"/>
        </w:rPr>
        <w:t>DCS</w:t>
      </w:r>
      <w:r>
        <w:rPr>
          <w:rFonts w:hint="eastAsia"/>
          <w:color w:val="auto"/>
          <w:highlight w:val="none"/>
        </w:rPr>
        <w:t>控制系统(</w:t>
      </w:r>
      <w:r>
        <w:rPr>
          <w:color w:val="auto"/>
          <w:highlight w:val="none"/>
        </w:rPr>
        <w:t>新增</w:t>
      </w:r>
      <w:r>
        <w:rPr>
          <w:rFonts w:hint="eastAsia"/>
          <w:color w:val="auto"/>
          <w:highlight w:val="none"/>
        </w:rPr>
        <w:t>)</w:t>
      </w:r>
      <w:r>
        <w:rPr>
          <w:rFonts w:hint="eastAsia" w:ascii="Times New Roman"/>
          <w:color w:val="auto"/>
          <w:highlight w:val="none"/>
        </w:rPr>
        <w:t>；</w:t>
      </w:r>
    </w:p>
    <w:p w14:paraId="2111EAB6">
      <w:pPr>
        <w:shd w:val="clear"/>
        <w:ind w:firstLine="0" w:firstLineChars="0"/>
        <w:outlineLvl w:val="2"/>
        <w:rPr>
          <w:rFonts w:cs="Times New Roman"/>
          <w:color w:val="auto"/>
          <w:szCs w:val="28"/>
          <w:highlight w:val="none"/>
        </w:rPr>
      </w:pPr>
      <w:bookmarkStart w:id="789" w:name="_Toc2976"/>
      <w:r>
        <w:rPr>
          <w:rFonts w:cs="Times New Roman"/>
          <w:color w:val="auto"/>
          <w:szCs w:val="28"/>
          <w:highlight w:val="none"/>
        </w:rPr>
        <w:t>9.</w:t>
      </w:r>
      <w:r>
        <w:rPr>
          <w:rFonts w:hint="eastAsia" w:cs="Times New Roman"/>
          <w:color w:val="auto"/>
          <w:szCs w:val="28"/>
          <w:highlight w:val="none"/>
        </w:rPr>
        <w:t>2</w:t>
      </w:r>
      <w:r>
        <w:rPr>
          <w:rFonts w:cs="Times New Roman"/>
          <w:color w:val="auto"/>
          <w:szCs w:val="28"/>
          <w:highlight w:val="none"/>
        </w:rPr>
        <w:t>.3</w:t>
      </w:r>
      <w:r>
        <w:rPr>
          <w:rFonts w:hint="eastAsia" w:cs="Times New Roman"/>
          <w:color w:val="auto"/>
          <w:szCs w:val="28"/>
          <w:highlight w:val="none"/>
        </w:rPr>
        <w:t xml:space="preserve"> </w:t>
      </w:r>
      <w:r>
        <w:rPr>
          <w:rFonts w:cs="Times New Roman"/>
          <w:color w:val="auto"/>
          <w:szCs w:val="28"/>
          <w:highlight w:val="none"/>
        </w:rPr>
        <w:t>新增</w:t>
      </w:r>
      <w:r>
        <w:rPr>
          <w:rFonts w:hint="eastAsia" w:cs="Times New Roman"/>
          <w:color w:val="auto"/>
          <w:szCs w:val="28"/>
          <w:highlight w:val="none"/>
        </w:rPr>
        <w:t>D</w:t>
      </w:r>
      <w:r>
        <w:rPr>
          <w:rFonts w:cs="Times New Roman"/>
          <w:color w:val="auto"/>
          <w:szCs w:val="28"/>
          <w:highlight w:val="none"/>
        </w:rPr>
        <w:t>CS控制系统</w:t>
      </w:r>
      <w:bookmarkEnd w:id="789"/>
    </w:p>
    <w:p w14:paraId="5DDE7197">
      <w:pPr>
        <w:pStyle w:val="74"/>
        <w:shd w:val="clear"/>
        <w:rPr>
          <w:color w:val="auto"/>
          <w:highlight w:val="none"/>
        </w:rPr>
      </w:pPr>
      <w:r>
        <w:rPr>
          <w:rFonts w:hint="eastAsia"/>
          <w:color w:val="auto"/>
          <w:highlight w:val="none"/>
        </w:rPr>
        <w:t>新增出铁场除尘、矿槽除尘、地沟除尘均采用D</w:t>
      </w:r>
      <w:r>
        <w:rPr>
          <w:color w:val="auto"/>
          <w:highlight w:val="none"/>
        </w:rPr>
        <w:t>CS控制</w:t>
      </w:r>
      <w:r>
        <w:rPr>
          <w:rFonts w:hint="eastAsia"/>
          <w:color w:val="auto"/>
          <w:highlight w:val="none"/>
        </w:rPr>
        <w:t>系统。</w:t>
      </w:r>
    </w:p>
    <w:p w14:paraId="5FF519CB">
      <w:pPr>
        <w:shd w:val="clear"/>
        <w:ind w:firstLine="0" w:firstLineChars="0"/>
        <w:outlineLvl w:val="3"/>
        <w:rPr>
          <w:color w:val="auto"/>
          <w:highlight w:val="none"/>
        </w:rPr>
      </w:pPr>
      <w:r>
        <w:rPr>
          <w:rFonts w:hint="eastAsia"/>
          <w:color w:val="auto"/>
          <w:highlight w:val="none"/>
        </w:rPr>
        <w:t xml:space="preserve">9.2.3.1 DCS控制站 </w:t>
      </w:r>
    </w:p>
    <w:p w14:paraId="64BD7346">
      <w:pPr>
        <w:pStyle w:val="74"/>
        <w:shd w:val="clear"/>
        <w:rPr>
          <w:color w:val="auto"/>
          <w:highlight w:val="none"/>
        </w:rPr>
      </w:pPr>
      <w:r>
        <w:rPr>
          <w:rFonts w:hint="eastAsia"/>
          <w:color w:val="auto"/>
          <w:highlight w:val="none"/>
        </w:rPr>
        <w:t>2</w:t>
      </w:r>
      <w:r>
        <w:rPr>
          <w:color w:val="auto"/>
          <w:highlight w:val="none"/>
        </w:rPr>
        <w:t>#高炉新增DCS系统采用知名国产品牌</w:t>
      </w:r>
      <w:r>
        <w:rPr>
          <w:rFonts w:hint="eastAsia"/>
          <w:color w:val="auto"/>
          <w:highlight w:val="none"/>
        </w:rPr>
        <w:t>D</w:t>
      </w:r>
      <w:r>
        <w:rPr>
          <w:color w:val="auto"/>
          <w:highlight w:val="none"/>
        </w:rPr>
        <w:t>CS，</w:t>
      </w:r>
      <w:r>
        <w:rPr>
          <w:rFonts w:hint="eastAsia"/>
          <w:color w:val="auto"/>
          <w:highlight w:val="none"/>
        </w:rPr>
        <w:t>与其他高炉</w:t>
      </w:r>
      <w:r>
        <w:rPr>
          <w:color w:val="auto"/>
          <w:highlight w:val="none"/>
        </w:rPr>
        <w:t>DCS系统</w:t>
      </w:r>
      <w:r>
        <w:rPr>
          <w:rFonts w:hint="eastAsia"/>
          <w:color w:val="auto"/>
          <w:highlight w:val="none"/>
        </w:rPr>
        <w:t>保持一致。DCS采用</w:t>
      </w:r>
      <w:bookmarkStart w:id="790" w:name="OLE_LINK2"/>
      <w:bookmarkStart w:id="791" w:name="OLE_LINK1"/>
      <w:r>
        <w:rPr>
          <w:rFonts w:hint="eastAsia"/>
          <w:color w:val="auto"/>
          <w:highlight w:val="none"/>
        </w:rPr>
        <w:t>冗余</w:t>
      </w:r>
      <w:bookmarkEnd w:id="790"/>
      <w:bookmarkEnd w:id="791"/>
      <w:r>
        <w:rPr>
          <w:rFonts w:hint="eastAsia"/>
          <w:color w:val="auto"/>
          <w:highlight w:val="none"/>
        </w:rPr>
        <w:t>C</w:t>
      </w:r>
      <w:r>
        <w:rPr>
          <w:color w:val="auto"/>
          <w:highlight w:val="none"/>
        </w:rPr>
        <w:t>PU，具有高速网络传输技术和硬件热插拔功能，较强的扩展能力、多协议的通讯能力和兼容性。配备相应的电源模件、机架、通讯模件。</w:t>
      </w:r>
      <w:r>
        <w:rPr>
          <w:rFonts w:hint="eastAsia"/>
          <w:color w:val="auto"/>
          <w:highlight w:val="none"/>
        </w:rPr>
        <w:t>D</w:t>
      </w:r>
      <w:r>
        <w:rPr>
          <w:color w:val="auto"/>
          <w:highlight w:val="none"/>
        </w:rPr>
        <w:t>CS的CPU、网络、电源均为冗余配置，切换可靠，不会影响装置运行。</w:t>
      </w:r>
    </w:p>
    <w:p w14:paraId="6174260E">
      <w:pPr>
        <w:widowControl/>
        <w:shd w:val="clear"/>
        <w:rPr>
          <w:color w:val="auto"/>
          <w:highlight w:val="none"/>
        </w:rPr>
      </w:pPr>
      <w:r>
        <w:rPr>
          <w:color w:val="auto"/>
          <w:highlight w:val="none"/>
        </w:rPr>
        <w:t>DCS硬件按20%I/O备用、50%内存备用、10%空槽位配置。</w:t>
      </w:r>
      <w:r>
        <w:rPr>
          <w:rFonts w:hint="eastAsia"/>
          <w:color w:val="auto"/>
          <w:highlight w:val="none"/>
        </w:rPr>
        <w:t>D</w:t>
      </w:r>
      <w:r>
        <w:rPr>
          <w:color w:val="auto"/>
          <w:highlight w:val="none"/>
        </w:rPr>
        <w:t>CS控制柜内模拟量输入、输出信号经配电器、隔离器接入</w:t>
      </w:r>
      <w:r>
        <w:rPr>
          <w:rFonts w:hint="eastAsia"/>
          <w:color w:val="auto"/>
          <w:highlight w:val="none"/>
        </w:rPr>
        <w:t>A</w:t>
      </w:r>
      <w:r>
        <w:rPr>
          <w:color w:val="auto"/>
          <w:highlight w:val="none"/>
        </w:rPr>
        <w:t>I/AO模块；DCS开关量输入</w:t>
      </w:r>
      <w:r>
        <w:rPr>
          <w:rFonts w:hint="eastAsia"/>
          <w:color w:val="auto"/>
          <w:highlight w:val="none"/>
        </w:rPr>
        <w:t>/</w:t>
      </w:r>
      <w:r>
        <w:rPr>
          <w:color w:val="auto"/>
          <w:highlight w:val="none"/>
        </w:rPr>
        <w:t>输出</w:t>
      </w:r>
      <w:r>
        <w:rPr>
          <w:rFonts w:hint="eastAsia"/>
          <w:color w:val="auto"/>
          <w:highlight w:val="none"/>
        </w:rPr>
        <w:t>(</w:t>
      </w:r>
      <w:r>
        <w:rPr>
          <w:color w:val="auto"/>
          <w:highlight w:val="none"/>
        </w:rPr>
        <w:t>DI/DO)模块均通过带指示灯的中间继电器输入</w:t>
      </w:r>
      <w:r>
        <w:rPr>
          <w:rFonts w:hint="eastAsia"/>
          <w:color w:val="auto"/>
          <w:highlight w:val="none"/>
        </w:rPr>
        <w:t>/输出信号</w:t>
      </w:r>
      <w:r>
        <w:rPr>
          <w:color w:val="auto"/>
          <w:highlight w:val="none"/>
        </w:rPr>
        <w:t>。温度检测信号直接接入温度模块（</w:t>
      </w:r>
      <w:r>
        <w:rPr>
          <w:rFonts w:hint="eastAsia"/>
          <w:color w:val="auto"/>
          <w:highlight w:val="none"/>
        </w:rPr>
        <w:t>R</w:t>
      </w:r>
      <w:r>
        <w:rPr>
          <w:color w:val="auto"/>
          <w:highlight w:val="none"/>
        </w:rPr>
        <w:t>TD或</w:t>
      </w:r>
      <w:r>
        <w:rPr>
          <w:rFonts w:hint="eastAsia"/>
          <w:color w:val="auto"/>
          <w:highlight w:val="none"/>
        </w:rPr>
        <w:t>T</w:t>
      </w:r>
      <w:r>
        <w:rPr>
          <w:color w:val="auto"/>
          <w:highlight w:val="none"/>
        </w:rPr>
        <w:t>C模块），以减少控制柜内的配线，若系统温度信号较少，温度信号则采用温度变送器转换成4~20mA后，再接入系统。</w:t>
      </w:r>
      <w:r>
        <w:rPr>
          <w:rFonts w:hint="eastAsia"/>
          <w:color w:val="auto"/>
          <w:highlight w:val="none"/>
        </w:rPr>
        <w:t>传动设备的正常柜和备用柜I/O信号的模块分机架设置，避免故障后影响多台设备。</w:t>
      </w:r>
    </w:p>
    <w:p w14:paraId="5F81D077">
      <w:pPr>
        <w:pStyle w:val="128"/>
        <w:shd w:val="clear"/>
        <w:ind w:firstLine="480"/>
        <w:rPr>
          <w:color w:val="auto"/>
          <w:sz w:val="24"/>
          <w:highlight w:val="none"/>
        </w:rPr>
      </w:pPr>
      <w:r>
        <w:rPr>
          <w:color w:val="auto"/>
          <w:sz w:val="24"/>
          <w:highlight w:val="none"/>
        </w:rPr>
        <w:t>IO模块基本数据：</w:t>
      </w:r>
    </w:p>
    <w:p w14:paraId="711AE1E0">
      <w:pPr>
        <w:pStyle w:val="128"/>
        <w:shd w:val="clear"/>
        <w:ind w:firstLine="480"/>
        <w:rPr>
          <w:color w:val="auto"/>
          <w:sz w:val="24"/>
          <w:highlight w:val="none"/>
        </w:rPr>
      </w:pPr>
      <w:r>
        <w:rPr>
          <w:color w:val="auto"/>
          <w:sz w:val="24"/>
          <w:highlight w:val="none"/>
        </w:rPr>
        <w:t>开关量输入模块（DI）：32/16P/M，24VDC。</w:t>
      </w:r>
    </w:p>
    <w:p w14:paraId="31403009">
      <w:pPr>
        <w:pStyle w:val="128"/>
        <w:shd w:val="clear"/>
        <w:ind w:firstLine="480"/>
        <w:rPr>
          <w:color w:val="auto"/>
          <w:sz w:val="24"/>
          <w:highlight w:val="none"/>
        </w:rPr>
      </w:pPr>
      <w:r>
        <w:rPr>
          <w:color w:val="auto"/>
          <w:sz w:val="24"/>
          <w:highlight w:val="none"/>
        </w:rPr>
        <w:t>开关量输出模块（DO）：32/16P/M，24VDC。</w:t>
      </w:r>
    </w:p>
    <w:p w14:paraId="0A93E794">
      <w:pPr>
        <w:pStyle w:val="128"/>
        <w:shd w:val="clear"/>
        <w:ind w:firstLine="480"/>
        <w:rPr>
          <w:color w:val="auto"/>
          <w:sz w:val="24"/>
          <w:highlight w:val="none"/>
        </w:rPr>
      </w:pPr>
      <w:r>
        <w:rPr>
          <w:color w:val="auto"/>
          <w:sz w:val="24"/>
          <w:highlight w:val="none"/>
        </w:rPr>
        <w:t>模拟量输入模块（AI）：8/4P/M，4~20mA。</w:t>
      </w:r>
    </w:p>
    <w:p w14:paraId="0FDCE6A9">
      <w:pPr>
        <w:pStyle w:val="128"/>
        <w:shd w:val="clear"/>
        <w:ind w:firstLine="480"/>
        <w:rPr>
          <w:color w:val="auto"/>
          <w:sz w:val="24"/>
          <w:highlight w:val="none"/>
        </w:rPr>
      </w:pPr>
      <w:r>
        <w:rPr>
          <w:color w:val="auto"/>
          <w:sz w:val="24"/>
          <w:highlight w:val="none"/>
        </w:rPr>
        <w:t>模拟量输出模块（AO）：8/4P/M，4~20mA。</w:t>
      </w:r>
    </w:p>
    <w:p w14:paraId="5681F635">
      <w:pPr>
        <w:pStyle w:val="128"/>
        <w:shd w:val="clear"/>
        <w:ind w:firstLine="480"/>
        <w:rPr>
          <w:color w:val="auto"/>
          <w:sz w:val="24"/>
          <w:highlight w:val="none"/>
        </w:rPr>
      </w:pPr>
      <w:r>
        <w:rPr>
          <w:color w:val="auto"/>
          <w:sz w:val="24"/>
          <w:highlight w:val="none"/>
        </w:rPr>
        <w:t>热电偶输入模块（TC）：8 /4P/M。</w:t>
      </w:r>
    </w:p>
    <w:p w14:paraId="590AAE25">
      <w:pPr>
        <w:pStyle w:val="128"/>
        <w:shd w:val="clear"/>
        <w:ind w:firstLine="480"/>
        <w:rPr>
          <w:color w:val="auto"/>
          <w:sz w:val="24"/>
          <w:highlight w:val="none"/>
        </w:rPr>
      </w:pPr>
      <w:r>
        <w:rPr>
          <w:color w:val="auto"/>
          <w:sz w:val="24"/>
          <w:highlight w:val="none"/>
        </w:rPr>
        <w:t>热电阻输入模块（RTD）：8 /4P/M。</w:t>
      </w:r>
    </w:p>
    <w:p w14:paraId="4B85C59B">
      <w:pPr>
        <w:pStyle w:val="128"/>
        <w:shd w:val="clear"/>
        <w:ind w:firstLine="480"/>
        <w:rPr>
          <w:rFonts w:ascii="宋体" w:hAnsi="宋体"/>
          <w:bCs/>
          <w:color w:val="auto"/>
          <w:sz w:val="24"/>
          <w:highlight w:val="none"/>
        </w:rPr>
      </w:pPr>
      <w:r>
        <w:rPr>
          <w:rFonts w:ascii="宋体" w:hAnsi="宋体"/>
          <w:color w:val="auto"/>
          <w:sz w:val="24"/>
          <w:highlight w:val="none"/>
        </w:rPr>
        <w:t>I/O电源：220VAC/24VDC，包括数字式I/O接口和模拟量输出所需24VDC电源，</w:t>
      </w:r>
      <w:r>
        <w:rPr>
          <w:rFonts w:ascii="宋体" w:hAnsi="宋体"/>
          <w:bCs/>
          <w:color w:val="auto"/>
          <w:sz w:val="24"/>
          <w:highlight w:val="none"/>
        </w:rPr>
        <w:t>24VDC电源供电冗余，带冗余电源切换模块。</w:t>
      </w:r>
    </w:p>
    <w:p w14:paraId="377D9474">
      <w:pPr>
        <w:shd w:val="clear"/>
        <w:rPr>
          <w:rFonts w:hint="eastAsia"/>
          <w:color w:val="auto"/>
          <w:highlight w:val="none"/>
        </w:rPr>
      </w:pPr>
      <w:r>
        <w:rPr>
          <w:rFonts w:hint="eastAsia"/>
          <w:color w:val="auto"/>
          <w:highlight w:val="none"/>
        </w:rPr>
        <w:t>炉顶压、风压、富氧量、出铁时间、出铁量等工艺参数及除尘器风量、风机电流、颗粒物浓度等治理设施参数接入DCS控制系统，具体应满足《关于进一步规范重污染天气应急减排措施的函（环办便函〔2021〕439）》中相关要求。设置除尘曲线，曲线需满足《排污许可证申请与核发技术规范 钢铁工业（HJ846-2017）》中相关要求。</w:t>
      </w:r>
    </w:p>
    <w:p w14:paraId="24711C19">
      <w:pPr>
        <w:pStyle w:val="73"/>
        <w:shd w:val="clear"/>
        <w:rPr>
          <w:rFonts w:hint="default" w:eastAsia="宋体"/>
          <w:color w:val="auto"/>
          <w:highlight w:val="none"/>
          <w:lang w:val="en-US" w:eastAsia="zh-CN"/>
        </w:rPr>
      </w:pPr>
      <w:r>
        <w:rPr>
          <w:rFonts w:hint="eastAsia"/>
          <w:color w:val="auto"/>
          <w:highlight w:val="none"/>
          <w:lang w:val="en-US" w:eastAsia="zh-CN"/>
        </w:rPr>
        <w:t>DCS系统与现有PLC系统实现通讯互通。</w:t>
      </w:r>
    </w:p>
    <w:p w14:paraId="0F33C871">
      <w:pPr>
        <w:shd w:val="clear"/>
        <w:ind w:firstLine="0" w:firstLineChars="0"/>
        <w:outlineLvl w:val="3"/>
        <w:rPr>
          <w:color w:val="auto"/>
          <w:highlight w:val="none"/>
        </w:rPr>
      </w:pPr>
      <w:r>
        <w:rPr>
          <w:rFonts w:hint="eastAsia"/>
          <w:color w:val="auto"/>
          <w:highlight w:val="none"/>
        </w:rPr>
        <w:t xml:space="preserve">9.2.3.2 DCS系统的HMI监控站 </w:t>
      </w:r>
    </w:p>
    <w:p w14:paraId="3823128E">
      <w:pPr>
        <w:shd w:val="clear"/>
        <w:rPr>
          <w:color w:val="auto"/>
          <w:highlight w:val="none"/>
        </w:rPr>
      </w:pPr>
      <w:r>
        <w:rPr>
          <w:rFonts w:hint="eastAsia"/>
          <w:color w:val="auto"/>
          <w:highlight w:val="none"/>
        </w:rPr>
        <w:t>3套除尘系统的</w:t>
      </w:r>
      <w:bookmarkStart w:id="792" w:name="OLE_LINK19"/>
      <w:r>
        <w:rPr>
          <w:rFonts w:hint="eastAsia"/>
          <w:color w:val="auto"/>
          <w:highlight w:val="none"/>
        </w:rPr>
        <w:t>H</w:t>
      </w:r>
      <w:r>
        <w:rPr>
          <w:color w:val="auto"/>
          <w:highlight w:val="none"/>
        </w:rPr>
        <w:t>MI监控站</w:t>
      </w:r>
      <w:bookmarkEnd w:id="792"/>
      <w:r>
        <w:rPr>
          <w:color w:val="auto"/>
          <w:highlight w:val="none"/>
        </w:rPr>
        <w:t>安装</w:t>
      </w:r>
      <w:bookmarkStart w:id="793" w:name="_Hlk122274502"/>
      <w:r>
        <w:rPr>
          <w:color w:val="auto"/>
          <w:highlight w:val="none"/>
        </w:rPr>
        <w:t>在</w:t>
      </w:r>
      <w:r>
        <w:rPr>
          <w:rFonts w:hint="eastAsia"/>
          <w:color w:val="auto"/>
          <w:highlight w:val="none"/>
        </w:rPr>
        <w:t>原2号高炉值班室，</w:t>
      </w:r>
      <w:r>
        <w:rPr>
          <w:color w:val="auto"/>
          <w:highlight w:val="none"/>
        </w:rPr>
        <w:t>完成生产工艺</w:t>
      </w:r>
      <w:r>
        <w:rPr>
          <w:rFonts w:hint="eastAsia"/>
          <w:color w:val="auto"/>
          <w:highlight w:val="none"/>
        </w:rPr>
        <w:t>和设备的</w:t>
      </w:r>
      <w:r>
        <w:rPr>
          <w:color w:val="auto"/>
          <w:highlight w:val="none"/>
        </w:rPr>
        <w:t>监控、实现人机接口的功能</w:t>
      </w:r>
      <w:r>
        <w:rPr>
          <w:rFonts w:hint="eastAsia"/>
          <w:color w:val="auto"/>
          <w:highlight w:val="none"/>
        </w:rPr>
        <w:t>，具备</w:t>
      </w:r>
      <w:r>
        <w:rPr>
          <w:color w:val="auto"/>
          <w:highlight w:val="none"/>
        </w:rPr>
        <w:t>报警显示，过程流程图显示，趋势显示，报表</w:t>
      </w:r>
      <w:r>
        <w:rPr>
          <w:rFonts w:hint="eastAsia"/>
          <w:color w:val="auto"/>
          <w:highlight w:val="none"/>
          <w:lang w:eastAsia="zh-CN"/>
        </w:rPr>
        <w:t>功能</w:t>
      </w:r>
      <w:r>
        <w:rPr>
          <w:color w:val="auto"/>
          <w:highlight w:val="none"/>
        </w:rPr>
        <w:t>，系统诊断，显示操作指导</w:t>
      </w:r>
      <w:r>
        <w:rPr>
          <w:rFonts w:hint="eastAsia"/>
          <w:color w:val="auto"/>
          <w:highlight w:val="none"/>
        </w:rPr>
        <w:t>、用户管理</w:t>
      </w:r>
      <w:r>
        <w:rPr>
          <w:color w:val="auto"/>
          <w:highlight w:val="none"/>
        </w:rPr>
        <w:t>等功能。</w:t>
      </w:r>
      <w:bookmarkEnd w:id="793"/>
      <w:r>
        <w:rPr>
          <w:rFonts w:hint="eastAsia"/>
          <w:color w:val="auto"/>
          <w:highlight w:val="none"/>
        </w:rPr>
        <w:t>对重要工艺参数进行完整记录存档，并进行被测参数曲线或报表</w:t>
      </w:r>
      <w:r>
        <w:rPr>
          <w:rFonts w:hint="eastAsia"/>
          <w:color w:val="auto"/>
          <w:highlight w:val="none"/>
          <w:lang w:eastAsia="zh-CN"/>
        </w:rPr>
        <w:t>生成</w:t>
      </w:r>
      <w:r>
        <w:rPr>
          <w:rFonts w:hint="eastAsia"/>
          <w:color w:val="auto"/>
          <w:highlight w:val="none"/>
        </w:rPr>
        <w:t>，从而为生产过程正确操作及实施有效管理提供工艺数据。DCS监控等数据能够至少保存一年以上，满足相关环保文件的要求。</w:t>
      </w:r>
    </w:p>
    <w:p w14:paraId="0B7FBA06">
      <w:pPr>
        <w:shd w:val="clear"/>
        <w:rPr>
          <w:color w:val="auto"/>
          <w:highlight w:val="none"/>
        </w:rPr>
      </w:pPr>
      <w:r>
        <w:rPr>
          <w:rFonts w:hint="eastAsia"/>
          <w:color w:val="auto"/>
          <w:highlight w:val="none"/>
        </w:rPr>
        <w:t>3套除尘设置3套操作员站，其中一套为工程师站兼操作员站。三套除尘操作画面整合到一个工程项目中，3套除尘操作站可实现互备功能。</w:t>
      </w:r>
    </w:p>
    <w:p w14:paraId="79C70D04">
      <w:pPr>
        <w:shd w:val="clear"/>
        <w:rPr>
          <w:color w:val="auto"/>
          <w:highlight w:val="none"/>
        </w:rPr>
      </w:pPr>
      <w:bookmarkStart w:id="794" w:name="OLE_LINK4"/>
      <w:bookmarkStart w:id="795" w:name="OLE_LINK13"/>
      <w:r>
        <w:rPr>
          <w:rFonts w:hint="eastAsia"/>
          <w:color w:val="auto"/>
          <w:highlight w:val="none"/>
        </w:rPr>
        <w:t>H</w:t>
      </w:r>
      <w:r>
        <w:rPr>
          <w:color w:val="auto"/>
          <w:highlight w:val="none"/>
        </w:rPr>
        <w:t>MI监控站（</w:t>
      </w:r>
      <w:r>
        <w:rPr>
          <w:rFonts w:hint="eastAsia"/>
          <w:color w:val="auto"/>
          <w:highlight w:val="none"/>
        </w:rPr>
        <w:t>工程师站、操作员站）采用知名品牌台式机，当前主流配置，不低于以下配置：</w:t>
      </w:r>
    </w:p>
    <w:p w14:paraId="7391C5A3">
      <w:pPr>
        <w:shd w:val="clear"/>
        <w:rPr>
          <w:color w:val="auto"/>
          <w:highlight w:val="none"/>
        </w:rPr>
      </w:pPr>
      <w:r>
        <w:rPr>
          <w:rFonts w:hint="eastAsia"/>
          <w:color w:val="auto"/>
          <w:highlight w:val="none"/>
        </w:rPr>
        <w:t xml:space="preserve">Intel酷睿双核 i7-12代；RAM：16GB；硬盘：256G </w:t>
      </w:r>
      <w:r>
        <w:rPr>
          <w:color w:val="auto"/>
          <w:highlight w:val="none"/>
        </w:rPr>
        <w:t>SSD+</w:t>
      </w:r>
      <w:r>
        <w:rPr>
          <w:rFonts w:hint="eastAsia"/>
          <w:color w:val="auto"/>
          <w:highlight w:val="none"/>
        </w:rPr>
        <w:t>512G</w:t>
      </w:r>
      <w:r>
        <w:rPr>
          <w:color w:val="auto"/>
          <w:highlight w:val="none"/>
        </w:rPr>
        <w:t>机械硬盘</w:t>
      </w:r>
      <w:r>
        <w:rPr>
          <w:rFonts w:hint="eastAsia"/>
          <w:color w:val="auto"/>
          <w:highlight w:val="none"/>
        </w:rPr>
        <w:t>；键盘：美国标准101键盘；鼠标：标准；以太网卡：100/1000MB自适应；2</w:t>
      </w:r>
      <w:r>
        <w:rPr>
          <w:color w:val="auto"/>
          <w:highlight w:val="none"/>
        </w:rPr>
        <w:t>7</w:t>
      </w:r>
      <w:r>
        <w:rPr>
          <w:rFonts w:hint="eastAsia"/>
          <w:color w:val="auto"/>
          <w:highlight w:val="none"/>
        </w:rPr>
        <w:t xml:space="preserve">"显示器，分辨率为1920*1080；软件配置：WINDOWS 10中文版操作系统（正版授权）。 </w:t>
      </w:r>
    </w:p>
    <w:bookmarkEnd w:id="794"/>
    <w:bookmarkEnd w:id="795"/>
    <w:p w14:paraId="7B0216BF">
      <w:pPr>
        <w:shd w:val="clear"/>
        <w:rPr>
          <w:color w:val="auto"/>
          <w:highlight w:val="none"/>
        </w:rPr>
      </w:pPr>
      <w:r>
        <w:rPr>
          <w:color w:val="auto"/>
          <w:highlight w:val="none"/>
        </w:rPr>
        <w:t>操作台：不锈钢</w:t>
      </w:r>
      <w:r>
        <w:rPr>
          <w:rFonts w:hint="eastAsia"/>
          <w:color w:val="auto"/>
          <w:highlight w:val="none"/>
        </w:rPr>
        <w:t>台面</w:t>
      </w:r>
      <w:r>
        <w:rPr>
          <w:color w:val="auto"/>
          <w:highlight w:val="none"/>
        </w:rPr>
        <w:t>，操作台</w:t>
      </w:r>
      <w:r>
        <w:rPr>
          <w:rFonts w:hint="eastAsia"/>
          <w:color w:val="auto"/>
          <w:highlight w:val="none"/>
        </w:rPr>
        <w:t>建议</w:t>
      </w:r>
      <w:r>
        <w:rPr>
          <w:color w:val="auto"/>
          <w:highlight w:val="none"/>
        </w:rPr>
        <w:t>尺寸：高*宽*深=750*</w:t>
      </w:r>
      <w:r>
        <w:rPr>
          <w:rFonts w:hint="eastAsia"/>
          <w:color w:val="auto"/>
          <w:highlight w:val="none"/>
        </w:rPr>
        <w:t>8</w:t>
      </w:r>
      <w:r>
        <w:rPr>
          <w:color w:val="auto"/>
          <w:highlight w:val="none"/>
        </w:rPr>
        <w:t>00*1000（mm），每台</w:t>
      </w:r>
      <w:r>
        <w:rPr>
          <w:rFonts w:hint="eastAsia"/>
          <w:color w:val="auto"/>
          <w:highlight w:val="none"/>
        </w:rPr>
        <w:t>上位机</w:t>
      </w:r>
      <w:r>
        <w:rPr>
          <w:color w:val="auto"/>
          <w:highlight w:val="none"/>
        </w:rPr>
        <w:t>分配一台操作台，操作台内配相应的开关及三孔插座，配带座椅。</w:t>
      </w:r>
    </w:p>
    <w:p w14:paraId="00348EA2">
      <w:pPr>
        <w:shd w:val="clear"/>
        <w:ind w:firstLine="0" w:firstLineChars="0"/>
        <w:outlineLvl w:val="3"/>
        <w:rPr>
          <w:color w:val="auto"/>
          <w:highlight w:val="none"/>
        </w:rPr>
      </w:pPr>
      <w:r>
        <w:rPr>
          <w:rFonts w:hint="eastAsia"/>
          <w:color w:val="auto"/>
          <w:highlight w:val="none"/>
        </w:rPr>
        <w:t>9.2.3.3 DCS系统的软件</w:t>
      </w:r>
    </w:p>
    <w:p w14:paraId="00872BC0">
      <w:pPr>
        <w:pStyle w:val="74"/>
        <w:shd w:val="clear"/>
        <w:rPr>
          <w:color w:val="auto"/>
          <w:highlight w:val="none"/>
        </w:rPr>
      </w:pPr>
      <w:r>
        <w:rPr>
          <w:color w:val="auto"/>
          <w:highlight w:val="none"/>
        </w:rPr>
        <w:t>所有系统软件采用最新成熟版本，提供正版授权及授权证书，方便升级。工控软件与</w:t>
      </w:r>
      <w:r>
        <w:rPr>
          <w:rFonts w:hint="eastAsia"/>
          <w:color w:val="auto"/>
          <w:highlight w:val="none"/>
        </w:rPr>
        <w:t>D</w:t>
      </w:r>
      <w:r>
        <w:rPr>
          <w:color w:val="auto"/>
          <w:highlight w:val="none"/>
        </w:rPr>
        <w:t>CS硬件配套，根据工艺要求配置足够的正版授权。</w:t>
      </w:r>
      <w:r>
        <w:rPr>
          <w:rFonts w:hint="eastAsia"/>
          <w:color w:val="auto"/>
          <w:highlight w:val="none"/>
        </w:rPr>
        <w:t>D</w:t>
      </w:r>
      <w:r>
        <w:rPr>
          <w:color w:val="auto"/>
          <w:highlight w:val="none"/>
        </w:rPr>
        <w:t>CS系统配置OPC通讯软件，带正版</w:t>
      </w:r>
      <w:r>
        <w:rPr>
          <w:rFonts w:hint="eastAsia"/>
          <w:color w:val="auto"/>
          <w:highlight w:val="none"/>
        </w:rPr>
        <w:t>O</w:t>
      </w:r>
      <w:r>
        <w:rPr>
          <w:color w:val="auto"/>
          <w:highlight w:val="none"/>
        </w:rPr>
        <w:t>PC通讯授权，DCS与</w:t>
      </w:r>
      <w:r>
        <w:rPr>
          <w:rFonts w:hint="eastAsia"/>
          <w:color w:val="auto"/>
          <w:highlight w:val="none"/>
        </w:rPr>
        <w:t>P</w:t>
      </w:r>
      <w:r>
        <w:rPr>
          <w:color w:val="auto"/>
          <w:highlight w:val="none"/>
        </w:rPr>
        <w:t>LC系统、</w:t>
      </w:r>
      <w:r>
        <w:rPr>
          <w:rFonts w:hint="eastAsia"/>
          <w:color w:val="auto"/>
          <w:highlight w:val="none"/>
        </w:rPr>
        <w:t>L</w:t>
      </w:r>
      <w:r>
        <w:rPr>
          <w:color w:val="auto"/>
          <w:highlight w:val="none"/>
        </w:rPr>
        <w:t>2级系统等的通讯支持OPC协议。应用软件开放、不加密。</w:t>
      </w:r>
    </w:p>
    <w:p w14:paraId="5CD05F3A">
      <w:pPr>
        <w:shd w:val="clear"/>
        <w:ind w:firstLine="0" w:firstLineChars="0"/>
        <w:outlineLvl w:val="3"/>
        <w:rPr>
          <w:color w:val="auto"/>
          <w:highlight w:val="none"/>
        </w:rPr>
      </w:pPr>
      <w:r>
        <w:rPr>
          <w:rFonts w:hint="eastAsia"/>
          <w:color w:val="auto"/>
          <w:highlight w:val="none"/>
        </w:rPr>
        <w:t>9.2.3.4 DCS系统网络通讯</w:t>
      </w:r>
    </w:p>
    <w:p w14:paraId="652FD5F0">
      <w:pPr>
        <w:widowControl/>
        <w:shd w:val="clear"/>
        <w:rPr>
          <w:bCs/>
          <w:color w:val="auto"/>
          <w:highlight w:val="none"/>
        </w:rPr>
      </w:pPr>
      <w:r>
        <w:rPr>
          <w:color w:val="auto"/>
          <w:highlight w:val="none"/>
        </w:rPr>
        <w:t>DCS与DCS，</w:t>
      </w:r>
      <w:r>
        <w:rPr>
          <w:rFonts w:hint="eastAsia"/>
          <w:color w:val="auto"/>
          <w:highlight w:val="none"/>
        </w:rPr>
        <w:t>D</w:t>
      </w:r>
      <w:r>
        <w:rPr>
          <w:color w:val="auto"/>
          <w:highlight w:val="none"/>
        </w:rPr>
        <w:t>CS与</w:t>
      </w:r>
      <w:r>
        <w:rPr>
          <w:rFonts w:hint="eastAsia"/>
          <w:color w:val="auto"/>
          <w:highlight w:val="none"/>
        </w:rPr>
        <w:t>H</w:t>
      </w:r>
      <w:r>
        <w:rPr>
          <w:color w:val="auto"/>
          <w:highlight w:val="none"/>
        </w:rPr>
        <w:t>MI之间通过工业以太网网络进行通讯。DCS系统单独组网。</w:t>
      </w:r>
      <w:r>
        <w:rPr>
          <w:rFonts w:hint="eastAsia"/>
          <w:bCs/>
          <w:color w:val="auto"/>
          <w:highlight w:val="none"/>
        </w:rPr>
        <w:t>所有网络通讯设备选用工业级网络通讯设备。</w:t>
      </w:r>
      <w:r>
        <w:rPr>
          <w:color w:val="auto"/>
          <w:highlight w:val="none"/>
        </w:rPr>
        <w:t>交换机采用</w:t>
      </w:r>
      <w:r>
        <w:rPr>
          <w:bCs/>
          <w:color w:val="auto"/>
          <w:highlight w:val="none"/>
        </w:rPr>
        <w:t>工业级以太网交换机，支持光纤通讯，预留至少20% 的备用端口。</w:t>
      </w:r>
      <w:r>
        <w:rPr>
          <w:rFonts w:hint="eastAsia"/>
          <w:color w:val="auto"/>
          <w:highlight w:val="none"/>
        </w:rPr>
        <w:t>通讯距离＜80m的网络通讯物理介质采用</w:t>
      </w:r>
      <w:r>
        <w:rPr>
          <w:rFonts w:hint="eastAsia" w:ascii="Times New Roman"/>
          <w:color w:val="auto"/>
          <w:highlight w:val="none"/>
        </w:rPr>
        <w:t>七类屏蔽网线</w:t>
      </w:r>
      <w:r>
        <w:rPr>
          <w:rFonts w:hint="eastAsia"/>
          <w:color w:val="auto"/>
          <w:highlight w:val="none"/>
        </w:rPr>
        <w:t>，通讯距离＞80m的则采用光纤物理介质。</w:t>
      </w:r>
      <w:r>
        <w:rPr>
          <w:bCs/>
          <w:color w:val="auto"/>
          <w:highlight w:val="none"/>
        </w:rPr>
        <w:t>主干网采用单模光纤，芯数不少于4芯。光纤通讯</w:t>
      </w:r>
      <w:r>
        <w:rPr>
          <w:rFonts w:hint="eastAsia"/>
          <w:color w:val="auto"/>
          <w:highlight w:val="none"/>
        </w:rPr>
        <w:t>采用</w:t>
      </w:r>
      <w:r>
        <w:rPr>
          <w:bCs/>
          <w:color w:val="auto"/>
          <w:highlight w:val="none"/>
        </w:rPr>
        <w:t>工业级以太网光电交换机或</w:t>
      </w:r>
      <w:r>
        <w:rPr>
          <w:rFonts w:hint="eastAsia"/>
          <w:color w:val="auto"/>
          <w:highlight w:val="none"/>
        </w:rPr>
        <w:t>工业级光纤收发器进行传输，光纤跳线须标示清楚、线路整齐。</w:t>
      </w:r>
      <w:r>
        <w:rPr>
          <w:rFonts w:hint="eastAsia"/>
          <w:bCs/>
          <w:color w:val="auto"/>
          <w:highlight w:val="none"/>
        </w:rPr>
        <w:t>通讯线缆和动力电缆、交流信号线分开单独敷设。</w:t>
      </w:r>
    </w:p>
    <w:p w14:paraId="56198D28">
      <w:pPr>
        <w:shd w:val="clear"/>
        <w:ind w:firstLine="0" w:firstLineChars="0"/>
        <w:outlineLvl w:val="3"/>
        <w:rPr>
          <w:color w:val="auto"/>
          <w:highlight w:val="none"/>
        </w:rPr>
      </w:pPr>
      <w:r>
        <w:rPr>
          <w:rFonts w:hint="eastAsia"/>
          <w:color w:val="auto"/>
          <w:highlight w:val="none"/>
        </w:rPr>
        <w:t>9.2.3.5 DCS系统UPS电源</w:t>
      </w:r>
    </w:p>
    <w:p w14:paraId="73222D30">
      <w:pPr>
        <w:shd w:val="clear"/>
        <w:rPr>
          <w:color w:val="auto"/>
          <w:highlight w:val="none"/>
        </w:rPr>
      </w:pPr>
      <w:r>
        <w:rPr>
          <w:rFonts w:hint="eastAsia"/>
          <w:color w:val="auto"/>
          <w:highlight w:val="none"/>
        </w:rPr>
        <w:t>D</w:t>
      </w:r>
      <w:r>
        <w:rPr>
          <w:color w:val="auto"/>
          <w:highlight w:val="none"/>
        </w:rPr>
        <w:t>CS、上位机、交换机等所有自动化设备均采用UPS不间断电源供电</w:t>
      </w:r>
      <w:r>
        <w:rPr>
          <w:rFonts w:hint="eastAsia"/>
          <w:color w:val="auto"/>
          <w:highlight w:val="none"/>
        </w:rPr>
        <w:t>。</w:t>
      </w:r>
      <w:r>
        <w:rPr>
          <w:color w:val="auto"/>
          <w:highlight w:val="none"/>
        </w:rPr>
        <w:t>UPS</w:t>
      </w:r>
      <w:r>
        <w:rPr>
          <w:rFonts w:hint="eastAsia"/>
          <w:color w:val="auto"/>
          <w:highlight w:val="none"/>
        </w:rPr>
        <w:t>选用国产知名品牌工业工频机，后备时间</w:t>
      </w:r>
      <w:r>
        <w:rPr>
          <w:color w:val="auto"/>
          <w:highlight w:val="none"/>
        </w:rPr>
        <w:t>不少于30min</w:t>
      </w:r>
      <w:r>
        <w:rPr>
          <w:rFonts w:hint="eastAsia"/>
          <w:color w:val="auto"/>
          <w:highlight w:val="none"/>
        </w:rPr>
        <w:t>，正常运行</w:t>
      </w:r>
      <w:r>
        <w:rPr>
          <w:color w:val="auto"/>
          <w:highlight w:val="none"/>
        </w:rPr>
        <w:t>情况下UPS负载率不大于50%</w:t>
      </w:r>
      <w:r>
        <w:rPr>
          <w:rFonts w:hint="eastAsia"/>
          <w:color w:val="auto"/>
          <w:highlight w:val="none"/>
        </w:rPr>
        <w:t>，配带免维护密封蓄电池。</w:t>
      </w:r>
    </w:p>
    <w:p w14:paraId="7B78AF02">
      <w:pPr>
        <w:shd w:val="clear"/>
        <w:ind w:firstLine="0" w:firstLineChars="0"/>
        <w:jc w:val="center"/>
        <w:rPr>
          <w:color w:val="auto"/>
          <w:highlight w:val="none"/>
        </w:rPr>
      </w:pPr>
      <w:r>
        <w:rPr>
          <w:rFonts w:hint="eastAsia"/>
          <w:color w:val="auto"/>
          <w:highlight w:val="none"/>
        </w:rPr>
        <w:t xml:space="preserve">表 9-2  </w:t>
      </w:r>
      <w:r>
        <w:rPr>
          <w:color w:val="auto"/>
          <w:highlight w:val="none"/>
        </w:rPr>
        <w:t>2#高炉DCS控制系统</w:t>
      </w:r>
      <w:r>
        <w:rPr>
          <w:rFonts w:hint="eastAsia"/>
          <w:color w:val="auto"/>
          <w:highlight w:val="none"/>
        </w:rPr>
        <w:t>UPS电源设置表</w:t>
      </w:r>
    </w:p>
    <w:tbl>
      <w:tblPr>
        <w:tblStyle w:val="60"/>
        <w:tblW w:w="903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7"/>
        <w:gridCol w:w="2410"/>
        <w:gridCol w:w="3402"/>
        <w:gridCol w:w="1276"/>
        <w:gridCol w:w="1134"/>
      </w:tblGrid>
      <w:tr w14:paraId="3E7639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4" w:hRule="atLeast"/>
          <w:tblHeader/>
        </w:trPr>
        <w:tc>
          <w:tcPr>
            <w:tcW w:w="817" w:type="dxa"/>
            <w:tcBorders>
              <w:top w:val="single" w:color="auto" w:sz="12" w:space="0"/>
              <w:left w:val="single" w:color="auto" w:sz="12" w:space="0"/>
              <w:bottom w:val="single" w:color="auto" w:sz="6" w:space="0"/>
              <w:right w:val="single" w:color="auto" w:sz="6" w:space="0"/>
            </w:tcBorders>
            <w:vAlign w:val="center"/>
          </w:tcPr>
          <w:p w14:paraId="18CB2BB2">
            <w:pPr>
              <w:shd w:val="clear"/>
              <w:ind w:firstLine="0" w:firstLineChars="0"/>
              <w:jc w:val="center"/>
              <w:rPr>
                <w:color w:val="auto"/>
                <w:highlight w:val="none"/>
              </w:rPr>
            </w:pPr>
            <w:r>
              <w:rPr>
                <w:rFonts w:hint="eastAsia"/>
                <w:color w:val="auto"/>
                <w:highlight w:val="none"/>
              </w:rPr>
              <w:t>序号</w:t>
            </w:r>
          </w:p>
        </w:tc>
        <w:tc>
          <w:tcPr>
            <w:tcW w:w="2410" w:type="dxa"/>
            <w:tcBorders>
              <w:top w:val="single" w:color="auto" w:sz="12" w:space="0"/>
              <w:left w:val="single" w:color="auto" w:sz="6" w:space="0"/>
              <w:bottom w:val="single" w:color="auto" w:sz="6" w:space="0"/>
              <w:right w:val="single" w:color="auto" w:sz="6" w:space="0"/>
            </w:tcBorders>
            <w:vAlign w:val="center"/>
          </w:tcPr>
          <w:p w14:paraId="08094B0A">
            <w:pPr>
              <w:shd w:val="clear"/>
              <w:ind w:firstLine="0" w:firstLineChars="0"/>
              <w:jc w:val="center"/>
              <w:rPr>
                <w:color w:val="auto"/>
                <w:highlight w:val="none"/>
              </w:rPr>
            </w:pPr>
            <w:r>
              <w:rPr>
                <w:rFonts w:hint="eastAsia"/>
                <w:color w:val="auto"/>
                <w:highlight w:val="none"/>
              </w:rPr>
              <w:t>控制系统名称</w:t>
            </w:r>
          </w:p>
        </w:tc>
        <w:tc>
          <w:tcPr>
            <w:tcW w:w="3402" w:type="dxa"/>
            <w:tcBorders>
              <w:top w:val="single" w:color="auto" w:sz="12" w:space="0"/>
              <w:left w:val="single" w:color="auto" w:sz="6" w:space="0"/>
              <w:bottom w:val="single" w:color="auto" w:sz="6" w:space="0"/>
              <w:right w:val="single" w:color="auto" w:sz="6" w:space="0"/>
            </w:tcBorders>
            <w:vAlign w:val="center"/>
          </w:tcPr>
          <w:p w14:paraId="6C55FD77">
            <w:pPr>
              <w:shd w:val="clear"/>
              <w:ind w:firstLine="0" w:firstLineChars="0"/>
              <w:jc w:val="center"/>
              <w:rPr>
                <w:color w:val="auto"/>
                <w:highlight w:val="none"/>
              </w:rPr>
            </w:pPr>
            <w:r>
              <w:rPr>
                <w:rFonts w:hint="eastAsia"/>
                <w:color w:val="auto"/>
                <w:highlight w:val="none"/>
              </w:rPr>
              <w:t>配置水平</w:t>
            </w:r>
          </w:p>
        </w:tc>
        <w:tc>
          <w:tcPr>
            <w:tcW w:w="1276" w:type="dxa"/>
            <w:tcBorders>
              <w:top w:val="single" w:color="auto" w:sz="12" w:space="0"/>
              <w:left w:val="single" w:color="auto" w:sz="6" w:space="0"/>
              <w:bottom w:val="single" w:color="auto" w:sz="6" w:space="0"/>
              <w:right w:val="single" w:color="auto" w:sz="6" w:space="0"/>
            </w:tcBorders>
          </w:tcPr>
          <w:p w14:paraId="61F635B8">
            <w:pPr>
              <w:shd w:val="clear"/>
              <w:ind w:firstLine="0" w:firstLineChars="0"/>
              <w:jc w:val="center"/>
              <w:rPr>
                <w:color w:val="auto"/>
                <w:highlight w:val="none"/>
              </w:rPr>
            </w:pPr>
            <w:r>
              <w:rPr>
                <w:rFonts w:hint="eastAsia"/>
                <w:color w:val="auto"/>
                <w:highlight w:val="none"/>
              </w:rPr>
              <w:t>数量（套）</w:t>
            </w:r>
          </w:p>
        </w:tc>
        <w:tc>
          <w:tcPr>
            <w:tcW w:w="1134" w:type="dxa"/>
            <w:tcBorders>
              <w:top w:val="single" w:color="auto" w:sz="12" w:space="0"/>
              <w:left w:val="single" w:color="auto" w:sz="6" w:space="0"/>
              <w:bottom w:val="single" w:color="auto" w:sz="6" w:space="0"/>
              <w:right w:val="single" w:color="auto" w:sz="12" w:space="0"/>
            </w:tcBorders>
            <w:vAlign w:val="center"/>
          </w:tcPr>
          <w:p w14:paraId="356B89E3">
            <w:pPr>
              <w:shd w:val="clear"/>
              <w:ind w:firstLine="0" w:firstLineChars="0"/>
              <w:jc w:val="center"/>
              <w:rPr>
                <w:color w:val="auto"/>
                <w:highlight w:val="none"/>
              </w:rPr>
            </w:pPr>
            <w:r>
              <w:rPr>
                <w:rFonts w:hint="eastAsia"/>
                <w:color w:val="auto"/>
                <w:highlight w:val="none"/>
              </w:rPr>
              <w:t>备注</w:t>
            </w:r>
          </w:p>
        </w:tc>
      </w:tr>
      <w:tr w14:paraId="3E4BEA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4" w:hRule="atLeast"/>
        </w:trPr>
        <w:tc>
          <w:tcPr>
            <w:tcW w:w="817" w:type="dxa"/>
            <w:tcBorders>
              <w:top w:val="single" w:color="auto" w:sz="6" w:space="0"/>
              <w:left w:val="single" w:color="auto" w:sz="12" w:space="0"/>
              <w:bottom w:val="single" w:color="auto" w:sz="6" w:space="0"/>
              <w:right w:val="single" w:color="auto" w:sz="6" w:space="0"/>
            </w:tcBorders>
            <w:vAlign w:val="center"/>
          </w:tcPr>
          <w:p w14:paraId="7696A783">
            <w:pPr>
              <w:shd w:val="clear"/>
              <w:ind w:firstLine="0" w:firstLineChars="0"/>
              <w:jc w:val="center"/>
              <w:rPr>
                <w:color w:val="auto"/>
                <w:highlight w:val="none"/>
              </w:rPr>
            </w:pPr>
            <w:r>
              <w:rPr>
                <w:color w:val="auto"/>
                <w:highlight w:val="none"/>
              </w:rPr>
              <w:t>1</w:t>
            </w:r>
          </w:p>
        </w:tc>
        <w:tc>
          <w:tcPr>
            <w:tcW w:w="2410" w:type="dxa"/>
            <w:tcBorders>
              <w:top w:val="single" w:color="auto" w:sz="6" w:space="0"/>
              <w:left w:val="single" w:color="auto" w:sz="6" w:space="0"/>
              <w:bottom w:val="single" w:color="auto" w:sz="6" w:space="0"/>
              <w:right w:val="single" w:color="auto" w:sz="6" w:space="0"/>
            </w:tcBorders>
            <w:vAlign w:val="center"/>
          </w:tcPr>
          <w:p w14:paraId="17CA66F4">
            <w:pPr>
              <w:pStyle w:val="145"/>
              <w:shd w:val="clear"/>
              <w:rPr>
                <w:rFonts w:cs="Arial"/>
                <w:color w:val="auto"/>
                <w:szCs w:val="24"/>
                <w:highlight w:val="none"/>
              </w:rPr>
            </w:pPr>
            <w:bookmarkStart w:id="796" w:name="_Toc30295"/>
            <w:r>
              <w:rPr>
                <w:rFonts w:hint="eastAsia"/>
                <w:color w:val="auto"/>
                <w:szCs w:val="24"/>
                <w:highlight w:val="none"/>
              </w:rPr>
              <w:t>出铁场除尘</w:t>
            </w:r>
            <w:r>
              <w:rPr>
                <w:rFonts w:hint="eastAsia" w:cs="Arial"/>
                <w:color w:val="auto"/>
                <w:szCs w:val="24"/>
                <w:highlight w:val="none"/>
              </w:rPr>
              <w:t>UPS</w:t>
            </w:r>
            <w:bookmarkEnd w:id="796"/>
          </w:p>
        </w:tc>
        <w:tc>
          <w:tcPr>
            <w:tcW w:w="3402" w:type="dxa"/>
            <w:tcBorders>
              <w:top w:val="single" w:color="auto" w:sz="6" w:space="0"/>
              <w:left w:val="single" w:color="auto" w:sz="6" w:space="0"/>
              <w:bottom w:val="single" w:color="auto" w:sz="6" w:space="0"/>
              <w:right w:val="single" w:color="auto" w:sz="6" w:space="0"/>
            </w:tcBorders>
            <w:vAlign w:val="center"/>
          </w:tcPr>
          <w:p w14:paraId="658AFAC0">
            <w:pPr>
              <w:pStyle w:val="145"/>
              <w:shd w:val="clear"/>
              <w:rPr>
                <w:rFonts w:cs="Arial"/>
                <w:color w:val="auto"/>
                <w:szCs w:val="24"/>
                <w:highlight w:val="none"/>
              </w:rPr>
            </w:pPr>
            <w:bookmarkStart w:id="797" w:name="_Toc14991"/>
            <w:r>
              <w:rPr>
                <w:rFonts w:cs="Arial"/>
                <w:color w:val="auto"/>
                <w:szCs w:val="24"/>
                <w:highlight w:val="none"/>
              </w:rPr>
              <w:t>6</w:t>
            </w:r>
            <w:r>
              <w:rPr>
                <w:rFonts w:hint="eastAsia" w:cs="Arial"/>
                <w:color w:val="auto"/>
                <w:szCs w:val="24"/>
                <w:highlight w:val="none"/>
              </w:rPr>
              <w:t>KVA，3</w:t>
            </w:r>
            <w:r>
              <w:rPr>
                <w:rFonts w:cs="Arial"/>
                <w:color w:val="auto"/>
                <w:szCs w:val="24"/>
                <w:highlight w:val="none"/>
              </w:rPr>
              <w:t>0分钟</w:t>
            </w:r>
            <w:r>
              <w:rPr>
                <w:rFonts w:hint="eastAsia" w:cs="Arial"/>
                <w:color w:val="auto"/>
                <w:szCs w:val="24"/>
                <w:highlight w:val="none"/>
              </w:rPr>
              <w:t xml:space="preserve"> </w:t>
            </w:r>
            <w:bookmarkEnd w:id="797"/>
          </w:p>
        </w:tc>
        <w:tc>
          <w:tcPr>
            <w:tcW w:w="1276" w:type="dxa"/>
            <w:tcBorders>
              <w:top w:val="single" w:color="auto" w:sz="6" w:space="0"/>
              <w:left w:val="single" w:color="auto" w:sz="6" w:space="0"/>
              <w:bottom w:val="single" w:color="auto" w:sz="6" w:space="0"/>
              <w:right w:val="single" w:color="auto" w:sz="6" w:space="0"/>
            </w:tcBorders>
          </w:tcPr>
          <w:p w14:paraId="2013887D">
            <w:pPr>
              <w:shd w:val="clear"/>
              <w:ind w:firstLine="0" w:firstLineChars="0"/>
              <w:jc w:val="center"/>
              <w:rPr>
                <w:color w:val="auto"/>
                <w:highlight w:val="none"/>
              </w:rPr>
            </w:pPr>
            <w:r>
              <w:rPr>
                <w:rFonts w:hint="eastAsia"/>
                <w:color w:val="auto"/>
                <w:highlight w:val="none"/>
              </w:rPr>
              <w:t>1</w:t>
            </w:r>
          </w:p>
        </w:tc>
        <w:tc>
          <w:tcPr>
            <w:tcW w:w="1134" w:type="dxa"/>
            <w:tcBorders>
              <w:top w:val="single" w:color="auto" w:sz="6" w:space="0"/>
              <w:left w:val="single" w:color="auto" w:sz="6" w:space="0"/>
              <w:bottom w:val="single" w:color="auto" w:sz="6" w:space="0"/>
              <w:right w:val="single" w:color="auto" w:sz="12" w:space="0"/>
            </w:tcBorders>
            <w:vAlign w:val="bottom"/>
          </w:tcPr>
          <w:p w14:paraId="383EF56E">
            <w:pPr>
              <w:shd w:val="clear"/>
              <w:ind w:firstLine="0" w:firstLineChars="0"/>
              <w:jc w:val="center"/>
              <w:rPr>
                <w:color w:val="auto"/>
                <w:highlight w:val="none"/>
              </w:rPr>
            </w:pPr>
          </w:p>
        </w:tc>
      </w:tr>
      <w:tr w14:paraId="1E39A2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4" w:hRule="atLeast"/>
        </w:trPr>
        <w:tc>
          <w:tcPr>
            <w:tcW w:w="817" w:type="dxa"/>
            <w:tcBorders>
              <w:top w:val="single" w:color="auto" w:sz="6" w:space="0"/>
              <w:left w:val="single" w:color="auto" w:sz="12" w:space="0"/>
              <w:bottom w:val="single" w:color="auto" w:sz="6" w:space="0"/>
              <w:right w:val="single" w:color="auto" w:sz="6" w:space="0"/>
            </w:tcBorders>
            <w:vAlign w:val="center"/>
          </w:tcPr>
          <w:p w14:paraId="6E271BAD">
            <w:pPr>
              <w:shd w:val="clear"/>
              <w:ind w:firstLine="0" w:firstLineChars="0"/>
              <w:jc w:val="center"/>
              <w:rPr>
                <w:color w:val="auto"/>
                <w:highlight w:val="none"/>
              </w:rPr>
            </w:pPr>
            <w:r>
              <w:rPr>
                <w:color w:val="auto"/>
                <w:highlight w:val="none"/>
              </w:rPr>
              <w:t>2</w:t>
            </w:r>
          </w:p>
        </w:tc>
        <w:tc>
          <w:tcPr>
            <w:tcW w:w="2410" w:type="dxa"/>
            <w:tcBorders>
              <w:top w:val="single" w:color="auto" w:sz="6" w:space="0"/>
              <w:left w:val="single" w:color="auto" w:sz="6" w:space="0"/>
              <w:bottom w:val="single" w:color="auto" w:sz="6" w:space="0"/>
              <w:right w:val="single" w:color="auto" w:sz="6" w:space="0"/>
            </w:tcBorders>
            <w:vAlign w:val="center"/>
          </w:tcPr>
          <w:p w14:paraId="60AAA909">
            <w:pPr>
              <w:pStyle w:val="145"/>
              <w:shd w:val="clear"/>
              <w:rPr>
                <w:rFonts w:cs="Arial"/>
                <w:color w:val="auto"/>
                <w:szCs w:val="24"/>
                <w:highlight w:val="none"/>
              </w:rPr>
            </w:pPr>
            <w:bookmarkStart w:id="798" w:name="OLE_LINK27"/>
            <w:bookmarkStart w:id="799" w:name="_Toc14304"/>
            <w:r>
              <w:rPr>
                <w:rFonts w:hint="eastAsia"/>
                <w:color w:val="auto"/>
                <w:szCs w:val="24"/>
                <w:highlight w:val="none"/>
              </w:rPr>
              <w:t>矿槽除尘</w:t>
            </w:r>
            <w:bookmarkEnd w:id="798"/>
            <w:r>
              <w:rPr>
                <w:rFonts w:hint="eastAsia" w:cs="Arial"/>
                <w:color w:val="auto"/>
                <w:szCs w:val="24"/>
                <w:highlight w:val="none"/>
              </w:rPr>
              <w:t>UPS</w:t>
            </w:r>
            <w:bookmarkEnd w:id="799"/>
          </w:p>
        </w:tc>
        <w:tc>
          <w:tcPr>
            <w:tcW w:w="3402" w:type="dxa"/>
            <w:tcBorders>
              <w:top w:val="single" w:color="auto" w:sz="6" w:space="0"/>
              <w:left w:val="single" w:color="auto" w:sz="6" w:space="0"/>
              <w:bottom w:val="single" w:color="auto" w:sz="6" w:space="0"/>
              <w:right w:val="single" w:color="auto" w:sz="6" w:space="0"/>
            </w:tcBorders>
            <w:vAlign w:val="center"/>
          </w:tcPr>
          <w:p w14:paraId="70DC9739">
            <w:pPr>
              <w:pStyle w:val="145"/>
              <w:shd w:val="clear"/>
              <w:rPr>
                <w:rFonts w:cs="Arial"/>
                <w:color w:val="auto"/>
                <w:szCs w:val="24"/>
                <w:highlight w:val="none"/>
              </w:rPr>
            </w:pPr>
            <w:bookmarkStart w:id="800" w:name="_Toc24098"/>
            <w:r>
              <w:rPr>
                <w:rFonts w:cs="Arial"/>
                <w:color w:val="auto"/>
                <w:szCs w:val="24"/>
                <w:highlight w:val="none"/>
              </w:rPr>
              <w:t>6</w:t>
            </w:r>
            <w:r>
              <w:rPr>
                <w:rFonts w:hint="eastAsia" w:cs="Arial"/>
                <w:color w:val="auto"/>
                <w:szCs w:val="24"/>
                <w:highlight w:val="none"/>
              </w:rPr>
              <w:t>KVA，3</w:t>
            </w:r>
            <w:r>
              <w:rPr>
                <w:rFonts w:cs="Arial"/>
                <w:color w:val="auto"/>
                <w:szCs w:val="24"/>
                <w:highlight w:val="none"/>
              </w:rPr>
              <w:t>0分钟</w:t>
            </w:r>
            <w:bookmarkEnd w:id="800"/>
          </w:p>
        </w:tc>
        <w:tc>
          <w:tcPr>
            <w:tcW w:w="1276" w:type="dxa"/>
            <w:tcBorders>
              <w:top w:val="single" w:color="auto" w:sz="6" w:space="0"/>
              <w:left w:val="single" w:color="auto" w:sz="6" w:space="0"/>
              <w:bottom w:val="single" w:color="auto" w:sz="6" w:space="0"/>
              <w:right w:val="single" w:color="auto" w:sz="6" w:space="0"/>
            </w:tcBorders>
          </w:tcPr>
          <w:p w14:paraId="47EEE239">
            <w:pPr>
              <w:shd w:val="clear"/>
              <w:ind w:firstLine="0" w:firstLineChars="0"/>
              <w:jc w:val="center"/>
              <w:rPr>
                <w:color w:val="auto"/>
                <w:highlight w:val="none"/>
              </w:rPr>
            </w:pPr>
            <w:r>
              <w:rPr>
                <w:rFonts w:hint="eastAsia"/>
                <w:color w:val="auto"/>
                <w:highlight w:val="none"/>
              </w:rPr>
              <w:t>1</w:t>
            </w:r>
          </w:p>
        </w:tc>
        <w:tc>
          <w:tcPr>
            <w:tcW w:w="1134" w:type="dxa"/>
            <w:tcBorders>
              <w:top w:val="single" w:color="auto" w:sz="6" w:space="0"/>
              <w:left w:val="single" w:color="auto" w:sz="6" w:space="0"/>
              <w:bottom w:val="single" w:color="auto" w:sz="6" w:space="0"/>
              <w:right w:val="single" w:color="auto" w:sz="12" w:space="0"/>
            </w:tcBorders>
            <w:vAlign w:val="bottom"/>
          </w:tcPr>
          <w:p w14:paraId="6D3E628D">
            <w:pPr>
              <w:shd w:val="clear"/>
              <w:ind w:firstLine="0" w:firstLineChars="0"/>
              <w:jc w:val="center"/>
              <w:rPr>
                <w:color w:val="auto"/>
                <w:highlight w:val="none"/>
              </w:rPr>
            </w:pPr>
          </w:p>
        </w:tc>
      </w:tr>
      <w:tr w14:paraId="342258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4" w:hRule="atLeast"/>
        </w:trPr>
        <w:tc>
          <w:tcPr>
            <w:tcW w:w="817" w:type="dxa"/>
            <w:tcBorders>
              <w:top w:val="single" w:color="auto" w:sz="6" w:space="0"/>
              <w:left w:val="single" w:color="auto" w:sz="12" w:space="0"/>
              <w:bottom w:val="single" w:color="auto" w:sz="6" w:space="0"/>
              <w:right w:val="single" w:color="auto" w:sz="6" w:space="0"/>
            </w:tcBorders>
            <w:vAlign w:val="center"/>
          </w:tcPr>
          <w:p w14:paraId="1DF5668B">
            <w:pPr>
              <w:shd w:val="clear"/>
              <w:ind w:firstLine="0" w:firstLineChars="0"/>
              <w:jc w:val="center"/>
              <w:rPr>
                <w:color w:val="auto"/>
                <w:highlight w:val="none"/>
              </w:rPr>
            </w:pPr>
            <w:r>
              <w:rPr>
                <w:rFonts w:hint="eastAsia"/>
                <w:color w:val="auto"/>
                <w:highlight w:val="none"/>
              </w:rPr>
              <w:t>3</w:t>
            </w:r>
          </w:p>
        </w:tc>
        <w:tc>
          <w:tcPr>
            <w:tcW w:w="2410" w:type="dxa"/>
            <w:tcBorders>
              <w:top w:val="single" w:color="auto" w:sz="6" w:space="0"/>
              <w:left w:val="single" w:color="auto" w:sz="6" w:space="0"/>
              <w:bottom w:val="single" w:color="auto" w:sz="6" w:space="0"/>
              <w:right w:val="single" w:color="auto" w:sz="6" w:space="0"/>
            </w:tcBorders>
            <w:vAlign w:val="center"/>
          </w:tcPr>
          <w:p w14:paraId="40CFDD6C">
            <w:pPr>
              <w:pStyle w:val="145"/>
              <w:shd w:val="clear"/>
              <w:rPr>
                <w:rFonts w:cs="Arial"/>
                <w:color w:val="auto"/>
                <w:szCs w:val="24"/>
                <w:highlight w:val="none"/>
              </w:rPr>
            </w:pPr>
            <w:bookmarkStart w:id="801" w:name="_Toc1389"/>
            <w:r>
              <w:rPr>
                <w:rFonts w:hint="eastAsia"/>
                <w:color w:val="auto"/>
                <w:szCs w:val="24"/>
                <w:highlight w:val="none"/>
              </w:rPr>
              <w:t>地沟除尘</w:t>
            </w:r>
            <w:r>
              <w:rPr>
                <w:rFonts w:hint="eastAsia" w:cs="Arial"/>
                <w:color w:val="auto"/>
                <w:szCs w:val="24"/>
                <w:highlight w:val="none"/>
              </w:rPr>
              <w:t>UPS</w:t>
            </w:r>
            <w:bookmarkEnd w:id="801"/>
          </w:p>
        </w:tc>
        <w:tc>
          <w:tcPr>
            <w:tcW w:w="3402" w:type="dxa"/>
            <w:tcBorders>
              <w:top w:val="single" w:color="auto" w:sz="6" w:space="0"/>
              <w:left w:val="single" w:color="auto" w:sz="6" w:space="0"/>
              <w:bottom w:val="single" w:color="auto" w:sz="6" w:space="0"/>
              <w:right w:val="single" w:color="auto" w:sz="6" w:space="0"/>
            </w:tcBorders>
            <w:vAlign w:val="center"/>
          </w:tcPr>
          <w:p w14:paraId="1CAF4DF6">
            <w:pPr>
              <w:pStyle w:val="145"/>
              <w:shd w:val="clear"/>
              <w:rPr>
                <w:rFonts w:cs="Arial"/>
                <w:color w:val="auto"/>
                <w:szCs w:val="24"/>
                <w:highlight w:val="none"/>
              </w:rPr>
            </w:pPr>
            <w:bookmarkStart w:id="802" w:name="_Toc9035"/>
            <w:r>
              <w:rPr>
                <w:rFonts w:cs="Arial"/>
                <w:color w:val="auto"/>
                <w:szCs w:val="24"/>
                <w:highlight w:val="none"/>
              </w:rPr>
              <w:t>6</w:t>
            </w:r>
            <w:r>
              <w:rPr>
                <w:rFonts w:hint="eastAsia" w:cs="Arial"/>
                <w:color w:val="auto"/>
                <w:szCs w:val="24"/>
                <w:highlight w:val="none"/>
              </w:rPr>
              <w:t>KVA，3</w:t>
            </w:r>
            <w:r>
              <w:rPr>
                <w:rFonts w:cs="Arial"/>
                <w:color w:val="auto"/>
                <w:szCs w:val="24"/>
                <w:highlight w:val="none"/>
              </w:rPr>
              <w:t>0分钟</w:t>
            </w:r>
            <w:r>
              <w:rPr>
                <w:rFonts w:hint="eastAsia" w:cs="Arial"/>
                <w:color w:val="auto"/>
                <w:szCs w:val="24"/>
                <w:highlight w:val="none"/>
              </w:rPr>
              <w:t xml:space="preserve"> </w:t>
            </w:r>
            <w:bookmarkEnd w:id="802"/>
          </w:p>
        </w:tc>
        <w:tc>
          <w:tcPr>
            <w:tcW w:w="1276" w:type="dxa"/>
            <w:tcBorders>
              <w:top w:val="single" w:color="auto" w:sz="6" w:space="0"/>
              <w:left w:val="single" w:color="auto" w:sz="6" w:space="0"/>
              <w:bottom w:val="single" w:color="auto" w:sz="6" w:space="0"/>
              <w:right w:val="single" w:color="auto" w:sz="6" w:space="0"/>
            </w:tcBorders>
          </w:tcPr>
          <w:p w14:paraId="71428DFA">
            <w:pPr>
              <w:shd w:val="clear"/>
              <w:ind w:firstLine="0" w:firstLineChars="0"/>
              <w:jc w:val="center"/>
              <w:rPr>
                <w:color w:val="auto"/>
                <w:highlight w:val="none"/>
              </w:rPr>
            </w:pPr>
            <w:r>
              <w:rPr>
                <w:rFonts w:hint="eastAsia"/>
                <w:color w:val="auto"/>
                <w:highlight w:val="none"/>
              </w:rPr>
              <w:t>1</w:t>
            </w:r>
          </w:p>
        </w:tc>
        <w:tc>
          <w:tcPr>
            <w:tcW w:w="1134" w:type="dxa"/>
            <w:tcBorders>
              <w:top w:val="single" w:color="auto" w:sz="6" w:space="0"/>
              <w:left w:val="single" w:color="auto" w:sz="6" w:space="0"/>
              <w:bottom w:val="single" w:color="auto" w:sz="6" w:space="0"/>
              <w:right w:val="single" w:color="auto" w:sz="12" w:space="0"/>
            </w:tcBorders>
            <w:vAlign w:val="bottom"/>
          </w:tcPr>
          <w:p w14:paraId="6D6C19EC">
            <w:pPr>
              <w:shd w:val="clear"/>
              <w:ind w:firstLine="0" w:firstLineChars="0"/>
              <w:jc w:val="center"/>
              <w:rPr>
                <w:color w:val="auto"/>
                <w:highlight w:val="none"/>
              </w:rPr>
            </w:pPr>
          </w:p>
        </w:tc>
      </w:tr>
    </w:tbl>
    <w:p w14:paraId="60D0F5DC">
      <w:pPr>
        <w:shd w:val="clear"/>
        <w:spacing w:line="336" w:lineRule="auto"/>
        <w:ind w:firstLine="0" w:firstLineChars="0"/>
        <w:rPr>
          <w:color w:val="auto"/>
          <w:highlight w:val="none"/>
        </w:rPr>
      </w:pPr>
    </w:p>
    <w:p w14:paraId="588E5D17">
      <w:pPr>
        <w:shd w:val="clear"/>
        <w:ind w:firstLine="0" w:firstLineChars="0"/>
        <w:outlineLvl w:val="3"/>
        <w:rPr>
          <w:color w:val="auto"/>
          <w:highlight w:val="none"/>
        </w:rPr>
      </w:pPr>
      <w:r>
        <w:rPr>
          <w:rFonts w:hint="eastAsia"/>
          <w:color w:val="auto"/>
          <w:highlight w:val="none"/>
        </w:rPr>
        <w:t>9.2.3.6 DCS系统的电源及接地</w:t>
      </w:r>
    </w:p>
    <w:p w14:paraId="1566C57C">
      <w:pPr>
        <w:shd w:val="clear"/>
        <w:rPr>
          <w:color w:val="auto"/>
          <w:highlight w:val="none"/>
        </w:rPr>
      </w:pPr>
      <w:r>
        <w:rPr>
          <w:rFonts w:hint="eastAsia"/>
          <w:color w:val="auto"/>
          <w:highlight w:val="none"/>
        </w:rPr>
        <w:t>由电气系统提供两路电源，一路交流3</w:t>
      </w:r>
      <w:r>
        <w:rPr>
          <w:color w:val="auto"/>
          <w:highlight w:val="none"/>
        </w:rPr>
        <w:t>80V或</w:t>
      </w:r>
      <w:r>
        <w:rPr>
          <w:rFonts w:hint="eastAsia"/>
          <w:color w:val="auto"/>
          <w:highlight w:val="none"/>
        </w:rPr>
        <w:t>2</w:t>
      </w:r>
      <w:r>
        <w:rPr>
          <w:color w:val="auto"/>
          <w:highlight w:val="none"/>
        </w:rPr>
        <w:t>20V电源接入</w:t>
      </w:r>
      <w:r>
        <w:rPr>
          <w:rFonts w:hint="eastAsia"/>
          <w:color w:val="auto"/>
          <w:highlight w:val="none"/>
        </w:rPr>
        <w:t>U</w:t>
      </w:r>
      <w:r>
        <w:rPr>
          <w:color w:val="auto"/>
          <w:highlight w:val="none"/>
        </w:rPr>
        <w:t>PS，另一路</w:t>
      </w:r>
      <w:r>
        <w:rPr>
          <w:rFonts w:hint="eastAsia"/>
          <w:color w:val="auto"/>
          <w:highlight w:val="none"/>
        </w:rPr>
        <w:t>交流 2</w:t>
      </w:r>
      <w:r>
        <w:rPr>
          <w:color w:val="auto"/>
          <w:highlight w:val="none"/>
        </w:rPr>
        <w:t>20V电源直接接入</w:t>
      </w:r>
      <w:r>
        <w:rPr>
          <w:rFonts w:hint="eastAsia"/>
          <w:color w:val="auto"/>
          <w:highlight w:val="none"/>
        </w:rPr>
        <w:t>D</w:t>
      </w:r>
      <w:r>
        <w:rPr>
          <w:color w:val="auto"/>
          <w:highlight w:val="none"/>
        </w:rPr>
        <w:t>CS柜。</w:t>
      </w:r>
      <w:r>
        <w:rPr>
          <w:rFonts w:hint="eastAsia"/>
          <w:color w:val="auto"/>
          <w:highlight w:val="none"/>
        </w:rPr>
        <w:t>DCS模块和外部仪表设备的24V电源分开设置。仪表24V电源采用双电源冗余方式，电源系统实现无扰动切换。</w:t>
      </w:r>
    </w:p>
    <w:p w14:paraId="7973493C">
      <w:pPr>
        <w:shd w:val="clear"/>
        <w:rPr>
          <w:color w:val="auto"/>
          <w:highlight w:val="none"/>
        </w:rPr>
      </w:pPr>
      <w:bookmarkStart w:id="803" w:name="OLE_LINK7"/>
      <w:bookmarkStart w:id="804" w:name="OLE_LINK8"/>
      <w:r>
        <w:rPr>
          <w:rFonts w:hint="eastAsia"/>
          <w:color w:val="auto"/>
          <w:highlight w:val="none"/>
        </w:rPr>
        <w:t>防雷接地、工作接地、保护接地、重复接地采用公用接地系统，公共接地网由电气专业统一考虑，接地电阻小于1Ω。D</w:t>
      </w:r>
      <w:r>
        <w:rPr>
          <w:color w:val="auto"/>
          <w:highlight w:val="none"/>
        </w:rPr>
        <w:t>CS控制柜</w:t>
      </w:r>
      <w:r>
        <w:rPr>
          <w:rFonts w:hint="eastAsia"/>
          <w:color w:val="auto"/>
          <w:highlight w:val="none"/>
        </w:rPr>
        <w:t>的接地母排采用铜导线与综合接地网的接地极连接或与专用的接地汇流箱连接，接地汇流箱采用专用接地导线接入综合接地网。</w:t>
      </w:r>
      <w:bookmarkEnd w:id="803"/>
      <w:bookmarkEnd w:id="804"/>
      <w:r>
        <w:rPr>
          <w:rFonts w:hint="eastAsia"/>
          <w:color w:val="auto"/>
          <w:highlight w:val="none"/>
        </w:rPr>
        <w:t xml:space="preserve"> </w:t>
      </w:r>
    </w:p>
    <w:p w14:paraId="5B24650E">
      <w:pPr>
        <w:shd w:val="clear"/>
        <w:ind w:firstLine="0" w:firstLineChars="0"/>
        <w:outlineLvl w:val="2"/>
        <w:rPr>
          <w:rFonts w:cs="Times New Roman"/>
          <w:color w:val="auto"/>
          <w:szCs w:val="28"/>
          <w:highlight w:val="none"/>
        </w:rPr>
      </w:pPr>
      <w:bookmarkStart w:id="805" w:name="_Toc3323"/>
      <w:r>
        <w:rPr>
          <w:rFonts w:cs="Times New Roman"/>
          <w:color w:val="auto"/>
          <w:szCs w:val="28"/>
          <w:highlight w:val="none"/>
        </w:rPr>
        <w:t>9.</w:t>
      </w:r>
      <w:r>
        <w:rPr>
          <w:rFonts w:hint="eastAsia" w:cs="Times New Roman"/>
          <w:color w:val="auto"/>
          <w:szCs w:val="28"/>
          <w:highlight w:val="none"/>
        </w:rPr>
        <w:t>2</w:t>
      </w:r>
      <w:r>
        <w:rPr>
          <w:rFonts w:cs="Times New Roman"/>
          <w:color w:val="auto"/>
          <w:szCs w:val="28"/>
          <w:highlight w:val="none"/>
        </w:rPr>
        <w:t>.4</w:t>
      </w:r>
      <w:r>
        <w:rPr>
          <w:rFonts w:hint="eastAsia" w:cs="Times New Roman"/>
          <w:color w:val="auto"/>
          <w:szCs w:val="28"/>
          <w:highlight w:val="none"/>
        </w:rPr>
        <w:t xml:space="preserve"> P</w:t>
      </w:r>
      <w:r>
        <w:rPr>
          <w:rFonts w:cs="Times New Roman"/>
          <w:color w:val="auto"/>
          <w:szCs w:val="28"/>
          <w:highlight w:val="none"/>
        </w:rPr>
        <w:t>LC控制系统的利旧改造</w:t>
      </w:r>
      <w:bookmarkEnd w:id="805"/>
    </w:p>
    <w:p w14:paraId="42316902">
      <w:pPr>
        <w:shd w:val="clear"/>
        <w:ind w:firstLine="0" w:firstLineChars="0"/>
        <w:outlineLvl w:val="3"/>
        <w:rPr>
          <w:color w:val="auto"/>
          <w:highlight w:val="none"/>
        </w:rPr>
      </w:pPr>
      <w:r>
        <w:rPr>
          <w:rFonts w:hint="eastAsia"/>
          <w:color w:val="auto"/>
          <w:highlight w:val="none"/>
        </w:rPr>
        <w:t>9.2.4.1 原有PLC控制系统的利旧改造</w:t>
      </w:r>
    </w:p>
    <w:p w14:paraId="2B057CE7">
      <w:pPr>
        <w:pStyle w:val="74"/>
        <w:shd w:val="clear"/>
        <w:rPr>
          <w:rFonts w:ascii="Times New Roman"/>
          <w:color w:val="auto"/>
          <w:highlight w:val="none"/>
        </w:rPr>
      </w:pPr>
      <w:r>
        <w:rPr>
          <w:rFonts w:hint="eastAsia" w:ascii="Times New Roman" w:cs="Arial"/>
          <w:color w:val="auto"/>
          <w:szCs w:val="24"/>
          <w:highlight w:val="none"/>
        </w:rPr>
        <w:t>现有</w:t>
      </w:r>
      <w:r>
        <w:rPr>
          <w:rFonts w:ascii="Times New Roman" w:cs="Arial"/>
          <w:color w:val="auto"/>
          <w:szCs w:val="24"/>
          <w:highlight w:val="none"/>
        </w:rPr>
        <w:t>2</w:t>
      </w:r>
      <w:r>
        <w:rPr>
          <w:rFonts w:hint="eastAsia" w:ascii="Times New Roman" w:cs="Arial"/>
          <w:color w:val="auto"/>
          <w:szCs w:val="24"/>
          <w:highlight w:val="none"/>
        </w:rPr>
        <w:t>#</w:t>
      </w:r>
      <w:r>
        <w:rPr>
          <w:rFonts w:ascii="Times New Roman" w:cs="Arial"/>
          <w:color w:val="auto"/>
          <w:szCs w:val="24"/>
          <w:highlight w:val="none"/>
        </w:rPr>
        <w:t>高炉</w:t>
      </w:r>
      <w:r>
        <w:rPr>
          <w:rFonts w:hint="eastAsia" w:ascii="Times New Roman" w:cs="Arial"/>
          <w:color w:val="auto"/>
          <w:szCs w:val="24"/>
          <w:highlight w:val="none"/>
        </w:rPr>
        <w:t>P</w:t>
      </w:r>
      <w:r>
        <w:rPr>
          <w:rFonts w:ascii="Times New Roman" w:cs="Arial"/>
          <w:color w:val="auto"/>
          <w:szCs w:val="24"/>
          <w:highlight w:val="none"/>
        </w:rPr>
        <w:t>LC控制系统包括</w:t>
      </w:r>
      <w:r>
        <w:rPr>
          <w:rFonts w:hint="eastAsia" w:ascii="Times New Roman" w:cs="Arial"/>
          <w:color w:val="auto"/>
          <w:szCs w:val="24"/>
          <w:highlight w:val="none"/>
        </w:rPr>
        <w:t>矿槽、炉顶、本体、热风炉、干法除尘、渣处理等P</w:t>
      </w:r>
      <w:r>
        <w:rPr>
          <w:rFonts w:ascii="Times New Roman" w:cs="Arial"/>
          <w:color w:val="auto"/>
          <w:szCs w:val="24"/>
          <w:highlight w:val="none"/>
        </w:rPr>
        <w:t>LC，上述</w:t>
      </w:r>
      <w:r>
        <w:rPr>
          <w:rFonts w:hint="eastAsia" w:ascii="Times New Roman" w:cs="Arial"/>
          <w:color w:val="auto"/>
          <w:szCs w:val="24"/>
          <w:highlight w:val="none"/>
        </w:rPr>
        <w:t>P</w:t>
      </w:r>
      <w:r>
        <w:rPr>
          <w:rFonts w:ascii="Times New Roman" w:cs="Arial"/>
          <w:color w:val="auto"/>
          <w:szCs w:val="24"/>
          <w:highlight w:val="none"/>
        </w:rPr>
        <w:t>LC系统均利旧。</w:t>
      </w:r>
      <w:r>
        <w:rPr>
          <w:rFonts w:hint="eastAsia" w:ascii="Times New Roman" w:cs="Arial"/>
          <w:color w:val="auto"/>
          <w:szCs w:val="24"/>
          <w:highlight w:val="none"/>
        </w:rPr>
        <w:t>槽下供料P</w:t>
      </w:r>
      <w:r>
        <w:rPr>
          <w:rFonts w:ascii="Times New Roman" w:cs="Arial"/>
          <w:color w:val="auto"/>
          <w:szCs w:val="24"/>
          <w:highlight w:val="none"/>
        </w:rPr>
        <w:t>LC</w:t>
      </w:r>
      <w:r>
        <w:rPr>
          <w:rFonts w:hint="eastAsia" w:ascii="Times New Roman" w:cs="Arial"/>
          <w:color w:val="auto"/>
          <w:szCs w:val="24"/>
          <w:highlight w:val="none"/>
        </w:rPr>
        <w:t>、干法除尘P</w:t>
      </w:r>
      <w:r>
        <w:rPr>
          <w:rFonts w:ascii="Times New Roman" w:cs="Arial"/>
          <w:color w:val="auto"/>
          <w:szCs w:val="24"/>
          <w:highlight w:val="none"/>
        </w:rPr>
        <w:t>LC和本体</w:t>
      </w:r>
      <w:r>
        <w:rPr>
          <w:rFonts w:hint="eastAsia" w:ascii="Times New Roman" w:cs="Arial"/>
          <w:color w:val="auto"/>
          <w:szCs w:val="24"/>
          <w:highlight w:val="none"/>
        </w:rPr>
        <w:t>P</w:t>
      </w:r>
      <w:r>
        <w:rPr>
          <w:rFonts w:ascii="Times New Roman" w:cs="Arial"/>
          <w:color w:val="auto"/>
          <w:szCs w:val="24"/>
          <w:highlight w:val="none"/>
        </w:rPr>
        <w:t>LC</w:t>
      </w:r>
      <w:r>
        <w:rPr>
          <w:rFonts w:hint="eastAsia" w:ascii="Times New Roman" w:cs="Arial"/>
          <w:color w:val="auto"/>
          <w:szCs w:val="24"/>
          <w:highlight w:val="none"/>
        </w:rPr>
        <w:t>增加PLC柜用于新增设备。</w:t>
      </w:r>
      <w:r>
        <w:rPr>
          <w:rFonts w:ascii="Times New Roman" w:cs="Arial"/>
          <w:color w:val="auto"/>
          <w:szCs w:val="24"/>
          <w:highlight w:val="none"/>
        </w:rPr>
        <w:t>现有</w:t>
      </w:r>
      <w:r>
        <w:rPr>
          <w:rFonts w:hint="eastAsia" w:ascii="Times New Roman" w:cs="Arial"/>
          <w:color w:val="auto"/>
          <w:szCs w:val="24"/>
          <w:highlight w:val="none"/>
        </w:rPr>
        <w:t>P</w:t>
      </w:r>
      <w:r>
        <w:rPr>
          <w:rFonts w:ascii="Times New Roman" w:cs="Arial"/>
          <w:color w:val="auto"/>
          <w:szCs w:val="24"/>
          <w:highlight w:val="none"/>
        </w:rPr>
        <w:t>LC系统采用</w:t>
      </w:r>
      <w:r>
        <w:rPr>
          <w:rFonts w:hint="eastAsia" w:ascii="Times New Roman" w:cs="Arial"/>
          <w:color w:val="auto"/>
          <w:szCs w:val="24"/>
          <w:highlight w:val="none"/>
        </w:rPr>
        <w:t>A</w:t>
      </w:r>
      <w:r>
        <w:rPr>
          <w:rFonts w:ascii="Times New Roman" w:cs="Arial"/>
          <w:color w:val="auto"/>
          <w:szCs w:val="24"/>
          <w:highlight w:val="none"/>
        </w:rPr>
        <w:t xml:space="preserve">B </w:t>
      </w:r>
      <w:r>
        <w:rPr>
          <w:rFonts w:hint="eastAsia" w:ascii="Times New Roman" w:cs="Arial"/>
          <w:color w:val="auto"/>
          <w:szCs w:val="24"/>
          <w:highlight w:val="none"/>
        </w:rPr>
        <w:t>1756-L6系列P</w:t>
      </w:r>
      <w:r>
        <w:rPr>
          <w:rFonts w:ascii="Times New Roman" w:cs="Arial"/>
          <w:color w:val="auto"/>
          <w:szCs w:val="24"/>
          <w:highlight w:val="none"/>
        </w:rPr>
        <w:t>LC，新增</w:t>
      </w:r>
      <w:r>
        <w:rPr>
          <w:rFonts w:hint="eastAsia" w:ascii="Times New Roman" w:cs="Arial"/>
          <w:color w:val="auto"/>
          <w:szCs w:val="24"/>
          <w:highlight w:val="none"/>
        </w:rPr>
        <w:t>P</w:t>
      </w:r>
      <w:r>
        <w:rPr>
          <w:rFonts w:ascii="Times New Roman" w:cs="Arial"/>
          <w:color w:val="auto"/>
          <w:szCs w:val="24"/>
          <w:highlight w:val="none"/>
        </w:rPr>
        <w:t>LC柜的品牌选型与现有</w:t>
      </w:r>
      <w:r>
        <w:rPr>
          <w:rFonts w:hint="eastAsia" w:ascii="Times New Roman" w:cs="Arial"/>
          <w:color w:val="auto"/>
          <w:szCs w:val="24"/>
          <w:highlight w:val="none"/>
        </w:rPr>
        <w:t>P</w:t>
      </w:r>
      <w:r>
        <w:rPr>
          <w:rFonts w:ascii="Times New Roman" w:cs="Arial"/>
          <w:color w:val="auto"/>
          <w:szCs w:val="24"/>
          <w:highlight w:val="none"/>
        </w:rPr>
        <w:t>LC系统保持一致，分别作为</w:t>
      </w:r>
      <w:r>
        <w:rPr>
          <w:rFonts w:hint="eastAsia" w:ascii="Times New Roman" w:cs="Arial"/>
          <w:color w:val="auto"/>
          <w:szCs w:val="24"/>
          <w:highlight w:val="none"/>
        </w:rPr>
        <w:t>槽下</w:t>
      </w:r>
      <w:r>
        <w:rPr>
          <w:rFonts w:ascii="Times New Roman" w:cs="Arial"/>
          <w:color w:val="auto"/>
          <w:szCs w:val="24"/>
          <w:highlight w:val="none"/>
        </w:rPr>
        <w:t>、</w:t>
      </w:r>
      <w:r>
        <w:rPr>
          <w:rFonts w:hint="eastAsia" w:ascii="Times New Roman" w:cs="Arial"/>
          <w:color w:val="auto"/>
          <w:szCs w:val="24"/>
          <w:highlight w:val="none"/>
        </w:rPr>
        <w:t>干法除尘</w:t>
      </w:r>
      <w:r>
        <w:rPr>
          <w:rFonts w:ascii="Times New Roman" w:cs="Arial"/>
          <w:color w:val="auto"/>
          <w:szCs w:val="24"/>
          <w:highlight w:val="none"/>
        </w:rPr>
        <w:t>以及本体</w:t>
      </w:r>
      <w:r>
        <w:rPr>
          <w:rFonts w:hint="eastAsia" w:ascii="Times New Roman" w:cs="Arial"/>
          <w:color w:val="auto"/>
          <w:szCs w:val="24"/>
          <w:highlight w:val="none"/>
        </w:rPr>
        <w:t>P</w:t>
      </w:r>
      <w:r>
        <w:rPr>
          <w:rFonts w:ascii="Times New Roman" w:cs="Arial"/>
          <w:color w:val="auto"/>
          <w:szCs w:val="24"/>
          <w:highlight w:val="none"/>
        </w:rPr>
        <w:t>LC的</w:t>
      </w:r>
      <w:r>
        <w:rPr>
          <w:rFonts w:hint="eastAsia" w:ascii="Times New Roman" w:cs="Arial"/>
          <w:color w:val="auto"/>
          <w:szCs w:val="24"/>
          <w:highlight w:val="none"/>
        </w:rPr>
        <w:t>I</w:t>
      </w:r>
      <w:r>
        <w:rPr>
          <w:rFonts w:ascii="Times New Roman" w:cs="Arial"/>
          <w:color w:val="auto"/>
          <w:szCs w:val="24"/>
          <w:highlight w:val="none"/>
        </w:rPr>
        <w:t>O从站与它们通讯连接，实现对新增设备</w:t>
      </w:r>
      <w:r>
        <w:rPr>
          <w:rFonts w:hint="eastAsia" w:ascii="Times New Roman" w:cs="Arial"/>
          <w:color w:val="auto"/>
          <w:szCs w:val="24"/>
          <w:highlight w:val="none"/>
        </w:rPr>
        <w:t>及仪表</w:t>
      </w:r>
      <w:r>
        <w:rPr>
          <w:rFonts w:ascii="Times New Roman" w:cs="Arial"/>
          <w:color w:val="auto"/>
          <w:szCs w:val="24"/>
          <w:highlight w:val="none"/>
        </w:rPr>
        <w:t>的显示和控制。</w:t>
      </w:r>
      <w:bookmarkStart w:id="806" w:name="OLE_LINK21"/>
      <w:bookmarkStart w:id="807" w:name="OLE_LINK20"/>
      <w:r>
        <w:rPr>
          <w:rFonts w:ascii="Times New Roman" w:cs="Arial"/>
          <w:color w:val="auto"/>
          <w:szCs w:val="24"/>
          <w:highlight w:val="none"/>
        </w:rPr>
        <w:t>对炉顶、矿槽和本体</w:t>
      </w:r>
      <w:r>
        <w:rPr>
          <w:rFonts w:hint="eastAsia" w:ascii="Times New Roman" w:cs="Arial"/>
          <w:color w:val="auto"/>
          <w:szCs w:val="24"/>
          <w:highlight w:val="none"/>
        </w:rPr>
        <w:t>P</w:t>
      </w:r>
      <w:r>
        <w:rPr>
          <w:rFonts w:ascii="Times New Roman" w:cs="Arial"/>
          <w:color w:val="auto"/>
          <w:szCs w:val="24"/>
          <w:highlight w:val="none"/>
        </w:rPr>
        <w:t>LC的主机架进行升级，将现有</w:t>
      </w:r>
      <w:r>
        <w:rPr>
          <w:rFonts w:hint="eastAsia" w:ascii="Times New Roman" w:cs="Arial"/>
          <w:color w:val="auto"/>
          <w:szCs w:val="24"/>
          <w:highlight w:val="none"/>
        </w:rPr>
        <w:t>P</w:t>
      </w:r>
      <w:r>
        <w:rPr>
          <w:rFonts w:ascii="Times New Roman" w:cs="Arial"/>
          <w:color w:val="auto"/>
          <w:szCs w:val="24"/>
          <w:highlight w:val="none"/>
        </w:rPr>
        <w:t>LC主机架的</w:t>
      </w:r>
      <w:r>
        <w:rPr>
          <w:rFonts w:hint="eastAsia" w:ascii="Times New Roman" w:cs="Arial"/>
          <w:color w:val="auto"/>
          <w:szCs w:val="24"/>
          <w:highlight w:val="none"/>
        </w:rPr>
        <w:t>C</w:t>
      </w:r>
      <w:r>
        <w:rPr>
          <w:rFonts w:ascii="Times New Roman" w:cs="Arial"/>
          <w:color w:val="auto"/>
          <w:szCs w:val="24"/>
          <w:highlight w:val="none"/>
        </w:rPr>
        <w:t>PU</w:t>
      </w:r>
      <w:r>
        <w:rPr>
          <w:rFonts w:hint="eastAsia" w:ascii="Times New Roman" w:cs="Arial"/>
          <w:color w:val="auto"/>
          <w:szCs w:val="24"/>
          <w:highlight w:val="none"/>
        </w:rPr>
        <w:t>、通信模块、电源模块等模块更新为</w:t>
      </w:r>
      <w:r>
        <w:rPr>
          <w:rFonts w:ascii="Times New Roman" w:cs="Arial"/>
          <w:color w:val="auto"/>
          <w:szCs w:val="24"/>
          <w:highlight w:val="none"/>
        </w:rPr>
        <w:t>最新型号。</w:t>
      </w:r>
      <w:bookmarkEnd w:id="806"/>
      <w:bookmarkEnd w:id="807"/>
      <w:r>
        <w:rPr>
          <w:rFonts w:hint="eastAsia" w:ascii="Times New Roman" w:cs="Arial"/>
          <w:color w:val="auto"/>
          <w:szCs w:val="24"/>
          <w:highlight w:val="none"/>
          <w:lang w:val="en-US" w:eastAsia="zh-CN"/>
        </w:rPr>
        <w:t>炉顶</w:t>
      </w:r>
      <w:r>
        <w:rPr>
          <w:rFonts w:hint="eastAsia" w:ascii="Times New Roman" w:cs="Arial"/>
          <w:color w:val="auto"/>
          <w:szCs w:val="24"/>
          <w:highlight w:val="none"/>
        </w:rPr>
        <w:t>P</w:t>
      </w:r>
      <w:r>
        <w:rPr>
          <w:rFonts w:ascii="Times New Roman" w:cs="Arial"/>
          <w:color w:val="auto"/>
          <w:szCs w:val="24"/>
          <w:highlight w:val="none"/>
        </w:rPr>
        <w:t>LC</w:t>
      </w:r>
      <w:r>
        <w:rPr>
          <w:rFonts w:hint="eastAsia" w:ascii="Times New Roman" w:cs="Arial"/>
          <w:color w:val="auto"/>
          <w:szCs w:val="24"/>
          <w:highlight w:val="none"/>
          <w:lang w:val="en-US" w:eastAsia="zh-CN"/>
        </w:rPr>
        <w:t>增加高速计数模块用于连接编码器。</w:t>
      </w:r>
      <w:r>
        <w:rPr>
          <w:rFonts w:ascii="Times New Roman" w:cs="Arial"/>
          <w:color w:val="auto"/>
          <w:szCs w:val="24"/>
          <w:highlight w:val="none"/>
        </w:rPr>
        <w:t>主卷扬控制系统更换，主卷扬</w:t>
      </w:r>
      <w:r>
        <w:rPr>
          <w:rFonts w:hint="eastAsia" w:ascii="Times New Roman" w:cs="Arial"/>
          <w:color w:val="auto"/>
          <w:szCs w:val="24"/>
          <w:highlight w:val="none"/>
        </w:rPr>
        <w:t>P</w:t>
      </w:r>
      <w:r>
        <w:rPr>
          <w:rFonts w:ascii="Times New Roman" w:cs="Arial"/>
          <w:color w:val="auto"/>
          <w:szCs w:val="24"/>
          <w:highlight w:val="none"/>
        </w:rPr>
        <w:t>LC以</w:t>
      </w:r>
      <w:r>
        <w:rPr>
          <w:rFonts w:hint="eastAsia" w:ascii="Times New Roman" w:cs="Arial"/>
          <w:color w:val="auto"/>
          <w:szCs w:val="24"/>
          <w:highlight w:val="none"/>
        </w:rPr>
        <w:t>I</w:t>
      </w:r>
      <w:r>
        <w:rPr>
          <w:rFonts w:ascii="Times New Roman" w:cs="Arial"/>
          <w:color w:val="auto"/>
          <w:szCs w:val="24"/>
          <w:highlight w:val="none"/>
        </w:rPr>
        <w:t>O远程站的形式接入炉顶PLC系统，其选型与炉顶</w:t>
      </w:r>
      <w:r>
        <w:rPr>
          <w:rFonts w:hint="eastAsia" w:ascii="Times New Roman" w:cs="Arial"/>
          <w:color w:val="auto"/>
          <w:szCs w:val="24"/>
          <w:highlight w:val="none"/>
        </w:rPr>
        <w:t>P</w:t>
      </w:r>
      <w:r>
        <w:rPr>
          <w:rFonts w:ascii="Times New Roman" w:cs="Arial"/>
          <w:color w:val="auto"/>
          <w:szCs w:val="24"/>
          <w:highlight w:val="none"/>
        </w:rPr>
        <w:t>LC保持一致。</w:t>
      </w:r>
      <w:r>
        <w:rPr>
          <w:rFonts w:ascii="Times New Roman"/>
          <w:color w:val="auto"/>
          <w:highlight w:val="none"/>
        </w:rPr>
        <w:t>新增炉顶均压煤气回收信号接入炉顶</w:t>
      </w:r>
      <w:r>
        <w:rPr>
          <w:rFonts w:hint="eastAsia" w:ascii="Times New Roman"/>
          <w:color w:val="auto"/>
          <w:highlight w:val="none"/>
        </w:rPr>
        <w:t>P</w:t>
      </w:r>
      <w:r>
        <w:rPr>
          <w:rFonts w:ascii="Times New Roman"/>
          <w:color w:val="auto"/>
          <w:highlight w:val="none"/>
        </w:rPr>
        <w:t>LC，均压煤气回收</w:t>
      </w:r>
      <w:r>
        <w:rPr>
          <w:rFonts w:hint="eastAsia" w:ascii="Times New Roman"/>
          <w:color w:val="auto"/>
          <w:highlight w:val="none"/>
        </w:rPr>
        <w:t>P</w:t>
      </w:r>
      <w:r>
        <w:rPr>
          <w:rFonts w:ascii="Times New Roman"/>
          <w:color w:val="auto"/>
          <w:highlight w:val="none"/>
        </w:rPr>
        <w:t>LC作为</w:t>
      </w:r>
      <w:r>
        <w:rPr>
          <w:rFonts w:ascii="Times New Roman" w:cs="Arial"/>
          <w:color w:val="auto"/>
          <w:szCs w:val="24"/>
          <w:highlight w:val="none"/>
        </w:rPr>
        <w:t>炉顶PLC的</w:t>
      </w:r>
      <w:r>
        <w:rPr>
          <w:rFonts w:hint="eastAsia" w:ascii="Times New Roman" w:cs="Arial"/>
          <w:color w:val="auto"/>
          <w:szCs w:val="24"/>
          <w:highlight w:val="none"/>
        </w:rPr>
        <w:t>I</w:t>
      </w:r>
      <w:r>
        <w:rPr>
          <w:rFonts w:ascii="Times New Roman" w:cs="Arial"/>
          <w:color w:val="auto"/>
          <w:szCs w:val="24"/>
          <w:highlight w:val="none"/>
        </w:rPr>
        <w:t>O远程站与炉顶</w:t>
      </w:r>
      <w:r>
        <w:rPr>
          <w:rFonts w:hint="eastAsia" w:ascii="Times New Roman" w:cs="Arial"/>
          <w:color w:val="auto"/>
          <w:szCs w:val="24"/>
          <w:highlight w:val="none"/>
        </w:rPr>
        <w:t>P</w:t>
      </w:r>
      <w:r>
        <w:rPr>
          <w:rFonts w:ascii="Times New Roman" w:cs="Arial"/>
          <w:color w:val="auto"/>
          <w:szCs w:val="24"/>
          <w:highlight w:val="none"/>
        </w:rPr>
        <w:t>LC通讯连接其选型与炉顶</w:t>
      </w:r>
      <w:r>
        <w:rPr>
          <w:rFonts w:hint="eastAsia" w:ascii="Times New Roman" w:cs="Arial"/>
          <w:color w:val="auto"/>
          <w:szCs w:val="24"/>
          <w:highlight w:val="none"/>
        </w:rPr>
        <w:t>P</w:t>
      </w:r>
      <w:r>
        <w:rPr>
          <w:rFonts w:ascii="Times New Roman" w:cs="Arial"/>
          <w:color w:val="auto"/>
          <w:szCs w:val="24"/>
          <w:highlight w:val="none"/>
        </w:rPr>
        <w:t>LC保持一致。在热风炉</w:t>
      </w:r>
      <w:r>
        <w:rPr>
          <w:rFonts w:hint="eastAsia" w:ascii="Times New Roman" w:cs="Arial"/>
          <w:color w:val="auto"/>
          <w:szCs w:val="24"/>
          <w:highlight w:val="none"/>
        </w:rPr>
        <w:t>P</w:t>
      </w:r>
      <w:r>
        <w:rPr>
          <w:rFonts w:ascii="Times New Roman" w:cs="Arial"/>
          <w:color w:val="auto"/>
          <w:szCs w:val="24"/>
          <w:highlight w:val="none"/>
        </w:rPr>
        <w:t>LC控制系统中增加</w:t>
      </w:r>
      <w:r>
        <w:rPr>
          <w:rFonts w:hint="eastAsia" w:ascii="Times New Roman"/>
          <w:color w:val="auto"/>
          <w:highlight w:val="none"/>
        </w:rPr>
        <w:t>7#热风炉的煤气燃烧阀和切断阀之间球阀的控制程序，上述阀门的I</w:t>
      </w:r>
      <w:r>
        <w:rPr>
          <w:rFonts w:ascii="Times New Roman"/>
          <w:color w:val="auto"/>
          <w:highlight w:val="none"/>
        </w:rPr>
        <w:t>O信号通过硬线接入热风炉</w:t>
      </w:r>
      <w:r>
        <w:rPr>
          <w:rFonts w:hint="eastAsia" w:ascii="Times New Roman"/>
          <w:color w:val="auto"/>
          <w:highlight w:val="none"/>
        </w:rPr>
        <w:t>P</w:t>
      </w:r>
      <w:r>
        <w:rPr>
          <w:rFonts w:ascii="Times New Roman"/>
          <w:color w:val="auto"/>
          <w:highlight w:val="none"/>
        </w:rPr>
        <w:t>LC的备用</w:t>
      </w:r>
      <w:r>
        <w:rPr>
          <w:rFonts w:hint="eastAsia" w:ascii="Times New Roman"/>
          <w:color w:val="auto"/>
          <w:highlight w:val="none"/>
        </w:rPr>
        <w:t>I</w:t>
      </w:r>
      <w:r>
        <w:rPr>
          <w:rFonts w:ascii="Times New Roman"/>
          <w:color w:val="auto"/>
          <w:highlight w:val="none"/>
        </w:rPr>
        <w:t>O通道，必要时可增加IO模块。</w:t>
      </w:r>
    </w:p>
    <w:p w14:paraId="7FDF4EDB">
      <w:pPr>
        <w:pStyle w:val="74"/>
        <w:shd w:val="clear"/>
        <w:rPr>
          <w:rFonts w:ascii="Times New Roman" w:cs="Arial"/>
          <w:color w:val="auto"/>
          <w:szCs w:val="24"/>
          <w:highlight w:val="none"/>
        </w:rPr>
      </w:pPr>
      <w:r>
        <w:rPr>
          <w:rFonts w:hint="eastAsia" w:ascii="Times New Roman" w:cs="Arial"/>
          <w:color w:val="auto"/>
          <w:szCs w:val="24"/>
          <w:highlight w:val="none"/>
        </w:rPr>
        <w:t>现有</w:t>
      </w:r>
      <w:r>
        <w:rPr>
          <w:rFonts w:ascii="Times New Roman" w:cs="Arial"/>
          <w:color w:val="auto"/>
          <w:szCs w:val="24"/>
          <w:highlight w:val="none"/>
        </w:rPr>
        <w:t>2</w:t>
      </w:r>
      <w:r>
        <w:rPr>
          <w:rFonts w:hint="eastAsia" w:ascii="Times New Roman" w:cs="Arial"/>
          <w:color w:val="auto"/>
          <w:szCs w:val="24"/>
          <w:highlight w:val="none"/>
        </w:rPr>
        <w:t>#</w:t>
      </w:r>
      <w:r>
        <w:rPr>
          <w:rFonts w:ascii="Times New Roman" w:cs="Arial"/>
          <w:color w:val="auto"/>
          <w:szCs w:val="24"/>
          <w:highlight w:val="none"/>
        </w:rPr>
        <w:t>高炉PLC控制系统的光纤环网利旧，交换机利旧。</w:t>
      </w:r>
    </w:p>
    <w:p w14:paraId="431ADE3A">
      <w:pPr>
        <w:pStyle w:val="74"/>
        <w:shd w:val="clear"/>
        <w:rPr>
          <w:rFonts w:ascii="Times New Roman" w:cs="Arial"/>
          <w:color w:val="auto"/>
          <w:szCs w:val="24"/>
          <w:highlight w:val="none"/>
        </w:rPr>
      </w:pPr>
      <w:r>
        <w:rPr>
          <w:rFonts w:hint="eastAsia" w:ascii="Times New Roman" w:cs="Arial"/>
          <w:color w:val="auto"/>
          <w:szCs w:val="24"/>
          <w:highlight w:val="none"/>
        </w:rPr>
        <w:t>料车主卷扬、干法布袋除尘、高炉本体的UPS电源使用已超过1</w:t>
      </w:r>
      <w:r>
        <w:rPr>
          <w:rFonts w:ascii="Times New Roman" w:cs="Arial"/>
          <w:color w:val="auto"/>
          <w:szCs w:val="24"/>
          <w:highlight w:val="none"/>
        </w:rPr>
        <w:t>0</w:t>
      </w:r>
      <w:r>
        <w:rPr>
          <w:rFonts w:hint="eastAsia" w:ascii="Times New Roman" w:cs="Arial"/>
          <w:color w:val="auto"/>
          <w:szCs w:val="24"/>
          <w:highlight w:val="none"/>
        </w:rPr>
        <w:t>年，超过使用年限，对上述UPS电源更换。</w:t>
      </w:r>
      <w:r>
        <w:rPr>
          <w:rFonts w:ascii="Times New Roman" w:cs="Arial"/>
          <w:color w:val="auto"/>
          <w:szCs w:val="24"/>
          <w:highlight w:val="none"/>
        </w:rPr>
        <w:t>2</w:t>
      </w:r>
      <w:r>
        <w:rPr>
          <w:rFonts w:hint="eastAsia" w:ascii="Times New Roman" w:cs="Arial"/>
          <w:color w:val="auto"/>
          <w:szCs w:val="24"/>
          <w:highlight w:val="none"/>
        </w:rPr>
        <w:t>号高炉水系统</w:t>
      </w:r>
      <w:r>
        <w:rPr>
          <w:rFonts w:ascii="Times New Roman" w:cs="Arial"/>
          <w:color w:val="auto"/>
          <w:szCs w:val="24"/>
          <w:highlight w:val="none"/>
        </w:rPr>
        <w:t>UPS</w:t>
      </w:r>
      <w:r>
        <w:rPr>
          <w:rFonts w:hint="eastAsia" w:ascii="Times New Roman" w:cs="Arial"/>
          <w:color w:val="auto"/>
          <w:szCs w:val="24"/>
          <w:highlight w:val="none"/>
        </w:rPr>
        <w:t>现为单套设置，一旦</w:t>
      </w:r>
      <w:r>
        <w:rPr>
          <w:rFonts w:ascii="Times New Roman" w:cs="Arial"/>
          <w:color w:val="auto"/>
          <w:szCs w:val="24"/>
          <w:highlight w:val="none"/>
        </w:rPr>
        <w:t xml:space="preserve">UPS </w:t>
      </w:r>
      <w:r>
        <w:rPr>
          <w:rFonts w:hint="eastAsia" w:ascii="Times New Roman" w:cs="Arial"/>
          <w:color w:val="auto"/>
          <w:szCs w:val="24"/>
          <w:highlight w:val="none"/>
        </w:rPr>
        <w:t>出现故障将造成供水泵组停运，影响高炉系统的正常冷却用水。</w:t>
      </w:r>
      <w:r>
        <w:rPr>
          <w:rFonts w:ascii="Times New Roman" w:cs="Arial"/>
          <w:color w:val="auto"/>
          <w:szCs w:val="24"/>
          <w:highlight w:val="none"/>
        </w:rPr>
        <w:t>2</w:t>
      </w:r>
      <w:r>
        <w:rPr>
          <w:rFonts w:hint="eastAsia" w:ascii="Times New Roman" w:cs="Arial"/>
          <w:color w:val="auto"/>
          <w:szCs w:val="24"/>
          <w:highlight w:val="none"/>
        </w:rPr>
        <w:t>号高炉水系统增加冗余</w:t>
      </w:r>
      <w:r>
        <w:rPr>
          <w:rFonts w:ascii="Times New Roman" w:cs="Arial"/>
          <w:color w:val="auto"/>
          <w:szCs w:val="24"/>
          <w:highlight w:val="none"/>
        </w:rPr>
        <w:t>UPS</w:t>
      </w:r>
      <w:r>
        <w:rPr>
          <w:rFonts w:hint="eastAsia" w:ascii="Times New Roman" w:cs="Arial"/>
          <w:color w:val="auto"/>
          <w:szCs w:val="24"/>
          <w:highlight w:val="none"/>
        </w:rPr>
        <w:t>一套。</w:t>
      </w:r>
    </w:p>
    <w:p w14:paraId="1A3A3C77">
      <w:pPr>
        <w:pStyle w:val="74"/>
        <w:shd w:val="clear"/>
        <w:ind w:firstLine="0" w:firstLineChars="0"/>
        <w:rPr>
          <w:color w:val="auto"/>
          <w:highlight w:val="none"/>
        </w:rPr>
      </w:pPr>
      <w:r>
        <w:rPr>
          <w:rFonts w:hint="eastAsia"/>
          <w:color w:val="auto"/>
          <w:highlight w:val="none"/>
        </w:rPr>
        <w:t>2</w:t>
      </w:r>
      <w:r>
        <w:rPr>
          <w:color w:val="auto"/>
          <w:highlight w:val="none"/>
        </w:rPr>
        <w:t>#高炉</w:t>
      </w:r>
      <w:r>
        <w:rPr>
          <w:rFonts w:hint="eastAsia"/>
          <w:color w:val="auto"/>
          <w:highlight w:val="none"/>
        </w:rPr>
        <w:t>P</w:t>
      </w:r>
      <w:r>
        <w:rPr>
          <w:color w:val="auto"/>
          <w:highlight w:val="none"/>
        </w:rPr>
        <w:t>LC系统需要更换的</w:t>
      </w:r>
      <w:r>
        <w:rPr>
          <w:color w:val="auto"/>
          <w:highlight w:val="none"/>
        </w:rPr>
        <w:tab/>
      </w:r>
      <w:r>
        <w:rPr>
          <w:color w:val="auto"/>
          <w:highlight w:val="none"/>
        </w:rPr>
        <w:t>UPS如下：</w:t>
      </w:r>
    </w:p>
    <w:p w14:paraId="2F229BB9">
      <w:pPr>
        <w:shd w:val="clear"/>
        <w:ind w:firstLine="0" w:firstLineChars="0"/>
        <w:jc w:val="center"/>
        <w:rPr>
          <w:rFonts w:ascii="Times New Roman"/>
          <w:color w:val="auto"/>
          <w:highlight w:val="none"/>
        </w:rPr>
      </w:pPr>
      <w:r>
        <w:rPr>
          <w:rFonts w:hint="eastAsia" w:ascii="Times New Roman"/>
          <w:color w:val="auto"/>
          <w:highlight w:val="none"/>
        </w:rPr>
        <w:t xml:space="preserve">表 9-3  </w:t>
      </w:r>
      <w:r>
        <w:rPr>
          <w:rFonts w:ascii="Times New Roman"/>
          <w:color w:val="auto"/>
          <w:highlight w:val="none"/>
        </w:rPr>
        <w:t>2#高炉</w:t>
      </w:r>
      <w:r>
        <w:rPr>
          <w:rFonts w:hint="eastAsia" w:ascii="Times New Roman"/>
          <w:color w:val="auto"/>
          <w:highlight w:val="none"/>
        </w:rPr>
        <w:t>P</w:t>
      </w:r>
      <w:r>
        <w:rPr>
          <w:rFonts w:ascii="Times New Roman"/>
          <w:color w:val="auto"/>
          <w:highlight w:val="none"/>
        </w:rPr>
        <w:t>LC系统新增</w:t>
      </w:r>
      <w:r>
        <w:rPr>
          <w:rFonts w:hint="eastAsia" w:ascii="Times New Roman"/>
          <w:color w:val="auto"/>
          <w:highlight w:val="none"/>
        </w:rPr>
        <w:t>UPS电源设置表</w:t>
      </w:r>
    </w:p>
    <w:tbl>
      <w:tblPr>
        <w:tblStyle w:val="6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7"/>
        <w:gridCol w:w="2268"/>
        <w:gridCol w:w="2410"/>
        <w:gridCol w:w="1701"/>
        <w:gridCol w:w="1843"/>
      </w:tblGrid>
      <w:tr w14:paraId="7AAA9D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4" w:hRule="atLeast"/>
          <w:tblHeader/>
        </w:trPr>
        <w:tc>
          <w:tcPr>
            <w:tcW w:w="817" w:type="dxa"/>
            <w:tcBorders>
              <w:top w:val="single" w:color="auto" w:sz="12" w:space="0"/>
              <w:left w:val="single" w:color="auto" w:sz="12" w:space="0"/>
              <w:bottom w:val="single" w:color="auto" w:sz="6" w:space="0"/>
              <w:right w:val="single" w:color="auto" w:sz="6" w:space="0"/>
            </w:tcBorders>
            <w:vAlign w:val="center"/>
          </w:tcPr>
          <w:p w14:paraId="1A61ACD0">
            <w:pPr>
              <w:shd w:val="clear"/>
              <w:ind w:firstLine="0" w:firstLineChars="0"/>
              <w:jc w:val="center"/>
              <w:rPr>
                <w:rFonts w:cs="宋体"/>
                <w:color w:val="auto"/>
                <w:sz w:val="21"/>
                <w:szCs w:val="21"/>
                <w:highlight w:val="none"/>
              </w:rPr>
            </w:pPr>
            <w:r>
              <w:rPr>
                <w:rFonts w:hint="eastAsia" w:cs="宋体"/>
                <w:color w:val="auto"/>
                <w:sz w:val="21"/>
                <w:szCs w:val="21"/>
                <w:highlight w:val="none"/>
              </w:rPr>
              <w:t>序号</w:t>
            </w:r>
          </w:p>
        </w:tc>
        <w:tc>
          <w:tcPr>
            <w:tcW w:w="2268" w:type="dxa"/>
            <w:tcBorders>
              <w:top w:val="single" w:color="auto" w:sz="12" w:space="0"/>
              <w:left w:val="single" w:color="auto" w:sz="6" w:space="0"/>
              <w:bottom w:val="single" w:color="auto" w:sz="6" w:space="0"/>
              <w:right w:val="single" w:color="auto" w:sz="6" w:space="0"/>
            </w:tcBorders>
            <w:vAlign w:val="center"/>
          </w:tcPr>
          <w:p w14:paraId="591078FC">
            <w:pPr>
              <w:shd w:val="clear"/>
              <w:ind w:firstLine="0" w:firstLineChars="0"/>
              <w:jc w:val="center"/>
              <w:rPr>
                <w:rFonts w:cs="宋体"/>
                <w:color w:val="auto"/>
                <w:sz w:val="21"/>
                <w:szCs w:val="21"/>
                <w:highlight w:val="none"/>
              </w:rPr>
            </w:pPr>
            <w:r>
              <w:rPr>
                <w:rFonts w:hint="eastAsia" w:cs="宋体"/>
                <w:color w:val="auto"/>
                <w:sz w:val="21"/>
                <w:szCs w:val="21"/>
                <w:highlight w:val="none"/>
              </w:rPr>
              <w:t>控制系统名称</w:t>
            </w:r>
          </w:p>
        </w:tc>
        <w:tc>
          <w:tcPr>
            <w:tcW w:w="2410" w:type="dxa"/>
            <w:tcBorders>
              <w:top w:val="single" w:color="auto" w:sz="12" w:space="0"/>
              <w:left w:val="single" w:color="auto" w:sz="6" w:space="0"/>
              <w:bottom w:val="single" w:color="auto" w:sz="6" w:space="0"/>
              <w:right w:val="single" w:color="auto" w:sz="6" w:space="0"/>
            </w:tcBorders>
            <w:vAlign w:val="center"/>
          </w:tcPr>
          <w:p w14:paraId="2A3B1732">
            <w:pPr>
              <w:shd w:val="clear"/>
              <w:ind w:firstLine="0" w:firstLineChars="0"/>
              <w:jc w:val="center"/>
              <w:rPr>
                <w:rFonts w:cs="宋体"/>
                <w:color w:val="auto"/>
                <w:sz w:val="21"/>
                <w:szCs w:val="21"/>
                <w:highlight w:val="none"/>
              </w:rPr>
            </w:pPr>
            <w:r>
              <w:rPr>
                <w:rFonts w:hint="eastAsia" w:cs="宋体"/>
                <w:color w:val="auto"/>
                <w:sz w:val="21"/>
                <w:szCs w:val="21"/>
                <w:highlight w:val="none"/>
              </w:rPr>
              <w:t>配置水平</w:t>
            </w:r>
          </w:p>
        </w:tc>
        <w:tc>
          <w:tcPr>
            <w:tcW w:w="1701" w:type="dxa"/>
            <w:tcBorders>
              <w:top w:val="single" w:color="auto" w:sz="12" w:space="0"/>
              <w:left w:val="single" w:color="auto" w:sz="6" w:space="0"/>
              <w:bottom w:val="single" w:color="auto" w:sz="6" w:space="0"/>
              <w:right w:val="single" w:color="auto" w:sz="6" w:space="0"/>
            </w:tcBorders>
          </w:tcPr>
          <w:p w14:paraId="3F8E487F">
            <w:pPr>
              <w:shd w:val="clear"/>
              <w:ind w:firstLine="0" w:firstLineChars="0"/>
              <w:jc w:val="center"/>
              <w:rPr>
                <w:rFonts w:cs="宋体"/>
                <w:color w:val="auto"/>
                <w:sz w:val="21"/>
                <w:szCs w:val="21"/>
                <w:highlight w:val="none"/>
              </w:rPr>
            </w:pPr>
            <w:r>
              <w:rPr>
                <w:rFonts w:hint="eastAsia" w:cs="宋体"/>
                <w:color w:val="auto"/>
                <w:sz w:val="21"/>
                <w:szCs w:val="21"/>
                <w:highlight w:val="none"/>
              </w:rPr>
              <w:t>数量（套）</w:t>
            </w:r>
          </w:p>
        </w:tc>
        <w:tc>
          <w:tcPr>
            <w:tcW w:w="1843" w:type="dxa"/>
            <w:tcBorders>
              <w:top w:val="single" w:color="auto" w:sz="12" w:space="0"/>
              <w:left w:val="single" w:color="auto" w:sz="6" w:space="0"/>
              <w:bottom w:val="single" w:color="auto" w:sz="6" w:space="0"/>
              <w:right w:val="single" w:color="auto" w:sz="12" w:space="0"/>
            </w:tcBorders>
            <w:vAlign w:val="center"/>
          </w:tcPr>
          <w:p w14:paraId="07DEEC8E">
            <w:pPr>
              <w:shd w:val="clear"/>
              <w:ind w:firstLine="0" w:firstLineChars="0"/>
              <w:jc w:val="center"/>
              <w:rPr>
                <w:rFonts w:cs="宋体"/>
                <w:color w:val="auto"/>
                <w:sz w:val="21"/>
                <w:szCs w:val="21"/>
                <w:highlight w:val="none"/>
              </w:rPr>
            </w:pPr>
            <w:r>
              <w:rPr>
                <w:rFonts w:hint="eastAsia" w:cs="宋体"/>
                <w:color w:val="auto"/>
                <w:sz w:val="21"/>
                <w:szCs w:val="21"/>
                <w:highlight w:val="none"/>
              </w:rPr>
              <w:t>备注</w:t>
            </w:r>
          </w:p>
        </w:tc>
      </w:tr>
      <w:tr w14:paraId="289C6D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4" w:hRule="atLeast"/>
        </w:trPr>
        <w:tc>
          <w:tcPr>
            <w:tcW w:w="817" w:type="dxa"/>
            <w:tcBorders>
              <w:top w:val="single" w:color="auto" w:sz="6" w:space="0"/>
              <w:left w:val="single" w:color="auto" w:sz="12" w:space="0"/>
              <w:bottom w:val="single" w:color="auto" w:sz="6" w:space="0"/>
              <w:right w:val="single" w:color="auto" w:sz="6" w:space="0"/>
            </w:tcBorders>
            <w:vAlign w:val="center"/>
          </w:tcPr>
          <w:p w14:paraId="293E4573">
            <w:pPr>
              <w:shd w:val="clear"/>
              <w:ind w:firstLine="0" w:firstLineChars="0"/>
              <w:jc w:val="center"/>
              <w:rPr>
                <w:rFonts w:cs="宋体"/>
                <w:color w:val="auto"/>
                <w:sz w:val="21"/>
                <w:szCs w:val="21"/>
                <w:highlight w:val="none"/>
              </w:rPr>
            </w:pPr>
            <w:r>
              <w:rPr>
                <w:rFonts w:hint="eastAsia" w:cs="宋体"/>
                <w:color w:val="auto"/>
                <w:sz w:val="21"/>
                <w:szCs w:val="21"/>
                <w:highlight w:val="none"/>
              </w:rPr>
              <w:t>1</w:t>
            </w:r>
          </w:p>
        </w:tc>
        <w:tc>
          <w:tcPr>
            <w:tcW w:w="2268" w:type="dxa"/>
            <w:tcBorders>
              <w:top w:val="single" w:color="auto" w:sz="6" w:space="0"/>
              <w:left w:val="single" w:color="auto" w:sz="6" w:space="0"/>
              <w:bottom w:val="single" w:color="auto" w:sz="6" w:space="0"/>
              <w:right w:val="single" w:color="auto" w:sz="6" w:space="0"/>
            </w:tcBorders>
            <w:vAlign w:val="center"/>
          </w:tcPr>
          <w:p w14:paraId="4E84C888">
            <w:pPr>
              <w:pStyle w:val="145"/>
              <w:shd w:val="clear"/>
              <w:ind w:firstLine="420" w:firstLineChars="200"/>
              <w:rPr>
                <w:rFonts w:cs="宋体"/>
                <w:color w:val="auto"/>
                <w:sz w:val="21"/>
                <w:szCs w:val="21"/>
                <w:highlight w:val="none"/>
              </w:rPr>
            </w:pPr>
            <w:bookmarkStart w:id="808" w:name="_Toc25009"/>
            <w:r>
              <w:rPr>
                <w:rFonts w:hint="eastAsia" w:cs="宋体"/>
                <w:color w:val="auto"/>
                <w:sz w:val="21"/>
                <w:szCs w:val="21"/>
                <w:highlight w:val="none"/>
              </w:rPr>
              <w:t>高炉本体UPS</w:t>
            </w:r>
            <w:bookmarkEnd w:id="808"/>
          </w:p>
        </w:tc>
        <w:tc>
          <w:tcPr>
            <w:tcW w:w="2410" w:type="dxa"/>
            <w:tcBorders>
              <w:top w:val="single" w:color="auto" w:sz="6" w:space="0"/>
              <w:left w:val="single" w:color="auto" w:sz="6" w:space="0"/>
              <w:bottom w:val="single" w:color="auto" w:sz="6" w:space="0"/>
              <w:right w:val="single" w:color="auto" w:sz="6" w:space="0"/>
            </w:tcBorders>
            <w:vAlign w:val="center"/>
          </w:tcPr>
          <w:p w14:paraId="59143D95">
            <w:pPr>
              <w:pStyle w:val="145"/>
              <w:shd w:val="clear"/>
              <w:rPr>
                <w:rFonts w:cs="宋体"/>
                <w:color w:val="auto"/>
                <w:sz w:val="21"/>
                <w:szCs w:val="21"/>
                <w:highlight w:val="none"/>
              </w:rPr>
            </w:pPr>
            <w:bookmarkStart w:id="809" w:name="_Toc4476"/>
            <w:r>
              <w:rPr>
                <w:rFonts w:hint="eastAsia" w:cs="宋体"/>
                <w:color w:val="auto"/>
                <w:sz w:val="21"/>
                <w:szCs w:val="21"/>
                <w:highlight w:val="none"/>
              </w:rPr>
              <w:t xml:space="preserve">6KVA，30分钟 </w:t>
            </w:r>
            <w:bookmarkEnd w:id="809"/>
          </w:p>
        </w:tc>
        <w:tc>
          <w:tcPr>
            <w:tcW w:w="1701" w:type="dxa"/>
            <w:tcBorders>
              <w:top w:val="single" w:color="auto" w:sz="6" w:space="0"/>
              <w:left w:val="single" w:color="auto" w:sz="6" w:space="0"/>
              <w:bottom w:val="single" w:color="auto" w:sz="6" w:space="0"/>
              <w:right w:val="single" w:color="auto" w:sz="6" w:space="0"/>
            </w:tcBorders>
          </w:tcPr>
          <w:p w14:paraId="28FED9D9">
            <w:pPr>
              <w:shd w:val="clear"/>
              <w:ind w:firstLine="0" w:firstLineChars="0"/>
              <w:jc w:val="center"/>
              <w:rPr>
                <w:rFonts w:cs="宋体"/>
                <w:color w:val="auto"/>
                <w:sz w:val="21"/>
                <w:szCs w:val="21"/>
                <w:highlight w:val="none"/>
              </w:rPr>
            </w:pPr>
            <w:r>
              <w:rPr>
                <w:rFonts w:hint="eastAsia" w:cs="宋体"/>
                <w:color w:val="auto"/>
                <w:sz w:val="21"/>
                <w:szCs w:val="21"/>
                <w:highlight w:val="none"/>
              </w:rPr>
              <w:t>1</w:t>
            </w:r>
          </w:p>
        </w:tc>
        <w:tc>
          <w:tcPr>
            <w:tcW w:w="1843" w:type="dxa"/>
            <w:tcBorders>
              <w:top w:val="single" w:color="auto" w:sz="6" w:space="0"/>
              <w:left w:val="single" w:color="auto" w:sz="6" w:space="0"/>
              <w:bottom w:val="single" w:color="auto" w:sz="6" w:space="0"/>
              <w:right w:val="single" w:color="auto" w:sz="12" w:space="0"/>
            </w:tcBorders>
            <w:vAlign w:val="bottom"/>
          </w:tcPr>
          <w:p w14:paraId="480A25BC">
            <w:pPr>
              <w:shd w:val="clear"/>
              <w:ind w:firstLine="0" w:firstLineChars="0"/>
              <w:jc w:val="center"/>
              <w:rPr>
                <w:rFonts w:cs="宋体"/>
                <w:color w:val="auto"/>
                <w:sz w:val="21"/>
                <w:szCs w:val="21"/>
                <w:highlight w:val="none"/>
              </w:rPr>
            </w:pPr>
            <w:r>
              <w:rPr>
                <w:rFonts w:hint="eastAsia" w:cs="宋体"/>
                <w:color w:val="auto"/>
                <w:sz w:val="21"/>
                <w:szCs w:val="21"/>
                <w:highlight w:val="none"/>
              </w:rPr>
              <w:t>容量参考现有UPS容量</w:t>
            </w:r>
          </w:p>
        </w:tc>
      </w:tr>
      <w:tr w14:paraId="26C2D1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4" w:hRule="atLeast"/>
        </w:trPr>
        <w:tc>
          <w:tcPr>
            <w:tcW w:w="817" w:type="dxa"/>
            <w:tcBorders>
              <w:top w:val="single" w:color="auto" w:sz="6" w:space="0"/>
              <w:left w:val="single" w:color="auto" w:sz="12" w:space="0"/>
              <w:bottom w:val="single" w:color="auto" w:sz="6" w:space="0"/>
              <w:right w:val="single" w:color="auto" w:sz="6" w:space="0"/>
            </w:tcBorders>
            <w:vAlign w:val="center"/>
          </w:tcPr>
          <w:p w14:paraId="3DC78DF9">
            <w:pPr>
              <w:shd w:val="clear"/>
              <w:ind w:firstLine="0" w:firstLineChars="0"/>
              <w:jc w:val="center"/>
              <w:rPr>
                <w:rFonts w:cs="宋体"/>
                <w:color w:val="auto"/>
                <w:sz w:val="21"/>
                <w:szCs w:val="21"/>
                <w:highlight w:val="none"/>
              </w:rPr>
            </w:pPr>
            <w:r>
              <w:rPr>
                <w:rFonts w:hint="eastAsia" w:cs="宋体"/>
                <w:color w:val="auto"/>
                <w:sz w:val="21"/>
                <w:szCs w:val="21"/>
                <w:highlight w:val="none"/>
              </w:rPr>
              <w:t>2</w:t>
            </w:r>
          </w:p>
        </w:tc>
        <w:tc>
          <w:tcPr>
            <w:tcW w:w="2268" w:type="dxa"/>
            <w:tcBorders>
              <w:top w:val="single" w:color="auto" w:sz="6" w:space="0"/>
              <w:left w:val="single" w:color="auto" w:sz="6" w:space="0"/>
              <w:bottom w:val="single" w:color="auto" w:sz="6" w:space="0"/>
              <w:right w:val="single" w:color="auto" w:sz="6" w:space="0"/>
            </w:tcBorders>
            <w:vAlign w:val="center"/>
          </w:tcPr>
          <w:p w14:paraId="28182E93">
            <w:pPr>
              <w:pStyle w:val="145"/>
              <w:shd w:val="clear"/>
              <w:ind w:firstLine="420" w:firstLineChars="200"/>
              <w:rPr>
                <w:rFonts w:cs="宋体"/>
                <w:color w:val="auto"/>
                <w:sz w:val="21"/>
                <w:szCs w:val="21"/>
                <w:highlight w:val="none"/>
              </w:rPr>
            </w:pPr>
            <w:bookmarkStart w:id="810" w:name="_Toc23745"/>
            <w:r>
              <w:rPr>
                <w:rFonts w:hint="eastAsia" w:cs="宋体"/>
                <w:color w:val="auto"/>
                <w:sz w:val="21"/>
                <w:szCs w:val="21"/>
                <w:highlight w:val="none"/>
              </w:rPr>
              <w:t>主卷扬室UPS</w:t>
            </w:r>
            <w:bookmarkEnd w:id="810"/>
          </w:p>
        </w:tc>
        <w:tc>
          <w:tcPr>
            <w:tcW w:w="2410" w:type="dxa"/>
            <w:tcBorders>
              <w:top w:val="single" w:color="auto" w:sz="6" w:space="0"/>
              <w:left w:val="single" w:color="auto" w:sz="6" w:space="0"/>
              <w:bottom w:val="single" w:color="auto" w:sz="6" w:space="0"/>
              <w:right w:val="single" w:color="auto" w:sz="6" w:space="0"/>
            </w:tcBorders>
            <w:vAlign w:val="center"/>
          </w:tcPr>
          <w:p w14:paraId="614A8D70">
            <w:pPr>
              <w:pStyle w:val="145"/>
              <w:shd w:val="clear"/>
              <w:rPr>
                <w:rFonts w:cs="宋体"/>
                <w:color w:val="auto"/>
                <w:sz w:val="21"/>
                <w:szCs w:val="21"/>
                <w:highlight w:val="none"/>
              </w:rPr>
            </w:pPr>
            <w:bookmarkStart w:id="811" w:name="_Toc32180"/>
            <w:r>
              <w:rPr>
                <w:rFonts w:hint="eastAsia" w:cs="宋体"/>
                <w:color w:val="auto"/>
                <w:sz w:val="21"/>
                <w:szCs w:val="21"/>
                <w:highlight w:val="none"/>
              </w:rPr>
              <w:t>6KVA，30分钟</w:t>
            </w:r>
            <w:bookmarkEnd w:id="811"/>
          </w:p>
        </w:tc>
        <w:tc>
          <w:tcPr>
            <w:tcW w:w="1701" w:type="dxa"/>
            <w:tcBorders>
              <w:top w:val="single" w:color="auto" w:sz="6" w:space="0"/>
              <w:left w:val="single" w:color="auto" w:sz="6" w:space="0"/>
              <w:bottom w:val="single" w:color="auto" w:sz="6" w:space="0"/>
              <w:right w:val="single" w:color="auto" w:sz="6" w:space="0"/>
            </w:tcBorders>
          </w:tcPr>
          <w:p w14:paraId="42336A6B">
            <w:pPr>
              <w:shd w:val="clear"/>
              <w:ind w:firstLine="0" w:firstLineChars="0"/>
              <w:jc w:val="center"/>
              <w:rPr>
                <w:rFonts w:cs="宋体"/>
                <w:color w:val="auto"/>
                <w:sz w:val="21"/>
                <w:szCs w:val="21"/>
                <w:highlight w:val="none"/>
              </w:rPr>
            </w:pPr>
            <w:r>
              <w:rPr>
                <w:rFonts w:hint="eastAsia" w:cs="宋体"/>
                <w:color w:val="auto"/>
                <w:sz w:val="21"/>
                <w:szCs w:val="21"/>
                <w:highlight w:val="none"/>
              </w:rPr>
              <w:t>1</w:t>
            </w:r>
          </w:p>
        </w:tc>
        <w:tc>
          <w:tcPr>
            <w:tcW w:w="1843" w:type="dxa"/>
            <w:tcBorders>
              <w:top w:val="single" w:color="auto" w:sz="6" w:space="0"/>
              <w:left w:val="single" w:color="auto" w:sz="6" w:space="0"/>
              <w:bottom w:val="single" w:color="auto" w:sz="6" w:space="0"/>
              <w:right w:val="single" w:color="auto" w:sz="12" w:space="0"/>
            </w:tcBorders>
            <w:vAlign w:val="bottom"/>
          </w:tcPr>
          <w:p w14:paraId="4D3F8DB6">
            <w:pPr>
              <w:shd w:val="clear"/>
              <w:ind w:firstLine="0" w:firstLineChars="0"/>
              <w:jc w:val="center"/>
              <w:rPr>
                <w:rFonts w:cs="宋体"/>
                <w:color w:val="auto"/>
                <w:sz w:val="21"/>
                <w:szCs w:val="21"/>
                <w:highlight w:val="none"/>
              </w:rPr>
            </w:pPr>
            <w:r>
              <w:rPr>
                <w:rFonts w:hint="eastAsia" w:cs="宋体"/>
                <w:color w:val="auto"/>
                <w:sz w:val="21"/>
                <w:szCs w:val="21"/>
                <w:highlight w:val="none"/>
              </w:rPr>
              <w:t>容量参考现有UPS容量</w:t>
            </w:r>
          </w:p>
        </w:tc>
      </w:tr>
      <w:tr w14:paraId="7367AD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4" w:hRule="atLeast"/>
        </w:trPr>
        <w:tc>
          <w:tcPr>
            <w:tcW w:w="817" w:type="dxa"/>
            <w:tcBorders>
              <w:top w:val="single" w:color="auto" w:sz="6" w:space="0"/>
              <w:left w:val="single" w:color="auto" w:sz="12" w:space="0"/>
              <w:bottom w:val="single" w:color="auto" w:sz="6" w:space="0"/>
              <w:right w:val="single" w:color="auto" w:sz="6" w:space="0"/>
            </w:tcBorders>
            <w:vAlign w:val="center"/>
          </w:tcPr>
          <w:p w14:paraId="130B5985">
            <w:pPr>
              <w:shd w:val="clear"/>
              <w:ind w:firstLine="0" w:firstLineChars="0"/>
              <w:jc w:val="center"/>
              <w:rPr>
                <w:rFonts w:cs="宋体"/>
                <w:color w:val="auto"/>
                <w:sz w:val="21"/>
                <w:szCs w:val="21"/>
                <w:highlight w:val="none"/>
              </w:rPr>
            </w:pPr>
            <w:r>
              <w:rPr>
                <w:rFonts w:hint="eastAsia" w:cs="宋体"/>
                <w:color w:val="auto"/>
                <w:sz w:val="21"/>
                <w:szCs w:val="21"/>
                <w:highlight w:val="none"/>
              </w:rPr>
              <w:t>3</w:t>
            </w:r>
          </w:p>
        </w:tc>
        <w:tc>
          <w:tcPr>
            <w:tcW w:w="2268" w:type="dxa"/>
            <w:tcBorders>
              <w:top w:val="single" w:color="auto" w:sz="6" w:space="0"/>
              <w:left w:val="single" w:color="auto" w:sz="6" w:space="0"/>
              <w:bottom w:val="single" w:color="auto" w:sz="6" w:space="0"/>
              <w:right w:val="single" w:color="auto" w:sz="6" w:space="0"/>
            </w:tcBorders>
            <w:vAlign w:val="center"/>
          </w:tcPr>
          <w:p w14:paraId="3C20DFC6">
            <w:pPr>
              <w:pStyle w:val="145"/>
              <w:shd w:val="clear"/>
              <w:ind w:firstLine="420" w:firstLineChars="200"/>
              <w:rPr>
                <w:rFonts w:cs="宋体"/>
                <w:color w:val="auto"/>
                <w:sz w:val="21"/>
                <w:szCs w:val="21"/>
                <w:highlight w:val="none"/>
              </w:rPr>
            </w:pPr>
            <w:bookmarkStart w:id="812" w:name="_Toc6792"/>
            <w:r>
              <w:rPr>
                <w:rFonts w:hint="eastAsia" w:cs="宋体"/>
                <w:color w:val="auto"/>
                <w:sz w:val="21"/>
                <w:szCs w:val="21"/>
                <w:highlight w:val="none"/>
              </w:rPr>
              <w:t>干法除尘UPS</w:t>
            </w:r>
            <w:bookmarkEnd w:id="812"/>
          </w:p>
        </w:tc>
        <w:tc>
          <w:tcPr>
            <w:tcW w:w="2410" w:type="dxa"/>
            <w:tcBorders>
              <w:top w:val="single" w:color="auto" w:sz="6" w:space="0"/>
              <w:left w:val="single" w:color="auto" w:sz="6" w:space="0"/>
              <w:bottom w:val="single" w:color="auto" w:sz="6" w:space="0"/>
              <w:right w:val="single" w:color="auto" w:sz="6" w:space="0"/>
            </w:tcBorders>
            <w:vAlign w:val="center"/>
          </w:tcPr>
          <w:p w14:paraId="2B170DFD">
            <w:pPr>
              <w:pStyle w:val="145"/>
              <w:shd w:val="clear"/>
              <w:rPr>
                <w:rFonts w:cs="宋体"/>
                <w:color w:val="auto"/>
                <w:sz w:val="21"/>
                <w:szCs w:val="21"/>
                <w:highlight w:val="none"/>
              </w:rPr>
            </w:pPr>
            <w:bookmarkStart w:id="813" w:name="_Toc27957"/>
            <w:r>
              <w:rPr>
                <w:rFonts w:hint="eastAsia" w:cs="宋体"/>
                <w:color w:val="auto"/>
                <w:sz w:val="21"/>
                <w:szCs w:val="21"/>
                <w:highlight w:val="none"/>
              </w:rPr>
              <w:t xml:space="preserve">6KVA，30分钟 </w:t>
            </w:r>
            <w:bookmarkEnd w:id="813"/>
            <w:r>
              <w:rPr>
                <w:rFonts w:hint="eastAsia" w:cs="宋体"/>
                <w:color w:val="auto"/>
                <w:sz w:val="21"/>
                <w:szCs w:val="21"/>
                <w:highlight w:val="none"/>
              </w:rPr>
              <w:t xml:space="preserve"> </w:t>
            </w:r>
          </w:p>
        </w:tc>
        <w:tc>
          <w:tcPr>
            <w:tcW w:w="1701" w:type="dxa"/>
            <w:tcBorders>
              <w:top w:val="single" w:color="auto" w:sz="6" w:space="0"/>
              <w:left w:val="single" w:color="auto" w:sz="6" w:space="0"/>
              <w:bottom w:val="single" w:color="auto" w:sz="6" w:space="0"/>
              <w:right w:val="single" w:color="auto" w:sz="6" w:space="0"/>
            </w:tcBorders>
          </w:tcPr>
          <w:p w14:paraId="6661DCB9">
            <w:pPr>
              <w:shd w:val="clear"/>
              <w:ind w:firstLine="0" w:firstLineChars="0"/>
              <w:jc w:val="center"/>
              <w:rPr>
                <w:rFonts w:cs="宋体"/>
                <w:color w:val="auto"/>
                <w:sz w:val="21"/>
                <w:szCs w:val="21"/>
                <w:highlight w:val="none"/>
              </w:rPr>
            </w:pPr>
            <w:r>
              <w:rPr>
                <w:rFonts w:hint="eastAsia" w:cs="宋体"/>
                <w:color w:val="auto"/>
                <w:sz w:val="21"/>
                <w:szCs w:val="21"/>
                <w:highlight w:val="none"/>
              </w:rPr>
              <w:t>1</w:t>
            </w:r>
          </w:p>
        </w:tc>
        <w:tc>
          <w:tcPr>
            <w:tcW w:w="1843" w:type="dxa"/>
            <w:tcBorders>
              <w:top w:val="single" w:color="auto" w:sz="6" w:space="0"/>
              <w:left w:val="single" w:color="auto" w:sz="6" w:space="0"/>
              <w:bottom w:val="single" w:color="auto" w:sz="6" w:space="0"/>
              <w:right w:val="single" w:color="auto" w:sz="12" w:space="0"/>
            </w:tcBorders>
            <w:vAlign w:val="bottom"/>
          </w:tcPr>
          <w:p w14:paraId="4D335566">
            <w:pPr>
              <w:shd w:val="clear"/>
              <w:ind w:firstLine="0" w:firstLineChars="0"/>
              <w:jc w:val="center"/>
              <w:rPr>
                <w:rFonts w:cs="宋体"/>
                <w:color w:val="auto"/>
                <w:sz w:val="21"/>
                <w:szCs w:val="21"/>
                <w:highlight w:val="none"/>
              </w:rPr>
            </w:pPr>
            <w:r>
              <w:rPr>
                <w:rFonts w:hint="eastAsia" w:cs="宋体"/>
                <w:color w:val="auto"/>
                <w:sz w:val="21"/>
                <w:szCs w:val="21"/>
                <w:highlight w:val="none"/>
              </w:rPr>
              <w:t>容量参考现有UPS容量</w:t>
            </w:r>
          </w:p>
        </w:tc>
      </w:tr>
      <w:tr w14:paraId="309C1E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4" w:hRule="atLeast"/>
        </w:trPr>
        <w:tc>
          <w:tcPr>
            <w:tcW w:w="817" w:type="dxa"/>
            <w:tcBorders>
              <w:top w:val="single" w:color="auto" w:sz="6" w:space="0"/>
              <w:left w:val="single" w:color="auto" w:sz="12" w:space="0"/>
              <w:bottom w:val="single" w:color="auto" w:sz="6" w:space="0"/>
              <w:right w:val="single" w:color="auto" w:sz="6" w:space="0"/>
            </w:tcBorders>
            <w:vAlign w:val="center"/>
          </w:tcPr>
          <w:p w14:paraId="32BC8F66">
            <w:pPr>
              <w:shd w:val="clear"/>
              <w:ind w:firstLine="0" w:firstLineChars="0"/>
              <w:jc w:val="center"/>
              <w:rPr>
                <w:rFonts w:cs="宋体"/>
                <w:color w:val="auto"/>
                <w:sz w:val="21"/>
                <w:szCs w:val="21"/>
                <w:highlight w:val="none"/>
              </w:rPr>
            </w:pPr>
            <w:r>
              <w:rPr>
                <w:rFonts w:hint="eastAsia" w:cs="宋体"/>
                <w:color w:val="auto"/>
                <w:sz w:val="21"/>
                <w:szCs w:val="21"/>
                <w:highlight w:val="none"/>
              </w:rPr>
              <w:t>4</w:t>
            </w:r>
          </w:p>
        </w:tc>
        <w:tc>
          <w:tcPr>
            <w:tcW w:w="2268" w:type="dxa"/>
            <w:tcBorders>
              <w:top w:val="single" w:color="auto" w:sz="6" w:space="0"/>
              <w:left w:val="single" w:color="auto" w:sz="6" w:space="0"/>
              <w:bottom w:val="single" w:color="auto" w:sz="6" w:space="0"/>
              <w:right w:val="single" w:color="auto" w:sz="6" w:space="0"/>
            </w:tcBorders>
            <w:vAlign w:val="center"/>
          </w:tcPr>
          <w:p w14:paraId="267861AD">
            <w:pPr>
              <w:pStyle w:val="145"/>
              <w:shd w:val="clear"/>
              <w:ind w:firstLine="420" w:firstLineChars="200"/>
              <w:rPr>
                <w:rFonts w:cs="宋体"/>
                <w:color w:val="auto"/>
                <w:sz w:val="21"/>
                <w:szCs w:val="21"/>
                <w:highlight w:val="none"/>
              </w:rPr>
            </w:pPr>
            <w:bookmarkStart w:id="814" w:name="_Toc16669"/>
            <w:r>
              <w:rPr>
                <w:rFonts w:hint="eastAsia" w:cs="宋体"/>
                <w:color w:val="auto"/>
                <w:sz w:val="21"/>
                <w:szCs w:val="21"/>
                <w:highlight w:val="none"/>
              </w:rPr>
              <w:t>水泵房UPS</w:t>
            </w:r>
            <w:bookmarkEnd w:id="814"/>
          </w:p>
        </w:tc>
        <w:tc>
          <w:tcPr>
            <w:tcW w:w="2410" w:type="dxa"/>
            <w:tcBorders>
              <w:top w:val="single" w:color="auto" w:sz="6" w:space="0"/>
              <w:left w:val="single" w:color="auto" w:sz="6" w:space="0"/>
              <w:bottom w:val="single" w:color="auto" w:sz="6" w:space="0"/>
              <w:right w:val="single" w:color="auto" w:sz="6" w:space="0"/>
            </w:tcBorders>
            <w:vAlign w:val="center"/>
          </w:tcPr>
          <w:p w14:paraId="2843C962">
            <w:pPr>
              <w:pStyle w:val="145"/>
              <w:shd w:val="clear"/>
              <w:rPr>
                <w:rFonts w:cs="宋体"/>
                <w:color w:val="auto"/>
                <w:sz w:val="21"/>
                <w:szCs w:val="21"/>
                <w:highlight w:val="none"/>
              </w:rPr>
            </w:pPr>
            <w:bookmarkStart w:id="815" w:name="_Toc19274"/>
            <w:r>
              <w:rPr>
                <w:rFonts w:hint="eastAsia" w:cs="宋体"/>
                <w:color w:val="auto"/>
                <w:sz w:val="21"/>
                <w:szCs w:val="21"/>
                <w:highlight w:val="none"/>
              </w:rPr>
              <w:t>10KVA，30分钟，冗余</w:t>
            </w:r>
            <w:bookmarkEnd w:id="815"/>
          </w:p>
        </w:tc>
        <w:tc>
          <w:tcPr>
            <w:tcW w:w="1701" w:type="dxa"/>
            <w:tcBorders>
              <w:top w:val="single" w:color="auto" w:sz="6" w:space="0"/>
              <w:left w:val="single" w:color="auto" w:sz="6" w:space="0"/>
              <w:bottom w:val="single" w:color="auto" w:sz="6" w:space="0"/>
              <w:right w:val="single" w:color="auto" w:sz="6" w:space="0"/>
            </w:tcBorders>
          </w:tcPr>
          <w:p w14:paraId="62B388A0">
            <w:pPr>
              <w:shd w:val="clear"/>
              <w:ind w:firstLine="0" w:firstLineChars="0"/>
              <w:jc w:val="center"/>
              <w:rPr>
                <w:rFonts w:cs="宋体"/>
                <w:color w:val="auto"/>
                <w:sz w:val="21"/>
                <w:szCs w:val="21"/>
                <w:highlight w:val="none"/>
              </w:rPr>
            </w:pPr>
            <w:r>
              <w:rPr>
                <w:rFonts w:hint="eastAsia" w:cs="宋体"/>
                <w:color w:val="auto"/>
                <w:sz w:val="21"/>
                <w:szCs w:val="21"/>
                <w:highlight w:val="none"/>
              </w:rPr>
              <w:t>1</w:t>
            </w:r>
          </w:p>
        </w:tc>
        <w:tc>
          <w:tcPr>
            <w:tcW w:w="1843" w:type="dxa"/>
            <w:tcBorders>
              <w:top w:val="single" w:color="auto" w:sz="6" w:space="0"/>
              <w:left w:val="single" w:color="auto" w:sz="6" w:space="0"/>
              <w:bottom w:val="single" w:color="auto" w:sz="6" w:space="0"/>
              <w:right w:val="single" w:color="auto" w:sz="12" w:space="0"/>
            </w:tcBorders>
            <w:vAlign w:val="bottom"/>
          </w:tcPr>
          <w:p w14:paraId="1B24A176">
            <w:pPr>
              <w:shd w:val="clear"/>
              <w:ind w:firstLine="0" w:firstLineChars="0"/>
              <w:jc w:val="center"/>
              <w:rPr>
                <w:rFonts w:cs="宋体"/>
                <w:color w:val="auto"/>
                <w:sz w:val="21"/>
                <w:szCs w:val="21"/>
                <w:highlight w:val="none"/>
              </w:rPr>
            </w:pPr>
          </w:p>
        </w:tc>
      </w:tr>
    </w:tbl>
    <w:p w14:paraId="61C48CCD">
      <w:pPr>
        <w:shd w:val="clear"/>
        <w:ind w:firstLine="0" w:firstLineChars="0"/>
        <w:outlineLvl w:val="3"/>
        <w:rPr>
          <w:color w:val="auto"/>
          <w:highlight w:val="none"/>
        </w:rPr>
      </w:pPr>
      <w:r>
        <w:rPr>
          <w:rFonts w:hint="eastAsia"/>
          <w:color w:val="auto"/>
          <w:highlight w:val="none"/>
        </w:rPr>
        <w:t>9.2.4.2 新增返矿PLC控制系统</w:t>
      </w:r>
    </w:p>
    <w:p w14:paraId="4D588085">
      <w:pPr>
        <w:shd w:val="clear"/>
        <w:rPr>
          <w:rFonts w:ascii="Times New Roman"/>
          <w:color w:val="auto"/>
          <w:highlight w:val="none"/>
        </w:rPr>
      </w:pPr>
      <w:r>
        <w:rPr>
          <w:rFonts w:ascii="Times New Roman"/>
          <w:color w:val="auto"/>
          <w:highlight w:val="none"/>
        </w:rPr>
        <w:t>2#高炉新增返矿外送系统自动化控制系统由 PLC 控制柜、工程师站、操作员站、通讯网络等部分组成。</w:t>
      </w:r>
    </w:p>
    <w:p w14:paraId="09E7FC40">
      <w:pPr>
        <w:shd w:val="clear"/>
        <w:rPr>
          <w:rFonts w:ascii="Times New Roman"/>
          <w:color w:val="auto"/>
          <w:highlight w:val="none"/>
        </w:rPr>
      </w:pPr>
      <w:bookmarkStart w:id="816" w:name="OLE_LINK3"/>
      <w:r>
        <w:rPr>
          <w:rFonts w:ascii="Times New Roman"/>
          <w:color w:val="auto"/>
          <w:highlight w:val="none"/>
        </w:rPr>
        <w:t>返矿</w:t>
      </w:r>
      <w:r>
        <w:rPr>
          <w:rFonts w:hint="eastAsia" w:ascii="Times New Roman"/>
          <w:color w:val="auto"/>
          <w:highlight w:val="none"/>
        </w:rPr>
        <w:t>P</w:t>
      </w:r>
      <w:r>
        <w:rPr>
          <w:rFonts w:ascii="Times New Roman"/>
          <w:color w:val="auto"/>
          <w:highlight w:val="none"/>
        </w:rPr>
        <w:t>LC柜安装在新建返矿配电室</w:t>
      </w:r>
      <w:r>
        <w:rPr>
          <w:rFonts w:hint="eastAsia" w:ascii="Times New Roman"/>
          <w:color w:val="auto"/>
          <w:highlight w:val="none"/>
        </w:rPr>
        <w:t>。</w:t>
      </w:r>
      <w:r>
        <w:rPr>
          <w:rFonts w:ascii="Times New Roman"/>
          <w:color w:val="auto"/>
          <w:highlight w:val="none"/>
        </w:rPr>
        <w:t>返矿</w:t>
      </w:r>
      <w:bookmarkEnd w:id="816"/>
      <w:r>
        <w:rPr>
          <w:rFonts w:hint="eastAsia" w:ascii="Times New Roman"/>
          <w:color w:val="auto"/>
          <w:highlight w:val="none"/>
        </w:rPr>
        <w:t>P</w:t>
      </w:r>
      <w:r>
        <w:rPr>
          <w:rFonts w:ascii="Times New Roman"/>
          <w:color w:val="auto"/>
          <w:highlight w:val="none"/>
        </w:rPr>
        <w:t>LC选用</w:t>
      </w:r>
      <w:r>
        <w:rPr>
          <w:rFonts w:hint="eastAsia" w:ascii="Times New Roman"/>
          <w:color w:val="auto"/>
          <w:highlight w:val="none"/>
        </w:rPr>
        <w:t>A</w:t>
      </w:r>
      <w:r>
        <w:rPr>
          <w:rFonts w:ascii="Times New Roman"/>
          <w:color w:val="auto"/>
          <w:highlight w:val="none"/>
        </w:rPr>
        <w:t>B品牌</w:t>
      </w:r>
      <w:r>
        <w:rPr>
          <w:rFonts w:hint="eastAsia" w:ascii="Times New Roman"/>
          <w:color w:val="auto"/>
          <w:highlight w:val="none"/>
        </w:rPr>
        <w:t>P</w:t>
      </w:r>
      <w:r>
        <w:rPr>
          <w:rFonts w:ascii="Times New Roman"/>
          <w:color w:val="auto"/>
          <w:highlight w:val="none"/>
        </w:rPr>
        <w:t>LC，其选型与矿槽</w:t>
      </w:r>
      <w:r>
        <w:rPr>
          <w:rFonts w:hint="eastAsia" w:ascii="Times New Roman"/>
          <w:color w:val="auto"/>
          <w:highlight w:val="none"/>
        </w:rPr>
        <w:t>P</w:t>
      </w:r>
      <w:r>
        <w:rPr>
          <w:rFonts w:ascii="Times New Roman"/>
          <w:color w:val="auto"/>
          <w:highlight w:val="none"/>
        </w:rPr>
        <w:t>LC的选型保持一致，作为矿槽</w:t>
      </w:r>
      <w:r>
        <w:rPr>
          <w:rFonts w:hint="eastAsia" w:ascii="Times New Roman"/>
          <w:color w:val="auto"/>
          <w:highlight w:val="none"/>
        </w:rPr>
        <w:t>P</w:t>
      </w:r>
      <w:r>
        <w:rPr>
          <w:rFonts w:ascii="Times New Roman"/>
          <w:color w:val="auto"/>
          <w:highlight w:val="none"/>
        </w:rPr>
        <w:t>LC的</w:t>
      </w:r>
      <w:r>
        <w:rPr>
          <w:rFonts w:hint="eastAsia" w:ascii="Times New Roman"/>
          <w:color w:val="auto"/>
          <w:highlight w:val="none"/>
        </w:rPr>
        <w:t>I</w:t>
      </w:r>
      <w:r>
        <w:rPr>
          <w:rFonts w:ascii="Times New Roman"/>
          <w:color w:val="auto"/>
          <w:highlight w:val="none"/>
        </w:rPr>
        <w:t>O站接入矿槽</w:t>
      </w:r>
      <w:r>
        <w:rPr>
          <w:rFonts w:hint="eastAsia" w:ascii="Times New Roman"/>
          <w:color w:val="auto"/>
          <w:highlight w:val="none"/>
        </w:rPr>
        <w:t>P</w:t>
      </w:r>
      <w:r>
        <w:rPr>
          <w:rFonts w:ascii="Times New Roman"/>
          <w:color w:val="auto"/>
          <w:highlight w:val="none"/>
        </w:rPr>
        <w:t>LC系统。PLC硬件按20%I/O备用、50%内存备用、10%空槽位配置。模拟量输入、输出信号经配电器、隔离器接入</w:t>
      </w:r>
      <w:r>
        <w:rPr>
          <w:rFonts w:hint="eastAsia" w:ascii="Times New Roman"/>
          <w:color w:val="auto"/>
          <w:highlight w:val="none"/>
        </w:rPr>
        <w:t>A</w:t>
      </w:r>
      <w:r>
        <w:rPr>
          <w:rFonts w:ascii="Times New Roman"/>
          <w:color w:val="auto"/>
          <w:highlight w:val="none"/>
        </w:rPr>
        <w:t>I/AO模块；开关量</w:t>
      </w:r>
      <w:r>
        <w:rPr>
          <w:rFonts w:hint="eastAsia" w:ascii="Times New Roman"/>
          <w:color w:val="auto"/>
          <w:highlight w:val="none"/>
        </w:rPr>
        <w:t>输入/</w:t>
      </w:r>
      <w:r>
        <w:rPr>
          <w:rFonts w:ascii="Times New Roman"/>
          <w:color w:val="auto"/>
          <w:highlight w:val="none"/>
        </w:rPr>
        <w:t>输出</w:t>
      </w:r>
      <w:r>
        <w:rPr>
          <w:rFonts w:hint="eastAsia" w:ascii="Times New Roman"/>
          <w:color w:val="auto"/>
          <w:highlight w:val="none"/>
        </w:rPr>
        <w:t>(</w:t>
      </w:r>
      <w:r>
        <w:rPr>
          <w:rFonts w:ascii="Times New Roman"/>
          <w:color w:val="auto"/>
          <w:highlight w:val="none"/>
        </w:rPr>
        <w:t>DI/DO)模块均通过</w:t>
      </w:r>
      <w:r>
        <w:rPr>
          <w:rFonts w:hint="eastAsia" w:ascii="Times New Roman"/>
          <w:color w:val="auto"/>
          <w:highlight w:val="none"/>
        </w:rPr>
        <w:t>带指示灯的中间</w:t>
      </w:r>
      <w:r>
        <w:rPr>
          <w:rFonts w:ascii="Times New Roman"/>
          <w:color w:val="auto"/>
          <w:highlight w:val="none"/>
        </w:rPr>
        <w:t>继电器隔离输入</w:t>
      </w:r>
      <w:r>
        <w:rPr>
          <w:rFonts w:hint="eastAsia" w:ascii="Times New Roman"/>
          <w:color w:val="auto"/>
          <w:highlight w:val="none"/>
        </w:rPr>
        <w:t>/</w:t>
      </w:r>
      <w:r>
        <w:rPr>
          <w:rFonts w:ascii="Times New Roman"/>
          <w:color w:val="auto"/>
          <w:highlight w:val="none"/>
        </w:rPr>
        <w:t>输出信号。温度检测信号直接接入温度模块（</w:t>
      </w:r>
      <w:r>
        <w:rPr>
          <w:rFonts w:hint="eastAsia" w:ascii="Times New Roman"/>
          <w:color w:val="auto"/>
          <w:highlight w:val="none"/>
        </w:rPr>
        <w:t>R</w:t>
      </w:r>
      <w:r>
        <w:rPr>
          <w:rFonts w:ascii="Times New Roman"/>
          <w:color w:val="auto"/>
          <w:highlight w:val="none"/>
        </w:rPr>
        <w:t>TD或</w:t>
      </w:r>
      <w:r>
        <w:rPr>
          <w:rFonts w:hint="eastAsia" w:ascii="Times New Roman"/>
          <w:color w:val="auto"/>
          <w:highlight w:val="none"/>
        </w:rPr>
        <w:t>T</w:t>
      </w:r>
      <w:r>
        <w:rPr>
          <w:rFonts w:ascii="Times New Roman"/>
          <w:color w:val="auto"/>
          <w:highlight w:val="none"/>
        </w:rPr>
        <w:t>C模块），以减少控制柜内的配线，若系统温度信号较少，温度信号则采用温度变送器转换成4~20mA后，再接入系统。</w:t>
      </w:r>
      <w:r>
        <w:rPr>
          <w:rFonts w:hint="eastAsia"/>
          <w:color w:val="auto"/>
          <w:highlight w:val="none"/>
        </w:rPr>
        <w:t>传动设备的正常柜和备用柜I/O信号的模块分机架设置，避免故障后影响多台设备。</w:t>
      </w:r>
    </w:p>
    <w:p w14:paraId="620CDACB">
      <w:pPr>
        <w:shd w:val="clear"/>
        <w:rPr>
          <w:color w:val="auto"/>
          <w:highlight w:val="none"/>
        </w:rPr>
      </w:pPr>
      <w:r>
        <w:rPr>
          <w:rFonts w:ascii="Times New Roman"/>
          <w:color w:val="auto"/>
          <w:highlight w:val="none"/>
        </w:rPr>
        <w:t>在原 2 号高炉值班室新增 1 台操作员站，实现返矿系统的远程监控。工程师站与地沟电磁站现有上位机共用。</w:t>
      </w:r>
      <w:r>
        <w:rPr>
          <w:rFonts w:hint="eastAsia"/>
          <w:color w:val="auto"/>
          <w:highlight w:val="none"/>
        </w:rPr>
        <w:t xml:space="preserve">上位机采用知名品牌台式机，当前主流配置，不低于以下配置：Intel酷睿双核 i7-12代；RAM：16GB；硬盘：256G </w:t>
      </w:r>
      <w:r>
        <w:rPr>
          <w:color w:val="auto"/>
          <w:highlight w:val="none"/>
        </w:rPr>
        <w:t>SSD+</w:t>
      </w:r>
      <w:r>
        <w:rPr>
          <w:rFonts w:hint="eastAsia"/>
          <w:color w:val="auto"/>
          <w:highlight w:val="none"/>
        </w:rPr>
        <w:t>512G</w:t>
      </w:r>
      <w:r>
        <w:rPr>
          <w:color w:val="auto"/>
          <w:highlight w:val="none"/>
        </w:rPr>
        <w:t>机械硬盘</w:t>
      </w:r>
      <w:r>
        <w:rPr>
          <w:rFonts w:hint="eastAsia"/>
          <w:color w:val="auto"/>
          <w:highlight w:val="none"/>
        </w:rPr>
        <w:t>；键盘：美国标准101键盘；鼠标：标准；以太网卡：100/1000MB自适应；2</w:t>
      </w:r>
      <w:r>
        <w:rPr>
          <w:color w:val="auto"/>
          <w:highlight w:val="none"/>
        </w:rPr>
        <w:t>7</w:t>
      </w:r>
      <w:r>
        <w:rPr>
          <w:rFonts w:hint="eastAsia"/>
          <w:color w:val="auto"/>
          <w:highlight w:val="none"/>
        </w:rPr>
        <w:t>"显示器，分辨率为1920*1080；软件配置：WINDOWS 10中文版操作系统（正版授权）。</w:t>
      </w:r>
    </w:p>
    <w:p w14:paraId="5577744A">
      <w:pPr>
        <w:widowControl/>
        <w:shd w:val="clear"/>
        <w:rPr>
          <w:bCs/>
          <w:color w:val="auto"/>
          <w:highlight w:val="none"/>
        </w:rPr>
      </w:pPr>
      <w:bookmarkStart w:id="817" w:name="OLE_LINK14"/>
      <w:bookmarkStart w:id="818" w:name="OLE_LINK15"/>
      <w:bookmarkStart w:id="819" w:name="OLE_LINK16"/>
      <w:bookmarkStart w:id="820" w:name="_Toc12475"/>
      <w:bookmarkStart w:id="821" w:name="_Toc31624"/>
      <w:r>
        <w:rPr>
          <w:rFonts w:ascii="Times New Roman"/>
          <w:color w:val="auto"/>
          <w:highlight w:val="none"/>
        </w:rPr>
        <w:t>返矿</w:t>
      </w:r>
      <w:bookmarkEnd w:id="817"/>
      <w:bookmarkEnd w:id="818"/>
      <w:r>
        <w:rPr>
          <w:rFonts w:ascii="Times New Roman"/>
          <w:color w:val="auto"/>
          <w:highlight w:val="none"/>
        </w:rPr>
        <w:t>PLC</w:t>
      </w:r>
      <w:bookmarkEnd w:id="819"/>
      <w:r>
        <w:rPr>
          <w:rFonts w:ascii="Times New Roman"/>
          <w:color w:val="auto"/>
          <w:highlight w:val="none"/>
        </w:rPr>
        <w:t>与HMI、与其他系统</w:t>
      </w:r>
      <w:r>
        <w:rPr>
          <w:rFonts w:hint="eastAsia" w:ascii="Times New Roman"/>
          <w:color w:val="auto"/>
          <w:highlight w:val="none"/>
        </w:rPr>
        <w:t>P</w:t>
      </w:r>
      <w:r>
        <w:rPr>
          <w:rFonts w:ascii="Times New Roman"/>
          <w:color w:val="auto"/>
          <w:highlight w:val="none"/>
        </w:rPr>
        <w:t>LC之间采用以太网通讯，通讯介质为</w:t>
      </w:r>
      <w:r>
        <w:rPr>
          <w:rFonts w:hint="eastAsia" w:ascii="Times New Roman"/>
          <w:color w:val="auto"/>
          <w:highlight w:val="none"/>
        </w:rPr>
        <w:t>七类屏蔽网线</w:t>
      </w:r>
      <w:r>
        <w:rPr>
          <w:rFonts w:hint="eastAsia"/>
          <w:color w:val="auto"/>
          <w:highlight w:val="none"/>
        </w:rPr>
        <w:t>或单模光纤，光纤</w:t>
      </w:r>
      <w:r>
        <w:rPr>
          <w:bCs/>
          <w:color w:val="auto"/>
          <w:highlight w:val="none"/>
        </w:rPr>
        <w:t>芯数不少于4芯。</w:t>
      </w:r>
      <w:r>
        <w:rPr>
          <w:rFonts w:hint="eastAsia"/>
          <w:bCs/>
          <w:color w:val="auto"/>
          <w:highlight w:val="none"/>
        </w:rPr>
        <w:t>所有网络通讯设备（交换机、光纤收发器等）选用工业级通讯设备。</w:t>
      </w:r>
      <w:r>
        <w:rPr>
          <w:color w:val="auto"/>
          <w:highlight w:val="none"/>
        </w:rPr>
        <w:t>交换机采用</w:t>
      </w:r>
      <w:r>
        <w:rPr>
          <w:bCs/>
          <w:color w:val="auto"/>
          <w:highlight w:val="none"/>
        </w:rPr>
        <w:t>工业级以太网交换机，预留至少20% 的备用端口。</w:t>
      </w:r>
      <w:r>
        <w:rPr>
          <w:rFonts w:hint="eastAsia"/>
          <w:bCs/>
          <w:color w:val="auto"/>
          <w:highlight w:val="none"/>
        </w:rPr>
        <w:t>通讯线缆和动力电缆、交流信号线分开单独敷设。</w:t>
      </w:r>
    </w:p>
    <w:p w14:paraId="3870E0E6">
      <w:pPr>
        <w:shd w:val="clear"/>
        <w:ind w:firstLine="0" w:firstLineChars="0"/>
        <w:outlineLvl w:val="1"/>
        <w:rPr>
          <w:rFonts w:cs="Times New Roman"/>
          <w:b/>
          <w:color w:val="auto"/>
          <w:sz w:val="28"/>
          <w:szCs w:val="28"/>
          <w:highlight w:val="none"/>
        </w:rPr>
      </w:pPr>
      <w:bookmarkStart w:id="822" w:name="_Toc10038"/>
      <w:bookmarkStart w:id="823" w:name="_Toc30161"/>
      <w:r>
        <w:rPr>
          <w:rFonts w:hint="eastAsia" w:cs="Times New Roman"/>
          <w:b/>
          <w:color w:val="auto"/>
          <w:sz w:val="28"/>
          <w:szCs w:val="28"/>
          <w:highlight w:val="none"/>
        </w:rPr>
        <w:t>9.3 过程自动化控制系统（L2）</w:t>
      </w:r>
      <w:bookmarkEnd w:id="820"/>
      <w:bookmarkEnd w:id="821"/>
      <w:bookmarkEnd w:id="822"/>
      <w:bookmarkEnd w:id="823"/>
    </w:p>
    <w:p w14:paraId="47B7B9E6">
      <w:pPr>
        <w:pStyle w:val="145"/>
        <w:shd w:val="clear"/>
        <w:rPr>
          <w:color w:val="auto"/>
          <w:highlight w:val="none"/>
        </w:rPr>
      </w:pPr>
      <w:bookmarkStart w:id="824" w:name="_Toc2353"/>
      <w:r>
        <w:rPr>
          <w:rFonts w:hint="eastAsia"/>
          <w:color w:val="auto"/>
          <w:highlight w:val="none"/>
        </w:rPr>
        <w:t>9.3.1设计范围</w:t>
      </w:r>
      <w:bookmarkEnd w:id="824"/>
    </w:p>
    <w:p w14:paraId="718596DB">
      <w:pPr>
        <w:shd w:val="clear"/>
        <w:rPr>
          <w:color w:val="auto"/>
          <w:highlight w:val="none"/>
        </w:rPr>
      </w:pPr>
      <w:r>
        <w:rPr>
          <w:rFonts w:hint="eastAsia"/>
          <w:color w:val="auto"/>
          <w:highlight w:val="none"/>
        </w:rPr>
        <w:t>本项目过程自动化系统设计范围主要包括智能主沟、热风炉智能燃烧两个系统。</w:t>
      </w:r>
    </w:p>
    <w:p w14:paraId="74D826A8">
      <w:pPr>
        <w:pStyle w:val="145"/>
        <w:shd w:val="clear"/>
        <w:rPr>
          <w:color w:val="auto"/>
          <w:highlight w:val="none"/>
        </w:rPr>
      </w:pPr>
      <w:bookmarkStart w:id="825" w:name="_Toc14331"/>
      <w:r>
        <w:rPr>
          <w:rFonts w:hint="eastAsia"/>
          <w:color w:val="auto"/>
          <w:highlight w:val="none"/>
        </w:rPr>
        <w:t>9.3.2热风炉智能燃烧系统</w:t>
      </w:r>
      <w:bookmarkEnd w:id="825"/>
    </w:p>
    <w:p w14:paraId="5B563C8A">
      <w:pPr>
        <w:pStyle w:val="74"/>
        <w:shd w:val="clear"/>
        <w:rPr>
          <w:color w:val="auto"/>
          <w:highlight w:val="none"/>
        </w:rPr>
      </w:pPr>
      <w:r>
        <w:rPr>
          <w:rFonts w:hint="eastAsia"/>
          <w:color w:val="auto"/>
          <w:highlight w:val="none"/>
        </w:rPr>
        <w:t>热风炉智能燃烧系统主要从智能化控制环节入手，并充分考虑工控环境对系统稳定性、安全性的要求，实现燃烧智能控制、智能应急响应、降低污染物排放、数据可视化等目标。</w:t>
      </w:r>
    </w:p>
    <w:p w14:paraId="0C390E46">
      <w:pPr>
        <w:pStyle w:val="74"/>
        <w:shd w:val="clear"/>
        <w:rPr>
          <w:color w:val="auto"/>
          <w:highlight w:val="none"/>
        </w:rPr>
      </w:pPr>
      <w:r>
        <w:rPr>
          <w:rFonts w:hint="eastAsia"/>
          <w:color w:val="auto"/>
          <w:highlight w:val="none"/>
        </w:rPr>
        <w:t>（1）系统硬件</w:t>
      </w:r>
    </w:p>
    <w:p w14:paraId="79FD0977">
      <w:pPr>
        <w:pStyle w:val="74"/>
        <w:shd w:val="clear"/>
        <w:rPr>
          <w:color w:val="auto"/>
          <w:highlight w:val="none"/>
        </w:rPr>
      </w:pPr>
      <w:r>
        <w:rPr>
          <w:rFonts w:hint="eastAsia"/>
          <w:color w:val="auto"/>
          <w:highlight w:val="none"/>
        </w:rPr>
        <w:t>系统通过上位工控机作为智能燃烧系统计算机，主要用于运行热风炉智能燃烧系统软件及配套的数据库、通讯软件，实现热风炉燃烧过程的智能化控制，实现数据整合、计算、分析等功能。同时用于显示热风炉系统工作状态，设置工作参数，存储历史数据，显示和导出热风炉数据报表等。</w:t>
      </w:r>
    </w:p>
    <w:p w14:paraId="566205D1">
      <w:pPr>
        <w:pStyle w:val="74"/>
        <w:shd w:val="clear"/>
        <w:rPr>
          <w:color w:val="auto"/>
          <w:highlight w:val="none"/>
        </w:rPr>
      </w:pPr>
      <w:r>
        <w:rPr>
          <w:rFonts w:hint="eastAsia"/>
          <w:color w:val="auto"/>
          <w:highlight w:val="none"/>
        </w:rPr>
        <w:t>在现有自动化网络中增加必要的通讯线路，使热风炉智能燃烧系统能嵌入现有的自动控制系统中。</w:t>
      </w:r>
    </w:p>
    <w:p w14:paraId="2E4A126A">
      <w:pPr>
        <w:pStyle w:val="74"/>
        <w:shd w:val="clear"/>
        <w:rPr>
          <w:color w:val="auto"/>
          <w:highlight w:val="none"/>
        </w:rPr>
      </w:pPr>
      <w:r>
        <w:rPr>
          <w:rFonts w:hint="eastAsia"/>
          <w:color w:val="auto"/>
          <w:highlight w:val="none"/>
        </w:rPr>
        <w:t>（2）系统软件</w:t>
      </w:r>
    </w:p>
    <w:p w14:paraId="0A038BBA">
      <w:pPr>
        <w:pStyle w:val="74"/>
        <w:shd w:val="clear"/>
        <w:rPr>
          <w:color w:val="auto"/>
          <w:highlight w:val="none"/>
        </w:rPr>
      </w:pPr>
      <w:r>
        <w:rPr>
          <w:rFonts w:hint="eastAsia"/>
          <w:color w:val="auto"/>
          <w:highlight w:val="none"/>
        </w:rPr>
        <w:t>系统与基础自动化系统之间的数据交互通过OPC接口协议实现。通过在现有PLC程序中增加接口程序和数据缓存区，借助专用的工业级OPC接口软件，系统能够在不影响PLC正常工作的前提下实时读写数据，监控热风炉运行状态，智能的控制热风炉的燃烧和换炉过程。</w:t>
      </w:r>
    </w:p>
    <w:p w14:paraId="75D083DE">
      <w:pPr>
        <w:pStyle w:val="74"/>
        <w:shd w:val="clear"/>
        <w:rPr>
          <w:color w:val="auto"/>
          <w:highlight w:val="none"/>
        </w:rPr>
      </w:pPr>
      <w:r>
        <w:rPr>
          <w:rFonts w:hint="eastAsia"/>
          <w:color w:val="auto"/>
          <w:highlight w:val="none"/>
        </w:rPr>
        <w:t>热风炉智能燃烧系统软件依托于数据库系统提供的大量运行数据，结合自学习神经网络、模糊自适应等控制原理，建立热风炉蓄热模型和温度控制模型，最终实现热风炉燃烧、换炉的无人化智能控制。</w:t>
      </w:r>
    </w:p>
    <w:p w14:paraId="41C8A79E">
      <w:pPr>
        <w:pStyle w:val="74"/>
        <w:shd w:val="clear"/>
        <w:rPr>
          <w:color w:val="auto"/>
          <w:highlight w:val="none"/>
        </w:rPr>
      </w:pPr>
      <w:r>
        <w:rPr>
          <w:rFonts w:hint="eastAsia"/>
          <w:color w:val="auto"/>
          <w:highlight w:val="none"/>
        </w:rPr>
        <w:t>软件的功能包括：</w:t>
      </w:r>
    </w:p>
    <w:p w14:paraId="21040346">
      <w:pPr>
        <w:pStyle w:val="74"/>
        <w:shd w:val="clear"/>
        <w:rPr>
          <w:color w:val="auto"/>
          <w:highlight w:val="none"/>
        </w:rPr>
      </w:pPr>
      <w:r>
        <w:rPr>
          <w:rFonts w:hint="eastAsia"/>
          <w:color w:val="auto"/>
          <w:highlight w:val="none"/>
        </w:rPr>
        <w:t>热风炉燃烧过程的无人化控制：系统长期运行稳定性高，能够与基础自动化控制系统做到无扰切换。</w:t>
      </w:r>
    </w:p>
    <w:p w14:paraId="344B0F4F">
      <w:pPr>
        <w:pStyle w:val="74"/>
        <w:shd w:val="clear"/>
        <w:rPr>
          <w:color w:val="auto"/>
          <w:highlight w:val="none"/>
        </w:rPr>
      </w:pPr>
      <w:r>
        <w:rPr>
          <w:rFonts w:hint="eastAsia"/>
          <w:color w:val="auto"/>
          <w:highlight w:val="none"/>
        </w:rPr>
        <w:t>热风炉智能优化燃烧：保证炉内气氛合理，温度合理升高，按时到温，满足送风要求，节省燃气提高风温；保证助燃风机运作合理；保证调节阀动作合理。</w:t>
      </w:r>
    </w:p>
    <w:p w14:paraId="0FB9C048">
      <w:pPr>
        <w:pStyle w:val="74"/>
        <w:shd w:val="clear"/>
        <w:rPr>
          <w:color w:val="auto"/>
          <w:highlight w:val="none"/>
        </w:rPr>
      </w:pPr>
      <w:r>
        <w:rPr>
          <w:rFonts w:hint="eastAsia"/>
          <w:color w:val="auto"/>
          <w:highlight w:val="none"/>
        </w:rPr>
        <w:t>热风炉智能应急处理：系统可针对特殊工况采取智能故障诊断、维持炉况、降低流量、触发报警连锁等应急措施。</w:t>
      </w:r>
    </w:p>
    <w:p w14:paraId="2F077585">
      <w:pPr>
        <w:pStyle w:val="74"/>
        <w:shd w:val="clear"/>
        <w:rPr>
          <w:color w:val="auto"/>
          <w:highlight w:val="none"/>
        </w:rPr>
      </w:pPr>
      <w:r>
        <w:rPr>
          <w:rFonts w:hint="eastAsia"/>
          <w:color w:val="auto"/>
          <w:highlight w:val="none"/>
        </w:rPr>
        <w:t>热风炉全自动换炉：系统与基础自动化</w:t>
      </w:r>
      <w:r>
        <w:rPr>
          <w:color w:val="auto"/>
          <w:highlight w:val="none"/>
        </w:rPr>
        <w:t>PLC系统密切配合，在换炉期间持续监视阀门状态，依次发出开关指令，</w:t>
      </w:r>
      <w:r>
        <w:rPr>
          <w:rFonts w:hint="eastAsia"/>
          <w:color w:val="auto"/>
          <w:highlight w:val="none"/>
        </w:rPr>
        <w:t>通过点动控制均压阀保证均压过程平稳，自动完成换炉过程，</w:t>
      </w:r>
      <w:r>
        <w:rPr>
          <w:color w:val="auto"/>
          <w:highlight w:val="none"/>
        </w:rPr>
        <w:t>保证安全的同时提高换炉</w:t>
      </w:r>
      <w:r>
        <w:rPr>
          <w:rFonts w:hint="eastAsia"/>
          <w:color w:val="auto"/>
          <w:highlight w:val="none"/>
        </w:rPr>
        <w:t>效率</w:t>
      </w:r>
      <w:r>
        <w:rPr>
          <w:color w:val="auto"/>
          <w:highlight w:val="none"/>
        </w:rPr>
        <w:t>。</w:t>
      </w:r>
    </w:p>
    <w:p w14:paraId="345D23F2">
      <w:pPr>
        <w:pStyle w:val="74"/>
        <w:shd w:val="clear"/>
        <w:rPr>
          <w:color w:val="auto"/>
          <w:highlight w:val="none"/>
        </w:rPr>
      </w:pPr>
      <w:r>
        <w:rPr>
          <w:rFonts w:hint="eastAsia"/>
          <w:color w:val="auto"/>
          <w:highlight w:val="none"/>
        </w:rPr>
        <w:t>热风炉可视化界面和数据分析工具：将热风炉系统的工作状态和运行数据直观的呈现，助力工艺分析、生产管理和运维工作。</w:t>
      </w:r>
    </w:p>
    <w:p w14:paraId="26AADBD7">
      <w:pPr>
        <w:pStyle w:val="74"/>
        <w:shd w:val="clear"/>
        <w:rPr>
          <w:color w:val="auto"/>
          <w:highlight w:val="none"/>
        </w:rPr>
      </w:pPr>
      <w:r>
        <w:rPr>
          <w:rFonts w:hint="eastAsia"/>
          <w:color w:val="auto"/>
          <w:highlight w:val="none"/>
        </w:rPr>
        <w:t>热风炉报表的自动汇总和生成：系统可自动汇总数据，生成报表，可生成趋势图、单炉报表、热风报表、班（日）汇总表等，支持数据导出功能。</w:t>
      </w:r>
    </w:p>
    <w:p w14:paraId="09ABEC97">
      <w:pPr>
        <w:pStyle w:val="145"/>
        <w:shd w:val="clear"/>
        <w:rPr>
          <w:color w:val="auto"/>
          <w:highlight w:val="none"/>
        </w:rPr>
      </w:pPr>
      <w:bookmarkStart w:id="826" w:name="_Toc19326"/>
      <w:r>
        <w:rPr>
          <w:rFonts w:hint="eastAsia"/>
          <w:color w:val="auto"/>
          <w:highlight w:val="none"/>
        </w:rPr>
        <w:t>9.3.3智能主沟</w:t>
      </w:r>
      <w:bookmarkEnd w:id="826"/>
    </w:p>
    <w:p w14:paraId="574C9C4C">
      <w:pPr>
        <w:pStyle w:val="74"/>
        <w:shd w:val="clear"/>
        <w:rPr>
          <w:color w:val="auto"/>
          <w:highlight w:val="none"/>
        </w:rPr>
      </w:pPr>
      <w:r>
        <w:rPr>
          <w:rFonts w:hint="eastAsia"/>
          <w:color w:val="auto"/>
          <w:highlight w:val="none"/>
        </w:rPr>
        <w:t>通过在主沟侧壁和底部的永久层处设置热电偶，检测各处的耐材温度并借此推算主沟内的耐材侵蚀断面，实现主沟的使用情况可视化。</w:t>
      </w:r>
      <w:r>
        <w:rPr>
          <w:color w:val="auto"/>
          <w:highlight w:val="none"/>
        </w:rPr>
        <w:t xml:space="preserve"> </w:t>
      </w:r>
    </w:p>
    <w:p w14:paraId="3E444D62">
      <w:pPr>
        <w:pStyle w:val="74"/>
        <w:shd w:val="clear"/>
        <w:rPr>
          <w:color w:val="auto"/>
          <w:highlight w:val="none"/>
        </w:rPr>
      </w:pPr>
      <w:r>
        <w:rPr>
          <w:rFonts w:hint="eastAsia"/>
          <w:color w:val="auto"/>
          <w:highlight w:val="none"/>
        </w:rPr>
        <w:t>（1）系统硬件</w:t>
      </w:r>
    </w:p>
    <w:p w14:paraId="74128F68">
      <w:pPr>
        <w:pStyle w:val="74"/>
        <w:shd w:val="clear"/>
        <w:rPr>
          <w:color w:val="auto"/>
          <w:highlight w:val="none"/>
        </w:rPr>
      </w:pPr>
      <w:r>
        <w:rPr>
          <w:rFonts w:hint="eastAsia"/>
          <w:color w:val="auto"/>
          <w:highlight w:val="none"/>
        </w:rPr>
        <w:t>系统通过上位工控机作为智能主沟计算机，主要用于运行智能主沟系统软件及配套的数据库、通讯软件，获取设置在出铁沟内的各个热电偶的节点位置信息，建立铁沟结构模型，热电偶及数采PLC部分见仪表及自动化专业。</w:t>
      </w:r>
    </w:p>
    <w:p w14:paraId="0DF1DA75">
      <w:pPr>
        <w:pStyle w:val="74"/>
        <w:shd w:val="clear"/>
        <w:rPr>
          <w:color w:val="auto"/>
          <w:highlight w:val="none"/>
        </w:rPr>
      </w:pPr>
      <w:r>
        <w:rPr>
          <w:rFonts w:hint="eastAsia"/>
          <w:color w:val="auto"/>
          <w:highlight w:val="none"/>
        </w:rPr>
        <w:t>（2）系统软件</w:t>
      </w:r>
    </w:p>
    <w:p w14:paraId="0DBBF875">
      <w:pPr>
        <w:pStyle w:val="74"/>
        <w:shd w:val="clear"/>
        <w:rPr>
          <w:color w:val="auto"/>
          <w:highlight w:val="none"/>
        </w:rPr>
      </w:pPr>
      <w:r>
        <w:rPr>
          <w:rFonts w:hint="eastAsia"/>
          <w:color w:val="auto"/>
          <w:highlight w:val="none"/>
        </w:rPr>
        <w:t>根据热电偶测温信息与获取到的铁沟基础断面形状，建立铁沟结构模型；获取每个热电偶各自对应的实时温度；出铁沟对应的侵蚀模型计算出的侵蚀情况，自动计算并绘制出铁沟剖面图、耐材厚度等，并根据工作层侵蚀情况并运用大数据统计对比设定合理精准的报警值，实现铁沟管理智能化、数字化，安全可控化。</w:t>
      </w:r>
    </w:p>
    <w:p w14:paraId="431C5B4C">
      <w:pPr>
        <w:pStyle w:val="416"/>
        <w:shd w:val="clear"/>
        <w:ind w:firstLine="0" w:firstLineChars="0"/>
        <w:rPr>
          <w:rFonts w:cs="Times New Roman"/>
          <w:color w:val="auto"/>
          <w:highlight w:val="none"/>
        </w:rPr>
      </w:pPr>
      <w:r>
        <w:rPr>
          <w:rFonts w:hint="eastAsia"/>
          <w:color w:val="auto"/>
          <w:highlight w:val="none"/>
        </w:rPr>
        <w:br w:type="page"/>
      </w:r>
      <w:bookmarkStart w:id="827" w:name="_Toc109244662"/>
      <w:bookmarkStart w:id="828" w:name="_Toc19871"/>
      <w:bookmarkStart w:id="829" w:name="_Toc30315"/>
      <w:bookmarkStart w:id="830" w:name="_Toc9617"/>
      <w:bookmarkStart w:id="831" w:name="_Toc4899"/>
      <w:bookmarkStart w:id="832" w:name="_Toc2738"/>
      <w:bookmarkStart w:id="833" w:name="_Toc19131"/>
      <w:bookmarkStart w:id="834" w:name="_Toc7998"/>
      <w:bookmarkStart w:id="835" w:name="_Toc25471"/>
      <w:bookmarkStart w:id="836" w:name="_Toc10166"/>
      <w:bookmarkStart w:id="837" w:name="_Toc17209512"/>
      <w:r>
        <w:rPr>
          <w:rFonts w:cs="Times New Roman"/>
          <w:color w:val="auto"/>
          <w:highlight w:val="none"/>
        </w:rPr>
        <w:t>1</w:t>
      </w:r>
      <w:r>
        <w:rPr>
          <w:rFonts w:hint="eastAsia" w:cs="Times New Roman"/>
          <w:color w:val="auto"/>
          <w:highlight w:val="none"/>
        </w:rPr>
        <w:t>0</w:t>
      </w:r>
      <w:r>
        <w:rPr>
          <w:rFonts w:cs="Times New Roman"/>
          <w:color w:val="auto"/>
          <w:highlight w:val="none"/>
        </w:rPr>
        <w:t xml:space="preserve"> </w:t>
      </w:r>
      <w:bookmarkEnd w:id="827"/>
      <w:bookmarkEnd w:id="828"/>
      <w:bookmarkEnd w:id="829"/>
      <w:bookmarkEnd w:id="830"/>
      <w:r>
        <w:rPr>
          <w:rFonts w:hint="eastAsia"/>
          <w:bCs/>
          <w:color w:val="auto"/>
          <w:sz w:val="32"/>
          <w:szCs w:val="32"/>
          <w:highlight w:val="none"/>
        </w:rPr>
        <w:t>电讯</w:t>
      </w:r>
      <w:bookmarkEnd w:id="831"/>
      <w:bookmarkEnd w:id="832"/>
      <w:bookmarkEnd w:id="833"/>
      <w:bookmarkEnd w:id="834"/>
      <w:bookmarkEnd w:id="835"/>
      <w:bookmarkEnd w:id="836"/>
    </w:p>
    <w:p w14:paraId="116FC8DD">
      <w:pPr>
        <w:shd w:val="clear"/>
        <w:ind w:firstLine="0" w:firstLineChars="0"/>
        <w:outlineLvl w:val="1"/>
        <w:rPr>
          <w:rFonts w:cs="Times New Roman"/>
          <w:b/>
          <w:color w:val="auto"/>
          <w:sz w:val="28"/>
          <w:szCs w:val="28"/>
          <w:highlight w:val="none"/>
        </w:rPr>
      </w:pPr>
      <w:bookmarkStart w:id="838" w:name="_Toc1668"/>
      <w:bookmarkStart w:id="839" w:name="_Toc289"/>
      <w:bookmarkStart w:id="840" w:name="_Toc28502"/>
      <w:bookmarkStart w:id="841" w:name="_Toc11843"/>
      <w:bookmarkStart w:id="842" w:name="_Toc6596"/>
      <w:bookmarkStart w:id="843" w:name="_Toc25482"/>
      <w:r>
        <w:rPr>
          <w:rFonts w:cs="Times New Roman"/>
          <w:b/>
          <w:color w:val="auto"/>
          <w:sz w:val="28"/>
          <w:szCs w:val="28"/>
          <w:highlight w:val="none"/>
        </w:rPr>
        <w:t>1</w:t>
      </w:r>
      <w:r>
        <w:rPr>
          <w:rFonts w:hint="eastAsia" w:cs="Times New Roman"/>
          <w:b/>
          <w:color w:val="auto"/>
          <w:sz w:val="28"/>
          <w:szCs w:val="28"/>
          <w:highlight w:val="none"/>
        </w:rPr>
        <w:t>0</w:t>
      </w:r>
      <w:r>
        <w:rPr>
          <w:rFonts w:cs="Times New Roman"/>
          <w:b/>
          <w:color w:val="auto"/>
          <w:sz w:val="28"/>
          <w:szCs w:val="28"/>
          <w:highlight w:val="none"/>
        </w:rPr>
        <w:t xml:space="preserve">.1 </w:t>
      </w:r>
      <w:r>
        <w:rPr>
          <w:rFonts w:hint="eastAsia" w:cs="Times New Roman"/>
          <w:b/>
          <w:color w:val="auto"/>
          <w:sz w:val="28"/>
          <w:szCs w:val="28"/>
          <w:highlight w:val="none"/>
        </w:rPr>
        <w:t>概述</w:t>
      </w:r>
      <w:bookmarkEnd w:id="838"/>
      <w:bookmarkEnd w:id="839"/>
      <w:bookmarkEnd w:id="840"/>
      <w:bookmarkEnd w:id="841"/>
      <w:bookmarkEnd w:id="842"/>
      <w:bookmarkEnd w:id="843"/>
    </w:p>
    <w:p w14:paraId="41090E0E">
      <w:pPr>
        <w:shd w:val="clear"/>
        <w:rPr>
          <w:color w:val="auto"/>
          <w:highlight w:val="none"/>
        </w:rPr>
      </w:pPr>
      <w:r>
        <w:rPr>
          <w:rFonts w:hint="eastAsia"/>
          <w:color w:val="auto"/>
          <w:highlight w:val="none"/>
        </w:rPr>
        <w:t>根据工艺生产操作对电信的要求，为满足生产管理、指挥、联络的需要，酒钢2号高炉改造电信设计内容包括：通讯系统、工业电视监控系统、火灾自动报警系统、CO有毒气体检测报警系统等。</w:t>
      </w:r>
    </w:p>
    <w:p w14:paraId="6DE9C122">
      <w:pPr>
        <w:shd w:val="clear"/>
        <w:ind w:firstLine="0" w:firstLineChars="0"/>
        <w:outlineLvl w:val="1"/>
        <w:rPr>
          <w:rFonts w:cs="Times New Roman"/>
          <w:b/>
          <w:color w:val="auto"/>
          <w:sz w:val="28"/>
          <w:szCs w:val="28"/>
          <w:highlight w:val="none"/>
        </w:rPr>
      </w:pPr>
      <w:bookmarkStart w:id="844" w:name="_Toc13000"/>
      <w:bookmarkStart w:id="845" w:name="_Toc21244"/>
      <w:bookmarkStart w:id="846" w:name="_Toc31350"/>
      <w:bookmarkStart w:id="847" w:name="_Toc17010"/>
      <w:bookmarkStart w:id="848" w:name="_Toc834"/>
      <w:bookmarkStart w:id="849" w:name="_Toc15705"/>
      <w:r>
        <w:rPr>
          <w:rFonts w:cs="Times New Roman"/>
          <w:b/>
          <w:color w:val="auto"/>
          <w:sz w:val="28"/>
          <w:szCs w:val="28"/>
          <w:highlight w:val="none"/>
        </w:rPr>
        <w:t>1</w:t>
      </w:r>
      <w:r>
        <w:rPr>
          <w:rFonts w:hint="eastAsia" w:cs="Times New Roman"/>
          <w:b/>
          <w:color w:val="auto"/>
          <w:sz w:val="28"/>
          <w:szCs w:val="28"/>
          <w:highlight w:val="none"/>
        </w:rPr>
        <w:t>0</w:t>
      </w:r>
      <w:r>
        <w:rPr>
          <w:rFonts w:cs="Times New Roman"/>
          <w:b/>
          <w:color w:val="auto"/>
          <w:sz w:val="28"/>
          <w:szCs w:val="28"/>
          <w:highlight w:val="none"/>
        </w:rPr>
        <w:t>.</w:t>
      </w:r>
      <w:r>
        <w:rPr>
          <w:rFonts w:hint="eastAsia" w:cs="Times New Roman"/>
          <w:b/>
          <w:color w:val="auto"/>
          <w:sz w:val="28"/>
          <w:szCs w:val="28"/>
          <w:highlight w:val="none"/>
        </w:rPr>
        <w:t>2 设计内容</w:t>
      </w:r>
      <w:bookmarkEnd w:id="844"/>
      <w:bookmarkEnd w:id="845"/>
      <w:bookmarkEnd w:id="846"/>
      <w:bookmarkEnd w:id="847"/>
      <w:bookmarkEnd w:id="848"/>
      <w:bookmarkEnd w:id="849"/>
    </w:p>
    <w:p w14:paraId="7B018342">
      <w:pPr>
        <w:shd w:val="clear"/>
        <w:ind w:firstLine="0" w:firstLineChars="0"/>
        <w:outlineLvl w:val="2"/>
        <w:rPr>
          <w:rFonts w:cs="Times New Roman"/>
          <w:color w:val="auto"/>
          <w:szCs w:val="28"/>
          <w:highlight w:val="none"/>
        </w:rPr>
      </w:pPr>
      <w:bookmarkStart w:id="850" w:name="_Toc3731"/>
      <w:r>
        <w:rPr>
          <w:rFonts w:hint="eastAsia" w:cs="Times New Roman"/>
          <w:color w:val="auto"/>
          <w:szCs w:val="28"/>
          <w:highlight w:val="none"/>
        </w:rPr>
        <w:t>10.2.1 通讯系统</w:t>
      </w:r>
      <w:bookmarkEnd w:id="850"/>
    </w:p>
    <w:p w14:paraId="7CE32A43">
      <w:pPr>
        <w:shd w:val="clear"/>
        <w:rPr>
          <w:color w:val="auto"/>
          <w:highlight w:val="none"/>
        </w:rPr>
      </w:pPr>
      <w:r>
        <w:rPr>
          <w:rFonts w:hint="eastAsia"/>
          <w:color w:val="auto"/>
          <w:highlight w:val="none"/>
        </w:rPr>
        <w:t>通讯系统利旧不变。</w:t>
      </w:r>
    </w:p>
    <w:p w14:paraId="53D91727">
      <w:pPr>
        <w:shd w:val="clear"/>
        <w:ind w:firstLine="0" w:firstLineChars="0"/>
        <w:outlineLvl w:val="2"/>
        <w:rPr>
          <w:rFonts w:cs="Times New Roman"/>
          <w:color w:val="auto"/>
          <w:szCs w:val="28"/>
          <w:highlight w:val="none"/>
        </w:rPr>
      </w:pPr>
      <w:bookmarkStart w:id="851" w:name="_Toc31410"/>
      <w:r>
        <w:rPr>
          <w:rFonts w:hint="eastAsia" w:cs="Times New Roman"/>
          <w:color w:val="auto"/>
          <w:szCs w:val="28"/>
          <w:highlight w:val="none"/>
        </w:rPr>
        <w:t>10.2.2 工业电视监控系统</w:t>
      </w:r>
      <w:bookmarkEnd w:id="851"/>
    </w:p>
    <w:p w14:paraId="07FFE003">
      <w:pPr>
        <w:shd w:val="clear"/>
        <w:rPr>
          <w:color w:val="auto"/>
          <w:highlight w:val="none"/>
        </w:rPr>
      </w:pPr>
      <w:r>
        <w:rPr>
          <w:rFonts w:hint="eastAsia"/>
          <w:color w:val="auto"/>
          <w:highlight w:val="none"/>
        </w:rPr>
        <w:t>工业电视系统利旧不变。现场设置的工业电视摄像机利旧不变，主控室的工业电视大屏已由1号高炉改造项目实施更换，主控室、操作室的监视系统均利旧不变。</w:t>
      </w:r>
    </w:p>
    <w:p w14:paraId="308372A7">
      <w:pPr>
        <w:shd w:val="clear"/>
        <w:rPr>
          <w:color w:val="auto"/>
          <w:highlight w:val="none"/>
        </w:rPr>
      </w:pPr>
      <w:r>
        <w:rPr>
          <w:rFonts w:hint="eastAsia"/>
          <w:color w:val="auto"/>
          <w:highlight w:val="none"/>
        </w:rPr>
        <w:t>矿焦槽槽上槽下设置摄像头。槽上</w:t>
      </w:r>
      <w:r>
        <w:rPr>
          <w:rFonts w:hint="eastAsia"/>
          <w:color w:val="auto"/>
          <w:highlight w:val="none"/>
          <w:lang w:val="en-US" w:eastAsia="zh-CN"/>
        </w:rPr>
        <w:t>4</w:t>
      </w:r>
      <w:r>
        <w:rPr>
          <w:rFonts w:hint="eastAsia"/>
          <w:color w:val="auto"/>
          <w:highlight w:val="none"/>
        </w:rPr>
        <w:t>台、槽下8台、料坑2台，槽上卸料小车</w:t>
      </w:r>
      <w:r>
        <w:rPr>
          <w:rFonts w:hint="eastAsia"/>
          <w:color w:val="auto"/>
          <w:highlight w:val="none"/>
          <w:lang w:val="en-US" w:eastAsia="zh-CN"/>
        </w:rPr>
        <w:t>6</w:t>
      </w:r>
      <w:r>
        <w:rPr>
          <w:rFonts w:hint="eastAsia"/>
          <w:color w:val="auto"/>
          <w:highlight w:val="none"/>
        </w:rPr>
        <w:t>台，高炉炉顶受料斗1台，以上摄像头信号均接入原视频监控系统。</w:t>
      </w:r>
    </w:p>
    <w:p w14:paraId="43D71EE3">
      <w:pPr>
        <w:shd w:val="clear"/>
        <w:rPr>
          <w:rFonts w:hint="default" w:eastAsia="宋体"/>
          <w:color w:val="auto"/>
          <w:highlight w:val="none"/>
          <w:lang w:val="en-US" w:eastAsia="zh-CN"/>
        </w:rPr>
      </w:pPr>
      <w:bookmarkStart w:id="852" w:name="_Toc8736"/>
      <w:r>
        <w:rPr>
          <w:rFonts w:hint="eastAsia"/>
          <w:color w:val="auto"/>
          <w:highlight w:val="none"/>
          <w:lang w:val="en-US" w:eastAsia="zh-CN"/>
        </w:rPr>
        <w:t>新建出铁场除尘系统设置10</w:t>
      </w:r>
      <w:r>
        <w:rPr>
          <w:rFonts w:hint="eastAsia"/>
          <w:color w:val="auto"/>
          <w:highlight w:val="none"/>
        </w:rPr>
        <w:t>台摄像头以及配套机柜、交换机等工业电视监控系统</w:t>
      </w:r>
      <w:r>
        <w:rPr>
          <w:rFonts w:hint="eastAsia"/>
          <w:color w:val="auto"/>
          <w:highlight w:val="none"/>
          <w:lang w:eastAsia="zh-CN"/>
        </w:rPr>
        <w:t>，</w:t>
      </w:r>
      <w:r>
        <w:rPr>
          <w:rFonts w:hint="eastAsia"/>
          <w:color w:val="auto"/>
          <w:highlight w:val="none"/>
          <w:lang w:val="en-US" w:eastAsia="zh-CN"/>
        </w:rPr>
        <w:t>视频画面</w:t>
      </w:r>
      <w:r>
        <w:rPr>
          <w:rFonts w:hint="eastAsia"/>
          <w:color w:val="auto"/>
          <w:highlight w:val="none"/>
        </w:rPr>
        <w:t>原2号高炉值班室内</w:t>
      </w:r>
      <w:r>
        <w:rPr>
          <w:rFonts w:hint="eastAsia"/>
          <w:color w:val="auto"/>
          <w:highlight w:val="none"/>
          <w:lang w:eastAsia="zh-CN"/>
        </w:rPr>
        <w:t>，</w:t>
      </w:r>
      <w:r>
        <w:rPr>
          <w:rFonts w:hint="eastAsia"/>
          <w:color w:val="auto"/>
          <w:highlight w:val="none"/>
          <w:lang w:val="en-US" w:eastAsia="zh-CN"/>
        </w:rPr>
        <w:t>使用已有屏幕轮显</w:t>
      </w:r>
      <w:r>
        <w:rPr>
          <w:rFonts w:hint="eastAsia"/>
          <w:color w:val="auto"/>
          <w:highlight w:val="none"/>
        </w:rPr>
        <w:t>。</w:t>
      </w:r>
    </w:p>
    <w:p w14:paraId="57F5B1DD">
      <w:pPr>
        <w:shd w:val="clear"/>
        <w:rPr>
          <w:rFonts w:hint="default" w:eastAsia="宋体"/>
          <w:color w:val="auto"/>
          <w:highlight w:val="none"/>
          <w:lang w:val="en-US" w:eastAsia="zh-CN"/>
        </w:rPr>
      </w:pPr>
      <w:r>
        <w:rPr>
          <w:rFonts w:hint="eastAsia"/>
          <w:color w:val="auto"/>
          <w:highlight w:val="none"/>
        </w:rPr>
        <w:t>本工程共新增</w:t>
      </w:r>
      <w:r>
        <w:rPr>
          <w:rFonts w:hint="eastAsia"/>
          <w:color w:val="auto"/>
          <w:highlight w:val="none"/>
          <w:lang w:val="en-US" w:eastAsia="zh-CN"/>
        </w:rPr>
        <w:t>4</w:t>
      </w:r>
      <w:r>
        <w:rPr>
          <w:rFonts w:hint="eastAsia"/>
          <w:color w:val="auto"/>
          <w:highlight w:val="none"/>
        </w:rPr>
        <w:t>个CEMS分析小屋，每个分析小屋设置门禁系统和1个监控探头；每个烟囱监测平台设置</w:t>
      </w:r>
      <w:r>
        <w:rPr>
          <w:rFonts w:hint="eastAsia"/>
          <w:color w:val="auto"/>
          <w:highlight w:val="none"/>
          <w:lang w:val="en-US" w:eastAsia="zh-CN"/>
        </w:rPr>
        <w:t>3</w:t>
      </w:r>
      <w:r>
        <w:rPr>
          <w:rFonts w:hint="eastAsia"/>
          <w:color w:val="auto"/>
          <w:highlight w:val="none"/>
        </w:rPr>
        <w:t>个摄像头。门禁系统与中控室联网，监控探头的视角无遮挡，能清晰监控进出</w:t>
      </w:r>
      <w:r>
        <w:rPr>
          <w:rFonts w:hint="eastAsia"/>
          <w:color w:val="auto"/>
          <w:highlight w:val="none"/>
          <w:lang w:val="en-US" w:eastAsia="zh-CN"/>
        </w:rPr>
        <w:t>区域内</w:t>
      </w:r>
      <w:r>
        <w:rPr>
          <w:rFonts w:hint="eastAsia"/>
          <w:color w:val="auto"/>
          <w:highlight w:val="none"/>
        </w:rPr>
        <w:t>人员以及运维人员操作自动监控设备的情况。</w:t>
      </w:r>
      <w:r>
        <w:rPr>
          <w:rFonts w:hint="eastAsia"/>
          <w:color w:val="auto"/>
          <w:highlight w:val="none"/>
          <w:lang w:val="en-US" w:eastAsia="zh-CN"/>
        </w:rPr>
        <w:t>摄像头不设单独存储，视频信号就近接入交换机或光纤收发器。</w:t>
      </w:r>
    </w:p>
    <w:p w14:paraId="1CCE588D">
      <w:pPr>
        <w:pStyle w:val="17"/>
        <w:shd w:val="clear"/>
        <w:rPr>
          <w:b w:val="0"/>
          <w:bCs w:val="0"/>
          <w:color w:val="auto"/>
          <w:sz w:val="24"/>
          <w:szCs w:val="24"/>
          <w:highlight w:val="none"/>
        </w:rPr>
      </w:pPr>
      <w:r>
        <w:rPr>
          <w:rFonts w:hint="eastAsia"/>
          <w:b w:val="0"/>
          <w:bCs w:val="0"/>
          <w:color w:val="auto"/>
          <w:sz w:val="24"/>
          <w:szCs w:val="24"/>
          <w:highlight w:val="none"/>
        </w:rPr>
        <w:t>工业电视监控系统满足如下要求：</w:t>
      </w:r>
    </w:p>
    <w:p w14:paraId="19270613">
      <w:pPr>
        <w:pStyle w:val="17"/>
        <w:shd w:val="clear"/>
        <w:rPr>
          <w:b w:val="0"/>
          <w:bCs w:val="0"/>
          <w:color w:val="auto"/>
          <w:sz w:val="24"/>
          <w:szCs w:val="24"/>
          <w:highlight w:val="none"/>
        </w:rPr>
      </w:pPr>
      <w:r>
        <w:rPr>
          <w:b w:val="0"/>
          <w:bCs w:val="0"/>
          <w:color w:val="auto"/>
          <w:sz w:val="24"/>
          <w:szCs w:val="24"/>
          <w:highlight w:val="none"/>
        </w:rPr>
        <w:t xml:space="preserve">1.图像分辨率不低于 </w:t>
      </w:r>
      <w:r>
        <w:rPr>
          <w:rFonts w:hint="eastAsia"/>
          <w:b w:val="0"/>
          <w:bCs w:val="0"/>
          <w:color w:val="auto"/>
          <w:sz w:val="24"/>
          <w:szCs w:val="24"/>
          <w:highlight w:val="none"/>
          <w:lang w:val="en-US" w:eastAsia="zh-CN"/>
        </w:rPr>
        <w:t>4</w:t>
      </w:r>
      <w:r>
        <w:rPr>
          <w:b w:val="0"/>
          <w:bCs w:val="0"/>
          <w:color w:val="auto"/>
          <w:sz w:val="24"/>
          <w:szCs w:val="24"/>
          <w:highlight w:val="none"/>
        </w:rPr>
        <w:t>00万像素，图像帧率不低于</w:t>
      </w:r>
      <w:r>
        <w:rPr>
          <w:rFonts w:hint="eastAsia"/>
          <w:b w:val="0"/>
          <w:bCs w:val="0"/>
          <w:color w:val="auto"/>
          <w:sz w:val="24"/>
          <w:szCs w:val="24"/>
          <w:highlight w:val="none"/>
        </w:rPr>
        <w:t>6</w:t>
      </w:r>
      <w:r>
        <w:rPr>
          <w:b w:val="0"/>
          <w:bCs w:val="0"/>
          <w:color w:val="auto"/>
          <w:sz w:val="24"/>
          <w:szCs w:val="24"/>
          <w:highlight w:val="none"/>
        </w:rPr>
        <w:t>0Hz:30fps。</w:t>
      </w:r>
    </w:p>
    <w:p w14:paraId="63F6D076">
      <w:pPr>
        <w:pStyle w:val="17"/>
        <w:shd w:val="clear"/>
        <w:rPr>
          <w:b w:val="0"/>
          <w:bCs w:val="0"/>
          <w:color w:val="auto"/>
          <w:sz w:val="24"/>
          <w:szCs w:val="24"/>
          <w:highlight w:val="none"/>
        </w:rPr>
      </w:pPr>
      <w:r>
        <w:rPr>
          <w:b w:val="0"/>
          <w:bCs w:val="0"/>
          <w:color w:val="auto"/>
          <w:sz w:val="24"/>
          <w:szCs w:val="24"/>
          <w:highlight w:val="none"/>
        </w:rPr>
        <w:t>2.具备动态捕捉、逆光补偿、夜视、联网传输及断网重连功能。</w:t>
      </w:r>
    </w:p>
    <w:p w14:paraId="13263D99">
      <w:pPr>
        <w:pStyle w:val="17"/>
        <w:shd w:val="clear"/>
        <w:rPr>
          <w:b w:val="0"/>
          <w:bCs w:val="0"/>
          <w:strike/>
          <w:dstrike w:val="0"/>
          <w:color w:val="auto"/>
          <w:sz w:val="24"/>
          <w:szCs w:val="24"/>
          <w:highlight w:val="none"/>
        </w:rPr>
      </w:pPr>
      <w:r>
        <w:rPr>
          <w:b w:val="0"/>
          <w:bCs w:val="0"/>
          <w:color w:val="auto"/>
          <w:sz w:val="24"/>
          <w:szCs w:val="24"/>
          <w:highlight w:val="none"/>
        </w:rPr>
        <w:t>3.具备协议字符叠加功能。</w:t>
      </w:r>
    </w:p>
    <w:p w14:paraId="4C881FDE">
      <w:pPr>
        <w:pStyle w:val="17"/>
        <w:shd w:val="clear"/>
        <w:rPr>
          <w:b w:val="0"/>
          <w:bCs w:val="0"/>
          <w:color w:val="auto"/>
          <w:sz w:val="24"/>
          <w:szCs w:val="24"/>
          <w:highlight w:val="none"/>
        </w:rPr>
      </w:pPr>
      <w:r>
        <w:rPr>
          <w:b w:val="0"/>
          <w:bCs w:val="0"/>
          <w:color w:val="auto"/>
          <w:sz w:val="24"/>
          <w:szCs w:val="24"/>
          <w:highlight w:val="none"/>
        </w:rPr>
        <w:t>4.支持H.264、H.265、Smart264、Smart265等视频压缩标准</w:t>
      </w:r>
    </w:p>
    <w:p w14:paraId="629A883A">
      <w:pPr>
        <w:pStyle w:val="17"/>
        <w:shd w:val="clear"/>
        <w:rPr>
          <w:b w:val="0"/>
          <w:bCs w:val="0"/>
          <w:color w:val="auto"/>
          <w:sz w:val="24"/>
          <w:szCs w:val="24"/>
          <w:highlight w:val="none"/>
        </w:rPr>
      </w:pPr>
      <w:r>
        <w:rPr>
          <w:b w:val="0"/>
          <w:bCs w:val="0"/>
          <w:color w:val="auto"/>
          <w:sz w:val="24"/>
          <w:szCs w:val="24"/>
          <w:highlight w:val="none"/>
        </w:rPr>
        <w:t>5.支持远程调焦、聚焦、调整光圈等功能。</w:t>
      </w:r>
    </w:p>
    <w:p w14:paraId="5E3861E0">
      <w:pPr>
        <w:pStyle w:val="17"/>
        <w:shd w:val="clear"/>
        <w:rPr>
          <w:b w:val="0"/>
          <w:bCs w:val="0"/>
          <w:color w:val="auto"/>
          <w:sz w:val="24"/>
          <w:szCs w:val="24"/>
          <w:highlight w:val="none"/>
        </w:rPr>
      </w:pPr>
      <w:r>
        <w:rPr>
          <w:rFonts w:hint="eastAsia"/>
          <w:b w:val="0"/>
          <w:bCs w:val="0"/>
          <w:color w:val="auto"/>
          <w:sz w:val="24"/>
          <w:szCs w:val="24"/>
          <w:highlight w:val="none"/>
        </w:rPr>
        <w:t>6</w:t>
      </w:r>
      <w:r>
        <w:rPr>
          <w:b w:val="0"/>
          <w:bCs w:val="0"/>
          <w:color w:val="auto"/>
          <w:sz w:val="24"/>
          <w:szCs w:val="24"/>
          <w:highlight w:val="none"/>
        </w:rPr>
        <w:t>.视频数据存储在硬盘录像机中，</w:t>
      </w:r>
      <w:r>
        <w:rPr>
          <w:rFonts w:hint="eastAsia"/>
          <w:b w:val="0"/>
          <w:bCs w:val="0"/>
          <w:color w:val="auto"/>
          <w:sz w:val="24"/>
          <w:szCs w:val="24"/>
          <w:highlight w:val="none"/>
        </w:rPr>
        <w:t>CEMS分析小屋</w:t>
      </w:r>
      <w:r>
        <w:rPr>
          <w:b w:val="0"/>
          <w:bCs w:val="0"/>
          <w:color w:val="auto"/>
          <w:sz w:val="24"/>
          <w:szCs w:val="24"/>
          <w:highlight w:val="none"/>
        </w:rPr>
        <w:t>存储时限不少于1年</w:t>
      </w:r>
      <w:r>
        <w:rPr>
          <w:rFonts w:hint="eastAsia"/>
          <w:b w:val="0"/>
          <w:bCs w:val="0"/>
          <w:color w:val="auto"/>
          <w:sz w:val="24"/>
          <w:szCs w:val="24"/>
          <w:highlight w:val="none"/>
          <w:lang w:eastAsia="zh-CN"/>
        </w:rPr>
        <w:t>，</w:t>
      </w:r>
      <w:r>
        <w:rPr>
          <w:rFonts w:hint="eastAsia"/>
          <w:b w:val="0"/>
          <w:bCs w:val="0"/>
          <w:color w:val="auto"/>
          <w:sz w:val="24"/>
          <w:szCs w:val="24"/>
          <w:highlight w:val="none"/>
          <w:lang w:val="en-US" w:eastAsia="zh-CN"/>
        </w:rPr>
        <w:t>其他系统</w:t>
      </w:r>
      <w:r>
        <w:rPr>
          <w:b w:val="0"/>
          <w:bCs w:val="0"/>
          <w:color w:val="auto"/>
          <w:sz w:val="24"/>
          <w:szCs w:val="24"/>
          <w:highlight w:val="none"/>
        </w:rPr>
        <w:t>存储时限</w:t>
      </w:r>
      <w:r>
        <w:rPr>
          <w:rFonts w:hint="eastAsia"/>
          <w:b w:val="0"/>
          <w:bCs w:val="0"/>
          <w:color w:val="auto"/>
          <w:sz w:val="24"/>
          <w:szCs w:val="24"/>
          <w:highlight w:val="none"/>
          <w:lang w:val="en-US" w:eastAsia="zh-CN"/>
        </w:rPr>
        <w:t>不少于30天</w:t>
      </w:r>
      <w:r>
        <w:rPr>
          <w:b w:val="0"/>
          <w:bCs w:val="0"/>
          <w:color w:val="auto"/>
          <w:sz w:val="24"/>
          <w:szCs w:val="24"/>
          <w:highlight w:val="none"/>
        </w:rPr>
        <w:t>。</w:t>
      </w:r>
    </w:p>
    <w:p w14:paraId="33B146C4">
      <w:pPr>
        <w:pStyle w:val="17"/>
        <w:shd w:val="clear"/>
        <w:rPr>
          <w:b w:val="0"/>
          <w:bCs w:val="0"/>
          <w:color w:val="auto"/>
          <w:sz w:val="24"/>
          <w:szCs w:val="24"/>
          <w:highlight w:val="none"/>
        </w:rPr>
      </w:pPr>
      <w:r>
        <w:rPr>
          <w:rFonts w:hint="eastAsia"/>
          <w:b w:val="0"/>
          <w:bCs w:val="0"/>
          <w:color w:val="auto"/>
          <w:sz w:val="24"/>
          <w:szCs w:val="24"/>
          <w:highlight w:val="none"/>
        </w:rPr>
        <w:t>7</w:t>
      </w:r>
      <w:r>
        <w:rPr>
          <w:b w:val="0"/>
          <w:bCs w:val="0"/>
          <w:color w:val="auto"/>
          <w:sz w:val="24"/>
          <w:szCs w:val="24"/>
          <w:highlight w:val="none"/>
        </w:rPr>
        <w:t>.硬盘录像机应支持H.264、H.265、Smart264、Smart265等视频解码格式，具有录像、浏览、检索、回放、下载、录像标记、录像锁定等功能。不少于2个百兆以太网口，不少于1路HDMI、1路 VGA 输出,支持1920x1080以上分辨率视频输出显示。</w:t>
      </w:r>
    </w:p>
    <w:p w14:paraId="6978E743">
      <w:pPr>
        <w:shd w:val="clear" w:color="auto"/>
        <w:spacing w:line="336" w:lineRule="auto"/>
        <w:ind w:firstLine="480" w:firstLineChars="200"/>
        <w:jc w:val="center"/>
        <w:rPr>
          <w:rFonts w:ascii="Times New Roman" w:hAnsi="Times New Roman" w:eastAsia="宋体" w:cs="Times New Roman"/>
          <w:b w:val="0"/>
          <w:bCs/>
          <w:snapToGrid w:val="0"/>
          <w:color w:val="auto"/>
          <w:highlight w:val="none"/>
        </w:rPr>
      </w:pPr>
      <w:r>
        <w:rPr>
          <w:rFonts w:ascii="Times New Roman" w:hAnsi="Times New Roman" w:eastAsia="宋体" w:cs="Times New Roman"/>
          <w:b w:val="0"/>
          <w:bCs/>
          <w:snapToGrid w:val="0"/>
          <w:color w:val="auto"/>
          <w:highlight w:val="none"/>
        </w:rPr>
        <w:t>表</w:t>
      </w:r>
      <w:r>
        <w:rPr>
          <w:rFonts w:hint="eastAsia" w:ascii="Times New Roman" w:hAnsi="Times New Roman" w:cs="Times New Roman"/>
          <w:b w:val="0"/>
          <w:bCs/>
          <w:snapToGrid w:val="0"/>
          <w:color w:val="auto"/>
          <w:highlight w:val="none"/>
          <w:lang w:val="en-US" w:eastAsia="zh-CN"/>
        </w:rPr>
        <w:t>10.2</w:t>
      </w:r>
      <w:r>
        <w:rPr>
          <w:rFonts w:ascii="Times New Roman" w:hAnsi="Times New Roman" w:eastAsia="宋体" w:cs="Times New Roman"/>
          <w:b w:val="0"/>
          <w:bCs/>
          <w:snapToGrid w:val="0"/>
          <w:color w:val="auto"/>
          <w:highlight w:val="none"/>
        </w:rPr>
        <w:t>-1工业电视</w:t>
      </w:r>
      <w:r>
        <w:rPr>
          <w:rFonts w:hint="eastAsia" w:ascii="Times New Roman" w:hAnsi="Times New Roman" w:eastAsia="宋体" w:cs="Times New Roman"/>
          <w:b w:val="0"/>
          <w:bCs/>
          <w:snapToGrid w:val="0"/>
          <w:color w:val="auto"/>
          <w:highlight w:val="none"/>
        </w:rPr>
        <w:t>监控</w:t>
      </w:r>
      <w:r>
        <w:rPr>
          <w:rFonts w:ascii="Times New Roman" w:hAnsi="Times New Roman" w:eastAsia="宋体" w:cs="Times New Roman"/>
          <w:b w:val="0"/>
          <w:bCs/>
          <w:snapToGrid w:val="0"/>
          <w:color w:val="auto"/>
          <w:highlight w:val="none"/>
        </w:rPr>
        <w:t>表</w:t>
      </w:r>
    </w:p>
    <w:tbl>
      <w:tblPr>
        <w:tblStyle w:val="60"/>
        <w:tblW w:w="5044"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30"/>
        <w:gridCol w:w="3487"/>
        <w:gridCol w:w="775"/>
        <w:gridCol w:w="2800"/>
        <w:gridCol w:w="806"/>
      </w:tblGrid>
      <w:tr w14:paraId="25ACF8D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54" w:hRule="atLeast"/>
          <w:tblHeader/>
        </w:trPr>
        <w:tc>
          <w:tcPr>
            <w:tcW w:w="424" w:type="pct"/>
            <w:noWrap w:val="0"/>
            <w:vAlign w:val="center"/>
          </w:tcPr>
          <w:p w14:paraId="6A5F371B">
            <w:pPr>
              <w:shd w:val="clear" w:color="auto"/>
              <w:snapToGrid w:val="0"/>
              <w:spacing w:line="336" w:lineRule="auto"/>
              <w:ind w:left="0" w:leftChars="0" w:firstLine="0" w:firstLineChars="0"/>
              <w:jc w:val="both"/>
              <w:rPr>
                <w:rFonts w:hint="eastAsia" w:ascii="宋体" w:hAnsi="宋体" w:eastAsia="宋体" w:cs="Arial"/>
                <w:color w:val="auto"/>
                <w:highlight w:val="none"/>
                <w:lang w:val="en-US" w:eastAsia="zh-CN"/>
              </w:rPr>
            </w:pPr>
            <w:r>
              <w:rPr>
                <w:rFonts w:hint="eastAsia" w:ascii="宋体" w:hAnsi="宋体" w:eastAsia="宋体" w:cs="Arial"/>
                <w:color w:val="auto"/>
                <w:highlight w:val="none"/>
                <w:lang w:val="en-US" w:eastAsia="zh-CN"/>
              </w:rPr>
              <w:t>序号</w:t>
            </w:r>
          </w:p>
        </w:tc>
        <w:tc>
          <w:tcPr>
            <w:tcW w:w="2027" w:type="pct"/>
            <w:noWrap w:val="0"/>
            <w:vAlign w:val="center"/>
          </w:tcPr>
          <w:p w14:paraId="01D4FFBE">
            <w:pPr>
              <w:shd w:val="clear" w:color="auto"/>
              <w:snapToGrid w:val="0"/>
              <w:spacing w:line="336" w:lineRule="auto"/>
              <w:ind w:left="0" w:leftChars="0" w:firstLine="0" w:firstLineChars="0"/>
              <w:jc w:val="both"/>
              <w:rPr>
                <w:rFonts w:hint="eastAsia" w:ascii="宋体" w:hAnsi="宋体" w:eastAsia="宋体" w:cs="Arial"/>
                <w:color w:val="auto"/>
                <w:highlight w:val="none"/>
                <w:lang w:val="en-US" w:eastAsia="zh-CN"/>
              </w:rPr>
            </w:pPr>
            <w:r>
              <w:rPr>
                <w:rFonts w:hint="eastAsia" w:ascii="宋体" w:hAnsi="宋体" w:eastAsia="宋体" w:cs="Arial"/>
                <w:color w:val="auto"/>
                <w:highlight w:val="none"/>
                <w:lang w:val="en-US" w:eastAsia="zh-CN"/>
              </w:rPr>
              <w:t>监控对象</w:t>
            </w:r>
          </w:p>
        </w:tc>
        <w:tc>
          <w:tcPr>
            <w:tcW w:w="450" w:type="pct"/>
            <w:noWrap w:val="0"/>
            <w:vAlign w:val="center"/>
          </w:tcPr>
          <w:p w14:paraId="56E7C2B9">
            <w:pPr>
              <w:shd w:val="clear" w:color="auto"/>
              <w:snapToGrid w:val="0"/>
              <w:spacing w:line="336" w:lineRule="auto"/>
              <w:ind w:left="0" w:leftChars="0" w:firstLine="0" w:firstLineChars="0"/>
              <w:jc w:val="both"/>
              <w:rPr>
                <w:rFonts w:hint="eastAsia" w:ascii="宋体" w:hAnsi="宋体" w:eastAsia="宋体" w:cs="Arial"/>
                <w:color w:val="auto"/>
                <w:highlight w:val="none"/>
                <w:lang w:val="en-US" w:eastAsia="zh-CN"/>
              </w:rPr>
            </w:pPr>
            <w:r>
              <w:rPr>
                <w:rFonts w:hint="eastAsia" w:ascii="宋体" w:hAnsi="宋体" w:eastAsia="宋体" w:cs="Arial"/>
                <w:color w:val="auto"/>
                <w:highlight w:val="none"/>
                <w:lang w:val="en-US" w:eastAsia="zh-CN"/>
              </w:rPr>
              <w:t>数量</w:t>
            </w:r>
          </w:p>
        </w:tc>
        <w:tc>
          <w:tcPr>
            <w:tcW w:w="1628" w:type="pct"/>
            <w:noWrap w:val="0"/>
            <w:vAlign w:val="center"/>
          </w:tcPr>
          <w:p w14:paraId="392463EB">
            <w:pPr>
              <w:shd w:val="clear" w:color="auto"/>
              <w:snapToGrid w:val="0"/>
              <w:spacing w:line="336" w:lineRule="auto"/>
              <w:ind w:left="0" w:leftChars="0" w:firstLine="0" w:firstLineChars="0"/>
              <w:jc w:val="both"/>
              <w:rPr>
                <w:rFonts w:hint="default" w:ascii="宋体" w:hAnsi="宋体" w:eastAsia="宋体" w:cs="Arial"/>
                <w:color w:val="auto"/>
                <w:highlight w:val="none"/>
                <w:lang w:val="en-US" w:eastAsia="zh-CN"/>
              </w:rPr>
            </w:pPr>
            <w:r>
              <w:rPr>
                <w:rFonts w:hint="eastAsia" w:ascii="宋体" w:hAnsi="宋体" w:eastAsia="宋体" w:cs="Arial"/>
                <w:color w:val="auto"/>
                <w:highlight w:val="none"/>
                <w:lang w:val="en-US" w:eastAsia="zh-CN"/>
              </w:rPr>
              <w:t>监视器位置</w:t>
            </w:r>
          </w:p>
        </w:tc>
        <w:tc>
          <w:tcPr>
            <w:tcW w:w="468" w:type="pct"/>
            <w:noWrap w:val="0"/>
            <w:vAlign w:val="center"/>
          </w:tcPr>
          <w:p w14:paraId="4D945A7C">
            <w:pPr>
              <w:shd w:val="clear" w:color="auto"/>
              <w:snapToGrid w:val="0"/>
              <w:spacing w:line="336" w:lineRule="auto"/>
              <w:ind w:left="0" w:leftChars="0" w:firstLine="0" w:firstLineChars="0"/>
              <w:jc w:val="both"/>
              <w:rPr>
                <w:rFonts w:hint="eastAsia" w:ascii="宋体" w:hAnsi="宋体" w:eastAsia="宋体" w:cs="Arial"/>
                <w:color w:val="auto"/>
                <w:highlight w:val="none"/>
                <w:lang w:val="en-US" w:eastAsia="zh-CN"/>
              </w:rPr>
            </w:pPr>
            <w:r>
              <w:rPr>
                <w:rFonts w:hint="eastAsia" w:ascii="宋体" w:hAnsi="宋体" w:eastAsia="宋体" w:cs="Arial"/>
                <w:color w:val="auto"/>
                <w:highlight w:val="none"/>
                <w:lang w:val="en-US" w:eastAsia="zh-CN"/>
              </w:rPr>
              <w:t>备注</w:t>
            </w:r>
          </w:p>
        </w:tc>
      </w:tr>
      <w:tr w14:paraId="16866B9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90" w:hRule="atLeast"/>
        </w:trPr>
        <w:tc>
          <w:tcPr>
            <w:tcW w:w="424" w:type="pct"/>
            <w:noWrap w:val="0"/>
            <w:vAlign w:val="center"/>
          </w:tcPr>
          <w:p w14:paraId="1B288A4B">
            <w:pPr>
              <w:shd w:val="clear" w:color="auto"/>
              <w:snapToGrid w:val="0"/>
              <w:spacing w:line="336" w:lineRule="auto"/>
              <w:ind w:left="0" w:leftChars="0" w:firstLine="0" w:firstLineChars="0"/>
              <w:jc w:val="both"/>
              <w:rPr>
                <w:rFonts w:hint="eastAsia" w:ascii="宋体" w:hAnsi="宋体" w:eastAsia="宋体" w:cs="Arial"/>
                <w:color w:val="auto"/>
                <w:highlight w:val="none"/>
                <w:lang w:val="en-US" w:eastAsia="zh-CN"/>
              </w:rPr>
            </w:pPr>
            <w:r>
              <w:rPr>
                <w:rFonts w:hint="eastAsia" w:ascii="宋体" w:hAnsi="宋体" w:eastAsia="宋体" w:cs="Arial"/>
                <w:color w:val="auto"/>
                <w:highlight w:val="none"/>
                <w:lang w:val="en-US" w:eastAsia="zh-CN"/>
              </w:rPr>
              <w:t>1</w:t>
            </w:r>
          </w:p>
        </w:tc>
        <w:tc>
          <w:tcPr>
            <w:tcW w:w="2027" w:type="pct"/>
            <w:noWrap w:val="0"/>
            <w:vAlign w:val="center"/>
          </w:tcPr>
          <w:p w14:paraId="4DD8A39A">
            <w:pPr>
              <w:shd w:val="clear" w:color="auto"/>
              <w:snapToGrid w:val="0"/>
              <w:spacing w:line="336" w:lineRule="auto"/>
              <w:ind w:left="0" w:leftChars="0" w:firstLine="0" w:firstLineChars="0"/>
              <w:jc w:val="both"/>
              <w:rPr>
                <w:rFonts w:hint="eastAsia" w:ascii="宋体" w:hAnsi="宋体" w:eastAsia="宋体" w:cs="Arial"/>
                <w:color w:val="auto"/>
                <w:highlight w:val="none"/>
                <w:lang w:val="en-US" w:eastAsia="zh-CN"/>
              </w:rPr>
            </w:pPr>
            <w:r>
              <w:rPr>
                <w:rFonts w:hint="eastAsia"/>
                <w:color w:val="auto"/>
                <w:highlight w:val="none"/>
              </w:rPr>
              <w:t>槽上</w:t>
            </w:r>
          </w:p>
        </w:tc>
        <w:tc>
          <w:tcPr>
            <w:tcW w:w="450" w:type="pct"/>
            <w:noWrap w:val="0"/>
            <w:vAlign w:val="center"/>
          </w:tcPr>
          <w:p w14:paraId="560D1A2C">
            <w:pPr>
              <w:shd w:val="clear" w:color="auto"/>
              <w:snapToGrid w:val="0"/>
              <w:spacing w:line="336" w:lineRule="auto"/>
              <w:ind w:left="0" w:leftChars="0" w:firstLine="0" w:firstLineChars="0"/>
              <w:jc w:val="both"/>
              <w:rPr>
                <w:rFonts w:hint="eastAsia" w:ascii="宋体" w:hAnsi="宋体" w:eastAsia="宋体" w:cs="Arial"/>
                <w:color w:val="auto"/>
                <w:highlight w:val="none"/>
                <w:lang w:val="en-US" w:eastAsia="zh-CN"/>
              </w:rPr>
            </w:pPr>
            <w:r>
              <w:rPr>
                <w:rFonts w:hint="eastAsia" w:cs="Arial"/>
                <w:color w:val="auto"/>
                <w:highlight w:val="none"/>
                <w:lang w:val="en-US" w:eastAsia="zh-CN"/>
              </w:rPr>
              <w:t>4</w:t>
            </w:r>
          </w:p>
        </w:tc>
        <w:tc>
          <w:tcPr>
            <w:tcW w:w="1628" w:type="pct"/>
            <w:vMerge w:val="restart"/>
            <w:noWrap w:val="0"/>
            <w:vAlign w:val="center"/>
          </w:tcPr>
          <w:p w14:paraId="374A2599">
            <w:pPr>
              <w:shd w:val="clear" w:color="auto"/>
              <w:snapToGrid w:val="0"/>
              <w:spacing w:line="336" w:lineRule="auto"/>
              <w:ind w:left="0" w:leftChars="0" w:firstLine="0" w:firstLineChars="0"/>
              <w:jc w:val="both"/>
              <w:rPr>
                <w:rFonts w:hint="default" w:ascii="宋体" w:hAnsi="宋体" w:eastAsia="宋体" w:cs="Arial"/>
                <w:color w:val="auto"/>
                <w:highlight w:val="none"/>
                <w:lang w:val="en-US" w:eastAsia="zh-CN"/>
              </w:rPr>
            </w:pPr>
            <w:r>
              <w:rPr>
                <w:rFonts w:hint="eastAsia"/>
                <w:color w:val="auto"/>
                <w:highlight w:val="none"/>
              </w:rPr>
              <w:t>2</w:t>
            </w:r>
            <w:r>
              <w:rPr>
                <w:rFonts w:hint="eastAsia"/>
                <w:color w:val="auto"/>
                <w:highlight w:val="none"/>
                <w:lang w:val="en-US" w:eastAsia="zh-CN"/>
              </w:rPr>
              <w:t>#</w:t>
            </w:r>
            <w:r>
              <w:rPr>
                <w:rFonts w:hint="eastAsia"/>
                <w:color w:val="auto"/>
                <w:highlight w:val="none"/>
              </w:rPr>
              <w:t>高炉值班室</w:t>
            </w:r>
            <w:r>
              <w:rPr>
                <w:rFonts w:hint="eastAsia"/>
                <w:color w:val="auto"/>
                <w:highlight w:val="none"/>
                <w:lang w:val="en-US" w:eastAsia="zh-CN"/>
              </w:rPr>
              <w:t>现有屏幕</w:t>
            </w:r>
          </w:p>
        </w:tc>
        <w:tc>
          <w:tcPr>
            <w:tcW w:w="468" w:type="pct"/>
            <w:vMerge w:val="restart"/>
            <w:noWrap w:val="0"/>
            <w:vAlign w:val="center"/>
          </w:tcPr>
          <w:p w14:paraId="2D1FA163">
            <w:pPr>
              <w:shd w:val="clear" w:color="auto"/>
              <w:snapToGrid w:val="0"/>
              <w:spacing w:line="336" w:lineRule="auto"/>
              <w:ind w:left="0" w:leftChars="0" w:firstLine="0" w:firstLineChars="0"/>
              <w:jc w:val="both"/>
              <w:rPr>
                <w:rFonts w:hint="eastAsia" w:cs="Arial"/>
                <w:color w:val="auto"/>
                <w:highlight w:val="none"/>
                <w:lang w:val="en-US" w:eastAsia="zh-CN"/>
              </w:rPr>
            </w:pPr>
          </w:p>
        </w:tc>
      </w:tr>
      <w:tr w14:paraId="2FC3FC8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90" w:hRule="atLeast"/>
        </w:trPr>
        <w:tc>
          <w:tcPr>
            <w:tcW w:w="424" w:type="pct"/>
            <w:noWrap w:val="0"/>
            <w:vAlign w:val="center"/>
          </w:tcPr>
          <w:p w14:paraId="3C0F3ABC">
            <w:pPr>
              <w:shd w:val="clear" w:color="auto"/>
              <w:snapToGrid w:val="0"/>
              <w:spacing w:line="336" w:lineRule="auto"/>
              <w:ind w:left="0" w:leftChars="0" w:firstLine="0" w:firstLineChars="0"/>
              <w:jc w:val="both"/>
              <w:rPr>
                <w:rFonts w:hint="eastAsia" w:ascii="宋体" w:hAnsi="宋体" w:eastAsia="宋体" w:cs="Arial"/>
                <w:color w:val="auto"/>
                <w:highlight w:val="none"/>
                <w:lang w:val="en-US" w:eastAsia="zh-CN"/>
              </w:rPr>
            </w:pPr>
            <w:r>
              <w:rPr>
                <w:rFonts w:hint="eastAsia" w:ascii="宋体" w:hAnsi="宋体" w:eastAsia="宋体" w:cs="Arial"/>
                <w:color w:val="auto"/>
                <w:highlight w:val="none"/>
                <w:lang w:val="en-US" w:eastAsia="zh-CN"/>
              </w:rPr>
              <w:t>2</w:t>
            </w:r>
          </w:p>
        </w:tc>
        <w:tc>
          <w:tcPr>
            <w:tcW w:w="2027" w:type="pct"/>
            <w:noWrap w:val="0"/>
            <w:vAlign w:val="center"/>
          </w:tcPr>
          <w:p w14:paraId="04196B31">
            <w:pPr>
              <w:shd w:val="clear" w:color="auto"/>
              <w:snapToGrid w:val="0"/>
              <w:spacing w:line="336" w:lineRule="auto"/>
              <w:ind w:left="0" w:leftChars="0" w:firstLine="0" w:firstLineChars="0"/>
              <w:jc w:val="both"/>
              <w:rPr>
                <w:rFonts w:hint="eastAsia" w:ascii="宋体" w:hAnsi="宋体" w:eastAsia="宋体" w:cs="Arial"/>
                <w:color w:val="auto"/>
                <w:highlight w:val="none"/>
                <w:lang w:val="en-US" w:eastAsia="zh-CN"/>
              </w:rPr>
            </w:pPr>
            <w:r>
              <w:rPr>
                <w:rFonts w:hint="eastAsia"/>
                <w:color w:val="auto"/>
                <w:highlight w:val="none"/>
              </w:rPr>
              <w:t>槽</w:t>
            </w:r>
            <w:r>
              <w:rPr>
                <w:rFonts w:hint="eastAsia"/>
                <w:color w:val="auto"/>
                <w:highlight w:val="none"/>
                <w:lang w:val="en-US" w:eastAsia="zh-CN"/>
              </w:rPr>
              <w:t>下</w:t>
            </w:r>
          </w:p>
        </w:tc>
        <w:tc>
          <w:tcPr>
            <w:tcW w:w="450" w:type="pct"/>
            <w:noWrap w:val="0"/>
            <w:vAlign w:val="center"/>
          </w:tcPr>
          <w:p w14:paraId="38E39F3B">
            <w:pPr>
              <w:shd w:val="clear" w:color="auto"/>
              <w:snapToGrid w:val="0"/>
              <w:spacing w:line="336" w:lineRule="auto"/>
              <w:ind w:left="0" w:leftChars="0" w:firstLine="0" w:firstLineChars="0"/>
              <w:jc w:val="both"/>
              <w:rPr>
                <w:rFonts w:hint="eastAsia" w:ascii="宋体" w:hAnsi="宋体" w:eastAsia="宋体" w:cs="Arial"/>
                <w:color w:val="auto"/>
                <w:highlight w:val="none"/>
                <w:lang w:val="en-US" w:eastAsia="zh-CN"/>
              </w:rPr>
            </w:pPr>
            <w:r>
              <w:rPr>
                <w:rFonts w:hint="eastAsia" w:cs="Arial"/>
                <w:color w:val="auto"/>
                <w:highlight w:val="none"/>
                <w:lang w:val="en-US" w:eastAsia="zh-CN"/>
              </w:rPr>
              <w:t>8</w:t>
            </w:r>
          </w:p>
        </w:tc>
        <w:tc>
          <w:tcPr>
            <w:tcW w:w="1628" w:type="pct"/>
            <w:vMerge w:val="continue"/>
            <w:noWrap w:val="0"/>
            <w:vAlign w:val="center"/>
          </w:tcPr>
          <w:p w14:paraId="1E51D205">
            <w:pPr>
              <w:shd w:val="clear" w:color="auto"/>
              <w:snapToGrid w:val="0"/>
              <w:spacing w:line="336" w:lineRule="auto"/>
              <w:ind w:left="0" w:leftChars="0" w:firstLine="0" w:firstLineChars="0"/>
              <w:jc w:val="both"/>
              <w:rPr>
                <w:rFonts w:hint="eastAsia" w:ascii="宋体" w:hAnsi="宋体" w:eastAsia="宋体" w:cs="Arial"/>
                <w:color w:val="auto"/>
                <w:highlight w:val="none"/>
                <w:lang w:val="en-US" w:eastAsia="zh-CN"/>
              </w:rPr>
            </w:pPr>
          </w:p>
        </w:tc>
        <w:tc>
          <w:tcPr>
            <w:tcW w:w="468" w:type="pct"/>
            <w:vMerge w:val="continue"/>
            <w:noWrap w:val="0"/>
            <w:vAlign w:val="center"/>
          </w:tcPr>
          <w:p w14:paraId="714DA7E0">
            <w:pPr>
              <w:shd w:val="clear" w:color="auto"/>
              <w:snapToGrid w:val="0"/>
              <w:spacing w:line="336" w:lineRule="auto"/>
              <w:ind w:left="0" w:leftChars="0" w:firstLine="0" w:firstLineChars="0"/>
              <w:jc w:val="both"/>
              <w:rPr>
                <w:rFonts w:hint="eastAsia" w:ascii="宋体" w:hAnsi="宋体" w:eastAsia="宋体" w:cs="Arial"/>
                <w:color w:val="auto"/>
                <w:highlight w:val="none"/>
                <w:lang w:val="en-US" w:eastAsia="zh-CN"/>
              </w:rPr>
            </w:pPr>
          </w:p>
        </w:tc>
      </w:tr>
      <w:tr w14:paraId="2A40064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54" w:hRule="atLeast"/>
        </w:trPr>
        <w:tc>
          <w:tcPr>
            <w:tcW w:w="424" w:type="pct"/>
            <w:noWrap w:val="0"/>
            <w:vAlign w:val="center"/>
          </w:tcPr>
          <w:p w14:paraId="53504438">
            <w:pPr>
              <w:shd w:val="clear" w:color="auto"/>
              <w:snapToGrid w:val="0"/>
              <w:spacing w:line="336" w:lineRule="auto"/>
              <w:ind w:left="0" w:leftChars="0" w:firstLine="0" w:firstLineChars="0"/>
              <w:jc w:val="both"/>
              <w:rPr>
                <w:rFonts w:hint="eastAsia" w:ascii="宋体" w:hAnsi="宋体" w:eastAsia="宋体" w:cs="Arial"/>
                <w:color w:val="auto"/>
                <w:highlight w:val="none"/>
                <w:lang w:val="en-US" w:eastAsia="zh-CN"/>
              </w:rPr>
            </w:pPr>
            <w:r>
              <w:rPr>
                <w:rFonts w:hint="eastAsia" w:ascii="宋体" w:hAnsi="宋体" w:eastAsia="宋体" w:cs="Arial"/>
                <w:color w:val="auto"/>
                <w:highlight w:val="none"/>
                <w:lang w:val="en-US" w:eastAsia="zh-CN"/>
              </w:rPr>
              <w:t>3</w:t>
            </w:r>
          </w:p>
        </w:tc>
        <w:tc>
          <w:tcPr>
            <w:tcW w:w="2027" w:type="pct"/>
            <w:noWrap w:val="0"/>
            <w:vAlign w:val="center"/>
          </w:tcPr>
          <w:p w14:paraId="3E51AAFA">
            <w:pPr>
              <w:shd w:val="clear" w:color="auto"/>
              <w:snapToGrid w:val="0"/>
              <w:spacing w:line="336" w:lineRule="auto"/>
              <w:ind w:left="0" w:leftChars="0" w:firstLine="0" w:firstLineChars="0"/>
              <w:jc w:val="both"/>
              <w:rPr>
                <w:rFonts w:hint="eastAsia" w:ascii="宋体" w:hAnsi="宋体" w:eastAsia="宋体" w:cs="Arial"/>
                <w:color w:val="auto"/>
                <w:highlight w:val="none"/>
                <w:lang w:val="en-US" w:eastAsia="zh-CN"/>
              </w:rPr>
            </w:pPr>
            <w:r>
              <w:rPr>
                <w:rFonts w:hint="eastAsia" w:cs="Arial"/>
                <w:color w:val="auto"/>
                <w:highlight w:val="none"/>
                <w:lang w:val="en-US" w:eastAsia="zh-CN"/>
              </w:rPr>
              <w:t>料坑</w:t>
            </w:r>
          </w:p>
        </w:tc>
        <w:tc>
          <w:tcPr>
            <w:tcW w:w="450" w:type="pct"/>
            <w:noWrap w:val="0"/>
            <w:vAlign w:val="center"/>
          </w:tcPr>
          <w:p w14:paraId="41FF34FC">
            <w:pPr>
              <w:shd w:val="clear" w:color="auto"/>
              <w:snapToGrid w:val="0"/>
              <w:spacing w:line="336" w:lineRule="auto"/>
              <w:ind w:left="0" w:leftChars="0" w:firstLine="0" w:firstLineChars="0"/>
              <w:jc w:val="both"/>
              <w:rPr>
                <w:rFonts w:hint="eastAsia" w:ascii="宋体" w:hAnsi="宋体" w:eastAsia="宋体" w:cs="Arial"/>
                <w:color w:val="auto"/>
                <w:highlight w:val="none"/>
                <w:lang w:val="en-US" w:eastAsia="zh-CN"/>
              </w:rPr>
            </w:pPr>
            <w:r>
              <w:rPr>
                <w:rFonts w:hint="eastAsia" w:ascii="宋体" w:hAnsi="宋体" w:eastAsia="宋体" w:cs="Arial"/>
                <w:color w:val="auto"/>
                <w:highlight w:val="none"/>
                <w:lang w:val="en-US" w:eastAsia="zh-CN"/>
              </w:rPr>
              <w:t>2</w:t>
            </w:r>
          </w:p>
        </w:tc>
        <w:tc>
          <w:tcPr>
            <w:tcW w:w="1628" w:type="pct"/>
            <w:vMerge w:val="continue"/>
            <w:noWrap w:val="0"/>
            <w:vAlign w:val="center"/>
          </w:tcPr>
          <w:p w14:paraId="17EFD49E">
            <w:pPr>
              <w:shd w:val="clear" w:color="auto"/>
              <w:snapToGrid w:val="0"/>
              <w:spacing w:line="336" w:lineRule="auto"/>
              <w:ind w:left="0" w:leftChars="0" w:firstLine="0" w:firstLineChars="0"/>
              <w:jc w:val="both"/>
              <w:rPr>
                <w:rFonts w:hint="eastAsia" w:ascii="宋体" w:hAnsi="宋体" w:eastAsia="宋体" w:cs="Arial"/>
                <w:color w:val="auto"/>
                <w:highlight w:val="none"/>
                <w:lang w:val="en-US" w:eastAsia="zh-CN"/>
              </w:rPr>
            </w:pPr>
          </w:p>
        </w:tc>
        <w:tc>
          <w:tcPr>
            <w:tcW w:w="468" w:type="pct"/>
            <w:vMerge w:val="continue"/>
            <w:noWrap w:val="0"/>
            <w:vAlign w:val="center"/>
          </w:tcPr>
          <w:p w14:paraId="543206EE">
            <w:pPr>
              <w:shd w:val="clear" w:color="auto"/>
              <w:snapToGrid w:val="0"/>
              <w:spacing w:line="336" w:lineRule="auto"/>
              <w:ind w:left="0" w:leftChars="0" w:firstLine="0" w:firstLineChars="0"/>
              <w:jc w:val="both"/>
              <w:rPr>
                <w:rFonts w:hint="eastAsia" w:ascii="宋体" w:hAnsi="宋体" w:eastAsia="宋体" w:cs="Arial"/>
                <w:color w:val="auto"/>
                <w:highlight w:val="none"/>
                <w:lang w:val="en-US" w:eastAsia="zh-CN"/>
              </w:rPr>
            </w:pPr>
          </w:p>
        </w:tc>
      </w:tr>
      <w:tr w14:paraId="474F0B3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54" w:hRule="atLeast"/>
        </w:trPr>
        <w:tc>
          <w:tcPr>
            <w:tcW w:w="424" w:type="pct"/>
            <w:noWrap w:val="0"/>
            <w:vAlign w:val="center"/>
          </w:tcPr>
          <w:p w14:paraId="2EB144FC">
            <w:pPr>
              <w:shd w:val="clear" w:color="auto"/>
              <w:snapToGrid w:val="0"/>
              <w:spacing w:line="336" w:lineRule="auto"/>
              <w:ind w:left="0" w:leftChars="0" w:firstLine="0" w:firstLineChars="0"/>
              <w:jc w:val="both"/>
              <w:rPr>
                <w:rFonts w:hint="eastAsia" w:ascii="宋体" w:hAnsi="宋体" w:eastAsia="宋体" w:cs="Arial"/>
                <w:color w:val="auto"/>
                <w:highlight w:val="none"/>
                <w:lang w:val="en-US" w:eastAsia="zh-CN"/>
              </w:rPr>
            </w:pPr>
            <w:r>
              <w:rPr>
                <w:rFonts w:hint="eastAsia" w:ascii="宋体" w:hAnsi="宋体" w:eastAsia="宋体" w:cs="Arial"/>
                <w:color w:val="auto"/>
                <w:highlight w:val="none"/>
                <w:lang w:val="en-US" w:eastAsia="zh-CN"/>
              </w:rPr>
              <w:t>4</w:t>
            </w:r>
          </w:p>
        </w:tc>
        <w:tc>
          <w:tcPr>
            <w:tcW w:w="2027" w:type="pct"/>
            <w:noWrap w:val="0"/>
            <w:vAlign w:val="center"/>
          </w:tcPr>
          <w:p w14:paraId="281EBBFF">
            <w:pPr>
              <w:shd w:val="clear" w:color="auto"/>
              <w:snapToGrid w:val="0"/>
              <w:spacing w:line="336" w:lineRule="auto"/>
              <w:ind w:left="0" w:leftChars="0" w:firstLine="0" w:firstLineChars="0"/>
              <w:jc w:val="both"/>
              <w:rPr>
                <w:rFonts w:hint="default" w:ascii="宋体" w:hAnsi="宋体" w:eastAsia="宋体" w:cs="Arial"/>
                <w:color w:val="auto"/>
                <w:highlight w:val="none"/>
                <w:lang w:val="en-US" w:eastAsia="zh-CN"/>
              </w:rPr>
            </w:pPr>
            <w:r>
              <w:rPr>
                <w:rFonts w:hint="eastAsia"/>
                <w:color w:val="auto"/>
                <w:highlight w:val="none"/>
              </w:rPr>
              <w:t>槽上卸料小车</w:t>
            </w:r>
          </w:p>
        </w:tc>
        <w:tc>
          <w:tcPr>
            <w:tcW w:w="450" w:type="pct"/>
            <w:noWrap w:val="0"/>
            <w:vAlign w:val="center"/>
          </w:tcPr>
          <w:p w14:paraId="5BF5424B">
            <w:pPr>
              <w:shd w:val="clear" w:color="auto"/>
              <w:snapToGrid w:val="0"/>
              <w:spacing w:line="336" w:lineRule="auto"/>
              <w:ind w:left="0" w:leftChars="0" w:firstLine="0" w:firstLineChars="0"/>
              <w:jc w:val="both"/>
              <w:rPr>
                <w:rFonts w:hint="default" w:ascii="宋体" w:hAnsi="宋体" w:eastAsia="宋体" w:cs="Arial"/>
                <w:color w:val="auto"/>
                <w:highlight w:val="none"/>
                <w:lang w:val="en-US" w:eastAsia="zh-CN"/>
              </w:rPr>
            </w:pPr>
            <w:r>
              <w:rPr>
                <w:rFonts w:hint="eastAsia" w:cs="Arial"/>
                <w:color w:val="auto"/>
                <w:highlight w:val="none"/>
                <w:lang w:val="en-US" w:eastAsia="zh-CN"/>
              </w:rPr>
              <w:t>6</w:t>
            </w:r>
          </w:p>
        </w:tc>
        <w:tc>
          <w:tcPr>
            <w:tcW w:w="1628" w:type="pct"/>
            <w:vMerge w:val="continue"/>
            <w:noWrap w:val="0"/>
            <w:vAlign w:val="center"/>
          </w:tcPr>
          <w:p w14:paraId="4D3411E5">
            <w:pPr>
              <w:shd w:val="clear" w:color="auto"/>
              <w:snapToGrid w:val="0"/>
              <w:spacing w:line="336" w:lineRule="auto"/>
              <w:ind w:left="0" w:leftChars="0" w:firstLine="0" w:firstLineChars="0"/>
              <w:jc w:val="both"/>
              <w:rPr>
                <w:rFonts w:hint="eastAsia" w:ascii="宋体" w:hAnsi="宋体" w:eastAsia="宋体" w:cs="Arial"/>
                <w:color w:val="auto"/>
                <w:highlight w:val="none"/>
                <w:lang w:val="en-US" w:eastAsia="zh-CN"/>
              </w:rPr>
            </w:pPr>
          </w:p>
        </w:tc>
        <w:tc>
          <w:tcPr>
            <w:tcW w:w="468" w:type="pct"/>
            <w:vMerge w:val="continue"/>
            <w:noWrap w:val="0"/>
            <w:vAlign w:val="center"/>
          </w:tcPr>
          <w:p w14:paraId="00A04178">
            <w:pPr>
              <w:shd w:val="clear" w:color="auto"/>
              <w:snapToGrid w:val="0"/>
              <w:spacing w:line="336" w:lineRule="auto"/>
              <w:ind w:left="0" w:leftChars="0" w:firstLine="0" w:firstLineChars="0"/>
              <w:jc w:val="both"/>
              <w:rPr>
                <w:rFonts w:hint="eastAsia" w:ascii="宋体" w:hAnsi="宋体" w:eastAsia="宋体" w:cs="Arial"/>
                <w:color w:val="auto"/>
                <w:highlight w:val="none"/>
                <w:lang w:val="en-US" w:eastAsia="zh-CN"/>
              </w:rPr>
            </w:pPr>
          </w:p>
        </w:tc>
      </w:tr>
      <w:tr w14:paraId="0B9FA1B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54" w:hRule="atLeast"/>
        </w:trPr>
        <w:tc>
          <w:tcPr>
            <w:tcW w:w="424" w:type="pct"/>
            <w:noWrap w:val="0"/>
            <w:vAlign w:val="center"/>
          </w:tcPr>
          <w:p w14:paraId="3707D94A">
            <w:pPr>
              <w:shd w:val="clear" w:color="auto"/>
              <w:snapToGrid w:val="0"/>
              <w:spacing w:line="336" w:lineRule="auto"/>
              <w:ind w:left="0" w:leftChars="0" w:firstLine="0" w:firstLineChars="0"/>
              <w:jc w:val="both"/>
              <w:rPr>
                <w:rFonts w:hint="eastAsia" w:ascii="宋体" w:hAnsi="宋体" w:eastAsia="宋体" w:cs="Arial"/>
                <w:color w:val="auto"/>
                <w:highlight w:val="none"/>
                <w:lang w:val="en-US" w:eastAsia="zh-CN"/>
              </w:rPr>
            </w:pPr>
            <w:r>
              <w:rPr>
                <w:rFonts w:hint="eastAsia" w:ascii="宋体" w:hAnsi="宋体" w:eastAsia="宋体" w:cs="Arial"/>
                <w:color w:val="auto"/>
                <w:highlight w:val="none"/>
                <w:lang w:val="en-US" w:eastAsia="zh-CN"/>
              </w:rPr>
              <w:t>5</w:t>
            </w:r>
          </w:p>
        </w:tc>
        <w:tc>
          <w:tcPr>
            <w:tcW w:w="2027" w:type="pct"/>
            <w:noWrap w:val="0"/>
            <w:vAlign w:val="center"/>
          </w:tcPr>
          <w:p w14:paraId="2ED9D13F">
            <w:pPr>
              <w:shd w:val="clear" w:color="auto"/>
              <w:snapToGrid w:val="0"/>
              <w:spacing w:line="336" w:lineRule="auto"/>
              <w:ind w:left="0" w:leftChars="0" w:firstLine="0" w:firstLineChars="0"/>
              <w:jc w:val="both"/>
              <w:rPr>
                <w:rFonts w:hint="eastAsia" w:ascii="宋体" w:hAnsi="宋体" w:eastAsia="宋体" w:cs="Arial"/>
                <w:color w:val="auto"/>
                <w:highlight w:val="none"/>
                <w:lang w:val="en-US" w:eastAsia="zh-CN"/>
              </w:rPr>
            </w:pPr>
            <w:r>
              <w:rPr>
                <w:rFonts w:hint="eastAsia"/>
                <w:color w:val="auto"/>
                <w:highlight w:val="none"/>
              </w:rPr>
              <w:t>高炉炉顶受料斗</w:t>
            </w:r>
          </w:p>
        </w:tc>
        <w:tc>
          <w:tcPr>
            <w:tcW w:w="450" w:type="pct"/>
            <w:noWrap w:val="0"/>
            <w:vAlign w:val="center"/>
          </w:tcPr>
          <w:p w14:paraId="2B35ED68">
            <w:pPr>
              <w:shd w:val="clear" w:color="auto"/>
              <w:snapToGrid w:val="0"/>
              <w:spacing w:line="336" w:lineRule="auto"/>
              <w:ind w:left="0" w:leftChars="0" w:firstLine="0" w:firstLineChars="0"/>
              <w:jc w:val="both"/>
              <w:rPr>
                <w:rFonts w:hint="eastAsia" w:ascii="宋体" w:hAnsi="宋体" w:eastAsia="宋体" w:cs="Arial"/>
                <w:color w:val="auto"/>
                <w:highlight w:val="none"/>
                <w:lang w:val="en-US" w:eastAsia="zh-CN"/>
              </w:rPr>
            </w:pPr>
            <w:r>
              <w:rPr>
                <w:rFonts w:hint="eastAsia" w:ascii="宋体" w:hAnsi="宋体" w:eastAsia="宋体" w:cs="Arial"/>
                <w:color w:val="auto"/>
                <w:highlight w:val="none"/>
                <w:lang w:val="en-US" w:eastAsia="zh-CN"/>
              </w:rPr>
              <w:t>1</w:t>
            </w:r>
          </w:p>
        </w:tc>
        <w:tc>
          <w:tcPr>
            <w:tcW w:w="1628" w:type="pct"/>
            <w:vMerge w:val="continue"/>
            <w:noWrap w:val="0"/>
            <w:vAlign w:val="center"/>
          </w:tcPr>
          <w:p w14:paraId="17F393A1">
            <w:pPr>
              <w:shd w:val="clear" w:color="auto"/>
              <w:snapToGrid w:val="0"/>
              <w:spacing w:line="336" w:lineRule="auto"/>
              <w:ind w:left="0" w:leftChars="0" w:firstLine="0" w:firstLineChars="0"/>
              <w:jc w:val="both"/>
              <w:rPr>
                <w:rFonts w:hint="eastAsia" w:ascii="宋体" w:hAnsi="宋体" w:eastAsia="宋体" w:cs="Arial"/>
                <w:color w:val="auto"/>
                <w:highlight w:val="none"/>
                <w:lang w:val="en-US" w:eastAsia="zh-CN"/>
              </w:rPr>
            </w:pPr>
          </w:p>
        </w:tc>
        <w:tc>
          <w:tcPr>
            <w:tcW w:w="468" w:type="pct"/>
            <w:vMerge w:val="continue"/>
            <w:noWrap w:val="0"/>
            <w:vAlign w:val="center"/>
          </w:tcPr>
          <w:p w14:paraId="030FADAE">
            <w:pPr>
              <w:shd w:val="clear" w:color="auto"/>
              <w:snapToGrid w:val="0"/>
              <w:spacing w:line="336" w:lineRule="auto"/>
              <w:ind w:left="0" w:leftChars="0" w:firstLine="0" w:firstLineChars="0"/>
              <w:jc w:val="both"/>
              <w:rPr>
                <w:rFonts w:hint="eastAsia" w:ascii="宋体" w:hAnsi="宋体" w:eastAsia="宋体" w:cs="Arial"/>
                <w:color w:val="auto"/>
                <w:highlight w:val="none"/>
                <w:lang w:val="en-US" w:eastAsia="zh-CN"/>
              </w:rPr>
            </w:pPr>
          </w:p>
        </w:tc>
      </w:tr>
      <w:tr w14:paraId="10FB976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54" w:hRule="atLeast"/>
        </w:trPr>
        <w:tc>
          <w:tcPr>
            <w:tcW w:w="424" w:type="pct"/>
            <w:noWrap w:val="0"/>
            <w:vAlign w:val="center"/>
          </w:tcPr>
          <w:p w14:paraId="318352D1">
            <w:pPr>
              <w:shd w:val="clear" w:color="auto"/>
              <w:snapToGrid w:val="0"/>
              <w:spacing w:line="336" w:lineRule="auto"/>
              <w:ind w:left="0" w:leftChars="0" w:firstLine="0" w:firstLineChars="0"/>
              <w:jc w:val="both"/>
              <w:rPr>
                <w:rFonts w:hint="default" w:ascii="宋体" w:hAnsi="宋体" w:eastAsia="宋体" w:cs="Arial"/>
                <w:color w:val="auto"/>
                <w:kern w:val="2"/>
                <w:sz w:val="24"/>
                <w:szCs w:val="24"/>
                <w:highlight w:val="none"/>
                <w:lang w:val="en-US" w:eastAsia="zh-CN" w:bidi="ar-SA"/>
              </w:rPr>
            </w:pPr>
            <w:r>
              <w:rPr>
                <w:rFonts w:hint="eastAsia" w:ascii="宋体" w:hAnsi="宋体" w:eastAsia="宋体" w:cs="Arial"/>
                <w:color w:val="auto"/>
                <w:highlight w:val="none"/>
                <w:lang w:val="en-US" w:eastAsia="zh-CN"/>
              </w:rPr>
              <w:t>7</w:t>
            </w:r>
          </w:p>
        </w:tc>
        <w:tc>
          <w:tcPr>
            <w:tcW w:w="2027" w:type="pct"/>
            <w:noWrap w:val="0"/>
            <w:vAlign w:val="center"/>
          </w:tcPr>
          <w:p w14:paraId="7057D003">
            <w:pPr>
              <w:shd w:val="clear" w:color="auto"/>
              <w:snapToGrid w:val="0"/>
              <w:spacing w:line="336" w:lineRule="auto"/>
              <w:ind w:left="0" w:leftChars="0" w:firstLine="0" w:firstLineChars="0"/>
              <w:jc w:val="both"/>
              <w:rPr>
                <w:rFonts w:hint="default" w:ascii="宋体" w:hAnsi="宋体" w:eastAsia="宋体" w:cs="Arial"/>
                <w:color w:val="auto"/>
                <w:kern w:val="2"/>
                <w:sz w:val="24"/>
                <w:szCs w:val="24"/>
                <w:highlight w:val="none"/>
                <w:lang w:val="en-US" w:eastAsia="zh-CN" w:bidi="ar-SA"/>
              </w:rPr>
            </w:pPr>
            <w:r>
              <w:rPr>
                <w:rFonts w:hint="eastAsia"/>
                <w:color w:val="auto"/>
                <w:highlight w:val="none"/>
                <w:lang w:val="en-US" w:eastAsia="zh-CN"/>
              </w:rPr>
              <w:t>新建出铁场除尘系统</w:t>
            </w:r>
          </w:p>
        </w:tc>
        <w:tc>
          <w:tcPr>
            <w:tcW w:w="450" w:type="pct"/>
            <w:noWrap w:val="0"/>
            <w:vAlign w:val="center"/>
          </w:tcPr>
          <w:p w14:paraId="790DD7B5">
            <w:pPr>
              <w:shd w:val="clear" w:color="auto"/>
              <w:snapToGrid w:val="0"/>
              <w:spacing w:line="336" w:lineRule="auto"/>
              <w:ind w:left="0" w:leftChars="0" w:firstLine="0" w:firstLineChars="0"/>
              <w:jc w:val="both"/>
              <w:rPr>
                <w:rFonts w:hint="default" w:ascii="宋体" w:hAnsi="宋体" w:eastAsia="宋体" w:cs="Arial"/>
                <w:color w:val="auto"/>
                <w:kern w:val="2"/>
                <w:sz w:val="24"/>
                <w:szCs w:val="24"/>
                <w:highlight w:val="none"/>
                <w:lang w:val="en-US" w:eastAsia="zh-CN" w:bidi="ar-SA"/>
              </w:rPr>
            </w:pPr>
            <w:r>
              <w:rPr>
                <w:rFonts w:hint="eastAsia" w:cs="Arial"/>
                <w:color w:val="auto"/>
                <w:highlight w:val="none"/>
                <w:lang w:val="en-US" w:eastAsia="zh-CN"/>
              </w:rPr>
              <w:t>10</w:t>
            </w:r>
          </w:p>
        </w:tc>
        <w:tc>
          <w:tcPr>
            <w:tcW w:w="1628" w:type="pct"/>
            <w:noWrap w:val="0"/>
            <w:vAlign w:val="center"/>
          </w:tcPr>
          <w:p w14:paraId="0E6102C9">
            <w:pPr>
              <w:shd w:val="clear" w:color="auto"/>
              <w:snapToGrid w:val="0"/>
              <w:spacing w:line="336" w:lineRule="auto"/>
              <w:ind w:left="0" w:leftChars="0" w:firstLine="0" w:firstLineChars="0"/>
              <w:jc w:val="both"/>
              <w:rPr>
                <w:rFonts w:hint="eastAsia"/>
                <w:color w:val="auto"/>
                <w:highlight w:val="none"/>
              </w:rPr>
            </w:pPr>
            <w:r>
              <w:rPr>
                <w:rFonts w:hint="eastAsia"/>
                <w:color w:val="auto"/>
                <w:highlight w:val="none"/>
              </w:rPr>
              <w:t>2</w:t>
            </w:r>
            <w:r>
              <w:rPr>
                <w:rFonts w:hint="eastAsia"/>
                <w:color w:val="auto"/>
                <w:highlight w:val="none"/>
                <w:lang w:val="en-US" w:eastAsia="zh-CN"/>
              </w:rPr>
              <w:t>#</w:t>
            </w:r>
            <w:r>
              <w:rPr>
                <w:rFonts w:hint="eastAsia"/>
                <w:color w:val="auto"/>
                <w:highlight w:val="none"/>
              </w:rPr>
              <w:t>高炉值班室</w:t>
            </w:r>
          </w:p>
          <w:p w14:paraId="7AD62A83">
            <w:pPr>
              <w:shd w:val="clear" w:color="auto"/>
              <w:snapToGrid w:val="0"/>
              <w:spacing w:line="336" w:lineRule="auto"/>
              <w:ind w:left="0" w:leftChars="0" w:firstLine="0" w:firstLineChars="0"/>
              <w:jc w:val="both"/>
              <w:rPr>
                <w:rFonts w:hint="default" w:ascii="宋体" w:hAnsi="宋体" w:eastAsia="宋体" w:cs="Arial"/>
                <w:color w:val="auto"/>
                <w:highlight w:val="none"/>
                <w:lang w:val="en-US" w:eastAsia="zh-CN"/>
              </w:rPr>
            </w:pPr>
            <w:r>
              <w:rPr>
                <w:rFonts w:hint="eastAsia"/>
                <w:color w:val="auto"/>
                <w:highlight w:val="none"/>
                <w:lang w:val="en-US" w:eastAsia="zh-CN"/>
              </w:rPr>
              <w:t>新增显示器</w:t>
            </w:r>
          </w:p>
        </w:tc>
        <w:tc>
          <w:tcPr>
            <w:tcW w:w="468" w:type="pct"/>
            <w:noWrap w:val="0"/>
            <w:vAlign w:val="center"/>
          </w:tcPr>
          <w:p w14:paraId="068AF551">
            <w:pPr>
              <w:shd w:val="clear" w:color="auto"/>
              <w:snapToGrid w:val="0"/>
              <w:spacing w:line="336" w:lineRule="auto"/>
              <w:ind w:left="0" w:leftChars="0" w:firstLine="0" w:firstLineChars="0"/>
              <w:jc w:val="both"/>
              <w:rPr>
                <w:rFonts w:hint="eastAsia" w:ascii="宋体" w:hAnsi="宋体" w:eastAsia="宋体" w:cs="Arial"/>
                <w:color w:val="auto"/>
                <w:highlight w:val="none"/>
                <w:lang w:val="en-US" w:eastAsia="zh-CN"/>
              </w:rPr>
            </w:pPr>
          </w:p>
        </w:tc>
      </w:tr>
      <w:tr w14:paraId="4687A36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54" w:hRule="atLeast"/>
        </w:trPr>
        <w:tc>
          <w:tcPr>
            <w:tcW w:w="424" w:type="pct"/>
            <w:noWrap w:val="0"/>
            <w:vAlign w:val="center"/>
          </w:tcPr>
          <w:p w14:paraId="0F41C89A">
            <w:pPr>
              <w:shd w:val="clear" w:color="auto"/>
              <w:snapToGrid w:val="0"/>
              <w:spacing w:line="336" w:lineRule="auto"/>
              <w:ind w:left="0" w:leftChars="0" w:firstLine="0" w:firstLineChars="0"/>
              <w:jc w:val="both"/>
              <w:rPr>
                <w:rFonts w:hint="default" w:ascii="宋体" w:hAnsi="宋体" w:eastAsia="宋体" w:cs="Arial"/>
                <w:color w:val="auto"/>
                <w:highlight w:val="none"/>
                <w:lang w:val="en-US" w:eastAsia="zh-CN"/>
              </w:rPr>
            </w:pPr>
            <w:r>
              <w:rPr>
                <w:rFonts w:hint="eastAsia" w:cs="Arial"/>
                <w:color w:val="auto"/>
                <w:highlight w:val="none"/>
                <w:lang w:val="en-US" w:eastAsia="zh-CN"/>
              </w:rPr>
              <w:t>8</w:t>
            </w:r>
          </w:p>
        </w:tc>
        <w:tc>
          <w:tcPr>
            <w:tcW w:w="2027" w:type="pct"/>
            <w:noWrap w:val="0"/>
            <w:vAlign w:val="center"/>
          </w:tcPr>
          <w:p w14:paraId="6EC63815">
            <w:pPr>
              <w:shd w:val="clear" w:color="auto"/>
              <w:snapToGrid w:val="0"/>
              <w:spacing w:line="336" w:lineRule="auto"/>
              <w:ind w:left="0" w:leftChars="0" w:firstLine="0" w:firstLineChars="0"/>
              <w:jc w:val="both"/>
              <w:rPr>
                <w:rFonts w:hint="default"/>
                <w:color w:val="auto"/>
                <w:highlight w:val="none"/>
                <w:lang w:val="en-US" w:eastAsia="zh-CN"/>
              </w:rPr>
            </w:pPr>
            <w:r>
              <w:rPr>
                <w:rFonts w:hint="eastAsia"/>
                <w:color w:val="auto"/>
                <w:highlight w:val="none"/>
                <w:lang w:val="en-US" w:eastAsia="zh-CN"/>
              </w:rPr>
              <w:t>CEMS烟囱监测平台</w:t>
            </w:r>
          </w:p>
        </w:tc>
        <w:tc>
          <w:tcPr>
            <w:tcW w:w="450" w:type="pct"/>
            <w:noWrap w:val="0"/>
            <w:vAlign w:val="center"/>
          </w:tcPr>
          <w:p w14:paraId="7FD4B543">
            <w:pPr>
              <w:shd w:val="clear" w:color="auto"/>
              <w:snapToGrid w:val="0"/>
              <w:spacing w:line="336" w:lineRule="auto"/>
              <w:ind w:left="0" w:leftChars="0" w:firstLine="0" w:firstLineChars="0"/>
              <w:jc w:val="both"/>
              <w:rPr>
                <w:rFonts w:hint="default" w:cs="Arial"/>
                <w:color w:val="auto"/>
                <w:highlight w:val="none"/>
                <w:lang w:val="en-US" w:eastAsia="zh-CN"/>
              </w:rPr>
            </w:pPr>
            <w:r>
              <w:rPr>
                <w:rFonts w:hint="eastAsia" w:cs="Arial"/>
                <w:color w:val="auto"/>
                <w:highlight w:val="none"/>
                <w:lang w:val="en-US" w:eastAsia="zh-CN"/>
              </w:rPr>
              <w:t>12</w:t>
            </w:r>
          </w:p>
        </w:tc>
        <w:tc>
          <w:tcPr>
            <w:tcW w:w="1628" w:type="pct"/>
            <w:vMerge w:val="restart"/>
            <w:noWrap w:val="0"/>
            <w:vAlign w:val="center"/>
          </w:tcPr>
          <w:p w14:paraId="3B6AA119">
            <w:pPr>
              <w:shd w:val="clear" w:color="auto"/>
              <w:snapToGrid w:val="0"/>
              <w:spacing w:line="336" w:lineRule="auto"/>
              <w:ind w:left="0" w:leftChars="0" w:firstLine="0" w:firstLineChars="0"/>
              <w:jc w:val="both"/>
              <w:rPr>
                <w:rFonts w:hint="eastAsia"/>
                <w:color w:val="auto"/>
                <w:highlight w:val="none"/>
              </w:rPr>
            </w:pPr>
          </w:p>
        </w:tc>
        <w:tc>
          <w:tcPr>
            <w:tcW w:w="468" w:type="pct"/>
            <w:noWrap w:val="0"/>
            <w:vAlign w:val="center"/>
          </w:tcPr>
          <w:p w14:paraId="0E56769A">
            <w:pPr>
              <w:shd w:val="clear" w:color="auto"/>
              <w:snapToGrid w:val="0"/>
              <w:spacing w:line="336" w:lineRule="auto"/>
              <w:ind w:left="0" w:leftChars="0" w:firstLine="0" w:firstLineChars="0"/>
              <w:jc w:val="both"/>
              <w:rPr>
                <w:rFonts w:hint="eastAsia" w:ascii="宋体" w:hAnsi="宋体" w:eastAsia="宋体" w:cs="Arial"/>
                <w:color w:val="auto"/>
                <w:highlight w:val="none"/>
                <w:lang w:val="en-US" w:eastAsia="zh-CN"/>
              </w:rPr>
            </w:pPr>
          </w:p>
        </w:tc>
      </w:tr>
      <w:tr w14:paraId="362FEF3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54" w:hRule="atLeast"/>
        </w:trPr>
        <w:tc>
          <w:tcPr>
            <w:tcW w:w="424" w:type="pct"/>
            <w:noWrap w:val="0"/>
            <w:vAlign w:val="center"/>
          </w:tcPr>
          <w:p w14:paraId="6FF6C1EF">
            <w:pPr>
              <w:shd w:val="clear" w:color="auto"/>
              <w:snapToGrid w:val="0"/>
              <w:spacing w:line="336" w:lineRule="auto"/>
              <w:ind w:left="0" w:leftChars="0" w:firstLine="0" w:firstLineChars="0"/>
              <w:jc w:val="both"/>
              <w:rPr>
                <w:rFonts w:hint="default" w:ascii="宋体" w:hAnsi="宋体" w:eastAsia="宋体" w:cs="Arial"/>
                <w:color w:val="auto"/>
                <w:highlight w:val="none"/>
                <w:lang w:val="en-US" w:eastAsia="zh-CN"/>
              </w:rPr>
            </w:pPr>
            <w:r>
              <w:rPr>
                <w:rFonts w:hint="eastAsia" w:cs="Arial"/>
                <w:color w:val="auto"/>
                <w:highlight w:val="none"/>
                <w:lang w:val="en-US" w:eastAsia="zh-CN"/>
              </w:rPr>
              <w:t>9</w:t>
            </w:r>
          </w:p>
        </w:tc>
        <w:tc>
          <w:tcPr>
            <w:tcW w:w="2027" w:type="pct"/>
            <w:noWrap w:val="0"/>
            <w:vAlign w:val="center"/>
          </w:tcPr>
          <w:p w14:paraId="790C1926">
            <w:pPr>
              <w:shd w:val="clear" w:color="auto"/>
              <w:snapToGrid w:val="0"/>
              <w:spacing w:line="336" w:lineRule="auto"/>
              <w:ind w:left="0" w:leftChars="0" w:firstLine="0" w:firstLineChars="0"/>
              <w:jc w:val="both"/>
              <w:rPr>
                <w:rFonts w:hint="eastAsia"/>
                <w:color w:val="auto"/>
                <w:highlight w:val="none"/>
                <w:lang w:val="en-US" w:eastAsia="zh-CN"/>
              </w:rPr>
            </w:pPr>
            <w:r>
              <w:rPr>
                <w:rFonts w:hint="eastAsia"/>
                <w:color w:val="auto"/>
                <w:highlight w:val="none"/>
                <w:lang w:val="en-US" w:eastAsia="zh-CN"/>
              </w:rPr>
              <w:t>CEMS小房</w:t>
            </w:r>
          </w:p>
        </w:tc>
        <w:tc>
          <w:tcPr>
            <w:tcW w:w="450" w:type="pct"/>
            <w:noWrap w:val="0"/>
            <w:vAlign w:val="center"/>
          </w:tcPr>
          <w:p w14:paraId="6950FB95">
            <w:pPr>
              <w:shd w:val="clear" w:color="auto"/>
              <w:snapToGrid w:val="0"/>
              <w:spacing w:line="336" w:lineRule="auto"/>
              <w:ind w:left="0" w:leftChars="0" w:firstLine="0" w:firstLineChars="0"/>
              <w:jc w:val="both"/>
              <w:rPr>
                <w:rFonts w:hint="default" w:cs="Arial"/>
                <w:color w:val="auto"/>
                <w:highlight w:val="none"/>
                <w:lang w:val="en-US" w:eastAsia="zh-CN"/>
              </w:rPr>
            </w:pPr>
            <w:r>
              <w:rPr>
                <w:rFonts w:hint="eastAsia" w:cs="Arial"/>
                <w:color w:val="auto"/>
                <w:highlight w:val="none"/>
                <w:lang w:val="en-US" w:eastAsia="zh-CN"/>
              </w:rPr>
              <w:t>4</w:t>
            </w:r>
          </w:p>
        </w:tc>
        <w:tc>
          <w:tcPr>
            <w:tcW w:w="1628" w:type="pct"/>
            <w:vMerge w:val="continue"/>
            <w:noWrap w:val="0"/>
            <w:vAlign w:val="center"/>
          </w:tcPr>
          <w:p w14:paraId="643C3C43">
            <w:pPr>
              <w:shd w:val="clear" w:color="auto"/>
              <w:snapToGrid w:val="0"/>
              <w:spacing w:line="336" w:lineRule="auto"/>
              <w:ind w:left="0" w:leftChars="0" w:firstLine="0" w:firstLineChars="0"/>
              <w:jc w:val="both"/>
              <w:rPr>
                <w:rFonts w:hint="eastAsia"/>
                <w:color w:val="auto"/>
                <w:highlight w:val="none"/>
              </w:rPr>
            </w:pPr>
          </w:p>
        </w:tc>
        <w:tc>
          <w:tcPr>
            <w:tcW w:w="468" w:type="pct"/>
            <w:noWrap w:val="0"/>
            <w:vAlign w:val="center"/>
          </w:tcPr>
          <w:p w14:paraId="3D7D0EB4">
            <w:pPr>
              <w:shd w:val="clear" w:color="auto"/>
              <w:snapToGrid w:val="0"/>
              <w:spacing w:line="336" w:lineRule="auto"/>
              <w:ind w:left="0" w:leftChars="0" w:firstLine="0" w:firstLineChars="0"/>
              <w:jc w:val="both"/>
              <w:rPr>
                <w:rFonts w:hint="eastAsia" w:ascii="宋体" w:hAnsi="宋体" w:eastAsia="宋体" w:cs="Arial"/>
                <w:color w:val="auto"/>
                <w:highlight w:val="none"/>
                <w:lang w:val="en-US" w:eastAsia="zh-CN"/>
              </w:rPr>
            </w:pPr>
          </w:p>
        </w:tc>
      </w:tr>
      <w:tr w14:paraId="3C76990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54" w:hRule="atLeast"/>
        </w:trPr>
        <w:tc>
          <w:tcPr>
            <w:tcW w:w="424" w:type="pct"/>
            <w:noWrap w:val="0"/>
            <w:vAlign w:val="center"/>
          </w:tcPr>
          <w:p w14:paraId="145DD573">
            <w:pPr>
              <w:shd w:val="clear" w:color="auto"/>
              <w:snapToGrid w:val="0"/>
              <w:spacing w:line="336" w:lineRule="auto"/>
              <w:jc w:val="both"/>
              <w:rPr>
                <w:rFonts w:hint="eastAsia" w:ascii="Times New Roman" w:hAnsi="Times New Roman" w:eastAsia="宋体" w:cs="Times New Roman"/>
                <w:color w:val="auto"/>
                <w:sz w:val="21"/>
                <w:szCs w:val="21"/>
                <w:highlight w:val="none"/>
                <w:lang w:val="en-US" w:eastAsia="zh-CN"/>
              </w:rPr>
            </w:pPr>
          </w:p>
        </w:tc>
        <w:tc>
          <w:tcPr>
            <w:tcW w:w="2027" w:type="pct"/>
            <w:noWrap w:val="0"/>
            <w:vAlign w:val="center"/>
          </w:tcPr>
          <w:p w14:paraId="4B640EF0">
            <w:pPr>
              <w:shd w:val="clear" w:color="auto"/>
              <w:snapToGrid w:val="0"/>
              <w:spacing w:line="336" w:lineRule="auto"/>
              <w:ind w:left="0" w:leftChars="0" w:firstLine="0" w:firstLineChars="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合计</w:t>
            </w:r>
          </w:p>
        </w:tc>
        <w:tc>
          <w:tcPr>
            <w:tcW w:w="450" w:type="pct"/>
            <w:noWrap w:val="0"/>
            <w:vAlign w:val="center"/>
          </w:tcPr>
          <w:p w14:paraId="64AA204D">
            <w:pPr>
              <w:shd w:val="clear" w:color="auto"/>
              <w:snapToGrid w:val="0"/>
              <w:spacing w:line="336" w:lineRule="auto"/>
              <w:ind w:left="0" w:leftChars="0" w:firstLine="0" w:firstLineChars="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47</w:t>
            </w:r>
          </w:p>
        </w:tc>
        <w:tc>
          <w:tcPr>
            <w:tcW w:w="1628" w:type="pct"/>
            <w:noWrap w:val="0"/>
            <w:vAlign w:val="center"/>
          </w:tcPr>
          <w:p w14:paraId="436E0E4A">
            <w:pPr>
              <w:shd w:val="clear" w:color="auto"/>
              <w:snapToGrid w:val="0"/>
              <w:spacing w:line="336" w:lineRule="auto"/>
              <w:jc w:val="both"/>
              <w:rPr>
                <w:rFonts w:hint="eastAsia" w:ascii="Times New Roman" w:hAnsi="Times New Roman" w:eastAsia="宋体" w:cs="Times New Roman"/>
                <w:color w:val="auto"/>
                <w:sz w:val="21"/>
                <w:szCs w:val="21"/>
                <w:highlight w:val="none"/>
                <w:lang w:val="en-US" w:eastAsia="zh-CN"/>
              </w:rPr>
            </w:pPr>
          </w:p>
        </w:tc>
        <w:tc>
          <w:tcPr>
            <w:tcW w:w="468" w:type="pct"/>
            <w:noWrap w:val="0"/>
            <w:vAlign w:val="center"/>
          </w:tcPr>
          <w:p w14:paraId="25B1BC8A">
            <w:pPr>
              <w:shd w:val="clear" w:color="auto"/>
              <w:snapToGrid w:val="0"/>
              <w:spacing w:line="336" w:lineRule="auto"/>
              <w:jc w:val="both"/>
              <w:rPr>
                <w:rFonts w:hint="eastAsia" w:ascii="Times New Roman" w:hAnsi="Times New Roman" w:eastAsia="宋体" w:cs="Times New Roman"/>
                <w:color w:val="auto"/>
                <w:sz w:val="21"/>
                <w:szCs w:val="21"/>
                <w:highlight w:val="none"/>
                <w:lang w:val="en-US" w:eastAsia="zh-CN"/>
              </w:rPr>
            </w:pPr>
          </w:p>
        </w:tc>
      </w:tr>
    </w:tbl>
    <w:p w14:paraId="3F847EE3">
      <w:pPr>
        <w:pStyle w:val="17"/>
        <w:shd w:val="clear"/>
        <w:rPr>
          <w:b w:val="0"/>
          <w:bCs w:val="0"/>
          <w:color w:val="auto"/>
          <w:sz w:val="24"/>
          <w:szCs w:val="24"/>
          <w:highlight w:val="none"/>
        </w:rPr>
      </w:pPr>
    </w:p>
    <w:p w14:paraId="6DCBEB87">
      <w:pPr>
        <w:shd w:val="clear"/>
        <w:ind w:firstLine="0" w:firstLineChars="0"/>
        <w:outlineLvl w:val="2"/>
        <w:rPr>
          <w:rFonts w:cs="Times New Roman"/>
          <w:color w:val="auto"/>
          <w:szCs w:val="28"/>
          <w:highlight w:val="none"/>
        </w:rPr>
      </w:pPr>
      <w:r>
        <w:rPr>
          <w:rFonts w:hint="eastAsia" w:cs="Times New Roman"/>
          <w:color w:val="auto"/>
          <w:szCs w:val="28"/>
          <w:highlight w:val="none"/>
        </w:rPr>
        <w:t>10.2.3 火灾自动报警系统</w:t>
      </w:r>
      <w:bookmarkEnd w:id="852"/>
    </w:p>
    <w:p w14:paraId="5F3F09E7">
      <w:pPr>
        <w:shd w:val="clear"/>
        <w:rPr>
          <w:color w:val="auto"/>
          <w:highlight w:val="none"/>
        </w:rPr>
      </w:pPr>
      <w:r>
        <w:rPr>
          <w:rFonts w:hint="eastAsia"/>
          <w:color w:val="auto"/>
          <w:highlight w:val="none"/>
        </w:rPr>
        <w:t>火灾自动报警系统按业主要求，对原有系统进行改造，具体改造如下：</w:t>
      </w:r>
    </w:p>
    <w:p w14:paraId="60CC166B">
      <w:pPr>
        <w:shd w:val="clear"/>
        <w:rPr>
          <w:color w:val="auto"/>
          <w:highlight w:val="none"/>
        </w:rPr>
      </w:pPr>
      <w:r>
        <w:rPr>
          <w:rFonts w:hint="eastAsia"/>
          <w:color w:val="auto"/>
          <w:highlight w:val="none"/>
        </w:rPr>
        <w:t>1）新建的出铁场除尘高低压配电室设置烟感、声光报警器、手动报警按钮等设施，接至2号高炉主控楼的火灾报警控制器，品牌与2号高炉火灾报警品牌保持一致。利旧高低压配电室的烟感、声光报警器、手动报警按钮等设施均利旧</w:t>
      </w:r>
      <w:r>
        <w:rPr>
          <w:rFonts w:hint="eastAsia"/>
          <w:color w:val="auto"/>
          <w:highlight w:val="none"/>
          <w:lang w:eastAsia="zh-CN"/>
        </w:rPr>
        <w:t>改造</w:t>
      </w:r>
      <w:r>
        <w:rPr>
          <w:rFonts w:hint="eastAsia"/>
          <w:color w:val="auto"/>
          <w:highlight w:val="none"/>
        </w:rPr>
        <w:t>。</w:t>
      </w:r>
    </w:p>
    <w:p w14:paraId="3068D43E">
      <w:pPr>
        <w:shd w:val="clear"/>
        <w:rPr>
          <w:rFonts w:hint="default"/>
          <w:color w:val="auto"/>
          <w:highlight w:val="none"/>
          <w:lang w:val="en-US"/>
        </w:rPr>
      </w:pPr>
      <w:r>
        <w:rPr>
          <w:rFonts w:hint="eastAsia"/>
          <w:color w:val="auto"/>
          <w:highlight w:val="none"/>
        </w:rPr>
        <w:t>2）根据业主反馈现场维保的情况，2号高炉所使用的是首安公司SL500系列消防报警产品，首安公司早已不再生产此系列消防报警设备，目前备品备件采购困难。该工程考虑将原SL500主机升级替换为相应满足使用要求的首安消防主机</w:t>
      </w:r>
      <w:r>
        <w:rPr>
          <w:color w:val="auto"/>
          <w:highlight w:val="none"/>
        </w:rPr>
        <w:t>带直流备用电源</w:t>
      </w:r>
      <w:r>
        <w:rPr>
          <w:rFonts w:hint="eastAsia"/>
          <w:color w:val="auto"/>
          <w:highlight w:val="none"/>
        </w:rPr>
        <w:t>。</w:t>
      </w:r>
      <w:r>
        <w:rPr>
          <w:rFonts w:hint="eastAsia" w:ascii="Times New Roman" w:hAnsi="Times New Roman" w:cs="Times New Roman"/>
          <w:color w:val="auto"/>
          <w:kern w:val="0"/>
          <w:szCs w:val="22"/>
          <w:highlight w:val="none"/>
          <w:lang w:bidi="zh-CN"/>
        </w:rPr>
        <w:t>消防报警主机设置在2号高炉主控楼和碳钢消控中心，值班室岗位人员担任值守职责。主控楼及2号高炉各电气室的火灾自动报警信号送至主控楼消防主机，然后接入碳钢消控中心。</w:t>
      </w:r>
      <w:r>
        <w:rPr>
          <w:rFonts w:hint="eastAsia" w:ascii="Times New Roman" w:hAnsi="Times New Roman" w:cs="Times New Roman"/>
          <w:color w:val="auto"/>
          <w:kern w:val="0"/>
          <w:szCs w:val="22"/>
          <w:highlight w:val="none"/>
          <w:lang w:val="en-US" w:bidi="zh-CN"/>
        </w:rPr>
        <w:t>与原2号高炉主控室消防主机相连接的电缆、设备可利旧，要确保功能完善，功能不完善的设备及电缆需更换。</w:t>
      </w:r>
    </w:p>
    <w:p w14:paraId="2B2084D7">
      <w:pPr>
        <w:shd w:val="clear"/>
        <w:rPr>
          <w:color w:val="auto"/>
          <w:highlight w:val="none"/>
        </w:rPr>
      </w:pPr>
      <w:r>
        <w:rPr>
          <w:rFonts w:hint="eastAsia"/>
          <w:color w:val="auto"/>
          <w:highlight w:val="none"/>
        </w:rPr>
        <w:t>3）原2号高炉地沟电磁站烟感探头没有接入主机，本次需新增13个烟感探头以及8个消防手报，信号接入2号高炉消防主机，并将没有接入消防主机的烟感探头接入消防主机。具体数量如下：</w:t>
      </w:r>
    </w:p>
    <w:tbl>
      <w:tblPr>
        <w:tblStyle w:val="60"/>
        <w:tblW w:w="0" w:type="auto"/>
        <w:tblInd w:w="93" w:type="dxa"/>
        <w:tblLayout w:type="fixed"/>
        <w:tblCellMar>
          <w:top w:w="0" w:type="dxa"/>
          <w:left w:w="108" w:type="dxa"/>
          <w:bottom w:w="0" w:type="dxa"/>
          <w:right w:w="108" w:type="dxa"/>
        </w:tblCellMar>
      </w:tblPr>
      <w:tblGrid>
        <w:gridCol w:w="703"/>
        <w:gridCol w:w="3314"/>
        <w:gridCol w:w="1582"/>
        <w:gridCol w:w="1586"/>
        <w:gridCol w:w="1244"/>
      </w:tblGrid>
      <w:tr w14:paraId="57CAFF51">
        <w:tblPrEx>
          <w:tblCellMar>
            <w:top w:w="0" w:type="dxa"/>
            <w:left w:w="108" w:type="dxa"/>
            <w:bottom w:w="0" w:type="dxa"/>
            <w:right w:w="108" w:type="dxa"/>
          </w:tblCellMar>
        </w:tblPrEx>
        <w:trPr>
          <w:trHeight w:val="595" w:hRule="atLeast"/>
        </w:trPr>
        <w:tc>
          <w:tcPr>
            <w:tcW w:w="703" w:type="dxa"/>
            <w:tcBorders>
              <w:top w:val="single" w:color="000000" w:sz="4" w:space="0"/>
              <w:left w:val="single" w:color="000000" w:sz="4" w:space="0"/>
              <w:bottom w:val="single" w:color="000000" w:sz="4" w:space="0"/>
              <w:right w:val="single" w:color="000000" w:sz="4" w:space="0"/>
            </w:tcBorders>
            <w:noWrap/>
            <w:vAlign w:val="center"/>
          </w:tcPr>
          <w:p w14:paraId="7625458F">
            <w:pPr>
              <w:widowControl/>
              <w:shd w:val="clear"/>
              <w:ind w:firstLine="0" w:firstLineChars="0"/>
              <w:jc w:val="both"/>
              <w:textAlignment w:val="center"/>
              <w:rPr>
                <w:rFonts w:cs="宋体"/>
                <w:color w:val="auto"/>
                <w:sz w:val="22"/>
                <w:szCs w:val="22"/>
                <w:highlight w:val="none"/>
              </w:rPr>
            </w:pPr>
            <w:r>
              <w:rPr>
                <w:rFonts w:hint="eastAsia" w:cs="宋体"/>
                <w:color w:val="auto"/>
                <w:kern w:val="0"/>
                <w:sz w:val="22"/>
                <w:szCs w:val="22"/>
                <w:highlight w:val="none"/>
                <w:lang w:bidi="ar"/>
              </w:rPr>
              <w:t>序号</w:t>
            </w:r>
          </w:p>
        </w:tc>
        <w:tc>
          <w:tcPr>
            <w:tcW w:w="3314" w:type="dxa"/>
            <w:tcBorders>
              <w:top w:val="single" w:color="000000" w:sz="4" w:space="0"/>
              <w:left w:val="single" w:color="000000" w:sz="4" w:space="0"/>
              <w:bottom w:val="single" w:color="000000" w:sz="4" w:space="0"/>
              <w:right w:val="single" w:color="000000" w:sz="4" w:space="0"/>
            </w:tcBorders>
            <w:noWrap/>
            <w:vAlign w:val="center"/>
          </w:tcPr>
          <w:p w14:paraId="3D77A8F8">
            <w:pPr>
              <w:widowControl/>
              <w:shd w:val="clear"/>
              <w:ind w:firstLine="440"/>
              <w:jc w:val="both"/>
              <w:textAlignment w:val="center"/>
              <w:rPr>
                <w:rFonts w:cs="宋体"/>
                <w:color w:val="auto"/>
                <w:sz w:val="22"/>
                <w:szCs w:val="22"/>
                <w:highlight w:val="none"/>
              </w:rPr>
            </w:pPr>
            <w:r>
              <w:rPr>
                <w:rFonts w:hint="eastAsia" w:cs="宋体"/>
                <w:color w:val="auto"/>
                <w:kern w:val="0"/>
                <w:sz w:val="22"/>
                <w:szCs w:val="22"/>
                <w:highlight w:val="none"/>
                <w:lang w:bidi="ar"/>
              </w:rPr>
              <w:t>区域</w:t>
            </w:r>
          </w:p>
        </w:tc>
        <w:tc>
          <w:tcPr>
            <w:tcW w:w="1582" w:type="dxa"/>
            <w:tcBorders>
              <w:top w:val="single" w:color="000000" w:sz="4" w:space="0"/>
              <w:left w:val="single" w:color="000000" w:sz="4" w:space="0"/>
              <w:bottom w:val="single" w:color="000000" w:sz="4" w:space="0"/>
              <w:right w:val="single" w:color="000000" w:sz="4" w:space="0"/>
            </w:tcBorders>
            <w:noWrap/>
            <w:vAlign w:val="center"/>
          </w:tcPr>
          <w:p w14:paraId="2DE83593">
            <w:pPr>
              <w:widowControl/>
              <w:shd w:val="clear"/>
              <w:ind w:firstLine="0" w:firstLineChars="0"/>
              <w:jc w:val="both"/>
              <w:textAlignment w:val="center"/>
              <w:rPr>
                <w:rFonts w:cs="宋体"/>
                <w:color w:val="auto"/>
                <w:sz w:val="22"/>
                <w:szCs w:val="22"/>
                <w:highlight w:val="none"/>
              </w:rPr>
            </w:pPr>
            <w:r>
              <w:rPr>
                <w:rFonts w:hint="eastAsia" w:cs="宋体"/>
                <w:color w:val="auto"/>
                <w:kern w:val="0"/>
                <w:sz w:val="22"/>
                <w:szCs w:val="22"/>
                <w:highlight w:val="none"/>
                <w:lang w:bidi="ar"/>
              </w:rPr>
              <w:t>消防手报数量</w:t>
            </w:r>
          </w:p>
        </w:tc>
        <w:tc>
          <w:tcPr>
            <w:tcW w:w="1586" w:type="dxa"/>
            <w:tcBorders>
              <w:top w:val="single" w:color="000000" w:sz="4" w:space="0"/>
              <w:left w:val="single" w:color="000000" w:sz="4" w:space="0"/>
              <w:bottom w:val="single" w:color="000000" w:sz="4" w:space="0"/>
              <w:right w:val="single" w:color="000000" w:sz="4" w:space="0"/>
            </w:tcBorders>
            <w:noWrap/>
            <w:vAlign w:val="center"/>
          </w:tcPr>
          <w:p w14:paraId="032AD8A7">
            <w:pPr>
              <w:widowControl/>
              <w:shd w:val="clear"/>
              <w:ind w:firstLine="0" w:firstLineChars="0"/>
              <w:jc w:val="both"/>
              <w:textAlignment w:val="center"/>
              <w:rPr>
                <w:rFonts w:cs="宋体"/>
                <w:color w:val="auto"/>
                <w:sz w:val="22"/>
                <w:szCs w:val="22"/>
                <w:highlight w:val="none"/>
              </w:rPr>
            </w:pPr>
            <w:r>
              <w:rPr>
                <w:rFonts w:hint="eastAsia" w:cs="宋体"/>
                <w:color w:val="auto"/>
                <w:kern w:val="0"/>
                <w:sz w:val="22"/>
                <w:szCs w:val="22"/>
                <w:highlight w:val="none"/>
                <w:lang w:bidi="ar"/>
              </w:rPr>
              <w:t>烟感探头数量</w:t>
            </w:r>
          </w:p>
        </w:tc>
        <w:tc>
          <w:tcPr>
            <w:tcW w:w="1244" w:type="dxa"/>
            <w:tcBorders>
              <w:top w:val="single" w:color="000000" w:sz="4" w:space="0"/>
              <w:left w:val="single" w:color="000000" w:sz="4" w:space="0"/>
              <w:bottom w:val="single" w:color="000000" w:sz="4" w:space="0"/>
              <w:right w:val="single" w:color="000000" w:sz="4" w:space="0"/>
            </w:tcBorders>
            <w:noWrap/>
            <w:vAlign w:val="center"/>
          </w:tcPr>
          <w:p w14:paraId="5E0B44BC">
            <w:pPr>
              <w:widowControl/>
              <w:shd w:val="clear"/>
              <w:ind w:firstLine="0" w:firstLineChars="0"/>
              <w:jc w:val="both"/>
              <w:textAlignment w:val="center"/>
              <w:rPr>
                <w:rFonts w:cs="宋体"/>
                <w:color w:val="auto"/>
                <w:sz w:val="22"/>
                <w:szCs w:val="22"/>
                <w:highlight w:val="none"/>
              </w:rPr>
            </w:pPr>
            <w:r>
              <w:rPr>
                <w:rFonts w:hint="eastAsia" w:cs="宋体"/>
                <w:color w:val="auto"/>
                <w:kern w:val="0"/>
                <w:sz w:val="22"/>
                <w:szCs w:val="22"/>
                <w:highlight w:val="none"/>
                <w:lang w:bidi="ar"/>
              </w:rPr>
              <w:t>备注</w:t>
            </w:r>
          </w:p>
        </w:tc>
      </w:tr>
      <w:tr w14:paraId="6C604E40">
        <w:tblPrEx>
          <w:tblCellMar>
            <w:top w:w="0" w:type="dxa"/>
            <w:left w:w="108" w:type="dxa"/>
            <w:bottom w:w="0" w:type="dxa"/>
            <w:right w:w="108" w:type="dxa"/>
          </w:tblCellMar>
        </w:tblPrEx>
        <w:trPr>
          <w:trHeight w:val="379" w:hRule="atLeast"/>
        </w:trPr>
        <w:tc>
          <w:tcPr>
            <w:tcW w:w="703" w:type="dxa"/>
            <w:tcBorders>
              <w:top w:val="single" w:color="000000" w:sz="4" w:space="0"/>
              <w:left w:val="single" w:color="000000" w:sz="4" w:space="0"/>
              <w:bottom w:val="single" w:color="000000" w:sz="4" w:space="0"/>
              <w:right w:val="single" w:color="000000" w:sz="4" w:space="0"/>
            </w:tcBorders>
            <w:noWrap/>
            <w:vAlign w:val="center"/>
          </w:tcPr>
          <w:p w14:paraId="18B6076E">
            <w:pPr>
              <w:widowControl/>
              <w:shd w:val="clear"/>
              <w:ind w:firstLine="0" w:firstLineChars="0"/>
              <w:jc w:val="both"/>
              <w:textAlignment w:val="center"/>
              <w:rPr>
                <w:rFonts w:cs="宋体"/>
                <w:color w:val="auto"/>
                <w:sz w:val="22"/>
                <w:szCs w:val="22"/>
                <w:highlight w:val="none"/>
              </w:rPr>
            </w:pPr>
            <w:r>
              <w:rPr>
                <w:rFonts w:hint="eastAsia" w:cs="宋体"/>
                <w:color w:val="auto"/>
                <w:kern w:val="0"/>
                <w:sz w:val="22"/>
                <w:szCs w:val="22"/>
                <w:highlight w:val="none"/>
                <w:lang w:bidi="ar"/>
              </w:rPr>
              <w:t>1</w:t>
            </w:r>
          </w:p>
        </w:tc>
        <w:tc>
          <w:tcPr>
            <w:tcW w:w="3314" w:type="dxa"/>
            <w:tcBorders>
              <w:top w:val="single" w:color="000000" w:sz="4" w:space="0"/>
              <w:left w:val="single" w:color="000000" w:sz="4" w:space="0"/>
              <w:bottom w:val="single" w:color="000000" w:sz="4" w:space="0"/>
              <w:right w:val="single" w:color="000000" w:sz="4" w:space="0"/>
            </w:tcBorders>
            <w:noWrap/>
            <w:vAlign w:val="center"/>
          </w:tcPr>
          <w:p w14:paraId="4FB194ED">
            <w:pPr>
              <w:widowControl/>
              <w:shd w:val="clear"/>
              <w:ind w:firstLine="0" w:firstLineChars="0"/>
              <w:jc w:val="both"/>
              <w:textAlignment w:val="center"/>
              <w:rPr>
                <w:rFonts w:cs="宋体"/>
                <w:color w:val="auto"/>
                <w:sz w:val="22"/>
                <w:szCs w:val="22"/>
                <w:highlight w:val="none"/>
              </w:rPr>
            </w:pPr>
            <w:r>
              <w:rPr>
                <w:rFonts w:hint="eastAsia" w:cs="宋体"/>
                <w:color w:val="auto"/>
                <w:kern w:val="0"/>
                <w:sz w:val="22"/>
                <w:szCs w:val="22"/>
                <w:highlight w:val="none"/>
                <w:lang w:bidi="ar"/>
              </w:rPr>
              <w:t>2号除尘电磁站</w:t>
            </w:r>
          </w:p>
        </w:tc>
        <w:tc>
          <w:tcPr>
            <w:tcW w:w="1582" w:type="dxa"/>
            <w:tcBorders>
              <w:top w:val="single" w:color="000000" w:sz="4" w:space="0"/>
              <w:left w:val="single" w:color="000000" w:sz="4" w:space="0"/>
              <w:bottom w:val="single" w:color="000000" w:sz="4" w:space="0"/>
              <w:right w:val="single" w:color="000000" w:sz="4" w:space="0"/>
            </w:tcBorders>
            <w:noWrap/>
            <w:vAlign w:val="center"/>
          </w:tcPr>
          <w:p w14:paraId="11308BC8">
            <w:pPr>
              <w:widowControl/>
              <w:shd w:val="clear"/>
              <w:ind w:firstLine="44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c>
          <w:tcPr>
            <w:tcW w:w="1586" w:type="dxa"/>
            <w:tcBorders>
              <w:top w:val="single" w:color="000000" w:sz="4" w:space="0"/>
              <w:left w:val="single" w:color="000000" w:sz="4" w:space="0"/>
              <w:bottom w:val="single" w:color="000000" w:sz="4" w:space="0"/>
              <w:right w:val="single" w:color="000000" w:sz="4" w:space="0"/>
            </w:tcBorders>
            <w:noWrap/>
            <w:vAlign w:val="center"/>
          </w:tcPr>
          <w:p w14:paraId="6D975C33">
            <w:pPr>
              <w:widowControl/>
              <w:shd w:val="clear"/>
              <w:ind w:firstLine="440"/>
              <w:jc w:val="center"/>
              <w:textAlignment w:val="center"/>
              <w:rPr>
                <w:rFonts w:cs="宋体"/>
                <w:color w:val="auto"/>
                <w:sz w:val="22"/>
                <w:szCs w:val="22"/>
                <w:highlight w:val="none"/>
              </w:rPr>
            </w:pPr>
            <w:r>
              <w:rPr>
                <w:rFonts w:hint="eastAsia" w:cs="宋体"/>
                <w:color w:val="auto"/>
                <w:kern w:val="0"/>
                <w:sz w:val="22"/>
                <w:szCs w:val="22"/>
                <w:highlight w:val="none"/>
                <w:lang w:bidi="ar"/>
              </w:rPr>
              <w:t>0</w:t>
            </w:r>
          </w:p>
        </w:tc>
        <w:tc>
          <w:tcPr>
            <w:tcW w:w="1244" w:type="dxa"/>
            <w:tcBorders>
              <w:top w:val="single" w:color="000000" w:sz="4" w:space="0"/>
              <w:left w:val="single" w:color="000000" w:sz="4" w:space="0"/>
              <w:bottom w:val="single" w:color="000000" w:sz="4" w:space="0"/>
              <w:right w:val="single" w:color="000000" w:sz="4" w:space="0"/>
            </w:tcBorders>
            <w:noWrap/>
            <w:vAlign w:val="center"/>
          </w:tcPr>
          <w:p w14:paraId="77A99721">
            <w:pPr>
              <w:shd w:val="clear"/>
              <w:ind w:firstLine="440"/>
              <w:jc w:val="center"/>
              <w:rPr>
                <w:rFonts w:cs="宋体"/>
                <w:color w:val="auto"/>
                <w:sz w:val="22"/>
                <w:szCs w:val="22"/>
                <w:highlight w:val="none"/>
              </w:rPr>
            </w:pPr>
          </w:p>
        </w:tc>
      </w:tr>
      <w:tr w14:paraId="4B05B37A">
        <w:tblPrEx>
          <w:tblCellMar>
            <w:top w:w="0" w:type="dxa"/>
            <w:left w:w="108" w:type="dxa"/>
            <w:bottom w:w="0" w:type="dxa"/>
            <w:right w:w="108" w:type="dxa"/>
          </w:tblCellMar>
        </w:tblPrEx>
        <w:trPr>
          <w:trHeight w:val="398" w:hRule="atLeast"/>
        </w:trPr>
        <w:tc>
          <w:tcPr>
            <w:tcW w:w="703" w:type="dxa"/>
            <w:tcBorders>
              <w:top w:val="single" w:color="000000" w:sz="4" w:space="0"/>
              <w:left w:val="single" w:color="000000" w:sz="4" w:space="0"/>
              <w:bottom w:val="single" w:color="000000" w:sz="4" w:space="0"/>
              <w:right w:val="single" w:color="000000" w:sz="4" w:space="0"/>
            </w:tcBorders>
            <w:noWrap/>
            <w:vAlign w:val="center"/>
          </w:tcPr>
          <w:p w14:paraId="00C5F71B">
            <w:pPr>
              <w:widowControl/>
              <w:shd w:val="clear"/>
              <w:ind w:firstLine="0" w:firstLineChars="0"/>
              <w:jc w:val="both"/>
              <w:textAlignment w:val="center"/>
              <w:rPr>
                <w:rFonts w:cs="宋体"/>
                <w:color w:val="auto"/>
                <w:sz w:val="22"/>
                <w:szCs w:val="22"/>
                <w:highlight w:val="none"/>
              </w:rPr>
            </w:pPr>
            <w:r>
              <w:rPr>
                <w:rFonts w:hint="eastAsia" w:cs="宋体"/>
                <w:color w:val="auto"/>
                <w:kern w:val="0"/>
                <w:sz w:val="22"/>
                <w:szCs w:val="22"/>
                <w:highlight w:val="none"/>
                <w:lang w:bidi="ar"/>
              </w:rPr>
              <w:t>2</w:t>
            </w:r>
          </w:p>
        </w:tc>
        <w:tc>
          <w:tcPr>
            <w:tcW w:w="3314" w:type="dxa"/>
            <w:tcBorders>
              <w:top w:val="single" w:color="000000" w:sz="4" w:space="0"/>
              <w:left w:val="single" w:color="000000" w:sz="4" w:space="0"/>
              <w:bottom w:val="single" w:color="000000" w:sz="4" w:space="0"/>
              <w:right w:val="single" w:color="000000" w:sz="4" w:space="0"/>
            </w:tcBorders>
            <w:vAlign w:val="center"/>
          </w:tcPr>
          <w:p w14:paraId="4C5605BD">
            <w:pPr>
              <w:widowControl/>
              <w:shd w:val="clear"/>
              <w:ind w:firstLine="0" w:firstLineChars="0"/>
              <w:jc w:val="both"/>
              <w:textAlignment w:val="center"/>
              <w:rPr>
                <w:rFonts w:cs="宋体"/>
                <w:color w:val="auto"/>
                <w:sz w:val="22"/>
                <w:szCs w:val="22"/>
                <w:highlight w:val="none"/>
              </w:rPr>
            </w:pPr>
            <w:r>
              <w:rPr>
                <w:rFonts w:hint="eastAsia" w:cs="宋体"/>
                <w:color w:val="auto"/>
                <w:kern w:val="0"/>
                <w:sz w:val="22"/>
                <w:szCs w:val="22"/>
                <w:highlight w:val="none"/>
                <w:lang w:bidi="ar"/>
              </w:rPr>
              <w:t>2号除尘除尘电气室、变频器室</w:t>
            </w:r>
          </w:p>
        </w:tc>
        <w:tc>
          <w:tcPr>
            <w:tcW w:w="1582" w:type="dxa"/>
            <w:tcBorders>
              <w:top w:val="single" w:color="000000" w:sz="4" w:space="0"/>
              <w:left w:val="single" w:color="000000" w:sz="4" w:space="0"/>
              <w:bottom w:val="single" w:color="000000" w:sz="4" w:space="0"/>
              <w:right w:val="single" w:color="000000" w:sz="4" w:space="0"/>
            </w:tcBorders>
            <w:noWrap/>
            <w:vAlign w:val="center"/>
          </w:tcPr>
          <w:p w14:paraId="2A7154C1">
            <w:pPr>
              <w:widowControl/>
              <w:shd w:val="clear"/>
              <w:ind w:firstLine="440"/>
              <w:jc w:val="center"/>
              <w:textAlignment w:val="center"/>
              <w:rPr>
                <w:rFonts w:cs="宋体"/>
                <w:color w:val="auto"/>
                <w:sz w:val="22"/>
                <w:szCs w:val="22"/>
                <w:highlight w:val="none"/>
              </w:rPr>
            </w:pPr>
            <w:r>
              <w:rPr>
                <w:rFonts w:hint="eastAsia" w:cs="宋体"/>
                <w:color w:val="auto"/>
                <w:kern w:val="0"/>
                <w:sz w:val="22"/>
                <w:szCs w:val="22"/>
                <w:highlight w:val="none"/>
                <w:lang w:bidi="ar"/>
              </w:rPr>
              <w:t>0</w:t>
            </w:r>
          </w:p>
        </w:tc>
        <w:tc>
          <w:tcPr>
            <w:tcW w:w="1586" w:type="dxa"/>
            <w:tcBorders>
              <w:top w:val="single" w:color="000000" w:sz="4" w:space="0"/>
              <w:left w:val="single" w:color="000000" w:sz="4" w:space="0"/>
              <w:bottom w:val="single" w:color="000000" w:sz="4" w:space="0"/>
              <w:right w:val="single" w:color="000000" w:sz="4" w:space="0"/>
            </w:tcBorders>
            <w:noWrap/>
            <w:vAlign w:val="center"/>
          </w:tcPr>
          <w:p w14:paraId="6A0AD62B">
            <w:pPr>
              <w:widowControl/>
              <w:shd w:val="clear"/>
              <w:ind w:firstLine="440"/>
              <w:jc w:val="center"/>
              <w:textAlignment w:val="center"/>
              <w:rPr>
                <w:rFonts w:cs="宋体"/>
                <w:color w:val="auto"/>
                <w:sz w:val="22"/>
                <w:szCs w:val="22"/>
                <w:highlight w:val="none"/>
              </w:rPr>
            </w:pPr>
            <w:r>
              <w:rPr>
                <w:rFonts w:hint="eastAsia" w:cs="宋体"/>
                <w:color w:val="auto"/>
                <w:kern w:val="0"/>
                <w:sz w:val="22"/>
                <w:szCs w:val="22"/>
                <w:highlight w:val="none"/>
                <w:lang w:bidi="ar"/>
              </w:rPr>
              <w:t>3</w:t>
            </w:r>
          </w:p>
        </w:tc>
        <w:tc>
          <w:tcPr>
            <w:tcW w:w="1244" w:type="dxa"/>
            <w:tcBorders>
              <w:top w:val="single" w:color="000000" w:sz="4" w:space="0"/>
              <w:left w:val="single" w:color="000000" w:sz="4" w:space="0"/>
              <w:bottom w:val="single" w:color="000000" w:sz="4" w:space="0"/>
              <w:right w:val="single" w:color="000000" w:sz="4" w:space="0"/>
            </w:tcBorders>
            <w:noWrap/>
            <w:vAlign w:val="center"/>
          </w:tcPr>
          <w:p w14:paraId="2F12E10D">
            <w:pPr>
              <w:shd w:val="clear"/>
              <w:ind w:firstLine="440"/>
              <w:jc w:val="center"/>
              <w:rPr>
                <w:rFonts w:cs="宋体"/>
                <w:color w:val="auto"/>
                <w:sz w:val="22"/>
                <w:szCs w:val="22"/>
                <w:highlight w:val="none"/>
              </w:rPr>
            </w:pPr>
          </w:p>
        </w:tc>
      </w:tr>
      <w:tr w14:paraId="43EC2D6E">
        <w:tblPrEx>
          <w:tblCellMar>
            <w:top w:w="0" w:type="dxa"/>
            <w:left w:w="108" w:type="dxa"/>
            <w:bottom w:w="0" w:type="dxa"/>
            <w:right w:w="108" w:type="dxa"/>
          </w:tblCellMar>
        </w:tblPrEx>
        <w:trPr>
          <w:trHeight w:val="472" w:hRule="atLeast"/>
        </w:trPr>
        <w:tc>
          <w:tcPr>
            <w:tcW w:w="703" w:type="dxa"/>
            <w:tcBorders>
              <w:top w:val="single" w:color="000000" w:sz="4" w:space="0"/>
              <w:left w:val="single" w:color="000000" w:sz="4" w:space="0"/>
              <w:bottom w:val="single" w:color="000000" w:sz="4" w:space="0"/>
              <w:right w:val="single" w:color="000000" w:sz="4" w:space="0"/>
            </w:tcBorders>
            <w:noWrap/>
            <w:vAlign w:val="center"/>
          </w:tcPr>
          <w:p w14:paraId="4C5934E0">
            <w:pPr>
              <w:widowControl/>
              <w:shd w:val="clear"/>
              <w:ind w:firstLine="0" w:firstLineChars="0"/>
              <w:jc w:val="both"/>
              <w:textAlignment w:val="center"/>
              <w:rPr>
                <w:rFonts w:cs="宋体"/>
                <w:color w:val="auto"/>
                <w:sz w:val="22"/>
                <w:szCs w:val="22"/>
                <w:highlight w:val="none"/>
              </w:rPr>
            </w:pPr>
            <w:r>
              <w:rPr>
                <w:rFonts w:hint="eastAsia" w:cs="宋体"/>
                <w:color w:val="auto"/>
                <w:kern w:val="0"/>
                <w:sz w:val="22"/>
                <w:szCs w:val="22"/>
                <w:highlight w:val="none"/>
                <w:lang w:bidi="ar"/>
              </w:rPr>
              <w:t>3</w:t>
            </w:r>
          </w:p>
        </w:tc>
        <w:tc>
          <w:tcPr>
            <w:tcW w:w="3314" w:type="dxa"/>
            <w:tcBorders>
              <w:top w:val="single" w:color="000000" w:sz="4" w:space="0"/>
              <w:left w:val="single" w:color="000000" w:sz="4" w:space="0"/>
              <w:bottom w:val="single" w:color="000000" w:sz="4" w:space="0"/>
              <w:right w:val="single" w:color="000000" w:sz="4" w:space="0"/>
            </w:tcBorders>
            <w:noWrap/>
            <w:vAlign w:val="center"/>
          </w:tcPr>
          <w:p w14:paraId="0387AF4C">
            <w:pPr>
              <w:widowControl/>
              <w:shd w:val="clear"/>
              <w:ind w:firstLine="0" w:firstLineChars="0"/>
              <w:jc w:val="both"/>
              <w:textAlignment w:val="center"/>
              <w:rPr>
                <w:rFonts w:cs="宋体"/>
                <w:color w:val="auto"/>
                <w:sz w:val="22"/>
                <w:szCs w:val="22"/>
                <w:highlight w:val="none"/>
              </w:rPr>
            </w:pPr>
            <w:r>
              <w:rPr>
                <w:rFonts w:hint="eastAsia" w:cs="宋体"/>
                <w:color w:val="auto"/>
                <w:kern w:val="0"/>
                <w:sz w:val="22"/>
                <w:szCs w:val="22"/>
                <w:highlight w:val="none"/>
                <w:lang w:bidi="ar"/>
              </w:rPr>
              <w:t>3号除尘岗位操作室</w:t>
            </w:r>
          </w:p>
        </w:tc>
        <w:tc>
          <w:tcPr>
            <w:tcW w:w="1582" w:type="dxa"/>
            <w:tcBorders>
              <w:top w:val="single" w:color="000000" w:sz="4" w:space="0"/>
              <w:left w:val="single" w:color="000000" w:sz="4" w:space="0"/>
              <w:bottom w:val="single" w:color="000000" w:sz="4" w:space="0"/>
              <w:right w:val="single" w:color="000000" w:sz="4" w:space="0"/>
            </w:tcBorders>
            <w:noWrap/>
            <w:vAlign w:val="center"/>
          </w:tcPr>
          <w:p w14:paraId="3C950F40">
            <w:pPr>
              <w:widowControl/>
              <w:shd w:val="clear"/>
              <w:ind w:firstLine="44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c>
          <w:tcPr>
            <w:tcW w:w="1586" w:type="dxa"/>
            <w:tcBorders>
              <w:top w:val="single" w:color="000000" w:sz="4" w:space="0"/>
              <w:left w:val="single" w:color="000000" w:sz="4" w:space="0"/>
              <w:bottom w:val="single" w:color="000000" w:sz="4" w:space="0"/>
              <w:right w:val="single" w:color="000000" w:sz="4" w:space="0"/>
            </w:tcBorders>
            <w:noWrap/>
            <w:vAlign w:val="center"/>
          </w:tcPr>
          <w:p w14:paraId="7F207BAC">
            <w:pPr>
              <w:widowControl/>
              <w:shd w:val="clear"/>
              <w:ind w:firstLine="44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c>
          <w:tcPr>
            <w:tcW w:w="1244" w:type="dxa"/>
            <w:tcBorders>
              <w:top w:val="single" w:color="000000" w:sz="4" w:space="0"/>
              <w:left w:val="single" w:color="000000" w:sz="4" w:space="0"/>
              <w:bottom w:val="single" w:color="000000" w:sz="4" w:space="0"/>
              <w:right w:val="single" w:color="000000" w:sz="4" w:space="0"/>
            </w:tcBorders>
            <w:noWrap/>
            <w:vAlign w:val="center"/>
          </w:tcPr>
          <w:p w14:paraId="2DFAAD0D">
            <w:pPr>
              <w:shd w:val="clear"/>
              <w:ind w:firstLine="440"/>
              <w:jc w:val="center"/>
              <w:rPr>
                <w:rFonts w:cs="宋体"/>
                <w:color w:val="auto"/>
                <w:sz w:val="22"/>
                <w:szCs w:val="22"/>
                <w:highlight w:val="none"/>
              </w:rPr>
            </w:pPr>
          </w:p>
        </w:tc>
      </w:tr>
      <w:tr w14:paraId="4461993C">
        <w:tblPrEx>
          <w:tblCellMar>
            <w:top w:w="0" w:type="dxa"/>
            <w:left w:w="108" w:type="dxa"/>
            <w:bottom w:w="0" w:type="dxa"/>
            <w:right w:w="108" w:type="dxa"/>
          </w:tblCellMar>
        </w:tblPrEx>
        <w:trPr>
          <w:trHeight w:val="362" w:hRule="atLeast"/>
        </w:trPr>
        <w:tc>
          <w:tcPr>
            <w:tcW w:w="703" w:type="dxa"/>
            <w:tcBorders>
              <w:top w:val="single" w:color="000000" w:sz="4" w:space="0"/>
              <w:left w:val="single" w:color="000000" w:sz="4" w:space="0"/>
              <w:bottom w:val="single" w:color="000000" w:sz="4" w:space="0"/>
              <w:right w:val="single" w:color="000000" w:sz="4" w:space="0"/>
            </w:tcBorders>
            <w:noWrap/>
            <w:vAlign w:val="center"/>
          </w:tcPr>
          <w:p w14:paraId="01CA9F7C">
            <w:pPr>
              <w:widowControl/>
              <w:shd w:val="clear"/>
              <w:ind w:firstLine="0" w:firstLineChars="0"/>
              <w:jc w:val="both"/>
              <w:textAlignment w:val="center"/>
              <w:rPr>
                <w:rFonts w:cs="宋体"/>
                <w:color w:val="auto"/>
                <w:sz w:val="22"/>
                <w:szCs w:val="22"/>
                <w:highlight w:val="none"/>
              </w:rPr>
            </w:pPr>
            <w:r>
              <w:rPr>
                <w:rFonts w:hint="eastAsia" w:cs="宋体"/>
                <w:color w:val="auto"/>
                <w:kern w:val="0"/>
                <w:sz w:val="22"/>
                <w:szCs w:val="22"/>
                <w:highlight w:val="none"/>
                <w:lang w:bidi="ar"/>
              </w:rPr>
              <w:t>4</w:t>
            </w:r>
          </w:p>
        </w:tc>
        <w:tc>
          <w:tcPr>
            <w:tcW w:w="3314" w:type="dxa"/>
            <w:tcBorders>
              <w:top w:val="single" w:color="000000" w:sz="4" w:space="0"/>
              <w:left w:val="single" w:color="000000" w:sz="4" w:space="0"/>
              <w:bottom w:val="single" w:color="000000" w:sz="4" w:space="0"/>
              <w:right w:val="single" w:color="000000" w:sz="4" w:space="0"/>
            </w:tcBorders>
            <w:noWrap/>
            <w:vAlign w:val="center"/>
          </w:tcPr>
          <w:p w14:paraId="7E023809">
            <w:pPr>
              <w:widowControl/>
              <w:shd w:val="clear"/>
              <w:ind w:firstLine="0" w:firstLineChars="0"/>
              <w:jc w:val="both"/>
              <w:textAlignment w:val="center"/>
              <w:rPr>
                <w:rFonts w:cs="宋体"/>
                <w:color w:val="auto"/>
                <w:sz w:val="22"/>
                <w:szCs w:val="22"/>
                <w:highlight w:val="none"/>
              </w:rPr>
            </w:pPr>
            <w:r>
              <w:rPr>
                <w:rFonts w:hint="eastAsia" w:cs="宋体"/>
                <w:color w:val="auto"/>
                <w:kern w:val="0"/>
                <w:sz w:val="22"/>
                <w:szCs w:val="22"/>
                <w:highlight w:val="none"/>
                <w:lang w:bidi="ar"/>
              </w:rPr>
              <w:t>2号除尘岗位操作室</w:t>
            </w:r>
          </w:p>
        </w:tc>
        <w:tc>
          <w:tcPr>
            <w:tcW w:w="1582" w:type="dxa"/>
            <w:tcBorders>
              <w:top w:val="single" w:color="000000" w:sz="4" w:space="0"/>
              <w:left w:val="single" w:color="000000" w:sz="4" w:space="0"/>
              <w:bottom w:val="single" w:color="000000" w:sz="4" w:space="0"/>
              <w:right w:val="single" w:color="000000" w:sz="4" w:space="0"/>
            </w:tcBorders>
            <w:noWrap/>
            <w:vAlign w:val="center"/>
          </w:tcPr>
          <w:p w14:paraId="0B830D48">
            <w:pPr>
              <w:widowControl/>
              <w:shd w:val="clear"/>
              <w:ind w:firstLine="44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c>
          <w:tcPr>
            <w:tcW w:w="1586" w:type="dxa"/>
            <w:tcBorders>
              <w:top w:val="single" w:color="000000" w:sz="4" w:space="0"/>
              <w:left w:val="single" w:color="000000" w:sz="4" w:space="0"/>
              <w:bottom w:val="single" w:color="000000" w:sz="4" w:space="0"/>
              <w:right w:val="single" w:color="000000" w:sz="4" w:space="0"/>
            </w:tcBorders>
            <w:noWrap/>
            <w:vAlign w:val="center"/>
          </w:tcPr>
          <w:p w14:paraId="7EF2D9C2">
            <w:pPr>
              <w:widowControl/>
              <w:shd w:val="clear"/>
              <w:ind w:firstLine="440"/>
              <w:jc w:val="center"/>
              <w:textAlignment w:val="center"/>
              <w:rPr>
                <w:rFonts w:cs="宋体"/>
                <w:color w:val="auto"/>
                <w:sz w:val="22"/>
                <w:szCs w:val="22"/>
                <w:highlight w:val="none"/>
              </w:rPr>
            </w:pPr>
            <w:r>
              <w:rPr>
                <w:rFonts w:hint="eastAsia" w:cs="宋体"/>
                <w:color w:val="auto"/>
                <w:kern w:val="0"/>
                <w:sz w:val="22"/>
                <w:szCs w:val="22"/>
                <w:highlight w:val="none"/>
                <w:lang w:bidi="ar"/>
              </w:rPr>
              <w:t>0</w:t>
            </w:r>
          </w:p>
        </w:tc>
        <w:tc>
          <w:tcPr>
            <w:tcW w:w="1244" w:type="dxa"/>
            <w:tcBorders>
              <w:top w:val="single" w:color="000000" w:sz="4" w:space="0"/>
              <w:left w:val="single" w:color="000000" w:sz="4" w:space="0"/>
              <w:bottom w:val="single" w:color="000000" w:sz="4" w:space="0"/>
              <w:right w:val="single" w:color="000000" w:sz="4" w:space="0"/>
            </w:tcBorders>
            <w:noWrap/>
            <w:vAlign w:val="center"/>
          </w:tcPr>
          <w:p w14:paraId="6D057792">
            <w:pPr>
              <w:shd w:val="clear"/>
              <w:ind w:firstLine="440"/>
              <w:jc w:val="center"/>
              <w:rPr>
                <w:rFonts w:cs="宋体"/>
                <w:color w:val="auto"/>
                <w:sz w:val="22"/>
                <w:szCs w:val="22"/>
                <w:highlight w:val="none"/>
              </w:rPr>
            </w:pPr>
          </w:p>
        </w:tc>
      </w:tr>
      <w:tr w14:paraId="64BA0606">
        <w:tblPrEx>
          <w:tblCellMar>
            <w:top w:w="0" w:type="dxa"/>
            <w:left w:w="108" w:type="dxa"/>
            <w:bottom w:w="0" w:type="dxa"/>
            <w:right w:w="108" w:type="dxa"/>
          </w:tblCellMar>
        </w:tblPrEx>
        <w:trPr>
          <w:trHeight w:val="376" w:hRule="atLeast"/>
        </w:trPr>
        <w:tc>
          <w:tcPr>
            <w:tcW w:w="703" w:type="dxa"/>
            <w:tcBorders>
              <w:top w:val="single" w:color="000000" w:sz="4" w:space="0"/>
              <w:left w:val="single" w:color="000000" w:sz="4" w:space="0"/>
              <w:bottom w:val="single" w:color="000000" w:sz="4" w:space="0"/>
              <w:right w:val="single" w:color="000000" w:sz="4" w:space="0"/>
            </w:tcBorders>
            <w:noWrap/>
            <w:vAlign w:val="center"/>
          </w:tcPr>
          <w:p w14:paraId="1B50AC99">
            <w:pPr>
              <w:widowControl/>
              <w:shd w:val="clear"/>
              <w:ind w:firstLine="0" w:firstLineChars="0"/>
              <w:jc w:val="both"/>
              <w:textAlignment w:val="center"/>
              <w:rPr>
                <w:rFonts w:cs="宋体"/>
                <w:color w:val="auto"/>
                <w:sz w:val="22"/>
                <w:szCs w:val="22"/>
                <w:highlight w:val="none"/>
              </w:rPr>
            </w:pPr>
            <w:r>
              <w:rPr>
                <w:rFonts w:hint="eastAsia" w:cs="宋体"/>
                <w:color w:val="auto"/>
                <w:kern w:val="0"/>
                <w:sz w:val="22"/>
                <w:szCs w:val="22"/>
                <w:highlight w:val="none"/>
                <w:lang w:bidi="ar"/>
              </w:rPr>
              <w:t>5</w:t>
            </w:r>
          </w:p>
        </w:tc>
        <w:tc>
          <w:tcPr>
            <w:tcW w:w="3314" w:type="dxa"/>
            <w:tcBorders>
              <w:top w:val="single" w:color="000000" w:sz="4" w:space="0"/>
              <w:left w:val="single" w:color="000000" w:sz="4" w:space="0"/>
              <w:bottom w:val="single" w:color="000000" w:sz="4" w:space="0"/>
              <w:right w:val="single" w:color="000000" w:sz="4" w:space="0"/>
            </w:tcBorders>
            <w:noWrap/>
            <w:vAlign w:val="center"/>
          </w:tcPr>
          <w:p w14:paraId="49C395CD">
            <w:pPr>
              <w:widowControl/>
              <w:shd w:val="clear"/>
              <w:ind w:firstLine="0" w:firstLineChars="0"/>
              <w:jc w:val="both"/>
              <w:textAlignment w:val="center"/>
              <w:rPr>
                <w:rFonts w:cs="宋体"/>
                <w:color w:val="auto"/>
                <w:sz w:val="22"/>
                <w:szCs w:val="22"/>
                <w:highlight w:val="none"/>
              </w:rPr>
            </w:pPr>
            <w:r>
              <w:rPr>
                <w:rFonts w:hint="eastAsia" w:cs="宋体"/>
                <w:color w:val="auto"/>
                <w:kern w:val="0"/>
                <w:sz w:val="22"/>
                <w:szCs w:val="22"/>
                <w:highlight w:val="none"/>
                <w:lang w:bidi="ar"/>
              </w:rPr>
              <w:t>2号地沟PLC电磁站</w:t>
            </w:r>
          </w:p>
        </w:tc>
        <w:tc>
          <w:tcPr>
            <w:tcW w:w="1582" w:type="dxa"/>
            <w:tcBorders>
              <w:top w:val="single" w:color="000000" w:sz="4" w:space="0"/>
              <w:left w:val="single" w:color="000000" w:sz="4" w:space="0"/>
              <w:bottom w:val="single" w:color="000000" w:sz="4" w:space="0"/>
              <w:right w:val="single" w:color="000000" w:sz="4" w:space="0"/>
            </w:tcBorders>
            <w:noWrap/>
            <w:vAlign w:val="center"/>
          </w:tcPr>
          <w:p w14:paraId="225D2F05">
            <w:pPr>
              <w:widowControl/>
              <w:shd w:val="clear"/>
              <w:ind w:firstLine="44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c>
          <w:tcPr>
            <w:tcW w:w="1586" w:type="dxa"/>
            <w:tcBorders>
              <w:top w:val="single" w:color="000000" w:sz="4" w:space="0"/>
              <w:left w:val="single" w:color="000000" w:sz="4" w:space="0"/>
              <w:bottom w:val="single" w:color="000000" w:sz="4" w:space="0"/>
              <w:right w:val="single" w:color="000000" w:sz="4" w:space="0"/>
            </w:tcBorders>
            <w:noWrap/>
            <w:vAlign w:val="center"/>
          </w:tcPr>
          <w:p w14:paraId="19DC6315">
            <w:pPr>
              <w:widowControl/>
              <w:shd w:val="clear"/>
              <w:ind w:firstLine="440"/>
              <w:jc w:val="center"/>
              <w:textAlignment w:val="center"/>
              <w:rPr>
                <w:rFonts w:cs="宋体"/>
                <w:color w:val="auto"/>
                <w:sz w:val="22"/>
                <w:szCs w:val="22"/>
                <w:highlight w:val="none"/>
              </w:rPr>
            </w:pPr>
            <w:r>
              <w:rPr>
                <w:rFonts w:hint="eastAsia" w:cs="宋体"/>
                <w:color w:val="auto"/>
                <w:kern w:val="0"/>
                <w:sz w:val="22"/>
                <w:szCs w:val="22"/>
                <w:highlight w:val="none"/>
                <w:lang w:bidi="ar"/>
              </w:rPr>
              <w:t>2</w:t>
            </w:r>
          </w:p>
        </w:tc>
        <w:tc>
          <w:tcPr>
            <w:tcW w:w="1244" w:type="dxa"/>
            <w:tcBorders>
              <w:top w:val="single" w:color="000000" w:sz="4" w:space="0"/>
              <w:left w:val="single" w:color="000000" w:sz="4" w:space="0"/>
              <w:bottom w:val="single" w:color="000000" w:sz="4" w:space="0"/>
              <w:right w:val="single" w:color="000000" w:sz="4" w:space="0"/>
            </w:tcBorders>
            <w:noWrap/>
            <w:vAlign w:val="center"/>
          </w:tcPr>
          <w:p w14:paraId="4F477194">
            <w:pPr>
              <w:shd w:val="clear"/>
              <w:ind w:firstLine="440"/>
              <w:jc w:val="center"/>
              <w:rPr>
                <w:rFonts w:cs="宋体"/>
                <w:color w:val="auto"/>
                <w:sz w:val="22"/>
                <w:szCs w:val="22"/>
                <w:highlight w:val="none"/>
              </w:rPr>
            </w:pPr>
          </w:p>
        </w:tc>
      </w:tr>
      <w:tr w14:paraId="4F9A820D">
        <w:tblPrEx>
          <w:tblCellMar>
            <w:top w:w="0" w:type="dxa"/>
            <w:left w:w="108" w:type="dxa"/>
            <w:bottom w:w="0" w:type="dxa"/>
            <w:right w:w="108" w:type="dxa"/>
          </w:tblCellMar>
        </w:tblPrEx>
        <w:trPr>
          <w:trHeight w:val="417" w:hRule="atLeast"/>
        </w:trPr>
        <w:tc>
          <w:tcPr>
            <w:tcW w:w="703" w:type="dxa"/>
            <w:tcBorders>
              <w:top w:val="single" w:color="000000" w:sz="4" w:space="0"/>
              <w:left w:val="single" w:color="000000" w:sz="4" w:space="0"/>
              <w:bottom w:val="single" w:color="000000" w:sz="4" w:space="0"/>
              <w:right w:val="single" w:color="000000" w:sz="4" w:space="0"/>
            </w:tcBorders>
            <w:noWrap/>
            <w:vAlign w:val="center"/>
          </w:tcPr>
          <w:p w14:paraId="469AD08E">
            <w:pPr>
              <w:widowControl/>
              <w:shd w:val="clear"/>
              <w:ind w:firstLine="0" w:firstLineChars="0"/>
              <w:jc w:val="both"/>
              <w:textAlignment w:val="center"/>
              <w:rPr>
                <w:rFonts w:cs="宋体"/>
                <w:color w:val="auto"/>
                <w:sz w:val="22"/>
                <w:szCs w:val="22"/>
                <w:highlight w:val="none"/>
              </w:rPr>
            </w:pPr>
            <w:r>
              <w:rPr>
                <w:rFonts w:hint="eastAsia" w:cs="宋体"/>
                <w:color w:val="auto"/>
                <w:kern w:val="0"/>
                <w:sz w:val="22"/>
                <w:szCs w:val="22"/>
                <w:highlight w:val="none"/>
                <w:lang w:bidi="ar"/>
              </w:rPr>
              <w:t>6</w:t>
            </w:r>
          </w:p>
        </w:tc>
        <w:tc>
          <w:tcPr>
            <w:tcW w:w="3314" w:type="dxa"/>
            <w:tcBorders>
              <w:top w:val="single" w:color="000000" w:sz="4" w:space="0"/>
              <w:left w:val="single" w:color="000000" w:sz="4" w:space="0"/>
              <w:bottom w:val="single" w:color="000000" w:sz="4" w:space="0"/>
              <w:right w:val="single" w:color="000000" w:sz="4" w:space="0"/>
            </w:tcBorders>
            <w:noWrap/>
            <w:vAlign w:val="center"/>
          </w:tcPr>
          <w:p w14:paraId="6EC08B38">
            <w:pPr>
              <w:widowControl/>
              <w:shd w:val="clear"/>
              <w:ind w:firstLine="0" w:firstLineChars="0"/>
              <w:jc w:val="both"/>
              <w:textAlignment w:val="center"/>
              <w:rPr>
                <w:rFonts w:cs="宋体"/>
                <w:color w:val="auto"/>
                <w:sz w:val="22"/>
                <w:szCs w:val="22"/>
                <w:highlight w:val="none"/>
              </w:rPr>
            </w:pPr>
            <w:r>
              <w:rPr>
                <w:rFonts w:hint="eastAsia" w:cs="宋体"/>
                <w:color w:val="auto"/>
                <w:kern w:val="0"/>
                <w:sz w:val="22"/>
                <w:szCs w:val="22"/>
                <w:highlight w:val="none"/>
                <w:lang w:bidi="ar"/>
              </w:rPr>
              <w:t>1#2#高炉槽上电磁站</w:t>
            </w:r>
          </w:p>
        </w:tc>
        <w:tc>
          <w:tcPr>
            <w:tcW w:w="1582" w:type="dxa"/>
            <w:tcBorders>
              <w:top w:val="single" w:color="000000" w:sz="4" w:space="0"/>
              <w:left w:val="single" w:color="000000" w:sz="4" w:space="0"/>
              <w:bottom w:val="single" w:color="000000" w:sz="4" w:space="0"/>
              <w:right w:val="single" w:color="000000" w:sz="4" w:space="0"/>
            </w:tcBorders>
            <w:noWrap/>
            <w:vAlign w:val="center"/>
          </w:tcPr>
          <w:p w14:paraId="656F6645">
            <w:pPr>
              <w:widowControl/>
              <w:shd w:val="clear"/>
              <w:ind w:firstLine="44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c>
          <w:tcPr>
            <w:tcW w:w="1586" w:type="dxa"/>
            <w:tcBorders>
              <w:top w:val="single" w:color="000000" w:sz="4" w:space="0"/>
              <w:left w:val="single" w:color="000000" w:sz="4" w:space="0"/>
              <w:bottom w:val="single" w:color="000000" w:sz="4" w:space="0"/>
              <w:right w:val="single" w:color="000000" w:sz="4" w:space="0"/>
            </w:tcBorders>
            <w:noWrap/>
            <w:vAlign w:val="center"/>
          </w:tcPr>
          <w:p w14:paraId="5708AEB5">
            <w:pPr>
              <w:widowControl/>
              <w:shd w:val="clear"/>
              <w:ind w:firstLine="440"/>
              <w:jc w:val="center"/>
              <w:textAlignment w:val="center"/>
              <w:rPr>
                <w:rFonts w:cs="宋体"/>
                <w:color w:val="auto"/>
                <w:sz w:val="22"/>
                <w:szCs w:val="22"/>
                <w:highlight w:val="none"/>
              </w:rPr>
            </w:pPr>
            <w:r>
              <w:rPr>
                <w:rFonts w:hint="eastAsia" w:cs="宋体"/>
                <w:color w:val="auto"/>
                <w:kern w:val="0"/>
                <w:sz w:val="22"/>
                <w:szCs w:val="22"/>
                <w:highlight w:val="none"/>
                <w:lang w:bidi="ar"/>
              </w:rPr>
              <w:t>2</w:t>
            </w:r>
          </w:p>
        </w:tc>
        <w:tc>
          <w:tcPr>
            <w:tcW w:w="1244" w:type="dxa"/>
            <w:tcBorders>
              <w:top w:val="single" w:color="000000" w:sz="4" w:space="0"/>
              <w:left w:val="single" w:color="000000" w:sz="4" w:space="0"/>
              <w:bottom w:val="single" w:color="000000" w:sz="4" w:space="0"/>
              <w:right w:val="single" w:color="000000" w:sz="4" w:space="0"/>
            </w:tcBorders>
            <w:noWrap/>
            <w:vAlign w:val="center"/>
          </w:tcPr>
          <w:p w14:paraId="4A3020F0">
            <w:pPr>
              <w:shd w:val="clear"/>
              <w:ind w:firstLine="440"/>
              <w:jc w:val="center"/>
              <w:rPr>
                <w:rFonts w:cs="宋体"/>
                <w:color w:val="auto"/>
                <w:sz w:val="22"/>
                <w:szCs w:val="22"/>
                <w:highlight w:val="none"/>
              </w:rPr>
            </w:pPr>
          </w:p>
        </w:tc>
      </w:tr>
      <w:tr w14:paraId="3056AAD5">
        <w:tblPrEx>
          <w:tblCellMar>
            <w:top w:w="0" w:type="dxa"/>
            <w:left w:w="108" w:type="dxa"/>
            <w:bottom w:w="0" w:type="dxa"/>
            <w:right w:w="108" w:type="dxa"/>
          </w:tblCellMar>
        </w:tblPrEx>
        <w:trPr>
          <w:trHeight w:val="403" w:hRule="atLeast"/>
        </w:trPr>
        <w:tc>
          <w:tcPr>
            <w:tcW w:w="703" w:type="dxa"/>
            <w:tcBorders>
              <w:top w:val="single" w:color="000000" w:sz="4" w:space="0"/>
              <w:left w:val="single" w:color="000000" w:sz="4" w:space="0"/>
              <w:bottom w:val="single" w:color="000000" w:sz="4" w:space="0"/>
              <w:right w:val="single" w:color="000000" w:sz="4" w:space="0"/>
            </w:tcBorders>
            <w:noWrap/>
            <w:vAlign w:val="center"/>
          </w:tcPr>
          <w:p w14:paraId="422C87FC">
            <w:pPr>
              <w:widowControl/>
              <w:shd w:val="clear"/>
              <w:ind w:firstLine="0" w:firstLineChars="0"/>
              <w:jc w:val="both"/>
              <w:textAlignment w:val="center"/>
              <w:rPr>
                <w:rFonts w:cs="宋体"/>
                <w:color w:val="auto"/>
                <w:sz w:val="22"/>
                <w:szCs w:val="22"/>
                <w:highlight w:val="none"/>
              </w:rPr>
            </w:pPr>
            <w:r>
              <w:rPr>
                <w:rFonts w:hint="eastAsia" w:cs="宋体"/>
                <w:color w:val="auto"/>
                <w:kern w:val="0"/>
                <w:sz w:val="22"/>
                <w:szCs w:val="22"/>
                <w:highlight w:val="none"/>
                <w:lang w:bidi="ar"/>
              </w:rPr>
              <w:t>7</w:t>
            </w:r>
          </w:p>
        </w:tc>
        <w:tc>
          <w:tcPr>
            <w:tcW w:w="3314" w:type="dxa"/>
            <w:tcBorders>
              <w:top w:val="single" w:color="000000" w:sz="4" w:space="0"/>
              <w:left w:val="single" w:color="000000" w:sz="4" w:space="0"/>
              <w:bottom w:val="single" w:color="000000" w:sz="4" w:space="0"/>
              <w:right w:val="single" w:color="000000" w:sz="4" w:space="0"/>
            </w:tcBorders>
            <w:noWrap/>
            <w:vAlign w:val="center"/>
          </w:tcPr>
          <w:p w14:paraId="4B7B5CF4">
            <w:pPr>
              <w:widowControl/>
              <w:shd w:val="clear"/>
              <w:ind w:firstLine="0" w:firstLineChars="0"/>
              <w:jc w:val="both"/>
              <w:textAlignment w:val="center"/>
              <w:rPr>
                <w:rFonts w:cs="宋体"/>
                <w:color w:val="auto"/>
                <w:sz w:val="22"/>
                <w:szCs w:val="22"/>
                <w:highlight w:val="none"/>
              </w:rPr>
            </w:pPr>
            <w:r>
              <w:rPr>
                <w:rFonts w:hint="eastAsia" w:cs="宋体"/>
                <w:color w:val="auto"/>
                <w:kern w:val="0"/>
                <w:sz w:val="22"/>
                <w:szCs w:val="22"/>
                <w:highlight w:val="none"/>
                <w:lang w:bidi="ar"/>
              </w:rPr>
              <w:t>2炉水渣岗位操作室</w:t>
            </w:r>
          </w:p>
        </w:tc>
        <w:tc>
          <w:tcPr>
            <w:tcW w:w="1582" w:type="dxa"/>
            <w:tcBorders>
              <w:top w:val="single" w:color="000000" w:sz="4" w:space="0"/>
              <w:left w:val="single" w:color="000000" w:sz="4" w:space="0"/>
              <w:bottom w:val="single" w:color="000000" w:sz="4" w:space="0"/>
              <w:right w:val="single" w:color="000000" w:sz="4" w:space="0"/>
            </w:tcBorders>
            <w:noWrap/>
            <w:vAlign w:val="center"/>
          </w:tcPr>
          <w:p w14:paraId="3CCB3A8B">
            <w:pPr>
              <w:widowControl/>
              <w:shd w:val="clear"/>
              <w:ind w:firstLine="44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c>
          <w:tcPr>
            <w:tcW w:w="1586" w:type="dxa"/>
            <w:tcBorders>
              <w:top w:val="single" w:color="000000" w:sz="4" w:space="0"/>
              <w:left w:val="single" w:color="000000" w:sz="4" w:space="0"/>
              <w:bottom w:val="single" w:color="000000" w:sz="4" w:space="0"/>
              <w:right w:val="single" w:color="000000" w:sz="4" w:space="0"/>
            </w:tcBorders>
            <w:noWrap/>
            <w:vAlign w:val="center"/>
          </w:tcPr>
          <w:p w14:paraId="10487969">
            <w:pPr>
              <w:widowControl/>
              <w:shd w:val="clear"/>
              <w:ind w:firstLine="44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c>
          <w:tcPr>
            <w:tcW w:w="1244" w:type="dxa"/>
            <w:tcBorders>
              <w:top w:val="single" w:color="000000" w:sz="4" w:space="0"/>
              <w:left w:val="single" w:color="000000" w:sz="4" w:space="0"/>
              <w:bottom w:val="single" w:color="000000" w:sz="4" w:space="0"/>
              <w:right w:val="single" w:color="000000" w:sz="4" w:space="0"/>
            </w:tcBorders>
            <w:noWrap/>
            <w:vAlign w:val="center"/>
          </w:tcPr>
          <w:p w14:paraId="4D8E9B91">
            <w:pPr>
              <w:shd w:val="clear"/>
              <w:ind w:firstLine="440"/>
              <w:jc w:val="center"/>
              <w:rPr>
                <w:rFonts w:cs="宋体"/>
                <w:color w:val="auto"/>
                <w:sz w:val="22"/>
                <w:szCs w:val="22"/>
                <w:highlight w:val="none"/>
              </w:rPr>
            </w:pPr>
          </w:p>
        </w:tc>
      </w:tr>
      <w:tr w14:paraId="6A388AC6">
        <w:tblPrEx>
          <w:tblCellMar>
            <w:top w:w="0" w:type="dxa"/>
            <w:left w:w="108" w:type="dxa"/>
            <w:bottom w:w="0" w:type="dxa"/>
            <w:right w:w="108" w:type="dxa"/>
          </w:tblCellMar>
        </w:tblPrEx>
        <w:trPr>
          <w:trHeight w:val="350" w:hRule="atLeast"/>
        </w:trPr>
        <w:tc>
          <w:tcPr>
            <w:tcW w:w="703" w:type="dxa"/>
            <w:tcBorders>
              <w:top w:val="single" w:color="000000" w:sz="4" w:space="0"/>
              <w:left w:val="single" w:color="000000" w:sz="4" w:space="0"/>
              <w:bottom w:val="single" w:color="000000" w:sz="4" w:space="0"/>
              <w:right w:val="single" w:color="000000" w:sz="4" w:space="0"/>
            </w:tcBorders>
            <w:noWrap/>
            <w:vAlign w:val="center"/>
          </w:tcPr>
          <w:p w14:paraId="43019FD3">
            <w:pPr>
              <w:widowControl/>
              <w:shd w:val="clear"/>
              <w:ind w:firstLine="0" w:firstLineChars="0"/>
              <w:jc w:val="both"/>
              <w:textAlignment w:val="center"/>
              <w:rPr>
                <w:rFonts w:cs="宋体"/>
                <w:color w:val="auto"/>
                <w:sz w:val="22"/>
                <w:szCs w:val="22"/>
                <w:highlight w:val="none"/>
              </w:rPr>
            </w:pPr>
            <w:r>
              <w:rPr>
                <w:rFonts w:hint="eastAsia" w:cs="宋体"/>
                <w:color w:val="auto"/>
                <w:kern w:val="0"/>
                <w:sz w:val="22"/>
                <w:szCs w:val="22"/>
                <w:highlight w:val="none"/>
                <w:lang w:bidi="ar"/>
              </w:rPr>
              <w:t>8</w:t>
            </w:r>
          </w:p>
        </w:tc>
        <w:tc>
          <w:tcPr>
            <w:tcW w:w="3314" w:type="dxa"/>
            <w:tcBorders>
              <w:top w:val="single" w:color="000000" w:sz="4" w:space="0"/>
              <w:left w:val="single" w:color="000000" w:sz="4" w:space="0"/>
              <w:bottom w:val="single" w:color="000000" w:sz="4" w:space="0"/>
              <w:right w:val="single" w:color="000000" w:sz="4" w:space="0"/>
            </w:tcBorders>
            <w:noWrap/>
            <w:vAlign w:val="center"/>
          </w:tcPr>
          <w:p w14:paraId="7E3BB17E">
            <w:pPr>
              <w:widowControl/>
              <w:shd w:val="clear"/>
              <w:ind w:firstLine="0" w:firstLineChars="0"/>
              <w:jc w:val="both"/>
              <w:textAlignment w:val="center"/>
              <w:rPr>
                <w:rFonts w:cs="宋体"/>
                <w:color w:val="auto"/>
                <w:sz w:val="22"/>
                <w:szCs w:val="22"/>
                <w:highlight w:val="none"/>
              </w:rPr>
            </w:pPr>
            <w:r>
              <w:rPr>
                <w:rFonts w:hint="eastAsia" w:cs="宋体"/>
                <w:color w:val="auto"/>
                <w:kern w:val="0"/>
                <w:sz w:val="22"/>
                <w:szCs w:val="22"/>
                <w:highlight w:val="none"/>
                <w:lang w:bidi="ar"/>
              </w:rPr>
              <w:t>2炉台PLC室</w:t>
            </w:r>
          </w:p>
        </w:tc>
        <w:tc>
          <w:tcPr>
            <w:tcW w:w="1582" w:type="dxa"/>
            <w:tcBorders>
              <w:top w:val="single" w:color="000000" w:sz="4" w:space="0"/>
              <w:left w:val="single" w:color="000000" w:sz="4" w:space="0"/>
              <w:bottom w:val="single" w:color="000000" w:sz="4" w:space="0"/>
              <w:right w:val="single" w:color="000000" w:sz="4" w:space="0"/>
            </w:tcBorders>
            <w:noWrap/>
            <w:vAlign w:val="center"/>
          </w:tcPr>
          <w:p w14:paraId="69266A65">
            <w:pPr>
              <w:widowControl/>
              <w:shd w:val="clear"/>
              <w:ind w:firstLine="44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c>
          <w:tcPr>
            <w:tcW w:w="1586" w:type="dxa"/>
            <w:tcBorders>
              <w:top w:val="single" w:color="000000" w:sz="4" w:space="0"/>
              <w:left w:val="single" w:color="000000" w:sz="4" w:space="0"/>
              <w:bottom w:val="single" w:color="000000" w:sz="4" w:space="0"/>
              <w:right w:val="single" w:color="000000" w:sz="4" w:space="0"/>
            </w:tcBorders>
            <w:noWrap/>
            <w:vAlign w:val="center"/>
          </w:tcPr>
          <w:p w14:paraId="75FE2304">
            <w:pPr>
              <w:widowControl/>
              <w:shd w:val="clear"/>
              <w:ind w:firstLine="440"/>
              <w:jc w:val="center"/>
              <w:textAlignment w:val="center"/>
              <w:rPr>
                <w:rFonts w:cs="宋体"/>
                <w:color w:val="auto"/>
                <w:sz w:val="22"/>
                <w:szCs w:val="22"/>
                <w:highlight w:val="none"/>
              </w:rPr>
            </w:pPr>
            <w:r>
              <w:rPr>
                <w:rFonts w:hint="eastAsia" w:cs="宋体"/>
                <w:color w:val="auto"/>
                <w:kern w:val="0"/>
                <w:sz w:val="22"/>
                <w:szCs w:val="22"/>
                <w:highlight w:val="none"/>
                <w:lang w:bidi="ar"/>
              </w:rPr>
              <w:t>0</w:t>
            </w:r>
          </w:p>
        </w:tc>
        <w:tc>
          <w:tcPr>
            <w:tcW w:w="1244" w:type="dxa"/>
            <w:tcBorders>
              <w:top w:val="single" w:color="000000" w:sz="4" w:space="0"/>
              <w:left w:val="single" w:color="000000" w:sz="4" w:space="0"/>
              <w:bottom w:val="single" w:color="000000" w:sz="4" w:space="0"/>
              <w:right w:val="single" w:color="000000" w:sz="4" w:space="0"/>
            </w:tcBorders>
            <w:noWrap/>
            <w:vAlign w:val="center"/>
          </w:tcPr>
          <w:p w14:paraId="4236F769">
            <w:pPr>
              <w:shd w:val="clear"/>
              <w:ind w:firstLine="440"/>
              <w:jc w:val="center"/>
              <w:rPr>
                <w:rFonts w:cs="宋体"/>
                <w:color w:val="auto"/>
                <w:sz w:val="22"/>
                <w:szCs w:val="22"/>
                <w:highlight w:val="none"/>
              </w:rPr>
            </w:pPr>
          </w:p>
        </w:tc>
      </w:tr>
      <w:tr w14:paraId="3CCFA7CD">
        <w:tblPrEx>
          <w:tblCellMar>
            <w:top w:w="0" w:type="dxa"/>
            <w:left w:w="108" w:type="dxa"/>
            <w:bottom w:w="0" w:type="dxa"/>
            <w:right w:w="108" w:type="dxa"/>
          </w:tblCellMar>
        </w:tblPrEx>
        <w:trPr>
          <w:trHeight w:val="322" w:hRule="atLeast"/>
        </w:trPr>
        <w:tc>
          <w:tcPr>
            <w:tcW w:w="703" w:type="dxa"/>
            <w:tcBorders>
              <w:top w:val="single" w:color="000000" w:sz="4" w:space="0"/>
              <w:left w:val="single" w:color="000000" w:sz="4" w:space="0"/>
              <w:bottom w:val="single" w:color="auto" w:sz="4" w:space="0"/>
              <w:right w:val="single" w:color="000000" w:sz="4" w:space="0"/>
            </w:tcBorders>
            <w:noWrap/>
            <w:vAlign w:val="center"/>
          </w:tcPr>
          <w:p w14:paraId="790E1B6E">
            <w:pPr>
              <w:widowControl/>
              <w:shd w:val="clear"/>
              <w:ind w:firstLine="0" w:firstLineChars="0"/>
              <w:jc w:val="both"/>
              <w:textAlignment w:val="center"/>
              <w:rPr>
                <w:rFonts w:cs="宋体"/>
                <w:color w:val="auto"/>
                <w:sz w:val="22"/>
                <w:szCs w:val="22"/>
                <w:highlight w:val="none"/>
              </w:rPr>
            </w:pPr>
            <w:r>
              <w:rPr>
                <w:rFonts w:hint="eastAsia" w:cs="宋体"/>
                <w:color w:val="auto"/>
                <w:kern w:val="0"/>
                <w:sz w:val="22"/>
                <w:szCs w:val="22"/>
                <w:highlight w:val="none"/>
                <w:lang w:bidi="ar"/>
              </w:rPr>
              <w:t>9</w:t>
            </w:r>
          </w:p>
        </w:tc>
        <w:tc>
          <w:tcPr>
            <w:tcW w:w="3314" w:type="dxa"/>
            <w:tcBorders>
              <w:top w:val="single" w:color="000000" w:sz="4" w:space="0"/>
              <w:left w:val="single" w:color="000000" w:sz="4" w:space="0"/>
              <w:bottom w:val="single" w:color="auto" w:sz="4" w:space="0"/>
              <w:right w:val="single" w:color="000000" w:sz="4" w:space="0"/>
            </w:tcBorders>
            <w:noWrap/>
            <w:vAlign w:val="center"/>
          </w:tcPr>
          <w:p w14:paraId="2347B525">
            <w:pPr>
              <w:widowControl/>
              <w:shd w:val="clear"/>
              <w:ind w:firstLine="0" w:firstLineChars="0"/>
              <w:jc w:val="both"/>
              <w:textAlignment w:val="center"/>
              <w:rPr>
                <w:rFonts w:cs="宋体"/>
                <w:color w:val="auto"/>
                <w:sz w:val="22"/>
                <w:szCs w:val="22"/>
                <w:highlight w:val="none"/>
              </w:rPr>
            </w:pPr>
            <w:r>
              <w:rPr>
                <w:rFonts w:hint="eastAsia" w:cs="宋体"/>
                <w:color w:val="auto"/>
                <w:kern w:val="0"/>
                <w:sz w:val="22"/>
                <w:szCs w:val="22"/>
                <w:highlight w:val="none"/>
                <w:lang w:bidi="ar"/>
              </w:rPr>
              <w:t>2炉台电缆夹层</w:t>
            </w:r>
          </w:p>
        </w:tc>
        <w:tc>
          <w:tcPr>
            <w:tcW w:w="1582" w:type="dxa"/>
            <w:tcBorders>
              <w:top w:val="single" w:color="000000" w:sz="4" w:space="0"/>
              <w:left w:val="single" w:color="000000" w:sz="4" w:space="0"/>
              <w:bottom w:val="single" w:color="auto" w:sz="4" w:space="0"/>
              <w:right w:val="single" w:color="000000" w:sz="4" w:space="0"/>
            </w:tcBorders>
            <w:noWrap/>
            <w:vAlign w:val="center"/>
          </w:tcPr>
          <w:p w14:paraId="5E52E208">
            <w:pPr>
              <w:widowControl/>
              <w:shd w:val="clear"/>
              <w:ind w:firstLine="440"/>
              <w:jc w:val="center"/>
              <w:textAlignment w:val="center"/>
              <w:rPr>
                <w:rFonts w:cs="宋体"/>
                <w:color w:val="auto"/>
                <w:sz w:val="22"/>
                <w:szCs w:val="22"/>
                <w:highlight w:val="none"/>
              </w:rPr>
            </w:pPr>
            <w:r>
              <w:rPr>
                <w:rFonts w:hint="eastAsia" w:cs="宋体"/>
                <w:color w:val="auto"/>
                <w:kern w:val="0"/>
                <w:sz w:val="22"/>
                <w:szCs w:val="22"/>
                <w:highlight w:val="none"/>
                <w:lang w:bidi="ar"/>
              </w:rPr>
              <w:t>1</w:t>
            </w:r>
          </w:p>
        </w:tc>
        <w:tc>
          <w:tcPr>
            <w:tcW w:w="1586" w:type="dxa"/>
            <w:tcBorders>
              <w:top w:val="single" w:color="000000" w:sz="4" w:space="0"/>
              <w:left w:val="single" w:color="000000" w:sz="4" w:space="0"/>
              <w:bottom w:val="single" w:color="auto" w:sz="4" w:space="0"/>
              <w:right w:val="single" w:color="000000" w:sz="4" w:space="0"/>
            </w:tcBorders>
            <w:noWrap/>
            <w:vAlign w:val="center"/>
          </w:tcPr>
          <w:p w14:paraId="2451C611">
            <w:pPr>
              <w:widowControl/>
              <w:shd w:val="clear"/>
              <w:ind w:firstLine="440"/>
              <w:jc w:val="center"/>
              <w:textAlignment w:val="center"/>
              <w:rPr>
                <w:rFonts w:cs="宋体"/>
                <w:color w:val="auto"/>
                <w:sz w:val="22"/>
                <w:szCs w:val="22"/>
                <w:highlight w:val="none"/>
              </w:rPr>
            </w:pPr>
            <w:r>
              <w:rPr>
                <w:rFonts w:hint="eastAsia" w:cs="宋体"/>
                <w:color w:val="auto"/>
                <w:kern w:val="0"/>
                <w:sz w:val="22"/>
                <w:szCs w:val="22"/>
                <w:highlight w:val="none"/>
                <w:lang w:bidi="ar"/>
              </w:rPr>
              <w:t>4</w:t>
            </w:r>
          </w:p>
        </w:tc>
        <w:tc>
          <w:tcPr>
            <w:tcW w:w="1244" w:type="dxa"/>
            <w:tcBorders>
              <w:top w:val="single" w:color="000000" w:sz="4" w:space="0"/>
              <w:left w:val="single" w:color="000000" w:sz="4" w:space="0"/>
              <w:bottom w:val="single" w:color="auto" w:sz="4" w:space="0"/>
              <w:right w:val="single" w:color="000000" w:sz="4" w:space="0"/>
            </w:tcBorders>
            <w:noWrap/>
            <w:vAlign w:val="center"/>
          </w:tcPr>
          <w:p w14:paraId="20936372">
            <w:pPr>
              <w:shd w:val="clear"/>
              <w:ind w:firstLine="440"/>
              <w:jc w:val="center"/>
              <w:rPr>
                <w:rFonts w:cs="宋体"/>
                <w:color w:val="auto"/>
                <w:sz w:val="22"/>
                <w:szCs w:val="22"/>
                <w:highlight w:val="none"/>
              </w:rPr>
            </w:pPr>
          </w:p>
        </w:tc>
      </w:tr>
      <w:tr w14:paraId="68FA4386">
        <w:tblPrEx>
          <w:tblCellMar>
            <w:top w:w="0" w:type="dxa"/>
            <w:left w:w="108" w:type="dxa"/>
            <w:bottom w:w="0" w:type="dxa"/>
            <w:right w:w="108" w:type="dxa"/>
          </w:tblCellMar>
        </w:tblPrEx>
        <w:trPr>
          <w:trHeight w:val="270" w:hRule="atLeast"/>
        </w:trPr>
        <w:tc>
          <w:tcPr>
            <w:tcW w:w="703" w:type="dxa"/>
            <w:tcBorders>
              <w:top w:val="single" w:color="auto" w:sz="4" w:space="0"/>
              <w:left w:val="single" w:color="auto" w:sz="4" w:space="0"/>
              <w:bottom w:val="single" w:color="auto" w:sz="4" w:space="0"/>
              <w:right w:val="single" w:color="auto" w:sz="4" w:space="0"/>
            </w:tcBorders>
            <w:noWrap/>
            <w:vAlign w:val="center"/>
          </w:tcPr>
          <w:p w14:paraId="5624DF98">
            <w:pPr>
              <w:shd w:val="clear"/>
              <w:ind w:firstLine="440"/>
              <w:rPr>
                <w:rFonts w:cs="宋体"/>
                <w:color w:val="auto"/>
                <w:sz w:val="22"/>
                <w:szCs w:val="22"/>
                <w:highlight w:val="none"/>
              </w:rPr>
            </w:pPr>
          </w:p>
        </w:tc>
        <w:tc>
          <w:tcPr>
            <w:tcW w:w="3314" w:type="dxa"/>
            <w:tcBorders>
              <w:top w:val="single" w:color="auto" w:sz="4" w:space="0"/>
              <w:left w:val="single" w:color="auto" w:sz="4" w:space="0"/>
              <w:bottom w:val="single" w:color="auto" w:sz="4" w:space="0"/>
              <w:right w:val="single" w:color="auto" w:sz="4" w:space="0"/>
            </w:tcBorders>
            <w:noWrap/>
            <w:vAlign w:val="center"/>
          </w:tcPr>
          <w:p w14:paraId="1AF77D92">
            <w:pPr>
              <w:shd w:val="clear"/>
              <w:ind w:firstLine="440"/>
              <w:rPr>
                <w:rFonts w:cs="宋体"/>
                <w:color w:val="auto"/>
                <w:sz w:val="22"/>
                <w:szCs w:val="22"/>
                <w:highlight w:val="none"/>
              </w:rPr>
            </w:pPr>
            <w:r>
              <w:rPr>
                <w:rFonts w:hint="eastAsia" w:cs="宋体"/>
                <w:color w:val="auto"/>
                <w:sz w:val="22"/>
                <w:szCs w:val="22"/>
                <w:highlight w:val="none"/>
              </w:rPr>
              <w:t>合计</w:t>
            </w:r>
          </w:p>
        </w:tc>
        <w:tc>
          <w:tcPr>
            <w:tcW w:w="1582" w:type="dxa"/>
            <w:tcBorders>
              <w:top w:val="single" w:color="auto" w:sz="4" w:space="0"/>
              <w:left w:val="single" w:color="auto" w:sz="4" w:space="0"/>
              <w:bottom w:val="single" w:color="auto" w:sz="4" w:space="0"/>
              <w:right w:val="single" w:color="auto" w:sz="4" w:space="0"/>
            </w:tcBorders>
            <w:noWrap/>
            <w:vAlign w:val="center"/>
          </w:tcPr>
          <w:p w14:paraId="74589434">
            <w:pPr>
              <w:widowControl/>
              <w:shd w:val="clear"/>
              <w:ind w:firstLine="440"/>
              <w:jc w:val="center"/>
              <w:textAlignment w:val="center"/>
              <w:rPr>
                <w:rFonts w:cs="宋体"/>
                <w:color w:val="auto"/>
                <w:sz w:val="22"/>
                <w:szCs w:val="22"/>
                <w:highlight w:val="none"/>
              </w:rPr>
            </w:pPr>
            <w:r>
              <w:rPr>
                <w:rFonts w:hint="eastAsia" w:cs="宋体"/>
                <w:color w:val="auto"/>
                <w:kern w:val="0"/>
                <w:sz w:val="22"/>
                <w:szCs w:val="22"/>
                <w:highlight w:val="none"/>
                <w:lang w:bidi="ar"/>
              </w:rPr>
              <w:t>8</w:t>
            </w:r>
          </w:p>
        </w:tc>
        <w:tc>
          <w:tcPr>
            <w:tcW w:w="1586" w:type="dxa"/>
            <w:tcBorders>
              <w:top w:val="single" w:color="auto" w:sz="4" w:space="0"/>
              <w:left w:val="single" w:color="auto" w:sz="4" w:space="0"/>
              <w:bottom w:val="single" w:color="auto" w:sz="4" w:space="0"/>
              <w:right w:val="single" w:color="auto" w:sz="4" w:space="0"/>
            </w:tcBorders>
            <w:noWrap/>
            <w:vAlign w:val="center"/>
          </w:tcPr>
          <w:p w14:paraId="704E4B35">
            <w:pPr>
              <w:widowControl/>
              <w:shd w:val="clear"/>
              <w:ind w:firstLine="440"/>
              <w:jc w:val="center"/>
              <w:textAlignment w:val="center"/>
              <w:rPr>
                <w:rFonts w:cs="宋体"/>
                <w:color w:val="auto"/>
                <w:sz w:val="22"/>
                <w:szCs w:val="22"/>
                <w:highlight w:val="none"/>
              </w:rPr>
            </w:pPr>
            <w:r>
              <w:rPr>
                <w:rFonts w:hint="eastAsia" w:cs="宋体"/>
                <w:color w:val="auto"/>
                <w:kern w:val="0"/>
                <w:sz w:val="22"/>
                <w:szCs w:val="22"/>
                <w:highlight w:val="none"/>
                <w:lang w:bidi="ar"/>
              </w:rPr>
              <w:t>13</w:t>
            </w:r>
          </w:p>
        </w:tc>
        <w:tc>
          <w:tcPr>
            <w:tcW w:w="1244" w:type="dxa"/>
            <w:tcBorders>
              <w:top w:val="single" w:color="auto" w:sz="4" w:space="0"/>
              <w:left w:val="single" w:color="auto" w:sz="4" w:space="0"/>
              <w:bottom w:val="single" w:color="auto" w:sz="4" w:space="0"/>
              <w:right w:val="single" w:color="auto" w:sz="4" w:space="0"/>
            </w:tcBorders>
            <w:noWrap/>
            <w:vAlign w:val="center"/>
          </w:tcPr>
          <w:p w14:paraId="7EBB2B30">
            <w:pPr>
              <w:shd w:val="clear"/>
              <w:ind w:firstLine="440"/>
              <w:rPr>
                <w:rFonts w:cs="宋体"/>
                <w:color w:val="auto"/>
                <w:sz w:val="22"/>
                <w:szCs w:val="22"/>
                <w:highlight w:val="none"/>
              </w:rPr>
            </w:pPr>
          </w:p>
        </w:tc>
      </w:tr>
    </w:tbl>
    <w:p w14:paraId="590F26A1">
      <w:pPr>
        <w:shd w:val="clear"/>
        <w:rPr>
          <w:color w:val="auto"/>
          <w:highlight w:val="none"/>
        </w:rPr>
      </w:pPr>
      <w:bookmarkStart w:id="853" w:name="OLE_LINK80"/>
      <w:bookmarkStart w:id="854" w:name="OLE_LINK79"/>
      <w:bookmarkStart w:id="855" w:name="_Toc30953"/>
      <w:bookmarkStart w:id="856" w:name="OLE_LINK78"/>
      <w:bookmarkStart w:id="857" w:name="_Toc535159013"/>
      <w:r>
        <w:rPr>
          <w:rFonts w:hint="eastAsia"/>
          <w:color w:val="auto"/>
          <w:highlight w:val="none"/>
        </w:rPr>
        <w:t>4）</w:t>
      </w:r>
      <w:r>
        <w:rPr>
          <w:color w:val="auto"/>
          <w:highlight w:val="none"/>
        </w:rPr>
        <w:t>配双电源切换开关箱，取来自两路不同低压母线AC220V电源。</w:t>
      </w:r>
    </w:p>
    <w:p w14:paraId="64169FC2">
      <w:pPr>
        <w:shd w:val="clear"/>
        <w:rPr>
          <w:color w:val="auto"/>
          <w:highlight w:val="none"/>
        </w:rPr>
      </w:pPr>
      <w:r>
        <w:rPr>
          <w:rFonts w:hint="eastAsia"/>
          <w:color w:val="auto"/>
          <w:highlight w:val="none"/>
        </w:rPr>
        <w:t>5）新增电缆沟、电缆通廊设置缆式线型差定温探测器。</w:t>
      </w:r>
    </w:p>
    <w:p w14:paraId="432F927C">
      <w:pPr>
        <w:shd w:val="clear"/>
        <w:rPr>
          <w:color w:val="auto"/>
          <w:highlight w:val="none"/>
        </w:rPr>
      </w:pPr>
      <w:r>
        <w:rPr>
          <w:rFonts w:hint="eastAsia"/>
          <w:color w:val="auto"/>
          <w:highlight w:val="none"/>
        </w:rPr>
        <w:t>6）现有4个变压室新增火焰探测器，每个变压器室需设计对角安装2个火焰探测器。</w:t>
      </w:r>
    </w:p>
    <w:p w14:paraId="52EEEEBB">
      <w:pPr>
        <w:shd w:val="clear"/>
        <w:rPr>
          <w:rFonts w:hint="default"/>
          <w:color w:val="auto"/>
          <w:highlight w:val="none"/>
          <w:lang w:val="en-US" w:eastAsia="zh-CN"/>
        </w:rPr>
      </w:pPr>
      <w:r>
        <w:rPr>
          <w:rFonts w:hint="eastAsia"/>
          <w:color w:val="auto"/>
          <w:highlight w:val="none"/>
          <w:lang w:val="en-US" w:eastAsia="zh-CN"/>
        </w:rPr>
        <w:t>7)</w:t>
      </w:r>
      <w:r>
        <w:rPr>
          <w:rFonts w:hint="eastAsia"/>
          <w:color w:val="auto"/>
          <w:highlight w:val="none"/>
        </w:rPr>
        <w:t>新增</w:t>
      </w:r>
      <w:r>
        <w:rPr>
          <w:rFonts w:hint="eastAsia"/>
          <w:color w:val="auto"/>
          <w:highlight w:val="none"/>
          <w:lang w:val="en-US" w:eastAsia="zh-CN"/>
        </w:rPr>
        <w:t>4</w:t>
      </w:r>
      <w:r>
        <w:rPr>
          <w:rFonts w:hint="eastAsia"/>
          <w:color w:val="auto"/>
          <w:highlight w:val="none"/>
        </w:rPr>
        <w:t>个CEMS分析小屋</w:t>
      </w:r>
      <w:r>
        <w:rPr>
          <w:rFonts w:hint="eastAsia"/>
          <w:color w:val="auto"/>
          <w:highlight w:val="none"/>
          <w:lang w:val="en-US" w:eastAsia="zh-CN"/>
        </w:rPr>
        <w:t>设置感烟探头、手报及声光报警器。</w:t>
      </w:r>
    </w:p>
    <w:p w14:paraId="33CA9D70">
      <w:pPr>
        <w:shd w:val="clear"/>
        <w:ind w:firstLine="0" w:firstLineChars="0"/>
        <w:outlineLvl w:val="2"/>
        <w:rPr>
          <w:rFonts w:cs="Times New Roman"/>
          <w:color w:val="auto"/>
          <w:szCs w:val="28"/>
          <w:highlight w:val="none"/>
        </w:rPr>
      </w:pPr>
      <w:r>
        <w:rPr>
          <w:rFonts w:hint="eastAsia" w:cs="Times New Roman"/>
          <w:color w:val="auto"/>
          <w:szCs w:val="28"/>
          <w:highlight w:val="none"/>
        </w:rPr>
        <w:t>10.2.4 CO有毒气体检测报警系统</w:t>
      </w:r>
      <w:bookmarkEnd w:id="853"/>
      <w:bookmarkEnd w:id="854"/>
      <w:bookmarkEnd w:id="855"/>
      <w:bookmarkEnd w:id="856"/>
      <w:bookmarkEnd w:id="857"/>
    </w:p>
    <w:p w14:paraId="2F92CCB9">
      <w:pPr>
        <w:shd w:val="clear"/>
        <w:rPr>
          <w:color w:val="auto"/>
          <w:highlight w:val="none"/>
        </w:rPr>
      </w:pPr>
      <w:r>
        <w:rPr>
          <w:rFonts w:hint="eastAsia"/>
          <w:color w:val="auto"/>
          <w:highlight w:val="none"/>
        </w:rPr>
        <w:t>为了保障煤气易泄漏区域的生产和人身安全，设置CO有毒气体检测报警系统。</w:t>
      </w:r>
      <w:bookmarkStart w:id="858" w:name="OLE_LINK10"/>
      <w:r>
        <w:rPr>
          <w:rFonts w:hint="eastAsia"/>
          <w:color w:val="auto"/>
          <w:highlight w:val="none"/>
        </w:rPr>
        <w:t>在高炉粗煤气系统新增仓泵卸灰处、新增灰仓卸灰处、</w:t>
      </w:r>
      <w:r>
        <w:rPr>
          <w:rFonts w:hint="eastAsia"/>
          <w:color w:val="auto"/>
          <w:highlight w:val="none"/>
          <w:lang w:val="en-US" w:eastAsia="zh-CN"/>
        </w:rPr>
        <w:t>均压煤气回收筒体、煤气分析仪小房</w:t>
      </w:r>
      <w:bookmarkStart w:id="859" w:name="_Toc7171"/>
      <w:r>
        <w:rPr>
          <w:rFonts w:hint="eastAsia"/>
          <w:color w:val="auto"/>
          <w:highlight w:val="none"/>
        </w:rPr>
        <w:t>设置固定式有毒气体探测器，带声光报警，</w:t>
      </w:r>
      <w:r>
        <w:rPr>
          <w:rFonts w:hint="eastAsia"/>
          <w:color w:val="auto"/>
          <w:highlight w:val="none"/>
          <w:lang w:val="zh-CN"/>
        </w:rPr>
        <w:t>气体探测器为防爆型，响应时间＜30S。</w:t>
      </w:r>
      <w:bookmarkEnd w:id="859"/>
      <w:bookmarkStart w:id="860" w:name="_Toc175920416"/>
      <w:r>
        <w:rPr>
          <w:rFonts w:hint="eastAsia"/>
          <w:color w:val="auto"/>
          <w:kern w:val="1"/>
          <w:highlight w:val="none"/>
          <w:lang w:val="zh-CN"/>
        </w:rPr>
        <w:t>现场就近设置智能数据采集站，将附近的探测器信号转换为总线信号送至</w:t>
      </w:r>
      <w:r>
        <w:rPr>
          <w:rFonts w:hint="eastAsia"/>
          <w:color w:val="auto"/>
          <w:kern w:val="1"/>
          <w:highlight w:val="none"/>
          <w:lang w:val="en-US" w:eastAsia="zh-CN"/>
        </w:rPr>
        <w:t>位于2#高炉值班室的新增有毒气体检测</w:t>
      </w:r>
      <w:r>
        <w:rPr>
          <w:rFonts w:hint="eastAsia"/>
          <w:color w:val="auto"/>
          <w:highlight w:val="none"/>
        </w:rPr>
        <w:t>报警</w:t>
      </w:r>
      <w:r>
        <w:rPr>
          <w:rFonts w:hint="eastAsia"/>
          <w:color w:val="auto"/>
          <w:highlight w:val="none"/>
          <w:lang w:val="en-US" w:eastAsia="zh-CN"/>
        </w:rPr>
        <w:t>控制器</w:t>
      </w:r>
      <w:r>
        <w:rPr>
          <w:rFonts w:hint="eastAsia"/>
          <w:color w:val="auto"/>
          <w:highlight w:val="none"/>
        </w:rPr>
        <w:t>。</w:t>
      </w:r>
      <w:bookmarkEnd w:id="858"/>
    </w:p>
    <w:p w14:paraId="5180B979">
      <w:pPr>
        <w:shd w:val="clear"/>
        <w:spacing w:line="500" w:lineRule="exact"/>
        <w:jc w:val="center"/>
        <w:rPr>
          <w:rFonts w:ascii="Times New Roman" w:hAnsi="Times New Roman" w:cs="Times New Roman"/>
          <w:color w:val="auto"/>
          <w:highlight w:val="none"/>
        </w:rPr>
      </w:pPr>
      <w:r>
        <w:rPr>
          <w:rFonts w:hint="eastAsia" w:ascii="Times New Roman" w:hAnsi="Times New Roman" w:cs="Times New Roman"/>
          <w:color w:val="auto"/>
          <w:highlight w:val="none"/>
        </w:rPr>
        <w:t>固定式CO有毒气体报警器一览表</w:t>
      </w:r>
    </w:p>
    <w:tbl>
      <w:tblPr>
        <w:tblStyle w:val="60"/>
        <w:tblW w:w="45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4060"/>
        <w:gridCol w:w="1669"/>
        <w:gridCol w:w="1346"/>
      </w:tblGrid>
      <w:tr w14:paraId="08A8D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blHeader/>
          <w:jc w:val="center"/>
        </w:trPr>
        <w:tc>
          <w:tcPr>
            <w:tcW w:w="723" w:type="dxa"/>
            <w:noWrap w:val="0"/>
            <w:vAlign w:val="center"/>
          </w:tcPr>
          <w:p w14:paraId="078248BF">
            <w:pPr>
              <w:shd w:val="clear"/>
              <w:adjustRightInd w:val="0"/>
              <w:spacing w:line="240" w:lineRule="auto"/>
              <w:ind w:firstLine="0" w:firstLineChars="0"/>
              <w:rPr>
                <w:color w:val="auto"/>
                <w:highlight w:val="none"/>
                <w:lang w:val="ru-RU"/>
              </w:rPr>
            </w:pPr>
            <w:r>
              <w:rPr>
                <w:rFonts w:hint="eastAsia"/>
                <w:color w:val="auto"/>
                <w:highlight w:val="none"/>
              </w:rPr>
              <w:t>序号</w:t>
            </w:r>
          </w:p>
        </w:tc>
        <w:tc>
          <w:tcPr>
            <w:tcW w:w="4060" w:type="dxa"/>
            <w:noWrap w:val="0"/>
            <w:vAlign w:val="center"/>
          </w:tcPr>
          <w:p w14:paraId="0A87B87C">
            <w:pPr>
              <w:shd w:val="clear"/>
              <w:adjustRightInd w:val="0"/>
              <w:spacing w:line="240" w:lineRule="auto"/>
              <w:ind w:firstLine="0" w:firstLineChars="0"/>
              <w:rPr>
                <w:color w:val="auto"/>
                <w:highlight w:val="none"/>
              </w:rPr>
            </w:pPr>
            <w:r>
              <w:rPr>
                <w:rFonts w:hint="eastAsia" w:ascii="Times New Roman" w:hAnsi="Times New Roman" w:cs="Times New Roman"/>
                <w:color w:val="auto"/>
                <w:highlight w:val="none"/>
              </w:rPr>
              <w:t>位置</w:t>
            </w:r>
          </w:p>
        </w:tc>
        <w:tc>
          <w:tcPr>
            <w:tcW w:w="1669" w:type="dxa"/>
            <w:noWrap w:val="0"/>
            <w:vAlign w:val="center"/>
          </w:tcPr>
          <w:p w14:paraId="5C1E5E23">
            <w:pPr>
              <w:shd w:val="clear"/>
              <w:adjustRightInd w:val="0"/>
              <w:spacing w:line="240" w:lineRule="auto"/>
              <w:rPr>
                <w:color w:val="auto"/>
                <w:highlight w:val="none"/>
              </w:rPr>
            </w:pPr>
            <w:r>
              <w:rPr>
                <w:rFonts w:hint="eastAsia"/>
                <w:color w:val="auto"/>
                <w:highlight w:val="none"/>
              </w:rPr>
              <w:t>数量</w:t>
            </w:r>
          </w:p>
        </w:tc>
        <w:tc>
          <w:tcPr>
            <w:tcW w:w="1346" w:type="dxa"/>
            <w:noWrap w:val="0"/>
            <w:vAlign w:val="center"/>
          </w:tcPr>
          <w:p w14:paraId="4969417B">
            <w:pPr>
              <w:shd w:val="clear"/>
              <w:adjustRightInd w:val="0"/>
              <w:spacing w:line="240" w:lineRule="auto"/>
              <w:rPr>
                <w:color w:val="auto"/>
                <w:highlight w:val="none"/>
                <w:lang w:val="ru-RU"/>
              </w:rPr>
            </w:pPr>
            <w:r>
              <w:rPr>
                <w:rFonts w:hint="eastAsia"/>
                <w:color w:val="auto"/>
                <w:highlight w:val="none"/>
                <w:lang w:val="ru-RU"/>
              </w:rPr>
              <w:t>备注</w:t>
            </w:r>
          </w:p>
        </w:tc>
      </w:tr>
      <w:tr w14:paraId="4756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23" w:type="dxa"/>
            <w:noWrap w:val="0"/>
            <w:vAlign w:val="center"/>
          </w:tcPr>
          <w:p w14:paraId="54B759A5">
            <w:pPr>
              <w:shd w:val="clear"/>
              <w:adjustRightInd w:val="0"/>
              <w:spacing w:line="240" w:lineRule="auto"/>
              <w:ind w:firstLine="0" w:firstLineChars="0"/>
              <w:jc w:val="both"/>
              <w:rPr>
                <w:rFonts w:ascii="Times New Roman" w:hAnsi="Times New Roman" w:cs="Times New Roman"/>
                <w:color w:val="auto"/>
                <w:highlight w:val="none"/>
                <w:lang w:val="ru-RU"/>
              </w:rPr>
            </w:pPr>
            <w:r>
              <w:rPr>
                <w:rFonts w:hint="eastAsia" w:ascii="Times New Roman" w:hAnsi="Times New Roman" w:cs="Times New Roman"/>
                <w:color w:val="auto"/>
                <w:highlight w:val="none"/>
              </w:rPr>
              <w:t>1</w:t>
            </w:r>
          </w:p>
        </w:tc>
        <w:tc>
          <w:tcPr>
            <w:tcW w:w="4060" w:type="dxa"/>
            <w:noWrap w:val="0"/>
            <w:vAlign w:val="center"/>
          </w:tcPr>
          <w:p w14:paraId="4B6AB126">
            <w:pPr>
              <w:shd w:val="clear"/>
              <w:adjustRightInd w:val="0"/>
              <w:spacing w:line="240" w:lineRule="auto"/>
              <w:ind w:firstLine="0" w:firstLineChars="0"/>
              <w:jc w:val="both"/>
              <w:rPr>
                <w:color w:val="auto"/>
                <w:highlight w:val="none"/>
              </w:rPr>
            </w:pPr>
            <w:r>
              <w:rPr>
                <w:rFonts w:hint="eastAsia"/>
                <w:color w:val="auto"/>
                <w:highlight w:val="none"/>
              </w:rPr>
              <w:t>进、出口烟囱CEMS平台</w:t>
            </w:r>
          </w:p>
        </w:tc>
        <w:tc>
          <w:tcPr>
            <w:tcW w:w="1669" w:type="dxa"/>
            <w:noWrap w:val="0"/>
            <w:vAlign w:val="center"/>
          </w:tcPr>
          <w:p w14:paraId="408A8761">
            <w:pPr>
              <w:shd w:val="clear"/>
              <w:adjustRightInd w:val="0"/>
              <w:spacing w:line="240" w:lineRule="auto"/>
              <w:rPr>
                <w:color w:val="auto"/>
                <w:highlight w:val="none"/>
              </w:rPr>
            </w:pPr>
            <w:r>
              <w:rPr>
                <w:rFonts w:hint="eastAsia"/>
                <w:color w:val="auto"/>
                <w:highlight w:val="none"/>
                <w:lang w:val="en-US" w:eastAsia="zh-CN"/>
              </w:rPr>
              <w:t>4</w:t>
            </w:r>
            <w:r>
              <w:rPr>
                <w:rFonts w:hint="eastAsia"/>
                <w:color w:val="auto"/>
                <w:highlight w:val="none"/>
              </w:rPr>
              <w:t>台</w:t>
            </w:r>
          </w:p>
        </w:tc>
        <w:tc>
          <w:tcPr>
            <w:tcW w:w="1346" w:type="dxa"/>
            <w:noWrap w:val="0"/>
            <w:vAlign w:val="center"/>
          </w:tcPr>
          <w:p w14:paraId="3222A679">
            <w:pPr>
              <w:shd w:val="clear"/>
              <w:adjustRightInd w:val="0"/>
              <w:spacing w:line="240" w:lineRule="auto"/>
              <w:jc w:val="center"/>
              <w:rPr>
                <w:color w:val="auto"/>
                <w:highlight w:val="none"/>
                <w:lang w:val="ru-RU"/>
              </w:rPr>
            </w:pPr>
          </w:p>
        </w:tc>
      </w:tr>
      <w:tr w14:paraId="26EA0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23" w:type="dxa"/>
            <w:noWrap w:val="0"/>
            <w:vAlign w:val="center"/>
          </w:tcPr>
          <w:p w14:paraId="5A0F48DD">
            <w:pPr>
              <w:shd w:val="clear"/>
              <w:adjustRightInd w:val="0"/>
              <w:spacing w:line="240" w:lineRule="auto"/>
              <w:ind w:firstLine="0" w:firstLineChars="0"/>
              <w:jc w:val="both"/>
              <w:rPr>
                <w:rFonts w:ascii="Times New Roman" w:hAnsi="Times New Roman" w:cs="Times New Roman"/>
                <w:color w:val="auto"/>
                <w:highlight w:val="none"/>
              </w:rPr>
            </w:pPr>
            <w:r>
              <w:rPr>
                <w:rFonts w:hint="eastAsia" w:ascii="Times New Roman" w:hAnsi="Times New Roman" w:cs="Times New Roman"/>
                <w:color w:val="auto"/>
                <w:highlight w:val="none"/>
              </w:rPr>
              <w:t>10</w:t>
            </w:r>
          </w:p>
        </w:tc>
        <w:tc>
          <w:tcPr>
            <w:tcW w:w="4060" w:type="dxa"/>
            <w:noWrap w:val="0"/>
            <w:vAlign w:val="center"/>
          </w:tcPr>
          <w:p w14:paraId="36146C08">
            <w:pPr>
              <w:shd w:val="clear"/>
              <w:adjustRightInd w:val="0"/>
              <w:spacing w:line="240" w:lineRule="auto"/>
              <w:ind w:firstLine="0" w:firstLineChars="0"/>
              <w:jc w:val="both"/>
              <w:rPr>
                <w:rFonts w:hint="eastAsia" w:eastAsia="宋体"/>
                <w:color w:val="auto"/>
                <w:highlight w:val="none"/>
                <w:lang w:val="en-US" w:eastAsia="zh-CN"/>
              </w:rPr>
            </w:pPr>
            <w:r>
              <w:rPr>
                <w:rFonts w:hint="eastAsia"/>
                <w:color w:val="auto"/>
                <w:highlight w:val="none"/>
              </w:rPr>
              <w:t>CEMS小</w:t>
            </w:r>
            <w:r>
              <w:rPr>
                <w:rFonts w:hint="eastAsia"/>
                <w:color w:val="auto"/>
                <w:highlight w:val="none"/>
                <w:lang w:val="en-US" w:eastAsia="zh-CN"/>
              </w:rPr>
              <w:t>房</w:t>
            </w:r>
          </w:p>
        </w:tc>
        <w:tc>
          <w:tcPr>
            <w:tcW w:w="1669" w:type="dxa"/>
            <w:noWrap w:val="0"/>
            <w:vAlign w:val="center"/>
          </w:tcPr>
          <w:p w14:paraId="0E6A6802">
            <w:pPr>
              <w:shd w:val="clear"/>
              <w:adjustRightInd w:val="0"/>
              <w:spacing w:line="240" w:lineRule="auto"/>
              <w:rPr>
                <w:color w:val="auto"/>
                <w:highlight w:val="none"/>
              </w:rPr>
            </w:pPr>
            <w:r>
              <w:rPr>
                <w:rFonts w:hint="eastAsia"/>
                <w:color w:val="auto"/>
                <w:highlight w:val="none"/>
                <w:lang w:val="en-US" w:eastAsia="zh-CN"/>
              </w:rPr>
              <w:t>4</w:t>
            </w:r>
            <w:r>
              <w:rPr>
                <w:rFonts w:hint="eastAsia"/>
                <w:color w:val="auto"/>
                <w:highlight w:val="none"/>
              </w:rPr>
              <w:t>台</w:t>
            </w:r>
          </w:p>
        </w:tc>
        <w:tc>
          <w:tcPr>
            <w:tcW w:w="1346" w:type="dxa"/>
            <w:noWrap w:val="0"/>
            <w:vAlign w:val="center"/>
          </w:tcPr>
          <w:p w14:paraId="38C60749">
            <w:pPr>
              <w:shd w:val="clear"/>
              <w:adjustRightInd w:val="0"/>
              <w:spacing w:line="240" w:lineRule="auto"/>
              <w:jc w:val="center"/>
              <w:rPr>
                <w:color w:val="auto"/>
                <w:highlight w:val="none"/>
              </w:rPr>
            </w:pPr>
          </w:p>
        </w:tc>
      </w:tr>
      <w:tr w14:paraId="40F40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23" w:type="dxa"/>
            <w:noWrap w:val="0"/>
            <w:vAlign w:val="center"/>
          </w:tcPr>
          <w:p w14:paraId="6B274558">
            <w:pPr>
              <w:shd w:val="clear"/>
              <w:adjustRightInd w:val="0"/>
              <w:spacing w:line="240" w:lineRule="auto"/>
              <w:ind w:firstLine="0" w:firstLineChars="0"/>
              <w:jc w:val="both"/>
              <w:rPr>
                <w:rFonts w:ascii="Times New Roman" w:hAnsi="Times New Roman" w:cs="Times New Roman"/>
                <w:color w:val="auto"/>
                <w:highlight w:val="none"/>
              </w:rPr>
            </w:pPr>
            <w:r>
              <w:rPr>
                <w:rFonts w:hint="eastAsia" w:ascii="Times New Roman" w:hAnsi="Times New Roman" w:cs="Times New Roman"/>
                <w:color w:val="auto"/>
                <w:highlight w:val="none"/>
              </w:rPr>
              <w:t>12</w:t>
            </w:r>
          </w:p>
        </w:tc>
        <w:tc>
          <w:tcPr>
            <w:tcW w:w="4060" w:type="dxa"/>
            <w:noWrap w:val="0"/>
            <w:vAlign w:val="center"/>
          </w:tcPr>
          <w:p w14:paraId="7E8D3A59">
            <w:pPr>
              <w:shd w:val="clear"/>
              <w:adjustRightInd w:val="0"/>
              <w:spacing w:line="240" w:lineRule="auto"/>
              <w:ind w:firstLine="0" w:firstLineChars="0"/>
              <w:jc w:val="both"/>
              <w:rPr>
                <w:color w:val="auto"/>
                <w:highlight w:val="none"/>
              </w:rPr>
            </w:pPr>
            <w:r>
              <w:rPr>
                <w:rFonts w:hint="eastAsia" w:ascii="Times New Roman" w:hAnsi="Times New Roman" w:cs="Times New Roman"/>
                <w:color w:val="auto"/>
                <w:highlight w:val="none"/>
              </w:rPr>
              <w:t>高炉粗煤气系统新增仓泵卸灰处</w:t>
            </w:r>
          </w:p>
        </w:tc>
        <w:tc>
          <w:tcPr>
            <w:tcW w:w="1669" w:type="dxa"/>
            <w:noWrap w:val="0"/>
            <w:vAlign w:val="center"/>
          </w:tcPr>
          <w:p w14:paraId="4090DDB2">
            <w:pPr>
              <w:shd w:val="clear"/>
              <w:adjustRightInd w:val="0"/>
              <w:spacing w:line="240" w:lineRule="auto"/>
              <w:rPr>
                <w:color w:val="auto"/>
                <w:highlight w:val="none"/>
              </w:rPr>
            </w:pPr>
            <w:r>
              <w:rPr>
                <w:rFonts w:hint="eastAsia"/>
                <w:color w:val="auto"/>
                <w:highlight w:val="none"/>
              </w:rPr>
              <w:t>4台</w:t>
            </w:r>
          </w:p>
        </w:tc>
        <w:tc>
          <w:tcPr>
            <w:tcW w:w="1346" w:type="dxa"/>
            <w:noWrap w:val="0"/>
            <w:vAlign w:val="center"/>
          </w:tcPr>
          <w:p w14:paraId="03FD593E">
            <w:pPr>
              <w:shd w:val="clear"/>
              <w:adjustRightInd w:val="0"/>
              <w:spacing w:line="240" w:lineRule="auto"/>
              <w:jc w:val="center"/>
              <w:rPr>
                <w:color w:val="auto"/>
                <w:highlight w:val="none"/>
              </w:rPr>
            </w:pPr>
          </w:p>
        </w:tc>
      </w:tr>
      <w:tr w14:paraId="6E380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23" w:type="dxa"/>
            <w:noWrap w:val="0"/>
            <w:vAlign w:val="center"/>
          </w:tcPr>
          <w:p w14:paraId="5AB66698">
            <w:pPr>
              <w:shd w:val="clear"/>
              <w:adjustRightInd w:val="0"/>
              <w:spacing w:line="240" w:lineRule="auto"/>
              <w:ind w:firstLine="0" w:firstLineChars="0"/>
              <w:jc w:val="both"/>
              <w:rPr>
                <w:rFonts w:ascii="Times New Roman" w:hAnsi="Times New Roman" w:cs="Times New Roman"/>
                <w:color w:val="auto"/>
                <w:highlight w:val="none"/>
              </w:rPr>
            </w:pPr>
            <w:r>
              <w:rPr>
                <w:rFonts w:hint="eastAsia" w:ascii="Times New Roman" w:hAnsi="Times New Roman" w:cs="Times New Roman"/>
                <w:color w:val="auto"/>
                <w:highlight w:val="none"/>
              </w:rPr>
              <w:t>13</w:t>
            </w:r>
          </w:p>
        </w:tc>
        <w:tc>
          <w:tcPr>
            <w:tcW w:w="4060" w:type="dxa"/>
            <w:noWrap w:val="0"/>
            <w:vAlign w:val="center"/>
          </w:tcPr>
          <w:p w14:paraId="34F79F6E">
            <w:pPr>
              <w:shd w:val="clear"/>
              <w:adjustRightInd w:val="0"/>
              <w:spacing w:line="240" w:lineRule="auto"/>
              <w:ind w:firstLine="0" w:firstLineChars="0"/>
              <w:jc w:val="both"/>
              <w:rPr>
                <w:color w:val="auto"/>
                <w:highlight w:val="none"/>
              </w:rPr>
            </w:pPr>
            <w:r>
              <w:rPr>
                <w:rFonts w:hint="eastAsia" w:ascii="Times New Roman" w:hAnsi="Times New Roman" w:cs="Times New Roman"/>
                <w:color w:val="auto"/>
                <w:highlight w:val="none"/>
              </w:rPr>
              <w:t>高炉粗煤气系统新增灰仓卸灰处</w:t>
            </w:r>
          </w:p>
        </w:tc>
        <w:tc>
          <w:tcPr>
            <w:tcW w:w="1669" w:type="dxa"/>
            <w:noWrap w:val="0"/>
            <w:vAlign w:val="center"/>
          </w:tcPr>
          <w:p w14:paraId="03CE0D35">
            <w:pPr>
              <w:shd w:val="clear"/>
              <w:adjustRightInd w:val="0"/>
              <w:spacing w:line="240" w:lineRule="auto"/>
              <w:rPr>
                <w:color w:val="auto"/>
                <w:highlight w:val="none"/>
              </w:rPr>
            </w:pPr>
            <w:r>
              <w:rPr>
                <w:rFonts w:hint="eastAsia"/>
                <w:color w:val="auto"/>
                <w:highlight w:val="none"/>
              </w:rPr>
              <w:t>2台</w:t>
            </w:r>
          </w:p>
        </w:tc>
        <w:tc>
          <w:tcPr>
            <w:tcW w:w="1346" w:type="dxa"/>
            <w:noWrap w:val="0"/>
            <w:vAlign w:val="center"/>
          </w:tcPr>
          <w:p w14:paraId="567B0556">
            <w:pPr>
              <w:shd w:val="clear"/>
              <w:adjustRightInd w:val="0"/>
              <w:spacing w:line="240" w:lineRule="auto"/>
              <w:jc w:val="center"/>
              <w:rPr>
                <w:color w:val="auto"/>
                <w:highlight w:val="none"/>
              </w:rPr>
            </w:pPr>
          </w:p>
        </w:tc>
      </w:tr>
      <w:tr w14:paraId="0AA7B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23" w:type="dxa"/>
            <w:noWrap w:val="0"/>
            <w:vAlign w:val="center"/>
          </w:tcPr>
          <w:p w14:paraId="791742A5">
            <w:pPr>
              <w:shd w:val="clear"/>
              <w:adjustRightInd w:val="0"/>
              <w:spacing w:line="240" w:lineRule="auto"/>
              <w:ind w:firstLine="0" w:firstLineChars="0"/>
              <w:jc w:val="both"/>
              <w:rPr>
                <w:rFonts w:ascii="Times New Roman" w:hAnsi="Times New Roman" w:cs="Times New Roman"/>
                <w:color w:val="auto"/>
                <w:highlight w:val="none"/>
              </w:rPr>
            </w:pPr>
            <w:r>
              <w:rPr>
                <w:rFonts w:hint="eastAsia" w:ascii="Times New Roman" w:hAnsi="Times New Roman" w:cs="Times New Roman"/>
                <w:color w:val="auto"/>
                <w:highlight w:val="none"/>
              </w:rPr>
              <w:t>14</w:t>
            </w:r>
          </w:p>
        </w:tc>
        <w:tc>
          <w:tcPr>
            <w:tcW w:w="4060" w:type="dxa"/>
            <w:noWrap w:val="0"/>
            <w:vAlign w:val="center"/>
          </w:tcPr>
          <w:p w14:paraId="5C1DBCDA">
            <w:pPr>
              <w:shd w:val="clear"/>
              <w:adjustRightInd w:val="0"/>
              <w:spacing w:line="240" w:lineRule="auto"/>
              <w:ind w:firstLine="0" w:firstLineChars="0"/>
              <w:jc w:val="both"/>
              <w:rPr>
                <w:rFonts w:hint="default" w:eastAsia="宋体"/>
                <w:color w:val="auto"/>
                <w:highlight w:val="none"/>
                <w:lang w:val="en-US" w:eastAsia="zh-CN"/>
              </w:rPr>
            </w:pPr>
            <w:r>
              <w:rPr>
                <w:rFonts w:hint="eastAsia"/>
                <w:color w:val="auto"/>
                <w:highlight w:val="none"/>
                <w:lang w:val="en-US" w:eastAsia="zh-CN"/>
              </w:rPr>
              <w:t>煤气分析仪小房</w:t>
            </w:r>
          </w:p>
        </w:tc>
        <w:tc>
          <w:tcPr>
            <w:tcW w:w="1669" w:type="dxa"/>
            <w:noWrap w:val="0"/>
            <w:vAlign w:val="center"/>
          </w:tcPr>
          <w:p w14:paraId="40F4C100">
            <w:pPr>
              <w:shd w:val="clear"/>
              <w:adjustRightInd w:val="0"/>
              <w:spacing w:line="240" w:lineRule="auto"/>
              <w:rPr>
                <w:color w:val="auto"/>
                <w:highlight w:val="none"/>
              </w:rPr>
            </w:pPr>
            <w:r>
              <w:rPr>
                <w:rFonts w:hint="eastAsia"/>
                <w:color w:val="auto"/>
                <w:highlight w:val="none"/>
                <w:lang w:val="en-US" w:eastAsia="zh-CN"/>
              </w:rPr>
              <w:t>1</w:t>
            </w:r>
            <w:r>
              <w:rPr>
                <w:rFonts w:hint="eastAsia"/>
                <w:color w:val="auto"/>
                <w:highlight w:val="none"/>
              </w:rPr>
              <w:t>台</w:t>
            </w:r>
          </w:p>
        </w:tc>
        <w:tc>
          <w:tcPr>
            <w:tcW w:w="1346" w:type="dxa"/>
            <w:noWrap w:val="0"/>
            <w:vAlign w:val="center"/>
          </w:tcPr>
          <w:p w14:paraId="0DF07326">
            <w:pPr>
              <w:shd w:val="clear"/>
              <w:adjustRightInd w:val="0"/>
              <w:spacing w:line="240" w:lineRule="auto"/>
              <w:jc w:val="center"/>
              <w:rPr>
                <w:color w:val="auto"/>
                <w:highlight w:val="none"/>
              </w:rPr>
            </w:pPr>
          </w:p>
        </w:tc>
      </w:tr>
      <w:tr w14:paraId="1CCD8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23" w:type="dxa"/>
            <w:noWrap w:val="0"/>
            <w:vAlign w:val="center"/>
          </w:tcPr>
          <w:p w14:paraId="128FA6B5">
            <w:pPr>
              <w:shd w:val="clear"/>
              <w:adjustRightInd w:val="0"/>
              <w:spacing w:line="240" w:lineRule="auto"/>
              <w:ind w:firstLine="0" w:firstLineChars="0"/>
              <w:jc w:val="both"/>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15</w:t>
            </w:r>
          </w:p>
        </w:tc>
        <w:tc>
          <w:tcPr>
            <w:tcW w:w="4060" w:type="dxa"/>
            <w:noWrap w:val="0"/>
            <w:vAlign w:val="center"/>
          </w:tcPr>
          <w:p w14:paraId="6C9DBA5F">
            <w:pPr>
              <w:shd w:val="clear"/>
              <w:adjustRightInd w:val="0"/>
              <w:spacing w:line="240" w:lineRule="auto"/>
              <w:ind w:firstLine="0" w:firstLineChars="0"/>
              <w:jc w:val="both"/>
              <w:rPr>
                <w:rFonts w:hint="default" w:eastAsia="宋体"/>
                <w:color w:val="auto"/>
                <w:highlight w:val="none"/>
                <w:lang w:val="en-US" w:eastAsia="zh-CN"/>
              </w:rPr>
            </w:pPr>
            <w:r>
              <w:rPr>
                <w:rFonts w:hint="eastAsia"/>
                <w:color w:val="auto"/>
                <w:highlight w:val="none"/>
                <w:lang w:val="en-US" w:eastAsia="zh-CN"/>
              </w:rPr>
              <w:t>均压煤气回收筒体区域</w:t>
            </w:r>
          </w:p>
        </w:tc>
        <w:tc>
          <w:tcPr>
            <w:tcW w:w="1669" w:type="dxa"/>
            <w:noWrap w:val="0"/>
            <w:vAlign w:val="center"/>
          </w:tcPr>
          <w:p w14:paraId="218BFD8F">
            <w:pPr>
              <w:shd w:val="clear"/>
              <w:adjustRightInd w:val="0"/>
              <w:spacing w:line="240" w:lineRule="auto"/>
              <w:rPr>
                <w:rFonts w:hint="default" w:eastAsia="宋体"/>
                <w:color w:val="auto"/>
                <w:highlight w:val="none"/>
                <w:lang w:val="en-US" w:eastAsia="zh-CN"/>
              </w:rPr>
            </w:pPr>
            <w:r>
              <w:rPr>
                <w:rFonts w:hint="eastAsia"/>
                <w:color w:val="auto"/>
                <w:highlight w:val="none"/>
                <w:lang w:val="en-US" w:eastAsia="zh-CN"/>
              </w:rPr>
              <w:t>4台</w:t>
            </w:r>
          </w:p>
        </w:tc>
        <w:tc>
          <w:tcPr>
            <w:tcW w:w="1346" w:type="dxa"/>
            <w:noWrap w:val="0"/>
            <w:vAlign w:val="center"/>
          </w:tcPr>
          <w:p w14:paraId="165A4E54">
            <w:pPr>
              <w:shd w:val="clear"/>
              <w:adjustRightInd w:val="0"/>
              <w:spacing w:line="240" w:lineRule="auto"/>
              <w:jc w:val="center"/>
              <w:rPr>
                <w:color w:val="auto"/>
                <w:highlight w:val="none"/>
              </w:rPr>
            </w:pPr>
          </w:p>
        </w:tc>
      </w:tr>
      <w:tr w14:paraId="78EB5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23" w:type="dxa"/>
            <w:noWrap w:val="0"/>
            <w:vAlign w:val="center"/>
          </w:tcPr>
          <w:p w14:paraId="4CD9D36B">
            <w:pPr>
              <w:shd w:val="clear"/>
              <w:adjustRightInd w:val="0"/>
              <w:spacing w:line="240" w:lineRule="auto"/>
              <w:ind w:firstLine="0" w:firstLineChars="0"/>
              <w:jc w:val="both"/>
              <w:rPr>
                <w:rFonts w:ascii="Times New Roman" w:hAnsi="Times New Roman" w:cs="Times New Roman"/>
                <w:color w:val="auto"/>
                <w:highlight w:val="none"/>
              </w:rPr>
            </w:pPr>
          </w:p>
        </w:tc>
        <w:tc>
          <w:tcPr>
            <w:tcW w:w="4060" w:type="dxa"/>
            <w:noWrap w:val="0"/>
            <w:vAlign w:val="center"/>
          </w:tcPr>
          <w:p w14:paraId="76211EA5">
            <w:pPr>
              <w:shd w:val="clear"/>
              <w:adjustRightInd w:val="0"/>
              <w:spacing w:line="240" w:lineRule="auto"/>
              <w:ind w:firstLine="0" w:firstLineChars="0"/>
              <w:jc w:val="both"/>
              <w:rPr>
                <w:color w:val="auto"/>
                <w:highlight w:val="none"/>
              </w:rPr>
            </w:pPr>
            <w:r>
              <w:rPr>
                <w:rFonts w:hint="eastAsia"/>
                <w:color w:val="auto"/>
                <w:highlight w:val="none"/>
              </w:rPr>
              <w:t>合计</w:t>
            </w:r>
          </w:p>
        </w:tc>
        <w:tc>
          <w:tcPr>
            <w:tcW w:w="1669" w:type="dxa"/>
            <w:noWrap w:val="0"/>
            <w:vAlign w:val="center"/>
          </w:tcPr>
          <w:p w14:paraId="0D2F6436">
            <w:pPr>
              <w:shd w:val="clear"/>
              <w:adjustRightInd w:val="0"/>
              <w:spacing w:line="240" w:lineRule="auto"/>
              <w:rPr>
                <w:color w:val="auto"/>
                <w:highlight w:val="none"/>
              </w:rPr>
            </w:pPr>
            <w:r>
              <w:rPr>
                <w:rFonts w:hint="eastAsia"/>
                <w:color w:val="auto"/>
                <w:highlight w:val="none"/>
                <w:lang w:val="en-US" w:eastAsia="zh-CN"/>
              </w:rPr>
              <w:t>23</w:t>
            </w:r>
            <w:r>
              <w:rPr>
                <w:rFonts w:hint="eastAsia"/>
                <w:color w:val="auto"/>
                <w:highlight w:val="none"/>
              </w:rPr>
              <w:t>台</w:t>
            </w:r>
          </w:p>
        </w:tc>
        <w:tc>
          <w:tcPr>
            <w:tcW w:w="1346" w:type="dxa"/>
            <w:noWrap w:val="0"/>
            <w:vAlign w:val="center"/>
          </w:tcPr>
          <w:p w14:paraId="6F09757C">
            <w:pPr>
              <w:shd w:val="clear"/>
              <w:adjustRightInd w:val="0"/>
              <w:spacing w:line="240" w:lineRule="auto"/>
              <w:jc w:val="center"/>
              <w:rPr>
                <w:color w:val="auto"/>
                <w:highlight w:val="none"/>
              </w:rPr>
            </w:pPr>
          </w:p>
        </w:tc>
      </w:tr>
    </w:tbl>
    <w:p w14:paraId="0CBF65E1">
      <w:pPr>
        <w:pStyle w:val="451"/>
        <w:shd w:val="clear"/>
        <w:outlineLvl w:val="9"/>
        <w:rPr>
          <w:rFonts w:cs="Arial"/>
          <w:color w:val="auto"/>
          <w:highlight w:val="none"/>
        </w:rPr>
      </w:pPr>
      <w:r>
        <w:rPr>
          <w:rFonts w:hint="eastAsia" w:cs="Arial"/>
          <w:color w:val="auto"/>
          <w:highlight w:val="none"/>
        </w:rPr>
        <w:br w:type="page"/>
      </w:r>
    </w:p>
    <w:p w14:paraId="76793A9A">
      <w:pPr>
        <w:pStyle w:val="416"/>
        <w:shd w:val="clear"/>
        <w:ind w:firstLine="0" w:firstLineChars="0"/>
        <w:rPr>
          <w:color w:val="auto"/>
          <w:highlight w:val="none"/>
        </w:rPr>
      </w:pPr>
      <w:bookmarkStart w:id="861" w:name="_Toc17775"/>
      <w:bookmarkStart w:id="862" w:name="_Toc3726"/>
      <w:bookmarkStart w:id="863" w:name="_Toc21586"/>
      <w:bookmarkStart w:id="864" w:name="_Toc3702"/>
      <w:bookmarkStart w:id="865" w:name="_Toc20550"/>
      <w:bookmarkStart w:id="866" w:name="_Toc23788"/>
      <w:r>
        <w:rPr>
          <w:rFonts w:hint="eastAsia"/>
          <w:color w:val="auto"/>
          <w:highlight w:val="none"/>
        </w:rPr>
        <w:t>11 过程检测和控制</w:t>
      </w:r>
      <w:bookmarkEnd w:id="860"/>
      <w:bookmarkEnd w:id="861"/>
      <w:bookmarkEnd w:id="862"/>
      <w:bookmarkEnd w:id="863"/>
      <w:bookmarkEnd w:id="864"/>
      <w:bookmarkEnd w:id="865"/>
      <w:bookmarkEnd w:id="866"/>
    </w:p>
    <w:p w14:paraId="17C0E367">
      <w:pPr>
        <w:shd w:val="clear"/>
        <w:ind w:firstLine="0" w:firstLineChars="0"/>
        <w:outlineLvl w:val="1"/>
        <w:rPr>
          <w:rFonts w:cs="Times New Roman"/>
          <w:b/>
          <w:color w:val="auto"/>
          <w:sz w:val="28"/>
          <w:szCs w:val="28"/>
          <w:highlight w:val="none"/>
        </w:rPr>
      </w:pPr>
      <w:bookmarkStart w:id="867" w:name="_Toc24308"/>
      <w:bookmarkStart w:id="868" w:name="_Toc15667"/>
      <w:bookmarkStart w:id="869" w:name="_Toc16676"/>
      <w:bookmarkStart w:id="870" w:name="_Toc26486"/>
      <w:bookmarkStart w:id="871" w:name="_Toc27170"/>
      <w:bookmarkStart w:id="872" w:name="_Toc27074"/>
      <w:r>
        <w:rPr>
          <w:rFonts w:hint="eastAsia" w:cs="Times New Roman"/>
          <w:b/>
          <w:color w:val="auto"/>
          <w:sz w:val="28"/>
          <w:szCs w:val="28"/>
          <w:highlight w:val="none"/>
        </w:rPr>
        <w:t>11.1工程概述</w:t>
      </w:r>
      <w:bookmarkEnd w:id="867"/>
      <w:bookmarkEnd w:id="868"/>
      <w:bookmarkEnd w:id="869"/>
      <w:bookmarkEnd w:id="870"/>
      <w:bookmarkEnd w:id="871"/>
      <w:bookmarkEnd w:id="872"/>
    </w:p>
    <w:p w14:paraId="46645AAC">
      <w:pPr>
        <w:shd w:val="clear"/>
        <w:rPr>
          <w:rFonts w:ascii="Times New Roman"/>
          <w:color w:val="auto"/>
          <w:highlight w:val="none"/>
        </w:rPr>
      </w:pPr>
      <w:r>
        <w:rPr>
          <w:rFonts w:hint="eastAsia" w:ascii="Times New Roman"/>
          <w:color w:val="auto"/>
          <w:highlight w:val="none"/>
        </w:rPr>
        <w:t>过程检测与控制是</w:t>
      </w:r>
      <w:r>
        <w:rPr>
          <w:rFonts w:ascii="Times New Roman"/>
          <w:color w:val="auto"/>
          <w:highlight w:val="none"/>
        </w:rPr>
        <w:t>根据自动化、仪表的设计技术规范和工艺要求进行的，范围包括</w:t>
      </w:r>
      <w:r>
        <w:rPr>
          <w:rFonts w:hint="eastAsia" w:cs="Times New Roman"/>
          <w:bCs/>
          <w:color w:val="auto"/>
          <w:highlight w:val="none"/>
        </w:rPr>
        <w:t>2号高炉改造项目</w:t>
      </w:r>
      <w:r>
        <w:rPr>
          <w:rFonts w:ascii="Times New Roman"/>
          <w:color w:val="auto"/>
          <w:highlight w:val="none"/>
        </w:rPr>
        <w:t>范围内的过程检测与控制内容。</w:t>
      </w:r>
    </w:p>
    <w:p w14:paraId="116A1DD1">
      <w:pPr>
        <w:shd w:val="clear"/>
        <w:rPr>
          <w:rFonts w:ascii="Times New Roman"/>
          <w:color w:val="auto"/>
          <w:highlight w:val="none"/>
        </w:rPr>
      </w:pPr>
      <w:r>
        <w:rPr>
          <w:rFonts w:ascii="Times New Roman"/>
          <w:color w:val="auto"/>
          <w:highlight w:val="none"/>
        </w:rPr>
        <w:t>本篇章设计的内容重点是监控炼铁生产工艺流程中设备的运行情况，使之能运行在最佳状态，并保证机组的正常、安全、经济运行。</w:t>
      </w:r>
    </w:p>
    <w:p w14:paraId="720AFEF4">
      <w:pPr>
        <w:shd w:val="clear"/>
        <w:rPr>
          <w:rFonts w:ascii="Times New Roman"/>
          <w:color w:val="auto"/>
          <w:highlight w:val="none"/>
        </w:rPr>
      </w:pPr>
      <w:r>
        <w:rPr>
          <w:rFonts w:ascii="Times New Roman"/>
          <w:color w:val="auto"/>
          <w:highlight w:val="none"/>
        </w:rPr>
        <w:t>主要系统有：</w:t>
      </w:r>
      <w:r>
        <w:rPr>
          <w:rFonts w:hint="eastAsia" w:ascii="Arial" w:hAnsi="Arial"/>
          <w:color w:val="auto"/>
          <w:szCs w:val="21"/>
          <w:highlight w:val="none"/>
        </w:rPr>
        <w:t>高炉矿焦槽</w:t>
      </w:r>
      <w:r>
        <w:rPr>
          <w:rFonts w:hint="eastAsia" w:ascii="Times New Roman"/>
          <w:color w:val="auto"/>
          <w:highlight w:val="none"/>
        </w:rPr>
        <w:t>、</w:t>
      </w:r>
      <w:r>
        <w:rPr>
          <w:rFonts w:hint="eastAsia" w:cs="Times New Roman"/>
          <w:color w:val="auto"/>
          <w:highlight w:val="none"/>
        </w:rPr>
        <w:t>炉顶装料系统</w:t>
      </w:r>
      <w:r>
        <w:rPr>
          <w:rFonts w:hint="eastAsia" w:ascii="Times New Roman"/>
          <w:color w:val="auto"/>
          <w:highlight w:val="none"/>
        </w:rPr>
        <w:t>、粗煤气系统、高炉本体及水冷系统、渣处理系统、热风炉系统、氧气调压站、煤粉喷吹系统、煤气干法除尘系统、均压煤气回收系统、循环冷却水系统、矿焦槽除尘、出铁场除尘系统、厂区内部管线。</w:t>
      </w:r>
    </w:p>
    <w:p w14:paraId="699A934C">
      <w:pPr>
        <w:shd w:val="clear"/>
        <w:ind w:firstLine="0" w:firstLineChars="0"/>
        <w:outlineLvl w:val="1"/>
        <w:rPr>
          <w:rFonts w:cs="Times New Roman"/>
          <w:b/>
          <w:color w:val="auto"/>
          <w:sz w:val="28"/>
          <w:szCs w:val="28"/>
          <w:highlight w:val="none"/>
        </w:rPr>
      </w:pPr>
      <w:bookmarkStart w:id="873" w:name="_Toc11327"/>
      <w:bookmarkStart w:id="874" w:name="_Toc2689"/>
      <w:bookmarkStart w:id="875" w:name="_Toc26079"/>
      <w:bookmarkStart w:id="876" w:name="_Toc18045"/>
      <w:bookmarkStart w:id="877" w:name="_Toc5015"/>
      <w:bookmarkStart w:id="878" w:name="_Toc25592"/>
      <w:r>
        <w:rPr>
          <w:rFonts w:hint="eastAsia" w:cs="Times New Roman"/>
          <w:b/>
          <w:color w:val="auto"/>
          <w:sz w:val="28"/>
          <w:szCs w:val="28"/>
          <w:highlight w:val="none"/>
        </w:rPr>
        <w:t>11.2 设计原则</w:t>
      </w:r>
      <w:bookmarkEnd w:id="873"/>
      <w:bookmarkEnd w:id="874"/>
      <w:bookmarkEnd w:id="875"/>
      <w:bookmarkEnd w:id="876"/>
      <w:bookmarkEnd w:id="877"/>
      <w:bookmarkEnd w:id="878"/>
    </w:p>
    <w:p w14:paraId="60732CFC">
      <w:pPr>
        <w:shd w:val="clear"/>
        <w:rPr>
          <w:rFonts w:ascii="Times New Roman"/>
          <w:color w:val="auto"/>
          <w:highlight w:val="none"/>
        </w:rPr>
      </w:pPr>
      <w:r>
        <w:rPr>
          <w:rFonts w:ascii="Times New Roman"/>
          <w:color w:val="auto"/>
          <w:highlight w:val="none"/>
        </w:rPr>
        <w:t>过程检测与控制设备以先进、实用、可靠为原则，所选用的设备材料均充分考虑当地环境要求，以确保工艺生产的正常进行和生产产品的质量，各系统的过程检测与控制信号接入就近的PLC系统，就地采集、就地控制，并将信号传至控制室。</w:t>
      </w:r>
    </w:p>
    <w:p w14:paraId="1E2E525E">
      <w:pPr>
        <w:shd w:val="clear"/>
        <w:rPr>
          <w:rFonts w:ascii="Times New Roman"/>
          <w:color w:val="auto"/>
          <w:highlight w:val="none"/>
        </w:rPr>
      </w:pPr>
      <w:r>
        <w:rPr>
          <w:rFonts w:ascii="Times New Roman"/>
          <w:color w:val="auto"/>
          <w:highlight w:val="none"/>
        </w:rPr>
        <w:t>过程检测与控制设备的选型、配置充分考虑工况波动情况，测量能力与实际产能相匹配，关键测点采用冗余检测；与安全、质量、成本核算紧密关联的测点，采用在线连续检测。</w:t>
      </w:r>
    </w:p>
    <w:p w14:paraId="06D139CC">
      <w:pPr>
        <w:shd w:val="clear"/>
        <w:ind w:firstLine="0" w:firstLineChars="0"/>
        <w:outlineLvl w:val="1"/>
        <w:rPr>
          <w:rFonts w:cs="Times New Roman"/>
          <w:b/>
          <w:color w:val="auto"/>
          <w:sz w:val="28"/>
          <w:szCs w:val="28"/>
          <w:highlight w:val="none"/>
        </w:rPr>
      </w:pPr>
      <w:bookmarkStart w:id="879" w:name="_Toc26482"/>
      <w:bookmarkStart w:id="880" w:name="_Toc7614"/>
      <w:bookmarkStart w:id="881" w:name="_Toc4280"/>
      <w:bookmarkStart w:id="882" w:name="_Toc4856"/>
      <w:bookmarkStart w:id="883" w:name="_Toc22370"/>
      <w:bookmarkStart w:id="884" w:name="_Toc20739"/>
      <w:r>
        <w:rPr>
          <w:rFonts w:hint="eastAsia" w:cs="Times New Roman"/>
          <w:b/>
          <w:color w:val="auto"/>
          <w:sz w:val="28"/>
          <w:szCs w:val="28"/>
          <w:highlight w:val="none"/>
        </w:rPr>
        <w:t>11.3 主要检测与控制内容</w:t>
      </w:r>
      <w:bookmarkEnd w:id="879"/>
      <w:bookmarkEnd w:id="880"/>
      <w:bookmarkEnd w:id="881"/>
      <w:bookmarkEnd w:id="882"/>
      <w:bookmarkEnd w:id="883"/>
      <w:bookmarkEnd w:id="884"/>
    </w:p>
    <w:p w14:paraId="3BC4FEEE">
      <w:pPr>
        <w:shd w:val="clear"/>
        <w:ind w:firstLine="0" w:firstLineChars="0"/>
        <w:outlineLvl w:val="2"/>
        <w:rPr>
          <w:rFonts w:cs="Times New Roman"/>
          <w:color w:val="auto"/>
          <w:szCs w:val="28"/>
          <w:highlight w:val="none"/>
        </w:rPr>
      </w:pPr>
      <w:r>
        <w:rPr>
          <w:rFonts w:hint="eastAsia" w:cs="Times New Roman"/>
          <w:color w:val="auto"/>
          <w:szCs w:val="28"/>
          <w:highlight w:val="none"/>
        </w:rPr>
        <w:t>11.3.1 高炉矿焦槽</w:t>
      </w:r>
    </w:p>
    <w:p w14:paraId="3A2B3DB6">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槽上2台卸料小车编码电缆定位系统更换，1台保护性拆除后恢复；</w:t>
      </w:r>
    </w:p>
    <w:p w14:paraId="5A20992E">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新增酸返仓、碱返仓</w:t>
      </w:r>
      <w:r>
        <w:rPr>
          <w:rFonts w:hint="eastAsia" w:ascii="Times New Roman"/>
          <w:color w:val="auto"/>
          <w:highlight w:val="none"/>
          <w:lang w:val="en-US" w:eastAsia="zh-CN"/>
        </w:rPr>
        <w:t>雷达</w:t>
      </w:r>
      <w:r>
        <w:rPr>
          <w:rFonts w:hint="eastAsia" w:ascii="Times New Roman"/>
          <w:color w:val="auto"/>
          <w:highlight w:val="none"/>
        </w:rPr>
        <w:t>料位计2台。</w:t>
      </w:r>
    </w:p>
    <w:p w14:paraId="13AA6787">
      <w:pPr>
        <w:shd w:val="clear"/>
        <w:rPr>
          <w:rFonts w:ascii="Times New Roman"/>
          <w:color w:val="auto"/>
          <w:highlight w:val="none"/>
        </w:rPr>
      </w:pPr>
      <w:r>
        <w:rPr>
          <w:rFonts w:hint="eastAsia" w:ascii="Times New Roman"/>
          <w:color w:val="auto"/>
          <w:highlight w:val="none"/>
        </w:rPr>
        <w:t>本系统其他仪表利旧。</w:t>
      </w:r>
    </w:p>
    <w:p w14:paraId="0A84E811">
      <w:pPr>
        <w:shd w:val="clear"/>
        <w:ind w:firstLine="0" w:firstLineChars="0"/>
        <w:outlineLvl w:val="2"/>
        <w:rPr>
          <w:rFonts w:cs="Times New Roman"/>
          <w:color w:val="auto"/>
          <w:szCs w:val="28"/>
          <w:highlight w:val="none"/>
        </w:rPr>
      </w:pPr>
      <w:r>
        <w:rPr>
          <w:rFonts w:hint="eastAsia" w:cs="Times New Roman"/>
          <w:color w:val="auto"/>
          <w:szCs w:val="28"/>
          <w:highlight w:val="none"/>
        </w:rPr>
        <w:t>11.3.2 炉顶装料系统</w:t>
      </w:r>
    </w:p>
    <w:p w14:paraId="7287F592">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炉顶上升管温度检测，4点更换；</w:t>
      </w:r>
    </w:p>
    <w:p w14:paraId="3DCD76AA">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炉顶顶压、料罐压力、密封箱压力配套的恒流吹扫装置、压力变送器及吹扫柜更换，原顶压</w:t>
      </w:r>
      <w:r>
        <w:rPr>
          <w:rFonts w:hint="eastAsia" w:ascii="Times New Roman"/>
          <w:color w:val="auto"/>
          <w:highlight w:val="none"/>
          <w:lang w:eastAsia="zh-CN"/>
        </w:rPr>
        <w:t>、</w:t>
      </w:r>
      <w:r>
        <w:rPr>
          <w:rFonts w:hint="eastAsia" w:ascii="Times New Roman"/>
          <w:color w:val="auto"/>
          <w:highlight w:val="none"/>
          <w:lang w:val="en-US" w:eastAsia="zh-CN"/>
        </w:rPr>
        <w:t>静压</w:t>
      </w:r>
      <w:r>
        <w:rPr>
          <w:rFonts w:hint="eastAsia" w:ascii="Times New Roman"/>
          <w:color w:val="auto"/>
          <w:highlight w:val="none"/>
        </w:rPr>
        <w:t>小房拆除；</w:t>
      </w:r>
    </w:p>
    <w:p w14:paraId="738702EE">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α角、β角、探尺、节流共8个总线型编码器更换高速计数型编码器，线缆同步更换；</w:t>
      </w:r>
    </w:p>
    <w:p w14:paraId="7FA8364E">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炉顶红外热成像仪</w:t>
      </w:r>
      <w:r>
        <w:rPr>
          <w:rFonts w:hint="eastAsia" w:ascii="Times New Roman"/>
          <w:color w:val="auto"/>
          <w:highlight w:val="none"/>
          <w:lang w:val="en-US" w:eastAsia="zh-CN"/>
        </w:rPr>
        <w:t>全套</w:t>
      </w:r>
      <w:r>
        <w:rPr>
          <w:rFonts w:hint="eastAsia" w:ascii="Times New Roman"/>
          <w:color w:val="auto"/>
          <w:highlight w:val="none"/>
        </w:rPr>
        <w:t>系统利旧</w:t>
      </w:r>
      <w:r>
        <w:rPr>
          <w:rFonts w:hint="eastAsia" w:ascii="Times New Roman"/>
          <w:color w:val="auto"/>
          <w:highlight w:val="none"/>
          <w:lang w:eastAsia="zh-CN"/>
        </w:rPr>
        <w:t>（</w:t>
      </w:r>
      <w:r>
        <w:rPr>
          <w:rFonts w:hint="eastAsia" w:ascii="Times New Roman"/>
          <w:color w:val="auto"/>
          <w:highlight w:val="none"/>
          <w:lang w:val="en-US" w:eastAsia="zh-CN"/>
        </w:rPr>
        <w:t>含电缆</w:t>
      </w:r>
      <w:r>
        <w:rPr>
          <w:rFonts w:hint="eastAsia" w:ascii="Times New Roman"/>
          <w:color w:val="auto"/>
          <w:highlight w:val="none"/>
          <w:lang w:eastAsia="zh-CN"/>
        </w:rPr>
        <w:t>）</w:t>
      </w:r>
      <w:r>
        <w:rPr>
          <w:rFonts w:hint="eastAsia" w:ascii="Times New Roman"/>
          <w:color w:val="auto"/>
          <w:highlight w:val="none"/>
        </w:rPr>
        <w:t>。</w:t>
      </w:r>
    </w:p>
    <w:p w14:paraId="0DE00F0E">
      <w:pPr>
        <w:numPr>
          <w:ilvl w:val="0"/>
          <w:numId w:val="30"/>
        </w:numPr>
        <w:ind w:left="0" w:firstLine="567" w:firstLineChars="0"/>
        <w:rPr>
          <w:rFonts w:hint="default" w:ascii="Times New Roman"/>
          <w:color w:val="FF0000"/>
          <w:highlight w:val="none"/>
          <w:lang w:val="en-US" w:eastAsia="zh-CN"/>
        </w:rPr>
      </w:pPr>
      <w:r>
        <w:rPr>
          <w:rFonts w:hint="eastAsia" w:ascii="Times New Roman"/>
          <w:color w:val="FF0000"/>
          <w:highlight w:val="none"/>
          <w:lang w:val="en-US" w:eastAsia="zh-CN"/>
        </w:rPr>
        <w:t>料面在线扫描检测装置。</w:t>
      </w:r>
    </w:p>
    <w:p w14:paraId="73FC2CC4">
      <w:pPr>
        <w:shd w:val="clear"/>
        <w:rPr>
          <w:rFonts w:ascii="Times New Roman"/>
          <w:color w:val="auto"/>
          <w:highlight w:val="none"/>
        </w:rPr>
      </w:pPr>
      <w:r>
        <w:rPr>
          <w:rFonts w:hint="eastAsia" w:ascii="Times New Roman"/>
          <w:color w:val="auto"/>
          <w:highlight w:val="none"/>
        </w:rPr>
        <w:t>本系统其它现场仪表利旧。</w:t>
      </w:r>
    </w:p>
    <w:p w14:paraId="33533B1B">
      <w:pPr>
        <w:shd w:val="clear"/>
        <w:ind w:firstLine="0" w:firstLineChars="0"/>
        <w:outlineLvl w:val="2"/>
        <w:rPr>
          <w:rFonts w:cs="Times New Roman"/>
          <w:color w:val="auto"/>
          <w:szCs w:val="28"/>
          <w:highlight w:val="none"/>
        </w:rPr>
      </w:pPr>
      <w:r>
        <w:rPr>
          <w:rFonts w:hint="eastAsia" w:cs="Times New Roman"/>
          <w:color w:val="auto"/>
          <w:szCs w:val="28"/>
          <w:highlight w:val="none"/>
        </w:rPr>
        <w:t>11.3.3 高炉本体及水冷系统</w:t>
      </w:r>
    </w:p>
    <w:p w14:paraId="4575AEEE">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炉底和炉缸侵蚀系统：炉底封板至炉缸第3层炭砖测温热电偶利旧、炉底第3层炭砖以上测温热电偶203支更换，更换部分的热电偶需要单独配套设计气密引出装置和端子接线箱，电缆需重新敷设；</w:t>
      </w:r>
    </w:p>
    <w:p w14:paraId="33314A8E">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冷却壁及炉喉测温系统：炉身冷却壁（8-12段）测温热电偶23支更换，对应电缆更换。新增炉喉钢砖测温热电偶4支，配套新增电缆，炉喉钢砖原有的4支测温热电偶更换，电缆利旧；</w:t>
      </w:r>
    </w:p>
    <w:p w14:paraId="3BFF07A3">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高炉热负荷监测系统：冷却壁间联管温度传感器更换200点，数据采集接收器升级，1~3段冷却壁温度传感器</w:t>
      </w:r>
      <w:r>
        <w:rPr>
          <w:rFonts w:hint="eastAsia" w:ascii="Times New Roman"/>
          <w:color w:val="auto"/>
          <w:highlight w:val="none"/>
          <w:lang w:val="en-US" w:eastAsia="zh-CN"/>
        </w:rPr>
        <w:t>更换</w:t>
      </w:r>
      <w:r>
        <w:rPr>
          <w:rFonts w:hint="eastAsia" w:ascii="Times New Roman"/>
          <w:color w:val="auto"/>
          <w:highlight w:val="none"/>
        </w:rPr>
        <w:t>120</w:t>
      </w:r>
      <w:r>
        <w:rPr>
          <w:rFonts w:hint="eastAsia" w:ascii="Times New Roman"/>
          <w:color w:val="auto"/>
          <w:highlight w:val="none"/>
          <w:lang w:val="en-US" w:eastAsia="zh-CN"/>
        </w:rPr>
        <w:t>点</w:t>
      </w:r>
      <w:r>
        <w:rPr>
          <w:rFonts w:hint="eastAsia" w:ascii="Times New Roman"/>
          <w:color w:val="auto"/>
          <w:highlight w:val="none"/>
        </w:rPr>
        <w:t>。</w:t>
      </w:r>
    </w:p>
    <w:p w14:paraId="1229CC5C">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风口检漏系统：风口小套进出水支管40台弯管流量计</w:t>
      </w:r>
      <w:r>
        <w:rPr>
          <w:rFonts w:hint="eastAsia" w:ascii="Times New Roman"/>
          <w:color w:val="auto"/>
          <w:highlight w:val="none"/>
          <w:lang w:eastAsia="zh-CN"/>
        </w:rPr>
        <w:t>（</w:t>
      </w:r>
      <w:r>
        <w:rPr>
          <w:rFonts w:hint="eastAsia" w:ascii="Times New Roman"/>
          <w:color w:val="auto"/>
          <w:highlight w:val="none"/>
          <w:lang w:val="en-US" w:eastAsia="zh-CN"/>
        </w:rPr>
        <w:t>配套差压</w:t>
      </w:r>
      <w:r>
        <w:rPr>
          <w:rFonts w:hint="eastAsia" w:ascii="Times New Roman"/>
          <w:color w:val="auto"/>
          <w:highlight w:val="none"/>
        </w:rPr>
        <w:t>变送器</w:t>
      </w:r>
      <w:r>
        <w:rPr>
          <w:rFonts w:hint="eastAsia" w:ascii="Times New Roman"/>
          <w:color w:val="auto"/>
          <w:highlight w:val="none"/>
          <w:lang w:eastAsia="zh-CN"/>
        </w:rPr>
        <w:t>）</w:t>
      </w:r>
      <w:r>
        <w:rPr>
          <w:rFonts w:hint="eastAsia" w:ascii="Times New Roman"/>
          <w:color w:val="auto"/>
          <w:highlight w:val="none"/>
        </w:rPr>
        <w:t>更换，增加</w:t>
      </w:r>
      <w:r>
        <w:rPr>
          <w:rFonts w:hint="eastAsia" w:ascii="Times New Roman"/>
          <w:color w:val="auto"/>
          <w:highlight w:val="none"/>
          <w:lang w:val="en-US" w:eastAsia="zh-CN"/>
        </w:rPr>
        <w:t>进水</w:t>
      </w:r>
      <w:r>
        <w:rPr>
          <w:rFonts w:hint="eastAsia" w:ascii="Times New Roman"/>
          <w:color w:val="auto"/>
          <w:highlight w:val="none"/>
        </w:rPr>
        <w:t>温度检测点</w:t>
      </w:r>
      <w:r>
        <w:rPr>
          <w:rFonts w:hint="eastAsia" w:ascii="Times New Roman"/>
          <w:color w:val="auto"/>
          <w:highlight w:val="none"/>
          <w:lang w:val="en-US" w:eastAsia="zh-CN"/>
        </w:rPr>
        <w:t>4个，回水</w:t>
      </w:r>
      <w:r>
        <w:rPr>
          <w:rFonts w:hint="eastAsia" w:ascii="Times New Roman"/>
          <w:color w:val="auto"/>
          <w:highlight w:val="none"/>
        </w:rPr>
        <w:t>温度检测点</w:t>
      </w:r>
      <w:r>
        <w:rPr>
          <w:rFonts w:hint="eastAsia" w:ascii="Times New Roman"/>
          <w:color w:val="auto"/>
          <w:highlight w:val="none"/>
          <w:lang w:val="en-US" w:eastAsia="zh-CN"/>
        </w:rPr>
        <w:t>20</w:t>
      </w:r>
      <w:r>
        <w:rPr>
          <w:rFonts w:hint="eastAsia" w:ascii="Times New Roman"/>
          <w:color w:val="auto"/>
          <w:highlight w:val="none"/>
        </w:rPr>
        <w:t>个。</w:t>
      </w:r>
    </w:p>
    <w:p w14:paraId="37769059">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水冷系统：</w:t>
      </w:r>
      <w:r>
        <w:rPr>
          <w:rFonts w:hint="eastAsia" w:cs="宋体"/>
          <w:color w:val="auto"/>
          <w:highlight w:val="none"/>
        </w:rPr>
        <w:t>更换流量计清单见下表。</w:t>
      </w:r>
    </w:p>
    <w:tbl>
      <w:tblPr>
        <w:tblStyle w:val="60"/>
        <w:tblW w:w="7934" w:type="dxa"/>
        <w:tblInd w:w="93" w:type="dxa"/>
        <w:tblLayout w:type="autofit"/>
        <w:tblCellMar>
          <w:top w:w="0" w:type="dxa"/>
          <w:left w:w="108" w:type="dxa"/>
          <w:bottom w:w="0" w:type="dxa"/>
          <w:right w:w="108" w:type="dxa"/>
        </w:tblCellMar>
      </w:tblPr>
      <w:tblGrid>
        <w:gridCol w:w="996"/>
        <w:gridCol w:w="4774"/>
        <w:gridCol w:w="1168"/>
        <w:gridCol w:w="996"/>
      </w:tblGrid>
      <w:tr w14:paraId="46B552D4">
        <w:tblPrEx>
          <w:tblCellMar>
            <w:top w:w="0" w:type="dxa"/>
            <w:left w:w="108" w:type="dxa"/>
            <w:bottom w:w="0" w:type="dxa"/>
            <w:right w:w="108" w:type="dxa"/>
          </w:tblCellMar>
        </w:tblPrEx>
        <w:trPr>
          <w:trHeight w:val="375" w:hRule="atLeast"/>
        </w:trPr>
        <w:tc>
          <w:tcPr>
            <w:tcW w:w="7934" w:type="dxa"/>
            <w:gridSpan w:val="4"/>
            <w:tcBorders>
              <w:top w:val="single" w:color="000000" w:sz="4" w:space="0"/>
              <w:left w:val="single" w:color="000000" w:sz="4" w:space="0"/>
              <w:bottom w:val="single" w:color="000000" w:sz="4" w:space="0"/>
              <w:right w:val="single" w:color="000000" w:sz="4" w:space="0"/>
            </w:tcBorders>
            <w:noWrap/>
            <w:vAlign w:val="center"/>
          </w:tcPr>
          <w:p w14:paraId="0AC64544">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2号高炉水系统流量计统计</w:t>
            </w:r>
          </w:p>
        </w:tc>
      </w:tr>
      <w:tr w14:paraId="7C62E79B">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444A4DA">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序号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7602BF">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部位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63C102">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型号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FC00D5">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数量</w:t>
            </w:r>
          </w:p>
        </w:tc>
      </w:tr>
      <w:tr w14:paraId="0695707E">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E779AF7">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F65016">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炉底供水</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712A88">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DN350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5CCBC3">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7F7648E5">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5B51D21">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53F397">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背部供水</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375605">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DN350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A4F81A">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25E1F24F">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5AD5D58">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68D05A">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背部总回水</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D10D06">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DN350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A9FDDF">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530848DB">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484CA7E">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1E049D">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中压供水（实际为中套供水）</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2A6AC8">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DN300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4A9F23">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5A147A38">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59E8CD3">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26738B">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中压回水（中套）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F0DB31">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DN300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54548D">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5DB71FDD">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D1DDE93">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690C61">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吹管供水</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C66383">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DN100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977BE2">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15689AB0">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2FCF69A">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3BE0A0">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吹管回水</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F6F949">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DN100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905BD9">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7BA4CB32">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E9E3689">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38719D">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净化循环水供水</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00C5D5">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DN150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90B82B">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29280E4D">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192CE06">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6EFB30">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中高压总回水</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212463">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DN600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40DCC5">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05D54A48">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26184FF">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7E4B5A">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冷却壁总回水</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E15575">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DN500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58DD11">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5B475B38">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CD486DC">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D26F95">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一级回水</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B8F260">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DN600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37F7B5">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05C49279">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8F4B554">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13FA6A">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背部集水管</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F8A5F2">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DN200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63A851">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4</w:t>
            </w:r>
          </w:p>
        </w:tc>
      </w:tr>
      <w:tr w14:paraId="795F0F8E">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FEB1BDF">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568F00">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冷却壁集水管</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ED49EA">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DN200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576945">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16</w:t>
            </w:r>
          </w:p>
        </w:tc>
      </w:tr>
      <w:tr w14:paraId="4AEB2E97">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8251B28">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D77A03">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冷却壁支管</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FC3E44">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DN65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E6EAD1">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8</w:t>
            </w:r>
          </w:p>
        </w:tc>
      </w:tr>
      <w:tr w14:paraId="1D9364D3">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32633E4">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4F9D45">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炉顶打水</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072549">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DN125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60FA3B">
            <w:pPr>
              <w:widowControl/>
              <w:shd w:val="clear"/>
              <w:spacing w:line="240" w:lineRule="auto"/>
              <w:ind w:firstLine="0" w:firstLineChars="0"/>
              <w:jc w:val="center"/>
              <w:textAlignment w:val="center"/>
              <w:rPr>
                <w:rFonts w:cs="宋体"/>
                <w:color w:val="auto"/>
                <w:highlight w:val="none"/>
              </w:rPr>
            </w:pPr>
            <w:r>
              <w:rPr>
                <w:rFonts w:hint="eastAsia" w:cs="宋体"/>
                <w:color w:val="auto"/>
                <w:kern w:val="0"/>
                <w:highlight w:val="none"/>
                <w:lang w:bidi="ar"/>
              </w:rPr>
              <w:t>1</w:t>
            </w:r>
          </w:p>
        </w:tc>
      </w:tr>
    </w:tbl>
    <w:p w14:paraId="27CD9118">
      <w:pPr>
        <w:shd w:val="clear"/>
        <w:rPr>
          <w:rFonts w:ascii="Times New Roman"/>
          <w:color w:val="auto"/>
          <w:highlight w:val="none"/>
        </w:rPr>
      </w:pPr>
      <w:r>
        <w:rPr>
          <w:rFonts w:hint="eastAsia" w:ascii="Times New Roman"/>
          <w:color w:val="auto"/>
          <w:highlight w:val="none"/>
        </w:rPr>
        <w:t>上述更换电磁流量计品牌与现有品牌一致，配套的传感器电缆利旧，转换器安装在利旧的仪表盘内。风口工业事故水安装流量计。</w:t>
      </w:r>
    </w:p>
    <w:p w14:paraId="5613E435">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膨胀罐音叉液位开关、液位计更换。</w:t>
      </w:r>
    </w:p>
    <w:p w14:paraId="397621AF">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膨胀罐顶部的气动压力调节更换。</w:t>
      </w:r>
    </w:p>
    <w:p w14:paraId="415196F7">
      <w:pPr>
        <w:shd w:val="clear"/>
        <w:rPr>
          <w:rFonts w:ascii="Times New Roman"/>
          <w:color w:val="auto"/>
          <w:highlight w:val="none"/>
        </w:rPr>
      </w:pPr>
      <w:r>
        <w:rPr>
          <w:rFonts w:hint="eastAsia" w:ascii="Times New Roman"/>
          <w:color w:val="auto"/>
          <w:highlight w:val="none"/>
        </w:rPr>
        <w:t>本系统其它现场仪表利旧。</w:t>
      </w:r>
    </w:p>
    <w:p w14:paraId="6D789746">
      <w:pPr>
        <w:shd w:val="clear"/>
        <w:ind w:firstLine="0" w:firstLineChars="0"/>
        <w:outlineLvl w:val="2"/>
        <w:rPr>
          <w:rFonts w:cs="Times New Roman"/>
          <w:color w:val="auto"/>
          <w:szCs w:val="28"/>
          <w:highlight w:val="none"/>
        </w:rPr>
      </w:pPr>
      <w:r>
        <w:rPr>
          <w:rFonts w:hint="eastAsia" w:cs="Times New Roman"/>
          <w:color w:val="auto"/>
          <w:szCs w:val="28"/>
          <w:highlight w:val="none"/>
        </w:rPr>
        <w:t>11.3.4 风口平台及出铁场</w:t>
      </w:r>
    </w:p>
    <w:p w14:paraId="2477589D">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主沟采用智慧主沟，主沟测温：单座高炉共设2条主沟，每条主沟设测温点25个。</w:t>
      </w:r>
    </w:p>
    <w:p w14:paraId="22544EBC">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风口摄像系统增加2台风口成像摄像机，并配套改造增加相关设施。风口成像摄像机规格型号与现有风口成像摄像机相同；18台摄像机电缆拆除换新、原路径恢复，摄像机及其他设备均利旧使用。</w:t>
      </w:r>
    </w:p>
    <w:p w14:paraId="617C8B3F">
      <w:pPr>
        <w:shd w:val="clear"/>
        <w:rPr>
          <w:rFonts w:ascii="Times New Roman"/>
          <w:color w:val="auto"/>
          <w:highlight w:val="none"/>
        </w:rPr>
      </w:pPr>
      <w:r>
        <w:rPr>
          <w:rFonts w:hint="eastAsia" w:ascii="Times New Roman"/>
          <w:color w:val="auto"/>
          <w:highlight w:val="none"/>
        </w:rPr>
        <w:t>本系统其它现场仪表利旧。</w:t>
      </w:r>
    </w:p>
    <w:p w14:paraId="6602FD1D">
      <w:pPr>
        <w:shd w:val="clear"/>
        <w:ind w:firstLine="0" w:firstLineChars="0"/>
        <w:outlineLvl w:val="2"/>
        <w:rPr>
          <w:rFonts w:cs="Times New Roman"/>
          <w:color w:val="auto"/>
          <w:highlight w:val="none"/>
        </w:rPr>
      </w:pPr>
      <w:r>
        <w:rPr>
          <w:rFonts w:hint="eastAsia" w:cs="Times New Roman"/>
          <w:color w:val="auto"/>
          <w:highlight w:val="none"/>
        </w:rPr>
        <w:t>11.3.5 粗煤气系统</w:t>
      </w:r>
    </w:p>
    <w:p w14:paraId="2CC08ACD">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1#高炉、2#高炉新增气动阀门、脉冲反吹控制。</w:t>
      </w:r>
    </w:p>
    <w:p w14:paraId="1132B47B">
      <w:pPr>
        <w:shd w:val="clear"/>
        <w:rPr>
          <w:rFonts w:ascii="Times New Roman"/>
          <w:color w:val="auto"/>
          <w:highlight w:val="none"/>
        </w:rPr>
      </w:pPr>
      <w:r>
        <w:rPr>
          <w:rFonts w:hint="eastAsia" w:ascii="Times New Roman"/>
          <w:color w:val="auto"/>
          <w:highlight w:val="none"/>
          <w:lang w:val="en-US" w:eastAsia="zh-CN"/>
        </w:rPr>
        <w:t>1#</w:t>
      </w:r>
      <w:r>
        <w:rPr>
          <w:rFonts w:hint="eastAsia" w:ascii="Times New Roman"/>
          <w:color w:val="auto"/>
          <w:highlight w:val="none"/>
        </w:rPr>
        <w:t>2#重力除尘器框架外</w:t>
      </w:r>
      <w:r>
        <w:rPr>
          <w:rFonts w:hint="eastAsia" w:ascii="Times New Roman"/>
          <w:color w:val="auto"/>
          <w:highlight w:val="none"/>
          <w:lang w:val="en-US" w:eastAsia="zh-CN"/>
        </w:rPr>
        <w:t>分别</w:t>
      </w:r>
      <w:r>
        <w:rPr>
          <w:rFonts w:hint="eastAsia" w:ascii="Times New Roman"/>
          <w:color w:val="auto"/>
          <w:highlight w:val="none"/>
        </w:rPr>
        <w:t>新建2个仓泵。</w:t>
      </w:r>
    </w:p>
    <w:p w14:paraId="61D3C3BB">
      <w:pPr>
        <w:numPr>
          <w:ilvl w:val="0"/>
          <w:numId w:val="30"/>
        </w:numPr>
        <w:shd w:val="clear"/>
        <w:ind w:left="0" w:firstLine="567" w:firstLineChars="0"/>
        <w:rPr>
          <w:rFonts w:ascii="Times New Roman"/>
          <w:color w:val="auto"/>
          <w:highlight w:val="none"/>
        </w:rPr>
      </w:pPr>
      <w:r>
        <w:rPr>
          <w:rFonts w:hint="eastAsia" w:ascii="Times New Roman"/>
          <w:color w:val="auto"/>
          <w:highlight w:val="none"/>
          <w:lang w:val="en-US" w:eastAsia="zh-CN"/>
        </w:rPr>
        <w:t>2台50m</w:t>
      </w:r>
      <w:r>
        <w:rPr>
          <w:rFonts w:hint="eastAsia" w:ascii="Times New Roman"/>
          <w:color w:val="auto"/>
          <w:highlight w:val="none"/>
          <w:vertAlign w:val="superscript"/>
          <w:lang w:val="en-US" w:eastAsia="zh-CN"/>
        </w:rPr>
        <w:t>3</w:t>
      </w:r>
      <w:r>
        <w:rPr>
          <w:rFonts w:hint="eastAsia" w:ascii="Times New Roman"/>
          <w:color w:val="auto"/>
          <w:highlight w:val="none"/>
          <w:lang w:val="en-US" w:eastAsia="zh-CN"/>
        </w:rPr>
        <w:t>储灰仓</w:t>
      </w:r>
      <w:r>
        <w:rPr>
          <w:rFonts w:hint="eastAsia" w:ascii="Times New Roman"/>
          <w:color w:val="auto"/>
          <w:highlight w:val="none"/>
        </w:rPr>
        <w:t>高中低料位检测</w:t>
      </w:r>
    </w:p>
    <w:p w14:paraId="560C77FF">
      <w:pPr>
        <w:numPr>
          <w:ilvl w:val="0"/>
          <w:numId w:val="30"/>
        </w:numPr>
        <w:shd w:val="clear"/>
        <w:ind w:left="0" w:firstLine="567" w:firstLineChars="0"/>
        <w:rPr>
          <w:rFonts w:hint="eastAsia" w:ascii="Times New Roman"/>
          <w:color w:val="auto"/>
          <w:highlight w:val="none"/>
        </w:rPr>
      </w:pPr>
      <w:r>
        <w:rPr>
          <w:rFonts w:hint="eastAsia" w:ascii="Times New Roman"/>
          <w:color w:val="auto"/>
          <w:highlight w:val="none"/>
          <w:lang w:val="en-US" w:eastAsia="zh-CN"/>
        </w:rPr>
        <w:t>2台50m3储灰仓</w:t>
      </w:r>
      <w:r>
        <w:rPr>
          <w:rFonts w:hint="eastAsia" w:ascii="Times New Roman"/>
          <w:color w:val="auto"/>
          <w:highlight w:val="none"/>
        </w:rPr>
        <w:t>高中低温度检测</w:t>
      </w:r>
    </w:p>
    <w:p w14:paraId="4954EE51">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仓泵压力、料位检测；</w:t>
      </w:r>
    </w:p>
    <w:p w14:paraId="0A2F8CDB">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输灰管道压力检测。</w:t>
      </w:r>
    </w:p>
    <w:p w14:paraId="2F3DFDC1">
      <w:pPr>
        <w:shd w:val="clear"/>
        <w:rPr>
          <w:rFonts w:ascii="Times New Roman"/>
          <w:color w:val="auto"/>
          <w:highlight w:val="none"/>
        </w:rPr>
      </w:pPr>
      <w:r>
        <w:rPr>
          <w:rFonts w:hint="eastAsia" w:ascii="Times New Roman"/>
          <w:color w:val="auto"/>
          <w:highlight w:val="none"/>
          <w:lang w:val="en-US" w:eastAsia="zh-CN"/>
        </w:rPr>
        <w:t>干法除尘东侧</w:t>
      </w:r>
      <w:r>
        <w:rPr>
          <w:rFonts w:hint="eastAsia" w:ascii="Times New Roman"/>
          <w:color w:val="auto"/>
          <w:highlight w:val="none"/>
        </w:rPr>
        <w:t>新建</w:t>
      </w:r>
      <w:r>
        <w:rPr>
          <w:rFonts w:hint="eastAsia" w:ascii="Times New Roman"/>
          <w:color w:val="auto"/>
          <w:highlight w:val="none"/>
          <w:lang w:val="en-US" w:eastAsia="zh-CN"/>
        </w:rPr>
        <w:t>1#2#高炉粗煤气</w:t>
      </w:r>
      <w:r>
        <w:rPr>
          <w:rFonts w:hint="eastAsia" w:ascii="Times New Roman"/>
          <w:color w:val="auto"/>
          <w:highlight w:val="none"/>
        </w:rPr>
        <w:t>灰仓。</w:t>
      </w:r>
    </w:p>
    <w:p w14:paraId="48B9A105">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灰仓高中低料位检测；</w:t>
      </w:r>
    </w:p>
    <w:p w14:paraId="59C9D867">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灰仓花板上下压力检测；</w:t>
      </w:r>
    </w:p>
    <w:p w14:paraId="316ED8E9">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灰仓高中低温度检测。</w:t>
      </w:r>
    </w:p>
    <w:p w14:paraId="351ADC78">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减压阀组调节阀和量程阀执行机构更换</w:t>
      </w:r>
    </w:p>
    <w:p w14:paraId="2F41025E">
      <w:pPr>
        <w:shd w:val="clear"/>
        <w:rPr>
          <w:rFonts w:ascii="Times New Roman"/>
          <w:color w:val="auto"/>
          <w:highlight w:val="none"/>
        </w:rPr>
      </w:pPr>
      <w:r>
        <w:rPr>
          <w:rFonts w:hint="eastAsia" w:ascii="Times New Roman"/>
          <w:color w:val="auto"/>
          <w:highlight w:val="none"/>
        </w:rPr>
        <w:t>本系统其它现场仪表利旧。</w:t>
      </w:r>
    </w:p>
    <w:p w14:paraId="491EA8BC">
      <w:pPr>
        <w:shd w:val="clear"/>
        <w:ind w:firstLine="0" w:firstLineChars="0"/>
        <w:outlineLvl w:val="2"/>
        <w:rPr>
          <w:rFonts w:cs="Times New Roman"/>
          <w:color w:val="auto"/>
          <w:szCs w:val="28"/>
          <w:highlight w:val="none"/>
        </w:rPr>
      </w:pPr>
      <w:r>
        <w:rPr>
          <w:rFonts w:hint="eastAsia" w:cs="Times New Roman"/>
          <w:color w:val="auto"/>
          <w:szCs w:val="28"/>
          <w:highlight w:val="none"/>
        </w:rPr>
        <w:t>11.3.6 热风炉系统</w:t>
      </w:r>
    </w:p>
    <w:p w14:paraId="25D6467F">
      <w:pPr>
        <w:shd w:val="clear"/>
        <w:rPr>
          <w:rFonts w:ascii="Times New Roman"/>
          <w:color w:val="auto"/>
          <w:highlight w:val="none"/>
        </w:rPr>
      </w:pPr>
      <w:r>
        <w:rPr>
          <w:rFonts w:hint="eastAsia" w:ascii="Times New Roman"/>
          <w:color w:val="auto"/>
          <w:highlight w:val="none"/>
        </w:rPr>
        <w:t>4#、5#、6#热风炉利旧，7号内燃式热风炉改造为大拱顶顶燃式热风炉。</w:t>
      </w:r>
    </w:p>
    <w:p w14:paraId="6F2AE71E">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新增冷风流量、压力、温度检测各1点；</w:t>
      </w:r>
    </w:p>
    <w:p w14:paraId="609A630E">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4#热风炉空、煤气支管、5#热风炉空、煤气支管调节阀执行机构更换。</w:t>
      </w:r>
    </w:p>
    <w:p w14:paraId="4B2CA152">
      <w:pPr>
        <w:shd w:val="clear"/>
        <w:rPr>
          <w:rFonts w:ascii="Times New Roman"/>
          <w:color w:val="auto"/>
          <w:highlight w:val="none"/>
        </w:rPr>
      </w:pPr>
      <w:r>
        <w:rPr>
          <w:rFonts w:hint="eastAsia" w:ascii="Times New Roman"/>
          <w:color w:val="auto"/>
          <w:highlight w:val="none"/>
        </w:rPr>
        <w:t>本系统其它现场仪表利旧。</w:t>
      </w:r>
    </w:p>
    <w:p w14:paraId="044DC0F0">
      <w:pPr>
        <w:shd w:val="clear"/>
        <w:ind w:firstLine="0" w:firstLineChars="0"/>
        <w:outlineLvl w:val="2"/>
        <w:rPr>
          <w:rFonts w:cs="Times New Roman"/>
          <w:color w:val="auto"/>
          <w:szCs w:val="28"/>
          <w:highlight w:val="none"/>
        </w:rPr>
      </w:pPr>
      <w:r>
        <w:rPr>
          <w:rFonts w:hint="eastAsia" w:cs="Times New Roman"/>
          <w:color w:val="auto"/>
          <w:szCs w:val="28"/>
          <w:highlight w:val="none"/>
        </w:rPr>
        <w:t>11.3.7富氧调压系统</w:t>
      </w:r>
    </w:p>
    <w:p w14:paraId="60895994">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富氧阀组</w:t>
      </w:r>
      <w:r>
        <w:rPr>
          <w:rFonts w:hint="eastAsia" w:ascii="Times New Roman"/>
          <w:color w:val="auto"/>
          <w:highlight w:val="none"/>
          <w:lang w:val="en-US" w:eastAsia="zh-CN"/>
        </w:rPr>
        <w:t>自力式</w:t>
      </w:r>
      <w:r>
        <w:rPr>
          <w:rFonts w:hint="eastAsia" w:ascii="Times New Roman"/>
          <w:color w:val="auto"/>
          <w:highlight w:val="none"/>
        </w:rPr>
        <w:t>调节阀更换为气动调节阀；</w:t>
      </w:r>
    </w:p>
    <w:p w14:paraId="0CF7256A">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新增富氧压力测量1点；</w:t>
      </w:r>
    </w:p>
    <w:p w14:paraId="66F26E24">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新增富氧阀前压力测量1点；</w:t>
      </w:r>
    </w:p>
    <w:p w14:paraId="2CE0AF74">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富氧流量计及差压变送器更换。</w:t>
      </w:r>
    </w:p>
    <w:p w14:paraId="12CBA317">
      <w:pPr>
        <w:shd w:val="clear"/>
        <w:rPr>
          <w:rFonts w:hint="default" w:ascii="Times New Roman"/>
          <w:color w:val="auto"/>
          <w:highlight w:val="none"/>
          <w:lang w:val="en-US"/>
        </w:rPr>
      </w:pPr>
      <w:r>
        <w:rPr>
          <w:rFonts w:hint="eastAsia" w:ascii="Times New Roman"/>
          <w:color w:val="auto"/>
          <w:highlight w:val="none"/>
        </w:rPr>
        <w:t>本系统其它现场仪表利旧。</w:t>
      </w:r>
      <w:r>
        <w:rPr>
          <w:rFonts w:hint="eastAsia" w:ascii="Times New Roman"/>
          <w:color w:val="auto"/>
          <w:highlight w:val="none"/>
          <w:lang w:val="en-US" w:eastAsia="zh-CN"/>
        </w:rPr>
        <w:t>新增测量点接引至原2号高炉主控室。</w:t>
      </w:r>
    </w:p>
    <w:p w14:paraId="58B6766A">
      <w:pPr>
        <w:shd w:val="clear"/>
        <w:ind w:firstLine="0" w:firstLineChars="0"/>
        <w:outlineLvl w:val="2"/>
        <w:rPr>
          <w:rFonts w:cs="Times New Roman"/>
          <w:color w:val="auto"/>
          <w:szCs w:val="28"/>
          <w:highlight w:val="none"/>
        </w:rPr>
      </w:pPr>
      <w:r>
        <w:rPr>
          <w:rFonts w:hint="eastAsia" w:cs="Times New Roman"/>
          <w:color w:val="auto"/>
          <w:szCs w:val="28"/>
          <w:highlight w:val="none"/>
        </w:rPr>
        <w:t>11.3.8煤粉喷吹系统</w:t>
      </w:r>
    </w:p>
    <w:p w14:paraId="5E25ECC2">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分配器煤粉压力测量</w:t>
      </w:r>
      <w:r>
        <w:rPr>
          <w:rFonts w:hint="eastAsia" w:ascii="Times New Roman"/>
          <w:color w:val="auto"/>
          <w:highlight w:val="none"/>
          <w:lang w:val="en-US" w:eastAsia="zh-CN"/>
        </w:rPr>
        <w:t>利旧</w:t>
      </w:r>
      <w:r>
        <w:rPr>
          <w:rFonts w:hint="eastAsia" w:ascii="Times New Roman"/>
          <w:color w:val="auto"/>
          <w:highlight w:val="none"/>
        </w:rPr>
        <w:t>；</w:t>
      </w:r>
    </w:p>
    <w:p w14:paraId="09AD7434">
      <w:pPr>
        <w:shd w:val="clear"/>
        <w:ind w:firstLine="0" w:firstLineChars="0"/>
        <w:outlineLvl w:val="2"/>
        <w:rPr>
          <w:rFonts w:cs="Times New Roman"/>
          <w:color w:val="auto"/>
          <w:szCs w:val="28"/>
          <w:highlight w:val="none"/>
        </w:rPr>
      </w:pPr>
      <w:r>
        <w:rPr>
          <w:rFonts w:hint="eastAsia" w:cs="Times New Roman"/>
          <w:color w:val="auto"/>
          <w:szCs w:val="28"/>
          <w:highlight w:val="none"/>
        </w:rPr>
        <w:t>11.3.9 煤气干法除尘系统</w:t>
      </w:r>
    </w:p>
    <w:p w14:paraId="739409B6">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新增每个干法筒体下锥体和集中灰仓灰位高、低限位检测，采用无源核子料位计，共25套；</w:t>
      </w:r>
    </w:p>
    <w:p w14:paraId="11D1113A">
      <w:pPr>
        <w:numPr>
          <w:ilvl w:val="0"/>
          <w:numId w:val="30"/>
        </w:numPr>
        <w:shd w:val="clear"/>
        <w:ind w:left="0" w:firstLine="567" w:firstLineChars="0"/>
        <w:rPr>
          <w:rFonts w:ascii="Times New Roman"/>
          <w:color w:val="auto"/>
          <w:highlight w:val="none"/>
        </w:rPr>
      </w:pPr>
      <w:r>
        <w:rPr>
          <w:rFonts w:hint="eastAsia" w:cs="宋体"/>
          <w:color w:val="auto"/>
          <w:szCs w:val="21"/>
          <w:highlight w:val="none"/>
        </w:rPr>
        <w:t>每个筒体和灰仓</w:t>
      </w:r>
      <w:r>
        <w:rPr>
          <w:rFonts w:hint="eastAsia" w:cs="宋体"/>
          <w:color w:val="auto"/>
          <w:szCs w:val="21"/>
          <w:highlight w:val="none"/>
          <w:lang w:val="en-US" w:eastAsia="zh-CN"/>
        </w:rPr>
        <w:t>进出口</w:t>
      </w:r>
      <w:r>
        <w:rPr>
          <w:rFonts w:hint="eastAsia" w:cs="宋体"/>
          <w:color w:val="auto"/>
          <w:szCs w:val="21"/>
          <w:highlight w:val="none"/>
        </w:rPr>
        <w:t>压力变送器更换；</w:t>
      </w:r>
    </w:p>
    <w:p w14:paraId="7427D128">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净煤气总管增加流量、温度、压力检测1套。</w:t>
      </w:r>
    </w:p>
    <w:p w14:paraId="4E656929">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布袋箱体煤气粉尘浓度11台更换；</w:t>
      </w:r>
    </w:p>
    <w:p w14:paraId="11C04632">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高炉煤气分析仪（</w:t>
      </w:r>
      <w:r>
        <w:rPr>
          <w:rFonts w:hint="eastAsia" w:ascii="Times New Roman"/>
          <w:color w:val="auto"/>
          <w:highlight w:val="none"/>
          <w:lang w:val="en-US" w:eastAsia="zh-CN"/>
        </w:rPr>
        <w:t>H</w:t>
      </w:r>
      <w:r>
        <w:rPr>
          <w:rFonts w:hint="eastAsia" w:ascii="Times New Roman"/>
          <w:color w:val="auto"/>
          <w:highlight w:val="none"/>
          <w:vertAlign w:val="subscript"/>
        </w:rPr>
        <w:t>2</w:t>
      </w:r>
      <w:r>
        <w:rPr>
          <w:rFonts w:hint="eastAsia" w:ascii="Times New Roman"/>
          <w:color w:val="auto"/>
          <w:highlight w:val="none"/>
        </w:rPr>
        <w:t>\CO\CO</w:t>
      </w:r>
      <w:r>
        <w:rPr>
          <w:rFonts w:hint="eastAsia" w:ascii="Times New Roman"/>
          <w:color w:val="auto"/>
          <w:highlight w:val="none"/>
          <w:vertAlign w:val="subscript"/>
        </w:rPr>
        <w:t>2</w:t>
      </w:r>
      <w:r>
        <w:rPr>
          <w:rFonts w:hint="eastAsia" w:ascii="Times New Roman"/>
          <w:color w:val="auto"/>
          <w:highlight w:val="none"/>
        </w:rPr>
        <w:t>）更换，</w:t>
      </w:r>
      <w:r>
        <w:rPr>
          <w:rFonts w:hint="eastAsia" w:ascii="Times New Roman"/>
          <w:color w:val="auto"/>
          <w:highlight w:val="none"/>
          <w:lang w:val="en-US" w:eastAsia="zh-CN"/>
        </w:rPr>
        <w:t>采用抽取式H</w:t>
      </w:r>
      <w:r>
        <w:rPr>
          <w:rFonts w:hint="eastAsia" w:ascii="Times New Roman"/>
          <w:color w:val="auto"/>
          <w:highlight w:val="none"/>
          <w:vertAlign w:val="subscript"/>
        </w:rPr>
        <w:t>2</w:t>
      </w:r>
      <w:r>
        <w:rPr>
          <w:rFonts w:hint="eastAsia" w:ascii="Times New Roman"/>
          <w:color w:val="auto"/>
          <w:highlight w:val="none"/>
          <w:vertAlign w:val="baseline"/>
          <w:lang w:val="en-US" w:eastAsia="zh-CN"/>
        </w:rPr>
        <w:t>热导式</w:t>
      </w:r>
      <w:r>
        <w:rPr>
          <w:rFonts w:hint="eastAsia" w:ascii="Times New Roman"/>
          <w:color w:val="auto"/>
          <w:highlight w:val="none"/>
          <w:lang w:eastAsia="zh-CN"/>
        </w:rPr>
        <w:t>、</w:t>
      </w:r>
      <w:r>
        <w:rPr>
          <w:rFonts w:hint="eastAsia" w:ascii="Times New Roman"/>
          <w:color w:val="auto"/>
          <w:highlight w:val="none"/>
        </w:rPr>
        <w:t>CO\CO</w:t>
      </w:r>
      <w:r>
        <w:rPr>
          <w:rFonts w:hint="eastAsia" w:ascii="Times New Roman"/>
          <w:color w:val="auto"/>
          <w:highlight w:val="none"/>
          <w:vertAlign w:val="subscript"/>
        </w:rPr>
        <w:t>2</w:t>
      </w:r>
      <w:r>
        <w:rPr>
          <w:rFonts w:hint="eastAsia" w:ascii="Times New Roman"/>
          <w:color w:val="auto"/>
          <w:highlight w:val="none"/>
          <w:vertAlign w:val="baseline"/>
          <w:lang w:val="en-US" w:eastAsia="zh-CN"/>
        </w:rPr>
        <w:t>红外式，双取样探头，</w:t>
      </w:r>
      <w:r>
        <w:rPr>
          <w:rFonts w:hint="eastAsia" w:ascii="Times New Roman"/>
          <w:color w:val="auto"/>
          <w:highlight w:val="none"/>
        </w:rPr>
        <w:t>更换分析小屋；</w:t>
      </w:r>
    </w:p>
    <w:p w14:paraId="35AEBACF">
      <w:pPr>
        <w:shd w:val="clear"/>
        <w:rPr>
          <w:rFonts w:ascii="Times New Roman"/>
          <w:color w:val="auto"/>
          <w:highlight w:val="none"/>
        </w:rPr>
      </w:pPr>
      <w:r>
        <w:rPr>
          <w:rFonts w:hint="eastAsia" w:ascii="Times New Roman"/>
          <w:color w:val="auto"/>
          <w:highlight w:val="none"/>
        </w:rPr>
        <w:t>本系统其它现场仪表利旧。</w:t>
      </w:r>
      <w:r>
        <w:rPr>
          <w:rFonts w:hint="eastAsia" w:ascii="Times New Roman"/>
          <w:color w:val="auto"/>
          <w:highlight w:val="none"/>
          <w:lang w:val="en-US" w:eastAsia="zh-CN"/>
        </w:rPr>
        <w:t>新增测量点接引至原2号高炉干法除尘电气室。</w:t>
      </w:r>
    </w:p>
    <w:p w14:paraId="662BCA60">
      <w:pPr>
        <w:shd w:val="clear"/>
        <w:ind w:firstLine="0" w:firstLineChars="0"/>
        <w:outlineLvl w:val="2"/>
        <w:rPr>
          <w:rFonts w:cs="Times New Roman"/>
          <w:color w:val="auto"/>
          <w:szCs w:val="28"/>
          <w:highlight w:val="none"/>
        </w:rPr>
      </w:pPr>
      <w:r>
        <w:rPr>
          <w:rFonts w:hint="eastAsia" w:cs="Times New Roman"/>
          <w:color w:val="auto"/>
          <w:szCs w:val="28"/>
          <w:highlight w:val="none"/>
        </w:rPr>
        <w:t>11.3.10 均压煤气回收系统</w:t>
      </w:r>
    </w:p>
    <w:p w14:paraId="00F14801">
      <w:pPr>
        <w:shd w:val="clear"/>
        <w:rPr>
          <w:rFonts w:ascii="Times New Roman"/>
          <w:color w:val="auto"/>
          <w:highlight w:val="none"/>
        </w:rPr>
      </w:pPr>
      <w:r>
        <w:rPr>
          <w:rFonts w:hint="eastAsia" w:ascii="Times New Roman"/>
          <w:color w:val="auto"/>
          <w:highlight w:val="none"/>
        </w:rPr>
        <w:t>新增均压煤气回收系统，主要检测内容如下：</w:t>
      </w:r>
    </w:p>
    <w:p w14:paraId="2D0EC358">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均压回收管道温度、压力检测；</w:t>
      </w:r>
    </w:p>
    <w:p w14:paraId="107D9616">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除尘器后煤气回收总管温度、压力测量；</w:t>
      </w:r>
    </w:p>
    <w:p w14:paraId="15A407B2">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除尘器后煤气粉尘浓度测量；</w:t>
      </w:r>
    </w:p>
    <w:p w14:paraId="5807AEA6">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筒体下锥体灰位高、低限位检测，采用无源核子料位计。</w:t>
      </w:r>
    </w:p>
    <w:p w14:paraId="642CC894">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筒体高中低位温度检测。</w:t>
      </w:r>
    </w:p>
    <w:p w14:paraId="1595AEDE">
      <w:pPr>
        <w:shd w:val="clear"/>
        <w:ind w:firstLine="480" w:firstLineChars="200"/>
        <w:outlineLvl w:val="2"/>
        <w:rPr>
          <w:rFonts w:hint="eastAsia" w:ascii="Times New Roman"/>
          <w:color w:val="auto"/>
          <w:highlight w:val="none"/>
          <w:lang w:val="en-US" w:eastAsia="zh-CN"/>
        </w:rPr>
      </w:pPr>
      <w:r>
        <w:rPr>
          <w:rFonts w:hint="eastAsia" w:ascii="Times New Roman"/>
          <w:color w:val="auto"/>
          <w:highlight w:val="none"/>
          <w:lang w:val="en-US" w:eastAsia="zh-CN"/>
        </w:rPr>
        <w:t>新增测量点接引至原2号高炉干法除尘电气室和原2号高炉值班室。</w:t>
      </w:r>
    </w:p>
    <w:p w14:paraId="7D3FAD45">
      <w:pPr>
        <w:shd w:val="clear"/>
        <w:ind w:firstLine="0" w:firstLineChars="0"/>
        <w:outlineLvl w:val="2"/>
        <w:rPr>
          <w:rFonts w:cs="Times New Roman"/>
          <w:color w:val="auto"/>
          <w:szCs w:val="28"/>
          <w:highlight w:val="none"/>
        </w:rPr>
      </w:pPr>
      <w:r>
        <w:rPr>
          <w:rFonts w:hint="eastAsia" w:cs="Times New Roman"/>
          <w:color w:val="auto"/>
          <w:szCs w:val="28"/>
          <w:highlight w:val="none"/>
        </w:rPr>
        <w:t>11.3.11 循环冷却水系统</w:t>
      </w:r>
    </w:p>
    <w:p w14:paraId="3D6BE8D2">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新增冷却塔出口水管温度测量</w:t>
      </w:r>
      <w:r>
        <w:rPr>
          <w:rFonts w:hint="eastAsia" w:ascii="Times New Roman"/>
          <w:color w:val="auto"/>
          <w:highlight w:val="none"/>
          <w:lang w:val="en-US" w:eastAsia="zh-CN"/>
        </w:rPr>
        <w:t>2</w:t>
      </w:r>
      <w:r>
        <w:rPr>
          <w:rFonts w:hint="eastAsia" w:ascii="Times New Roman"/>
          <w:color w:val="auto"/>
          <w:highlight w:val="none"/>
        </w:rPr>
        <w:t>点；</w:t>
      </w:r>
    </w:p>
    <w:p w14:paraId="57E2AD5A">
      <w:pPr>
        <w:shd w:val="clear"/>
        <w:rPr>
          <w:rFonts w:ascii="Times New Roman"/>
          <w:color w:val="auto"/>
          <w:highlight w:val="none"/>
        </w:rPr>
      </w:pPr>
      <w:r>
        <w:rPr>
          <w:rFonts w:hint="eastAsia" w:ascii="Times New Roman"/>
          <w:color w:val="auto"/>
          <w:highlight w:val="none"/>
        </w:rPr>
        <w:t>本系统其它现场仪表利旧。</w:t>
      </w:r>
    </w:p>
    <w:p w14:paraId="1B3D26AB">
      <w:pPr>
        <w:shd w:val="clear"/>
        <w:ind w:firstLine="0" w:firstLineChars="0"/>
        <w:outlineLvl w:val="2"/>
        <w:rPr>
          <w:rFonts w:cs="Times New Roman"/>
          <w:color w:val="auto"/>
          <w:szCs w:val="28"/>
          <w:highlight w:val="none"/>
        </w:rPr>
      </w:pPr>
      <w:r>
        <w:rPr>
          <w:rFonts w:hint="eastAsia" w:cs="Times New Roman"/>
          <w:color w:val="auto"/>
          <w:szCs w:val="28"/>
          <w:highlight w:val="none"/>
        </w:rPr>
        <w:t>11.3.12 出铁场、矿槽、地沟除尘系统</w:t>
      </w:r>
    </w:p>
    <w:p w14:paraId="7C5BC285">
      <w:pPr>
        <w:shd w:val="clear"/>
        <w:rPr>
          <w:rFonts w:ascii="Times New Roman"/>
          <w:color w:val="auto"/>
          <w:highlight w:val="none"/>
        </w:rPr>
      </w:pPr>
      <w:r>
        <w:rPr>
          <w:rFonts w:hint="eastAsia" w:ascii="Times New Roman"/>
          <w:color w:val="auto"/>
          <w:highlight w:val="none"/>
        </w:rPr>
        <w:t>新增出铁场除尘器，主要检测内容如下：</w:t>
      </w:r>
    </w:p>
    <w:p w14:paraId="408C4DFA">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除尘器进出口差压检测；</w:t>
      </w:r>
    </w:p>
    <w:p w14:paraId="59E2C682">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风机进出口风压检测；</w:t>
      </w:r>
    </w:p>
    <w:p w14:paraId="6C586CB5">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每个灰斗设置高、低料位检测；</w:t>
      </w:r>
    </w:p>
    <w:p w14:paraId="479BFB0C">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除尘器储气罐出口总管压力检测；</w:t>
      </w:r>
    </w:p>
    <w:p w14:paraId="65961175">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风机轴温</w:t>
      </w:r>
      <w:r>
        <w:rPr>
          <w:rFonts w:hint="eastAsia" w:ascii="Times New Roman"/>
          <w:color w:val="auto"/>
          <w:highlight w:val="none"/>
          <w:lang w:val="en-US" w:eastAsia="zh-CN"/>
        </w:rPr>
        <w:t>2点</w:t>
      </w:r>
      <w:r>
        <w:rPr>
          <w:rFonts w:hint="eastAsia" w:ascii="Times New Roman"/>
          <w:color w:val="auto"/>
          <w:highlight w:val="none"/>
        </w:rPr>
        <w:t>、轴振检测</w:t>
      </w:r>
      <w:r>
        <w:rPr>
          <w:rFonts w:hint="eastAsia" w:ascii="Times New Roman"/>
          <w:color w:val="auto"/>
          <w:highlight w:val="none"/>
          <w:lang w:val="en-US" w:eastAsia="zh-CN"/>
        </w:rPr>
        <w:t>4点</w:t>
      </w:r>
      <w:r>
        <w:rPr>
          <w:rFonts w:hint="eastAsia" w:ascii="Times New Roman"/>
          <w:color w:val="auto"/>
          <w:highlight w:val="none"/>
        </w:rPr>
        <w:t>，电机</w:t>
      </w:r>
      <w:r>
        <w:rPr>
          <w:rFonts w:hint="eastAsia" w:ascii="Times New Roman"/>
          <w:color w:val="auto"/>
          <w:highlight w:val="none"/>
          <w:lang w:val="en-US" w:eastAsia="zh-CN"/>
        </w:rPr>
        <w:t>振动检测4点、</w:t>
      </w:r>
      <w:r>
        <w:rPr>
          <w:rFonts w:hint="eastAsia" w:ascii="Times New Roman"/>
          <w:color w:val="auto"/>
          <w:highlight w:val="none"/>
        </w:rPr>
        <w:t>温度检测</w:t>
      </w:r>
      <w:r>
        <w:rPr>
          <w:rFonts w:hint="eastAsia" w:ascii="Times New Roman"/>
          <w:color w:val="auto"/>
          <w:highlight w:val="none"/>
          <w:lang w:val="en-US" w:eastAsia="zh-CN"/>
        </w:rPr>
        <w:t>2点、定子温度3用3备</w:t>
      </w:r>
      <w:r>
        <w:rPr>
          <w:rFonts w:hint="eastAsia" w:ascii="Times New Roman"/>
          <w:color w:val="auto"/>
          <w:highlight w:val="none"/>
        </w:rPr>
        <w:t>，信号接入酒钢现有设备状态在线监控平台；</w:t>
      </w:r>
    </w:p>
    <w:p w14:paraId="3C3A8381">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风机风门执行机构开度调节控制；</w:t>
      </w:r>
    </w:p>
    <w:p w14:paraId="11E10798">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集合灰仓高</w:t>
      </w:r>
      <w:r>
        <w:rPr>
          <w:rFonts w:hint="eastAsia" w:ascii="Times New Roman"/>
          <w:color w:val="auto"/>
          <w:highlight w:val="none"/>
          <w:lang w:eastAsia="zh-CN"/>
        </w:rPr>
        <w:t>中</w:t>
      </w:r>
      <w:r>
        <w:rPr>
          <w:rFonts w:hint="eastAsia" w:ascii="Times New Roman"/>
          <w:color w:val="auto"/>
          <w:highlight w:val="none"/>
        </w:rPr>
        <w:t>低料位检测；</w:t>
      </w:r>
    </w:p>
    <w:p w14:paraId="1F405186">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气动阀门、脉冲反吹控制；</w:t>
      </w:r>
    </w:p>
    <w:p w14:paraId="62B00F85">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排气筒设超低排CEMS监测系统（带标定气），并上传至国家污染物监测平台，同时需上传至酒钢内网环保信息网。</w:t>
      </w:r>
    </w:p>
    <w:p w14:paraId="2BE63482">
      <w:pPr>
        <w:shd w:val="clear"/>
        <w:rPr>
          <w:rFonts w:ascii="Times New Roman"/>
          <w:color w:val="auto"/>
          <w:highlight w:val="none"/>
        </w:rPr>
      </w:pPr>
      <w:r>
        <w:rPr>
          <w:rFonts w:hint="eastAsia" w:ascii="Times New Roman"/>
          <w:color w:val="auto"/>
          <w:highlight w:val="none"/>
        </w:rPr>
        <w:t>矿槽除尘、地沟除尘系统除利旧改造，主要检测内容如下：</w:t>
      </w:r>
    </w:p>
    <w:p w14:paraId="2F0C3F48">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除尘器进出口差压检测；</w:t>
      </w:r>
    </w:p>
    <w:p w14:paraId="3EFA1A79">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每个灰斗设置高、低料位检测（料位计现有利旧，增加10个料位计）；</w:t>
      </w:r>
    </w:p>
    <w:p w14:paraId="771B6932">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集合灰仓高</w:t>
      </w:r>
      <w:r>
        <w:rPr>
          <w:rFonts w:hint="eastAsia" w:ascii="Times New Roman"/>
          <w:color w:val="auto"/>
          <w:highlight w:val="none"/>
          <w:lang w:eastAsia="zh-CN"/>
        </w:rPr>
        <w:t>中</w:t>
      </w:r>
      <w:r>
        <w:rPr>
          <w:rFonts w:hint="eastAsia" w:ascii="Times New Roman"/>
          <w:color w:val="auto"/>
          <w:highlight w:val="none"/>
        </w:rPr>
        <w:t>低料位更换；</w:t>
      </w:r>
    </w:p>
    <w:p w14:paraId="7D27508F">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气动阀门、脉冲反吹控制；</w:t>
      </w:r>
    </w:p>
    <w:p w14:paraId="65FF4CB9">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排气筒设超低排CEMS监测系统（带标定气），并上传至国家污染物监测平台，同时需上传至酒钢内网环保信息网。</w:t>
      </w:r>
    </w:p>
    <w:p w14:paraId="03099BE5">
      <w:pPr>
        <w:shd w:val="clear"/>
        <w:rPr>
          <w:rFonts w:ascii="Times New Roman"/>
          <w:color w:val="auto"/>
          <w:highlight w:val="none"/>
        </w:rPr>
      </w:pPr>
      <w:r>
        <w:rPr>
          <w:rFonts w:hint="eastAsia" w:ascii="Times New Roman"/>
          <w:color w:val="auto"/>
          <w:highlight w:val="none"/>
        </w:rPr>
        <w:t>1#高炉矿槽槽上除尘四号除尘系统集合灰仓改造，新增</w:t>
      </w:r>
      <w:r>
        <w:rPr>
          <w:rFonts w:hint="eastAsia" w:ascii="Times New Roman"/>
          <w:color w:val="auto"/>
          <w:highlight w:val="none"/>
          <w:lang w:eastAsia="zh-CN"/>
        </w:rPr>
        <w:t>罐车吸排</w:t>
      </w:r>
      <w:r>
        <w:rPr>
          <w:rFonts w:hint="eastAsia" w:ascii="Times New Roman"/>
          <w:color w:val="auto"/>
          <w:highlight w:val="none"/>
        </w:rPr>
        <w:t>装置，主要检测内容如下：</w:t>
      </w:r>
    </w:p>
    <w:p w14:paraId="4107D366">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配合烟囱进行加高处理，排气筒设超低排CEMS监测系统（带标定气），并上传至国家污染物监测平台，同时需上传至酒钢内网环保信息网。</w:t>
      </w:r>
    </w:p>
    <w:p w14:paraId="3E24D97D">
      <w:pPr>
        <w:shd w:val="clear"/>
        <w:rPr>
          <w:rFonts w:ascii="Times New Roman"/>
          <w:color w:val="auto"/>
          <w:highlight w:val="none"/>
        </w:rPr>
      </w:pPr>
      <w:r>
        <w:rPr>
          <w:rFonts w:hint="eastAsia" w:ascii="Times New Roman"/>
          <w:color w:val="auto"/>
          <w:highlight w:val="none"/>
        </w:rPr>
        <w:t>原出铁场除尘改造，主要检测内容如下：</w:t>
      </w:r>
    </w:p>
    <w:p w14:paraId="352BB723">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灰斗、大灰仓高低料位料位计现有利旧，增加8个料位计。</w:t>
      </w:r>
    </w:p>
    <w:p w14:paraId="78595A11">
      <w:pPr>
        <w:shd w:val="clear"/>
        <w:rPr>
          <w:rFonts w:ascii="Times New Roman"/>
          <w:color w:val="auto"/>
          <w:highlight w:val="none"/>
        </w:rPr>
      </w:pPr>
      <w:r>
        <w:rPr>
          <w:rFonts w:hint="eastAsia" w:ascii="Times New Roman"/>
          <w:color w:val="auto"/>
          <w:highlight w:val="none"/>
        </w:rPr>
        <w:t>本系统其它现场仪表利旧。</w:t>
      </w:r>
    </w:p>
    <w:p w14:paraId="3329BC99">
      <w:pPr>
        <w:shd w:val="clear"/>
        <w:ind w:firstLine="0" w:firstLineChars="0"/>
        <w:outlineLvl w:val="2"/>
        <w:rPr>
          <w:rFonts w:cs="Times New Roman"/>
          <w:color w:val="auto"/>
          <w:szCs w:val="28"/>
          <w:highlight w:val="none"/>
        </w:rPr>
      </w:pPr>
      <w:r>
        <w:rPr>
          <w:rFonts w:hint="eastAsia" w:cs="Times New Roman"/>
          <w:color w:val="auto"/>
          <w:szCs w:val="28"/>
          <w:highlight w:val="none"/>
        </w:rPr>
        <w:t>11.3.1</w:t>
      </w:r>
      <w:r>
        <w:rPr>
          <w:rFonts w:hint="eastAsia" w:cs="Times New Roman"/>
          <w:color w:val="auto"/>
          <w:szCs w:val="28"/>
          <w:highlight w:val="none"/>
          <w:lang w:val="en-US" w:eastAsia="zh-CN"/>
        </w:rPr>
        <w:t>4</w:t>
      </w:r>
      <w:r>
        <w:rPr>
          <w:rFonts w:hint="eastAsia" w:cs="Times New Roman"/>
          <w:color w:val="auto"/>
          <w:szCs w:val="28"/>
          <w:highlight w:val="none"/>
        </w:rPr>
        <w:t xml:space="preserve"> 其他</w:t>
      </w:r>
    </w:p>
    <w:p w14:paraId="067BD27F">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槽上供料系统桥架和电缆</w:t>
      </w:r>
      <w:r>
        <w:rPr>
          <w:rFonts w:hint="eastAsia" w:ascii="Times New Roman"/>
          <w:color w:val="auto"/>
          <w:highlight w:val="none"/>
          <w:lang w:val="en-US" w:eastAsia="zh-CN"/>
        </w:rPr>
        <w:t>利旧</w:t>
      </w:r>
      <w:r>
        <w:rPr>
          <w:rFonts w:hint="eastAsia" w:ascii="Times New Roman"/>
          <w:color w:val="auto"/>
          <w:highlight w:val="none"/>
        </w:rPr>
        <w:t>。</w:t>
      </w:r>
    </w:p>
    <w:p w14:paraId="7BB7E191">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槽下供配料及上料系统桥架和电缆</w:t>
      </w:r>
      <w:r>
        <w:rPr>
          <w:rFonts w:hint="eastAsia" w:ascii="Times New Roman"/>
          <w:color w:val="auto"/>
          <w:highlight w:val="none"/>
          <w:lang w:val="en-US" w:eastAsia="zh-CN"/>
        </w:rPr>
        <w:t>利旧</w:t>
      </w:r>
      <w:r>
        <w:rPr>
          <w:rFonts w:hint="eastAsia" w:ascii="Times New Roman"/>
          <w:color w:val="auto"/>
          <w:highlight w:val="none"/>
        </w:rPr>
        <w:t>。</w:t>
      </w:r>
    </w:p>
    <w:p w14:paraId="1EAC2D77">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炉顶桥架和电缆</w:t>
      </w:r>
      <w:r>
        <w:rPr>
          <w:rFonts w:hint="eastAsia" w:ascii="Times New Roman"/>
          <w:color w:val="auto"/>
          <w:highlight w:val="none"/>
          <w:lang w:val="en-US" w:eastAsia="zh-CN"/>
        </w:rPr>
        <w:t>利旧。</w:t>
      </w:r>
    </w:p>
    <w:p w14:paraId="1D5C9C82">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粗煤气系统桥架和电缆</w:t>
      </w:r>
      <w:r>
        <w:rPr>
          <w:rFonts w:hint="eastAsia" w:ascii="Times New Roman"/>
          <w:color w:val="auto"/>
          <w:highlight w:val="none"/>
          <w:lang w:val="en-US" w:eastAsia="zh-CN"/>
        </w:rPr>
        <w:t>利旧</w:t>
      </w:r>
      <w:r>
        <w:rPr>
          <w:rFonts w:hint="eastAsia" w:ascii="Times New Roman"/>
          <w:color w:val="auto"/>
          <w:highlight w:val="none"/>
        </w:rPr>
        <w:t>。</w:t>
      </w:r>
    </w:p>
    <w:p w14:paraId="7CADF12C">
      <w:pPr>
        <w:numPr>
          <w:ilvl w:val="0"/>
          <w:numId w:val="30"/>
        </w:numPr>
        <w:shd w:val="clear"/>
        <w:ind w:left="0" w:firstLine="567" w:firstLineChars="0"/>
        <w:rPr>
          <w:rFonts w:ascii="Times New Roman"/>
          <w:color w:val="auto"/>
          <w:highlight w:val="none"/>
        </w:rPr>
      </w:pPr>
      <w:r>
        <w:rPr>
          <w:rFonts w:hint="eastAsia" w:ascii="Times New Roman"/>
          <w:color w:val="auto"/>
          <w:highlight w:val="none"/>
        </w:rPr>
        <w:t>出铁场系统桥架和电缆</w:t>
      </w:r>
      <w:r>
        <w:rPr>
          <w:rFonts w:hint="eastAsia" w:ascii="Times New Roman"/>
          <w:color w:val="auto"/>
          <w:highlight w:val="none"/>
          <w:lang w:val="en-US" w:eastAsia="zh-CN"/>
        </w:rPr>
        <w:t>利旧</w:t>
      </w:r>
      <w:r>
        <w:rPr>
          <w:rFonts w:hint="eastAsia" w:ascii="Times New Roman"/>
          <w:color w:val="auto"/>
          <w:highlight w:val="none"/>
        </w:rPr>
        <w:t>。</w:t>
      </w:r>
    </w:p>
    <w:p w14:paraId="63148727">
      <w:pPr>
        <w:numPr>
          <w:ilvl w:val="0"/>
          <w:numId w:val="30"/>
        </w:numPr>
        <w:shd w:val="clear"/>
        <w:ind w:left="0" w:firstLine="567" w:firstLineChars="0"/>
        <w:rPr>
          <w:rFonts w:ascii="Times New Roman"/>
          <w:color w:val="auto"/>
          <w:highlight w:val="none"/>
        </w:rPr>
      </w:pPr>
      <w:r>
        <w:rPr>
          <w:rFonts w:hint="eastAsia" w:ascii="Times New Roman"/>
          <w:color w:val="auto"/>
          <w:highlight w:val="none"/>
          <w:lang w:val="en-US" w:eastAsia="zh-CN"/>
        </w:rPr>
        <w:t>煤气净化</w:t>
      </w:r>
      <w:r>
        <w:rPr>
          <w:rFonts w:hint="eastAsia" w:ascii="Times New Roman"/>
          <w:color w:val="auto"/>
          <w:highlight w:val="none"/>
        </w:rPr>
        <w:t>桥架和电缆</w:t>
      </w:r>
      <w:r>
        <w:rPr>
          <w:rFonts w:hint="eastAsia" w:ascii="Times New Roman"/>
          <w:color w:val="auto"/>
          <w:highlight w:val="none"/>
          <w:lang w:val="en-US" w:eastAsia="zh-CN"/>
        </w:rPr>
        <w:t>利旧。</w:t>
      </w:r>
    </w:p>
    <w:p w14:paraId="7DA9078E">
      <w:pPr>
        <w:shd w:val="clear"/>
        <w:ind w:firstLine="0" w:firstLineChars="0"/>
        <w:outlineLvl w:val="1"/>
        <w:rPr>
          <w:rFonts w:cs="Times New Roman"/>
          <w:b/>
          <w:color w:val="auto"/>
          <w:sz w:val="28"/>
          <w:szCs w:val="28"/>
          <w:highlight w:val="none"/>
        </w:rPr>
      </w:pPr>
      <w:bookmarkStart w:id="885" w:name="_Toc29793"/>
      <w:bookmarkStart w:id="886" w:name="_Toc19308"/>
      <w:bookmarkStart w:id="887" w:name="_Toc28210"/>
      <w:bookmarkStart w:id="888" w:name="_Toc24595"/>
      <w:bookmarkStart w:id="889" w:name="_Toc16877"/>
      <w:bookmarkStart w:id="890" w:name="_Toc20697"/>
      <w:r>
        <w:rPr>
          <w:rFonts w:hint="eastAsia" w:cs="Times New Roman"/>
          <w:b/>
          <w:color w:val="auto"/>
          <w:sz w:val="28"/>
          <w:szCs w:val="28"/>
          <w:highlight w:val="none"/>
        </w:rPr>
        <w:t>11.4 仪表选型</w:t>
      </w:r>
      <w:bookmarkEnd w:id="885"/>
      <w:bookmarkEnd w:id="886"/>
      <w:bookmarkEnd w:id="887"/>
      <w:bookmarkEnd w:id="888"/>
      <w:bookmarkEnd w:id="889"/>
      <w:bookmarkEnd w:id="890"/>
    </w:p>
    <w:p w14:paraId="78ADE924">
      <w:pPr>
        <w:shd w:val="clear"/>
        <w:rPr>
          <w:color w:val="auto"/>
          <w:highlight w:val="none"/>
        </w:rPr>
      </w:pPr>
      <w:r>
        <w:rPr>
          <w:color w:val="auto"/>
          <w:highlight w:val="none"/>
        </w:rPr>
        <w:t>以经济、实用、先进、安全为原则，充分考虑现场环境的适应性。</w:t>
      </w:r>
    </w:p>
    <w:p w14:paraId="4B1BBB4E">
      <w:pPr>
        <w:shd w:val="clear"/>
        <w:rPr>
          <w:color w:val="auto"/>
          <w:highlight w:val="none"/>
        </w:rPr>
      </w:pPr>
      <w:r>
        <w:rPr>
          <w:rFonts w:hint="eastAsia"/>
          <w:color w:val="auto"/>
          <w:highlight w:val="none"/>
        </w:rPr>
        <w:t>仪表设备在选型时，应遵循《酒钢（集团）自动化仪表配置及验收标准》，并根据现场的环境情况，选择防酸碱、防爆或禁油脱脂等类型的仪表设备，以保证各工艺过程安全、正常生产的顺利进行。</w:t>
      </w:r>
    </w:p>
    <w:p w14:paraId="7E252201">
      <w:pPr>
        <w:shd w:val="clear"/>
        <w:rPr>
          <w:color w:val="auto"/>
          <w:highlight w:val="none"/>
        </w:rPr>
      </w:pPr>
      <w:r>
        <w:rPr>
          <w:color w:val="auto"/>
          <w:highlight w:val="none"/>
        </w:rPr>
        <w:t>1）温度仪表：</w:t>
      </w:r>
    </w:p>
    <w:p w14:paraId="1BF250EB">
      <w:pPr>
        <w:shd w:val="clear"/>
        <w:rPr>
          <w:color w:val="auto"/>
          <w:highlight w:val="none"/>
        </w:rPr>
      </w:pPr>
      <w:r>
        <w:rPr>
          <w:color w:val="auto"/>
          <w:highlight w:val="none"/>
        </w:rPr>
        <w:t>接触式温度测量采用热电偶和热电阻，冷却壁测温、冷却水测温等重要测点采用双支热电偶（阻）；现场温度计采用双金属温度计；在大型电动机轴瓦、靠近泵出口等振动较大的位置时应采用耐震型热电阻</w:t>
      </w:r>
      <w:r>
        <w:rPr>
          <w:rFonts w:hint="eastAsia"/>
          <w:color w:val="auto"/>
          <w:highlight w:val="none"/>
        </w:rPr>
        <w:t>。</w:t>
      </w:r>
    </w:p>
    <w:p w14:paraId="68F6785F">
      <w:pPr>
        <w:shd w:val="clear"/>
        <w:rPr>
          <w:color w:val="auto"/>
          <w:highlight w:val="none"/>
        </w:rPr>
      </w:pPr>
      <w:r>
        <w:rPr>
          <w:color w:val="auto"/>
          <w:highlight w:val="none"/>
        </w:rPr>
        <w:t>热电偶精度为</w:t>
      </w:r>
      <w:r>
        <w:rPr>
          <w:rFonts w:hint="eastAsia"/>
          <w:color w:val="auto"/>
          <w:highlight w:val="none"/>
        </w:rPr>
        <w:t>Ⅰ</w:t>
      </w:r>
      <w:r>
        <w:rPr>
          <w:color w:val="auto"/>
          <w:highlight w:val="none"/>
        </w:rPr>
        <w:t>级，其中贵金属热电偶精度为0.5级，热电阻精度为A级。</w:t>
      </w:r>
    </w:p>
    <w:p w14:paraId="0274A912">
      <w:pPr>
        <w:shd w:val="clear"/>
        <w:rPr>
          <w:color w:val="auto"/>
          <w:highlight w:val="none"/>
        </w:rPr>
      </w:pPr>
      <w:r>
        <w:rPr>
          <w:color w:val="auto"/>
          <w:highlight w:val="none"/>
        </w:rPr>
        <w:t>2）压力/差压仪表：</w:t>
      </w:r>
    </w:p>
    <w:p w14:paraId="67785165">
      <w:pPr>
        <w:shd w:val="clear"/>
        <w:rPr>
          <w:color w:val="auto"/>
          <w:highlight w:val="none"/>
        </w:rPr>
      </w:pPr>
      <w:r>
        <w:rPr>
          <w:color w:val="auto"/>
          <w:highlight w:val="none"/>
        </w:rPr>
        <w:t>压力表：根据工况条件选用弹簧管压力表、膜盒压力表、隔膜压力表、膜片压力表、专用压力表等。防震场合如水泵出口，选用防震压力表。</w:t>
      </w:r>
    </w:p>
    <w:p w14:paraId="73AC0052">
      <w:pPr>
        <w:shd w:val="clear"/>
        <w:rPr>
          <w:color w:val="auto"/>
          <w:highlight w:val="none"/>
        </w:rPr>
      </w:pPr>
      <w:r>
        <w:rPr>
          <w:color w:val="auto"/>
          <w:highlight w:val="none"/>
        </w:rPr>
        <w:t>压力、差压变送器选用可靠的智能产品；带数字表头现场显示压力值，精度不低于±0.1%，依据所在区域整体通讯模式，选择带HART通讯协议或现场总线，以保证信号传输的统一性。</w:t>
      </w:r>
    </w:p>
    <w:p w14:paraId="5D7BE131">
      <w:pPr>
        <w:shd w:val="clear"/>
        <w:rPr>
          <w:color w:val="auto"/>
          <w:highlight w:val="none"/>
        </w:rPr>
      </w:pPr>
      <w:r>
        <w:rPr>
          <w:color w:val="auto"/>
          <w:highlight w:val="none"/>
        </w:rPr>
        <w:t>对粘稠、易结晶、含有固体颗粒或腐蚀性介质，选用远程法兰式压力、差压变送器。</w:t>
      </w:r>
    </w:p>
    <w:p w14:paraId="400C589B">
      <w:pPr>
        <w:shd w:val="clear"/>
        <w:rPr>
          <w:color w:val="auto"/>
          <w:highlight w:val="none"/>
        </w:rPr>
      </w:pPr>
      <w:r>
        <w:rPr>
          <w:color w:val="auto"/>
          <w:highlight w:val="none"/>
        </w:rPr>
        <w:t>室内、安装维护方便、震动小等环境较好的场合压力变送器选用直装方式。</w:t>
      </w:r>
    </w:p>
    <w:p w14:paraId="077B50B7">
      <w:pPr>
        <w:shd w:val="clear"/>
        <w:rPr>
          <w:color w:val="auto"/>
          <w:highlight w:val="none"/>
        </w:rPr>
      </w:pPr>
      <w:r>
        <w:rPr>
          <w:rFonts w:hint="eastAsia"/>
          <w:color w:val="auto"/>
          <w:highlight w:val="none"/>
        </w:rPr>
        <w:t>3</w:t>
      </w:r>
      <w:r>
        <w:rPr>
          <w:color w:val="auto"/>
          <w:highlight w:val="none"/>
        </w:rPr>
        <w:t>）物位仪表：</w:t>
      </w:r>
    </w:p>
    <w:p w14:paraId="78C9D738">
      <w:pPr>
        <w:shd w:val="clear"/>
        <w:rPr>
          <w:color w:val="auto"/>
          <w:highlight w:val="none"/>
        </w:rPr>
      </w:pPr>
      <w:r>
        <w:rPr>
          <w:color w:val="auto"/>
          <w:highlight w:val="none"/>
        </w:rPr>
        <w:t>液位仪表：对于腐蚀性、高粘性、有毒性液体液位的测量采用非接触式测量原理的超声波液位计或雷达液位计；对于工况条件较好的测量对象（如水、电解液、碱液等）选用静压式液位计或差压式液位变送器进行液位测量；在正常工况下液体密度发生明显变化的介质，不采用差压式变送器进行液位测量。</w:t>
      </w:r>
    </w:p>
    <w:p w14:paraId="096939E2">
      <w:pPr>
        <w:shd w:val="clear"/>
        <w:rPr>
          <w:color w:val="auto"/>
          <w:highlight w:val="none"/>
        </w:rPr>
      </w:pPr>
      <w:r>
        <w:rPr>
          <w:color w:val="auto"/>
          <w:highlight w:val="none"/>
        </w:rPr>
        <w:t>料位仪表：白云石、石灰石等料位的测量采用雷达料位计或称重法；烧结矿石、焦炭、煤、铁矿粉、萤石等料位的测量采用高频（&gt;26GHz）雷达料位计；除尘灰等料位的测量</w:t>
      </w:r>
      <w:r>
        <w:rPr>
          <w:rFonts w:hint="eastAsia" w:ascii="Times New Roman"/>
          <w:color w:val="auto"/>
          <w:highlight w:val="none"/>
        </w:rPr>
        <w:t>采用无源核子料位计</w:t>
      </w:r>
      <w:r>
        <w:rPr>
          <w:color w:val="auto"/>
          <w:highlight w:val="none"/>
        </w:rPr>
        <w:t>。</w:t>
      </w:r>
    </w:p>
    <w:p w14:paraId="12E3AEB5">
      <w:pPr>
        <w:shd w:val="clear"/>
        <w:rPr>
          <w:color w:val="auto"/>
          <w:highlight w:val="none"/>
        </w:rPr>
      </w:pPr>
      <w:r>
        <w:rPr>
          <w:rFonts w:hint="eastAsia"/>
          <w:color w:val="auto"/>
          <w:highlight w:val="none"/>
        </w:rPr>
        <w:t>4</w:t>
      </w:r>
      <w:r>
        <w:rPr>
          <w:color w:val="auto"/>
          <w:highlight w:val="none"/>
        </w:rPr>
        <w:t>）流量仪表：</w:t>
      </w:r>
    </w:p>
    <w:p w14:paraId="2BE920F9">
      <w:pPr>
        <w:shd w:val="clear"/>
        <w:rPr>
          <w:color w:val="auto"/>
          <w:highlight w:val="none"/>
        </w:rPr>
      </w:pPr>
      <w:r>
        <w:rPr>
          <w:color w:val="auto"/>
          <w:highlight w:val="none"/>
        </w:rPr>
        <w:t>液体流量测量：水流量测量采用电磁流量计，电磁流量计防护等级：在水沟及其它水淹场合选用IP68型；其它不低于IP65型。</w:t>
      </w:r>
      <w:r>
        <w:rPr>
          <w:rFonts w:hint="eastAsia"/>
          <w:color w:val="auto"/>
          <w:highlight w:val="none"/>
        </w:rPr>
        <w:t>水中含有颗粒物时选用浆液型电磁流量计。风口小套供、回水支管流量测量采用弯管流量计。</w:t>
      </w:r>
    </w:p>
    <w:p w14:paraId="7E77225B">
      <w:pPr>
        <w:shd w:val="clear"/>
        <w:rPr>
          <w:color w:val="auto"/>
          <w:highlight w:val="none"/>
        </w:rPr>
      </w:pPr>
      <w:r>
        <w:rPr>
          <w:color w:val="auto"/>
          <w:highlight w:val="none"/>
        </w:rPr>
        <w:t>气体流量测量：在直管段长度满足安装要求的工况下，管径小于DN600的洁净气体，测量装置选用孔板、涡街、平衡流量计等装置；直管段长度满足安装要求的工况下，管径大于DN600的烟气、脏污气体，测量装置选用差压式均速管类流量测量装置或平衡流量计；蒸汽流量测量采用</w:t>
      </w:r>
      <w:r>
        <w:rPr>
          <w:rFonts w:hint="eastAsia"/>
          <w:color w:val="auto"/>
          <w:highlight w:val="none"/>
        </w:rPr>
        <w:t>焊接式喷嘴</w:t>
      </w:r>
      <w:r>
        <w:rPr>
          <w:color w:val="auto"/>
          <w:highlight w:val="none"/>
        </w:rPr>
        <w:t>流量计；氧气介质的流量传感器及仪表均脱脂禁油。</w:t>
      </w:r>
    </w:p>
    <w:p w14:paraId="1E27DCA8">
      <w:pPr>
        <w:shd w:val="clear"/>
        <w:rPr>
          <w:color w:val="auto"/>
          <w:highlight w:val="none"/>
        </w:rPr>
      </w:pPr>
      <w:r>
        <w:rPr>
          <w:rFonts w:hint="eastAsia"/>
          <w:color w:val="auto"/>
          <w:highlight w:val="none"/>
        </w:rPr>
        <w:t>5</w:t>
      </w:r>
      <w:r>
        <w:rPr>
          <w:color w:val="auto"/>
          <w:highlight w:val="none"/>
        </w:rPr>
        <w:t>）阀门：</w:t>
      </w:r>
    </w:p>
    <w:p w14:paraId="38C1F628">
      <w:pPr>
        <w:shd w:val="clear"/>
        <w:rPr>
          <w:color w:val="auto"/>
          <w:highlight w:val="none"/>
        </w:rPr>
      </w:pPr>
      <w:r>
        <w:rPr>
          <w:color w:val="auto"/>
          <w:highlight w:val="none"/>
        </w:rPr>
        <w:t>重要控制环节调节阀、切断阀采用知名品牌；其他一般环节采用</w:t>
      </w:r>
      <w:r>
        <w:rPr>
          <w:rFonts w:hint="eastAsia"/>
          <w:color w:val="auto"/>
          <w:highlight w:val="none"/>
        </w:rPr>
        <w:t>中国</w:t>
      </w:r>
      <w:r>
        <w:rPr>
          <w:color w:val="auto"/>
          <w:highlight w:val="none"/>
        </w:rPr>
        <w:t>知名优质产品；喷煤区域、氧气区域、煤气区域等爆炸危险场所采用气动调节阀、快切阀；其他区域根据工况选择电动或气动调节阀</w:t>
      </w:r>
      <w:r>
        <w:rPr>
          <w:rFonts w:hint="eastAsia"/>
          <w:color w:val="auto"/>
          <w:highlight w:val="none"/>
        </w:rPr>
        <w:t>、</w:t>
      </w:r>
      <w:r>
        <w:rPr>
          <w:color w:val="auto"/>
          <w:highlight w:val="none"/>
        </w:rPr>
        <w:t>气动切断阀。电气阀门定位器、电磁阀、减压阀、限位开关选用优质品牌产品。</w:t>
      </w:r>
    </w:p>
    <w:p w14:paraId="74731FD5">
      <w:pPr>
        <w:shd w:val="clear"/>
        <w:rPr>
          <w:color w:val="auto"/>
          <w:highlight w:val="none"/>
        </w:rPr>
      </w:pPr>
      <w:r>
        <w:rPr>
          <w:rFonts w:hint="eastAsia"/>
          <w:color w:val="auto"/>
          <w:highlight w:val="none"/>
        </w:rPr>
        <w:t>6</w:t>
      </w:r>
      <w:r>
        <w:rPr>
          <w:color w:val="auto"/>
          <w:highlight w:val="none"/>
        </w:rPr>
        <w:t>）</w:t>
      </w:r>
      <w:r>
        <w:rPr>
          <w:rFonts w:hint="eastAsia"/>
          <w:color w:val="auto"/>
          <w:highlight w:val="none"/>
        </w:rPr>
        <w:t>特殊仪表选型如下：</w:t>
      </w:r>
    </w:p>
    <w:p w14:paraId="66352807">
      <w:pPr>
        <w:shd w:val="clear"/>
        <w:rPr>
          <w:color w:val="auto"/>
          <w:highlight w:val="none"/>
        </w:rPr>
      </w:pPr>
      <w:r>
        <w:rPr>
          <w:color w:val="auto"/>
          <w:highlight w:val="none"/>
        </w:rPr>
        <w:t>高炉炉身热负荷监测采用热负荷专用系统。</w:t>
      </w:r>
    </w:p>
    <w:p w14:paraId="465BC054">
      <w:pPr>
        <w:shd w:val="clear"/>
        <w:rPr>
          <w:color w:val="auto"/>
          <w:highlight w:val="none"/>
        </w:rPr>
      </w:pPr>
      <w:r>
        <w:rPr>
          <w:rFonts w:hint="eastAsia" w:ascii="Times New Roman"/>
          <w:color w:val="auto"/>
          <w:highlight w:val="none"/>
        </w:rPr>
        <w:t>炉底和炉缸侵蚀系统</w:t>
      </w:r>
      <w:r>
        <w:rPr>
          <w:color w:val="auto"/>
          <w:highlight w:val="none"/>
        </w:rPr>
        <w:t>，采用柔性热电偶，热电偶采用</w:t>
      </w:r>
      <w:r>
        <w:rPr>
          <w:rFonts w:hint="eastAsia"/>
          <w:color w:val="auto"/>
          <w:highlight w:val="none"/>
        </w:rPr>
        <w:t>气密引出装置</w:t>
      </w:r>
      <w:r>
        <w:rPr>
          <w:color w:val="auto"/>
          <w:highlight w:val="none"/>
        </w:rPr>
        <w:t>集中引出</w:t>
      </w:r>
      <w:r>
        <w:rPr>
          <w:rFonts w:hint="eastAsia"/>
          <w:color w:val="auto"/>
          <w:highlight w:val="none"/>
        </w:rPr>
        <w:t>并配套端子接线箱</w:t>
      </w:r>
      <w:r>
        <w:rPr>
          <w:color w:val="auto"/>
          <w:highlight w:val="none"/>
        </w:rPr>
        <w:t>。</w:t>
      </w:r>
    </w:p>
    <w:p w14:paraId="23FD7288">
      <w:pPr>
        <w:shd w:val="clear"/>
        <w:ind w:firstLine="0" w:firstLineChars="0"/>
        <w:outlineLvl w:val="1"/>
        <w:rPr>
          <w:rFonts w:cs="Times New Roman"/>
          <w:b/>
          <w:color w:val="auto"/>
          <w:sz w:val="28"/>
          <w:szCs w:val="28"/>
          <w:highlight w:val="none"/>
        </w:rPr>
      </w:pPr>
      <w:bookmarkStart w:id="891" w:name="_Toc23217"/>
      <w:bookmarkStart w:id="892" w:name="_Toc16581"/>
      <w:bookmarkStart w:id="893" w:name="_Toc702"/>
      <w:bookmarkStart w:id="894" w:name="_Toc4257"/>
      <w:bookmarkStart w:id="895" w:name="_Toc15317"/>
      <w:bookmarkStart w:id="896" w:name="_Toc28984"/>
      <w:r>
        <w:rPr>
          <w:rFonts w:hint="eastAsia" w:cs="Times New Roman"/>
          <w:b/>
          <w:color w:val="auto"/>
          <w:sz w:val="28"/>
          <w:szCs w:val="28"/>
          <w:highlight w:val="none"/>
        </w:rPr>
        <w:t>11.5 仪表盘箱柜</w:t>
      </w:r>
      <w:bookmarkEnd w:id="891"/>
      <w:bookmarkEnd w:id="892"/>
      <w:bookmarkEnd w:id="893"/>
      <w:bookmarkEnd w:id="894"/>
      <w:bookmarkEnd w:id="895"/>
      <w:bookmarkEnd w:id="896"/>
    </w:p>
    <w:p w14:paraId="7C970710">
      <w:pPr>
        <w:shd w:val="clear"/>
        <w:rPr>
          <w:color w:val="auto"/>
          <w:highlight w:val="none"/>
        </w:rPr>
      </w:pPr>
      <w:r>
        <w:rPr>
          <w:color w:val="auto"/>
          <w:highlight w:val="none"/>
        </w:rPr>
        <w:t>根据具体需要设置仪表盘、箱、柜，尺寸设计时确定，控制室内盘柜防护等级IP30，现场盘柜防护等级IP54，材质：冷轧钢板。室外及灰尘区域（高炉本体、干法除尘等区域）的变送器加装仪表保护箱，现场仪表保护箱材质为</w:t>
      </w:r>
      <w:r>
        <w:rPr>
          <w:rFonts w:hint="eastAsia"/>
          <w:color w:val="auto"/>
          <w:highlight w:val="none"/>
        </w:rPr>
        <w:t>不锈钢</w:t>
      </w:r>
      <w:r>
        <w:rPr>
          <w:color w:val="auto"/>
          <w:highlight w:val="none"/>
        </w:rPr>
        <w:t>。</w:t>
      </w:r>
    </w:p>
    <w:p w14:paraId="0D9F8E92">
      <w:pPr>
        <w:shd w:val="clear"/>
        <w:ind w:firstLine="0" w:firstLineChars="0"/>
        <w:outlineLvl w:val="1"/>
        <w:rPr>
          <w:rFonts w:cs="Times New Roman"/>
          <w:b/>
          <w:color w:val="auto"/>
          <w:sz w:val="28"/>
          <w:szCs w:val="28"/>
          <w:highlight w:val="none"/>
        </w:rPr>
      </w:pPr>
      <w:bookmarkStart w:id="897" w:name="_Toc10959"/>
      <w:bookmarkStart w:id="898" w:name="_Toc18133"/>
      <w:bookmarkStart w:id="899" w:name="_Toc30372"/>
      <w:bookmarkStart w:id="900" w:name="_Toc19884"/>
      <w:bookmarkStart w:id="901" w:name="_Toc9746"/>
      <w:bookmarkStart w:id="902" w:name="_Toc1498"/>
      <w:r>
        <w:rPr>
          <w:rFonts w:hint="eastAsia" w:cs="Times New Roman"/>
          <w:b/>
          <w:color w:val="auto"/>
          <w:sz w:val="28"/>
          <w:szCs w:val="28"/>
          <w:highlight w:val="none"/>
        </w:rPr>
        <w:t>11.6 其它</w:t>
      </w:r>
      <w:bookmarkEnd w:id="897"/>
      <w:bookmarkEnd w:id="898"/>
      <w:bookmarkEnd w:id="899"/>
      <w:bookmarkEnd w:id="900"/>
      <w:bookmarkEnd w:id="901"/>
      <w:bookmarkEnd w:id="902"/>
    </w:p>
    <w:p w14:paraId="678A321D">
      <w:pPr>
        <w:shd w:val="clear"/>
        <w:rPr>
          <w:color w:val="auto"/>
          <w:highlight w:val="none"/>
        </w:rPr>
      </w:pPr>
      <w:r>
        <w:rPr>
          <w:color w:val="auto"/>
          <w:highlight w:val="none"/>
        </w:rPr>
        <w:t>模拟量输入输出信号和温度信号均直接进入控制系统。</w:t>
      </w:r>
    </w:p>
    <w:p w14:paraId="2B019CD1">
      <w:pPr>
        <w:shd w:val="clear"/>
        <w:rPr>
          <w:color w:val="auto"/>
          <w:highlight w:val="none"/>
        </w:rPr>
      </w:pPr>
      <w:r>
        <w:rPr>
          <w:rFonts w:hint="eastAsia"/>
          <w:color w:val="auto"/>
          <w:highlight w:val="none"/>
        </w:rPr>
        <w:t>除特殊仪表和部分成套装置，</w:t>
      </w:r>
      <w:r>
        <w:rPr>
          <w:color w:val="auto"/>
          <w:highlight w:val="none"/>
        </w:rPr>
        <w:t>现场信号均直接进控制柜或仪表柜，不加中间接线箱</w:t>
      </w:r>
      <w:r>
        <w:rPr>
          <w:rFonts w:hint="eastAsia"/>
          <w:color w:val="auto"/>
          <w:highlight w:val="none"/>
        </w:rPr>
        <w:t>。</w:t>
      </w:r>
    </w:p>
    <w:p w14:paraId="36916AC4">
      <w:pPr>
        <w:shd w:val="clear"/>
        <w:ind w:firstLine="0" w:firstLineChars="0"/>
        <w:outlineLvl w:val="1"/>
        <w:rPr>
          <w:rFonts w:cs="Times New Roman"/>
          <w:b/>
          <w:color w:val="auto"/>
          <w:sz w:val="28"/>
          <w:szCs w:val="28"/>
          <w:highlight w:val="none"/>
        </w:rPr>
      </w:pPr>
      <w:bookmarkStart w:id="903" w:name="_Toc23523"/>
      <w:bookmarkStart w:id="904" w:name="_Toc28529"/>
      <w:bookmarkStart w:id="905" w:name="_Toc24247"/>
      <w:bookmarkStart w:id="906" w:name="_Toc21749"/>
      <w:bookmarkStart w:id="907" w:name="_Toc4576"/>
      <w:bookmarkStart w:id="908" w:name="_Toc31893"/>
      <w:r>
        <w:rPr>
          <w:rFonts w:hint="eastAsia" w:cs="Times New Roman"/>
          <w:b/>
          <w:color w:val="auto"/>
          <w:sz w:val="28"/>
          <w:szCs w:val="28"/>
          <w:highlight w:val="none"/>
        </w:rPr>
        <w:t>11.7 控制室设置</w:t>
      </w:r>
      <w:bookmarkEnd w:id="903"/>
      <w:bookmarkEnd w:id="904"/>
      <w:bookmarkEnd w:id="905"/>
      <w:bookmarkEnd w:id="906"/>
      <w:bookmarkEnd w:id="907"/>
      <w:bookmarkEnd w:id="908"/>
    </w:p>
    <w:p w14:paraId="20EC5F2F">
      <w:pPr>
        <w:shd w:val="clear"/>
        <w:rPr>
          <w:color w:val="auto"/>
          <w:highlight w:val="none"/>
        </w:rPr>
      </w:pPr>
      <w:r>
        <w:rPr>
          <w:rFonts w:hint="eastAsia"/>
          <w:color w:val="auto"/>
          <w:highlight w:val="none"/>
        </w:rPr>
        <w:t>各控制室见电气专业说明。</w:t>
      </w:r>
    </w:p>
    <w:p w14:paraId="1A70F7C2">
      <w:pPr>
        <w:shd w:val="clear"/>
        <w:ind w:firstLine="0" w:firstLineChars="0"/>
        <w:outlineLvl w:val="1"/>
        <w:rPr>
          <w:rFonts w:cs="Times New Roman"/>
          <w:b/>
          <w:color w:val="auto"/>
          <w:sz w:val="28"/>
          <w:szCs w:val="28"/>
          <w:highlight w:val="none"/>
        </w:rPr>
      </w:pPr>
      <w:bookmarkStart w:id="909" w:name="_Toc511287777"/>
      <w:bookmarkStart w:id="910" w:name="_Toc513477971"/>
      <w:bookmarkStart w:id="911" w:name="_Toc512530583"/>
      <w:bookmarkStart w:id="912" w:name="_Toc21184"/>
      <w:bookmarkStart w:id="913" w:name="_Toc23868"/>
      <w:bookmarkStart w:id="914" w:name="_Toc511116055"/>
      <w:bookmarkStart w:id="915" w:name="_Toc523907953"/>
      <w:bookmarkStart w:id="916" w:name="_Toc535241385"/>
      <w:bookmarkStart w:id="917" w:name="_Toc774"/>
      <w:bookmarkStart w:id="918" w:name="_Toc535174614"/>
      <w:bookmarkStart w:id="919" w:name="_Toc511115986"/>
      <w:bookmarkStart w:id="920" w:name="_Toc30663"/>
      <w:bookmarkStart w:id="921" w:name="_Toc31821"/>
      <w:bookmarkStart w:id="922" w:name="_Toc534276295"/>
      <w:bookmarkStart w:id="923" w:name="_Toc10529"/>
      <w:bookmarkStart w:id="924" w:name="_Toc98767212"/>
      <w:bookmarkStart w:id="925" w:name="_Toc13935"/>
      <w:r>
        <w:rPr>
          <w:rFonts w:hint="eastAsia" w:cs="Times New Roman"/>
          <w:b/>
          <w:color w:val="auto"/>
          <w:sz w:val="28"/>
          <w:szCs w:val="28"/>
          <w:highlight w:val="none"/>
        </w:rPr>
        <w:t>11.8 电源</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14:paraId="694053F9">
      <w:pPr>
        <w:shd w:val="clear"/>
        <w:rPr>
          <w:color w:val="auto"/>
          <w:highlight w:val="none"/>
        </w:rPr>
      </w:pPr>
      <w:r>
        <w:rPr>
          <w:color w:val="auto"/>
          <w:highlight w:val="none"/>
        </w:rPr>
        <w:t>由电气专业分区域集中供给，控制系统及重要检测设备由工业不间断电源供电。</w:t>
      </w:r>
    </w:p>
    <w:p w14:paraId="34B4A293">
      <w:pPr>
        <w:shd w:val="clear"/>
        <w:rPr>
          <w:color w:val="auto"/>
          <w:highlight w:val="none"/>
        </w:rPr>
      </w:pPr>
      <w:r>
        <w:rPr>
          <w:color w:val="auto"/>
          <w:highlight w:val="none"/>
        </w:rPr>
        <w:t>现场仪表供电，电压</w:t>
      </w:r>
      <w:r>
        <w:rPr>
          <w:rFonts w:hint="eastAsia"/>
          <w:color w:val="auto"/>
          <w:highlight w:val="none"/>
        </w:rPr>
        <w:t>：</w:t>
      </w:r>
      <w:r>
        <w:rPr>
          <w:color w:val="auto"/>
          <w:highlight w:val="none"/>
        </w:rPr>
        <w:t>220VAC /50HZ</w:t>
      </w:r>
      <w:r>
        <w:rPr>
          <w:rFonts w:hint="eastAsia"/>
          <w:color w:val="auto"/>
          <w:highlight w:val="none"/>
        </w:rPr>
        <w:t>、</w:t>
      </w:r>
      <w:r>
        <w:rPr>
          <w:color w:val="auto"/>
          <w:highlight w:val="none"/>
        </w:rPr>
        <w:t>24VDC。</w:t>
      </w:r>
    </w:p>
    <w:p w14:paraId="429383AE">
      <w:pPr>
        <w:shd w:val="clear"/>
        <w:rPr>
          <w:color w:val="auto"/>
          <w:highlight w:val="none"/>
        </w:rPr>
      </w:pPr>
      <w:r>
        <w:rPr>
          <w:color w:val="auto"/>
          <w:highlight w:val="none"/>
        </w:rPr>
        <w:t>电磁阀供电</w:t>
      </w:r>
      <w:r>
        <w:rPr>
          <w:rFonts w:hint="eastAsia"/>
          <w:color w:val="auto"/>
          <w:highlight w:val="none"/>
        </w:rPr>
        <w:t>：</w:t>
      </w:r>
      <w:r>
        <w:rPr>
          <w:color w:val="auto"/>
          <w:highlight w:val="none"/>
        </w:rPr>
        <w:t>24V DC。</w:t>
      </w:r>
    </w:p>
    <w:p w14:paraId="4DD8BAC0">
      <w:pPr>
        <w:shd w:val="clear"/>
        <w:rPr>
          <w:color w:val="auto"/>
          <w:highlight w:val="none"/>
        </w:rPr>
      </w:pPr>
      <w:bookmarkStart w:id="926" w:name="_Toc2387"/>
      <w:bookmarkStart w:id="927" w:name="_Toc19764"/>
      <w:bookmarkStart w:id="928" w:name="_Toc535174615"/>
      <w:bookmarkStart w:id="929" w:name="_Toc534276296"/>
      <w:bookmarkStart w:id="930" w:name="_Toc535241386"/>
      <w:bookmarkStart w:id="931" w:name="_Toc11401"/>
      <w:bookmarkStart w:id="932" w:name="_Toc2254"/>
      <w:bookmarkStart w:id="933" w:name="_Toc26703"/>
      <w:bookmarkStart w:id="934" w:name="_Toc98767213"/>
      <w:r>
        <w:rPr>
          <w:rFonts w:hint="eastAsia"/>
          <w:color w:val="auto"/>
          <w:highlight w:val="none"/>
        </w:rPr>
        <w:t>新建系统仪表24V电源采用双电源冗余方式，由PLC系统</w:t>
      </w:r>
      <w:r>
        <w:rPr>
          <w:color w:val="auto"/>
          <w:highlight w:val="none"/>
        </w:rPr>
        <w:t>集中供给</w:t>
      </w:r>
      <w:r>
        <w:rPr>
          <w:rFonts w:hint="eastAsia"/>
          <w:color w:val="auto"/>
          <w:highlight w:val="none"/>
        </w:rPr>
        <w:t>。</w:t>
      </w:r>
    </w:p>
    <w:p w14:paraId="574CAE60">
      <w:pPr>
        <w:shd w:val="clear"/>
        <w:rPr>
          <w:color w:val="auto"/>
          <w:highlight w:val="none"/>
        </w:rPr>
      </w:pPr>
      <w:r>
        <w:rPr>
          <w:rFonts w:hint="eastAsia"/>
          <w:color w:val="auto"/>
          <w:highlight w:val="none"/>
        </w:rPr>
        <w:t>CEMS系统在线分析小房配备</w:t>
      </w:r>
      <w:r>
        <w:rPr>
          <w:rFonts w:hint="eastAsia"/>
          <w:color w:val="auto"/>
          <w:highlight w:val="none"/>
          <w:lang w:val="en-US" w:eastAsia="zh-CN"/>
        </w:rPr>
        <w:t>不小于</w:t>
      </w:r>
      <w:r>
        <w:rPr>
          <w:rFonts w:hint="eastAsia"/>
          <w:color w:val="auto"/>
          <w:highlight w:val="none"/>
        </w:rPr>
        <w:t>1</w:t>
      </w:r>
      <w:r>
        <w:rPr>
          <w:rFonts w:hint="eastAsia"/>
          <w:color w:val="auto"/>
          <w:highlight w:val="none"/>
          <w:lang w:val="en-US" w:eastAsia="zh-CN"/>
        </w:rPr>
        <w:t xml:space="preserve">0kW </w:t>
      </w:r>
      <w:r>
        <w:rPr>
          <w:rFonts w:hint="eastAsia"/>
          <w:color w:val="auto"/>
          <w:highlight w:val="none"/>
        </w:rPr>
        <w:t>UPS电源。</w:t>
      </w:r>
    </w:p>
    <w:p w14:paraId="5586AB6F">
      <w:pPr>
        <w:shd w:val="clear"/>
        <w:ind w:firstLine="0" w:firstLineChars="0"/>
        <w:outlineLvl w:val="1"/>
        <w:rPr>
          <w:rFonts w:cs="Times New Roman"/>
          <w:b/>
          <w:color w:val="auto"/>
          <w:sz w:val="28"/>
          <w:szCs w:val="28"/>
          <w:highlight w:val="none"/>
        </w:rPr>
      </w:pPr>
      <w:bookmarkStart w:id="935" w:name="_Toc28630"/>
      <w:bookmarkStart w:id="936" w:name="_Toc30617"/>
      <w:r>
        <w:rPr>
          <w:rFonts w:hint="eastAsia" w:cs="Times New Roman"/>
          <w:b/>
          <w:color w:val="auto"/>
          <w:sz w:val="28"/>
          <w:szCs w:val="28"/>
          <w:highlight w:val="none"/>
        </w:rPr>
        <w:t>11.9 检测设备气源</w:t>
      </w:r>
      <w:bookmarkEnd w:id="926"/>
      <w:bookmarkEnd w:id="927"/>
      <w:bookmarkEnd w:id="928"/>
      <w:bookmarkEnd w:id="929"/>
      <w:bookmarkEnd w:id="930"/>
      <w:bookmarkEnd w:id="931"/>
      <w:bookmarkEnd w:id="932"/>
      <w:bookmarkEnd w:id="933"/>
      <w:bookmarkEnd w:id="934"/>
      <w:bookmarkEnd w:id="935"/>
      <w:bookmarkEnd w:id="936"/>
    </w:p>
    <w:p w14:paraId="154E7CE1">
      <w:pPr>
        <w:shd w:val="clear"/>
        <w:rPr>
          <w:color w:val="auto"/>
          <w:highlight w:val="none"/>
        </w:rPr>
      </w:pPr>
      <w:r>
        <w:rPr>
          <w:color w:val="auto"/>
          <w:highlight w:val="none"/>
        </w:rPr>
        <w:t>根据设备、作业场所对气源不同的要求，选用压缩空气</w:t>
      </w:r>
      <w:r>
        <w:rPr>
          <w:rFonts w:hint="eastAsia"/>
          <w:color w:val="auto"/>
          <w:highlight w:val="none"/>
        </w:rPr>
        <w:t>或氮气</w:t>
      </w:r>
      <w:r>
        <w:rPr>
          <w:color w:val="auto"/>
          <w:highlight w:val="none"/>
        </w:rPr>
        <w:t>作为仪表气源</w:t>
      </w:r>
    </w:p>
    <w:p w14:paraId="3C0A9BBA">
      <w:pPr>
        <w:shd w:val="clear"/>
        <w:rPr>
          <w:rFonts w:ascii="Times New Roman"/>
          <w:color w:val="auto"/>
          <w:highlight w:val="none"/>
        </w:rPr>
      </w:pPr>
      <w:r>
        <w:rPr>
          <w:rFonts w:hint="eastAsia" w:ascii="Times New Roman"/>
          <w:color w:val="auto"/>
          <w:highlight w:val="none"/>
        </w:rPr>
        <w:t>对气源质量的要求：净化后的干气体露点应比环境温度下限值至少低10℃；净化后的干气体含尘粒度小于3μm；含尘量小于0.1mg/m3；净化后干气体含油量应小于10mg/m3，供气源正常工作压力为0.4MPa～0.6MPa。</w:t>
      </w:r>
    </w:p>
    <w:p w14:paraId="23852D67">
      <w:pPr>
        <w:shd w:val="clear"/>
        <w:ind w:firstLine="0" w:firstLineChars="0"/>
        <w:outlineLvl w:val="1"/>
        <w:rPr>
          <w:rFonts w:cs="Times New Roman"/>
          <w:b/>
          <w:color w:val="auto"/>
          <w:sz w:val="28"/>
          <w:szCs w:val="28"/>
          <w:highlight w:val="none"/>
        </w:rPr>
      </w:pPr>
      <w:bookmarkStart w:id="937" w:name="_Toc11240"/>
      <w:bookmarkStart w:id="938" w:name="_Toc10468"/>
      <w:bookmarkStart w:id="939" w:name="_Toc13148"/>
      <w:bookmarkStart w:id="940" w:name="_Toc3257"/>
      <w:bookmarkStart w:id="941" w:name="_Toc8995"/>
      <w:bookmarkStart w:id="942" w:name="_Toc19234"/>
      <w:r>
        <w:rPr>
          <w:rFonts w:hint="eastAsia" w:cs="Times New Roman"/>
          <w:b/>
          <w:color w:val="auto"/>
          <w:sz w:val="28"/>
          <w:szCs w:val="28"/>
          <w:highlight w:val="none"/>
        </w:rPr>
        <w:t>11.10 仪表及管线伴热和绝热保温</w:t>
      </w:r>
      <w:bookmarkEnd w:id="937"/>
      <w:bookmarkEnd w:id="938"/>
      <w:bookmarkEnd w:id="939"/>
      <w:bookmarkEnd w:id="940"/>
      <w:bookmarkEnd w:id="941"/>
      <w:bookmarkEnd w:id="942"/>
    </w:p>
    <w:p w14:paraId="25F056A4">
      <w:pPr>
        <w:shd w:val="clear"/>
        <w:rPr>
          <w:color w:val="auto"/>
          <w:highlight w:val="none"/>
        </w:rPr>
      </w:pPr>
      <w:r>
        <w:rPr>
          <w:rFonts w:hint="eastAsia"/>
          <w:color w:val="auto"/>
          <w:highlight w:val="none"/>
        </w:rPr>
        <w:t>在环境温度下：仪表不能正常工作时，设置仪表保温箱；</w:t>
      </w:r>
      <w:r>
        <w:rPr>
          <w:color w:val="auto"/>
          <w:highlight w:val="none"/>
        </w:rPr>
        <w:t>液体、含水介质的</w:t>
      </w:r>
      <w:r>
        <w:rPr>
          <w:rFonts w:hint="eastAsia"/>
          <w:color w:val="auto"/>
          <w:highlight w:val="none"/>
        </w:rPr>
        <w:t>测量管线有冻结、冷凝、结晶、析出等现象时，应</w:t>
      </w:r>
      <w:r>
        <w:rPr>
          <w:color w:val="auto"/>
          <w:highlight w:val="none"/>
        </w:rPr>
        <w:t>采用伴热</w:t>
      </w:r>
      <w:r>
        <w:rPr>
          <w:rFonts w:hint="eastAsia"/>
          <w:color w:val="auto"/>
          <w:highlight w:val="none"/>
        </w:rPr>
        <w:t>。</w:t>
      </w:r>
    </w:p>
    <w:p w14:paraId="5DF781FE">
      <w:pPr>
        <w:shd w:val="clear"/>
        <w:rPr>
          <w:color w:val="auto"/>
          <w:highlight w:val="none"/>
        </w:rPr>
      </w:pPr>
      <w:r>
        <w:rPr>
          <w:rFonts w:hint="eastAsia"/>
          <w:color w:val="auto"/>
          <w:highlight w:val="none"/>
        </w:rPr>
        <w:t>伴热方式采用电伴热</w:t>
      </w:r>
      <w:r>
        <w:rPr>
          <w:rFonts w:hint="eastAsia"/>
          <w:color w:val="auto"/>
          <w:highlight w:val="none"/>
          <w:lang w:eastAsia="zh-CN"/>
        </w:rPr>
        <w:t>，</w:t>
      </w:r>
      <w:r>
        <w:rPr>
          <w:rFonts w:hint="eastAsia"/>
          <w:color w:val="auto"/>
          <w:highlight w:val="none"/>
          <w:lang w:val="en-US" w:eastAsia="zh-CN"/>
        </w:rPr>
        <w:t>伴热带配套专用防爆电源接线盒、2通或3通、防爆终端帽、热缩管</w:t>
      </w:r>
      <w:r>
        <w:rPr>
          <w:rFonts w:hint="eastAsia"/>
          <w:color w:val="auto"/>
          <w:highlight w:val="none"/>
        </w:rPr>
        <w:t>；绝热材料选用A级不燃保温棉。</w:t>
      </w:r>
    </w:p>
    <w:p w14:paraId="28631B11">
      <w:pPr>
        <w:shd w:val="clear"/>
        <w:ind w:firstLine="0" w:firstLineChars="0"/>
        <w:outlineLvl w:val="1"/>
        <w:rPr>
          <w:rFonts w:cs="Times New Roman"/>
          <w:b/>
          <w:color w:val="auto"/>
          <w:sz w:val="28"/>
          <w:szCs w:val="28"/>
          <w:highlight w:val="none"/>
        </w:rPr>
      </w:pPr>
      <w:bookmarkStart w:id="943" w:name="_Toc12049"/>
      <w:bookmarkStart w:id="944" w:name="_Toc29498"/>
      <w:bookmarkStart w:id="945" w:name="_Toc511115988"/>
      <w:bookmarkStart w:id="946" w:name="_Toc513477973"/>
      <w:bookmarkStart w:id="947" w:name="_Toc98767214"/>
      <w:bookmarkStart w:id="948" w:name="_Toc32063"/>
      <w:bookmarkStart w:id="949" w:name="_Toc511287779"/>
      <w:bookmarkStart w:id="950" w:name="_Toc523907955"/>
      <w:bookmarkStart w:id="951" w:name="_Toc27102"/>
      <w:bookmarkStart w:id="952" w:name="_Toc535241387"/>
      <w:bookmarkStart w:id="953" w:name="_Toc22037"/>
      <w:bookmarkStart w:id="954" w:name="_Toc6448"/>
      <w:bookmarkStart w:id="955" w:name="_Toc512530585"/>
      <w:bookmarkStart w:id="956" w:name="_Toc511116057"/>
      <w:bookmarkStart w:id="957" w:name="_Toc534276297"/>
      <w:bookmarkStart w:id="958" w:name="_Toc29426"/>
      <w:bookmarkStart w:id="959" w:name="_Toc535174616"/>
      <w:r>
        <w:rPr>
          <w:rFonts w:hint="eastAsia" w:cs="Times New Roman"/>
          <w:b/>
          <w:color w:val="auto"/>
          <w:sz w:val="28"/>
          <w:szCs w:val="28"/>
          <w:highlight w:val="none"/>
        </w:rPr>
        <w:t>11.11 接地</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p>
    <w:p w14:paraId="4B41B86B">
      <w:pPr>
        <w:shd w:val="clear"/>
        <w:rPr>
          <w:color w:val="auto"/>
          <w:highlight w:val="none"/>
        </w:rPr>
      </w:pPr>
      <w:bookmarkStart w:id="960" w:name="_Toc23311"/>
      <w:bookmarkStart w:id="961" w:name="_Toc523907956"/>
      <w:bookmarkStart w:id="962" w:name="_Toc511116058"/>
      <w:bookmarkStart w:id="963" w:name="_Toc9608"/>
      <w:bookmarkStart w:id="964" w:name="_Toc1568"/>
      <w:bookmarkStart w:id="965" w:name="_Toc535174617"/>
      <w:bookmarkStart w:id="966" w:name="_Toc511115989"/>
      <w:bookmarkStart w:id="967" w:name="_Toc511287780"/>
      <w:bookmarkStart w:id="968" w:name="_Toc534276298"/>
      <w:bookmarkStart w:id="969" w:name="_Toc19526"/>
      <w:bookmarkStart w:id="970" w:name="_Toc373826463"/>
      <w:bookmarkStart w:id="971" w:name="_Toc512530586"/>
      <w:bookmarkStart w:id="972" w:name="_Toc98767215"/>
      <w:bookmarkStart w:id="973" w:name="_Toc387336352"/>
      <w:bookmarkStart w:id="974" w:name="_Toc18964"/>
      <w:bookmarkStart w:id="975" w:name="_Toc535241388"/>
      <w:bookmarkStart w:id="976" w:name="_Toc513477974"/>
      <w:r>
        <w:rPr>
          <w:rFonts w:hint="eastAsia"/>
          <w:color w:val="auto"/>
          <w:highlight w:val="none"/>
        </w:rPr>
        <w:t>新建系统接地系统应单独设置接地，分别做保护接地和工作接地，与电气、防雷、构筑物接地系统不能互连,接地电阻≤4Ω。</w:t>
      </w:r>
    </w:p>
    <w:p w14:paraId="2F22A56B">
      <w:pPr>
        <w:shd w:val="clear"/>
        <w:ind w:firstLine="0" w:firstLineChars="0"/>
        <w:outlineLvl w:val="1"/>
        <w:rPr>
          <w:rFonts w:cs="Times New Roman"/>
          <w:b/>
          <w:color w:val="auto"/>
          <w:sz w:val="28"/>
          <w:szCs w:val="28"/>
          <w:highlight w:val="none"/>
        </w:rPr>
      </w:pPr>
      <w:bookmarkStart w:id="977" w:name="_Toc26645"/>
      <w:bookmarkStart w:id="978" w:name="_Toc30535"/>
      <w:r>
        <w:rPr>
          <w:rFonts w:hint="eastAsia" w:cs="Times New Roman"/>
          <w:b/>
          <w:color w:val="auto"/>
          <w:sz w:val="28"/>
          <w:szCs w:val="28"/>
          <w:highlight w:val="none"/>
        </w:rPr>
        <w:t>11.12电缆选型、敷设及其防干扰措施</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p w14:paraId="434E6367">
      <w:pPr>
        <w:shd w:val="clear"/>
        <w:rPr>
          <w:color w:val="auto"/>
          <w:highlight w:val="none"/>
        </w:rPr>
      </w:pPr>
      <w:r>
        <w:rPr>
          <w:color w:val="auto"/>
          <w:highlight w:val="none"/>
        </w:rPr>
        <w:t>现场至控制室的电缆沿桥架、隧道敷设，所有电缆均穿镀锌钢管过渡至电缆桥架敷设，局部穿钢管暗敷设。控制电缆和电力电缆应分层敷设，在同一桥架内控制电缆和电力电缆之间设金属隔板隔离。</w:t>
      </w:r>
    </w:p>
    <w:p w14:paraId="67A2D875">
      <w:pPr>
        <w:shd w:val="clear"/>
        <w:rPr>
          <w:color w:val="auto"/>
          <w:highlight w:val="none"/>
        </w:rPr>
      </w:pPr>
      <w:r>
        <w:rPr>
          <w:color w:val="auto"/>
          <w:highlight w:val="none"/>
        </w:rPr>
        <w:t>在高温区和易燃区采用阻燃耐高温或耐火电缆，电缆敷设时尽可能避免通过高温、爆炸、易燃等区域，确实避不开的采取防护措施。</w:t>
      </w:r>
    </w:p>
    <w:p w14:paraId="1005D094">
      <w:pPr>
        <w:shd w:val="clear"/>
        <w:rPr>
          <w:color w:val="auto"/>
          <w:highlight w:val="none"/>
        </w:rPr>
      </w:pPr>
      <w:r>
        <w:rPr>
          <w:color w:val="auto"/>
          <w:highlight w:val="none"/>
        </w:rPr>
        <w:t>所有电缆分别采用沿电缆沟(室内)、电缆桥架、电缆通廊、穿钢管埋地或穿钢管沿墙、沿柱、沿楼板、沿设备外廓明配相结合的方式敷设。</w:t>
      </w:r>
    </w:p>
    <w:p w14:paraId="36D9699C">
      <w:pPr>
        <w:shd w:val="clear"/>
        <w:rPr>
          <w:color w:val="auto"/>
          <w:highlight w:val="none"/>
        </w:rPr>
      </w:pPr>
      <w:r>
        <w:rPr>
          <w:color w:val="auto"/>
          <w:highlight w:val="none"/>
        </w:rPr>
        <w:t>光缆尽量沿已有的电缆沿桥架、隧道、通廊、电缆沟敷设。无法借助已有管线敷设的，需要单独穿管沿墙、沿柱、沿楼板、沿设备外廓明配相结合的方式敷设。</w:t>
      </w:r>
    </w:p>
    <w:p w14:paraId="666688F2">
      <w:pPr>
        <w:shd w:val="clear"/>
        <w:ind w:firstLine="560"/>
        <w:rPr>
          <w:color w:val="auto"/>
          <w:sz w:val="28"/>
          <w:szCs w:val="28"/>
          <w:highlight w:val="none"/>
        </w:rPr>
      </w:pPr>
    </w:p>
    <w:p w14:paraId="75E27437">
      <w:pPr>
        <w:pStyle w:val="416"/>
        <w:shd w:val="clear"/>
        <w:ind w:firstLine="0" w:firstLineChars="0"/>
        <w:rPr>
          <w:color w:val="auto"/>
          <w:highlight w:val="none"/>
        </w:rPr>
      </w:pPr>
      <w:r>
        <w:rPr>
          <w:rFonts w:hint="eastAsia"/>
          <w:color w:val="auto"/>
          <w:highlight w:val="none"/>
        </w:rPr>
        <w:br w:type="page"/>
      </w:r>
      <w:bookmarkStart w:id="979" w:name="_Toc21640"/>
      <w:bookmarkStart w:id="980" w:name="_Toc26895"/>
      <w:bookmarkStart w:id="981" w:name="_Toc19477"/>
      <w:bookmarkStart w:id="982" w:name="_Toc1396"/>
      <w:bookmarkStart w:id="983" w:name="_Toc17158"/>
      <w:bookmarkStart w:id="984" w:name="_Toc23488"/>
      <w:r>
        <w:rPr>
          <w:rFonts w:hint="eastAsia"/>
          <w:color w:val="auto"/>
          <w:highlight w:val="none"/>
        </w:rPr>
        <w:t>12 总图</w:t>
      </w:r>
      <w:bookmarkEnd w:id="979"/>
      <w:bookmarkEnd w:id="980"/>
      <w:bookmarkEnd w:id="981"/>
      <w:bookmarkEnd w:id="982"/>
      <w:bookmarkEnd w:id="983"/>
      <w:bookmarkEnd w:id="984"/>
    </w:p>
    <w:p w14:paraId="6031D085">
      <w:pPr>
        <w:pStyle w:val="451"/>
        <w:shd w:val="clear"/>
        <w:rPr>
          <w:rFonts w:ascii="Times New Roman" w:hAnsi="Times New Roman"/>
          <w:color w:val="auto"/>
          <w:highlight w:val="none"/>
        </w:rPr>
      </w:pPr>
      <w:bookmarkStart w:id="985" w:name="_Toc5091"/>
      <w:bookmarkStart w:id="986" w:name="_Toc26515"/>
      <w:bookmarkStart w:id="987" w:name="_Toc4833"/>
      <w:bookmarkStart w:id="988" w:name="_Toc23025"/>
      <w:bookmarkStart w:id="989" w:name="_Toc2215"/>
      <w:bookmarkStart w:id="990" w:name="_Toc9061"/>
      <w:r>
        <w:rPr>
          <w:rFonts w:hint="eastAsia" w:ascii="Times New Roman" w:hAnsi="Times New Roman"/>
          <w:color w:val="auto"/>
          <w:highlight w:val="none"/>
        </w:rPr>
        <w:t>12</w:t>
      </w:r>
      <w:r>
        <w:rPr>
          <w:rFonts w:ascii="Times New Roman" w:hAnsi="Times New Roman"/>
          <w:color w:val="auto"/>
          <w:highlight w:val="none"/>
        </w:rPr>
        <w:t>.1 概述</w:t>
      </w:r>
      <w:bookmarkEnd w:id="985"/>
      <w:bookmarkEnd w:id="986"/>
      <w:bookmarkEnd w:id="987"/>
      <w:bookmarkEnd w:id="988"/>
      <w:bookmarkEnd w:id="989"/>
      <w:bookmarkEnd w:id="990"/>
    </w:p>
    <w:p w14:paraId="5E08DB51">
      <w:pPr>
        <w:shd w:val="clear"/>
        <w:rPr>
          <w:rFonts w:ascii="Times New Roman" w:hAnsi="Times New Roman" w:cs="Times New Roman"/>
          <w:color w:val="auto"/>
          <w:highlight w:val="none"/>
        </w:rPr>
      </w:pPr>
      <w:r>
        <w:rPr>
          <w:rFonts w:ascii="Times New Roman" w:hAnsi="Times New Roman" w:cs="Times New Roman"/>
          <w:color w:val="auto"/>
          <w:highlight w:val="none"/>
        </w:rPr>
        <w:t>（1）厂址位置</w:t>
      </w:r>
    </w:p>
    <w:p w14:paraId="39B78C6E">
      <w:pPr>
        <w:shd w:val="clear"/>
        <w:rPr>
          <w:rFonts w:ascii="Times New Roman" w:hAnsi="Times New Roman" w:cs="Times New Roman"/>
          <w:color w:val="auto"/>
          <w:highlight w:val="none"/>
        </w:rPr>
      </w:pPr>
      <w:r>
        <w:rPr>
          <w:rFonts w:ascii="Times New Roman" w:hAnsi="Times New Roman" w:cs="Times New Roman"/>
          <w:color w:val="auto"/>
          <w:highlight w:val="none"/>
        </w:rPr>
        <w:t>酒钢本部宏兴钢铁股份有限公司炼铁厂位于甘肃省嘉峪关市的东北部，兰新铁路东侧，距嘉峪关市中心约2公里。</w:t>
      </w:r>
    </w:p>
    <w:p w14:paraId="4D2419ED">
      <w:pPr>
        <w:pStyle w:val="156"/>
        <w:shd w:val="clear"/>
        <w:adjustRightInd/>
        <w:spacing w:line="360" w:lineRule="auto"/>
        <w:ind w:firstLine="560"/>
        <w:jc w:val="center"/>
        <w:rPr>
          <w:rFonts w:ascii="Times New Roman" w:hAnsi="Times New Roman" w:cs="Times New Roman"/>
          <w:b/>
          <w:color w:val="auto"/>
          <w:sz w:val="28"/>
          <w:szCs w:val="28"/>
          <w:highlight w:val="none"/>
          <w:lang w:val="en-GB"/>
        </w:rPr>
      </w:pPr>
      <w:r>
        <w:rPr>
          <w:rFonts w:ascii="Times New Roman" w:hAnsi="Times New Roman" w:cs="Times New Roman"/>
          <w:color w:val="auto"/>
          <w:sz w:val="28"/>
          <w:szCs w:val="28"/>
          <w:highlight w:val="none"/>
        </w:rPr>
        <w:drawing>
          <wp:inline distT="0" distB="0" distL="114300" distR="114300">
            <wp:extent cx="2393950" cy="1889760"/>
            <wp:effectExtent l="0" t="0" r="6350" b="2540"/>
            <wp:docPr id="44" name="图片 85"/>
            <wp:cNvGraphicFramePr/>
            <a:graphic xmlns:a="http://schemas.openxmlformats.org/drawingml/2006/main">
              <a:graphicData uri="http://schemas.openxmlformats.org/drawingml/2006/picture">
                <pic:pic xmlns:pic="http://schemas.openxmlformats.org/drawingml/2006/picture">
                  <pic:nvPicPr>
                    <pic:cNvPr id="44" name="图片 85"/>
                    <pic:cNvPicPr/>
                  </pic:nvPicPr>
                  <pic:blipFill>
                    <a:blip r:embed="rId16" cstate="print"/>
                    <a:stretch>
                      <a:fillRect/>
                    </a:stretch>
                  </pic:blipFill>
                  <pic:spPr>
                    <a:xfrm>
                      <a:off x="0" y="0"/>
                      <a:ext cx="2394077" cy="1889760"/>
                    </a:xfrm>
                    <a:prstGeom prst="rect">
                      <a:avLst/>
                    </a:prstGeom>
                    <a:noFill/>
                    <a:ln>
                      <a:noFill/>
                    </a:ln>
                  </pic:spPr>
                </pic:pic>
              </a:graphicData>
            </a:graphic>
          </wp:inline>
        </w:drawing>
      </w:r>
      <w:r>
        <w:rPr>
          <w:rFonts w:ascii="Times New Roman" w:hAnsi="Times New Roman" w:cs="Times New Roman"/>
          <w:color w:val="auto"/>
          <w:highlight w:val="none"/>
        </w:rPr>
        <w:drawing>
          <wp:inline distT="0" distB="0" distL="114300" distR="114300">
            <wp:extent cx="2793365" cy="1889760"/>
            <wp:effectExtent l="0" t="0" r="635" b="2540"/>
            <wp:docPr id="47" name="图片 86"/>
            <wp:cNvGraphicFramePr/>
            <a:graphic xmlns:a="http://schemas.openxmlformats.org/drawingml/2006/main">
              <a:graphicData uri="http://schemas.openxmlformats.org/drawingml/2006/picture">
                <pic:pic xmlns:pic="http://schemas.openxmlformats.org/drawingml/2006/picture">
                  <pic:nvPicPr>
                    <pic:cNvPr id="47" name="图片 86"/>
                    <pic:cNvPicPr/>
                  </pic:nvPicPr>
                  <pic:blipFill>
                    <a:blip r:embed="rId17" cstate="print"/>
                    <a:stretch>
                      <a:fillRect/>
                    </a:stretch>
                  </pic:blipFill>
                  <pic:spPr>
                    <a:xfrm>
                      <a:off x="0" y="0"/>
                      <a:ext cx="2793492" cy="1889760"/>
                    </a:xfrm>
                    <a:prstGeom prst="rect">
                      <a:avLst/>
                    </a:prstGeom>
                    <a:noFill/>
                    <a:ln>
                      <a:noFill/>
                    </a:ln>
                  </pic:spPr>
                </pic:pic>
              </a:graphicData>
            </a:graphic>
          </wp:inline>
        </w:drawing>
      </w:r>
    </w:p>
    <w:p w14:paraId="2541FEA1">
      <w:pPr>
        <w:shd w:val="clear"/>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图1</w:t>
      </w:r>
      <w:r>
        <w:rPr>
          <w:rFonts w:hint="eastAsia" w:ascii="Times New Roman" w:hAnsi="Times New Roman" w:cs="Times New Roman"/>
          <w:color w:val="auto"/>
          <w:highlight w:val="none"/>
        </w:rPr>
        <w:t>2</w:t>
      </w:r>
      <w:r>
        <w:rPr>
          <w:rFonts w:ascii="Times New Roman" w:hAnsi="Times New Roman" w:cs="Times New Roman"/>
          <w:color w:val="auto"/>
          <w:highlight w:val="none"/>
        </w:rPr>
        <w:t>-1  酒钢区域位置图</w:t>
      </w:r>
    </w:p>
    <w:p w14:paraId="490DA9A8">
      <w:pPr>
        <w:shd w:val="clear"/>
        <w:jc w:val="center"/>
        <w:rPr>
          <w:rFonts w:ascii="Times New Roman" w:hAnsi="Times New Roman" w:cs="Times New Roman"/>
          <w:color w:val="auto"/>
          <w:sz w:val="28"/>
          <w:szCs w:val="28"/>
          <w:highlight w:val="none"/>
        </w:rPr>
      </w:pPr>
      <w:r>
        <w:rPr>
          <w:rFonts w:ascii="Times New Roman" w:hAnsi="Times New Roman" w:cs="Times New Roman"/>
          <w:color w:val="auto"/>
          <w:highlight w:val="none"/>
        </w:rPr>
        <w:t>本工程厂址位于酒钢的中部，酒钢现有2号高炉厂址区域。北面为现有1号高炉，南面为14号公路及在建的新3号高炉</w:t>
      </w:r>
      <w:r>
        <w:rPr>
          <w:rFonts w:ascii="Times New Roman" w:hAnsi="Times New Roman" w:cs="Times New Roman"/>
          <w:color w:val="auto"/>
          <w:highlight w:val="none"/>
        </w:rPr>
        <w:drawing>
          <wp:inline distT="0" distB="0" distL="114300" distR="114300">
            <wp:extent cx="5273675" cy="3303905"/>
            <wp:effectExtent l="0" t="0" r="9525" b="10795"/>
            <wp:docPr id="50" name="图片 87"/>
            <wp:cNvGraphicFramePr/>
            <a:graphic xmlns:a="http://schemas.openxmlformats.org/drawingml/2006/main">
              <a:graphicData uri="http://schemas.openxmlformats.org/drawingml/2006/picture">
                <pic:pic xmlns:pic="http://schemas.openxmlformats.org/drawingml/2006/picture">
                  <pic:nvPicPr>
                    <pic:cNvPr id="50" name="图片 87"/>
                    <pic:cNvPicPr/>
                  </pic:nvPicPr>
                  <pic:blipFill>
                    <a:blip r:embed="rId18" cstate="print"/>
                    <a:stretch>
                      <a:fillRect/>
                    </a:stretch>
                  </pic:blipFill>
                  <pic:spPr>
                    <a:xfrm>
                      <a:off x="0" y="0"/>
                      <a:ext cx="5274183" cy="3304413"/>
                    </a:xfrm>
                    <a:prstGeom prst="rect">
                      <a:avLst/>
                    </a:prstGeom>
                    <a:noFill/>
                    <a:ln>
                      <a:noFill/>
                    </a:ln>
                  </pic:spPr>
                </pic:pic>
              </a:graphicData>
            </a:graphic>
          </wp:inline>
        </w:drawing>
      </w:r>
    </w:p>
    <w:p w14:paraId="79AEF776">
      <w:pPr>
        <w:shd w:val="clear"/>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图1</w:t>
      </w:r>
      <w:r>
        <w:rPr>
          <w:rFonts w:hint="eastAsia" w:ascii="Times New Roman" w:hAnsi="Times New Roman" w:cs="Times New Roman"/>
          <w:color w:val="auto"/>
          <w:highlight w:val="none"/>
        </w:rPr>
        <w:t>2</w:t>
      </w:r>
      <w:r>
        <w:rPr>
          <w:rFonts w:ascii="Times New Roman" w:hAnsi="Times New Roman" w:cs="Times New Roman"/>
          <w:color w:val="auto"/>
          <w:highlight w:val="none"/>
        </w:rPr>
        <w:t>-</w:t>
      </w:r>
      <w:r>
        <w:rPr>
          <w:rFonts w:hint="eastAsia" w:ascii="Times New Roman" w:hAnsi="Times New Roman" w:cs="Times New Roman"/>
          <w:color w:val="auto"/>
          <w:highlight w:val="none"/>
        </w:rPr>
        <w:t>2</w:t>
      </w:r>
      <w:r>
        <w:rPr>
          <w:rFonts w:ascii="Times New Roman" w:hAnsi="Times New Roman" w:cs="Times New Roman"/>
          <w:color w:val="auto"/>
          <w:highlight w:val="none"/>
        </w:rPr>
        <w:t xml:space="preserve">  2号高炉区域位置图</w:t>
      </w:r>
    </w:p>
    <w:p w14:paraId="4826EFA0">
      <w:pPr>
        <w:shd w:val="clear"/>
        <w:rPr>
          <w:rFonts w:ascii="Times New Roman" w:hAnsi="Times New Roman" w:cs="Times New Roman"/>
          <w:color w:val="auto"/>
          <w:highlight w:val="none"/>
        </w:rPr>
      </w:pPr>
      <w:r>
        <w:rPr>
          <w:rFonts w:ascii="Times New Roman" w:hAnsi="Times New Roman" w:cs="Times New Roman"/>
          <w:color w:val="auto"/>
          <w:highlight w:val="none"/>
        </w:rPr>
        <w:t>（2）气象条件</w:t>
      </w:r>
    </w:p>
    <w:p w14:paraId="55F90BFA">
      <w:pPr>
        <w:shd w:val="clear"/>
        <w:tabs>
          <w:tab w:val="left" w:pos="1708"/>
        </w:tabs>
        <w:ind w:left="480" w:leftChars="200" w:firstLine="0" w:firstLineChars="0"/>
        <w:rPr>
          <w:rFonts w:ascii="Times New Roman" w:hAnsi="Times New Roman" w:cs="Times New Roman"/>
          <w:color w:val="auto"/>
          <w:highlight w:val="none"/>
        </w:rPr>
      </w:pPr>
      <w:r>
        <w:rPr>
          <w:rFonts w:ascii="Times New Roman" w:hAnsi="Times New Roman" w:cs="Times New Roman"/>
          <w:color w:val="auto"/>
          <w:highlight w:val="none"/>
        </w:rPr>
        <w:t xml:space="preserve">嘉峪关地区气候特征明显为冬季寒冷，夏季炎热，昼夜温差大，气候干燥。年平均气温：7.3°C </w:t>
      </w:r>
      <w:r>
        <w:rPr>
          <w:rFonts w:ascii="Times New Roman" w:hAnsi="Times New Roman" w:cs="Times New Roman"/>
          <w:color w:val="auto"/>
          <w:highlight w:val="none"/>
        </w:rPr>
        <w:tab/>
      </w:r>
      <w:r>
        <w:rPr>
          <w:rFonts w:ascii="Times New Roman" w:hAnsi="Times New Roman" w:cs="Times New Roman"/>
          <w:color w:val="auto"/>
          <w:highlight w:val="none"/>
        </w:rPr>
        <w:tab/>
      </w:r>
      <w:r>
        <w:rPr>
          <w:rFonts w:ascii="Times New Roman" w:hAnsi="Times New Roman" w:cs="Times New Roman"/>
          <w:color w:val="auto"/>
          <w:highlight w:val="none"/>
        </w:rPr>
        <w:tab/>
      </w:r>
      <w:r>
        <w:rPr>
          <w:rFonts w:ascii="Times New Roman" w:hAnsi="Times New Roman" w:cs="Times New Roman"/>
          <w:color w:val="auto"/>
          <w:highlight w:val="none"/>
        </w:rPr>
        <w:t>最高温度：38.4°C</w:t>
      </w:r>
    </w:p>
    <w:p w14:paraId="23643DE7">
      <w:pPr>
        <w:shd w:val="clear"/>
        <w:tabs>
          <w:tab w:val="left" w:pos="1708"/>
        </w:tabs>
        <w:rPr>
          <w:rFonts w:ascii="Times New Roman" w:hAnsi="Times New Roman" w:cs="Times New Roman"/>
          <w:color w:val="auto"/>
          <w:highlight w:val="none"/>
        </w:rPr>
      </w:pPr>
      <w:r>
        <w:rPr>
          <w:rFonts w:ascii="Times New Roman" w:hAnsi="Times New Roman" w:cs="Times New Roman"/>
          <w:color w:val="auto"/>
          <w:highlight w:val="none"/>
        </w:rPr>
        <w:t xml:space="preserve">最低温度：-31.6°C      </w:t>
      </w:r>
      <w:r>
        <w:rPr>
          <w:rFonts w:ascii="Times New Roman" w:hAnsi="Times New Roman" w:cs="Times New Roman"/>
          <w:color w:val="auto"/>
          <w:highlight w:val="none"/>
        </w:rPr>
        <w:tab/>
      </w:r>
      <w:r>
        <w:rPr>
          <w:rFonts w:hint="eastAsia" w:ascii="Times New Roman" w:hAnsi="Times New Roman" w:cs="Times New Roman"/>
          <w:color w:val="auto"/>
          <w:highlight w:val="none"/>
        </w:rPr>
        <w:t xml:space="preserve">   </w:t>
      </w:r>
      <w:r>
        <w:rPr>
          <w:rFonts w:ascii="Times New Roman" w:hAnsi="Times New Roman" w:cs="Times New Roman"/>
          <w:color w:val="auto"/>
          <w:highlight w:val="none"/>
        </w:rPr>
        <w:t>年平均降雨量：85.3mm</w:t>
      </w:r>
    </w:p>
    <w:p w14:paraId="7816B8D5">
      <w:pPr>
        <w:shd w:val="clear"/>
        <w:tabs>
          <w:tab w:val="left" w:pos="1708"/>
        </w:tabs>
        <w:rPr>
          <w:rFonts w:ascii="Times New Roman" w:hAnsi="Times New Roman" w:cs="Times New Roman"/>
          <w:color w:val="auto"/>
          <w:highlight w:val="none"/>
        </w:rPr>
      </w:pPr>
      <w:r>
        <w:rPr>
          <w:rFonts w:ascii="Times New Roman" w:hAnsi="Times New Roman" w:cs="Times New Roman"/>
          <w:color w:val="auto"/>
          <w:highlight w:val="none"/>
        </w:rPr>
        <w:t xml:space="preserve">年最大降雨量：165.7mm   </w:t>
      </w:r>
      <w:r>
        <w:rPr>
          <w:rFonts w:ascii="Times New Roman" w:hAnsi="Times New Roman" w:cs="Times New Roman"/>
          <w:color w:val="auto"/>
          <w:highlight w:val="none"/>
        </w:rPr>
        <w:tab/>
      </w:r>
      <w:r>
        <w:rPr>
          <w:rFonts w:ascii="Times New Roman" w:hAnsi="Times New Roman" w:cs="Times New Roman"/>
          <w:color w:val="auto"/>
          <w:highlight w:val="none"/>
        </w:rPr>
        <w:t>最热月平均湿度：52％</w:t>
      </w:r>
    </w:p>
    <w:p w14:paraId="7A360B03">
      <w:pPr>
        <w:shd w:val="clear"/>
        <w:tabs>
          <w:tab w:val="left" w:pos="1708"/>
        </w:tabs>
        <w:rPr>
          <w:rFonts w:ascii="Times New Roman" w:hAnsi="Times New Roman" w:cs="Times New Roman"/>
          <w:color w:val="auto"/>
          <w:highlight w:val="none"/>
        </w:rPr>
      </w:pPr>
      <w:r>
        <w:rPr>
          <w:rFonts w:ascii="Times New Roman" w:hAnsi="Times New Roman" w:cs="Times New Roman"/>
          <w:color w:val="auto"/>
          <w:highlight w:val="none"/>
        </w:rPr>
        <w:t>最冷月平均湿度：55％</w:t>
      </w:r>
      <w:r>
        <w:rPr>
          <w:rFonts w:ascii="Times New Roman" w:hAnsi="Times New Roman" w:cs="Times New Roman"/>
          <w:color w:val="auto"/>
          <w:highlight w:val="none"/>
        </w:rPr>
        <w:tab/>
      </w:r>
      <w:r>
        <w:rPr>
          <w:rFonts w:ascii="Times New Roman" w:hAnsi="Times New Roman" w:cs="Times New Roman"/>
          <w:color w:val="auto"/>
          <w:highlight w:val="none"/>
        </w:rPr>
        <w:t xml:space="preserve">       冬季气压：642mmHg</w:t>
      </w:r>
    </w:p>
    <w:p w14:paraId="7F28D70E">
      <w:pPr>
        <w:shd w:val="clear"/>
        <w:tabs>
          <w:tab w:val="left" w:pos="1708"/>
        </w:tabs>
        <w:rPr>
          <w:rFonts w:ascii="Times New Roman" w:hAnsi="Times New Roman" w:cs="Times New Roman"/>
          <w:color w:val="auto"/>
          <w:highlight w:val="none"/>
        </w:rPr>
      </w:pPr>
      <w:r>
        <w:rPr>
          <w:rFonts w:ascii="Times New Roman" w:hAnsi="Times New Roman" w:cs="Times New Roman"/>
          <w:color w:val="auto"/>
          <w:highlight w:val="none"/>
        </w:rPr>
        <w:t>夏季气压：652mmHg         年蒸发量：2245mm</w:t>
      </w:r>
    </w:p>
    <w:p w14:paraId="5FEA31F8">
      <w:pPr>
        <w:shd w:val="clear"/>
        <w:tabs>
          <w:tab w:val="left" w:pos="1708"/>
        </w:tabs>
        <w:rPr>
          <w:rFonts w:ascii="Times New Roman" w:hAnsi="Times New Roman" w:cs="Times New Roman"/>
          <w:color w:val="auto"/>
          <w:highlight w:val="none"/>
        </w:rPr>
      </w:pPr>
      <w:r>
        <w:rPr>
          <w:rFonts w:ascii="Times New Roman" w:hAnsi="Times New Roman" w:cs="Times New Roman"/>
          <w:color w:val="auto"/>
          <w:highlight w:val="none"/>
        </w:rPr>
        <w:t>年主导风向：西南风</w:t>
      </w:r>
      <w:r>
        <w:rPr>
          <w:rFonts w:ascii="Times New Roman" w:hAnsi="Times New Roman" w:cs="Times New Roman"/>
          <w:color w:val="auto"/>
          <w:highlight w:val="none"/>
        </w:rPr>
        <w:tab/>
      </w:r>
      <w:r>
        <w:rPr>
          <w:rFonts w:ascii="Times New Roman" w:hAnsi="Times New Roman" w:cs="Times New Roman"/>
          <w:color w:val="auto"/>
          <w:highlight w:val="none"/>
        </w:rPr>
        <w:t xml:space="preserve">       夏季主导风向：西北风</w:t>
      </w:r>
    </w:p>
    <w:p w14:paraId="41380C56">
      <w:pPr>
        <w:shd w:val="clear"/>
        <w:tabs>
          <w:tab w:val="left" w:pos="1708"/>
        </w:tabs>
        <w:rPr>
          <w:rFonts w:ascii="Times New Roman" w:hAnsi="Times New Roman" w:cs="Times New Roman"/>
          <w:color w:val="auto"/>
          <w:highlight w:val="none"/>
        </w:rPr>
      </w:pPr>
      <w:r>
        <w:rPr>
          <w:rFonts w:ascii="Times New Roman" w:hAnsi="Times New Roman" w:cs="Times New Roman"/>
          <w:color w:val="auto"/>
          <w:highlight w:val="none"/>
        </w:rPr>
        <w:t xml:space="preserve">最大风速：34m/s         </w:t>
      </w:r>
      <w:r>
        <w:rPr>
          <w:rFonts w:hint="eastAsia" w:ascii="Times New Roman" w:hAnsi="Times New Roman" w:cs="Times New Roman"/>
          <w:color w:val="auto"/>
          <w:highlight w:val="none"/>
        </w:rPr>
        <w:t xml:space="preserve">  </w:t>
      </w:r>
      <w:r>
        <w:rPr>
          <w:rFonts w:ascii="Times New Roman" w:hAnsi="Times New Roman" w:cs="Times New Roman"/>
          <w:color w:val="auto"/>
          <w:highlight w:val="none"/>
        </w:rPr>
        <w:tab/>
      </w:r>
      <w:r>
        <w:rPr>
          <w:rFonts w:ascii="Times New Roman" w:hAnsi="Times New Roman" w:cs="Times New Roman"/>
          <w:color w:val="auto"/>
          <w:highlight w:val="none"/>
        </w:rPr>
        <w:t>土壤冻结深度：-1.2m</w:t>
      </w:r>
    </w:p>
    <w:p w14:paraId="434AEE3C">
      <w:pPr>
        <w:shd w:val="clear"/>
        <w:tabs>
          <w:tab w:val="left" w:pos="1708"/>
        </w:tabs>
        <w:rPr>
          <w:rFonts w:ascii="Times New Roman" w:hAnsi="Times New Roman" w:cs="Times New Roman"/>
          <w:color w:val="auto"/>
          <w:highlight w:val="none"/>
        </w:rPr>
      </w:pPr>
      <w:r>
        <w:rPr>
          <w:rFonts w:ascii="Times New Roman" w:hAnsi="Times New Roman" w:cs="Times New Roman"/>
          <w:color w:val="auto"/>
          <w:highlight w:val="none"/>
        </w:rPr>
        <w:t>（3）地质条件</w:t>
      </w:r>
    </w:p>
    <w:p w14:paraId="7A6C556C">
      <w:pPr>
        <w:shd w:val="clear"/>
        <w:tabs>
          <w:tab w:val="left" w:pos="1708"/>
        </w:tabs>
        <w:rPr>
          <w:rFonts w:ascii="Times New Roman" w:hAnsi="Times New Roman" w:cs="Times New Roman"/>
          <w:color w:val="auto"/>
          <w:highlight w:val="none"/>
        </w:rPr>
      </w:pPr>
      <w:r>
        <w:rPr>
          <w:rFonts w:ascii="Times New Roman" w:hAnsi="Times New Roman" w:cs="Times New Roman"/>
          <w:color w:val="auto"/>
          <w:highlight w:val="none"/>
        </w:rPr>
        <w:t>地质构造简单，岩层单一，自地表起为第四纪冲积而成的卵石层，厚度大于100m，卵石主要由沉积岩碎块组成，成亚圆形，一般粒径为30～70mm，最大量为180mm，碎石坚固，空隙充填中密－密实的中砂约30％；混少量漂石，卵石堆放致密，且多被钙制胶结，处于半胶结－胶结状态，地下水位埋深在80米以下。</w:t>
      </w:r>
    </w:p>
    <w:p w14:paraId="4F3AEB52">
      <w:pPr>
        <w:shd w:val="clear"/>
        <w:tabs>
          <w:tab w:val="left" w:pos="1708"/>
        </w:tabs>
        <w:rPr>
          <w:rFonts w:ascii="Times New Roman" w:hAnsi="Times New Roman" w:cs="Times New Roman"/>
          <w:color w:val="auto"/>
          <w:highlight w:val="none"/>
        </w:rPr>
      </w:pPr>
      <w:r>
        <w:rPr>
          <w:rFonts w:ascii="Times New Roman" w:hAnsi="Times New Roman" w:cs="Times New Roman"/>
          <w:color w:val="auto"/>
          <w:highlight w:val="none"/>
        </w:rPr>
        <w:t>因地基土壤是孔隙为砂所充填的卵石，因此，土壤的物理力学性能较好。</w:t>
      </w:r>
    </w:p>
    <w:p w14:paraId="1A5A7CF7">
      <w:pPr>
        <w:shd w:val="clear"/>
        <w:rPr>
          <w:color w:val="auto"/>
          <w:highlight w:val="none"/>
        </w:rPr>
      </w:pPr>
      <w:r>
        <w:rPr>
          <w:color w:val="auto"/>
          <w:highlight w:val="none"/>
        </w:rPr>
        <w:t>（4）地震烈度</w:t>
      </w:r>
    </w:p>
    <w:p w14:paraId="38AF3A31">
      <w:pPr>
        <w:shd w:val="clear"/>
        <w:rPr>
          <w:color w:val="auto"/>
          <w:highlight w:val="none"/>
        </w:rPr>
      </w:pPr>
      <w:r>
        <w:rPr>
          <w:color w:val="auto"/>
          <w:highlight w:val="none"/>
        </w:rPr>
        <w:t>抗震设防烈度为8度。</w:t>
      </w:r>
    </w:p>
    <w:p w14:paraId="182C6002">
      <w:pPr>
        <w:pStyle w:val="451"/>
        <w:shd w:val="clear"/>
        <w:rPr>
          <w:rFonts w:ascii="Times New Roman" w:hAnsi="Times New Roman"/>
          <w:color w:val="auto"/>
          <w:highlight w:val="none"/>
        </w:rPr>
      </w:pPr>
      <w:bookmarkStart w:id="991" w:name="_Toc11059"/>
      <w:bookmarkStart w:id="992" w:name="_Toc3715"/>
      <w:bookmarkStart w:id="993" w:name="_Toc4517"/>
      <w:bookmarkStart w:id="994" w:name="_Toc14933"/>
      <w:bookmarkStart w:id="995" w:name="_Toc26845"/>
      <w:bookmarkStart w:id="996" w:name="_Toc28400"/>
      <w:r>
        <w:rPr>
          <w:rFonts w:hint="eastAsia" w:ascii="Times New Roman" w:hAnsi="Times New Roman"/>
          <w:color w:val="auto"/>
          <w:highlight w:val="none"/>
        </w:rPr>
        <w:t>12</w:t>
      </w:r>
      <w:r>
        <w:rPr>
          <w:rFonts w:ascii="Times New Roman" w:hAnsi="Times New Roman"/>
          <w:color w:val="auto"/>
          <w:highlight w:val="none"/>
        </w:rPr>
        <w:t>.2 总平面布置</w:t>
      </w:r>
      <w:bookmarkEnd w:id="991"/>
      <w:bookmarkEnd w:id="992"/>
      <w:bookmarkEnd w:id="993"/>
      <w:bookmarkEnd w:id="994"/>
      <w:bookmarkEnd w:id="995"/>
      <w:bookmarkEnd w:id="996"/>
    </w:p>
    <w:p w14:paraId="32126B99">
      <w:pPr>
        <w:shd w:val="clear"/>
        <w:rPr>
          <w:rFonts w:ascii="Times New Roman" w:hAnsi="Times New Roman" w:cs="Times New Roman"/>
          <w:color w:val="auto"/>
          <w:highlight w:val="none"/>
        </w:rPr>
      </w:pPr>
      <w:r>
        <w:rPr>
          <w:rFonts w:ascii="Times New Roman" w:hAnsi="Times New Roman" w:cs="Times New Roman"/>
          <w:color w:val="auto"/>
          <w:highlight w:val="none"/>
        </w:rPr>
        <w:t>本项目新建建、构筑物主要包括新建出铁场除尘、新建酸、碱返仓系统、重力除尘灰仓等。</w:t>
      </w:r>
    </w:p>
    <w:p w14:paraId="52E39753">
      <w:pPr>
        <w:shd w:val="clear"/>
        <w:rPr>
          <w:color w:val="auto"/>
          <w:highlight w:val="none"/>
        </w:rPr>
      </w:pPr>
      <w:r>
        <w:rPr>
          <w:color w:val="auto"/>
          <w:highlight w:val="none"/>
        </w:rPr>
        <w:t>新建出铁场除尘布置在现有地沟除尘位置及南侧区域。新建出铁场除尘电气室位于出铁场除尘器下方。</w:t>
      </w:r>
    </w:p>
    <w:p w14:paraId="42A2AB5A">
      <w:pPr>
        <w:shd w:val="clear"/>
        <w:rPr>
          <w:rFonts w:ascii="Times New Roman" w:hAnsi="Times New Roman" w:cs="Times New Roman"/>
          <w:color w:val="auto"/>
          <w:highlight w:val="none"/>
        </w:rPr>
      </w:pPr>
      <w:r>
        <w:rPr>
          <w:rFonts w:ascii="Times New Roman" w:hAnsi="Times New Roman" w:cs="Times New Roman"/>
          <w:color w:val="auto"/>
          <w:highlight w:val="none"/>
        </w:rPr>
        <w:t>2号高炉新建碱返仓、酸返仓位于矿槽南侧。新建通廊往西再往东，再往南与FK-2胶带机通廊相接。</w:t>
      </w:r>
    </w:p>
    <w:p w14:paraId="1D06881A">
      <w:pPr>
        <w:shd w:val="clear"/>
        <w:rPr>
          <w:rFonts w:ascii="Times New Roman" w:hAnsi="Times New Roman" w:cs="Times New Roman"/>
          <w:color w:val="auto"/>
          <w:highlight w:val="none"/>
        </w:rPr>
      </w:pPr>
      <w:r>
        <w:rPr>
          <w:rFonts w:ascii="Times New Roman" w:hAnsi="Times New Roman" w:cs="Times New Roman"/>
          <w:color w:val="auto"/>
          <w:highlight w:val="none"/>
        </w:rPr>
        <w:t>新建两个重力除尘灰仓布置在2#高炉干法除尘东侧。</w:t>
      </w:r>
    </w:p>
    <w:p w14:paraId="40EFF35C">
      <w:pPr>
        <w:shd w:val="clear"/>
        <w:rPr>
          <w:rFonts w:ascii="Times New Roman" w:hAnsi="Times New Roman" w:cs="Times New Roman"/>
          <w:color w:val="auto"/>
          <w:highlight w:val="none"/>
        </w:rPr>
      </w:pPr>
      <w:r>
        <w:rPr>
          <w:rFonts w:ascii="Times New Roman" w:hAnsi="Times New Roman" w:cs="Times New Roman"/>
          <w:color w:val="auto"/>
          <w:highlight w:val="none"/>
        </w:rPr>
        <w:t>在一泵站西侧增加净环系统150m3/h玻璃钢冷却塔和450m3/h玻璃钢冷却塔各1台。</w:t>
      </w:r>
    </w:p>
    <w:p w14:paraId="4DB06496">
      <w:pPr>
        <w:shd w:val="clear"/>
        <w:rPr>
          <w:rFonts w:ascii="Times New Roman" w:hAnsi="Times New Roman" w:cs="Times New Roman"/>
          <w:color w:val="auto"/>
          <w:highlight w:val="none"/>
        </w:rPr>
      </w:pPr>
      <w:r>
        <w:rPr>
          <w:rFonts w:ascii="Times New Roman" w:hAnsi="Times New Roman" w:cs="Times New Roman"/>
          <w:color w:val="auto"/>
          <w:highlight w:val="none"/>
        </w:rPr>
        <w:t>其它辅助设施靠近主要服务对象就近布置。</w:t>
      </w:r>
    </w:p>
    <w:p w14:paraId="7ADDD4BA">
      <w:pPr>
        <w:shd w:val="clear"/>
        <w:rPr>
          <w:rFonts w:ascii="Times New Roman" w:hAnsi="Times New Roman" w:cs="Times New Roman"/>
          <w:color w:val="auto"/>
          <w:highlight w:val="none"/>
        </w:rPr>
      </w:pPr>
      <w:r>
        <w:rPr>
          <w:rFonts w:ascii="Times New Roman" w:hAnsi="Times New Roman" w:cs="Times New Roman"/>
          <w:color w:val="auto"/>
          <w:highlight w:val="none"/>
        </w:rPr>
        <w:t>详见总平面布置图。</w:t>
      </w:r>
    </w:p>
    <w:p w14:paraId="57140C1A">
      <w:pPr>
        <w:pStyle w:val="451"/>
        <w:shd w:val="clear"/>
        <w:rPr>
          <w:rFonts w:ascii="Times New Roman" w:hAnsi="Times New Roman"/>
          <w:color w:val="auto"/>
          <w:highlight w:val="none"/>
        </w:rPr>
      </w:pPr>
      <w:bookmarkStart w:id="997" w:name="_Toc28399"/>
      <w:bookmarkStart w:id="998" w:name="_Toc16272"/>
      <w:bookmarkStart w:id="999" w:name="_Toc7425"/>
      <w:bookmarkStart w:id="1000" w:name="_Toc7902"/>
      <w:bookmarkStart w:id="1001" w:name="_Toc18170"/>
      <w:bookmarkStart w:id="1002" w:name="_Toc9591"/>
      <w:r>
        <w:rPr>
          <w:rFonts w:hint="eastAsia" w:ascii="Times New Roman" w:hAnsi="Times New Roman"/>
          <w:color w:val="auto"/>
          <w:highlight w:val="none"/>
        </w:rPr>
        <w:t>12</w:t>
      </w:r>
      <w:r>
        <w:rPr>
          <w:rFonts w:ascii="Times New Roman" w:hAnsi="Times New Roman"/>
          <w:color w:val="auto"/>
          <w:highlight w:val="none"/>
        </w:rPr>
        <w:t>.3 竖向及排雨水</w:t>
      </w:r>
      <w:bookmarkEnd w:id="997"/>
      <w:bookmarkEnd w:id="998"/>
      <w:bookmarkEnd w:id="999"/>
      <w:bookmarkEnd w:id="1000"/>
      <w:bookmarkEnd w:id="1001"/>
      <w:bookmarkEnd w:id="1002"/>
    </w:p>
    <w:p w14:paraId="20500F52">
      <w:pPr>
        <w:shd w:val="clear"/>
        <w:ind w:firstLine="0" w:firstLineChars="0"/>
        <w:rPr>
          <w:rFonts w:ascii="Times New Roman" w:hAnsi="Times New Roman" w:cs="Times New Roman"/>
          <w:color w:val="auto"/>
          <w:highlight w:val="none"/>
        </w:rPr>
      </w:pPr>
      <w:r>
        <w:rPr>
          <w:rFonts w:hint="eastAsia" w:ascii="Times New Roman" w:hAnsi="Times New Roman" w:cs="Times New Roman"/>
          <w:color w:val="auto"/>
          <w:highlight w:val="none"/>
        </w:rPr>
        <w:t>12</w:t>
      </w:r>
      <w:r>
        <w:rPr>
          <w:rFonts w:ascii="Times New Roman" w:hAnsi="Times New Roman" w:cs="Times New Roman"/>
          <w:color w:val="auto"/>
          <w:highlight w:val="none"/>
        </w:rPr>
        <w:t>.3.1 场地标高</w:t>
      </w:r>
    </w:p>
    <w:p w14:paraId="6416491D">
      <w:pPr>
        <w:shd w:val="clear"/>
        <w:rPr>
          <w:rFonts w:ascii="Times New Roman" w:hAnsi="Times New Roman" w:cs="Times New Roman"/>
          <w:color w:val="auto"/>
          <w:highlight w:val="none"/>
        </w:rPr>
      </w:pPr>
      <w:r>
        <w:rPr>
          <w:rFonts w:ascii="Times New Roman" w:hAnsi="Times New Roman" w:cs="Times New Roman"/>
          <w:color w:val="auto"/>
          <w:highlight w:val="none"/>
        </w:rPr>
        <w:t>本项目的坐标系和高程系统与业主提供现有厂区的坐标系和高程系统一致，高程系统为1956年黄海高程系统。</w:t>
      </w:r>
    </w:p>
    <w:p w14:paraId="4CC833AC">
      <w:pPr>
        <w:shd w:val="clear"/>
        <w:rPr>
          <w:rFonts w:ascii="Times New Roman" w:hAnsi="Times New Roman" w:cs="Times New Roman"/>
          <w:color w:val="auto"/>
          <w:highlight w:val="none"/>
        </w:rPr>
      </w:pPr>
      <w:r>
        <w:rPr>
          <w:rFonts w:ascii="Times New Roman" w:hAnsi="Times New Roman" w:cs="Times New Roman"/>
          <w:color w:val="auto"/>
          <w:highlight w:val="none"/>
        </w:rPr>
        <w:t>出铁场及渣处理区域为1631.7m；</w:t>
      </w:r>
    </w:p>
    <w:p w14:paraId="0D2CAF68">
      <w:pPr>
        <w:shd w:val="clear"/>
        <w:rPr>
          <w:rFonts w:ascii="Times New Roman" w:hAnsi="Times New Roman" w:cs="Times New Roman"/>
          <w:color w:val="auto"/>
          <w:highlight w:val="none"/>
        </w:rPr>
      </w:pPr>
      <w:r>
        <w:rPr>
          <w:rFonts w:ascii="Times New Roman" w:hAnsi="Times New Roman" w:cs="Times New Roman"/>
          <w:color w:val="auto"/>
          <w:highlight w:val="none"/>
        </w:rPr>
        <w:t>热风炉区域为1631.7m；</w:t>
      </w:r>
    </w:p>
    <w:p w14:paraId="61E08416">
      <w:pPr>
        <w:shd w:val="clear"/>
        <w:rPr>
          <w:rFonts w:ascii="Times New Roman" w:hAnsi="Times New Roman" w:cs="Times New Roman"/>
          <w:color w:val="auto"/>
          <w:highlight w:val="none"/>
        </w:rPr>
      </w:pPr>
      <w:r>
        <w:rPr>
          <w:rFonts w:ascii="Times New Roman" w:hAnsi="Times New Roman" w:cs="Times New Roman"/>
          <w:color w:val="auto"/>
          <w:highlight w:val="none"/>
        </w:rPr>
        <w:t>煤气干法除尘区域为1631.50m；</w:t>
      </w:r>
    </w:p>
    <w:p w14:paraId="4585FA4A">
      <w:pPr>
        <w:shd w:val="clear"/>
        <w:rPr>
          <w:rFonts w:ascii="Times New Roman" w:hAnsi="Times New Roman" w:cs="Times New Roman"/>
          <w:color w:val="auto"/>
          <w:highlight w:val="none"/>
        </w:rPr>
      </w:pPr>
      <w:r>
        <w:rPr>
          <w:rFonts w:ascii="Times New Roman" w:hAnsi="Times New Roman" w:cs="Times New Roman"/>
          <w:color w:val="auto"/>
          <w:highlight w:val="none"/>
        </w:rPr>
        <w:t>TRT区域为1634.10m；</w:t>
      </w:r>
    </w:p>
    <w:p w14:paraId="1C162A20">
      <w:pPr>
        <w:shd w:val="clear"/>
        <w:rPr>
          <w:rFonts w:ascii="Times New Roman" w:hAnsi="Times New Roman" w:cs="Times New Roman"/>
          <w:color w:val="auto"/>
          <w:highlight w:val="none"/>
        </w:rPr>
      </w:pPr>
      <w:r>
        <w:rPr>
          <w:rFonts w:ascii="Times New Roman" w:hAnsi="Times New Roman" w:cs="Times New Roman"/>
          <w:color w:val="auto"/>
          <w:highlight w:val="none"/>
        </w:rPr>
        <w:t>原料区域为1632.0m；</w:t>
      </w:r>
    </w:p>
    <w:p w14:paraId="68B607D0">
      <w:pPr>
        <w:shd w:val="clear"/>
        <w:rPr>
          <w:rFonts w:ascii="Times New Roman" w:hAnsi="Times New Roman" w:cs="Times New Roman"/>
          <w:color w:val="auto"/>
          <w:highlight w:val="none"/>
        </w:rPr>
      </w:pPr>
      <w:r>
        <w:rPr>
          <w:rFonts w:ascii="Times New Roman" w:hAnsi="Times New Roman" w:cs="Times New Roman"/>
          <w:color w:val="auto"/>
          <w:highlight w:val="none"/>
        </w:rPr>
        <w:t>软水泵房区域为1632.0m。</w:t>
      </w:r>
    </w:p>
    <w:p w14:paraId="2BB08889">
      <w:pPr>
        <w:shd w:val="clear"/>
        <w:rPr>
          <w:rFonts w:ascii="Times New Roman" w:hAnsi="Times New Roman" w:cs="Times New Roman"/>
          <w:color w:val="auto"/>
          <w:highlight w:val="none"/>
        </w:rPr>
      </w:pPr>
      <w:r>
        <w:rPr>
          <w:rFonts w:ascii="Times New Roman" w:hAnsi="Times New Roman" w:cs="Times New Roman"/>
          <w:color w:val="auto"/>
          <w:highlight w:val="none"/>
        </w:rPr>
        <w:t>一泵站区域为1635.10m；</w:t>
      </w:r>
    </w:p>
    <w:p w14:paraId="6B9B4CF4">
      <w:pPr>
        <w:shd w:val="clear"/>
        <w:rPr>
          <w:rFonts w:ascii="Times New Roman" w:hAnsi="Times New Roman" w:cs="Times New Roman"/>
          <w:color w:val="auto"/>
          <w:highlight w:val="none"/>
        </w:rPr>
      </w:pPr>
      <w:r>
        <w:rPr>
          <w:rFonts w:ascii="Times New Roman" w:hAnsi="Times New Roman" w:cs="Times New Roman"/>
          <w:color w:val="auto"/>
          <w:highlight w:val="none"/>
        </w:rPr>
        <w:t>本项目设计标高与厂区现有标高一致。</w:t>
      </w:r>
    </w:p>
    <w:p w14:paraId="4950429D">
      <w:pPr>
        <w:shd w:val="clear"/>
        <w:ind w:firstLine="0" w:firstLineChars="0"/>
        <w:rPr>
          <w:rFonts w:ascii="Times New Roman" w:hAnsi="Times New Roman" w:cs="Times New Roman"/>
          <w:color w:val="auto"/>
          <w:highlight w:val="none"/>
        </w:rPr>
      </w:pPr>
      <w:r>
        <w:rPr>
          <w:rFonts w:hint="eastAsia" w:ascii="Times New Roman" w:hAnsi="Times New Roman" w:cs="Times New Roman"/>
          <w:color w:val="auto"/>
          <w:highlight w:val="none"/>
        </w:rPr>
        <w:t>12</w:t>
      </w:r>
      <w:r>
        <w:rPr>
          <w:rFonts w:ascii="Times New Roman" w:hAnsi="Times New Roman" w:cs="Times New Roman"/>
          <w:color w:val="auto"/>
          <w:highlight w:val="none"/>
        </w:rPr>
        <w:t>.3.2 场地排雨水</w:t>
      </w:r>
    </w:p>
    <w:p w14:paraId="138BA985">
      <w:pPr>
        <w:shd w:val="clear"/>
        <w:rPr>
          <w:rFonts w:ascii="Times New Roman" w:hAnsi="Times New Roman" w:cs="Times New Roman"/>
          <w:color w:val="auto"/>
          <w:highlight w:val="none"/>
        </w:rPr>
      </w:pPr>
      <w:r>
        <w:rPr>
          <w:rFonts w:ascii="Times New Roman" w:hAnsi="Times New Roman" w:cs="Times New Roman"/>
          <w:color w:val="auto"/>
          <w:highlight w:val="none"/>
        </w:rPr>
        <w:t>本项目场地由于位于现有厂区内，场地雨水通过散排方式直接排入现有排雨水系统。</w:t>
      </w:r>
    </w:p>
    <w:p w14:paraId="4A2E097B">
      <w:pPr>
        <w:pStyle w:val="451"/>
        <w:shd w:val="clear"/>
        <w:rPr>
          <w:rFonts w:ascii="Times New Roman" w:hAnsi="Times New Roman"/>
          <w:color w:val="auto"/>
          <w:highlight w:val="none"/>
        </w:rPr>
      </w:pPr>
      <w:bookmarkStart w:id="1003" w:name="_Toc3804"/>
      <w:bookmarkStart w:id="1004" w:name="_Toc11253"/>
      <w:bookmarkStart w:id="1005" w:name="_Toc22218"/>
      <w:bookmarkStart w:id="1006" w:name="_Toc9140"/>
      <w:bookmarkStart w:id="1007" w:name="_Toc6940"/>
      <w:bookmarkStart w:id="1008" w:name="_Toc17851"/>
      <w:r>
        <w:rPr>
          <w:rFonts w:hint="eastAsia" w:ascii="Times New Roman" w:hAnsi="Times New Roman"/>
          <w:color w:val="auto"/>
          <w:highlight w:val="none"/>
        </w:rPr>
        <w:t>12</w:t>
      </w:r>
      <w:r>
        <w:rPr>
          <w:rFonts w:ascii="Times New Roman" w:hAnsi="Times New Roman"/>
          <w:color w:val="auto"/>
          <w:highlight w:val="none"/>
        </w:rPr>
        <w:t>.4 运输设计</w:t>
      </w:r>
      <w:bookmarkEnd w:id="1003"/>
      <w:bookmarkEnd w:id="1004"/>
      <w:bookmarkEnd w:id="1005"/>
      <w:bookmarkEnd w:id="1006"/>
      <w:bookmarkEnd w:id="1007"/>
      <w:bookmarkEnd w:id="1008"/>
    </w:p>
    <w:p w14:paraId="4A69DF81">
      <w:pPr>
        <w:shd w:val="clear"/>
        <w:ind w:firstLine="0" w:firstLineChars="0"/>
        <w:rPr>
          <w:rFonts w:ascii="Times New Roman" w:hAnsi="Times New Roman" w:cs="Times New Roman"/>
          <w:color w:val="auto"/>
          <w:highlight w:val="none"/>
        </w:rPr>
      </w:pPr>
      <w:r>
        <w:rPr>
          <w:rFonts w:hint="eastAsia" w:ascii="Times New Roman" w:hAnsi="Times New Roman" w:cs="Times New Roman"/>
          <w:color w:val="auto"/>
          <w:highlight w:val="none"/>
        </w:rPr>
        <w:t>12</w:t>
      </w:r>
      <w:r>
        <w:rPr>
          <w:rFonts w:ascii="Times New Roman" w:hAnsi="Times New Roman" w:cs="Times New Roman"/>
          <w:color w:val="auto"/>
          <w:highlight w:val="none"/>
        </w:rPr>
        <w:t>.4.1 厂内外运输量</w:t>
      </w:r>
    </w:p>
    <w:p w14:paraId="320EF1AF">
      <w:pPr>
        <w:shd w:val="clear"/>
        <w:rPr>
          <w:rFonts w:ascii="Times New Roman" w:hAnsi="Times New Roman" w:cs="Times New Roman"/>
          <w:color w:val="auto"/>
          <w:highlight w:val="none"/>
        </w:rPr>
      </w:pPr>
      <w:r>
        <w:rPr>
          <w:rFonts w:ascii="Times New Roman" w:hAnsi="Times New Roman" w:cs="Times New Roman"/>
          <w:color w:val="auto"/>
          <w:highlight w:val="none"/>
        </w:rPr>
        <w:t>本系统厂外运输由铁路、道路、胶带输送机、自卸汽车等组成。</w:t>
      </w:r>
    </w:p>
    <w:p w14:paraId="6511014A">
      <w:pPr>
        <w:shd w:val="clear"/>
        <w:rPr>
          <w:rFonts w:ascii="Times New Roman" w:hAnsi="Times New Roman" w:cs="Times New Roman"/>
          <w:color w:val="auto"/>
          <w:highlight w:val="none"/>
        </w:rPr>
      </w:pPr>
      <w:r>
        <w:rPr>
          <w:rFonts w:ascii="Times New Roman" w:hAnsi="Times New Roman" w:cs="Times New Roman"/>
          <w:color w:val="auto"/>
          <w:highlight w:val="none"/>
        </w:rPr>
        <w:t>运量约为：497.7万t/a。</w:t>
      </w:r>
    </w:p>
    <w:p w14:paraId="7B6EDD79">
      <w:pPr>
        <w:shd w:val="clear"/>
        <w:rPr>
          <w:rFonts w:ascii="Times New Roman" w:hAnsi="Times New Roman" w:cs="Times New Roman"/>
          <w:color w:val="auto"/>
          <w:highlight w:val="none"/>
        </w:rPr>
      </w:pPr>
      <w:r>
        <w:rPr>
          <w:rFonts w:ascii="Times New Roman" w:hAnsi="Times New Roman" w:cs="Times New Roman"/>
          <w:color w:val="auto"/>
          <w:highlight w:val="none"/>
        </w:rPr>
        <w:t>其中运入量约为：260万t/a，主要为烧结矿、球团矿、焦炭、块矿和石灰石等原料。</w:t>
      </w:r>
    </w:p>
    <w:p w14:paraId="39833B20">
      <w:pPr>
        <w:shd w:val="clear"/>
        <w:rPr>
          <w:rFonts w:ascii="Times New Roman" w:hAnsi="Times New Roman" w:cs="Times New Roman"/>
          <w:color w:val="auto"/>
          <w:highlight w:val="none"/>
        </w:rPr>
      </w:pPr>
      <w:r>
        <w:rPr>
          <w:rFonts w:ascii="Times New Roman" w:hAnsi="Times New Roman" w:cs="Times New Roman"/>
          <w:color w:val="auto"/>
          <w:highlight w:val="none"/>
        </w:rPr>
        <w:t>运出量约为：237.7万t/a，主要为铁水、水渣、煤气灰、粉焦返回和烧结矿返回等。由于返焦运输改造成皮带运输难度大，投资高，本次改造，返焦维持自卸汽车运输方式，汽车为封闭车厢或苫盖严密，有效抑制粉尘外泄。</w:t>
      </w:r>
    </w:p>
    <w:p w14:paraId="77B6BD1D">
      <w:pPr>
        <w:shd w:val="clear"/>
        <w:rPr>
          <w:rFonts w:ascii="Times New Roman" w:hAnsi="Times New Roman" w:cs="Times New Roman"/>
          <w:color w:val="auto"/>
          <w:highlight w:val="none"/>
        </w:rPr>
      </w:pPr>
      <w:r>
        <w:rPr>
          <w:rFonts w:ascii="Times New Roman" w:hAnsi="Times New Roman" w:cs="Times New Roman"/>
          <w:color w:val="auto"/>
          <w:highlight w:val="none"/>
        </w:rPr>
        <w:t>各运输量详见下表：</w:t>
      </w:r>
    </w:p>
    <w:p w14:paraId="4438C642">
      <w:pPr>
        <w:shd w:val="clear"/>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表</w:t>
      </w:r>
      <w:r>
        <w:rPr>
          <w:rFonts w:hint="eastAsia" w:ascii="Times New Roman" w:hAnsi="Times New Roman" w:cs="Times New Roman"/>
          <w:color w:val="auto"/>
          <w:highlight w:val="none"/>
        </w:rPr>
        <w:t>12</w:t>
      </w:r>
      <w:r>
        <w:rPr>
          <w:rFonts w:ascii="Times New Roman" w:hAnsi="Times New Roman" w:cs="Times New Roman"/>
          <w:color w:val="auto"/>
          <w:highlight w:val="none"/>
        </w:rPr>
        <w:t>-</w:t>
      </w:r>
      <w:r>
        <w:rPr>
          <w:rFonts w:hint="eastAsia" w:ascii="Times New Roman" w:hAnsi="Times New Roman" w:cs="Times New Roman"/>
          <w:color w:val="auto"/>
          <w:highlight w:val="none"/>
        </w:rPr>
        <w:t xml:space="preserve">1 </w:t>
      </w:r>
      <w:r>
        <w:rPr>
          <w:rFonts w:ascii="Times New Roman" w:hAnsi="Times New Roman" w:cs="Times New Roman"/>
          <w:color w:val="auto"/>
          <w:highlight w:val="none"/>
        </w:rPr>
        <w:t xml:space="preserve"> 主要运输量表</w:t>
      </w:r>
    </w:p>
    <w:tbl>
      <w:tblPr>
        <w:tblStyle w:val="6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1559"/>
        <w:gridCol w:w="1872"/>
        <w:gridCol w:w="1418"/>
        <w:gridCol w:w="1276"/>
        <w:gridCol w:w="1813"/>
      </w:tblGrid>
      <w:tr w14:paraId="2DC0F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31" w:hRule="exact"/>
          <w:jc w:val="center"/>
        </w:trPr>
        <w:tc>
          <w:tcPr>
            <w:tcW w:w="709" w:type="dxa"/>
            <w:vAlign w:val="center"/>
          </w:tcPr>
          <w:p w14:paraId="50BCBF7C">
            <w:pPr>
              <w:pStyle w:val="448"/>
              <w:shd w:val="clear"/>
              <w:spacing w:line="300" w:lineRule="auto"/>
              <w:ind w:left="0"/>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序号</w:t>
            </w:r>
          </w:p>
        </w:tc>
        <w:tc>
          <w:tcPr>
            <w:tcW w:w="1559" w:type="dxa"/>
            <w:vAlign w:val="center"/>
          </w:tcPr>
          <w:p w14:paraId="2F3219F7">
            <w:pPr>
              <w:pStyle w:val="448"/>
              <w:shd w:val="clear"/>
              <w:spacing w:line="300" w:lineRule="auto"/>
              <w:ind w:left="0"/>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货物名称</w:t>
            </w:r>
          </w:p>
        </w:tc>
        <w:tc>
          <w:tcPr>
            <w:tcW w:w="1872" w:type="dxa"/>
            <w:vAlign w:val="center"/>
          </w:tcPr>
          <w:p w14:paraId="1DE19DA5">
            <w:pPr>
              <w:pStyle w:val="448"/>
              <w:shd w:val="clear"/>
              <w:spacing w:line="300" w:lineRule="auto"/>
              <w:ind w:left="0"/>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装货地点</w:t>
            </w:r>
          </w:p>
        </w:tc>
        <w:tc>
          <w:tcPr>
            <w:tcW w:w="1418" w:type="dxa"/>
            <w:vAlign w:val="center"/>
          </w:tcPr>
          <w:p w14:paraId="2C3766E4">
            <w:pPr>
              <w:pStyle w:val="448"/>
              <w:shd w:val="clear"/>
              <w:spacing w:line="300" w:lineRule="auto"/>
              <w:ind w:left="0"/>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卸货地点</w:t>
            </w:r>
          </w:p>
        </w:tc>
        <w:tc>
          <w:tcPr>
            <w:tcW w:w="1276" w:type="dxa"/>
            <w:vAlign w:val="center"/>
          </w:tcPr>
          <w:p w14:paraId="0C956AA1">
            <w:pPr>
              <w:pStyle w:val="448"/>
              <w:shd w:val="clear"/>
              <w:spacing w:line="300" w:lineRule="auto"/>
              <w:ind w:left="0"/>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年运输量万t/a</w:t>
            </w:r>
          </w:p>
        </w:tc>
        <w:tc>
          <w:tcPr>
            <w:tcW w:w="1813" w:type="dxa"/>
            <w:vAlign w:val="center"/>
          </w:tcPr>
          <w:p w14:paraId="70602C5D">
            <w:pPr>
              <w:pStyle w:val="448"/>
              <w:shd w:val="clear"/>
              <w:spacing w:line="300" w:lineRule="auto"/>
              <w:ind w:left="0"/>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运输工具</w:t>
            </w:r>
          </w:p>
        </w:tc>
      </w:tr>
      <w:tr w14:paraId="76B86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03" w:hRule="exact"/>
          <w:jc w:val="center"/>
        </w:trPr>
        <w:tc>
          <w:tcPr>
            <w:tcW w:w="709" w:type="dxa"/>
            <w:vAlign w:val="center"/>
          </w:tcPr>
          <w:p w14:paraId="73D7E54A">
            <w:pPr>
              <w:pStyle w:val="448"/>
              <w:shd w:val="clear"/>
              <w:spacing w:line="300" w:lineRule="auto"/>
              <w:ind w:left="0"/>
              <w:rPr>
                <w:rFonts w:ascii="Times New Roman" w:hAnsi="Times New Roman" w:eastAsia="宋体" w:cs="Times New Roman"/>
                <w:color w:val="auto"/>
                <w:sz w:val="24"/>
                <w:highlight w:val="none"/>
              </w:rPr>
            </w:pPr>
          </w:p>
        </w:tc>
        <w:tc>
          <w:tcPr>
            <w:tcW w:w="1559" w:type="dxa"/>
            <w:vAlign w:val="center"/>
          </w:tcPr>
          <w:p w14:paraId="5ED94D70">
            <w:pPr>
              <w:pStyle w:val="448"/>
              <w:shd w:val="clear"/>
              <w:spacing w:line="300" w:lineRule="auto"/>
              <w:ind w:left="0"/>
              <w:jc w:val="left"/>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运入</w:t>
            </w:r>
          </w:p>
        </w:tc>
        <w:tc>
          <w:tcPr>
            <w:tcW w:w="1872" w:type="dxa"/>
            <w:vAlign w:val="center"/>
          </w:tcPr>
          <w:p w14:paraId="51EA2CE7">
            <w:pPr>
              <w:pStyle w:val="448"/>
              <w:shd w:val="clear"/>
              <w:spacing w:line="300" w:lineRule="auto"/>
              <w:ind w:left="0"/>
              <w:rPr>
                <w:rFonts w:ascii="Times New Roman" w:hAnsi="Times New Roman" w:eastAsia="宋体" w:cs="Times New Roman"/>
                <w:color w:val="auto"/>
                <w:sz w:val="24"/>
                <w:highlight w:val="none"/>
              </w:rPr>
            </w:pPr>
          </w:p>
        </w:tc>
        <w:tc>
          <w:tcPr>
            <w:tcW w:w="1418" w:type="dxa"/>
            <w:vAlign w:val="center"/>
          </w:tcPr>
          <w:p w14:paraId="0B17D012">
            <w:pPr>
              <w:pStyle w:val="448"/>
              <w:shd w:val="clear"/>
              <w:spacing w:line="300" w:lineRule="auto"/>
              <w:ind w:left="0"/>
              <w:rPr>
                <w:rFonts w:ascii="Times New Roman" w:hAnsi="Times New Roman" w:eastAsia="宋体" w:cs="Times New Roman"/>
                <w:color w:val="auto"/>
                <w:sz w:val="24"/>
                <w:highlight w:val="none"/>
              </w:rPr>
            </w:pPr>
          </w:p>
        </w:tc>
        <w:tc>
          <w:tcPr>
            <w:tcW w:w="1276" w:type="dxa"/>
            <w:vAlign w:val="center"/>
          </w:tcPr>
          <w:p w14:paraId="57E05909">
            <w:pPr>
              <w:pStyle w:val="448"/>
              <w:shd w:val="clear"/>
              <w:spacing w:line="300" w:lineRule="auto"/>
              <w:ind w:left="0"/>
              <w:rPr>
                <w:rFonts w:ascii="Times New Roman" w:hAnsi="Times New Roman" w:eastAsia="宋体" w:cs="Times New Roman"/>
                <w:color w:val="auto"/>
                <w:sz w:val="24"/>
                <w:highlight w:val="none"/>
              </w:rPr>
            </w:pPr>
          </w:p>
        </w:tc>
        <w:tc>
          <w:tcPr>
            <w:tcW w:w="1813" w:type="dxa"/>
            <w:vAlign w:val="center"/>
          </w:tcPr>
          <w:p w14:paraId="1A6D80C7">
            <w:pPr>
              <w:pStyle w:val="448"/>
              <w:shd w:val="clear"/>
              <w:spacing w:line="300" w:lineRule="auto"/>
              <w:ind w:left="0"/>
              <w:rPr>
                <w:rFonts w:ascii="Times New Roman" w:hAnsi="Times New Roman" w:eastAsia="宋体" w:cs="Times New Roman"/>
                <w:color w:val="auto"/>
                <w:sz w:val="24"/>
                <w:highlight w:val="none"/>
              </w:rPr>
            </w:pPr>
          </w:p>
        </w:tc>
      </w:tr>
      <w:tr w14:paraId="6B991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34" w:hRule="exact"/>
          <w:jc w:val="center"/>
        </w:trPr>
        <w:tc>
          <w:tcPr>
            <w:tcW w:w="709" w:type="dxa"/>
            <w:vAlign w:val="center"/>
          </w:tcPr>
          <w:p w14:paraId="4926147F">
            <w:pPr>
              <w:pStyle w:val="448"/>
              <w:shd w:val="clear"/>
              <w:spacing w:line="300" w:lineRule="auto"/>
              <w:ind w:left="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w:t>
            </w:r>
          </w:p>
        </w:tc>
        <w:tc>
          <w:tcPr>
            <w:tcW w:w="1559" w:type="dxa"/>
            <w:vAlign w:val="center"/>
          </w:tcPr>
          <w:p w14:paraId="4E9DD123">
            <w:pPr>
              <w:pStyle w:val="448"/>
              <w:shd w:val="clear"/>
              <w:spacing w:line="300" w:lineRule="auto"/>
              <w:ind w:left="0"/>
              <w:jc w:val="left"/>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烧结矿</w:t>
            </w:r>
          </w:p>
        </w:tc>
        <w:tc>
          <w:tcPr>
            <w:tcW w:w="1872" w:type="dxa"/>
            <w:vAlign w:val="center"/>
          </w:tcPr>
          <w:p w14:paraId="6D720274">
            <w:pPr>
              <w:pStyle w:val="448"/>
              <w:shd w:val="clear"/>
              <w:spacing w:line="300" w:lineRule="auto"/>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烧结车间</w:t>
            </w:r>
          </w:p>
        </w:tc>
        <w:tc>
          <w:tcPr>
            <w:tcW w:w="1418" w:type="dxa"/>
            <w:vAlign w:val="center"/>
          </w:tcPr>
          <w:p w14:paraId="404A4A87">
            <w:pPr>
              <w:pStyle w:val="448"/>
              <w:shd w:val="clear"/>
              <w:spacing w:line="300" w:lineRule="auto"/>
              <w:ind w:left="0"/>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矿焦槽</w:t>
            </w:r>
          </w:p>
        </w:tc>
        <w:tc>
          <w:tcPr>
            <w:tcW w:w="1276" w:type="dxa"/>
            <w:vAlign w:val="center"/>
          </w:tcPr>
          <w:p w14:paraId="3649327B">
            <w:pPr>
              <w:shd w:val="clear"/>
              <w:spacing w:line="30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lang w:bidi="nl-NL"/>
              </w:rPr>
              <w:t>154.7</w:t>
            </w:r>
          </w:p>
        </w:tc>
        <w:tc>
          <w:tcPr>
            <w:tcW w:w="1813" w:type="dxa"/>
            <w:vAlign w:val="center"/>
          </w:tcPr>
          <w:p w14:paraId="553208A9">
            <w:pPr>
              <w:pStyle w:val="448"/>
              <w:shd w:val="clear"/>
              <w:spacing w:line="300" w:lineRule="auto"/>
              <w:ind w:left="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胶带机通廊</w:t>
            </w:r>
          </w:p>
        </w:tc>
      </w:tr>
      <w:tr w14:paraId="7C6B7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6" w:hRule="exact"/>
          <w:jc w:val="center"/>
        </w:trPr>
        <w:tc>
          <w:tcPr>
            <w:tcW w:w="709" w:type="dxa"/>
            <w:vAlign w:val="center"/>
          </w:tcPr>
          <w:p w14:paraId="7B0A9813">
            <w:pPr>
              <w:pStyle w:val="448"/>
              <w:shd w:val="clear"/>
              <w:spacing w:line="300" w:lineRule="auto"/>
              <w:ind w:left="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2</w:t>
            </w:r>
          </w:p>
        </w:tc>
        <w:tc>
          <w:tcPr>
            <w:tcW w:w="1559" w:type="dxa"/>
            <w:vAlign w:val="center"/>
          </w:tcPr>
          <w:p w14:paraId="0F913313">
            <w:pPr>
              <w:pStyle w:val="448"/>
              <w:shd w:val="clear"/>
              <w:spacing w:line="300" w:lineRule="auto"/>
              <w:ind w:left="0"/>
              <w:jc w:val="left"/>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球团矿</w:t>
            </w:r>
          </w:p>
        </w:tc>
        <w:tc>
          <w:tcPr>
            <w:tcW w:w="1872" w:type="dxa"/>
            <w:vAlign w:val="center"/>
          </w:tcPr>
          <w:p w14:paraId="474CDB42">
            <w:pPr>
              <w:pStyle w:val="448"/>
              <w:shd w:val="clear"/>
              <w:spacing w:line="300" w:lineRule="auto"/>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球团车间</w:t>
            </w:r>
          </w:p>
        </w:tc>
        <w:tc>
          <w:tcPr>
            <w:tcW w:w="1418" w:type="dxa"/>
            <w:vAlign w:val="center"/>
          </w:tcPr>
          <w:p w14:paraId="54CB040A">
            <w:pPr>
              <w:pStyle w:val="448"/>
              <w:shd w:val="clear"/>
              <w:spacing w:line="300" w:lineRule="auto"/>
              <w:ind w:left="0"/>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矿焦槽</w:t>
            </w:r>
          </w:p>
        </w:tc>
        <w:tc>
          <w:tcPr>
            <w:tcW w:w="1276" w:type="dxa"/>
            <w:vAlign w:val="center"/>
          </w:tcPr>
          <w:p w14:paraId="1E99AEFE">
            <w:pPr>
              <w:shd w:val="clear"/>
              <w:spacing w:line="30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lang w:val="nl-NL" w:eastAsia="nl-NL" w:bidi="nl-NL"/>
              </w:rPr>
              <w:t>51.8</w:t>
            </w:r>
          </w:p>
        </w:tc>
        <w:tc>
          <w:tcPr>
            <w:tcW w:w="1813" w:type="dxa"/>
            <w:vAlign w:val="center"/>
          </w:tcPr>
          <w:p w14:paraId="1CC7D57B">
            <w:pPr>
              <w:pStyle w:val="448"/>
              <w:shd w:val="clear"/>
              <w:spacing w:line="300" w:lineRule="auto"/>
              <w:ind w:left="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胶带机通廊</w:t>
            </w:r>
          </w:p>
        </w:tc>
      </w:tr>
      <w:tr w14:paraId="09349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84" w:hRule="exact"/>
          <w:jc w:val="center"/>
        </w:trPr>
        <w:tc>
          <w:tcPr>
            <w:tcW w:w="709" w:type="dxa"/>
            <w:vAlign w:val="center"/>
          </w:tcPr>
          <w:p w14:paraId="70B22251">
            <w:pPr>
              <w:pStyle w:val="448"/>
              <w:shd w:val="clear"/>
              <w:spacing w:line="300" w:lineRule="auto"/>
              <w:ind w:left="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3</w:t>
            </w:r>
          </w:p>
        </w:tc>
        <w:tc>
          <w:tcPr>
            <w:tcW w:w="1559" w:type="dxa"/>
            <w:vAlign w:val="center"/>
          </w:tcPr>
          <w:p w14:paraId="758870A1">
            <w:pPr>
              <w:pStyle w:val="448"/>
              <w:shd w:val="clear"/>
              <w:spacing w:line="300" w:lineRule="auto"/>
              <w:ind w:left="0"/>
              <w:jc w:val="left"/>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块杂矿</w:t>
            </w:r>
          </w:p>
        </w:tc>
        <w:tc>
          <w:tcPr>
            <w:tcW w:w="1872" w:type="dxa"/>
            <w:vAlign w:val="center"/>
          </w:tcPr>
          <w:p w14:paraId="41BC117D">
            <w:pPr>
              <w:pStyle w:val="448"/>
              <w:shd w:val="clear"/>
              <w:spacing w:line="300" w:lineRule="auto"/>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原料场</w:t>
            </w:r>
          </w:p>
        </w:tc>
        <w:tc>
          <w:tcPr>
            <w:tcW w:w="1418" w:type="dxa"/>
            <w:vAlign w:val="center"/>
          </w:tcPr>
          <w:p w14:paraId="57E4DD4E">
            <w:pPr>
              <w:pStyle w:val="448"/>
              <w:shd w:val="clear"/>
              <w:spacing w:line="300" w:lineRule="auto"/>
              <w:ind w:left="0"/>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矿焦槽</w:t>
            </w:r>
          </w:p>
        </w:tc>
        <w:tc>
          <w:tcPr>
            <w:tcW w:w="1276" w:type="dxa"/>
            <w:vAlign w:val="center"/>
          </w:tcPr>
          <w:p w14:paraId="044C5E2A">
            <w:pPr>
              <w:shd w:val="clear"/>
              <w:spacing w:line="30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lang w:val="nl-NL" w:eastAsia="nl-NL" w:bidi="nl-NL"/>
              </w:rPr>
              <w:t>11</w:t>
            </w:r>
          </w:p>
        </w:tc>
        <w:tc>
          <w:tcPr>
            <w:tcW w:w="1813" w:type="dxa"/>
            <w:vAlign w:val="center"/>
          </w:tcPr>
          <w:p w14:paraId="790BBDB1">
            <w:pPr>
              <w:pStyle w:val="448"/>
              <w:shd w:val="clear"/>
              <w:spacing w:line="300" w:lineRule="auto"/>
              <w:ind w:left="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胶带机通廊</w:t>
            </w:r>
          </w:p>
        </w:tc>
      </w:tr>
      <w:tr w14:paraId="15F84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06" w:hRule="exact"/>
          <w:jc w:val="center"/>
        </w:trPr>
        <w:tc>
          <w:tcPr>
            <w:tcW w:w="709" w:type="dxa"/>
            <w:vAlign w:val="center"/>
          </w:tcPr>
          <w:p w14:paraId="20C566AE">
            <w:pPr>
              <w:pStyle w:val="448"/>
              <w:shd w:val="clear"/>
              <w:spacing w:line="300" w:lineRule="auto"/>
              <w:ind w:left="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4</w:t>
            </w:r>
          </w:p>
        </w:tc>
        <w:tc>
          <w:tcPr>
            <w:tcW w:w="1559" w:type="dxa"/>
            <w:vAlign w:val="center"/>
          </w:tcPr>
          <w:p w14:paraId="23118574">
            <w:pPr>
              <w:pStyle w:val="448"/>
              <w:shd w:val="clear"/>
              <w:spacing w:line="300" w:lineRule="auto"/>
              <w:ind w:left="0"/>
              <w:jc w:val="left"/>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焦炭</w:t>
            </w:r>
          </w:p>
        </w:tc>
        <w:tc>
          <w:tcPr>
            <w:tcW w:w="1872" w:type="dxa"/>
            <w:vAlign w:val="center"/>
          </w:tcPr>
          <w:p w14:paraId="5DBA0642">
            <w:pPr>
              <w:pStyle w:val="448"/>
              <w:shd w:val="clear"/>
              <w:spacing w:line="300" w:lineRule="auto"/>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焦化车间</w:t>
            </w:r>
          </w:p>
        </w:tc>
        <w:tc>
          <w:tcPr>
            <w:tcW w:w="1418" w:type="dxa"/>
            <w:vAlign w:val="center"/>
          </w:tcPr>
          <w:p w14:paraId="1DFFFEC6">
            <w:pPr>
              <w:pStyle w:val="448"/>
              <w:shd w:val="clear"/>
              <w:spacing w:line="300" w:lineRule="auto"/>
              <w:ind w:left="0"/>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矿焦槽</w:t>
            </w:r>
          </w:p>
        </w:tc>
        <w:tc>
          <w:tcPr>
            <w:tcW w:w="1276" w:type="dxa"/>
            <w:vAlign w:val="center"/>
          </w:tcPr>
          <w:p w14:paraId="021ECFE8">
            <w:pPr>
              <w:shd w:val="clear"/>
              <w:spacing w:line="30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lang w:val="nl-NL" w:eastAsia="nl-NL" w:bidi="nl-NL"/>
              </w:rPr>
              <w:t>42.3</w:t>
            </w:r>
          </w:p>
        </w:tc>
        <w:tc>
          <w:tcPr>
            <w:tcW w:w="1813" w:type="dxa"/>
            <w:vAlign w:val="center"/>
          </w:tcPr>
          <w:p w14:paraId="03D4BE7A">
            <w:pPr>
              <w:pStyle w:val="448"/>
              <w:shd w:val="clear"/>
              <w:spacing w:line="300" w:lineRule="auto"/>
              <w:ind w:left="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胶带机通廊</w:t>
            </w:r>
          </w:p>
        </w:tc>
      </w:tr>
      <w:tr w14:paraId="07A9C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32" w:hRule="exact"/>
          <w:jc w:val="center"/>
        </w:trPr>
        <w:tc>
          <w:tcPr>
            <w:tcW w:w="709" w:type="dxa"/>
            <w:vAlign w:val="center"/>
          </w:tcPr>
          <w:p w14:paraId="5D3FB2D5">
            <w:pPr>
              <w:pStyle w:val="448"/>
              <w:shd w:val="clear"/>
              <w:spacing w:line="300" w:lineRule="auto"/>
              <w:ind w:left="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5</w:t>
            </w:r>
          </w:p>
        </w:tc>
        <w:tc>
          <w:tcPr>
            <w:tcW w:w="1559" w:type="dxa"/>
            <w:vAlign w:val="center"/>
          </w:tcPr>
          <w:p w14:paraId="2E287C44">
            <w:pPr>
              <w:pStyle w:val="448"/>
              <w:shd w:val="clear"/>
              <w:spacing w:line="300" w:lineRule="auto"/>
              <w:ind w:left="0"/>
              <w:jc w:val="left"/>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炮泥</w:t>
            </w:r>
          </w:p>
        </w:tc>
        <w:tc>
          <w:tcPr>
            <w:tcW w:w="1872" w:type="dxa"/>
            <w:vAlign w:val="center"/>
          </w:tcPr>
          <w:p w14:paraId="34D5B8B3">
            <w:pPr>
              <w:pStyle w:val="448"/>
              <w:shd w:val="clear"/>
              <w:spacing w:line="300" w:lineRule="auto"/>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碾泥机室</w:t>
            </w:r>
          </w:p>
        </w:tc>
        <w:tc>
          <w:tcPr>
            <w:tcW w:w="1418" w:type="dxa"/>
            <w:vAlign w:val="center"/>
          </w:tcPr>
          <w:p w14:paraId="7255E435">
            <w:pPr>
              <w:pStyle w:val="448"/>
              <w:shd w:val="clear"/>
              <w:spacing w:line="300" w:lineRule="auto"/>
              <w:ind w:left="0"/>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炉台</w:t>
            </w:r>
          </w:p>
        </w:tc>
        <w:tc>
          <w:tcPr>
            <w:tcW w:w="1276" w:type="dxa"/>
            <w:vAlign w:val="center"/>
          </w:tcPr>
          <w:p w14:paraId="1C861627">
            <w:pPr>
              <w:shd w:val="clear"/>
              <w:spacing w:line="30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lang w:val="nl-NL" w:eastAsia="nl-NL" w:bidi="nl-NL"/>
              </w:rPr>
              <w:t>0.15</w:t>
            </w:r>
          </w:p>
        </w:tc>
        <w:tc>
          <w:tcPr>
            <w:tcW w:w="1813" w:type="dxa"/>
            <w:vAlign w:val="center"/>
          </w:tcPr>
          <w:p w14:paraId="63738E3C">
            <w:pPr>
              <w:pStyle w:val="448"/>
              <w:shd w:val="clear"/>
              <w:spacing w:line="300" w:lineRule="auto"/>
              <w:ind w:left="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自卸汽车</w:t>
            </w:r>
          </w:p>
        </w:tc>
      </w:tr>
      <w:tr w14:paraId="3C48D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4" w:hRule="exact"/>
          <w:jc w:val="center"/>
        </w:trPr>
        <w:tc>
          <w:tcPr>
            <w:tcW w:w="709" w:type="dxa"/>
            <w:vAlign w:val="center"/>
          </w:tcPr>
          <w:p w14:paraId="75F2E32F">
            <w:pPr>
              <w:pStyle w:val="448"/>
              <w:shd w:val="clear"/>
              <w:spacing w:line="300" w:lineRule="auto"/>
              <w:ind w:left="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6</w:t>
            </w:r>
          </w:p>
        </w:tc>
        <w:tc>
          <w:tcPr>
            <w:tcW w:w="1559" w:type="dxa"/>
            <w:vAlign w:val="center"/>
          </w:tcPr>
          <w:p w14:paraId="01E7B3B6">
            <w:pPr>
              <w:pStyle w:val="448"/>
              <w:shd w:val="clear"/>
              <w:spacing w:line="300" w:lineRule="auto"/>
              <w:ind w:left="0"/>
              <w:jc w:val="left"/>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沟料</w:t>
            </w:r>
          </w:p>
        </w:tc>
        <w:tc>
          <w:tcPr>
            <w:tcW w:w="1872" w:type="dxa"/>
            <w:vAlign w:val="center"/>
          </w:tcPr>
          <w:p w14:paraId="6C4E85E2">
            <w:pPr>
              <w:pStyle w:val="448"/>
              <w:shd w:val="clear"/>
              <w:spacing w:line="300" w:lineRule="auto"/>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仓库</w:t>
            </w:r>
          </w:p>
        </w:tc>
        <w:tc>
          <w:tcPr>
            <w:tcW w:w="1418" w:type="dxa"/>
            <w:vAlign w:val="center"/>
          </w:tcPr>
          <w:p w14:paraId="6998F638">
            <w:pPr>
              <w:pStyle w:val="448"/>
              <w:shd w:val="clear"/>
              <w:spacing w:line="300" w:lineRule="auto"/>
              <w:ind w:left="0"/>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炉台</w:t>
            </w:r>
          </w:p>
        </w:tc>
        <w:tc>
          <w:tcPr>
            <w:tcW w:w="1276" w:type="dxa"/>
            <w:vAlign w:val="center"/>
          </w:tcPr>
          <w:p w14:paraId="27E1C3E2">
            <w:pPr>
              <w:shd w:val="clear"/>
              <w:spacing w:line="30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lang w:val="nl-NL" w:eastAsia="nl-NL" w:bidi="nl-NL"/>
              </w:rPr>
              <w:t>0.15</w:t>
            </w:r>
          </w:p>
        </w:tc>
        <w:tc>
          <w:tcPr>
            <w:tcW w:w="1813" w:type="dxa"/>
            <w:vAlign w:val="center"/>
          </w:tcPr>
          <w:p w14:paraId="39E5FA26">
            <w:pPr>
              <w:pStyle w:val="448"/>
              <w:shd w:val="clear"/>
              <w:spacing w:line="300" w:lineRule="auto"/>
              <w:ind w:left="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自卸汽车</w:t>
            </w:r>
          </w:p>
        </w:tc>
      </w:tr>
      <w:tr w14:paraId="1EDA9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30" w:hRule="exact"/>
          <w:jc w:val="center"/>
        </w:trPr>
        <w:tc>
          <w:tcPr>
            <w:tcW w:w="709" w:type="dxa"/>
            <w:vAlign w:val="center"/>
          </w:tcPr>
          <w:p w14:paraId="774AE2F6">
            <w:pPr>
              <w:pStyle w:val="448"/>
              <w:shd w:val="clear"/>
              <w:spacing w:line="300" w:lineRule="auto"/>
              <w:ind w:left="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7</w:t>
            </w:r>
          </w:p>
        </w:tc>
        <w:tc>
          <w:tcPr>
            <w:tcW w:w="1559" w:type="dxa"/>
            <w:vAlign w:val="center"/>
          </w:tcPr>
          <w:p w14:paraId="46755AA8">
            <w:pPr>
              <w:pStyle w:val="448"/>
              <w:shd w:val="clear"/>
              <w:spacing w:line="300" w:lineRule="auto"/>
              <w:ind w:left="0"/>
              <w:jc w:val="left"/>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保温料</w:t>
            </w:r>
          </w:p>
        </w:tc>
        <w:tc>
          <w:tcPr>
            <w:tcW w:w="1872" w:type="dxa"/>
            <w:vAlign w:val="center"/>
          </w:tcPr>
          <w:p w14:paraId="1EEF7ED8">
            <w:pPr>
              <w:pStyle w:val="448"/>
              <w:shd w:val="clear"/>
              <w:spacing w:line="300" w:lineRule="auto"/>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仓库</w:t>
            </w:r>
          </w:p>
        </w:tc>
        <w:tc>
          <w:tcPr>
            <w:tcW w:w="1418" w:type="dxa"/>
            <w:vAlign w:val="center"/>
          </w:tcPr>
          <w:p w14:paraId="16881284">
            <w:pPr>
              <w:pStyle w:val="448"/>
              <w:shd w:val="clear"/>
              <w:spacing w:line="300" w:lineRule="auto"/>
              <w:ind w:left="0"/>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炉台</w:t>
            </w:r>
          </w:p>
        </w:tc>
        <w:tc>
          <w:tcPr>
            <w:tcW w:w="1276" w:type="dxa"/>
            <w:vAlign w:val="center"/>
          </w:tcPr>
          <w:p w14:paraId="59EC8B52">
            <w:pPr>
              <w:shd w:val="clear"/>
              <w:spacing w:line="30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lang w:val="nl-NL" w:eastAsia="nl-NL" w:bidi="nl-NL"/>
              </w:rPr>
              <w:t>0.024</w:t>
            </w:r>
          </w:p>
        </w:tc>
        <w:tc>
          <w:tcPr>
            <w:tcW w:w="1813" w:type="dxa"/>
            <w:vAlign w:val="center"/>
          </w:tcPr>
          <w:p w14:paraId="2E1879B0">
            <w:pPr>
              <w:pStyle w:val="448"/>
              <w:shd w:val="clear"/>
              <w:spacing w:line="300" w:lineRule="auto"/>
              <w:ind w:left="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自卸汽车</w:t>
            </w:r>
          </w:p>
        </w:tc>
      </w:tr>
      <w:tr w14:paraId="28B59E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2" w:hRule="exact"/>
          <w:jc w:val="center"/>
        </w:trPr>
        <w:tc>
          <w:tcPr>
            <w:tcW w:w="709" w:type="dxa"/>
            <w:vAlign w:val="center"/>
          </w:tcPr>
          <w:p w14:paraId="205CB67D">
            <w:pPr>
              <w:pStyle w:val="448"/>
              <w:shd w:val="clear"/>
              <w:spacing w:line="300" w:lineRule="auto"/>
              <w:ind w:left="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8</w:t>
            </w:r>
          </w:p>
        </w:tc>
        <w:tc>
          <w:tcPr>
            <w:tcW w:w="1559" w:type="dxa"/>
            <w:vAlign w:val="center"/>
          </w:tcPr>
          <w:p w14:paraId="54C7F56D">
            <w:pPr>
              <w:pStyle w:val="448"/>
              <w:shd w:val="clear"/>
              <w:spacing w:line="300" w:lineRule="auto"/>
              <w:ind w:left="0"/>
              <w:jc w:val="left"/>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河沙</w:t>
            </w:r>
          </w:p>
        </w:tc>
        <w:tc>
          <w:tcPr>
            <w:tcW w:w="1872" w:type="dxa"/>
            <w:vAlign w:val="center"/>
          </w:tcPr>
          <w:p w14:paraId="4D7CE645">
            <w:pPr>
              <w:pStyle w:val="448"/>
              <w:shd w:val="clear"/>
              <w:spacing w:line="300" w:lineRule="auto"/>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lang w:eastAsia="zh-CN"/>
              </w:rPr>
              <w:t>厂</w:t>
            </w:r>
            <w:r>
              <w:rPr>
                <w:rFonts w:ascii="Times New Roman" w:hAnsi="Times New Roman" w:eastAsia="宋体" w:cs="Times New Roman"/>
                <w:color w:val="auto"/>
                <w:sz w:val="24"/>
                <w:highlight w:val="none"/>
              </w:rPr>
              <w:t>外</w:t>
            </w:r>
          </w:p>
        </w:tc>
        <w:tc>
          <w:tcPr>
            <w:tcW w:w="1418" w:type="dxa"/>
            <w:vAlign w:val="center"/>
          </w:tcPr>
          <w:p w14:paraId="301BB86E">
            <w:pPr>
              <w:pStyle w:val="448"/>
              <w:shd w:val="clear"/>
              <w:spacing w:line="300" w:lineRule="auto"/>
              <w:ind w:left="0"/>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炉台</w:t>
            </w:r>
          </w:p>
        </w:tc>
        <w:tc>
          <w:tcPr>
            <w:tcW w:w="1276" w:type="dxa"/>
            <w:vAlign w:val="center"/>
          </w:tcPr>
          <w:p w14:paraId="27BA41F1">
            <w:pPr>
              <w:shd w:val="clear"/>
              <w:spacing w:line="30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lang w:val="nl-NL" w:eastAsia="nl-NL" w:bidi="nl-NL"/>
              </w:rPr>
              <w:t>0.10</w:t>
            </w:r>
          </w:p>
        </w:tc>
        <w:tc>
          <w:tcPr>
            <w:tcW w:w="1813" w:type="dxa"/>
            <w:vAlign w:val="center"/>
          </w:tcPr>
          <w:p w14:paraId="558DCCA1">
            <w:pPr>
              <w:pStyle w:val="448"/>
              <w:shd w:val="clear"/>
              <w:spacing w:line="300" w:lineRule="auto"/>
              <w:ind w:left="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自卸汽车</w:t>
            </w:r>
          </w:p>
        </w:tc>
      </w:tr>
      <w:tr w14:paraId="10315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8" w:hRule="exact"/>
          <w:jc w:val="center"/>
        </w:trPr>
        <w:tc>
          <w:tcPr>
            <w:tcW w:w="709" w:type="dxa"/>
            <w:vAlign w:val="center"/>
          </w:tcPr>
          <w:p w14:paraId="7EDCB7E2">
            <w:pPr>
              <w:pStyle w:val="448"/>
              <w:shd w:val="clear"/>
              <w:spacing w:line="300" w:lineRule="auto"/>
              <w:ind w:left="0"/>
              <w:rPr>
                <w:rFonts w:ascii="Times New Roman" w:hAnsi="Times New Roman" w:eastAsia="宋体" w:cs="Times New Roman"/>
                <w:color w:val="auto"/>
                <w:sz w:val="24"/>
                <w:highlight w:val="none"/>
              </w:rPr>
            </w:pPr>
          </w:p>
        </w:tc>
        <w:tc>
          <w:tcPr>
            <w:tcW w:w="1559" w:type="dxa"/>
            <w:vAlign w:val="center"/>
          </w:tcPr>
          <w:p w14:paraId="22216485">
            <w:pPr>
              <w:pStyle w:val="448"/>
              <w:shd w:val="clear"/>
              <w:spacing w:line="300" w:lineRule="auto"/>
              <w:ind w:left="0"/>
              <w:jc w:val="left"/>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运入小</w:t>
            </w:r>
            <w:r>
              <w:rPr>
                <w:rFonts w:ascii="Times New Roman" w:hAnsi="Times New Roman" w:eastAsia="宋体" w:cs="Times New Roman"/>
                <w:color w:val="auto"/>
                <w:sz w:val="24"/>
                <w:highlight w:val="none"/>
                <w:lang w:val="en-US" w:eastAsia="zh-CN"/>
              </w:rPr>
              <w:t>计</w:t>
            </w:r>
          </w:p>
        </w:tc>
        <w:tc>
          <w:tcPr>
            <w:tcW w:w="1872" w:type="dxa"/>
            <w:vAlign w:val="center"/>
          </w:tcPr>
          <w:p w14:paraId="36B5680E">
            <w:pPr>
              <w:pStyle w:val="448"/>
              <w:shd w:val="clear"/>
              <w:spacing w:line="300" w:lineRule="auto"/>
              <w:ind w:left="0"/>
              <w:rPr>
                <w:rFonts w:ascii="Times New Roman" w:hAnsi="Times New Roman" w:eastAsia="宋体" w:cs="Times New Roman"/>
                <w:color w:val="auto"/>
                <w:sz w:val="24"/>
                <w:highlight w:val="none"/>
              </w:rPr>
            </w:pPr>
          </w:p>
        </w:tc>
        <w:tc>
          <w:tcPr>
            <w:tcW w:w="1418" w:type="dxa"/>
            <w:vAlign w:val="center"/>
          </w:tcPr>
          <w:p w14:paraId="6AA0A173">
            <w:pPr>
              <w:pStyle w:val="448"/>
              <w:shd w:val="clear"/>
              <w:spacing w:line="300" w:lineRule="auto"/>
              <w:ind w:left="0"/>
              <w:rPr>
                <w:rFonts w:ascii="Times New Roman" w:hAnsi="Times New Roman" w:eastAsia="宋体" w:cs="Times New Roman"/>
                <w:color w:val="auto"/>
                <w:sz w:val="24"/>
                <w:highlight w:val="none"/>
              </w:rPr>
            </w:pPr>
          </w:p>
        </w:tc>
        <w:tc>
          <w:tcPr>
            <w:tcW w:w="1276" w:type="dxa"/>
          </w:tcPr>
          <w:p w14:paraId="17DB5DBF">
            <w:pPr>
              <w:shd w:val="clear"/>
              <w:spacing w:line="30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lang w:bidi="nl-NL"/>
              </w:rPr>
              <w:t>260</w:t>
            </w:r>
          </w:p>
        </w:tc>
        <w:tc>
          <w:tcPr>
            <w:tcW w:w="1813" w:type="dxa"/>
            <w:vAlign w:val="center"/>
          </w:tcPr>
          <w:p w14:paraId="29BE81BE">
            <w:pPr>
              <w:pStyle w:val="448"/>
              <w:shd w:val="clear"/>
              <w:spacing w:line="300" w:lineRule="auto"/>
              <w:ind w:left="0"/>
              <w:rPr>
                <w:rFonts w:ascii="Times New Roman" w:hAnsi="Times New Roman" w:eastAsia="宋体" w:cs="Times New Roman"/>
                <w:color w:val="auto"/>
                <w:sz w:val="24"/>
                <w:highlight w:val="none"/>
              </w:rPr>
            </w:pPr>
          </w:p>
        </w:tc>
      </w:tr>
      <w:tr w14:paraId="7C8E3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0" w:hRule="exact"/>
          <w:jc w:val="center"/>
        </w:trPr>
        <w:tc>
          <w:tcPr>
            <w:tcW w:w="709" w:type="dxa"/>
            <w:vAlign w:val="center"/>
          </w:tcPr>
          <w:p w14:paraId="7BBD8CA6">
            <w:pPr>
              <w:pStyle w:val="448"/>
              <w:shd w:val="clear"/>
              <w:spacing w:line="300" w:lineRule="auto"/>
              <w:ind w:left="0"/>
              <w:rPr>
                <w:rFonts w:ascii="Times New Roman" w:hAnsi="Times New Roman" w:eastAsia="宋体" w:cs="Times New Roman"/>
                <w:color w:val="auto"/>
                <w:sz w:val="24"/>
                <w:highlight w:val="none"/>
              </w:rPr>
            </w:pPr>
          </w:p>
        </w:tc>
        <w:tc>
          <w:tcPr>
            <w:tcW w:w="1559" w:type="dxa"/>
            <w:vAlign w:val="center"/>
          </w:tcPr>
          <w:p w14:paraId="2F52685A">
            <w:pPr>
              <w:pStyle w:val="448"/>
              <w:shd w:val="clear"/>
              <w:spacing w:line="300" w:lineRule="auto"/>
              <w:ind w:left="0"/>
              <w:jc w:val="left"/>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运出</w:t>
            </w:r>
          </w:p>
        </w:tc>
        <w:tc>
          <w:tcPr>
            <w:tcW w:w="1872" w:type="dxa"/>
            <w:vAlign w:val="center"/>
          </w:tcPr>
          <w:p w14:paraId="1E2E2C59">
            <w:pPr>
              <w:pStyle w:val="448"/>
              <w:shd w:val="clear"/>
              <w:spacing w:line="300" w:lineRule="auto"/>
              <w:ind w:left="0"/>
              <w:rPr>
                <w:rFonts w:ascii="Times New Roman" w:hAnsi="Times New Roman" w:eastAsia="宋体" w:cs="Times New Roman"/>
                <w:color w:val="auto"/>
                <w:sz w:val="24"/>
                <w:highlight w:val="none"/>
              </w:rPr>
            </w:pPr>
          </w:p>
        </w:tc>
        <w:tc>
          <w:tcPr>
            <w:tcW w:w="1418" w:type="dxa"/>
            <w:vAlign w:val="center"/>
          </w:tcPr>
          <w:p w14:paraId="41DFFB7F">
            <w:pPr>
              <w:pStyle w:val="448"/>
              <w:shd w:val="clear"/>
              <w:spacing w:line="300" w:lineRule="auto"/>
              <w:ind w:left="0"/>
              <w:rPr>
                <w:rFonts w:ascii="Times New Roman" w:hAnsi="Times New Roman" w:eastAsia="宋体" w:cs="Times New Roman"/>
                <w:color w:val="auto"/>
                <w:sz w:val="24"/>
                <w:highlight w:val="none"/>
              </w:rPr>
            </w:pPr>
          </w:p>
        </w:tc>
        <w:tc>
          <w:tcPr>
            <w:tcW w:w="1276" w:type="dxa"/>
            <w:vAlign w:val="center"/>
          </w:tcPr>
          <w:p w14:paraId="0CFA3977">
            <w:pPr>
              <w:shd w:val="clear"/>
              <w:spacing w:line="300" w:lineRule="auto"/>
              <w:jc w:val="center"/>
              <w:rPr>
                <w:rFonts w:ascii="Times New Roman" w:hAnsi="Times New Roman" w:cs="Times New Roman"/>
                <w:color w:val="auto"/>
                <w:highlight w:val="none"/>
              </w:rPr>
            </w:pPr>
          </w:p>
        </w:tc>
        <w:tc>
          <w:tcPr>
            <w:tcW w:w="1813" w:type="dxa"/>
            <w:vAlign w:val="center"/>
          </w:tcPr>
          <w:p w14:paraId="45FFC36C">
            <w:pPr>
              <w:pStyle w:val="448"/>
              <w:shd w:val="clear"/>
              <w:spacing w:line="300" w:lineRule="auto"/>
              <w:ind w:left="0"/>
              <w:rPr>
                <w:rFonts w:ascii="Times New Roman" w:hAnsi="Times New Roman" w:eastAsia="宋体" w:cs="Times New Roman"/>
                <w:color w:val="auto"/>
                <w:sz w:val="24"/>
                <w:highlight w:val="none"/>
              </w:rPr>
            </w:pPr>
          </w:p>
        </w:tc>
      </w:tr>
      <w:tr w14:paraId="2F7F9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6" w:hRule="exact"/>
          <w:jc w:val="center"/>
        </w:trPr>
        <w:tc>
          <w:tcPr>
            <w:tcW w:w="709" w:type="dxa"/>
            <w:vAlign w:val="center"/>
          </w:tcPr>
          <w:p w14:paraId="33C60BB1">
            <w:pPr>
              <w:pStyle w:val="448"/>
              <w:shd w:val="clear"/>
              <w:spacing w:line="300" w:lineRule="auto"/>
              <w:ind w:left="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9</w:t>
            </w:r>
          </w:p>
        </w:tc>
        <w:tc>
          <w:tcPr>
            <w:tcW w:w="1559" w:type="dxa"/>
            <w:vAlign w:val="center"/>
          </w:tcPr>
          <w:p w14:paraId="517CEBC6">
            <w:pPr>
              <w:pStyle w:val="448"/>
              <w:shd w:val="clear"/>
              <w:spacing w:line="300" w:lineRule="auto"/>
              <w:ind w:left="0"/>
              <w:jc w:val="left"/>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铁水</w:t>
            </w:r>
          </w:p>
        </w:tc>
        <w:tc>
          <w:tcPr>
            <w:tcW w:w="1872" w:type="dxa"/>
            <w:vAlign w:val="center"/>
          </w:tcPr>
          <w:p w14:paraId="090FBBF6">
            <w:pPr>
              <w:pStyle w:val="448"/>
              <w:shd w:val="clear"/>
              <w:spacing w:line="300" w:lineRule="auto"/>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高炉</w:t>
            </w:r>
          </w:p>
        </w:tc>
        <w:tc>
          <w:tcPr>
            <w:tcW w:w="1418" w:type="dxa"/>
            <w:vAlign w:val="center"/>
          </w:tcPr>
          <w:p w14:paraId="74856F24">
            <w:pPr>
              <w:pStyle w:val="448"/>
              <w:shd w:val="clear"/>
              <w:spacing w:line="300" w:lineRule="auto"/>
              <w:ind w:left="0"/>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炼钢</w:t>
            </w:r>
          </w:p>
        </w:tc>
        <w:tc>
          <w:tcPr>
            <w:tcW w:w="1276" w:type="dxa"/>
            <w:vAlign w:val="center"/>
          </w:tcPr>
          <w:p w14:paraId="636D1D9D">
            <w:pPr>
              <w:shd w:val="clear"/>
              <w:spacing w:line="30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lang w:bidi="nl-NL"/>
              </w:rPr>
              <w:t>113.54</w:t>
            </w:r>
          </w:p>
        </w:tc>
        <w:tc>
          <w:tcPr>
            <w:tcW w:w="1813" w:type="dxa"/>
            <w:vAlign w:val="center"/>
          </w:tcPr>
          <w:p w14:paraId="1081BB00">
            <w:pPr>
              <w:pStyle w:val="448"/>
              <w:shd w:val="clear"/>
              <w:spacing w:line="300" w:lineRule="auto"/>
              <w:ind w:left="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火车</w:t>
            </w:r>
          </w:p>
        </w:tc>
      </w:tr>
      <w:tr w14:paraId="7BA53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18" w:hRule="exact"/>
          <w:jc w:val="center"/>
        </w:trPr>
        <w:tc>
          <w:tcPr>
            <w:tcW w:w="709" w:type="dxa"/>
            <w:vAlign w:val="center"/>
          </w:tcPr>
          <w:p w14:paraId="103E8D54">
            <w:pPr>
              <w:pStyle w:val="448"/>
              <w:shd w:val="clear"/>
              <w:spacing w:line="300" w:lineRule="auto"/>
              <w:ind w:left="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10</w:t>
            </w:r>
          </w:p>
        </w:tc>
        <w:tc>
          <w:tcPr>
            <w:tcW w:w="1559" w:type="dxa"/>
            <w:vAlign w:val="center"/>
          </w:tcPr>
          <w:p w14:paraId="219F4D59">
            <w:pPr>
              <w:pStyle w:val="448"/>
              <w:shd w:val="clear"/>
              <w:spacing w:line="300" w:lineRule="auto"/>
              <w:ind w:left="0"/>
              <w:jc w:val="left"/>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水渣</w:t>
            </w:r>
          </w:p>
        </w:tc>
        <w:tc>
          <w:tcPr>
            <w:tcW w:w="1872" w:type="dxa"/>
            <w:vAlign w:val="center"/>
          </w:tcPr>
          <w:p w14:paraId="425693B6">
            <w:pPr>
              <w:pStyle w:val="448"/>
              <w:shd w:val="clear"/>
              <w:spacing w:line="300" w:lineRule="auto"/>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高炉</w:t>
            </w:r>
          </w:p>
        </w:tc>
        <w:tc>
          <w:tcPr>
            <w:tcW w:w="1418" w:type="dxa"/>
            <w:vAlign w:val="center"/>
          </w:tcPr>
          <w:p w14:paraId="06D631FE">
            <w:pPr>
              <w:pStyle w:val="448"/>
              <w:shd w:val="clear"/>
              <w:spacing w:line="300" w:lineRule="auto"/>
              <w:ind w:left="0"/>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水渣堆场</w:t>
            </w:r>
          </w:p>
        </w:tc>
        <w:tc>
          <w:tcPr>
            <w:tcW w:w="1276" w:type="dxa"/>
            <w:vAlign w:val="center"/>
          </w:tcPr>
          <w:p w14:paraId="54A82DBB">
            <w:pPr>
              <w:shd w:val="clear"/>
              <w:spacing w:line="30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lang w:bidi="nl-NL"/>
              </w:rPr>
              <w:t>61.4</w:t>
            </w:r>
          </w:p>
        </w:tc>
        <w:tc>
          <w:tcPr>
            <w:tcW w:w="1813" w:type="dxa"/>
            <w:vAlign w:val="center"/>
          </w:tcPr>
          <w:p w14:paraId="73E5EE0B">
            <w:pPr>
              <w:pStyle w:val="448"/>
              <w:shd w:val="clear"/>
              <w:spacing w:line="300" w:lineRule="auto"/>
              <w:ind w:left="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自卸汽车</w:t>
            </w:r>
          </w:p>
        </w:tc>
      </w:tr>
      <w:tr w14:paraId="26EE2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4" w:hRule="exact"/>
          <w:jc w:val="center"/>
        </w:trPr>
        <w:tc>
          <w:tcPr>
            <w:tcW w:w="709" w:type="dxa"/>
            <w:vAlign w:val="center"/>
          </w:tcPr>
          <w:p w14:paraId="0F124048">
            <w:pPr>
              <w:pStyle w:val="448"/>
              <w:shd w:val="clear"/>
              <w:spacing w:line="300" w:lineRule="auto"/>
              <w:ind w:left="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11</w:t>
            </w:r>
          </w:p>
        </w:tc>
        <w:tc>
          <w:tcPr>
            <w:tcW w:w="1559" w:type="dxa"/>
            <w:vAlign w:val="center"/>
          </w:tcPr>
          <w:p w14:paraId="3BE7A423">
            <w:pPr>
              <w:pStyle w:val="448"/>
              <w:shd w:val="clear"/>
              <w:spacing w:line="300" w:lineRule="auto"/>
              <w:ind w:left="0"/>
              <w:jc w:val="left"/>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返矿</w:t>
            </w:r>
          </w:p>
        </w:tc>
        <w:tc>
          <w:tcPr>
            <w:tcW w:w="1872" w:type="dxa"/>
            <w:vAlign w:val="center"/>
          </w:tcPr>
          <w:p w14:paraId="6C7BD770">
            <w:pPr>
              <w:pStyle w:val="448"/>
              <w:shd w:val="clear"/>
              <w:spacing w:line="300" w:lineRule="auto"/>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矿焦槽</w:t>
            </w:r>
          </w:p>
        </w:tc>
        <w:tc>
          <w:tcPr>
            <w:tcW w:w="1418" w:type="dxa"/>
            <w:vAlign w:val="center"/>
          </w:tcPr>
          <w:p w14:paraId="00FF00FD">
            <w:pPr>
              <w:pStyle w:val="448"/>
              <w:shd w:val="clear"/>
              <w:spacing w:line="300" w:lineRule="auto"/>
              <w:ind w:left="0"/>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烧结</w:t>
            </w:r>
          </w:p>
        </w:tc>
        <w:tc>
          <w:tcPr>
            <w:tcW w:w="1276" w:type="dxa"/>
            <w:vAlign w:val="center"/>
          </w:tcPr>
          <w:p w14:paraId="2326D8BD">
            <w:pPr>
              <w:shd w:val="clear"/>
              <w:spacing w:line="30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lang w:bidi="nl-NL"/>
              </w:rPr>
              <w:t>50</w:t>
            </w:r>
          </w:p>
        </w:tc>
        <w:tc>
          <w:tcPr>
            <w:tcW w:w="1813" w:type="dxa"/>
            <w:vAlign w:val="center"/>
          </w:tcPr>
          <w:p w14:paraId="659D2785">
            <w:pPr>
              <w:pStyle w:val="448"/>
              <w:shd w:val="clear"/>
              <w:spacing w:line="300" w:lineRule="auto"/>
              <w:ind w:left="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胶带机通廊</w:t>
            </w:r>
          </w:p>
        </w:tc>
      </w:tr>
      <w:tr w14:paraId="24BF4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30" w:hRule="exact"/>
          <w:jc w:val="center"/>
        </w:trPr>
        <w:tc>
          <w:tcPr>
            <w:tcW w:w="709" w:type="dxa"/>
            <w:vAlign w:val="center"/>
          </w:tcPr>
          <w:p w14:paraId="17544266">
            <w:pPr>
              <w:pStyle w:val="448"/>
              <w:shd w:val="clear"/>
              <w:spacing w:line="300" w:lineRule="auto"/>
              <w:ind w:left="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12</w:t>
            </w:r>
          </w:p>
        </w:tc>
        <w:tc>
          <w:tcPr>
            <w:tcW w:w="1559" w:type="dxa"/>
            <w:vAlign w:val="center"/>
          </w:tcPr>
          <w:p w14:paraId="79FA3FBF">
            <w:pPr>
              <w:pStyle w:val="448"/>
              <w:shd w:val="clear"/>
              <w:spacing w:line="300" w:lineRule="auto"/>
              <w:ind w:left="0"/>
              <w:jc w:val="left"/>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返焦</w:t>
            </w:r>
          </w:p>
        </w:tc>
        <w:tc>
          <w:tcPr>
            <w:tcW w:w="1872" w:type="dxa"/>
            <w:vAlign w:val="center"/>
          </w:tcPr>
          <w:p w14:paraId="383E225B">
            <w:pPr>
              <w:pStyle w:val="448"/>
              <w:shd w:val="clear"/>
              <w:spacing w:line="300" w:lineRule="auto"/>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矿焦槽</w:t>
            </w:r>
          </w:p>
        </w:tc>
        <w:tc>
          <w:tcPr>
            <w:tcW w:w="1418" w:type="dxa"/>
            <w:vAlign w:val="center"/>
          </w:tcPr>
          <w:p w14:paraId="224D7B37">
            <w:pPr>
              <w:pStyle w:val="448"/>
              <w:shd w:val="clear"/>
              <w:spacing w:line="300" w:lineRule="auto"/>
              <w:ind w:left="0"/>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烧结车间</w:t>
            </w:r>
          </w:p>
        </w:tc>
        <w:tc>
          <w:tcPr>
            <w:tcW w:w="1276" w:type="dxa"/>
            <w:vAlign w:val="center"/>
          </w:tcPr>
          <w:p w14:paraId="24CF6392">
            <w:pPr>
              <w:shd w:val="clear"/>
              <w:spacing w:line="30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lang w:val="nl-NL" w:eastAsia="nl-NL" w:bidi="nl-NL"/>
              </w:rPr>
              <w:t>5.9</w:t>
            </w:r>
          </w:p>
        </w:tc>
        <w:tc>
          <w:tcPr>
            <w:tcW w:w="1813" w:type="dxa"/>
            <w:vAlign w:val="center"/>
          </w:tcPr>
          <w:p w14:paraId="5E9D7312">
            <w:pPr>
              <w:pStyle w:val="448"/>
              <w:shd w:val="clear"/>
              <w:spacing w:line="300" w:lineRule="auto"/>
              <w:ind w:left="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自卸汽车</w:t>
            </w:r>
          </w:p>
        </w:tc>
      </w:tr>
      <w:tr w14:paraId="46E10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08" w:hRule="exact"/>
          <w:jc w:val="center"/>
        </w:trPr>
        <w:tc>
          <w:tcPr>
            <w:tcW w:w="709" w:type="dxa"/>
            <w:vAlign w:val="center"/>
          </w:tcPr>
          <w:p w14:paraId="14CFB4CF">
            <w:pPr>
              <w:pStyle w:val="448"/>
              <w:shd w:val="clear"/>
              <w:spacing w:line="300" w:lineRule="auto"/>
              <w:ind w:left="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13</w:t>
            </w:r>
          </w:p>
        </w:tc>
        <w:tc>
          <w:tcPr>
            <w:tcW w:w="1559" w:type="dxa"/>
            <w:vAlign w:val="center"/>
          </w:tcPr>
          <w:p w14:paraId="7C0F0649">
            <w:pPr>
              <w:pStyle w:val="448"/>
              <w:shd w:val="clear"/>
              <w:spacing w:line="300" w:lineRule="auto"/>
              <w:ind w:left="0"/>
              <w:jc w:val="left"/>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干渣</w:t>
            </w:r>
          </w:p>
        </w:tc>
        <w:tc>
          <w:tcPr>
            <w:tcW w:w="1872" w:type="dxa"/>
            <w:vAlign w:val="center"/>
          </w:tcPr>
          <w:p w14:paraId="48C50181">
            <w:pPr>
              <w:pStyle w:val="448"/>
              <w:shd w:val="clear"/>
              <w:spacing w:line="300" w:lineRule="auto"/>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干渣坑</w:t>
            </w:r>
          </w:p>
        </w:tc>
        <w:tc>
          <w:tcPr>
            <w:tcW w:w="1418" w:type="dxa"/>
            <w:vAlign w:val="center"/>
          </w:tcPr>
          <w:p w14:paraId="7D82506E">
            <w:pPr>
              <w:pStyle w:val="448"/>
              <w:shd w:val="clear"/>
              <w:spacing w:line="300" w:lineRule="auto"/>
              <w:ind w:left="0"/>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弃渣场</w:t>
            </w:r>
          </w:p>
        </w:tc>
        <w:tc>
          <w:tcPr>
            <w:tcW w:w="1276" w:type="dxa"/>
            <w:vAlign w:val="center"/>
          </w:tcPr>
          <w:p w14:paraId="79591613">
            <w:pPr>
              <w:shd w:val="clear"/>
              <w:spacing w:line="30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lang w:val="nl-NL" w:bidi="nl-NL"/>
              </w:rPr>
              <w:t>1.95</w:t>
            </w:r>
          </w:p>
        </w:tc>
        <w:tc>
          <w:tcPr>
            <w:tcW w:w="1813" w:type="dxa"/>
            <w:vAlign w:val="center"/>
          </w:tcPr>
          <w:p w14:paraId="4960AEA6">
            <w:pPr>
              <w:pStyle w:val="448"/>
              <w:shd w:val="clear"/>
              <w:spacing w:line="300" w:lineRule="auto"/>
              <w:ind w:left="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自卸汽车</w:t>
            </w:r>
          </w:p>
        </w:tc>
      </w:tr>
      <w:tr w14:paraId="46EF3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8" w:hRule="exact"/>
          <w:jc w:val="center"/>
        </w:trPr>
        <w:tc>
          <w:tcPr>
            <w:tcW w:w="709" w:type="dxa"/>
            <w:vAlign w:val="center"/>
          </w:tcPr>
          <w:p w14:paraId="6EA60FC4">
            <w:pPr>
              <w:pStyle w:val="448"/>
              <w:shd w:val="clear"/>
              <w:spacing w:line="300" w:lineRule="auto"/>
              <w:ind w:left="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14</w:t>
            </w:r>
          </w:p>
        </w:tc>
        <w:tc>
          <w:tcPr>
            <w:tcW w:w="1559" w:type="dxa"/>
            <w:vAlign w:val="center"/>
          </w:tcPr>
          <w:p w14:paraId="3D161A7C">
            <w:pPr>
              <w:pStyle w:val="448"/>
              <w:shd w:val="clear"/>
              <w:spacing w:line="300" w:lineRule="auto"/>
              <w:ind w:left="0"/>
              <w:jc w:val="left"/>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垃圾</w:t>
            </w:r>
          </w:p>
        </w:tc>
        <w:tc>
          <w:tcPr>
            <w:tcW w:w="1872" w:type="dxa"/>
            <w:vAlign w:val="center"/>
          </w:tcPr>
          <w:p w14:paraId="07F77E5A">
            <w:pPr>
              <w:pStyle w:val="448"/>
              <w:shd w:val="clear"/>
              <w:spacing w:line="300" w:lineRule="auto"/>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炉台</w:t>
            </w:r>
          </w:p>
        </w:tc>
        <w:tc>
          <w:tcPr>
            <w:tcW w:w="1418" w:type="dxa"/>
            <w:vAlign w:val="center"/>
          </w:tcPr>
          <w:p w14:paraId="4E9D466C">
            <w:pPr>
              <w:pStyle w:val="448"/>
              <w:shd w:val="clear"/>
              <w:spacing w:line="300" w:lineRule="auto"/>
              <w:ind w:left="0"/>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lang w:eastAsia="zh-CN"/>
              </w:rPr>
              <w:t>厂</w:t>
            </w:r>
            <w:r>
              <w:rPr>
                <w:rFonts w:ascii="Times New Roman" w:hAnsi="Times New Roman" w:eastAsia="宋体" w:cs="Times New Roman"/>
                <w:color w:val="auto"/>
                <w:sz w:val="24"/>
                <w:highlight w:val="none"/>
              </w:rPr>
              <w:t>外</w:t>
            </w:r>
          </w:p>
        </w:tc>
        <w:tc>
          <w:tcPr>
            <w:tcW w:w="1276" w:type="dxa"/>
            <w:vAlign w:val="center"/>
          </w:tcPr>
          <w:p w14:paraId="6409FA1F">
            <w:pPr>
              <w:shd w:val="clear"/>
              <w:spacing w:line="30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lang w:val="nl-NL" w:eastAsia="nl-NL" w:bidi="nl-NL"/>
              </w:rPr>
              <w:t>0.49</w:t>
            </w:r>
          </w:p>
        </w:tc>
        <w:tc>
          <w:tcPr>
            <w:tcW w:w="1813" w:type="dxa"/>
            <w:vAlign w:val="center"/>
          </w:tcPr>
          <w:p w14:paraId="36D92E92">
            <w:pPr>
              <w:pStyle w:val="448"/>
              <w:shd w:val="clear"/>
              <w:spacing w:line="300" w:lineRule="auto"/>
              <w:ind w:left="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吊斗汽车</w:t>
            </w:r>
          </w:p>
        </w:tc>
      </w:tr>
      <w:tr w14:paraId="34450F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0" w:hRule="exact"/>
          <w:jc w:val="center"/>
        </w:trPr>
        <w:tc>
          <w:tcPr>
            <w:tcW w:w="709" w:type="dxa"/>
            <w:vAlign w:val="center"/>
          </w:tcPr>
          <w:p w14:paraId="14E8A33B">
            <w:pPr>
              <w:pStyle w:val="448"/>
              <w:shd w:val="clear"/>
              <w:spacing w:line="300" w:lineRule="auto"/>
              <w:ind w:left="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15</w:t>
            </w:r>
          </w:p>
        </w:tc>
        <w:tc>
          <w:tcPr>
            <w:tcW w:w="1559" w:type="dxa"/>
            <w:vAlign w:val="center"/>
          </w:tcPr>
          <w:p w14:paraId="50322344">
            <w:pPr>
              <w:pStyle w:val="448"/>
              <w:shd w:val="clear"/>
              <w:spacing w:line="300" w:lineRule="auto"/>
              <w:ind w:left="0"/>
              <w:jc w:val="left"/>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lang w:eastAsia="zh-CN"/>
              </w:rPr>
              <w:t>干法</w:t>
            </w:r>
            <w:r>
              <w:rPr>
                <w:rFonts w:ascii="Times New Roman" w:hAnsi="Times New Roman" w:eastAsia="宋体" w:cs="Times New Roman"/>
                <w:color w:val="auto"/>
                <w:sz w:val="24"/>
                <w:highlight w:val="none"/>
              </w:rPr>
              <w:t>除尘灰</w:t>
            </w:r>
          </w:p>
        </w:tc>
        <w:tc>
          <w:tcPr>
            <w:tcW w:w="1872" w:type="dxa"/>
            <w:vAlign w:val="center"/>
          </w:tcPr>
          <w:p w14:paraId="1CF86129">
            <w:pPr>
              <w:pStyle w:val="448"/>
              <w:shd w:val="clear"/>
              <w:spacing w:line="300" w:lineRule="auto"/>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lang w:eastAsia="zh-CN"/>
              </w:rPr>
              <w:t>干法布袋除尘</w:t>
            </w:r>
          </w:p>
        </w:tc>
        <w:tc>
          <w:tcPr>
            <w:tcW w:w="1418" w:type="dxa"/>
            <w:vAlign w:val="center"/>
          </w:tcPr>
          <w:p w14:paraId="3F9F0EE9">
            <w:pPr>
              <w:pStyle w:val="448"/>
              <w:shd w:val="clear"/>
              <w:spacing w:line="300" w:lineRule="auto"/>
              <w:ind w:left="0"/>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lang w:eastAsia="zh-CN"/>
              </w:rPr>
              <w:t>厂</w:t>
            </w:r>
            <w:r>
              <w:rPr>
                <w:rFonts w:ascii="Times New Roman" w:hAnsi="Times New Roman" w:eastAsia="宋体" w:cs="Times New Roman"/>
                <w:color w:val="auto"/>
                <w:sz w:val="24"/>
                <w:highlight w:val="none"/>
              </w:rPr>
              <w:t>外</w:t>
            </w:r>
          </w:p>
        </w:tc>
        <w:tc>
          <w:tcPr>
            <w:tcW w:w="1276" w:type="dxa"/>
            <w:vAlign w:val="center"/>
          </w:tcPr>
          <w:p w14:paraId="2E00116B">
            <w:pPr>
              <w:shd w:val="clear"/>
              <w:spacing w:line="30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lang w:val="nl-NL" w:eastAsia="nl-NL" w:bidi="nl-NL"/>
              </w:rPr>
              <w:t>1</w:t>
            </w:r>
          </w:p>
        </w:tc>
        <w:tc>
          <w:tcPr>
            <w:tcW w:w="1813" w:type="dxa"/>
            <w:vAlign w:val="center"/>
          </w:tcPr>
          <w:p w14:paraId="7C8AD957">
            <w:pPr>
              <w:pStyle w:val="448"/>
              <w:shd w:val="clear"/>
              <w:spacing w:line="300" w:lineRule="auto"/>
              <w:ind w:left="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自卸汽车</w:t>
            </w:r>
          </w:p>
        </w:tc>
      </w:tr>
      <w:tr w14:paraId="426D0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0" w:hRule="exact"/>
          <w:jc w:val="center"/>
        </w:trPr>
        <w:tc>
          <w:tcPr>
            <w:tcW w:w="709" w:type="dxa"/>
            <w:vAlign w:val="center"/>
          </w:tcPr>
          <w:p w14:paraId="1E4BD499">
            <w:pPr>
              <w:pStyle w:val="448"/>
              <w:shd w:val="clear"/>
              <w:spacing w:line="300" w:lineRule="auto"/>
              <w:ind w:left="0"/>
              <w:rPr>
                <w:rFonts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16</w:t>
            </w:r>
          </w:p>
        </w:tc>
        <w:tc>
          <w:tcPr>
            <w:tcW w:w="1559" w:type="dxa"/>
            <w:vAlign w:val="center"/>
          </w:tcPr>
          <w:p w14:paraId="196E674D">
            <w:pPr>
              <w:pStyle w:val="448"/>
              <w:shd w:val="clear"/>
              <w:spacing w:line="300" w:lineRule="auto"/>
              <w:ind w:left="0"/>
              <w:jc w:val="left"/>
              <w:rPr>
                <w:rFonts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重力除尘灰</w:t>
            </w:r>
          </w:p>
        </w:tc>
        <w:tc>
          <w:tcPr>
            <w:tcW w:w="1872" w:type="dxa"/>
            <w:vAlign w:val="center"/>
          </w:tcPr>
          <w:p w14:paraId="078C9A5B">
            <w:pPr>
              <w:pStyle w:val="448"/>
              <w:shd w:val="clear"/>
              <w:spacing w:line="300" w:lineRule="auto"/>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lang w:eastAsia="zh-CN"/>
              </w:rPr>
              <w:t>重力</w:t>
            </w:r>
            <w:r>
              <w:rPr>
                <w:rFonts w:ascii="Times New Roman" w:hAnsi="Times New Roman" w:eastAsia="宋体" w:cs="Times New Roman"/>
                <w:color w:val="auto"/>
                <w:sz w:val="24"/>
                <w:highlight w:val="none"/>
              </w:rPr>
              <w:t>除尘器</w:t>
            </w:r>
          </w:p>
        </w:tc>
        <w:tc>
          <w:tcPr>
            <w:tcW w:w="1418" w:type="dxa"/>
            <w:vAlign w:val="center"/>
          </w:tcPr>
          <w:p w14:paraId="2DA0EDE6">
            <w:pPr>
              <w:pStyle w:val="448"/>
              <w:shd w:val="clear"/>
              <w:spacing w:line="300" w:lineRule="auto"/>
              <w:ind w:left="0"/>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lang w:eastAsia="zh-CN"/>
              </w:rPr>
              <w:t>烧结系统</w:t>
            </w:r>
          </w:p>
        </w:tc>
        <w:tc>
          <w:tcPr>
            <w:tcW w:w="1276" w:type="dxa"/>
            <w:vAlign w:val="center"/>
          </w:tcPr>
          <w:p w14:paraId="0C950CE2">
            <w:pPr>
              <w:shd w:val="clear"/>
              <w:spacing w:line="30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lang w:val="nl-NL" w:bidi="nl-NL"/>
              </w:rPr>
              <w:t>1.2</w:t>
            </w:r>
          </w:p>
        </w:tc>
        <w:tc>
          <w:tcPr>
            <w:tcW w:w="1813" w:type="dxa"/>
            <w:vAlign w:val="center"/>
          </w:tcPr>
          <w:p w14:paraId="07698CE4">
            <w:pPr>
              <w:pStyle w:val="448"/>
              <w:shd w:val="clear"/>
              <w:spacing w:line="300" w:lineRule="auto"/>
              <w:ind w:left="0"/>
              <w:rPr>
                <w:rFonts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吸引压送罐车</w:t>
            </w:r>
          </w:p>
        </w:tc>
      </w:tr>
      <w:tr w14:paraId="149C5B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0" w:hRule="exact"/>
          <w:jc w:val="center"/>
        </w:trPr>
        <w:tc>
          <w:tcPr>
            <w:tcW w:w="709" w:type="dxa"/>
            <w:vAlign w:val="center"/>
          </w:tcPr>
          <w:p w14:paraId="75B21BC5">
            <w:pPr>
              <w:pStyle w:val="448"/>
              <w:shd w:val="clear"/>
              <w:spacing w:line="300" w:lineRule="auto"/>
              <w:ind w:left="0"/>
              <w:rPr>
                <w:rFonts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17</w:t>
            </w:r>
          </w:p>
        </w:tc>
        <w:tc>
          <w:tcPr>
            <w:tcW w:w="1559" w:type="dxa"/>
            <w:vAlign w:val="center"/>
          </w:tcPr>
          <w:p w14:paraId="463C7115">
            <w:pPr>
              <w:pStyle w:val="448"/>
              <w:shd w:val="clear"/>
              <w:spacing w:line="300" w:lineRule="auto"/>
              <w:ind w:left="0"/>
              <w:jc w:val="left"/>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lang w:eastAsia="zh-CN"/>
              </w:rPr>
              <w:t>环境除尘灰</w:t>
            </w:r>
          </w:p>
        </w:tc>
        <w:tc>
          <w:tcPr>
            <w:tcW w:w="1872" w:type="dxa"/>
            <w:vAlign w:val="center"/>
          </w:tcPr>
          <w:p w14:paraId="693E5DE0">
            <w:pPr>
              <w:pStyle w:val="448"/>
              <w:shd w:val="clear"/>
              <w:spacing w:line="300" w:lineRule="auto"/>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lang w:eastAsia="zh-CN"/>
              </w:rPr>
              <w:t>环境</w:t>
            </w:r>
            <w:r>
              <w:rPr>
                <w:rFonts w:ascii="Times New Roman" w:hAnsi="Times New Roman" w:eastAsia="宋体" w:cs="Times New Roman"/>
                <w:color w:val="auto"/>
                <w:sz w:val="24"/>
                <w:highlight w:val="none"/>
              </w:rPr>
              <w:t>除尘器</w:t>
            </w:r>
          </w:p>
        </w:tc>
        <w:tc>
          <w:tcPr>
            <w:tcW w:w="1418" w:type="dxa"/>
            <w:vAlign w:val="center"/>
          </w:tcPr>
          <w:p w14:paraId="60F7C4EA">
            <w:pPr>
              <w:pStyle w:val="448"/>
              <w:shd w:val="clear"/>
              <w:spacing w:line="300" w:lineRule="auto"/>
              <w:ind w:left="0"/>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lang w:eastAsia="zh-CN"/>
              </w:rPr>
              <w:t>烧结系统</w:t>
            </w:r>
          </w:p>
        </w:tc>
        <w:tc>
          <w:tcPr>
            <w:tcW w:w="1276" w:type="dxa"/>
            <w:vAlign w:val="center"/>
          </w:tcPr>
          <w:p w14:paraId="3C9E72A5">
            <w:pPr>
              <w:shd w:val="clear"/>
              <w:spacing w:line="30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lang w:val="nl-NL" w:bidi="nl-NL"/>
              </w:rPr>
              <w:t>2.3</w:t>
            </w:r>
          </w:p>
        </w:tc>
        <w:tc>
          <w:tcPr>
            <w:tcW w:w="1813" w:type="dxa"/>
            <w:vAlign w:val="center"/>
          </w:tcPr>
          <w:p w14:paraId="6B1413F4">
            <w:pPr>
              <w:pStyle w:val="448"/>
              <w:shd w:val="clear"/>
              <w:spacing w:line="300" w:lineRule="auto"/>
              <w:ind w:left="0"/>
              <w:rPr>
                <w:rFonts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吸引压送罐车</w:t>
            </w:r>
          </w:p>
        </w:tc>
      </w:tr>
      <w:tr w14:paraId="073C3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6" w:hRule="exact"/>
          <w:jc w:val="center"/>
        </w:trPr>
        <w:tc>
          <w:tcPr>
            <w:tcW w:w="709" w:type="dxa"/>
            <w:vAlign w:val="center"/>
          </w:tcPr>
          <w:p w14:paraId="65294FF4">
            <w:pPr>
              <w:pStyle w:val="448"/>
              <w:shd w:val="clear"/>
              <w:spacing w:line="300" w:lineRule="auto"/>
              <w:ind w:left="0"/>
              <w:rPr>
                <w:rFonts w:ascii="Times New Roman" w:hAnsi="Times New Roman" w:eastAsia="宋体" w:cs="Times New Roman"/>
                <w:color w:val="auto"/>
                <w:sz w:val="24"/>
                <w:highlight w:val="none"/>
              </w:rPr>
            </w:pPr>
          </w:p>
        </w:tc>
        <w:tc>
          <w:tcPr>
            <w:tcW w:w="1559" w:type="dxa"/>
            <w:vAlign w:val="center"/>
          </w:tcPr>
          <w:p w14:paraId="6036F630">
            <w:pPr>
              <w:pStyle w:val="448"/>
              <w:shd w:val="clear"/>
              <w:spacing w:line="300" w:lineRule="auto"/>
              <w:ind w:left="0"/>
              <w:jc w:val="left"/>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运出小计</w:t>
            </w:r>
          </w:p>
        </w:tc>
        <w:tc>
          <w:tcPr>
            <w:tcW w:w="1872" w:type="dxa"/>
            <w:vAlign w:val="center"/>
          </w:tcPr>
          <w:p w14:paraId="52EA4B21">
            <w:pPr>
              <w:pStyle w:val="448"/>
              <w:shd w:val="clear"/>
              <w:spacing w:line="300" w:lineRule="auto"/>
              <w:ind w:left="0"/>
              <w:rPr>
                <w:rFonts w:ascii="Times New Roman" w:hAnsi="Times New Roman" w:eastAsia="宋体" w:cs="Times New Roman"/>
                <w:color w:val="auto"/>
                <w:sz w:val="24"/>
                <w:highlight w:val="none"/>
              </w:rPr>
            </w:pPr>
          </w:p>
        </w:tc>
        <w:tc>
          <w:tcPr>
            <w:tcW w:w="1418" w:type="dxa"/>
            <w:vAlign w:val="center"/>
          </w:tcPr>
          <w:p w14:paraId="39EC33C0">
            <w:pPr>
              <w:pStyle w:val="448"/>
              <w:shd w:val="clear"/>
              <w:spacing w:line="300" w:lineRule="auto"/>
              <w:ind w:left="0"/>
              <w:rPr>
                <w:rFonts w:ascii="Times New Roman" w:hAnsi="Times New Roman" w:eastAsia="宋体" w:cs="Times New Roman"/>
                <w:color w:val="auto"/>
                <w:sz w:val="24"/>
                <w:highlight w:val="none"/>
              </w:rPr>
            </w:pPr>
          </w:p>
        </w:tc>
        <w:tc>
          <w:tcPr>
            <w:tcW w:w="1276" w:type="dxa"/>
            <w:vAlign w:val="center"/>
          </w:tcPr>
          <w:p w14:paraId="5CAA0A26">
            <w:pPr>
              <w:shd w:val="clear"/>
              <w:spacing w:line="30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lang w:bidi="nl-NL"/>
              </w:rPr>
              <w:t>237.7</w:t>
            </w:r>
            <w:r>
              <w:rPr>
                <w:rFonts w:ascii="Times New Roman" w:hAnsi="Times New Roman" w:cs="Times New Roman"/>
                <w:color w:val="auto"/>
                <w:highlight w:val="none"/>
                <w:lang w:val="nl-NL" w:bidi="nl-NL"/>
              </w:rPr>
              <w:t>4</w:t>
            </w:r>
          </w:p>
        </w:tc>
        <w:tc>
          <w:tcPr>
            <w:tcW w:w="1813" w:type="dxa"/>
            <w:vAlign w:val="center"/>
          </w:tcPr>
          <w:p w14:paraId="67A5437C">
            <w:pPr>
              <w:pStyle w:val="448"/>
              <w:shd w:val="clear"/>
              <w:spacing w:line="300" w:lineRule="auto"/>
              <w:ind w:left="0"/>
              <w:rPr>
                <w:rFonts w:ascii="Times New Roman" w:hAnsi="Times New Roman" w:eastAsia="宋体" w:cs="Times New Roman"/>
                <w:color w:val="auto"/>
                <w:sz w:val="24"/>
                <w:highlight w:val="none"/>
              </w:rPr>
            </w:pPr>
          </w:p>
        </w:tc>
      </w:tr>
      <w:tr w14:paraId="05840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18" w:hRule="exact"/>
          <w:jc w:val="center"/>
        </w:trPr>
        <w:tc>
          <w:tcPr>
            <w:tcW w:w="709" w:type="dxa"/>
            <w:vAlign w:val="center"/>
          </w:tcPr>
          <w:p w14:paraId="5B21C9AD">
            <w:pPr>
              <w:pStyle w:val="448"/>
              <w:shd w:val="clear"/>
              <w:spacing w:line="300" w:lineRule="auto"/>
              <w:ind w:left="0"/>
              <w:rPr>
                <w:rFonts w:ascii="Times New Roman" w:hAnsi="Times New Roman" w:eastAsia="宋体" w:cs="Times New Roman"/>
                <w:color w:val="auto"/>
                <w:sz w:val="24"/>
                <w:highlight w:val="none"/>
              </w:rPr>
            </w:pPr>
          </w:p>
        </w:tc>
        <w:tc>
          <w:tcPr>
            <w:tcW w:w="1559" w:type="dxa"/>
            <w:vAlign w:val="center"/>
          </w:tcPr>
          <w:p w14:paraId="3B548BEF">
            <w:pPr>
              <w:pStyle w:val="448"/>
              <w:shd w:val="clear"/>
              <w:spacing w:line="300" w:lineRule="auto"/>
              <w:ind w:left="0"/>
              <w:jc w:val="left"/>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运输量合计</w:t>
            </w:r>
          </w:p>
        </w:tc>
        <w:tc>
          <w:tcPr>
            <w:tcW w:w="1872" w:type="dxa"/>
            <w:vAlign w:val="center"/>
          </w:tcPr>
          <w:p w14:paraId="6784EE49">
            <w:pPr>
              <w:pStyle w:val="448"/>
              <w:shd w:val="clear"/>
              <w:spacing w:line="300" w:lineRule="auto"/>
              <w:ind w:left="0"/>
              <w:rPr>
                <w:rFonts w:ascii="Times New Roman" w:hAnsi="Times New Roman" w:eastAsia="宋体" w:cs="Times New Roman"/>
                <w:color w:val="auto"/>
                <w:sz w:val="24"/>
                <w:highlight w:val="none"/>
              </w:rPr>
            </w:pPr>
          </w:p>
        </w:tc>
        <w:tc>
          <w:tcPr>
            <w:tcW w:w="1418" w:type="dxa"/>
            <w:vAlign w:val="center"/>
          </w:tcPr>
          <w:p w14:paraId="410EE6F4">
            <w:pPr>
              <w:pStyle w:val="448"/>
              <w:shd w:val="clear"/>
              <w:spacing w:line="300" w:lineRule="auto"/>
              <w:ind w:left="0"/>
              <w:rPr>
                <w:rFonts w:ascii="Times New Roman" w:hAnsi="Times New Roman" w:eastAsia="宋体" w:cs="Times New Roman"/>
                <w:color w:val="auto"/>
                <w:sz w:val="24"/>
                <w:highlight w:val="none"/>
              </w:rPr>
            </w:pPr>
          </w:p>
        </w:tc>
        <w:tc>
          <w:tcPr>
            <w:tcW w:w="1276" w:type="dxa"/>
            <w:vAlign w:val="center"/>
          </w:tcPr>
          <w:p w14:paraId="2A9F9BD8">
            <w:pPr>
              <w:shd w:val="clear"/>
              <w:spacing w:line="30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lang w:bidi="nl-NL"/>
              </w:rPr>
              <w:t>497.7</w:t>
            </w:r>
            <w:r>
              <w:rPr>
                <w:rFonts w:ascii="Times New Roman" w:hAnsi="Times New Roman" w:cs="Times New Roman"/>
                <w:color w:val="auto"/>
                <w:highlight w:val="none"/>
                <w:lang w:val="nl-NL" w:bidi="nl-NL"/>
              </w:rPr>
              <w:t>4</w:t>
            </w:r>
          </w:p>
        </w:tc>
        <w:tc>
          <w:tcPr>
            <w:tcW w:w="1813" w:type="dxa"/>
            <w:vAlign w:val="center"/>
          </w:tcPr>
          <w:p w14:paraId="694DF89A">
            <w:pPr>
              <w:pStyle w:val="448"/>
              <w:shd w:val="clear"/>
              <w:spacing w:line="300" w:lineRule="auto"/>
              <w:ind w:left="0"/>
              <w:rPr>
                <w:rFonts w:ascii="Times New Roman" w:hAnsi="Times New Roman" w:eastAsia="宋体" w:cs="Times New Roman"/>
                <w:color w:val="auto"/>
                <w:sz w:val="24"/>
                <w:highlight w:val="none"/>
              </w:rPr>
            </w:pPr>
          </w:p>
        </w:tc>
      </w:tr>
    </w:tbl>
    <w:p w14:paraId="6872C3B9">
      <w:pPr>
        <w:shd w:val="clear"/>
        <w:ind w:firstLine="0" w:firstLineChars="0"/>
        <w:rPr>
          <w:rFonts w:ascii="Times New Roman" w:hAnsi="Times New Roman" w:cs="Times New Roman"/>
          <w:color w:val="auto"/>
          <w:highlight w:val="none"/>
        </w:rPr>
      </w:pPr>
      <w:r>
        <w:rPr>
          <w:rFonts w:hint="eastAsia" w:ascii="Times New Roman" w:hAnsi="Times New Roman" w:cs="Times New Roman"/>
          <w:color w:val="auto"/>
          <w:highlight w:val="none"/>
        </w:rPr>
        <w:t>12</w:t>
      </w:r>
      <w:r>
        <w:rPr>
          <w:rFonts w:ascii="Times New Roman" w:hAnsi="Times New Roman" w:cs="Times New Roman"/>
          <w:color w:val="auto"/>
          <w:highlight w:val="none"/>
        </w:rPr>
        <w:t>.4.2 铁路运输</w:t>
      </w:r>
    </w:p>
    <w:p w14:paraId="1CF2AB8B">
      <w:pPr>
        <w:shd w:val="clear"/>
        <w:rPr>
          <w:rFonts w:ascii="Times New Roman" w:hAnsi="Times New Roman" w:cs="Times New Roman"/>
          <w:color w:val="auto"/>
          <w:highlight w:val="none"/>
        </w:rPr>
      </w:pPr>
      <w:r>
        <w:rPr>
          <w:rFonts w:ascii="Times New Roman" w:hAnsi="Times New Roman" w:cs="Times New Roman"/>
          <w:color w:val="auto"/>
          <w:highlight w:val="none"/>
        </w:rPr>
        <w:t>铁水采用铁路运输。2号高炉铁水运输量为：113.4万t/a。高炉每天出铁15次，每次配100t铁水罐2~3辆。每次出铁时，提前30min为将要使用的铁口配好罐，出铁前10min启动开口机打开铁口，开始出铁；出铁~20min后有炉渣进入渣处理装置，出铁后泥炮堵铁口；泥炮在堵口位置停留~30min，在泥炮退出堵口位置后，铁水罐车方可拉走，送至下工序。</w:t>
      </w:r>
    </w:p>
    <w:p w14:paraId="670CF276">
      <w:pPr>
        <w:shd w:val="clear"/>
        <w:rPr>
          <w:rFonts w:ascii="Times New Roman" w:hAnsi="Times New Roman" w:cs="Times New Roman"/>
          <w:color w:val="auto"/>
          <w:highlight w:val="none"/>
        </w:rPr>
      </w:pPr>
      <w:r>
        <w:rPr>
          <w:rFonts w:ascii="Times New Roman" w:hAnsi="Times New Roman" w:cs="Times New Roman"/>
          <w:color w:val="auto"/>
          <w:highlight w:val="none"/>
        </w:rPr>
        <w:t>铁水运输维持现有铁路系统不变。</w:t>
      </w:r>
    </w:p>
    <w:p w14:paraId="6B4FE8A7">
      <w:pPr>
        <w:shd w:val="clear"/>
        <w:ind w:firstLine="0" w:firstLineChars="0"/>
        <w:rPr>
          <w:rFonts w:ascii="Times New Roman" w:hAnsi="Times New Roman" w:cs="Times New Roman"/>
          <w:color w:val="auto"/>
          <w:highlight w:val="none"/>
        </w:rPr>
      </w:pPr>
      <w:r>
        <w:rPr>
          <w:rFonts w:hint="eastAsia" w:ascii="Times New Roman" w:hAnsi="Times New Roman" w:cs="Times New Roman"/>
          <w:color w:val="auto"/>
          <w:highlight w:val="none"/>
        </w:rPr>
        <w:t>12</w:t>
      </w:r>
      <w:r>
        <w:rPr>
          <w:rFonts w:ascii="Times New Roman" w:hAnsi="Times New Roman" w:cs="Times New Roman"/>
          <w:color w:val="auto"/>
          <w:highlight w:val="none"/>
        </w:rPr>
        <w:t>.4.3 道路运输</w:t>
      </w:r>
    </w:p>
    <w:p w14:paraId="56484AD5">
      <w:pPr>
        <w:shd w:val="clear"/>
        <w:rPr>
          <w:rFonts w:ascii="Times New Roman" w:hAnsi="Times New Roman" w:cs="Times New Roman"/>
          <w:color w:val="auto"/>
          <w:highlight w:val="none"/>
        </w:rPr>
      </w:pPr>
      <w:r>
        <w:rPr>
          <w:rFonts w:ascii="Times New Roman" w:hAnsi="Times New Roman" w:cs="Times New Roman"/>
          <w:color w:val="auto"/>
          <w:highlight w:val="none"/>
        </w:rPr>
        <w:t>本工程道路运输量约71.16万t/a。其中运出主要为水渣61.4万t/a，干渣1.95万t/a，返焦5.9万t/a，除尘灰及垃圾等约4.99万t/a；运入主要为炮泥、沟料、保温料、河沙等约0.424万t/a。</w:t>
      </w:r>
    </w:p>
    <w:p w14:paraId="1757A06B">
      <w:pPr>
        <w:shd w:val="clear"/>
        <w:rPr>
          <w:rFonts w:ascii="Times New Roman" w:hAnsi="Times New Roman" w:cs="Times New Roman"/>
          <w:color w:val="auto"/>
          <w:highlight w:val="none"/>
        </w:rPr>
      </w:pPr>
      <w:r>
        <w:rPr>
          <w:rFonts w:ascii="Times New Roman" w:hAnsi="Times New Roman" w:cs="Times New Roman"/>
          <w:color w:val="auto"/>
          <w:highlight w:val="none"/>
        </w:rPr>
        <w:t>本工程西侧为11号公路，南侧为14号路，北侧为1号高炉及18号路。道路平面布置基本维持现状不变。</w:t>
      </w:r>
    </w:p>
    <w:p w14:paraId="1538D701">
      <w:pPr>
        <w:shd w:val="clear"/>
        <w:rPr>
          <w:rFonts w:ascii="Times New Roman" w:hAnsi="Times New Roman" w:cs="Times New Roman"/>
          <w:color w:val="auto"/>
          <w:highlight w:val="none"/>
        </w:rPr>
      </w:pPr>
      <w:r>
        <w:rPr>
          <w:rFonts w:ascii="Times New Roman" w:hAnsi="Times New Roman" w:cs="Times New Roman"/>
          <w:color w:val="auto"/>
          <w:highlight w:val="none"/>
        </w:rPr>
        <w:t>新建设施区域的车间引道，宽度根据运输量及货物特性确定，为4～7米。</w:t>
      </w:r>
    </w:p>
    <w:p w14:paraId="5CB818BC">
      <w:pPr>
        <w:shd w:val="clear"/>
        <w:rPr>
          <w:rFonts w:ascii="Times New Roman" w:hAnsi="Times New Roman" w:cs="Times New Roman"/>
          <w:color w:val="auto"/>
          <w:highlight w:val="none"/>
        </w:rPr>
      </w:pPr>
      <w:r>
        <w:rPr>
          <w:rFonts w:ascii="Times New Roman" w:hAnsi="Times New Roman" w:cs="Times New Roman"/>
          <w:color w:val="auto"/>
          <w:highlight w:val="none"/>
        </w:rPr>
        <w:t>道路运输设备由酒钢全厂统一协调。</w:t>
      </w:r>
    </w:p>
    <w:p w14:paraId="6ED2C623">
      <w:pPr>
        <w:shd w:val="clear"/>
        <w:rPr>
          <w:rFonts w:ascii="Times New Roman" w:hAnsi="Times New Roman" w:cs="Times New Roman"/>
          <w:color w:val="auto"/>
          <w:highlight w:val="none"/>
        </w:rPr>
      </w:pPr>
      <w:bookmarkStart w:id="1009" w:name="_Toc30932"/>
      <w:bookmarkStart w:id="1010" w:name="_Toc27039"/>
      <w:bookmarkStart w:id="1011" w:name="_Toc32263"/>
      <w:bookmarkStart w:id="1012" w:name="_Toc25334"/>
      <w:bookmarkStart w:id="1013" w:name="_Toc28467"/>
      <w:r>
        <w:rPr>
          <w:rFonts w:hint="eastAsia" w:ascii="Times New Roman" w:hAnsi="Times New Roman" w:cs="Times New Roman"/>
          <w:color w:val="auto"/>
          <w:highlight w:val="none"/>
          <w:lang w:val="en-US" w:eastAsia="zh-CN"/>
        </w:rPr>
        <w:t>本项目新增两台吸排罐车用于除尘灰运输，其余</w:t>
      </w:r>
      <w:r>
        <w:rPr>
          <w:rFonts w:ascii="Times New Roman" w:hAnsi="Times New Roman" w:cs="Times New Roman"/>
          <w:color w:val="auto"/>
          <w:highlight w:val="none"/>
        </w:rPr>
        <w:t>道路运输设备由酒钢全厂统一协调。</w:t>
      </w:r>
    </w:p>
    <w:p w14:paraId="041A208E">
      <w:pPr>
        <w:pStyle w:val="451"/>
        <w:shd w:val="clear"/>
        <w:rPr>
          <w:rFonts w:ascii="Times New Roman" w:hAnsi="Times New Roman"/>
          <w:color w:val="auto"/>
          <w:highlight w:val="none"/>
        </w:rPr>
      </w:pPr>
      <w:bookmarkStart w:id="1014" w:name="_Toc31236"/>
      <w:r>
        <w:rPr>
          <w:rFonts w:hint="eastAsia" w:ascii="Times New Roman" w:hAnsi="Times New Roman"/>
          <w:color w:val="auto"/>
          <w:highlight w:val="none"/>
        </w:rPr>
        <w:t>12</w:t>
      </w:r>
      <w:r>
        <w:rPr>
          <w:rFonts w:ascii="Times New Roman" w:hAnsi="Times New Roman"/>
          <w:color w:val="auto"/>
          <w:highlight w:val="none"/>
        </w:rPr>
        <w:t>.5消防和绿化</w:t>
      </w:r>
      <w:bookmarkEnd w:id="1009"/>
      <w:bookmarkEnd w:id="1010"/>
      <w:bookmarkEnd w:id="1011"/>
      <w:bookmarkEnd w:id="1012"/>
      <w:bookmarkEnd w:id="1013"/>
      <w:bookmarkEnd w:id="1014"/>
    </w:p>
    <w:p w14:paraId="1A46B434">
      <w:pPr>
        <w:shd w:val="clear"/>
        <w:rPr>
          <w:rFonts w:ascii="Times New Roman" w:hAnsi="Times New Roman" w:cs="Times New Roman"/>
          <w:color w:val="auto"/>
          <w:highlight w:val="none"/>
        </w:rPr>
      </w:pPr>
      <w:r>
        <w:rPr>
          <w:rFonts w:ascii="Times New Roman" w:hAnsi="Times New Roman" w:cs="Times New Roman"/>
          <w:color w:val="auto"/>
          <w:highlight w:val="none"/>
        </w:rPr>
        <w:t>厂区内道路兼作消防车道，沿道路设置消火栓，消火栓利旧，以满足消防要求。本工程位于酒钢现有厂区内，遵循酒钢现有的消防管辖关系。</w:t>
      </w:r>
    </w:p>
    <w:p w14:paraId="472F32C6">
      <w:pPr>
        <w:shd w:val="clear"/>
        <w:rPr>
          <w:rFonts w:ascii="Times New Roman" w:hAnsi="Times New Roman" w:cs="Times New Roman"/>
          <w:color w:val="auto"/>
          <w:highlight w:val="none"/>
        </w:rPr>
      </w:pPr>
      <w:r>
        <w:rPr>
          <w:rFonts w:ascii="Times New Roman" w:hAnsi="Times New Roman" w:cs="Times New Roman"/>
          <w:color w:val="auto"/>
          <w:highlight w:val="none"/>
        </w:rPr>
        <w:t>本工程为原地改造项目，建设内容均在原有系统范围内改造，没有新增绿地。</w:t>
      </w:r>
    </w:p>
    <w:p w14:paraId="54CAE6A9">
      <w:pPr>
        <w:pStyle w:val="390"/>
        <w:shd w:val="clear"/>
        <w:ind w:firstLine="0" w:firstLineChars="0"/>
        <w:jc w:val="both"/>
        <w:outlineLvl w:val="1"/>
        <w:rPr>
          <w:rFonts w:ascii="Times New Roman" w:hAnsi="Times New Roman" w:cs="Times New Roman"/>
          <w:b/>
          <w:color w:val="auto"/>
          <w:sz w:val="28"/>
          <w:szCs w:val="28"/>
          <w:highlight w:val="none"/>
        </w:rPr>
      </w:pPr>
      <w:bookmarkStart w:id="1015" w:name="_Toc23683"/>
      <w:bookmarkStart w:id="1016" w:name="_Toc30758"/>
      <w:bookmarkStart w:id="1017" w:name="_Toc79840521"/>
      <w:bookmarkStart w:id="1018" w:name="_Toc130229653"/>
      <w:bookmarkStart w:id="1019" w:name="_Toc20100"/>
      <w:bookmarkStart w:id="1020" w:name="_Toc6063"/>
      <w:bookmarkStart w:id="1021" w:name="_Toc30653"/>
      <w:bookmarkStart w:id="1022" w:name="_Toc122184110"/>
      <w:bookmarkStart w:id="1023" w:name="_Toc20348"/>
      <w:bookmarkStart w:id="1024" w:name="_Toc2968"/>
      <w:bookmarkStart w:id="1025" w:name="_Toc22107"/>
      <w:r>
        <w:rPr>
          <w:rFonts w:hint="eastAsia" w:ascii="Times New Roman" w:hAnsi="Times New Roman" w:cs="Times New Roman"/>
          <w:b/>
          <w:color w:val="auto"/>
          <w:sz w:val="28"/>
          <w:szCs w:val="28"/>
          <w:highlight w:val="none"/>
        </w:rPr>
        <w:t>12</w:t>
      </w:r>
      <w:r>
        <w:rPr>
          <w:rFonts w:ascii="Times New Roman" w:hAnsi="Times New Roman" w:cs="Times New Roman"/>
          <w:b/>
          <w:color w:val="auto"/>
          <w:sz w:val="28"/>
          <w:szCs w:val="28"/>
          <w:highlight w:val="none"/>
        </w:rPr>
        <w:t>.6 主要工程量及经济技术指标</w:t>
      </w:r>
      <w:bookmarkEnd w:id="1015"/>
      <w:bookmarkEnd w:id="1016"/>
      <w:bookmarkEnd w:id="1017"/>
      <w:bookmarkEnd w:id="1018"/>
      <w:bookmarkEnd w:id="1019"/>
      <w:bookmarkEnd w:id="1020"/>
      <w:bookmarkEnd w:id="1021"/>
      <w:bookmarkEnd w:id="1022"/>
      <w:bookmarkEnd w:id="1023"/>
      <w:bookmarkEnd w:id="1024"/>
      <w:bookmarkEnd w:id="1025"/>
    </w:p>
    <w:p w14:paraId="1197BD6C">
      <w:pPr>
        <w:shd w:val="clear"/>
        <w:ind w:firstLine="0" w:firstLineChars="0"/>
        <w:jc w:val="center"/>
        <w:rPr>
          <w:rFonts w:ascii="Times New Roman" w:hAnsi="Times New Roman" w:cs="Times New Roman"/>
          <w:bCs/>
          <w:color w:val="auto"/>
          <w:highlight w:val="none"/>
        </w:rPr>
      </w:pPr>
      <w:r>
        <w:rPr>
          <w:rFonts w:ascii="Times New Roman" w:hAnsi="Times New Roman" w:cs="Times New Roman"/>
          <w:bCs/>
          <w:color w:val="auto"/>
          <w:highlight w:val="none"/>
        </w:rPr>
        <w:t>表</w:t>
      </w:r>
      <w:r>
        <w:rPr>
          <w:rFonts w:hint="eastAsia" w:ascii="Times New Roman" w:hAnsi="Times New Roman" w:cs="Times New Roman"/>
          <w:bCs/>
          <w:color w:val="auto"/>
          <w:highlight w:val="none"/>
        </w:rPr>
        <w:t>12</w:t>
      </w:r>
      <w:r>
        <w:rPr>
          <w:rFonts w:ascii="Times New Roman" w:hAnsi="Times New Roman" w:cs="Times New Roman"/>
          <w:bCs/>
          <w:color w:val="auto"/>
          <w:highlight w:val="none"/>
        </w:rPr>
        <w:t>-</w:t>
      </w:r>
      <w:r>
        <w:rPr>
          <w:rFonts w:hint="eastAsia" w:ascii="Times New Roman" w:hAnsi="Times New Roman" w:cs="Times New Roman"/>
          <w:bCs/>
          <w:color w:val="auto"/>
          <w:highlight w:val="none"/>
        </w:rPr>
        <w:t>2</w:t>
      </w:r>
      <w:r>
        <w:rPr>
          <w:rFonts w:ascii="Times New Roman" w:hAnsi="Times New Roman" w:cs="Times New Roman"/>
          <w:bCs/>
          <w:color w:val="auto"/>
          <w:highlight w:val="none"/>
        </w:rPr>
        <w:t xml:space="preserve">  主要经济技术指标表</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314"/>
        <w:gridCol w:w="1071"/>
        <w:gridCol w:w="986"/>
        <w:gridCol w:w="3876"/>
      </w:tblGrid>
      <w:tr w14:paraId="67C68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48" w:type="dxa"/>
            <w:vAlign w:val="center"/>
          </w:tcPr>
          <w:p w14:paraId="00EE46C7">
            <w:pPr>
              <w:pStyle w:val="448"/>
              <w:shd w:val="clear"/>
              <w:spacing w:line="300" w:lineRule="auto"/>
              <w:ind w:left="0"/>
              <w:jc w:val="both"/>
              <w:rPr>
                <w:rFonts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2314" w:type="dxa"/>
            <w:vAlign w:val="center"/>
          </w:tcPr>
          <w:p w14:paraId="62CB0D75">
            <w:pPr>
              <w:pStyle w:val="448"/>
              <w:shd w:val="clear"/>
              <w:spacing w:line="300" w:lineRule="auto"/>
              <w:ind w:left="0"/>
              <w:jc w:val="both"/>
              <w:rPr>
                <w:rFonts w:ascii="宋体" w:hAnsi="宋体" w:eastAsia="宋体" w:cs="宋体"/>
                <w:color w:val="auto"/>
                <w:szCs w:val="21"/>
                <w:highlight w:val="none"/>
              </w:rPr>
            </w:pPr>
            <w:r>
              <w:rPr>
                <w:rFonts w:hint="eastAsia" w:ascii="宋体" w:hAnsi="宋体" w:eastAsia="宋体" w:cs="宋体"/>
                <w:color w:val="auto"/>
                <w:szCs w:val="21"/>
                <w:highlight w:val="none"/>
              </w:rPr>
              <w:t>指标名称</w:t>
            </w:r>
          </w:p>
        </w:tc>
        <w:tc>
          <w:tcPr>
            <w:tcW w:w="1071" w:type="dxa"/>
            <w:vAlign w:val="center"/>
          </w:tcPr>
          <w:p w14:paraId="31ECE689">
            <w:pPr>
              <w:pStyle w:val="448"/>
              <w:shd w:val="clear"/>
              <w:spacing w:line="300" w:lineRule="auto"/>
              <w:ind w:left="0"/>
              <w:jc w:val="both"/>
              <w:rPr>
                <w:rFonts w:ascii="宋体" w:hAnsi="宋体" w:eastAsia="宋体" w:cs="宋体"/>
                <w:color w:val="auto"/>
                <w:szCs w:val="21"/>
                <w:highlight w:val="none"/>
              </w:rPr>
            </w:pPr>
            <w:r>
              <w:rPr>
                <w:rFonts w:hint="eastAsia" w:ascii="宋体" w:hAnsi="宋体" w:eastAsia="宋体" w:cs="宋体"/>
                <w:color w:val="auto"/>
                <w:szCs w:val="21"/>
                <w:highlight w:val="none"/>
              </w:rPr>
              <w:t>单位</w:t>
            </w:r>
          </w:p>
        </w:tc>
        <w:tc>
          <w:tcPr>
            <w:tcW w:w="986" w:type="dxa"/>
            <w:vAlign w:val="center"/>
          </w:tcPr>
          <w:p w14:paraId="511CDA31">
            <w:pPr>
              <w:pStyle w:val="448"/>
              <w:shd w:val="clear"/>
              <w:spacing w:line="300" w:lineRule="auto"/>
              <w:ind w:left="0"/>
              <w:jc w:val="both"/>
              <w:rPr>
                <w:rFonts w:ascii="宋体" w:hAnsi="宋体" w:eastAsia="宋体" w:cs="宋体"/>
                <w:color w:val="auto"/>
                <w:szCs w:val="21"/>
                <w:highlight w:val="none"/>
              </w:rPr>
            </w:pPr>
            <w:r>
              <w:rPr>
                <w:rFonts w:hint="eastAsia" w:ascii="宋体" w:hAnsi="宋体" w:eastAsia="宋体" w:cs="宋体"/>
                <w:color w:val="auto"/>
                <w:szCs w:val="21"/>
                <w:highlight w:val="none"/>
              </w:rPr>
              <w:t>数量</w:t>
            </w:r>
          </w:p>
        </w:tc>
        <w:tc>
          <w:tcPr>
            <w:tcW w:w="3876" w:type="dxa"/>
            <w:vAlign w:val="center"/>
          </w:tcPr>
          <w:p w14:paraId="5DFF054C">
            <w:pPr>
              <w:pStyle w:val="448"/>
              <w:shd w:val="clear"/>
              <w:spacing w:line="300" w:lineRule="auto"/>
              <w:ind w:left="0"/>
              <w:jc w:val="both"/>
              <w:rPr>
                <w:rFonts w:ascii="宋体" w:hAnsi="宋体" w:eastAsia="宋体" w:cs="宋体"/>
                <w:color w:val="auto"/>
                <w:szCs w:val="21"/>
                <w:highlight w:val="none"/>
              </w:rPr>
            </w:pPr>
            <w:r>
              <w:rPr>
                <w:rFonts w:hint="eastAsia" w:ascii="宋体" w:hAnsi="宋体" w:eastAsia="宋体" w:cs="宋体"/>
                <w:color w:val="auto"/>
                <w:szCs w:val="21"/>
                <w:highlight w:val="none"/>
              </w:rPr>
              <w:t>备注</w:t>
            </w:r>
          </w:p>
        </w:tc>
      </w:tr>
      <w:tr w14:paraId="3A466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48" w:type="dxa"/>
            <w:vAlign w:val="center"/>
          </w:tcPr>
          <w:p w14:paraId="73414277">
            <w:pPr>
              <w:pStyle w:val="448"/>
              <w:shd w:val="clear"/>
              <w:spacing w:line="300" w:lineRule="auto"/>
              <w:ind w:left="0"/>
              <w:jc w:val="both"/>
              <w:rPr>
                <w:rFonts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314" w:type="dxa"/>
            <w:vAlign w:val="center"/>
          </w:tcPr>
          <w:p w14:paraId="3557D9C2">
            <w:pPr>
              <w:pStyle w:val="448"/>
              <w:shd w:val="clear"/>
              <w:spacing w:line="300" w:lineRule="auto"/>
              <w:ind w:left="0"/>
              <w:jc w:val="both"/>
              <w:rPr>
                <w:rFonts w:ascii="宋体" w:hAnsi="宋体" w:eastAsia="宋体" w:cs="宋体"/>
                <w:color w:val="auto"/>
                <w:szCs w:val="21"/>
                <w:highlight w:val="none"/>
              </w:rPr>
            </w:pPr>
            <w:r>
              <w:rPr>
                <w:rFonts w:hint="eastAsia" w:ascii="宋体" w:hAnsi="宋体" w:eastAsia="宋体" w:cs="宋体"/>
                <w:color w:val="auto"/>
                <w:szCs w:val="21"/>
                <w:highlight w:val="none"/>
              </w:rPr>
              <w:t>厂区占地面积</w:t>
            </w:r>
          </w:p>
        </w:tc>
        <w:tc>
          <w:tcPr>
            <w:tcW w:w="1071" w:type="dxa"/>
            <w:vAlign w:val="center"/>
          </w:tcPr>
          <w:p w14:paraId="0CD2A670">
            <w:pPr>
              <w:pStyle w:val="448"/>
              <w:shd w:val="clear"/>
              <w:spacing w:line="300" w:lineRule="auto"/>
              <w:ind w:left="0"/>
              <w:jc w:val="both"/>
              <w:rPr>
                <w:rFonts w:ascii="宋体" w:hAnsi="宋体" w:eastAsia="宋体" w:cs="宋体"/>
                <w:color w:val="auto"/>
                <w:szCs w:val="21"/>
                <w:highlight w:val="none"/>
              </w:rPr>
            </w:pPr>
            <w:r>
              <w:rPr>
                <w:rFonts w:hint="eastAsia" w:ascii="宋体" w:hAnsi="宋体" w:eastAsia="宋体" w:cs="宋体"/>
                <w:color w:val="auto"/>
                <w:szCs w:val="21"/>
                <w:highlight w:val="none"/>
              </w:rPr>
              <w:t>万m</w:t>
            </w:r>
            <w:r>
              <w:rPr>
                <w:rFonts w:hint="eastAsia" w:ascii="宋体" w:hAnsi="宋体" w:eastAsia="宋体" w:cs="宋体"/>
                <w:color w:val="auto"/>
                <w:szCs w:val="21"/>
                <w:highlight w:val="none"/>
                <w:vertAlign w:val="superscript"/>
              </w:rPr>
              <w:t>2</w:t>
            </w:r>
          </w:p>
        </w:tc>
        <w:tc>
          <w:tcPr>
            <w:tcW w:w="986" w:type="dxa"/>
            <w:vAlign w:val="center"/>
          </w:tcPr>
          <w:p w14:paraId="1A2C1867">
            <w:pPr>
              <w:pStyle w:val="448"/>
              <w:shd w:val="clear"/>
              <w:spacing w:line="300" w:lineRule="auto"/>
              <w:ind w:left="0"/>
              <w:jc w:val="both"/>
              <w:rPr>
                <w:rFonts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6.8</w:t>
            </w:r>
          </w:p>
        </w:tc>
        <w:tc>
          <w:tcPr>
            <w:tcW w:w="3876" w:type="dxa"/>
            <w:vAlign w:val="center"/>
          </w:tcPr>
          <w:p w14:paraId="2BAD2C78">
            <w:pPr>
              <w:pStyle w:val="448"/>
              <w:shd w:val="clear"/>
              <w:spacing w:line="300" w:lineRule="auto"/>
              <w:ind w:left="0"/>
              <w:jc w:val="both"/>
              <w:rPr>
                <w:rFonts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2号</w:t>
            </w:r>
            <w:r>
              <w:rPr>
                <w:rFonts w:hint="eastAsia" w:ascii="宋体" w:hAnsi="宋体" w:eastAsia="宋体" w:cs="宋体"/>
                <w:color w:val="auto"/>
                <w:szCs w:val="21"/>
                <w:highlight w:val="none"/>
              </w:rPr>
              <w:t>高炉区域面积</w:t>
            </w:r>
          </w:p>
        </w:tc>
      </w:tr>
      <w:tr w14:paraId="56572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48" w:type="dxa"/>
            <w:vAlign w:val="center"/>
          </w:tcPr>
          <w:p w14:paraId="3DC8F685">
            <w:pPr>
              <w:pStyle w:val="448"/>
              <w:shd w:val="clear"/>
              <w:spacing w:line="300" w:lineRule="auto"/>
              <w:ind w:left="0"/>
              <w:jc w:val="both"/>
              <w:rPr>
                <w:rFonts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2314" w:type="dxa"/>
            <w:vAlign w:val="center"/>
          </w:tcPr>
          <w:p w14:paraId="04E210DA">
            <w:pPr>
              <w:pStyle w:val="448"/>
              <w:shd w:val="clear"/>
              <w:spacing w:line="300" w:lineRule="auto"/>
              <w:ind w:left="0"/>
              <w:jc w:val="both"/>
              <w:rPr>
                <w:rFonts w:ascii="宋体" w:hAnsi="宋体" w:eastAsia="宋体" w:cs="宋体"/>
                <w:color w:val="auto"/>
                <w:szCs w:val="21"/>
                <w:highlight w:val="none"/>
              </w:rPr>
            </w:pPr>
            <w:r>
              <w:rPr>
                <w:rFonts w:hint="eastAsia" w:ascii="宋体" w:hAnsi="宋体" w:eastAsia="宋体" w:cs="宋体"/>
                <w:color w:val="auto"/>
                <w:szCs w:val="21"/>
                <w:highlight w:val="none"/>
              </w:rPr>
              <w:t>用地指标</w:t>
            </w:r>
          </w:p>
        </w:tc>
        <w:tc>
          <w:tcPr>
            <w:tcW w:w="1071" w:type="dxa"/>
            <w:vAlign w:val="center"/>
          </w:tcPr>
          <w:p w14:paraId="76FFC7BB">
            <w:pPr>
              <w:pStyle w:val="448"/>
              <w:shd w:val="clear"/>
              <w:spacing w:line="300" w:lineRule="auto"/>
              <w:ind w:left="0"/>
              <w:jc w:val="both"/>
              <w:rPr>
                <w:rFonts w:ascii="宋体" w:hAnsi="宋体" w:eastAsia="宋体" w:cs="宋体"/>
                <w:color w:val="auto"/>
                <w:szCs w:val="21"/>
                <w:highlight w:val="none"/>
              </w:rPr>
            </w:pPr>
            <w:r>
              <w:rPr>
                <w:rFonts w:hint="eastAsia" w:ascii="宋体" w:hAnsi="宋体" w:eastAsia="宋体" w:cs="宋体"/>
                <w:color w:val="auto"/>
                <w:szCs w:val="21"/>
                <w:highlight w:val="none"/>
              </w:rPr>
              <w:t>m</w:t>
            </w:r>
            <w:r>
              <w:rPr>
                <w:rFonts w:hint="eastAsia" w:ascii="宋体" w:hAnsi="宋体" w:eastAsia="宋体" w:cs="宋体"/>
                <w:color w:val="auto"/>
                <w:szCs w:val="21"/>
                <w:highlight w:val="none"/>
                <w:vertAlign w:val="superscript"/>
              </w:rPr>
              <w:t>2</w:t>
            </w:r>
            <w:r>
              <w:rPr>
                <w:rFonts w:hint="eastAsia" w:ascii="宋体" w:hAnsi="宋体" w:eastAsia="宋体" w:cs="宋体"/>
                <w:color w:val="auto"/>
                <w:szCs w:val="21"/>
                <w:highlight w:val="none"/>
              </w:rPr>
              <w:t>/t铁</w:t>
            </w:r>
          </w:p>
        </w:tc>
        <w:tc>
          <w:tcPr>
            <w:tcW w:w="986" w:type="dxa"/>
            <w:vAlign w:val="center"/>
          </w:tcPr>
          <w:p w14:paraId="399052BE">
            <w:pPr>
              <w:pStyle w:val="448"/>
              <w:shd w:val="clear"/>
              <w:spacing w:line="300" w:lineRule="auto"/>
              <w:ind w:left="0"/>
              <w:jc w:val="both"/>
              <w:rPr>
                <w:rFonts w:ascii="宋体" w:hAnsi="宋体" w:eastAsia="宋体" w:cs="宋体"/>
                <w:color w:val="auto"/>
                <w:szCs w:val="21"/>
                <w:highlight w:val="none"/>
                <w:lang w:eastAsia="zh-CN"/>
              </w:rPr>
            </w:pPr>
            <w:r>
              <w:rPr>
                <w:rFonts w:hint="eastAsia" w:ascii="宋体" w:hAnsi="宋体" w:eastAsia="宋体" w:cs="宋体"/>
                <w:color w:val="auto"/>
                <w:szCs w:val="21"/>
                <w:highlight w:val="none"/>
              </w:rPr>
              <w:t>0.0</w:t>
            </w:r>
            <w:r>
              <w:rPr>
                <w:rFonts w:hint="eastAsia" w:ascii="宋体" w:hAnsi="宋体" w:eastAsia="宋体" w:cs="宋体"/>
                <w:color w:val="auto"/>
                <w:szCs w:val="21"/>
                <w:highlight w:val="none"/>
                <w:lang w:eastAsia="zh-CN"/>
              </w:rPr>
              <w:t>7</w:t>
            </w:r>
          </w:p>
        </w:tc>
        <w:tc>
          <w:tcPr>
            <w:tcW w:w="3876" w:type="dxa"/>
            <w:vAlign w:val="center"/>
          </w:tcPr>
          <w:p w14:paraId="101913C4">
            <w:pPr>
              <w:pStyle w:val="448"/>
              <w:shd w:val="clear"/>
              <w:spacing w:line="300" w:lineRule="auto"/>
              <w:ind w:left="0"/>
              <w:rPr>
                <w:rFonts w:ascii="宋体" w:hAnsi="宋体" w:eastAsia="宋体" w:cs="宋体"/>
                <w:color w:val="auto"/>
                <w:szCs w:val="21"/>
                <w:highlight w:val="none"/>
              </w:rPr>
            </w:pPr>
          </w:p>
        </w:tc>
      </w:tr>
      <w:tr w14:paraId="3F448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48" w:type="dxa"/>
            <w:vAlign w:val="center"/>
          </w:tcPr>
          <w:p w14:paraId="4342E645">
            <w:pPr>
              <w:pStyle w:val="448"/>
              <w:shd w:val="clear"/>
              <w:spacing w:line="300" w:lineRule="auto"/>
              <w:ind w:left="0"/>
              <w:jc w:val="both"/>
              <w:rPr>
                <w:rFonts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2314" w:type="dxa"/>
            <w:vAlign w:val="center"/>
          </w:tcPr>
          <w:p w14:paraId="1F391E80">
            <w:pPr>
              <w:pStyle w:val="448"/>
              <w:shd w:val="clear"/>
              <w:spacing w:line="300" w:lineRule="auto"/>
              <w:ind w:left="0"/>
              <w:jc w:val="both"/>
              <w:rPr>
                <w:rFonts w:ascii="宋体" w:hAnsi="宋体" w:eastAsia="宋体" w:cs="宋体"/>
                <w:color w:val="auto"/>
                <w:szCs w:val="21"/>
                <w:highlight w:val="none"/>
              </w:rPr>
            </w:pPr>
            <w:r>
              <w:rPr>
                <w:rFonts w:hint="eastAsia" w:ascii="宋体" w:hAnsi="宋体" w:eastAsia="宋体" w:cs="宋体"/>
                <w:color w:val="auto"/>
                <w:szCs w:val="21"/>
                <w:highlight w:val="none"/>
              </w:rPr>
              <w:t>铁路运输量</w:t>
            </w:r>
          </w:p>
        </w:tc>
        <w:tc>
          <w:tcPr>
            <w:tcW w:w="1071" w:type="dxa"/>
            <w:vAlign w:val="center"/>
          </w:tcPr>
          <w:p w14:paraId="2A60EE96">
            <w:pPr>
              <w:pStyle w:val="448"/>
              <w:shd w:val="clear"/>
              <w:spacing w:line="300" w:lineRule="auto"/>
              <w:ind w:left="0"/>
              <w:jc w:val="both"/>
              <w:rPr>
                <w:rFonts w:ascii="宋体" w:hAnsi="宋体" w:eastAsia="宋体" w:cs="宋体"/>
                <w:color w:val="auto"/>
                <w:szCs w:val="21"/>
                <w:highlight w:val="none"/>
              </w:rPr>
            </w:pPr>
            <w:r>
              <w:rPr>
                <w:rFonts w:hint="eastAsia" w:ascii="宋体" w:hAnsi="宋体" w:eastAsia="宋体" w:cs="宋体"/>
                <w:color w:val="auto"/>
                <w:szCs w:val="21"/>
                <w:highlight w:val="none"/>
              </w:rPr>
              <w:t>万吨/年</w:t>
            </w:r>
          </w:p>
        </w:tc>
        <w:tc>
          <w:tcPr>
            <w:tcW w:w="986" w:type="dxa"/>
            <w:vAlign w:val="center"/>
          </w:tcPr>
          <w:p w14:paraId="56F36983">
            <w:pPr>
              <w:pStyle w:val="448"/>
              <w:shd w:val="clear"/>
              <w:spacing w:line="300" w:lineRule="auto"/>
              <w:ind w:left="0"/>
              <w:jc w:val="both"/>
              <w:rPr>
                <w:rFonts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113.4</w:t>
            </w:r>
          </w:p>
        </w:tc>
        <w:tc>
          <w:tcPr>
            <w:tcW w:w="3876" w:type="dxa"/>
            <w:vAlign w:val="center"/>
          </w:tcPr>
          <w:p w14:paraId="5D3AF035">
            <w:pPr>
              <w:pStyle w:val="448"/>
              <w:shd w:val="clear"/>
              <w:spacing w:line="300" w:lineRule="auto"/>
              <w:ind w:left="0"/>
              <w:rPr>
                <w:rFonts w:ascii="宋体" w:hAnsi="宋体" w:eastAsia="宋体" w:cs="宋体"/>
                <w:color w:val="auto"/>
                <w:szCs w:val="21"/>
                <w:highlight w:val="none"/>
              </w:rPr>
            </w:pPr>
          </w:p>
        </w:tc>
      </w:tr>
      <w:tr w14:paraId="26141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48" w:type="dxa"/>
            <w:vAlign w:val="center"/>
          </w:tcPr>
          <w:p w14:paraId="1A33FF8B">
            <w:pPr>
              <w:pStyle w:val="448"/>
              <w:shd w:val="clear"/>
              <w:spacing w:line="300" w:lineRule="auto"/>
              <w:ind w:left="0"/>
              <w:jc w:val="both"/>
              <w:rPr>
                <w:rFonts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2314" w:type="dxa"/>
            <w:vAlign w:val="center"/>
          </w:tcPr>
          <w:p w14:paraId="5D016A29">
            <w:pPr>
              <w:pStyle w:val="448"/>
              <w:shd w:val="clear"/>
              <w:spacing w:line="300" w:lineRule="auto"/>
              <w:ind w:left="0"/>
              <w:jc w:val="both"/>
              <w:rPr>
                <w:rFonts w:ascii="宋体" w:hAnsi="宋体" w:eastAsia="宋体" w:cs="宋体"/>
                <w:color w:val="auto"/>
                <w:szCs w:val="21"/>
                <w:highlight w:val="none"/>
              </w:rPr>
            </w:pPr>
            <w:r>
              <w:rPr>
                <w:rFonts w:hint="eastAsia" w:ascii="宋体" w:hAnsi="宋体" w:eastAsia="宋体" w:cs="宋体"/>
                <w:color w:val="auto"/>
                <w:szCs w:val="21"/>
                <w:highlight w:val="none"/>
              </w:rPr>
              <w:t>道路运输量</w:t>
            </w:r>
          </w:p>
        </w:tc>
        <w:tc>
          <w:tcPr>
            <w:tcW w:w="1071" w:type="dxa"/>
            <w:vAlign w:val="center"/>
          </w:tcPr>
          <w:p w14:paraId="35FE49B1">
            <w:pPr>
              <w:pStyle w:val="448"/>
              <w:shd w:val="clear"/>
              <w:spacing w:line="300" w:lineRule="auto"/>
              <w:ind w:left="0"/>
              <w:jc w:val="both"/>
              <w:rPr>
                <w:rFonts w:ascii="宋体" w:hAnsi="宋体" w:eastAsia="宋体" w:cs="宋体"/>
                <w:color w:val="auto"/>
                <w:szCs w:val="21"/>
                <w:highlight w:val="none"/>
              </w:rPr>
            </w:pPr>
            <w:r>
              <w:rPr>
                <w:rFonts w:hint="eastAsia" w:ascii="宋体" w:hAnsi="宋体" w:eastAsia="宋体" w:cs="宋体"/>
                <w:color w:val="auto"/>
                <w:szCs w:val="21"/>
                <w:highlight w:val="none"/>
              </w:rPr>
              <w:t>万吨/年</w:t>
            </w:r>
          </w:p>
        </w:tc>
        <w:tc>
          <w:tcPr>
            <w:tcW w:w="986" w:type="dxa"/>
            <w:vAlign w:val="center"/>
          </w:tcPr>
          <w:p w14:paraId="115FB567">
            <w:pPr>
              <w:pStyle w:val="448"/>
              <w:shd w:val="clear"/>
              <w:spacing w:line="300" w:lineRule="auto"/>
              <w:ind w:left="0"/>
              <w:jc w:val="both"/>
              <w:rPr>
                <w:rFonts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71.16</w:t>
            </w:r>
          </w:p>
        </w:tc>
        <w:tc>
          <w:tcPr>
            <w:tcW w:w="3876" w:type="dxa"/>
            <w:vAlign w:val="center"/>
          </w:tcPr>
          <w:p w14:paraId="48865CB6">
            <w:pPr>
              <w:pStyle w:val="448"/>
              <w:shd w:val="clear"/>
              <w:spacing w:line="300" w:lineRule="auto"/>
              <w:ind w:left="0"/>
              <w:rPr>
                <w:rFonts w:ascii="宋体" w:hAnsi="宋体" w:eastAsia="宋体" w:cs="宋体"/>
                <w:color w:val="auto"/>
                <w:szCs w:val="21"/>
                <w:highlight w:val="none"/>
              </w:rPr>
            </w:pPr>
          </w:p>
        </w:tc>
      </w:tr>
      <w:tr w14:paraId="1830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48" w:type="dxa"/>
            <w:vAlign w:val="center"/>
          </w:tcPr>
          <w:p w14:paraId="60C88CD4">
            <w:pPr>
              <w:pStyle w:val="448"/>
              <w:shd w:val="clear"/>
              <w:spacing w:line="300" w:lineRule="auto"/>
              <w:ind w:left="0"/>
              <w:jc w:val="both"/>
              <w:rPr>
                <w:rFonts w:ascii="宋体" w:hAnsi="宋体" w:eastAsia="宋体" w:cs="宋体"/>
                <w:color w:val="auto"/>
                <w:szCs w:val="21"/>
                <w:highlight w:val="none"/>
              </w:rPr>
            </w:pPr>
            <w:r>
              <w:rPr>
                <w:rFonts w:hint="eastAsia" w:ascii="宋体" w:hAnsi="宋体" w:eastAsia="宋体" w:cs="宋体"/>
                <w:color w:val="auto"/>
                <w:szCs w:val="21"/>
                <w:highlight w:val="none"/>
                <w:lang w:eastAsia="zh-CN"/>
              </w:rPr>
              <w:t>5</w:t>
            </w:r>
          </w:p>
        </w:tc>
        <w:tc>
          <w:tcPr>
            <w:tcW w:w="2314" w:type="dxa"/>
            <w:vAlign w:val="center"/>
          </w:tcPr>
          <w:p w14:paraId="5636BBF3">
            <w:pPr>
              <w:pStyle w:val="448"/>
              <w:shd w:val="clear"/>
              <w:spacing w:line="300" w:lineRule="auto"/>
              <w:ind w:left="0"/>
              <w:jc w:val="both"/>
              <w:rPr>
                <w:rFonts w:ascii="宋体" w:hAnsi="宋体" w:eastAsia="宋体" w:cs="宋体"/>
                <w:color w:val="auto"/>
                <w:szCs w:val="21"/>
                <w:highlight w:val="none"/>
              </w:rPr>
            </w:pPr>
            <w:r>
              <w:rPr>
                <w:rFonts w:hint="eastAsia" w:ascii="宋体" w:hAnsi="宋体" w:eastAsia="宋体" w:cs="宋体"/>
                <w:color w:val="auto"/>
                <w:szCs w:val="21"/>
                <w:highlight w:val="none"/>
                <w:lang w:eastAsia="zh-CN"/>
              </w:rPr>
              <w:t>新建及改造道路</w:t>
            </w:r>
            <w:r>
              <w:rPr>
                <w:rFonts w:hint="eastAsia" w:ascii="宋体" w:hAnsi="宋体" w:eastAsia="宋体" w:cs="宋体"/>
                <w:color w:val="auto"/>
                <w:szCs w:val="21"/>
                <w:highlight w:val="none"/>
                <w:lang w:val="en-US" w:eastAsia="zh-CN"/>
              </w:rPr>
              <w:t>和硬化</w:t>
            </w:r>
          </w:p>
        </w:tc>
        <w:tc>
          <w:tcPr>
            <w:tcW w:w="1071" w:type="dxa"/>
            <w:vAlign w:val="center"/>
          </w:tcPr>
          <w:p w14:paraId="39C99C57">
            <w:pPr>
              <w:pStyle w:val="448"/>
              <w:shd w:val="clear"/>
              <w:spacing w:line="300" w:lineRule="auto"/>
              <w:ind w:left="0"/>
              <w:jc w:val="both"/>
              <w:rPr>
                <w:rFonts w:ascii="宋体" w:hAnsi="宋体" w:eastAsia="宋体" w:cs="宋体"/>
                <w:color w:val="auto"/>
                <w:szCs w:val="21"/>
                <w:highlight w:val="none"/>
              </w:rPr>
            </w:pPr>
            <w:r>
              <w:rPr>
                <w:rFonts w:hint="eastAsia" w:ascii="宋体" w:hAnsi="宋体" w:eastAsia="宋体" w:cs="宋体"/>
                <w:color w:val="auto"/>
                <w:szCs w:val="21"/>
                <w:highlight w:val="none"/>
              </w:rPr>
              <w:t>m</w:t>
            </w:r>
            <w:r>
              <w:rPr>
                <w:rFonts w:hint="eastAsia" w:ascii="宋体" w:hAnsi="宋体" w:eastAsia="宋体" w:cs="宋体"/>
                <w:color w:val="auto"/>
                <w:szCs w:val="21"/>
                <w:highlight w:val="none"/>
                <w:vertAlign w:val="superscript"/>
              </w:rPr>
              <w:t>2</w:t>
            </w:r>
          </w:p>
        </w:tc>
        <w:tc>
          <w:tcPr>
            <w:tcW w:w="986" w:type="dxa"/>
            <w:vAlign w:val="center"/>
          </w:tcPr>
          <w:p w14:paraId="59AD3C8D">
            <w:pPr>
              <w:pStyle w:val="448"/>
              <w:shd w:val="clear"/>
              <w:spacing w:line="300" w:lineRule="auto"/>
              <w:ind w:left="0"/>
              <w:jc w:val="both"/>
              <w:rPr>
                <w:rFonts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3000</w:t>
            </w:r>
          </w:p>
        </w:tc>
        <w:tc>
          <w:tcPr>
            <w:tcW w:w="3876" w:type="dxa"/>
            <w:vAlign w:val="center"/>
          </w:tcPr>
          <w:p w14:paraId="254F7478">
            <w:pPr>
              <w:pStyle w:val="448"/>
              <w:shd w:val="clear"/>
              <w:spacing w:line="300" w:lineRule="auto"/>
              <w:ind w:left="0"/>
              <w:rPr>
                <w:rFonts w:ascii="宋体" w:hAnsi="宋体" w:eastAsia="宋体" w:cs="宋体"/>
                <w:color w:val="auto"/>
                <w:szCs w:val="21"/>
                <w:highlight w:val="none"/>
              </w:rPr>
            </w:pPr>
          </w:p>
        </w:tc>
      </w:tr>
    </w:tbl>
    <w:p w14:paraId="1BD9EE24">
      <w:pPr>
        <w:shd w:val="clear"/>
        <w:rPr>
          <w:color w:val="auto"/>
          <w:highlight w:val="none"/>
        </w:rPr>
      </w:pPr>
    </w:p>
    <w:p w14:paraId="0E0D5FCF">
      <w:pPr>
        <w:widowControl/>
        <w:shd w:val="clear"/>
        <w:spacing w:before="156" w:beforeLines="50"/>
        <w:ind w:firstLine="360"/>
        <w:rPr>
          <w:rFonts w:ascii="Arial" w:hAnsi="Arial"/>
          <w:color w:val="auto"/>
          <w:spacing w:val="20"/>
          <w:kern w:val="0"/>
          <w:sz w:val="14"/>
          <w:szCs w:val="20"/>
          <w:highlight w:val="none"/>
          <w:lang w:val="de-DE"/>
        </w:rPr>
      </w:pPr>
    </w:p>
    <w:p w14:paraId="51EF27F6">
      <w:pPr>
        <w:pStyle w:val="3"/>
        <w:shd w:val="clear"/>
        <w:spacing w:before="0" w:after="0" w:line="312" w:lineRule="auto"/>
        <w:ind w:firstLine="0" w:firstLineChars="0"/>
        <w:jc w:val="center"/>
        <w:rPr>
          <w:rFonts w:ascii="Times New Roman" w:hAnsi="Times New Roman" w:cs="Times New Roman"/>
          <w:b/>
          <w:color w:val="auto"/>
          <w:kern w:val="0"/>
          <w:sz w:val="30"/>
          <w:szCs w:val="28"/>
          <w:highlight w:val="none"/>
        </w:rPr>
      </w:pPr>
      <w:r>
        <w:rPr>
          <w:rFonts w:hint="eastAsia" w:ascii="Times New Roman" w:hAnsi="Times New Roman" w:cs="Times New Roman"/>
          <w:b/>
          <w:bCs/>
          <w:color w:val="auto"/>
          <w:kern w:val="0"/>
          <w:sz w:val="28"/>
          <w:szCs w:val="28"/>
          <w:highlight w:val="none"/>
          <w:lang w:bidi="zh-CN"/>
        </w:rPr>
        <w:br w:type="page"/>
      </w:r>
      <w:bookmarkStart w:id="1026" w:name="_Toc18781"/>
      <w:bookmarkStart w:id="1027" w:name="_Toc8568"/>
      <w:bookmarkStart w:id="1028" w:name="_Toc4147"/>
      <w:bookmarkStart w:id="1029" w:name="_Toc1322"/>
      <w:bookmarkStart w:id="1030" w:name="_Toc8380"/>
      <w:bookmarkStart w:id="1031" w:name="_Toc13223"/>
      <w:r>
        <w:rPr>
          <w:rFonts w:hint="eastAsia" w:ascii="Times New Roman" w:hAnsi="Times New Roman" w:cs="Times New Roman"/>
          <w:b/>
          <w:color w:val="auto"/>
          <w:kern w:val="0"/>
          <w:sz w:val="30"/>
          <w:szCs w:val="28"/>
          <w:highlight w:val="none"/>
        </w:rPr>
        <w:t>13 建筑与结构</w:t>
      </w:r>
      <w:bookmarkEnd w:id="837"/>
      <w:bookmarkEnd w:id="1026"/>
      <w:bookmarkEnd w:id="1027"/>
      <w:bookmarkEnd w:id="1028"/>
      <w:bookmarkEnd w:id="1029"/>
      <w:bookmarkEnd w:id="1030"/>
      <w:bookmarkEnd w:id="1031"/>
    </w:p>
    <w:p w14:paraId="575EFECA">
      <w:pPr>
        <w:shd w:val="clear"/>
        <w:ind w:firstLine="0" w:firstLineChars="0"/>
        <w:outlineLvl w:val="1"/>
        <w:rPr>
          <w:rFonts w:cs="Times New Roman"/>
          <w:b/>
          <w:color w:val="auto"/>
          <w:sz w:val="28"/>
          <w:szCs w:val="28"/>
          <w:highlight w:val="none"/>
        </w:rPr>
      </w:pPr>
      <w:bookmarkStart w:id="1032" w:name="_Toc19396"/>
      <w:bookmarkStart w:id="1033" w:name="_Toc17209513"/>
      <w:bookmarkStart w:id="1034" w:name="_Toc6960"/>
      <w:bookmarkStart w:id="1035" w:name="_Toc616"/>
      <w:bookmarkStart w:id="1036" w:name="_Toc3147"/>
      <w:bookmarkStart w:id="1037" w:name="_Toc8704"/>
      <w:bookmarkStart w:id="1038" w:name="_Toc26627"/>
      <w:bookmarkStart w:id="1039" w:name="_Toc386102023"/>
      <w:bookmarkStart w:id="1040" w:name="_Toc391923017"/>
      <w:bookmarkStart w:id="1041" w:name="_Toc384104737"/>
      <w:bookmarkStart w:id="1042" w:name="_Toc3298_WPSOffice_Level2"/>
      <w:r>
        <w:rPr>
          <w:rFonts w:hint="eastAsia" w:cs="Times New Roman"/>
          <w:b/>
          <w:color w:val="auto"/>
          <w:sz w:val="28"/>
          <w:szCs w:val="28"/>
          <w:highlight w:val="none"/>
        </w:rPr>
        <w:t>13.1 工程依据</w:t>
      </w:r>
      <w:bookmarkEnd w:id="1032"/>
      <w:bookmarkEnd w:id="1033"/>
      <w:bookmarkEnd w:id="1034"/>
      <w:bookmarkEnd w:id="1035"/>
      <w:bookmarkEnd w:id="1036"/>
      <w:bookmarkEnd w:id="1037"/>
      <w:bookmarkEnd w:id="1038"/>
      <w:bookmarkEnd w:id="1039"/>
      <w:bookmarkEnd w:id="1040"/>
      <w:bookmarkEnd w:id="1041"/>
    </w:p>
    <w:p w14:paraId="20AA2A80">
      <w:pPr>
        <w:shd w:val="clear"/>
        <w:jc w:val="both"/>
        <w:rPr>
          <w:rFonts w:hAnsi="Times New Roman" w:cs="Times New Roman"/>
          <w:color w:val="auto"/>
          <w:highlight w:val="none"/>
        </w:rPr>
      </w:pPr>
      <w:r>
        <w:rPr>
          <w:rFonts w:hint="eastAsia" w:hAnsi="Times New Roman" w:cs="Times New Roman"/>
          <w:color w:val="auto"/>
          <w:highlight w:val="none"/>
        </w:rPr>
        <w:t>（1）现行的国家及地方规程、规范。</w:t>
      </w:r>
    </w:p>
    <w:tbl>
      <w:tblPr>
        <w:tblStyle w:val="6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8"/>
        <w:gridCol w:w="5580"/>
        <w:gridCol w:w="2610"/>
      </w:tblGrid>
      <w:tr w14:paraId="55B6FC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928" w:type="dxa"/>
            <w:vAlign w:val="center"/>
          </w:tcPr>
          <w:p w14:paraId="7D7C374F">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序号</w:t>
            </w:r>
          </w:p>
        </w:tc>
        <w:tc>
          <w:tcPr>
            <w:tcW w:w="5580" w:type="dxa"/>
            <w:vAlign w:val="center"/>
          </w:tcPr>
          <w:p w14:paraId="2F720058">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名称</w:t>
            </w:r>
          </w:p>
        </w:tc>
        <w:tc>
          <w:tcPr>
            <w:tcW w:w="2610" w:type="dxa"/>
            <w:vAlign w:val="center"/>
          </w:tcPr>
          <w:p w14:paraId="11AF453E">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编号</w:t>
            </w:r>
          </w:p>
        </w:tc>
      </w:tr>
      <w:tr w14:paraId="32F769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78F385A9">
            <w:pPr>
              <w:shd w:val="clear"/>
              <w:spacing w:line="240" w:lineRule="auto"/>
              <w:ind w:firstLine="0" w:firstLineChars="0"/>
              <w:jc w:val="center"/>
              <w:rPr>
                <w:rFonts w:hAnsi="Times New Roman" w:cs="Times New Roman"/>
                <w:color w:val="auto"/>
                <w:highlight w:val="none"/>
              </w:rPr>
            </w:pPr>
            <w:r>
              <w:rPr>
                <w:rFonts w:hAnsi="Times New Roman" w:cs="Times New Roman"/>
                <w:color w:val="auto"/>
                <w:highlight w:val="none"/>
              </w:rPr>
              <w:t>1</w:t>
            </w:r>
          </w:p>
        </w:tc>
        <w:tc>
          <w:tcPr>
            <w:tcW w:w="5580" w:type="dxa"/>
            <w:vAlign w:val="center"/>
          </w:tcPr>
          <w:p w14:paraId="0109E0FB">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《既有建筑鉴定与加固通用规范》</w:t>
            </w:r>
          </w:p>
        </w:tc>
        <w:tc>
          <w:tcPr>
            <w:tcW w:w="2610" w:type="dxa"/>
            <w:vAlign w:val="center"/>
          </w:tcPr>
          <w:p w14:paraId="60A2BEEB">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 xml:space="preserve">GB 55021-2021 </w:t>
            </w:r>
          </w:p>
        </w:tc>
      </w:tr>
      <w:tr w14:paraId="6DDC02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5C2D6888">
            <w:pPr>
              <w:shd w:val="clear"/>
              <w:spacing w:line="240" w:lineRule="auto"/>
              <w:ind w:firstLine="0" w:firstLineChars="0"/>
              <w:jc w:val="center"/>
              <w:rPr>
                <w:rFonts w:hAnsi="Times New Roman" w:cs="Times New Roman"/>
                <w:color w:val="auto"/>
                <w:highlight w:val="none"/>
              </w:rPr>
            </w:pPr>
            <w:r>
              <w:rPr>
                <w:rFonts w:hAnsi="Times New Roman" w:cs="Times New Roman"/>
                <w:color w:val="auto"/>
                <w:highlight w:val="none"/>
              </w:rPr>
              <w:t>2</w:t>
            </w:r>
          </w:p>
        </w:tc>
        <w:tc>
          <w:tcPr>
            <w:tcW w:w="5580" w:type="dxa"/>
            <w:vAlign w:val="center"/>
          </w:tcPr>
          <w:p w14:paraId="046F0341">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《工业建筑可靠性鉴定标准》</w:t>
            </w:r>
          </w:p>
        </w:tc>
        <w:tc>
          <w:tcPr>
            <w:tcW w:w="2610" w:type="dxa"/>
            <w:vAlign w:val="center"/>
          </w:tcPr>
          <w:p w14:paraId="7437FEA1">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 xml:space="preserve">GB 50144-2019 </w:t>
            </w:r>
          </w:p>
        </w:tc>
      </w:tr>
      <w:tr w14:paraId="2A7FD7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46DE5332">
            <w:pPr>
              <w:shd w:val="clear"/>
              <w:spacing w:line="240" w:lineRule="auto"/>
              <w:ind w:firstLine="0" w:firstLineChars="0"/>
              <w:jc w:val="center"/>
              <w:rPr>
                <w:rFonts w:hAnsi="Times New Roman" w:cs="Times New Roman"/>
                <w:color w:val="auto"/>
                <w:highlight w:val="none"/>
              </w:rPr>
            </w:pPr>
            <w:r>
              <w:rPr>
                <w:rFonts w:hAnsi="Times New Roman" w:cs="Times New Roman"/>
                <w:color w:val="auto"/>
                <w:highlight w:val="none"/>
              </w:rPr>
              <w:t>3</w:t>
            </w:r>
          </w:p>
        </w:tc>
        <w:tc>
          <w:tcPr>
            <w:tcW w:w="5580" w:type="dxa"/>
            <w:vAlign w:val="center"/>
          </w:tcPr>
          <w:p w14:paraId="3725B007">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《建筑抗震加固技术规程》</w:t>
            </w:r>
          </w:p>
        </w:tc>
        <w:tc>
          <w:tcPr>
            <w:tcW w:w="2610" w:type="dxa"/>
            <w:vAlign w:val="center"/>
          </w:tcPr>
          <w:p w14:paraId="6D6F50AA">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JGJ 116-2009</w:t>
            </w:r>
          </w:p>
        </w:tc>
      </w:tr>
      <w:tr w14:paraId="70CC11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00849EAA">
            <w:pPr>
              <w:shd w:val="clear"/>
              <w:spacing w:line="240" w:lineRule="auto"/>
              <w:ind w:firstLine="0" w:firstLineChars="0"/>
              <w:jc w:val="center"/>
              <w:rPr>
                <w:rFonts w:hAnsi="Times New Roman" w:cs="Times New Roman"/>
                <w:color w:val="auto"/>
                <w:highlight w:val="none"/>
              </w:rPr>
            </w:pPr>
            <w:r>
              <w:rPr>
                <w:rFonts w:hint="eastAsia" w:hAnsi="Times New Roman" w:cs="Times New Roman"/>
                <w:color w:val="auto"/>
                <w:highlight w:val="none"/>
              </w:rPr>
              <w:t>4</w:t>
            </w:r>
          </w:p>
        </w:tc>
        <w:tc>
          <w:tcPr>
            <w:tcW w:w="5580" w:type="dxa"/>
            <w:vAlign w:val="center"/>
          </w:tcPr>
          <w:p w14:paraId="36E60390">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《建筑结构加固工程施工质量验收规范》</w:t>
            </w:r>
          </w:p>
        </w:tc>
        <w:tc>
          <w:tcPr>
            <w:tcW w:w="2610" w:type="dxa"/>
            <w:vAlign w:val="center"/>
          </w:tcPr>
          <w:p w14:paraId="16C5EA43">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GB 50550-2010</w:t>
            </w:r>
          </w:p>
        </w:tc>
      </w:tr>
      <w:tr w14:paraId="550223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45A8EAA2">
            <w:pPr>
              <w:shd w:val="clear"/>
              <w:spacing w:line="240" w:lineRule="auto"/>
              <w:ind w:firstLine="0" w:firstLineChars="0"/>
              <w:jc w:val="center"/>
              <w:rPr>
                <w:rFonts w:hAnsi="Times New Roman" w:cs="Times New Roman"/>
                <w:color w:val="auto"/>
                <w:highlight w:val="none"/>
              </w:rPr>
            </w:pPr>
            <w:r>
              <w:rPr>
                <w:rFonts w:hint="eastAsia" w:hAnsi="Times New Roman" w:cs="Times New Roman"/>
                <w:color w:val="auto"/>
                <w:highlight w:val="none"/>
              </w:rPr>
              <w:t>5</w:t>
            </w:r>
          </w:p>
        </w:tc>
        <w:tc>
          <w:tcPr>
            <w:tcW w:w="5580" w:type="dxa"/>
            <w:vAlign w:val="center"/>
          </w:tcPr>
          <w:p w14:paraId="2982304A">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《混凝土结构工程施工质量验收规范》</w:t>
            </w:r>
          </w:p>
        </w:tc>
        <w:tc>
          <w:tcPr>
            <w:tcW w:w="2610" w:type="dxa"/>
            <w:vAlign w:val="center"/>
          </w:tcPr>
          <w:p w14:paraId="6F9A1204">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GB 50204-2015</w:t>
            </w:r>
          </w:p>
        </w:tc>
      </w:tr>
      <w:tr w14:paraId="40154E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06BB203C">
            <w:pPr>
              <w:shd w:val="clear"/>
              <w:spacing w:line="240" w:lineRule="auto"/>
              <w:ind w:firstLine="0" w:firstLineChars="0"/>
              <w:jc w:val="center"/>
              <w:rPr>
                <w:rFonts w:hAnsi="Times New Roman" w:cs="Times New Roman"/>
                <w:color w:val="auto"/>
                <w:highlight w:val="none"/>
              </w:rPr>
            </w:pPr>
            <w:r>
              <w:rPr>
                <w:rFonts w:hint="eastAsia" w:hAnsi="Times New Roman" w:cs="Times New Roman"/>
                <w:color w:val="auto"/>
                <w:highlight w:val="none"/>
              </w:rPr>
              <w:t>6</w:t>
            </w:r>
          </w:p>
        </w:tc>
        <w:tc>
          <w:tcPr>
            <w:tcW w:w="5580" w:type="dxa"/>
            <w:vAlign w:val="center"/>
          </w:tcPr>
          <w:p w14:paraId="78C60A2C">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《既有建筑地基基础加固技术规范》</w:t>
            </w:r>
          </w:p>
        </w:tc>
        <w:tc>
          <w:tcPr>
            <w:tcW w:w="2610" w:type="dxa"/>
            <w:vAlign w:val="center"/>
          </w:tcPr>
          <w:p w14:paraId="0DCEA2A7">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JGJ 123-2012</w:t>
            </w:r>
          </w:p>
        </w:tc>
      </w:tr>
      <w:tr w14:paraId="17C699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3072E792">
            <w:pPr>
              <w:shd w:val="clear"/>
              <w:spacing w:line="240" w:lineRule="auto"/>
              <w:ind w:firstLine="0" w:firstLineChars="0"/>
              <w:jc w:val="center"/>
              <w:rPr>
                <w:rFonts w:hAnsi="Times New Roman" w:cs="Times New Roman"/>
                <w:color w:val="auto"/>
                <w:highlight w:val="none"/>
              </w:rPr>
            </w:pPr>
            <w:r>
              <w:rPr>
                <w:rFonts w:hint="eastAsia" w:hAnsi="Times New Roman" w:cs="Times New Roman"/>
                <w:color w:val="auto"/>
                <w:highlight w:val="none"/>
              </w:rPr>
              <w:t>7</w:t>
            </w:r>
          </w:p>
        </w:tc>
        <w:tc>
          <w:tcPr>
            <w:tcW w:w="5580" w:type="dxa"/>
            <w:vAlign w:val="center"/>
          </w:tcPr>
          <w:p w14:paraId="2B88ECD9">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《钢结构加固设计标准》</w:t>
            </w:r>
          </w:p>
        </w:tc>
        <w:tc>
          <w:tcPr>
            <w:tcW w:w="2610" w:type="dxa"/>
            <w:vAlign w:val="center"/>
          </w:tcPr>
          <w:p w14:paraId="65E1A77D">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GB 51367-2019</w:t>
            </w:r>
          </w:p>
        </w:tc>
      </w:tr>
      <w:tr w14:paraId="480E0C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476F1E24">
            <w:pPr>
              <w:shd w:val="clear"/>
              <w:spacing w:line="240" w:lineRule="auto"/>
              <w:ind w:firstLine="0" w:firstLineChars="0"/>
              <w:jc w:val="center"/>
              <w:rPr>
                <w:rFonts w:hAnsi="Times New Roman" w:cs="Times New Roman"/>
                <w:color w:val="auto"/>
                <w:highlight w:val="none"/>
              </w:rPr>
            </w:pPr>
            <w:r>
              <w:rPr>
                <w:rFonts w:hAnsi="Times New Roman" w:cs="Times New Roman"/>
                <w:color w:val="auto"/>
                <w:highlight w:val="none"/>
              </w:rPr>
              <w:t>8</w:t>
            </w:r>
          </w:p>
        </w:tc>
        <w:tc>
          <w:tcPr>
            <w:tcW w:w="5580" w:type="dxa"/>
            <w:vAlign w:val="center"/>
          </w:tcPr>
          <w:p w14:paraId="78AA86E4">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《钢结构工程施工质量验收标准》</w:t>
            </w:r>
          </w:p>
        </w:tc>
        <w:tc>
          <w:tcPr>
            <w:tcW w:w="2610" w:type="dxa"/>
            <w:vAlign w:val="center"/>
          </w:tcPr>
          <w:p w14:paraId="618CD8DE">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GB 50205-2020</w:t>
            </w:r>
          </w:p>
        </w:tc>
      </w:tr>
      <w:tr w14:paraId="33DAF6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0103974D">
            <w:pPr>
              <w:shd w:val="clear"/>
              <w:spacing w:line="240" w:lineRule="auto"/>
              <w:ind w:firstLine="0" w:firstLineChars="0"/>
              <w:jc w:val="center"/>
              <w:rPr>
                <w:rFonts w:hAnsi="Times New Roman" w:cs="Times New Roman"/>
                <w:color w:val="auto"/>
                <w:highlight w:val="none"/>
              </w:rPr>
            </w:pPr>
            <w:r>
              <w:rPr>
                <w:rFonts w:hAnsi="Times New Roman" w:cs="Times New Roman"/>
                <w:color w:val="auto"/>
                <w:highlight w:val="none"/>
              </w:rPr>
              <w:t>9</w:t>
            </w:r>
          </w:p>
        </w:tc>
        <w:tc>
          <w:tcPr>
            <w:tcW w:w="5580" w:type="dxa"/>
            <w:vAlign w:val="center"/>
          </w:tcPr>
          <w:p w14:paraId="1BF2890C">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《工程结构通用规范》</w:t>
            </w:r>
          </w:p>
        </w:tc>
        <w:tc>
          <w:tcPr>
            <w:tcW w:w="2610" w:type="dxa"/>
            <w:vAlign w:val="center"/>
          </w:tcPr>
          <w:p w14:paraId="031475DB">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GB 55001-2021</w:t>
            </w:r>
          </w:p>
        </w:tc>
      </w:tr>
      <w:tr w14:paraId="2EEF31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313E8BC4">
            <w:pPr>
              <w:shd w:val="clear"/>
              <w:spacing w:line="240" w:lineRule="auto"/>
              <w:ind w:firstLine="0" w:firstLineChars="0"/>
              <w:jc w:val="center"/>
              <w:rPr>
                <w:rFonts w:hAnsi="Times New Roman" w:cs="Times New Roman"/>
                <w:color w:val="auto"/>
                <w:highlight w:val="none"/>
              </w:rPr>
            </w:pPr>
            <w:r>
              <w:rPr>
                <w:rFonts w:hAnsi="Times New Roman" w:cs="Times New Roman"/>
                <w:color w:val="auto"/>
                <w:highlight w:val="none"/>
              </w:rPr>
              <w:t>10</w:t>
            </w:r>
          </w:p>
        </w:tc>
        <w:tc>
          <w:tcPr>
            <w:tcW w:w="5580" w:type="dxa"/>
            <w:vAlign w:val="center"/>
          </w:tcPr>
          <w:p w14:paraId="23586CFF">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《建筑与市政工程抗震通用规范》</w:t>
            </w:r>
          </w:p>
        </w:tc>
        <w:tc>
          <w:tcPr>
            <w:tcW w:w="2610" w:type="dxa"/>
            <w:vAlign w:val="center"/>
          </w:tcPr>
          <w:p w14:paraId="1068C98C">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GB 55002-2021</w:t>
            </w:r>
          </w:p>
        </w:tc>
      </w:tr>
      <w:tr w14:paraId="0BB733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5113F290">
            <w:pPr>
              <w:shd w:val="clear"/>
              <w:spacing w:line="240" w:lineRule="auto"/>
              <w:ind w:firstLine="0" w:firstLineChars="0"/>
              <w:jc w:val="center"/>
              <w:rPr>
                <w:rFonts w:hAnsi="Times New Roman" w:cs="Times New Roman"/>
                <w:color w:val="auto"/>
                <w:highlight w:val="none"/>
              </w:rPr>
            </w:pPr>
            <w:r>
              <w:rPr>
                <w:rFonts w:hAnsi="Times New Roman" w:cs="Times New Roman"/>
                <w:color w:val="auto"/>
                <w:highlight w:val="none"/>
              </w:rPr>
              <w:t>12</w:t>
            </w:r>
          </w:p>
        </w:tc>
        <w:tc>
          <w:tcPr>
            <w:tcW w:w="5580" w:type="dxa"/>
            <w:vAlign w:val="center"/>
          </w:tcPr>
          <w:p w14:paraId="3596C2B6">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《建筑与市政地基基础通用规范》</w:t>
            </w:r>
          </w:p>
        </w:tc>
        <w:tc>
          <w:tcPr>
            <w:tcW w:w="2610" w:type="dxa"/>
            <w:vAlign w:val="center"/>
          </w:tcPr>
          <w:p w14:paraId="7865FFCD">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GB 55003-2021</w:t>
            </w:r>
          </w:p>
        </w:tc>
      </w:tr>
      <w:tr w14:paraId="700B05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2CE86527">
            <w:pPr>
              <w:shd w:val="clear"/>
              <w:spacing w:line="240" w:lineRule="auto"/>
              <w:ind w:firstLine="0" w:firstLineChars="0"/>
              <w:jc w:val="center"/>
              <w:rPr>
                <w:rFonts w:hAnsi="Times New Roman" w:cs="Times New Roman"/>
                <w:color w:val="auto"/>
                <w:highlight w:val="none"/>
              </w:rPr>
            </w:pPr>
            <w:r>
              <w:rPr>
                <w:rFonts w:hAnsi="Times New Roman" w:cs="Times New Roman"/>
                <w:color w:val="auto"/>
                <w:highlight w:val="none"/>
              </w:rPr>
              <w:t>13</w:t>
            </w:r>
          </w:p>
        </w:tc>
        <w:tc>
          <w:tcPr>
            <w:tcW w:w="5580" w:type="dxa"/>
            <w:vAlign w:val="center"/>
          </w:tcPr>
          <w:p w14:paraId="79F1A05B">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《钢结构通用规范》</w:t>
            </w:r>
          </w:p>
        </w:tc>
        <w:tc>
          <w:tcPr>
            <w:tcW w:w="2610" w:type="dxa"/>
            <w:vAlign w:val="center"/>
          </w:tcPr>
          <w:p w14:paraId="222850F7">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GB 55006-2021</w:t>
            </w:r>
          </w:p>
        </w:tc>
      </w:tr>
      <w:tr w14:paraId="3E7088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652EADF8">
            <w:pPr>
              <w:shd w:val="clear"/>
              <w:spacing w:line="240" w:lineRule="auto"/>
              <w:ind w:firstLine="0" w:firstLineChars="0"/>
              <w:jc w:val="center"/>
              <w:rPr>
                <w:rFonts w:hAnsi="Times New Roman" w:cs="Times New Roman"/>
                <w:color w:val="auto"/>
                <w:highlight w:val="none"/>
              </w:rPr>
            </w:pPr>
            <w:r>
              <w:rPr>
                <w:rFonts w:hAnsi="Times New Roman" w:cs="Times New Roman"/>
                <w:color w:val="auto"/>
                <w:highlight w:val="none"/>
              </w:rPr>
              <w:t>14</w:t>
            </w:r>
          </w:p>
        </w:tc>
        <w:tc>
          <w:tcPr>
            <w:tcW w:w="5580" w:type="dxa"/>
            <w:vAlign w:val="center"/>
          </w:tcPr>
          <w:p w14:paraId="495BE72B">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《混凝土结构通用规范》</w:t>
            </w:r>
          </w:p>
        </w:tc>
        <w:tc>
          <w:tcPr>
            <w:tcW w:w="2610" w:type="dxa"/>
            <w:vAlign w:val="center"/>
          </w:tcPr>
          <w:p w14:paraId="427DDE90">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GB55008-2022</w:t>
            </w:r>
          </w:p>
        </w:tc>
      </w:tr>
      <w:tr w14:paraId="02AC32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0DECE725">
            <w:pPr>
              <w:shd w:val="clear"/>
              <w:spacing w:line="240" w:lineRule="auto"/>
              <w:ind w:firstLine="0" w:firstLineChars="0"/>
              <w:jc w:val="center"/>
              <w:rPr>
                <w:rFonts w:hAnsi="Times New Roman" w:cs="Times New Roman"/>
                <w:color w:val="auto"/>
                <w:highlight w:val="none"/>
              </w:rPr>
            </w:pPr>
            <w:r>
              <w:rPr>
                <w:rFonts w:hAnsi="Times New Roman" w:cs="Times New Roman"/>
                <w:color w:val="auto"/>
                <w:highlight w:val="none"/>
              </w:rPr>
              <w:t>15</w:t>
            </w:r>
          </w:p>
        </w:tc>
        <w:tc>
          <w:tcPr>
            <w:tcW w:w="5580" w:type="dxa"/>
            <w:vAlign w:val="center"/>
          </w:tcPr>
          <w:p w14:paraId="3BE3DB71">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《建筑防火通用规范》</w:t>
            </w:r>
          </w:p>
        </w:tc>
        <w:tc>
          <w:tcPr>
            <w:tcW w:w="2610" w:type="dxa"/>
            <w:vAlign w:val="center"/>
          </w:tcPr>
          <w:p w14:paraId="0669144E">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GB55037-2022</w:t>
            </w:r>
          </w:p>
        </w:tc>
      </w:tr>
      <w:tr w14:paraId="61EC02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38608B9E">
            <w:pPr>
              <w:shd w:val="clear"/>
              <w:spacing w:line="240" w:lineRule="auto"/>
              <w:ind w:firstLine="0" w:firstLineChars="0"/>
              <w:jc w:val="center"/>
              <w:rPr>
                <w:rFonts w:hAnsi="Times New Roman" w:cs="Times New Roman"/>
                <w:color w:val="auto"/>
                <w:highlight w:val="none"/>
              </w:rPr>
            </w:pPr>
            <w:r>
              <w:rPr>
                <w:rFonts w:hAnsi="Times New Roman" w:cs="Times New Roman"/>
                <w:color w:val="auto"/>
                <w:highlight w:val="none"/>
              </w:rPr>
              <w:t>16</w:t>
            </w:r>
          </w:p>
        </w:tc>
        <w:tc>
          <w:tcPr>
            <w:tcW w:w="5580" w:type="dxa"/>
            <w:vAlign w:val="center"/>
          </w:tcPr>
          <w:p w14:paraId="11F8E967">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《房屋建筑制图统一标准》</w:t>
            </w:r>
          </w:p>
        </w:tc>
        <w:tc>
          <w:tcPr>
            <w:tcW w:w="2610" w:type="dxa"/>
            <w:vAlign w:val="center"/>
          </w:tcPr>
          <w:p w14:paraId="27D1B0B7">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GB/T</w:t>
            </w:r>
            <w:r>
              <w:rPr>
                <w:rFonts w:hint="eastAsia" w:hAnsi="Times New Roman" w:cs="Times New Roman"/>
                <w:color w:val="auto"/>
                <w:highlight w:val="none"/>
              </w:rPr>
              <w:t xml:space="preserve"> </w:t>
            </w:r>
            <w:r>
              <w:rPr>
                <w:rFonts w:hAnsi="Times New Roman" w:cs="Times New Roman"/>
                <w:color w:val="auto"/>
                <w:highlight w:val="none"/>
              </w:rPr>
              <w:t>50001－20</w:t>
            </w:r>
            <w:r>
              <w:rPr>
                <w:rFonts w:hint="eastAsia" w:hAnsi="Times New Roman" w:cs="Times New Roman"/>
                <w:color w:val="auto"/>
                <w:highlight w:val="none"/>
              </w:rPr>
              <w:t>17</w:t>
            </w:r>
          </w:p>
        </w:tc>
      </w:tr>
      <w:tr w14:paraId="627FCA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0DB14CF9">
            <w:pPr>
              <w:shd w:val="clear"/>
              <w:spacing w:line="240" w:lineRule="auto"/>
              <w:ind w:firstLine="0" w:firstLineChars="0"/>
              <w:jc w:val="center"/>
              <w:rPr>
                <w:rFonts w:hAnsi="Times New Roman" w:cs="Times New Roman"/>
                <w:color w:val="auto"/>
                <w:highlight w:val="none"/>
              </w:rPr>
            </w:pPr>
            <w:r>
              <w:rPr>
                <w:rFonts w:hAnsi="Times New Roman" w:cs="Times New Roman"/>
                <w:color w:val="auto"/>
                <w:highlight w:val="none"/>
              </w:rPr>
              <w:t>17</w:t>
            </w:r>
          </w:p>
        </w:tc>
        <w:tc>
          <w:tcPr>
            <w:tcW w:w="5580" w:type="dxa"/>
            <w:vAlign w:val="center"/>
          </w:tcPr>
          <w:p w14:paraId="40C2AF9E">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《建筑制图标准》</w:t>
            </w:r>
          </w:p>
        </w:tc>
        <w:tc>
          <w:tcPr>
            <w:tcW w:w="2610" w:type="dxa"/>
            <w:vAlign w:val="center"/>
          </w:tcPr>
          <w:p w14:paraId="20733BBC">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GB/T</w:t>
            </w:r>
            <w:r>
              <w:rPr>
                <w:rFonts w:hint="eastAsia" w:hAnsi="Times New Roman" w:cs="Times New Roman"/>
                <w:color w:val="auto"/>
                <w:highlight w:val="none"/>
              </w:rPr>
              <w:t xml:space="preserve"> </w:t>
            </w:r>
            <w:r>
              <w:rPr>
                <w:rFonts w:hAnsi="Times New Roman" w:cs="Times New Roman"/>
                <w:color w:val="auto"/>
                <w:highlight w:val="none"/>
              </w:rPr>
              <w:t>50104－20</w:t>
            </w:r>
            <w:r>
              <w:rPr>
                <w:rFonts w:hint="eastAsia" w:hAnsi="Times New Roman" w:cs="Times New Roman"/>
                <w:color w:val="auto"/>
                <w:highlight w:val="none"/>
              </w:rPr>
              <w:t>10</w:t>
            </w:r>
          </w:p>
        </w:tc>
      </w:tr>
      <w:tr w14:paraId="2B168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6F9D1DB3">
            <w:pPr>
              <w:shd w:val="clear"/>
              <w:spacing w:line="240" w:lineRule="auto"/>
              <w:ind w:firstLine="0" w:firstLineChars="0"/>
              <w:jc w:val="center"/>
              <w:rPr>
                <w:rFonts w:hAnsi="Times New Roman" w:cs="Times New Roman"/>
                <w:color w:val="auto"/>
                <w:highlight w:val="none"/>
              </w:rPr>
            </w:pPr>
            <w:r>
              <w:rPr>
                <w:rFonts w:hAnsi="Times New Roman" w:cs="Times New Roman"/>
                <w:color w:val="auto"/>
                <w:highlight w:val="none"/>
              </w:rPr>
              <w:t>18</w:t>
            </w:r>
          </w:p>
        </w:tc>
        <w:tc>
          <w:tcPr>
            <w:tcW w:w="5580" w:type="dxa"/>
            <w:vAlign w:val="center"/>
          </w:tcPr>
          <w:p w14:paraId="24FB91B6">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《建筑结构制图标准》</w:t>
            </w:r>
          </w:p>
        </w:tc>
        <w:tc>
          <w:tcPr>
            <w:tcW w:w="2610" w:type="dxa"/>
            <w:vAlign w:val="center"/>
          </w:tcPr>
          <w:p w14:paraId="32F42DFE">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GB/T</w:t>
            </w:r>
            <w:r>
              <w:rPr>
                <w:rFonts w:hint="eastAsia" w:hAnsi="Times New Roman" w:cs="Times New Roman"/>
                <w:color w:val="auto"/>
                <w:highlight w:val="none"/>
              </w:rPr>
              <w:t xml:space="preserve"> </w:t>
            </w:r>
            <w:r>
              <w:rPr>
                <w:rFonts w:hAnsi="Times New Roman" w:cs="Times New Roman"/>
                <w:color w:val="auto"/>
                <w:highlight w:val="none"/>
              </w:rPr>
              <w:t>50105－20</w:t>
            </w:r>
            <w:r>
              <w:rPr>
                <w:rFonts w:hint="eastAsia" w:hAnsi="Times New Roman" w:cs="Times New Roman"/>
                <w:color w:val="auto"/>
                <w:highlight w:val="none"/>
              </w:rPr>
              <w:t>10</w:t>
            </w:r>
          </w:p>
        </w:tc>
      </w:tr>
      <w:tr w14:paraId="495167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0ADBC37D">
            <w:pPr>
              <w:shd w:val="clear"/>
              <w:spacing w:line="240" w:lineRule="auto"/>
              <w:ind w:firstLine="0" w:firstLineChars="0"/>
              <w:jc w:val="center"/>
              <w:rPr>
                <w:rFonts w:hAnsi="Times New Roman" w:cs="Times New Roman"/>
                <w:color w:val="auto"/>
                <w:highlight w:val="none"/>
              </w:rPr>
            </w:pPr>
            <w:r>
              <w:rPr>
                <w:rFonts w:hAnsi="Times New Roman" w:cs="Times New Roman"/>
                <w:color w:val="auto"/>
                <w:highlight w:val="none"/>
              </w:rPr>
              <w:t>19</w:t>
            </w:r>
          </w:p>
        </w:tc>
        <w:tc>
          <w:tcPr>
            <w:tcW w:w="5580" w:type="dxa"/>
            <w:vAlign w:val="center"/>
          </w:tcPr>
          <w:p w14:paraId="0E6B2F63">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《厂房建筑模数协调标准》</w:t>
            </w:r>
          </w:p>
        </w:tc>
        <w:tc>
          <w:tcPr>
            <w:tcW w:w="2610" w:type="dxa"/>
            <w:vAlign w:val="center"/>
          </w:tcPr>
          <w:p w14:paraId="69581101">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GB/T 50006-2010</w:t>
            </w:r>
          </w:p>
        </w:tc>
      </w:tr>
      <w:tr w14:paraId="55D37A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32815899">
            <w:pPr>
              <w:shd w:val="clear"/>
              <w:spacing w:line="240" w:lineRule="auto"/>
              <w:ind w:firstLine="0" w:firstLineChars="0"/>
              <w:jc w:val="center"/>
              <w:rPr>
                <w:rFonts w:hAnsi="Times New Roman" w:cs="Times New Roman"/>
                <w:color w:val="auto"/>
                <w:highlight w:val="none"/>
              </w:rPr>
            </w:pPr>
            <w:r>
              <w:rPr>
                <w:rFonts w:hAnsi="Times New Roman" w:cs="Times New Roman"/>
                <w:color w:val="auto"/>
                <w:highlight w:val="none"/>
              </w:rPr>
              <w:t>20</w:t>
            </w:r>
          </w:p>
        </w:tc>
        <w:tc>
          <w:tcPr>
            <w:tcW w:w="5580" w:type="dxa"/>
            <w:vAlign w:val="center"/>
          </w:tcPr>
          <w:p w14:paraId="3D60ED36">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《建筑结构可靠</w:t>
            </w:r>
            <w:r>
              <w:rPr>
                <w:rFonts w:hint="eastAsia" w:hAnsi="Times New Roman" w:cs="Times New Roman"/>
                <w:color w:val="auto"/>
                <w:highlight w:val="none"/>
              </w:rPr>
              <w:t>性</w:t>
            </w:r>
            <w:r>
              <w:rPr>
                <w:rFonts w:hAnsi="Times New Roman" w:cs="Times New Roman"/>
                <w:color w:val="auto"/>
                <w:highlight w:val="none"/>
              </w:rPr>
              <w:t>设计统一标准》</w:t>
            </w:r>
          </w:p>
        </w:tc>
        <w:tc>
          <w:tcPr>
            <w:tcW w:w="2610" w:type="dxa"/>
            <w:vAlign w:val="center"/>
          </w:tcPr>
          <w:p w14:paraId="10DD119F">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GB</w:t>
            </w:r>
            <w:r>
              <w:rPr>
                <w:rFonts w:hint="eastAsia" w:hAnsi="Times New Roman" w:cs="Times New Roman"/>
                <w:color w:val="auto"/>
                <w:highlight w:val="none"/>
              </w:rPr>
              <w:t xml:space="preserve"> </w:t>
            </w:r>
            <w:r>
              <w:rPr>
                <w:rFonts w:hAnsi="Times New Roman" w:cs="Times New Roman"/>
                <w:color w:val="auto"/>
                <w:highlight w:val="none"/>
              </w:rPr>
              <w:t>50068－20</w:t>
            </w:r>
            <w:r>
              <w:rPr>
                <w:rFonts w:hint="eastAsia" w:hAnsi="Times New Roman" w:cs="Times New Roman"/>
                <w:color w:val="auto"/>
                <w:highlight w:val="none"/>
              </w:rPr>
              <w:t>18</w:t>
            </w:r>
          </w:p>
        </w:tc>
      </w:tr>
      <w:tr w14:paraId="75BD09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7AFF4B1B">
            <w:pPr>
              <w:shd w:val="clear"/>
              <w:spacing w:line="240" w:lineRule="auto"/>
              <w:ind w:firstLine="0" w:firstLineChars="0"/>
              <w:jc w:val="center"/>
              <w:rPr>
                <w:rFonts w:hAnsi="Times New Roman" w:cs="Times New Roman"/>
                <w:color w:val="auto"/>
                <w:highlight w:val="none"/>
              </w:rPr>
            </w:pPr>
            <w:r>
              <w:rPr>
                <w:rFonts w:hAnsi="Times New Roman" w:cs="Times New Roman"/>
                <w:color w:val="auto"/>
                <w:highlight w:val="none"/>
              </w:rPr>
              <w:t>21</w:t>
            </w:r>
          </w:p>
        </w:tc>
        <w:tc>
          <w:tcPr>
            <w:tcW w:w="5580" w:type="dxa"/>
            <w:vAlign w:val="center"/>
          </w:tcPr>
          <w:p w14:paraId="0A8B6D4C">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《工程结构可靠性设计统一标准》</w:t>
            </w:r>
          </w:p>
        </w:tc>
        <w:tc>
          <w:tcPr>
            <w:tcW w:w="2610" w:type="dxa"/>
            <w:vAlign w:val="center"/>
          </w:tcPr>
          <w:p w14:paraId="61AEA46E">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GB 50153-2008</w:t>
            </w:r>
          </w:p>
        </w:tc>
      </w:tr>
      <w:tr w14:paraId="57D127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5DA2BDA1">
            <w:pPr>
              <w:shd w:val="clear"/>
              <w:spacing w:line="240" w:lineRule="auto"/>
              <w:ind w:firstLine="0" w:firstLineChars="0"/>
              <w:jc w:val="center"/>
              <w:rPr>
                <w:rFonts w:hAnsi="Times New Roman" w:cs="Times New Roman"/>
                <w:color w:val="auto"/>
                <w:highlight w:val="none"/>
              </w:rPr>
            </w:pPr>
            <w:r>
              <w:rPr>
                <w:rFonts w:hAnsi="Times New Roman" w:cs="Times New Roman"/>
                <w:color w:val="auto"/>
                <w:highlight w:val="none"/>
              </w:rPr>
              <w:t>22</w:t>
            </w:r>
          </w:p>
        </w:tc>
        <w:tc>
          <w:tcPr>
            <w:tcW w:w="5580" w:type="dxa"/>
            <w:vAlign w:val="center"/>
          </w:tcPr>
          <w:p w14:paraId="6AB724A3">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《建筑采光设计标准》</w:t>
            </w:r>
          </w:p>
        </w:tc>
        <w:tc>
          <w:tcPr>
            <w:tcW w:w="2610" w:type="dxa"/>
            <w:vAlign w:val="center"/>
          </w:tcPr>
          <w:p w14:paraId="3D85E3A9">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GB</w:t>
            </w:r>
            <w:r>
              <w:rPr>
                <w:rFonts w:hint="eastAsia" w:hAnsi="Times New Roman" w:cs="Times New Roman"/>
                <w:color w:val="auto"/>
                <w:highlight w:val="none"/>
              </w:rPr>
              <w:t xml:space="preserve"> </w:t>
            </w:r>
            <w:r>
              <w:rPr>
                <w:rFonts w:hAnsi="Times New Roman" w:cs="Times New Roman"/>
                <w:color w:val="auto"/>
                <w:highlight w:val="none"/>
              </w:rPr>
              <w:t>50033－</w:t>
            </w:r>
            <w:r>
              <w:rPr>
                <w:rFonts w:hint="eastAsia" w:hAnsi="Times New Roman" w:cs="Times New Roman"/>
                <w:color w:val="auto"/>
                <w:highlight w:val="none"/>
              </w:rPr>
              <w:t>2013</w:t>
            </w:r>
          </w:p>
        </w:tc>
      </w:tr>
      <w:tr w14:paraId="7FA172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6A140DB4">
            <w:pPr>
              <w:shd w:val="clear"/>
              <w:spacing w:line="240" w:lineRule="auto"/>
              <w:ind w:firstLine="0" w:firstLineChars="0"/>
              <w:jc w:val="center"/>
              <w:rPr>
                <w:rFonts w:hAnsi="Times New Roman" w:cs="Times New Roman"/>
                <w:color w:val="auto"/>
                <w:highlight w:val="none"/>
              </w:rPr>
            </w:pPr>
            <w:r>
              <w:rPr>
                <w:rFonts w:hint="eastAsia" w:hAnsi="Times New Roman" w:cs="Times New Roman"/>
                <w:color w:val="auto"/>
                <w:highlight w:val="none"/>
              </w:rPr>
              <w:t>23</w:t>
            </w:r>
          </w:p>
        </w:tc>
        <w:tc>
          <w:tcPr>
            <w:tcW w:w="5580" w:type="dxa"/>
            <w:vAlign w:val="center"/>
          </w:tcPr>
          <w:p w14:paraId="328076D3">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《工业企业设计卫生标准》</w:t>
            </w:r>
          </w:p>
        </w:tc>
        <w:tc>
          <w:tcPr>
            <w:tcW w:w="2610" w:type="dxa"/>
            <w:vAlign w:val="center"/>
          </w:tcPr>
          <w:p w14:paraId="3785A6B2">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GBZ</w:t>
            </w:r>
            <w:r>
              <w:rPr>
                <w:rFonts w:hint="eastAsia" w:hAnsi="Times New Roman" w:cs="Times New Roman"/>
                <w:color w:val="auto"/>
                <w:highlight w:val="none"/>
              </w:rPr>
              <w:t xml:space="preserve"> </w:t>
            </w:r>
            <w:r>
              <w:rPr>
                <w:rFonts w:hAnsi="Times New Roman" w:cs="Times New Roman"/>
                <w:color w:val="auto"/>
                <w:highlight w:val="none"/>
              </w:rPr>
              <w:t>1－20</w:t>
            </w:r>
            <w:r>
              <w:rPr>
                <w:rFonts w:hint="eastAsia" w:hAnsi="Times New Roman" w:cs="Times New Roman"/>
                <w:color w:val="auto"/>
                <w:highlight w:val="none"/>
              </w:rPr>
              <w:t>10</w:t>
            </w:r>
          </w:p>
        </w:tc>
      </w:tr>
      <w:tr w14:paraId="26848A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2E770A8B">
            <w:pPr>
              <w:shd w:val="clear"/>
              <w:spacing w:line="240" w:lineRule="auto"/>
              <w:ind w:firstLine="0" w:firstLineChars="0"/>
              <w:jc w:val="center"/>
              <w:rPr>
                <w:rFonts w:hAnsi="Times New Roman" w:cs="Times New Roman"/>
                <w:color w:val="auto"/>
                <w:highlight w:val="none"/>
              </w:rPr>
            </w:pPr>
            <w:r>
              <w:rPr>
                <w:rFonts w:hAnsi="Times New Roman" w:cs="Times New Roman"/>
                <w:color w:val="auto"/>
                <w:highlight w:val="none"/>
              </w:rPr>
              <w:t>24</w:t>
            </w:r>
          </w:p>
        </w:tc>
        <w:tc>
          <w:tcPr>
            <w:tcW w:w="5580" w:type="dxa"/>
            <w:vAlign w:val="center"/>
          </w:tcPr>
          <w:p w14:paraId="56969A1F">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《建筑设计防火规范》</w:t>
            </w:r>
            <w:r>
              <w:rPr>
                <w:rFonts w:hint="eastAsia" w:hAnsi="Times New Roman" w:cs="Times New Roman"/>
                <w:color w:val="auto"/>
                <w:highlight w:val="none"/>
              </w:rPr>
              <w:t>（2018版）</w:t>
            </w:r>
          </w:p>
        </w:tc>
        <w:tc>
          <w:tcPr>
            <w:tcW w:w="2610" w:type="dxa"/>
            <w:vAlign w:val="center"/>
          </w:tcPr>
          <w:p w14:paraId="39052AF4">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GB</w:t>
            </w:r>
            <w:r>
              <w:rPr>
                <w:rFonts w:hint="eastAsia" w:hAnsi="Times New Roman" w:cs="Times New Roman"/>
                <w:color w:val="auto"/>
                <w:highlight w:val="none"/>
              </w:rPr>
              <w:t xml:space="preserve"> </w:t>
            </w:r>
            <w:r>
              <w:rPr>
                <w:rFonts w:hAnsi="Times New Roman" w:cs="Times New Roman"/>
                <w:color w:val="auto"/>
                <w:highlight w:val="none"/>
              </w:rPr>
              <w:t>50016-20</w:t>
            </w:r>
            <w:r>
              <w:rPr>
                <w:rFonts w:hint="eastAsia" w:hAnsi="Times New Roman" w:cs="Times New Roman"/>
                <w:color w:val="auto"/>
                <w:highlight w:val="none"/>
              </w:rPr>
              <w:t>14</w:t>
            </w:r>
          </w:p>
        </w:tc>
      </w:tr>
      <w:tr w14:paraId="5E6751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3038892A">
            <w:pPr>
              <w:shd w:val="clear"/>
              <w:spacing w:line="240" w:lineRule="auto"/>
              <w:ind w:firstLine="0" w:firstLineChars="0"/>
              <w:jc w:val="center"/>
              <w:rPr>
                <w:rFonts w:hAnsi="Times New Roman" w:cs="Times New Roman"/>
                <w:color w:val="auto"/>
                <w:highlight w:val="none"/>
              </w:rPr>
            </w:pPr>
            <w:r>
              <w:rPr>
                <w:rFonts w:hAnsi="Times New Roman" w:cs="Times New Roman"/>
                <w:color w:val="auto"/>
                <w:highlight w:val="none"/>
              </w:rPr>
              <w:t>25</w:t>
            </w:r>
          </w:p>
        </w:tc>
        <w:tc>
          <w:tcPr>
            <w:tcW w:w="5580" w:type="dxa"/>
            <w:vAlign w:val="center"/>
          </w:tcPr>
          <w:p w14:paraId="7AEF0C94">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《建筑地面设计规范》</w:t>
            </w:r>
          </w:p>
        </w:tc>
        <w:tc>
          <w:tcPr>
            <w:tcW w:w="2610" w:type="dxa"/>
            <w:vAlign w:val="center"/>
          </w:tcPr>
          <w:p w14:paraId="2F64281D">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GB</w:t>
            </w:r>
            <w:r>
              <w:rPr>
                <w:rFonts w:hint="eastAsia" w:hAnsi="Times New Roman" w:cs="Times New Roman"/>
                <w:color w:val="auto"/>
                <w:highlight w:val="none"/>
              </w:rPr>
              <w:t xml:space="preserve"> </w:t>
            </w:r>
            <w:r>
              <w:rPr>
                <w:rFonts w:hAnsi="Times New Roman" w:cs="Times New Roman"/>
                <w:color w:val="auto"/>
                <w:highlight w:val="none"/>
              </w:rPr>
              <w:t>50037－</w:t>
            </w:r>
            <w:r>
              <w:rPr>
                <w:rFonts w:hint="eastAsia" w:hAnsi="Times New Roman" w:cs="Times New Roman"/>
                <w:color w:val="auto"/>
                <w:highlight w:val="none"/>
              </w:rPr>
              <w:t>2013</w:t>
            </w:r>
          </w:p>
        </w:tc>
      </w:tr>
      <w:tr w14:paraId="4BF570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39C6C19E">
            <w:pPr>
              <w:shd w:val="clear"/>
              <w:spacing w:line="240" w:lineRule="auto"/>
              <w:ind w:firstLine="0" w:firstLineChars="0"/>
              <w:jc w:val="center"/>
              <w:rPr>
                <w:rFonts w:hAnsi="Times New Roman" w:cs="Times New Roman"/>
                <w:color w:val="auto"/>
                <w:highlight w:val="none"/>
              </w:rPr>
            </w:pPr>
            <w:r>
              <w:rPr>
                <w:rFonts w:hAnsi="Times New Roman" w:cs="Times New Roman"/>
                <w:color w:val="auto"/>
                <w:highlight w:val="none"/>
              </w:rPr>
              <w:t>26</w:t>
            </w:r>
          </w:p>
        </w:tc>
        <w:tc>
          <w:tcPr>
            <w:tcW w:w="5580" w:type="dxa"/>
            <w:vAlign w:val="center"/>
          </w:tcPr>
          <w:p w14:paraId="645A4846">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《工业建筑防腐蚀设计</w:t>
            </w:r>
            <w:r>
              <w:rPr>
                <w:rFonts w:hint="eastAsia" w:hAnsi="Times New Roman" w:cs="Times New Roman"/>
                <w:color w:val="auto"/>
                <w:highlight w:val="none"/>
              </w:rPr>
              <w:t>标准</w:t>
            </w:r>
            <w:r>
              <w:rPr>
                <w:rFonts w:hAnsi="Times New Roman" w:cs="Times New Roman"/>
                <w:color w:val="auto"/>
                <w:highlight w:val="none"/>
              </w:rPr>
              <w:t>》</w:t>
            </w:r>
          </w:p>
        </w:tc>
        <w:tc>
          <w:tcPr>
            <w:tcW w:w="2610" w:type="dxa"/>
            <w:vAlign w:val="center"/>
          </w:tcPr>
          <w:p w14:paraId="1EE9F2A0">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GB</w:t>
            </w:r>
            <w:r>
              <w:rPr>
                <w:rFonts w:hint="eastAsia" w:hAnsi="Times New Roman" w:cs="Times New Roman"/>
                <w:color w:val="auto"/>
                <w:highlight w:val="none"/>
              </w:rPr>
              <w:t xml:space="preserve">/T </w:t>
            </w:r>
            <w:r>
              <w:rPr>
                <w:rFonts w:hAnsi="Times New Roman" w:cs="Times New Roman"/>
                <w:color w:val="auto"/>
                <w:highlight w:val="none"/>
              </w:rPr>
              <w:t>50046－20</w:t>
            </w:r>
            <w:r>
              <w:rPr>
                <w:rFonts w:hint="eastAsia" w:hAnsi="Times New Roman" w:cs="Times New Roman"/>
                <w:color w:val="auto"/>
                <w:highlight w:val="none"/>
              </w:rPr>
              <w:t>18</w:t>
            </w:r>
          </w:p>
        </w:tc>
      </w:tr>
      <w:tr w14:paraId="226DDE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61F69712">
            <w:pPr>
              <w:shd w:val="clear"/>
              <w:spacing w:line="240" w:lineRule="auto"/>
              <w:ind w:firstLine="0" w:firstLineChars="0"/>
              <w:jc w:val="center"/>
              <w:rPr>
                <w:rFonts w:hAnsi="Times New Roman" w:cs="Times New Roman"/>
                <w:color w:val="auto"/>
                <w:highlight w:val="none"/>
              </w:rPr>
            </w:pPr>
            <w:r>
              <w:rPr>
                <w:rFonts w:hint="eastAsia" w:hAnsi="Times New Roman" w:cs="Times New Roman"/>
                <w:color w:val="auto"/>
                <w:highlight w:val="none"/>
              </w:rPr>
              <w:t>27</w:t>
            </w:r>
          </w:p>
        </w:tc>
        <w:tc>
          <w:tcPr>
            <w:tcW w:w="5580" w:type="dxa"/>
            <w:vAlign w:val="center"/>
          </w:tcPr>
          <w:p w14:paraId="290A7FD1">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《屋面工程技术规范》</w:t>
            </w:r>
          </w:p>
        </w:tc>
        <w:tc>
          <w:tcPr>
            <w:tcW w:w="2610" w:type="dxa"/>
            <w:vAlign w:val="center"/>
          </w:tcPr>
          <w:p w14:paraId="7B7DA63C">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GB</w:t>
            </w:r>
            <w:r>
              <w:rPr>
                <w:rFonts w:hint="eastAsia" w:hAnsi="Times New Roman" w:cs="Times New Roman"/>
                <w:color w:val="auto"/>
                <w:highlight w:val="none"/>
              </w:rPr>
              <w:t xml:space="preserve"> </w:t>
            </w:r>
            <w:r>
              <w:rPr>
                <w:rFonts w:hAnsi="Times New Roman" w:cs="Times New Roman"/>
                <w:color w:val="auto"/>
                <w:highlight w:val="none"/>
              </w:rPr>
              <w:t>50345－20</w:t>
            </w:r>
            <w:r>
              <w:rPr>
                <w:rFonts w:hint="eastAsia" w:hAnsi="Times New Roman" w:cs="Times New Roman"/>
                <w:color w:val="auto"/>
                <w:highlight w:val="none"/>
              </w:rPr>
              <w:t>12</w:t>
            </w:r>
          </w:p>
        </w:tc>
      </w:tr>
      <w:tr w14:paraId="71A3C7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214ECB4F">
            <w:pPr>
              <w:shd w:val="clear"/>
              <w:spacing w:line="240" w:lineRule="auto"/>
              <w:ind w:firstLine="0" w:firstLineChars="0"/>
              <w:jc w:val="center"/>
              <w:rPr>
                <w:rFonts w:hAnsi="Times New Roman" w:cs="Times New Roman"/>
                <w:color w:val="auto"/>
                <w:highlight w:val="none"/>
              </w:rPr>
            </w:pPr>
            <w:r>
              <w:rPr>
                <w:rFonts w:hint="eastAsia" w:hAnsi="Times New Roman" w:cs="Times New Roman"/>
                <w:color w:val="auto"/>
                <w:highlight w:val="none"/>
              </w:rPr>
              <w:t>28</w:t>
            </w:r>
          </w:p>
        </w:tc>
        <w:tc>
          <w:tcPr>
            <w:tcW w:w="5580" w:type="dxa"/>
            <w:vAlign w:val="center"/>
          </w:tcPr>
          <w:p w14:paraId="6DFF0BBF">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《建筑内部装修设计防火规范》</w:t>
            </w:r>
          </w:p>
        </w:tc>
        <w:tc>
          <w:tcPr>
            <w:tcW w:w="2610" w:type="dxa"/>
            <w:vAlign w:val="center"/>
          </w:tcPr>
          <w:p w14:paraId="07CBB691">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GB</w:t>
            </w:r>
            <w:r>
              <w:rPr>
                <w:rFonts w:hint="eastAsia" w:hAnsi="Times New Roman" w:cs="Times New Roman"/>
                <w:color w:val="auto"/>
                <w:highlight w:val="none"/>
              </w:rPr>
              <w:t xml:space="preserve"> </w:t>
            </w:r>
            <w:r>
              <w:rPr>
                <w:rFonts w:hAnsi="Times New Roman" w:cs="Times New Roman"/>
                <w:color w:val="auto"/>
                <w:highlight w:val="none"/>
              </w:rPr>
              <w:t>50222－</w:t>
            </w:r>
            <w:r>
              <w:rPr>
                <w:rFonts w:hint="eastAsia" w:hAnsi="Times New Roman" w:cs="Times New Roman"/>
                <w:color w:val="auto"/>
                <w:highlight w:val="none"/>
              </w:rPr>
              <w:t>2017</w:t>
            </w:r>
          </w:p>
        </w:tc>
      </w:tr>
      <w:tr w14:paraId="4901AC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7D7A22FD">
            <w:pPr>
              <w:shd w:val="clear"/>
              <w:spacing w:line="240" w:lineRule="auto"/>
              <w:ind w:firstLine="0" w:firstLineChars="0"/>
              <w:jc w:val="center"/>
              <w:rPr>
                <w:rFonts w:hAnsi="Times New Roman" w:cs="Times New Roman"/>
                <w:color w:val="auto"/>
                <w:highlight w:val="none"/>
              </w:rPr>
            </w:pPr>
            <w:r>
              <w:rPr>
                <w:rFonts w:hint="eastAsia" w:hAnsi="Times New Roman" w:cs="Times New Roman"/>
                <w:color w:val="auto"/>
                <w:highlight w:val="none"/>
              </w:rPr>
              <w:t>29</w:t>
            </w:r>
          </w:p>
        </w:tc>
        <w:tc>
          <w:tcPr>
            <w:tcW w:w="5580" w:type="dxa"/>
            <w:vAlign w:val="center"/>
          </w:tcPr>
          <w:p w14:paraId="43489DA9">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《建筑结构荷载规范》</w:t>
            </w:r>
          </w:p>
        </w:tc>
        <w:tc>
          <w:tcPr>
            <w:tcW w:w="2610" w:type="dxa"/>
            <w:vAlign w:val="center"/>
          </w:tcPr>
          <w:p w14:paraId="6E72D1E6">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GB</w:t>
            </w:r>
            <w:r>
              <w:rPr>
                <w:rFonts w:hint="eastAsia" w:hAnsi="Times New Roman" w:cs="Times New Roman"/>
                <w:color w:val="auto"/>
                <w:highlight w:val="none"/>
              </w:rPr>
              <w:t xml:space="preserve"> </w:t>
            </w:r>
            <w:r>
              <w:rPr>
                <w:rFonts w:hAnsi="Times New Roman" w:cs="Times New Roman"/>
                <w:color w:val="auto"/>
                <w:highlight w:val="none"/>
              </w:rPr>
              <w:t>50009－20</w:t>
            </w:r>
            <w:r>
              <w:rPr>
                <w:rFonts w:hint="eastAsia" w:hAnsi="Times New Roman" w:cs="Times New Roman"/>
                <w:color w:val="auto"/>
                <w:highlight w:val="none"/>
              </w:rPr>
              <w:t>12</w:t>
            </w:r>
          </w:p>
        </w:tc>
      </w:tr>
      <w:tr w14:paraId="317217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66DB663C">
            <w:pPr>
              <w:shd w:val="clear"/>
              <w:spacing w:line="240" w:lineRule="auto"/>
              <w:ind w:firstLine="0" w:firstLineChars="0"/>
              <w:jc w:val="center"/>
              <w:rPr>
                <w:rFonts w:hAnsi="Times New Roman" w:cs="Times New Roman"/>
                <w:color w:val="auto"/>
                <w:highlight w:val="none"/>
              </w:rPr>
            </w:pPr>
            <w:r>
              <w:rPr>
                <w:rFonts w:hint="eastAsia" w:hAnsi="Times New Roman" w:cs="Times New Roman"/>
                <w:color w:val="auto"/>
                <w:highlight w:val="none"/>
              </w:rPr>
              <w:t>30</w:t>
            </w:r>
          </w:p>
        </w:tc>
        <w:tc>
          <w:tcPr>
            <w:tcW w:w="5580" w:type="dxa"/>
            <w:vAlign w:val="center"/>
          </w:tcPr>
          <w:p w14:paraId="21CD6091">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《砌体结构设计规范》</w:t>
            </w:r>
          </w:p>
        </w:tc>
        <w:tc>
          <w:tcPr>
            <w:tcW w:w="2610" w:type="dxa"/>
            <w:vAlign w:val="center"/>
          </w:tcPr>
          <w:p w14:paraId="50306C39">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GB</w:t>
            </w:r>
            <w:r>
              <w:rPr>
                <w:rFonts w:hint="eastAsia" w:hAnsi="Times New Roman" w:cs="Times New Roman"/>
                <w:color w:val="auto"/>
                <w:highlight w:val="none"/>
              </w:rPr>
              <w:t xml:space="preserve"> </w:t>
            </w:r>
            <w:r>
              <w:rPr>
                <w:rFonts w:hAnsi="Times New Roman" w:cs="Times New Roman"/>
                <w:color w:val="auto"/>
                <w:highlight w:val="none"/>
              </w:rPr>
              <w:t>50003－20</w:t>
            </w:r>
            <w:r>
              <w:rPr>
                <w:rFonts w:hint="eastAsia" w:hAnsi="Times New Roman" w:cs="Times New Roman"/>
                <w:color w:val="auto"/>
                <w:highlight w:val="none"/>
              </w:rPr>
              <w:t>11</w:t>
            </w:r>
          </w:p>
        </w:tc>
      </w:tr>
      <w:tr w14:paraId="71D7A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1DE5107D">
            <w:pPr>
              <w:shd w:val="clear"/>
              <w:spacing w:line="240" w:lineRule="auto"/>
              <w:ind w:firstLine="0" w:firstLineChars="0"/>
              <w:jc w:val="center"/>
              <w:rPr>
                <w:rFonts w:hAnsi="Times New Roman" w:cs="Times New Roman"/>
                <w:color w:val="auto"/>
                <w:highlight w:val="none"/>
              </w:rPr>
            </w:pPr>
            <w:r>
              <w:rPr>
                <w:rFonts w:hint="eastAsia" w:hAnsi="Times New Roman" w:cs="Times New Roman"/>
                <w:color w:val="auto"/>
                <w:highlight w:val="none"/>
              </w:rPr>
              <w:t>31</w:t>
            </w:r>
          </w:p>
        </w:tc>
        <w:tc>
          <w:tcPr>
            <w:tcW w:w="5580" w:type="dxa"/>
            <w:vAlign w:val="center"/>
          </w:tcPr>
          <w:p w14:paraId="1FAAE751">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《混凝土结构设计</w:t>
            </w:r>
            <w:r>
              <w:rPr>
                <w:rFonts w:hint="eastAsia" w:hAnsi="Times New Roman" w:cs="Times New Roman"/>
                <w:color w:val="auto"/>
                <w:highlight w:val="none"/>
              </w:rPr>
              <w:t>标准</w:t>
            </w:r>
            <w:r>
              <w:rPr>
                <w:rFonts w:hAnsi="Times New Roman" w:cs="Times New Roman"/>
                <w:color w:val="auto"/>
                <w:highlight w:val="none"/>
              </w:rPr>
              <w:t>》</w:t>
            </w:r>
            <w:r>
              <w:rPr>
                <w:rFonts w:hint="eastAsia" w:hAnsi="Times New Roman" w:cs="Times New Roman"/>
                <w:color w:val="auto"/>
                <w:highlight w:val="none"/>
              </w:rPr>
              <w:t>（2024版）</w:t>
            </w:r>
          </w:p>
        </w:tc>
        <w:tc>
          <w:tcPr>
            <w:tcW w:w="2610" w:type="dxa"/>
            <w:vAlign w:val="center"/>
          </w:tcPr>
          <w:p w14:paraId="6BA71796">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GB/T</w:t>
            </w:r>
            <w:r>
              <w:rPr>
                <w:rFonts w:hint="eastAsia" w:hAnsi="Times New Roman" w:cs="Times New Roman"/>
                <w:color w:val="auto"/>
                <w:highlight w:val="none"/>
              </w:rPr>
              <w:t xml:space="preserve"> </w:t>
            </w:r>
            <w:r>
              <w:rPr>
                <w:rFonts w:hAnsi="Times New Roman" w:cs="Times New Roman"/>
                <w:color w:val="auto"/>
                <w:highlight w:val="none"/>
              </w:rPr>
              <w:t>50010－20</w:t>
            </w:r>
            <w:r>
              <w:rPr>
                <w:rFonts w:hint="eastAsia" w:hAnsi="Times New Roman" w:cs="Times New Roman"/>
                <w:color w:val="auto"/>
                <w:highlight w:val="none"/>
              </w:rPr>
              <w:t>10</w:t>
            </w:r>
          </w:p>
        </w:tc>
      </w:tr>
      <w:tr w14:paraId="475177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77CFB8F7">
            <w:pPr>
              <w:shd w:val="clear"/>
              <w:spacing w:line="240" w:lineRule="auto"/>
              <w:ind w:firstLine="0" w:firstLineChars="0"/>
              <w:jc w:val="center"/>
              <w:rPr>
                <w:rFonts w:hAnsi="Times New Roman" w:cs="Times New Roman"/>
                <w:color w:val="auto"/>
                <w:highlight w:val="none"/>
              </w:rPr>
            </w:pPr>
            <w:r>
              <w:rPr>
                <w:rFonts w:hint="eastAsia" w:hAnsi="Times New Roman" w:cs="Times New Roman"/>
                <w:color w:val="auto"/>
                <w:highlight w:val="none"/>
              </w:rPr>
              <w:t>32</w:t>
            </w:r>
          </w:p>
        </w:tc>
        <w:tc>
          <w:tcPr>
            <w:tcW w:w="5580" w:type="dxa"/>
            <w:vAlign w:val="center"/>
          </w:tcPr>
          <w:p w14:paraId="595C8006">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《钢结构设计</w:t>
            </w:r>
            <w:r>
              <w:rPr>
                <w:rFonts w:hint="eastAsia" w:hAnsi="Times New Roman" w:cs="Times New Roman"/>
                <w:color w:val="auto"/>
                <w:highlight w:val="none"/>
              </w:rPr>
              <w:t>标准</w:t>
            </w:r>
            <w:r>
              <w:rPr>
                <w:rFonts w:hAnsi="Times New Roman" w:cs="Times New Roman"/>
                <w:color w:val="auto"/>
                <w:highlight w:val="none"/>
              </w:rPr>
              <w:t>》</w:t>
            </w:r>
          </w:p>
        </w:tc>
        <w:tc>
          <w:tcPr>
            <w:tcW w:w="2610" w:type="dxa"/>
            <w:vAlign w:val="center"/>
          </w:tcPr>
          <w:p w14:paraId="1130B262">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GB</w:t>
            </w:r>
            <w:r>
              <w:rPr>
                <w:rFonts w:hint="eastAsia" w:hAnsi="Times New Roman" w:cs="Times New Roman"/>
                <w:color w:val="auto"/>
                <w:highlight w:val="none"/>
              </w:rPr>
              <w:t xml:space="preserve"> </w:t>
            </w:r>
            <w:r>
              <w:rPr>
                <w:rFonts w:hAnsi="Times New Roman" w:cs="Times New Roman"/>
                <w:color w:val="auto"/>
                <w:highlight w:val="none"/>
              </w:rPr>
              <w:t>50017－20</w:t>
            </w:r>
            <w:r>
              <w:rPr>
                <w:rFonts w:hint="eastAsia" w:hAnsi="Times New Roman" w:cs="Times New Roman"/>
                <w:color w:val="auto"/>
                <w:highlight w:val="none"/>
              </w:rPr>
              <w:t>17</w:t>
            </w:r>
          </w:p>
        </w:tc>
      </w:tr>
      <w:tr w14:paraId="3E4011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11065BA0">
            <w:pPr>
              <w:shd w:val="clear"/>
              <w:spacing w:line="240" w:lineRule="auto"/>
              <w:ind w:firstLine="0" w:firstLineChars="0"/>
              <w:jc w:val="center"/>
              <w:rPr>
                <w:rFonts w:hAnsi="Times New Roman" w:cs="Times New Roman"/>
                <w:color w:val="auto"/>
                <w:highlight w:val="none"/>
              </w:rPr>
            </w:pPr>
            <w:r>
              <w:rPr>
                <w:rFonts w:hint="eastAsia" w:hAnsi="Times New Roman" w:cs="Times New Roman"/>
                <w:color w:val="auto"/>
                <w:highlight w:val="none"/>
              </w:rPr>
              <w:t>33</w:t>
            </w:r>
          </w:p>
        </w:tc>
        <w:tc>
          <w:tcPr>
            <w:tcW w:w="5580" w:type="dxa"/>
            <w:vAlign w:val="center"/>
          </w:tcPr>
          <w:p w14:paraId="68AEF63D">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《高耸结构设计</w:t>
            </w:r>
            <w:r>
              <w:rPr>
                <w:rFonts w:hint="eastAsia" w:hAnsi="Times New Roman" w:cs="Times New Roman"/>
                <w:color w:val="auto"/>
                <w:highlight w:val="none"/>
              </w:rPr>
              <w:t>标准</w:t>
            </w:r>
            <w:r>
              <w:rPr>
                <w:rFonts w:hAnsi="Times New Roman" w:cs="Times New Roman"/>
                <w:color w:val="auto"/>
                <w:highlight w:val="none"/>
              </w:rPr>
              <w:t>》</w:t>
            </w:r>
          </w:p>
        </w:tc>
        <w:tc>
          <w:tcPr>
            <w:tcW w:w="2610" w:type="dxa"/>
            <w:vAlign w:val="center"/>
          </w:tcPr>
          <w:p w14:paraId="46332030">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GB</w:t>
            </w:r>
            <w:r>
              <w:rPr>
                <w:rFonts w:hint="eastAsia" w:hAnsi="Times New Roman" w:cs="Times New Roman"/>
                <w:color w:val="auto"/>
                <w:highlight w:val="none"/>
              </w:rPr>
              <w:t xml:space="preserve"> </w:t>
            </w:r>
            <w:r>
              <w:rPr>
                <w:rFonts w:hAnsi="Times New Roman" w:cs="Times New Roman"/>
                <w:color w:val="auto"/>
                <w:highlight w:val="none"/>
              </w:rPr>
              <w:t>50135－20</w:t>
            </w:r>
            <w:r>
              <w:rPr>
                <w:rFonts w:hint="eastAsia" w:hAnsi="Times New Roman" w:cs="Times New Roman"/>
                <w:color w:val="auto"/>
                <w:highlight w:val="none"/>
              </w:rPr>
              <w:t>19</w:t>
            </w:r>
          </w:p>
        </w:tc>
      </w:tr>
      <w:tr w14:paraId="56A96F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630D6D96">
            <w:pPr>
              <w:shd w:val="clear"/>
              <w:spacing w:line="240" w:lineRule="auto"/>
              <w:ind w:firstLine="0" w:firstLineChars="0"/>
              <w:jc w:val="center"/>
              <w:rPr>
                <w:rFonts w:hAnsi="Times New Roman" w:cs="Times New Roman"/>
                <w:color w:val="auto"/>
                <w:highlight w:val="none"/>
              </w:rPr>
            </w:pPr>
            <w:r>
              <w:rPr>
                <w:rFonts w:hint="eastAsia" w:hAnsi="Times New Roman" w:cs="Times New Roman"/>
                <w:color w:val="auto"/>
                <w:highlight w:val="none"/>
              </w:rPr>
              <w:t>34</w:t>
            </w:r>
          </w:p>
        </w:tc>
        <w:tc>
          <w:tcPr>
            <w:tcW w:w="5580" w:type="dxa"/>
            <w:vAlign w:val="center"/>
          </w:tcPr>
          <w:p w14:paraId="5F4B546C">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《冷弯薄壁型钢结构技术规范》</w:t>
            </w:r>
          </w:p>
        </w:tc>
        <w:tc>
          <w:tcPr>
            <w:tcW w:w="2610" w:type="dxa"/>
            <w:vAlign w:val="center"/>
          </w:tcPr>
          <w:p w14:paraId="40466C54">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GB</w:t>
            </w:r>
            <w:r>
              <w:rPr>
                <w:rFonts w:hint="eastAsia" w:hAnsi="Times New Roman" w:cs="Times New Roman"/>
                <w:color w:val="auto"/>
                <w:highlight w:val="none"/>
              </w:rPr>
              <w:t xml:space="preserve"> </w:t>
            </w:r>
            <w:r>
              <w:rPr>
                <w:rFonts w:hAnsi="Times New Roman" w:cs="Times New Roman"/>
                <w:color w:val="auto"/>
                <w:highlight w:val="none"/>
              </w:rPr>
              <w:t>50018－2002</w:t>
            </w:r>
          </w:p>
        </w:tc>
      </w:tr>
      <w:tr w14:paraId="1DD58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773B79BF">
            <w:pPr>
              <w:shd w:val="clear"/>
              <w:spacing w:line="240" w:lineRule="auto"/>
              <w:ind w:firstLine="0" w:firstLineChars="0"/>
              <w:jc w:val="center"/>
              <w:rPr>
                <w:rFonts w:hAnsi="Times New Roman" w:cs="Times New Roman"/>
                <w:color w:val="auto"/>
                <w:highlight w:val="none"/>
              </w:rPr>
            </w:pPr>
            <w:r>
              <w:rPr>
                <w:rFonts w:hint="eastAsia" w:hAnsi="Times New Roman" w:cs="Times New Roman"/>
                <w:color w:val="auto"/>
                <w:highlight w:val="none"/>
              </w:rPr>
              <w:t>35</w:t>
            </w:r>
          </w:p>
        </w:tc>
        <w:tc>
          <w:tcPr>
            <w:tcW w:w="5580" w:type="dxa"/>
            <w:vAlign w:val="center"/>
          </w:tcPr>
          <w:p w14:paraId="64E4F18C">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《构筑物抗震设计规范》</w:t>
            </w:r>
          </w:p>
        </w:tc>
        <w:tc>
          <w:tcPr>
            <w:tcW w:w="2610" w:type="dxa"/>
            <w:vAlign w:val="center"/>
          </w:tcPr>
          <w:p w14:paraId="7B8A3B55">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GB</w:t>
            </w:r>
            <w:r>
              <w:rPr>
                <w:rFonts w:hint="eastAsia" w:hAnsi="Times New Roman" w:cs="Times New Roman"/>
                <w:color w:val="auto"/>
                <w:highlight w:val="none"/>
              </w:rPr>
              <w:t xml:space="preserve"> </w:t>
            </w:r>
            <w:r>
              <w:rPr>
                <w:rFonts w:hAnsi="Times New Roman" w:cs="Times New Roman"/>
                <w:color w:val="auto"/>
                <w:highlight w:val="none"/>
              </w:rPr>
              <w:t>50191－</w:t>
            </w:r>
            <w:r>
              <w:rPr>
                <w:rFonts w:hint="eastAsia" w:hAnsi="Times New Roman" w:cs="Times New Roman"/>
                <w:color w:val="auto"/>
                <w:highlight w:val="none"/>
              </w:rPr>
              <w:t>2012</w:t>
            </w:r>
          </w:p>
        </w:tc>
      </w:tr>
      <w:tr w14:paraId="1F19BA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711CAAEC">
            <w:pPr>
              <w:shd w:val="clear"/>
              <w:spacing w:line="240" w:lineRule="auto"/>
              <w:ind w:firstLine="0" w:firstLineChars="0"/>
              <w:jc w:val="center"/>
              <w:rPr>
                <w:rFonts w:hAnsi="Times New Roman" w:cs="Times New Roman"/>
                <w:color w:val="auto"/>
                <w:highlight w:val="none"/>
              </w:rPr>
            </w:pPr>
            <w:r>
              <w:rPr>
                <w:rFonts w:hint="eastAsia" w:hAnsi="Times New Roman" w:cs="Times New Roman"/>
                <w:color w:val="auto"/>
                <w:highlight w:val="none"/>
              </w:rPr>
              <w:t>36</w:t>
            </w:r>
          </w:p>
        </w:tc>
        <w:tc>
          <w:tcPr>
            <w:tcW w:w="5580" w:type="dxa"/>
            <w:vAlign w:val="center"/>
          </w:tcPr>
          <w:p w14:paraId="06ECB302">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w:t>
            </w:r>
            <w:r>
              <w:rPr>
                <w:rFonts w:hint="eastAsia" w:hAnsi="Times New Roman" w:cs="Times New Roman"/>
                <w:color w:val="auto"/>
                <w:highlight w:val="none"/>
              </w:rPr>
              <w:t>烟囱工程技术标准</w:t>
            </w:r>
            <w:r>
              <w:rPr>
                <w:rFonts w:hAnsi="Times New Roman" w:cs="Times New Roman"/>
                <w:color w:val="auto"/>
                <w:highlight w:val="none"/>
              </w:rPr>
              <w:t>》</w:t>
            </w:r>
          </w:p>
        </w:tc>
        <w:tc>
          <w:tcPr>
            <w:tcW w:w="2610" w:type="dxa"/>
            <w:vAlign w:val="center"/>
          </w:tcPr>
          <w:p w14:paraId="3C2F3E94">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GB</w:t>
            </w:r>
            <w:r>
              <w:rPr>
                <w:rFonts w:hint="eastAsia" w:hAnsi="Times New Roman" w:cs="Times New Roman"/>
                <w:color w:val="auto"/>
                <w:highlight w:val="none"/>
              </w:rPr>
              <w:t xml:space="preserve">/T </w:t>
            </w:r>
            <w:r>
              <w:rPr>
                <w:rFonts w:hAnsi="Times New Roman" w:cs="Times New Roman"/>
                <w:color w:val="auto"/>
                <w:highlight w:val="none"/>
              </w:rPr>
              <w:t>50051－20</w:t>
            </w:r>
            <w:r>
              <w:rPr>
                <w:rFonts w:hint="eastAsia" w:hAnsi="Times New Roman" w:cs="Times New Roman"/>
                <w:color w:val="auto"/>
                <w:highlight w:val="none"/>
              </w:rPr>
              <w:t>21</w:t>
            </w:r>
          </w:p>
        </w:tc>
      </w:tr>
      <w:tr w14:paraId="786F01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2846CEB7">
            <w:pPr>
              <w:shd w:val="clear"/>
              <w:spacing w:line="240" w:lineRule="auto"/>
              <w:ind w:firstLine="0" w:firstLineChars="0"/>
              <w:jc w:val="center"/>
              <w:rPr>
                <w:rFonts w:hAnsi="Times New Roman" w:cs="Times New Roman"/>
                <w:color w:val="auto"/>
                <w:highlight w:val="none"/>
              </w:rPr>
            </w:pPr>
            <w:r>
              <w:rPr>
                <w:rFonts w:hint="eastAsia" w:hAnsi="Times New Roman" w:cs="Times New Roman"/>
                <w:color w:val="auto"/>
                <w:highlight w:val="none"/>
              </w:rPr>
              <w:t>37</w:t>
            </w:r>
          </w:p>
        </w:tc>
        <w:tc>
          <w:tcPr>
            <w:tcW w:w="5580" w:type="dxa"/>
            <w:vAlign w:val="center"/>
          </w:tcPr>
          <w:p w14:paraId="57C646F8">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《地下工程防水技术规范》</w:t>
            </w:r>
          </w:p>
        </w:tc>
        <w:tc>
          <w:tcPr>
            <w:tcW w:w="2610" w:type="dxa"/>
            <w:vAlign w:val="center"/>
          </w:tcPr>
          <w:p w14:paraId="76503345">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GB</w:t>
            </w:r>
            <w:r>
              <w:rPr>
                <w:rFonts w:hint="eastAsia" w:hAnsi="Times New Roman" w:cs="Times New Roman"/>
                <w:color w:val="auto"/>
                <w:highlight w:val="none"/>
              </w:rPr>
              <w:t xml:space="preserve"> </w:t>
            </w:r>
            <w:r>
              <w:rPr>
                <w:rFonts w:hAnsi="Times New Roman" w:cs="Times New Roman"/>
                <w:color w:val="auto"/>
                <w:highlight w:val="none"/>
              </w:rPr>
              <w:t>50108－2008</w:t>
            </w:r>
          </w:p>
        </w:tc>
      </w:tr>
      <w:tr w14:paraId="7E18A9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06FCF36A">
            <w:pPr>
              <w:shd w:val="clear"/>
              <w:spacing w:line="240" w:lineRule="auto"/>
              <w:ind w:firstLine="0" w:firstLineChars="0"/>
              <w:jc w:val="center"/>
              <w:rPr>
                <w:rFonts w:hAnsi="Times New Roman" w:cs="Times New Roman"/>
                <w:color w:val="auto"/>
                <w:highlight w:val="none"/>
              </w:rPr>
            </w:pPr>
            <w:r>
              <w:rPr>
                <w:rFonts w:hint="eastAsia" w:hAnsi="Times New Roman" w:cs="Times New Roman"/>
                <w:color w:val="auto"/>
                <w:highlight w:val="none"/>
              </w:rPr>
              <w:t>38</w:t>
            </w:r>
          </w:p>
        </w:tc>
        <w:tc>
          <w:tcPr>
            <w:tcW w:w="5580" w:type="dxa"/>
            <w:vAlign w:val="center"/>
          </w:tcPr>
          <w:p w14:paraId="5BD189FD">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w:t>
            </w:r>
            <w:r>
              <w:rPr>
                <w:rFonts w:hint="eastAsia" w:hAnsi="Times New Roman" w:cs="Times New Roman"/>
                <w:color w:val="auto"/>
                <w:highlight w:val="none"/>
              </w:rPr>
              <w:t>民用建筑设计统一标准</w:t>
            </w:r>
            <w:r>
              <w:rPr>
                <w:rFonts w:hAnsi="Times New Roman" w:cs="Times New Roman"/>
                <w:color w:val="auto"/>
                <w:highlight w:val="none"/>
              </w:rPr>
              <w:t>》</w:t>
            </w:r>
          </w:p>
        </w:tc>
        <w:tc>
          <w:tcPr>
            <w:tcW w:w="2610" w:type="dxa"/>
            <w:vAlign w:val="center"/>
          </w:tcPr>
          <w:p w14:paraId="5260C6DD">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GB</w:t>
            </w:r>
            <w:r>
              <w:rPr>
                <w:rFonts w:hint="eastAsia" w:hAnsi="Times New Roman" w:cs="Times New Roman"/>
                <w:color w:val="auto"/>
                <w:highlight w:val="none"/>
              </w:rPr>
              <w:t xml:space="preserve"> </w:t>
            </w:r>
            <w:r>
              <w:rPr>
                <w:rFonts w:hAnsi="Times New Roman" w:cs="Times New Roman"/>
                <w:color w:val="auto"/>
                <w:highlight w:val="none"/>
              </w:rPr>
              <w:t>50352－20</w:t>
            </w:r>
            <w:r>
              <w:rPr>
                <w:rFonts w:hint="eastAsia" w:hAnsi="Times New Roman" w:cs="Times New Roman"/>
                <w:color w:val="auto"/>
                <w:highlight w:val="none"/>
              </w:rPr>
              <w:t>19</w:t>
            </w:r>
          </w:p>
        </w:tc>
      </w:tr>
      <w:tr w14:paraId="4EC505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2F4C9AE7">
            <w:pPr>
              <w:shd w:val="clear"/>
              <w:spacing w:line="240" w:lineRule="auto"/>
              <w:ind w:firstLine="0" w:firstLineChars="0"/>
              <w:jc w:val="center"/>
              <w:rPr>
                <w:rFonts w:hAnsi="Times New Roman" w:cs="Times New Roman"/>
                <w:color w:val="auto"/>
                <w:highlight w:val="none"/>
              </w:rPr>
            </w:pPr>
            <w:r>
              <w:rPr>
                <w:rFonts w:hint="eastAsia" w:hAnsi="Times New Roman" w:cs="Times New Roman"/>
                <w:color w:val="auto"/>
                <w:highlight w:val="none"/>
              </w:rPr>
              <w:t>39</w:t>
            </w:r>
          </w:p>
        </w:tc>
        <w:tc>
          <w:tcPr>
            <w:tcW w:w="5580" w:type="dxa"/>
            <w:vAlign w:val="center"/>
          </w:tcPr>
          <w:p w14:paraId="3A76E505">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《建筑抗震设计</w:t>
            </w:r>
            <w:r>
              <w:rPr>
                <w:rFonts w:hint="eastAsia" w:hAnsi="Times New Roman" w:cs="Times New Roman"/>
                <w:color w:val="auto"/>
                <w:highlight w:val="none"/>
              </w:rPr>
              <w:t>标准</w:t>
            </w:r>
            <w:r>
              <w:rPr>
                <w:rFonts w:hAnsi="Times New Roman" w:cs="Times New Roman"/>
                <w:color w:val="auto"/>
                <w:highlight w:val="none"/>
              </w:rPr>
              <w:t>》</w:t>
            </w:r>
            <w:r>
              <w:rPr>
                <w:rFonts w:hint="eastAsia" w:hAnsi="Times New Roman" w:cs="Times New Roman"/>
                <w:color w:val="auto"/>
                <w:highlight w:val="none"/>
              </w:rPr>
              <w:t>（2024版）</w:t>
            </w:r>
          </w:p>
        </w:tc>
        <w:tc>
          <w:tcPr>
            <w:tcW w:w="2610" w:type="dxa"/>
            <w:vAlign w:val="center"/>
          </w:tcPr>
          <w:p w14:paraId="312304C3">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GB/T</w:t>
            </w:r>
            <w:r>
              <w:rPr>
                <w:rFonts w:hint="eastAsia" w:hAnsi="Times New Roman" w:cs="Times New Roman"/>
                <w:color w:val="auto"/>
                <w:highlight w:val="none"/>
              </w:rPr>
              <w:t xml:space="preserve"> </w:t>
            </w:r>
            <w:r>
              <w:rPr>
                <w:rFonts w:hAnsi="Times New Roman" w:cs="Times New Roman"/>
                <w:color w:val="auto"/>
                <w:highlight w:val="none"/>
              </w:rPr>
              <w:t>50011－20</w:t>
            </w:r>
            <w:r>
              <w:rPr>
                <w:rFonts w:hint="eastAsia" w:hAnsi="Times New Roman" w:cs="Times New Roman"/>
                <w:color w:val="auto"/>
                <w:highlight w:val="none"/>
              </w:rPr>
              <w:t>10</w:t>
            </w:r>
          </w:p>
        </w:tc>
      </w:tr>
      <w:tr w14:paraId="5CFBEA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369F12EF">
            <w:pPr>
              <w:shd w:val="clear"/>
              <w:spacing w:line="240" w:lineRule="auto"/>
              <w:ind w:firstLine="0" w:firstLineChars="0"/>
              <w:jc w:val="center"/>
              <w:rPr>
                <w:rFonts w:hAnsi="Times New Roman" w:cs="Times New Roman"/>
                <w:color w:val="auto"/>
                <w:highlight w:val="none"/>
              </w:rPr>
            </w:pPr>
            <w:r>
              <w:rPr>
                <w:rFonts w:hint="eastAsia" w:hAnsi="Times New Roman" w:cs="Times New Roman"/>
                <w:color w:val="auto"/>
                <w:highlight w:val="none"/>
              </w:rPr>
              <w:t>40</w:t>
            </w:r>
          </w:p>
        </w:tc>
        <w:tc>
          <w:tcPr>
            <w:tcW w:w="5580" w:type="dxa"/>
            <w:vAlign w:val="center"/>
          </w:tcPr>
          <w:p w14:paraId="64A08207">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《建筑工程抗震设防</w:t>
            </w:r>
            <w:r>
              <w:rPr>
                <w:rFonts w:hint="eastAsia" w:hAnsi="Times New Roman" w:cs="Times New Roman"/>
                <w:color w:val="auto"/>
                <w:highlight w:val="none"/>
              </w:rPr>
              <w:t>分类</w:t>
            </w:r>
            <w:r>
              <w:rPr>
                <w:rFonts w:hAnsi="Times New Roman" w:cs="Times New Roman"/>
                <w:color w:val="auto"/>
                <w:highlight w:val="none"/>
              </w:rPr>
              <w:t>标准》</w:t>
            </w:r>
          </w:p>
        </w:tc>
        <w:tc>
          <w:tcPr>
            <w:tcW w:w="2610" w:type="dxa"/>
            <w:vAlign w:val="center"/>
          </w:tcPr>
          <w:p w14:paraId="1D44879E">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GB</w:t>
            </w:r>
            <w:r>
              <w:rPr>
                <w:rFonts w:hint="eastAsia" w:hAnsi="Times New Roman" w:cs="Times New Roman"/>
                <w:color w:val="auto"/>
                <w:highlight w:val="none"/>
              </w:rPr>
              <w:t xml:space="preserve"> </w:t>
            </w:r>
            <w:r>
              <w:rPr>
                <w:rFonts w:hAnsi="Times New Roman" w:cs="Times New Roman"/>
                <w:color w:val="auto"/>
                <w:highlight w:val="none"/>
              </w:rPr>
              <w:t>50223－2008</w:t>
            </w:r>
          </w:p>
        </w:tc>
      </w:tr>
      <w:tr w14:paraId="7B6E96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0A53F61B">
            <w:pPr>
              <w:shd w:val="clear"/>
              <w:spacing w:line="240" w:lineRule="auto"/>
              <w:ind w:firstLine="0" w:firstLineChars="0"/>
              <w:jc w:val="center"/>
              <w:rPr>
                <w:rFonts w:hAnsi="Times New Roman" w:cs="Times New Roman"/>
                <w:color w:val="auto"/>
                <w:highlight w:val="none"/>
              </w:rPr>
            </w:pPr>
            <w:r>
              <w:rPr>
                <w:rFonts w:hint="eastAsia" w:hAnsi="Times New Roman" w:cs="Times New Roman"/>
                <w:color w:val="auto"/>
                <w:highlight w:val="none"/>
              </w:rPr>
              <w:t>41</w:t>
            </w:r>
          </w:p>
        </w:tc>
        <w:tc>
          <w:tcPr>
            <w:tcW w:w="5580" w:type="dxa"/>
            <w:vAlign w:val="center"/>
          </w:tcPr>
          <w:p w14:paraId="08360BB0">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《钢铁冶金企业设计防火</w:t>
            </w:r>
            <w:r>
              <w:rPr>
                <w:rFonts w:hint="eastAsia" w:hAnsi="Times New Roman" w:cs="Times New Roman"/>
                <w:color w:val="auto"/>
                <w:highlight w:val="none"/>
              </w:rPr>
              <w:t>标准</w:t>
            </w:r>
            <w:r>
              <w:rPr>
                <w:rFonts w:hAnsi="Times New Roman" w:cs="Times New Roman"/>
                <w:color w:val="auto"/>
                <w:highlight w:val="none"/>
              </w:rPr>
              <w:t>》</w:t>
            </w:r>
          </w:p>
        </w:tc>
        <w:tc>
          <w:tcPr>
            <w:tcW w:w="2610" w:type="dxa"/>
            <w:vAlign w:val="center"/>
          </w:tcPr>
          <w:p w14:paraId="454A447C">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GB</w:t>
            </w:r>
            <w:r>
              <w:rPr>
                <w:rFonts w:hint="eastAsia" w:hAnsi="Times New Roman" w:cs="Times New Roman"/>
                <w:color w:val="auto"/>
                <w:highlight w:val="none"/>
              </w:rPr>
              <w:t xml:space="preserve"> </w:t>
            </w:r>
            <w:r>
              <w:rPr>
                <w:rFonts w:hAnsi="Times New Roman" w:cs="Times New Roman"/>
                <w:color w:val="auto"/>
                <w:highlight w:val="none"/>
              </w:rPr>
              <w:t>50414-</w:t>
            </w:r>
            <w:r>
              <w:rPr>
                <w:rFonts w:hint="eastAsia" w:hAnsi="Times New Roman" w:cs="Times New Roman"/>
                <w:color w:val="auto"/>
                <w:highlight w:val="none"/>
              </w:rPr>
              <w:t>2018</w:t>
            </w:r>
          </w:p>
        </w:tc>
      </w:tr>
      <w:tr w14:paraId="763FB6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4AA44129">
            <w:pPr>
              <w:shd w:val="clear"/>
              <w:spacing w:line="240" w:lineRule="auto"/>
              <w:ind w:firstLine="0" w:firstLineChars="0"/>
              <w:jc w:val="center"/>
              <w:rPr>
                <w:rFonts w:hAnsi="Times New Roman" w:cs="Times New Roman"/>
                <w:color w:val="auto"/>
                <w:highlight w:val="none"/>
              </w:rPr>
            </w:pPr>
            <w:r>
              <w:rPr>
                <w:rFonts w:hint="eastAsia" w:hAnsi="Times New Roman" w:cs="Times New Roman"/>
                <w:color w:val="auto"/>
                <w:highlight w:val="none"/>
              </w:rPr>
              <w:t>42</w:t>
            </w:r>
          </w:p>
        </w:tc>
        <w:tc>
          <w:tcPr>
            <w:tcW w:w="5580" w:type="dxa"/>
            <w:vAlign w:val="center"/>
          </w:tcPr>
          <w:p w14:paraId="35F894FD">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《动</w:t>
            </w:r>
            <w:r>
              <w:rPr>
                <w:rFonts w:hAnsi="Times New Roman" w:cs="Times New Roman"/>
                <w:color w:val="auto"/>
                <w:highlight w:val="none"/>
              </w:rPr>
              <w:t>力机器基础设计</w:t>
            </w:r>
            <w:r>
              <w:rPr>
                <w:rFonts w:hint="eastAsia" w:hAnsi="Times New Roman" w:cs="Times New Roman"/>
                <w:color w:val="auto"/>
                <w:highlight w:val="none"/>
              </w:rPr>
              <w:t>标准》</w:t>
            </w:r>
          </w:p>
        </w:tc>
        <w:tc>
          <w:tcPr>
            <w:tcW w:w="2610" w:type="dxa"/>
            <w:vAlign w:val="center"/>
          </w:tcPr>
          <w:p w14:paraId="68E8310A">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GB</w:t>
            </w:r>
            <w:r>
              <w:rPr>
                <w:rFonts w:hint="eastAsia" w:hAnsi="Times New Roman" w:cs="Times New Roman"/>
                <w:color w:val="auto"/>
                <w:highlight w:val="none"/>
              </w:rPr>
              <w:t xml:space="preserve"> </w:t>
            </w:r>
            <w:r>
              <w:rPr>
                <w:rFonts w:hAnsi="Times New Roman" w:cs="Times New Roman"/>
                <w:color w:val="auto"/>
                <w:highlight w:val="none"/>
              </w:rPr>
              <w:t>50040-</w:t>
            </w:r>
            <w:r>
              <w:rPr>
                <w:rFonts w:hint="eastAsia" w:hAnsi="Times New Roman" w:cs="Times New Roman"/>
                <w:color w:val="auto"/>
                <w:highlight w:val="none"/>
              </w:rPr>
              <w:t>2020</w:t>
            </w:r>
          </w:p>
        </w:tc>
      </w:tr>
      <w:tr w14:paraId="258AA7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0096AC65">
            <w:pPr>
              <w:shd w:val="clear"/>
              <w:spacing w:line="240" w:lineRule="auto"/>
              <w:ind w:firstLine="0" w:firstLineChars="0"/>
              <w:jc w:val="center"/>
              <w:rPr>
                <w:rFonts w:hAnsi="Times New Roman" w:cs="Times New Roman"/>
                <w:color w:val="auto"/>
                <w:highlight w:val="none"/>
              </w:rPr>
            </w:pPr>
            <w:r>
              <w:rPr>
                <w:rFonts w:hint="eastAsia" w:hAnsi="Times New Roman" w:cs="Times New Roman"/>
                <w:color w:val="auto"/>
                <w:highlight w:val="none"/>
              </w:rPr>
              <w:t>43</w:t>
            </w:r>
          </w:p>
        </w:tc>
        <w:tc>
          <w:tcPr>
            <w:tcW w:w="5580" w:type="dxa"/>
            <w:vAlign w:val="center"/>
          </w:tcPr>
          <w:p w14:paraId="2A0D6175">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《炼铁工艺炉壳体结构技术标准》</w:t>
            </w:r>
          </w:p>
        </w:tc>
        <w:tc>
          <w:tcPr>
            <w:tcW w:w="2610" w:type="dxa"/>
            <w:vAlign w:val="center"/>
          </w:tcPr>
          <w:p w14:paraId="3CD6880C">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GB/T 50567-2022</w:t>
            </w:r>
          </w:p>
        </w:tc>
      </w:tr>
      <w:tr w14:paraId="696418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763710B5">
            <w:pPr>
              <w:shd w:val="clear"/>
              <w:spacing w:line="240" w:lineRule="auto"/>
              <w:ind w:firstLine="0" w:firstLineChars="0"/>
              <w:jc w:val="center"/>
              <w:rPr>
                <w:rFonts w:hAnsi="Times New Roman" w:cs="Times New Roman"/>
                <w:color w:val="auto"/>
                <w:highlight w:val="none"/>
              </w:rPr>
            </w:pPr>
            <w:r>
              <w:rPr>
                <w:rFonts w:hint="eastAsia" w:hAnsi="Times New Roman" w:cs="Times New Roman"/>
                <w:color w:val="auto"/>
                <w:highlight w:val="none"/>
              </w:rPr>
              <w:t>44</w:t>
            </w:r>
          </w:p>
        </w:tc>
        <w:tc>
          <w:tcPr>
            <w:tcW w:w="5580" w:type="dxa"/>
            <w:vAlign w:val="center"/>
          </w:tcPr>
          <w:p w14:paraId="64EAF60A">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《钢铁企业热力设施设计规范》</w:t>
            </w:r>
          </w:p>
        </w:tc>
        <w:tc>
          <w:tcPr>
            <w:tcW w:w="2610" w:type="dxa"/>
            <w:vAlign w:val="center"/>
          </w:tcPr>
          <w:p w14:paraId="25576711">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GB 50569-2010</w:t>
            </w:r>
          </w:p>
        </w:tc>
      </w:tr>
      <w:tr w14:paraId="6554F3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59AAED20">
            <w:pPr>
              <w:shd w:val="clear"/>
              <w:spacing w:line="240" w:lineRule="auto"/>
              <w:ind w:firstLine="0" w:firstLineChars="0"/>
              <w:jc w:val="center"/>
              <w:rPr>
                <w:rFonts w:hAnsi="Times New Roman" w:cs="Times New Roman"/>
                <w:color w:val="auto"/>
                <w:highlight w:val="none"/>
              </w:rPr>
            </w:pPr>
            <w:r>
              <w:rPr>
                <w:rFonts w:hint="eastAsia" w:hAnsi="Times New Roman" w:cs="Times New Roman"/>
                <w:color w:val="auto"/>
                <w:highlight w:val="none"/>
              </w:rPr>
              <w:t>45</w:t>
            </w:r>
          </w:p>
        </w:tc>
        <w:tc>
          <w:tcPr>
            <w:tcW w:w="5580" w:type="dxa"/>
            <w:vAlign w:val="center"/>
          </w:tcPr>
          <w:p w14:paraId="3BF04017">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《混凝土结构耐久性设计标准》</w:t>
            </w:r>
          </w:p>
        </w:tc>
        <w:tc>
          <w:tcPr>
            <w:tcW w:w="2610" w:type="dxa"/>
            <w:vAlign w:val="center"/>
          </w:tcPr>
          <w:p w14:paraId="3026F58F">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GB/T 50476-2019</w:t>
            </w:r>
          </w:p>
        </w:tc>
      </w:tr>
      <w:tr w14:paraId="1B8EDD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5AF32274">
            <w:pPr>
              <w:shd w:val="clear"/>
              <w:spacing w:line="240" w:lineRule="auto"/>
              <w:ind w:firstLine="0" w:firstLineChars="0"/>
              <w:jc w:val="center"/>
              <w:rPr>
                <w:rFonts w:hAnsi="Times New Roman" w:cs="Times New Roman"/>
                <w:color w:val="auto"/>
                <w:highlight w:val="none"/>
              </w:rPr>
            </w:pPr>
            <w:r>
              <w:rPr>
                <w:rFonts w:hint="eastAsia" w:hAnsi="Times New Roman" w:cs="Times New Roman"/>
                <w:color w:val="auto"/>
                <w:highlight w:val="none"/>
              </w:rPr>
              <w:t>46</w:t>
            </w:r>
          </w:p>
        </w:tc>
        <w:tc>
          <w:tcPr>
            <w:tcW w:w="5580" w:type="dxa"/>
            <w:vAlign w:val="center"/>
          </w:tcPr>
          <w:p w14:paraId="5437E4C3">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《钢铁企业管道支架设计规范》</w:t>
            </w:r>
          </w:p>
        </w:tc>
        <w:tc>
          <w:tcPr>
            <w:tcW w:w="2610" w:type="dxa"/>
            <w:vAlign w:val="center"/>
          </w:tcPr>
          <w:p w14:paraId="65061A11">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GB 50709-2011</w:t>
            </w:r>
          </w:p>
        </w:tc>
      </w:tr>
      <w:tr w14:paraId="29E2F1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2209D75D">
            <w:pPr>
              <w:shd w:val="clear"/>
              <w:spacing w:line="240" w:lineRule="auto"/>
              <w:ind w:firstLine="0" w:firstLineChars="0"/>
              <w:jc w:val="center"/>
              <w:rPr>
                <w:rFonts w:hAnsi="Times New Roman" w:cs="Times New Roman"/>
                <w:color w:val="auto"/>
                <w:highlight w:val="none"/>
              </w:rPr>
            </w:pPr>
            <w:r>
              <w:rPr>
                <w:rFonts w:hint="eastAsia" w:hAnsi="Times New Roman" w:cs="Times New Roman"/>
                <w:color w:val="auto"/>
                <w:highlight w:val="none"/>
              </w:rPr>
              <w:t>47</w:t>
            </w:r>
          </w:p>
        </w:tc>
        <w:tc>
          <w:tcPr>
            <w:tcW w:w="5580" w:type="dxa"/>
            <w:vAlign w:val="center"/>
          </w:tcPr>
          <w:p w14:paraId="0E237A5E">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《钢铁企业冶金设备基础设计规范》</w:t>
            </w:r>
          </w:p>
        </w:tc>
        <w:tc>
          <w:tcPr>
            <w:tcW w:w="2610" w:type="dxa"/>
            <w:vAlign w:val="center"/>
          </w:tcPr>
          <w:p w14:paraId="41C9D175">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GB 50696-2011</w:t>
            </w:r>
          </w:p>
        </w:tc>
      </w:tr>
      <w:tr w14:paraId="5CBC41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10D1F753">
            <w:pPr>
              <w:shd w:val="clear"/>
              <w:spacing w:line="240" w:lineRule="auto"/>
              <w:ind w:firstLine="0" w:firstLineChars="0"/>
              <w:jc w:val="center"/>
              <w:rPr>
                <w:rFonts w:hAnsi="Times New Roman" w:cs="Times New Roman"/>
                <w:color w:val="auto"/>
                <w:highlight w:val="none"/>
              </w:rPr>
            </w:pPr>
            <w:r>
              <w:rPr>
                <w:rFonts w:hint="eastAsia" w:hAnsi="Times New Roman" w:cs="Times New Roman"/>
                <w:color w:val="auto"/>
                <w:highlight w:val="none"/>
              </w:rPr>
              <w:t>48</w:t>
            </w:r>
          </w:p>
        </w:tc>
        <w:tc>
          <w:tcPr>
            <w:tcW w:w="5580" w:type="dxa"/>
            <w:vAlign w:val="center"/>
          </w:tcPr>
          <w:p w14:paraId="0DA9C41D">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《门式刚架轻型房屋钢结构技术规</w:t>
            </w:r>
            <w:r>
              <w:rPr>
                <w:rFonts w:hint="eastAsia" w:hAnsi="Times New Roman" w:cs="Times New Roman"/>
                <w:color w:val="auto"/>
                <w:highlight w:val="none"/>
              </w:rPr>
              <w:t>范</w:t>
            </w:r>
            <w:r>
              <w:rPr>
                <w:rFonts w:hAnsi="Times New Roman" w:cs="Times New Roman"/>
                <w:color w:val="auto"/>
                <w:highlight w:val="none"/>
              </w:rPr>
              <w:t>》</w:t>
            </w:r>
          </w:p>
        </w:tc>
        <w:tc>
          <w:tcPr>
            <w:tcW w:w="2610" w:type="dxa"/>
            <w:vAlign w:val="center"/>
          </w:tcPr>
          <w:p w14:paraId="4853736B">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GB 51022-2015</w:t>
            </w:r>
          </w:p>
        </w:tc>
      </w:tr>
    </w:tbl>
    <w:p w14:paraId="5CBD4F60">
      <w:pPr>
        <w:shd w:val="clear"/>
        <w:spacing w:line="312" w:lineRule="auto"/>
        <w:ind w:firstLine="0" w:firstLineChars="0"/>
        <w:jc w:val="both"/>
        <w:rPr>
          <w:rFonts w:hAnsi="Times New Roman" w:cs="Times New Roman"/>
          <w:color w:val="auto"/>
          <w:highlight w:val="none"/>
        </w:rPr>
      </w:pPr>
      <w:r>
        <w:rPr>
          <w:rFonts w:hint="eastAsia" w:hAnsi="Times New Roman" w:cs="Times New Roman"/>
          <w:color w:val="auto"/>
          <w:highlight w:val="none"/>
        </w:rPr>
        <w:t>（2）行业设计规范、规程和规定</w:t>
      </w:r>
    </w:p>
    <w:tbl>
      <w:tblPr>
        <w:tblStyle w:val="6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8"/>
        <w:gridCol w:w="5657"/>
        <w:gridCol w:w="2533"/>
      </w:tblGrid>
      <w:tr w14:paraId="2ACDD7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blHeader/>
          <w:jc w:val="center"/>
        </w:trPr>
        <w:tc>
          <w:tcPr>
            <w:tcW w:w="928" w:type="dxa"/>
            <w:vAlign w:val="center"/>
          </w:tcPr>
          <w:p w14:paraId="342CFE32">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序号</w:t>
            </w:r>
          </w:p>
        </w:tc>
        <w:tc>
          <w:tcPr>
            <w:tcW w:w="5657" w:type="dxa"/>
            <w:vAlign w:val="center"/>
          </w:tcPr>
          <w:p w14:paraId="2F46610B">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名称</w:t>
            </w:r>
          </w:p>
        </w:tc>
        <w:tc>
          <w:tcPr>
            <w:tcW w:w="2533" w:type="dxa"/>
            <w:vAlign w:val="center"/>
          </w:tcPr>
          <w:p w14:paraId="40CD4212">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编号</w:t>
            </w:r>
          </w:p>
        </w:tc>
      </w:tr>
      <w:tr w14:paraId="76A2D4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2D35C8A3">
            <w:pPr>
              <w:shd w:val="clear"/>
              <w:spacing w:line="240" w:lineRule="auto"/>
              <w:ind w:firstLine="0" w:firstLineChars="0"/>
              <w:jc w:val="center"/>
              <w:rPr>
                <w:rFonts w:hAnsi="Times New Roman" w:cs="Times New Roman"/>
                <w:color w:val="auto"/>
                <w:highlight w:val="none"/>
              </w:rPr>
            </w:pPr>
            <w:r>
              <w:rPr>
                <w:rFonts w:hAnsi="Times New Roman" w:cs="Times New Roman"/>
                <w:color w:val="auto"/>
                <w:highlight w:val="none"/>
              </w:rPr>
              <w:t>1</w:t>
            </w:r>
          </w:p>
        </w:tc>
        <w:tc>
          <w:tcPr>
            <w:tcW w:w="5657" w:type="dxa"/>
            <w:vAlign w:val="center"/>
          </w:tcPr>
          <w:p w14:paraId="581DFDD2">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w:t>
            </w:r>
            <w:r>
              <w:rPr>
                <w:rFonts w:hint="eastAsia" w:hAnsi="Times New Roman" w:cs="Times New Roman"/>
                <w:color w:val="auto"/>
                <w:highlight w:val="none"/>
              </w:rPr>
              <w:t>钢结构焊接规范</w:t>
            </w:r>
            <w:r>
              <w:rPr>
                <w:rFonts w:hAnsi="Times New Roman" w:cs="Times New Roman"/>
                <w:color w:val="auto"/>
                <w:highlight w:val="none"/>
              </w:rPr>
              <w:t>》</w:t>
            </w:r>
          </w:p>
        </w:tc>
        <w:tc>
          <w:tcPr>
            <w:tcW w:w="2533" w:type="dxa"/>
            <w:vAlign w:val="center"/>
          </w:tcPr>
          <w:p w14:paraId="0A5C9DF4">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GB 50661</w:t>
            </w:r>
            <w:r>
              <w:rPr>
                <w:rFonts w:hAnsi="Times New Roman" w:cs="Times New Roman"/>
                <w:color w:val="auto"/>
                <w:highlight w:val="none"/>
              </w:rPr>
              <w:t>－20</w:t>
            </w:r>
            <w:r>
              <w:rPr>
                <w:rFonts w:hint="eastAsia" w:hAnsi="Times New Roman" w:cs="Times New Roman"/>
                <w:color w:val="auto"/>
                <w:highlight w:val="none"/>
              </w:rPr>
              <w:t>11</w:t>
            </w:r>
          </w:p>
        </w:tc>
      </w:tr>
      <w:tr w14:paraId="74BFBE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4EDA8057">
            <w:pPr>
              <w:shd w:val="clear"/>
              <w:spacing w:line="240" w:lineRule="auto"/>
              <w:ind w:firstLine="0" w:firstLineChars="0"/>
              <w:jc w:val="center"/>
              <w:rPr>
                <w:rFonts w:hAnsi="Times New Roman" w:cs="Times New Roman"/>
                <w:color w:val="auto"/>
                <w:highlight w:val="none"/>
              </w:rPr>
            </w:pPr>
            <w:r>
              <w:rPr>
                <w:rFonts w:hAnsi="Times New Roman" w:cs="Times New Roman"/>
                <w:color w:val="auto"/>
                <w:highlight w:val="none"/>
              </w:rPr>
              <w:t>2</w:t>
            </w:r>
          </w:p>
        </w:tc>
        <w:tc>
          <w:tcPr>
            <w:tcW w:w="5657" w:type="dxa"/>
            <w:vAlign w:val="center"/>
          </w:tcPr>
          <w:p w14:paraId="05936E92">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《钢结构高强度螺栓连接</w:t>
            </w:r>
            <w:r>
              <w:rPr>
                <w:rFonts w:hint="eastAsia" w:hAnsi="Times New Roman" w:cs="Times New Roman"/>
                <w:color w:val="auto"/>
                <w:highlight w:val="none"/>
              </w:rPr>
              <w:t>技术</w:t>
            </w:r>
            <w:r>
              <w:rPr>
                <w:rFonts w:hAnsi="Times New Roman" w:cs="Times New Roman"/>
                <w:color w:val="auto"/>
                <w:highlight w:val="none"/>
              </w:rPr>
              <w:t>规程》</w:t>
            </w:r>
          </w:p>
        </w:tc>
        <w:tc>
          <w:tcPr>
            <w:tcW w:w="2533" w:type="dxa"/>
            <w:vAlign w:val="center"/>
          </w:tcPr>
          <w:p w14:paraId="54979EAA">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JGJ</w:t>
            </w:r>
            <w:r>
              <w:rPr>
                <w:rFonts w:hint="eastAsia" w:hAnsi="Times New Roman" w:cs="Times New Roman"/>
                <w:color w:val="auto"/>
                <w:highlight w:val="none"/>
              </w:rPr>
              <w:t xml:space="preserve"> </w:t>
            </w:r>
            <w:r>
              <w:rPr>
                <w:rFonts w:hAnsi="Times New Roman" w:cs="Times New Roman"/>
                <w:color w:val="auto"/>
                <w:highlight w:val="none"/>
              </w:rPr>
              <w:t>82－</w:t>
            </w:r>
            <w:r>
              <w:rPr>
                <w:rFonts w:hint="eastAsia" w:hAnsi="Times New Roman" w:cs="Times New Roman"/>
                <w:color w:val="auto"/>
                <w:highlight w:val="none"/>
              </w:rPr>
              <w:t>2011</w:t>
            </w:r>
          </w:p>
        </w:tc>
      </w:tr>
      <w:tr w14:paraId="48426F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68A9D018">
            <w:pPr>
              <w:shd w:val="clear"/>
              <w:spacing w:line="240" w:lineRule="auto"/>
              <w:ind w:firstLine="0" w:firstLineChars="0"/>
              <w:jc w:val="center"/>
              <w:rPr>
                <w:rFonts w:hAnsi="Times New Roman" w:cs="Times New Roman"/>
                <w:color w:val="auto"/>
                <w:highlight w:val="none"/>
              </w:rPr>
            </w:pPr>
            <w:r>
              <w:rPr>
                <w:rFonts w:hAnsi="Times New Roman" w:cs="Times New Roman"/>
                <w:color w:val="auto"/>
                <w:highlight w:val="none"/>
              </w:rPr>
              <w:t>3</w:t>
            </w:r>
          </w:p>
        </w:tc>
        <w:tc>
          <w:tcPr>
            <w:tcW w:w="5657" w:type="dxa"/>
            <w:vAlign w:val="center"/>
          </w:tcPr>
          <w:p w14:paraId="1982D837">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w:t>
            </w:r>
            <w:r>
              <w:rPr>
                <w:rFonts w:hint="eastAsia" w:hAnsi="Times New Roman" w:cs="Times New Roman"/>
                <w:color w:val="auto"/>
                <w:highlight w:val="none"/>
              </w:rPr>
              <w:t>钢结构防火涂料</w:t>
            </w:r>
            <w:r>
              <w:rPr>
                <w:rFonts w:hAnsi="Times New Roman" w:cs="Times New Roman"/>
                <w:color w:val="auto"/>
                <w:highlight w:val="none"/>
              </w:rPr>
              <w:t>》</w:t>
            </w:r>
          </w:p>
        </w:tc>
        <w:tc>
          <w:tcPr>
            <w:tcW w:w="2533" w:type="dxa"/>
            <w:vAlign w:val="center"/>
          </w:tcPr>
          <w:p w14:paraId="62A4CCF1">
            <w:pPr>
              <w:shd w:val="clear"/>
              <w:spacing w:line="240" w:lineRule="auto"/>
              <w:ind w:firstLine="0" w:firstLineChars="0"/>
              <w:jc w:val="both"/>
              <w:rPr>
                <w:rFonts w:hAnsi="Times New Roman" w:cs="Times New Roman"/>
                <w:color w:val="auto"/>
                <w:highlight w:val="none"/>
              </w:rPr>
            </w:pPr>
            <w:r>
              <w:rPr>
                <w:rFonts w:hint="eastAsia" w:hAnsi="Times New Roman" w:cs="Times New Roman"/>
                <w:color w:val="auto"/>
                <w:highlight w:val="none"/>
              </w:rPr>
              <w:t>GB 14907-2018</w:t>
            </w:r>
          </w:p>
        </w:tc>
      </w:tr>
      <w:tr w14:paraId="5D5F0A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4A90289B">
            <w:pPr>
              <w:shd w:val="clear"/>
              <w:spacing w:line="240" w:lineRule="auto"/>
              <w:ind w:firstLine="0" w:firstLineChars="0"/>
              <w:jc w:val="center"/>
              <w:rPr>
                <w:rFonts w:hAnsi="Times New Roman" w:cs="Times New Roman"/>
                <w:color w:val="auto"/>
                <w:highlight w:val="none"/>
              </w:rPr>
            </w:pPr>
            <w:r>
              <w:rPr>
                <w:rFonts w:hAnsi="Times New Roman" w:cs="Times New Roman"/>
                <w:color w:val="auto"/>
                <w:highlight w:val="none"/>
              </w:rPr>
              <w:t>4</w:t>
            </w:r>
          </w:p>
        </w:tc>
        <w:tc>
          <w:tcPr>
            <w:tcW w:w="5657" w:type="dxa"/>
            <w:vAlign w:val="center"/>
          </w:tcPr>
          <w:p w14:paraId="2F5052F2">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《建筑钢结构防火技术规范》</w:t>
            </w:r>
          </w:p>
        </w:tc>
        <w:tc>
          <w:tcPr>
            <w:tcW w:w="2533" w:type="dxa"/>
            <w:vAlign w:val="center"/>
          </w:tcPr>
          <w:p w14:paraId="7B0FFD2A">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CECS</w:t>
            </w:r>
            <w:r>
              <w:rPr>
                <w:rFonts w:hint="eastAsia" w:hAnsi="Times New Roman" w:cs="Times New Roman"/>
                <w:color w:val="auto"/>
                <w:highlight w:val="none"/>
              </w:rPr>
              <w:t xml:space="preserve"> </w:t>
            </w:r>
            <w:r>
              <w:rPr>
                <w:rFonts w:hAnsi="Times New Roman" w:cs="Times New Roman"/>
                <w:color w:val="auto"/>
                <w:highlight w:val="none"/>
              </w:rPr>
              <w:t>200</w:t>
            </w:r>
            <w:r>
              <w:rPr>
                <w:rFonts w:hint="eastAsia" w:hAnsi="Times New Roman" w:cs="Times New Roman"/>
                <w:color w:val="auto"/>
                <w:highlight w:val="none"/>
              </w:rPr>
              <w:t>-</w:t>
            </w:r>
            <w:r>
              <w:rPr>
                <w:rFonts w:hAnsi="Times New Roman" w:cs="Times New Roman"/>
                <w:color w:val="auto"/>
                <w:highlight w:val="none"/>
              </w:rPr>
              <w:t>2006</w:t>
            </w:r>
          </w:p>
        </w:tc>
      </w:tr>
      <w:tr w14:paraId="17FCB6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 w:type="dxa"/>
            <w:vAlign w:val="center"/>
          </w:tcPr>
          <w:p w14:paraId="6437B32C">
            <w:pPr>
              <w:shd w:val="clear"/>
              <w:spacing w:line="240" w:lineRule="auto"/>
              <w:ind w:firstLine="0" w:firstLineChars="0"/>
              <w:jc w:val="center"/>
              <w:rPr>
                <w:rFonts w:hAnsi="Times New Roman" w:cs="Times New Roman"/>
                <w:color w:val="auto"/>
                <w:highlight w:val="none"/>
              </w:rPr>
            </w:pPr>
            <w:r>
              <w:rPr>
                <w:rFonts w:hAnsi="Times New Roman" w:cs="Times New Roman"/>
                <w:color w:val="auto"/>
                <w:highlight w:val="none"/>
              </w:rPr>
              <w:t>5</w:t>
            </w:r>
          </w:p>
        </w:tc>
        <w:tc>
          <w:tcPr>
            <w:tcW w:w="5657" w:type="dxa"/>
            <w:vAlign w:val="center"/>
          </w:tcPr>
          <w:p w14:paraId="222CC12B">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w:t>
            </w:r>
            <w:r>
              <w:rPr>
                <w:rFonts w:hint="eastAsia" w:hAnsi="Times New Roman" w:cs="Times New Roman"/>
                <w:color w:val="auto"/>
                <w:highlight w:val="none"/>
              </w:rPr>
              <w:t>蒸压加气混凝土制品应用技术标准</w:t>
            </w:r>
            <w:r>
              <w:rPr>
                <w:rFonts w:hAnsi="Times New Roman" w:cs="Times New Roman"/>
                <w:color w:val="auto"/>
                <w:highlight w:val="none"/>
              </w:rPr>
              <w:t>》</w:t>
            </w:r>
          </w:p>
        </w:tc>
        <w:tc>
          <w:tcPr>
            <w:tcW w:w="2533" w:type="dxa"/>
            <w:vAlign w:val="center"/>
          </w:tcPr>
          <w:p w14:paraId="207F07F1">
            <w:pPr>
              <w:shd w:val="clear"/>
              <w:spacing w:line="240" w:lineRule="auto"/>
              <w:ind w:firstLine="0" w:firstLineChars="0"/>
              <w:jc w:val="both"/>
              <w:rPr>
                <w:rFonts w:hAnsi="Times New Roman" w:cs="Times New Roman"/>
                <w:color w:val="auto"/>
                <w:highlight w:val="none"/>
              </w:rPr>
            </w:pPr>
            <w:r>
              <w:rPr>
                <w:rFonts w:hAnsi="Times New Roman" w:cs="Times New Roman"/>
                <w:color w:val="auto"/>
                <w:highlight w:val="none"/>
              </w:rPr>
              <w:t>JGJ/T</w:t>
            </w:r>
            <w:r>
              <w:rPr>
                <w:rFonts w:hint="eastAsia" w:hAnsi="Times New Roman" w:cs="Times New Roman"/>
                <w:color w:val="auto"/>
                <w:highlight w:val="none"/>
              </w:rPr>
              <w:t xml:space="preserve"> </w:t>
            </w:r>
            <w:r>
              <w:rPr>
                <w:rFonts w:hAnsi="Times New Roman" w:cs="Times New Roman"/>
                <w:color w:val="auto"/>
                <w:highlight w:val="none"/>
              </w:rPr>
              <w:t>17-20</w:t>
            </w:r>
            <w:r>
              <w:rPr>
                <w:rFonts w:hint="eastAsia" w:hAnsi="Times New Roman" w:cs="Times New Roman"/>
                <w:color w:val="auto"/>
                <w:highlight w:val="none"/>
              </w:rPr>
              <w:t>20</w:t>
            </w:r>
          </w:p>
        </w:tc>
      </w:tr>
      <w:bookmarkEnd w:id="1042"/>
    </w:tbl>
    <w:p w14:paraId="5DE46439">
      <w:pPr>
        <w:shd w:val="clear"/>
        <w:jc w:val="both"/>
        <w:rPr>
          <w:rFonts w:hAnsi="Times New Roman" w:cs="Times New Roman"/>
          <w:color w:val="auto"/>
          <w:highlight w:val="none"/>
        </w:rPr>
      </w:pPr>
      <w:bookmarkStart w:id="1043" w:name="_Toc22520_WPSOffice_Level2"/>
      <w:r>
        <w:rPr>
          <w:rFonts w:hint="eastAsia" w:hAnsi="Times New Roman" w:cs="Times New Roman"/>
          <w:color w:val="auto"/>
          <w:highlight w:val="none"/>
        </w:rPr>
        <w:t>（3）业主、炼铁工艺及其它专业所提供的设计条件、资料图。</w:t>
      </w:r>
      <w:bookmarkEnd w:id="1043"/>
    </w:p>
    <w:p w14:paraId="49EAFF1E">
      <w:pPr>
        <w:shd w:val="clear"/>
        <w:ind w:firstLine="0" w:firstLineChars="0"/>
        <w:outlineLvl w:val="1"/>
        <w:rPr>
          <w:rFonts w:cs="Times New Roman"/>
          <w:b/>
          <w:color w:val="auto"/>
          <w:sz w:val="28"/>
          <w:szCs w:val="28"/>
          <w:highlight w:val="none"/>
        </w:rPr>
      </w:pPr>
      <w:bookmarkStart w:id="1044" w:name="_Toc31917"/>
      <w:bookmarkStart w:id="1045" w:name="_Toc23583"/>
      <w:bookmarkStart w:id="1046" w:name="_Toc5631"/>
      <w:bookmarkStart w:id="1047" w:name="_Toc31166"/>
      <w:bookmarkStart w:id="1048" w:name="_Toc19166"/>
      <w:bookmarkStart w:id="1049" w:name="_Toc12587"/>
      <w:bookmarkStart w:id="1050" w:name="_Toc13019"/>
      <w:bookmarkStart w:id="1051" w:name="_Toc18829"/>
      <w:bookmarkStart w:id="1052" w:name="_Toc5335"/>
      <w:bookmarkStart w:id="1053" w:name="_Toc12425"/>
      <w:bookmarkStart w:id="1054" w:name="_Toc7751"/>
      <w:bookmarkStart w:id="1055" w:name="_Toc25279"/>
      <w:bookmarkStart w:id="1056" w:name="_Toc21042"/>
      <w:bookmarkStart w:id="1057" w:name="_Toc9845"/>
      <w:bookmarkStart w:id="1058" w:name="_Toc30634"/>
      <w:bookmarkStart w:id="1059" w:name="_Toc30566"/>
      <w:bookmarkStart w:id="1060" w:name="_Toc25154"/>
      <w:bookmarkStart w:id="1061" w:name="_Toc7997"/>
      <w:bookmarkStart w:id="1062" w:name="_Toc18107"/>
      <w:bookmarkStart w:id="1063" w:name="_Toc24377"/>
      <w:bookmarkStart w:id="1064" w:name="_Toc16242"/>
      <w:bookmarkStart w:id="1065" w:name="_Toc32554"/>
      <w:bookmarkStart w:id="1066" w:name="_Toc11621"/>
      <w:bookmarkStart w:id="1067" w:name="_Toc11423"/>
      <w:bookmarkStart w:id="1068" w:name="_Toc32037"/>
      <w:bookmarkStart w:id="1069" w:name="_Toc31768"/>
      <w:bookmarkStart w:id="1070" w:name="_Toc28869"/>
      <w:bookmarkStart w:id="1071" w:name="_Toc21940"/>
      <w:bookmarkStart w:id="1072" w:name="_Toc3672"/>
      <w:bookmarkStart w:id="1073" w:name="_Toc26269"/>
      <w:bookmarkStart w:id="1074" w:name="_Toc5332_WPSOffice_Level1"/>
      <w:bookmarkStart w:id="1075" w:name="_Toc14722"/>
      <w:bookmarkStart w:id="1076" w:name="_Toc18370"/>
      <w:bookmarkStart w:id="1077" w:name="_Toc14381"/>
      <w:bookmarkStart w:id="1078" w:name="_Toc20592"/>
      <w:bookmarkStart w:id="1079" w:name="_Toc10739"/>
      <w:bookmarkStart w:id="1080" w:name="_Toc26031"/>
      <w:bookmarkStart w:id="1081" w:name="_Toc3866"/>
      <w:bookmarkStart w:id="1082" w:name="_Toc4988"/>
      <w:bookmarkStart w:id="1083" w:name="_Toc22578"/>
      <w:bookmarkStart w:id="1084" w:name="_Toc29732"/>
      <w:bookmarkStart w:id="1085" w:name="_Toc17905"/>
      <w:bookmarkStart w:id="1086" w:name="_Toc5450"/>
      <w:bookmarkStart w:id="1087" w:name="_Toc10850"/>
      <w:bookmarkStart w:id="1088" w:name="_Toc31024"/>
      <w:bookmarkStart w:id="1089" w:name="_Toc3502"/>
      <w:bookmarkStart w:id="1090" w:name="_Toc14163"/>
      <w:bookmarkStart w:id="1091" w:name="_Toc17209514"/>
      <w:bookmarkStart w:id="1092" w:name="_Toc11819"/>
      <w:bookmarkStart w:id="1093" w:name="_Toc26448"/>
      <w:bookmarkStart w:id="1094" w:name="_Toc27872"/>
      <w:bookmarkStart w:id="1095" w:name="_Toc5701021"/>
      <w:bookmarkStart w:id="1096" w:name="_Toc30672"/>
      <w:bookmarkStart w:id="1097" w:name="_Toc19070"/>
      <w:bookmarkStart w:id="1098" w:name="_Toc16388"/>
      <w:bookmarkStart w:id="1099" w:name="_Toc9907"/>
      <w:bookmarkStart w:id="1100" w:name="_Toc32271"/>
      <w:bookmarkStart w:id="1101" w:name="_Toc21847"/>
      <w:bookmarkStart w:id="1102" w:name="_Toc10475"/>
      <w:bookmarkStart w:id="1103" w:name="_Toc20580"/>
      <w:bookmarkStart w:id="1104" w:name="_Toc19058"/>
      <w:bookmarkStart w:id="1105" w:name="_Toc28393"/>
      <w:bookmarkStart w:id="1106" w:name="_Toc25474"/>
      <w:bookmarkStart w:id="1107" w:name="_Toc15228"/>
      <w:bookmarkStart w:id="1108" w:name="_Toc23657"/>
      <w:bookmarkStart w:id="1109" w:name="_Toc20549"/>
      <w:bookmarkStart w:id="1110" w:name="_Toc169"/>
      <w:bookmarkStart w:id="1111" w:name="_Toc18716"/>
      <w:bookmarkStart w:id="1112" w:name="_Toc4880"/>
      <w:bookmarkStart w:id="1113" w:name="_Toc4502"/>
      <w:bookmarkStart w:id="1114" w:name="_Toc10135"/>
      <w:bookmarkStart w:id="1115" w:name="_Toc27258"/>
      <w:bookmarkStart w:id="1116" w:name="_Toc10054"/>
      <w:r>
        <w:rPr>
          <w:rFonts w:hint="eastAsia" w:cs="Times New Roman"/>
          <w:b/>
          <w:color w:val="auto"/>
          <w:sz w:val="28"/>
          <w:szCs w:val="28"/>
          <w:highlight w:val="none"/>
        </w:rPr>
        <w:t>13.2 主要设计参数</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00625D1D">
      <w:pPr>
        <w:shd w:val="clear"/>
        <w:jc w:val="both"/>
        <w:rPr>
          <w:rFonts w:hAnsi="Times New Roman" w:cs="Times New Roman"/>
          <w:color w:val="auto"/>
          <w:highlight w:val="none"/>
        </w:rPr>
      </w:pPr>
      <w:r>
        <w:rPr>
          <w:rFonts w:hint="eastAsia" w:hAnsi="Times New Roman" w:cs="Times New Roman"/>
          <w:color w:val="auto"/>
          <w:highlight w:val="none"/>
        </w:rPr>
        <w:t>（1）设计主要数据</w:t>
      </w:r>
    </w:p>
    <w:p w14:paraId="2BF1B561">
      <w:pPr>
        <w:shd w:val="clear"/>
        <w:jc w:val="both"/>
        <w:rPr>
          <w:rFonts w:hAnsi="Times New Roman" w:cs="Times New Roman"/>
          <w:color w:val="auto"/>
          <w:highlight w:val="none"/>
        </w:rPr>
      </w:pPr>
      <w:r>
        <w:rPr>
          <w:rFonts w:hint="eastAsia" w:hAnsi="Times New Roman" w:cs="Times New Roman"/>
          <w:color w:val="auto"/>
          <w:highlight w:val="none"/>
        </w:rPr>
        <w:t>基本风压</w:t>
      </w:r>
      <w:r>
        <w:rPr>
          <w:rFonts w:hAnsi="Times New Roman" w:cs="Times New Roman"/>
          <w:color w:val="auto"/>
          <w:highlight w:val="none"/>
        </w:rPr>
        <w:t>w0=0.</w:t>
      </w:r>
      <w:r>
        <w:rPr>
          <w:rFonts w:hint="eastAsia" w:hAnsi="Times New Roman" w:cs="Times New Roman"/>
          <w:color w:val="auto"/>
          <w:highlight w:val="none"/>
          <w:lang w:val="en-US" w:eastAsia="zh-CN"/>
        </w:rPr>
        <w:t>5</w:t>
      </w:r>
      <w:r>
        <w:rPr>
          <w:rFonts w:hint="eastAsia" w:hAnsi="Times New Roman" w:cs="Times New Roman"/>
          <w:color w:val="auto"/>
          <w:highlight w:val="none"/>
        </w:rPr>
        <w:t>5</w:t>
      </w:r>
      <w:r>
        <w:rPr>
          <w:rFonts w:hAnsi="Times New Roman" w:cs="Times New Roman"/>
          <w:color w:val="auto"/>
          <w:highlight w:val="none"/>
        </w:rPr>
        <w:t>kN/m</w:t>
      </w:r>
      <w:r>
        <w:rPr>
          <w:rFonts w:hAnsi="Times New Roman" w:cs="Times New Roman"/>
          <w:color w:val="auto"/>
          <w:highlight w:val="none"/>
          <w:vertAlign w:val="superscript"/>
        </w:rPr>
        <w:t>2</w:t>
      </w:r>
      <w:r>
        <w:rPr>
          <w:rFonts w:hint="eastAsia" w:hAnsi="Times New Roman" w:cs="Times New Roman"/>
          <w:color w:val="auto"/>
          <w:highlight w:val="none"/>
        </w:rPr>
        <w:t>（</w:t>
      </w:r>
      <w:r>
        <w:rPr>
          <w:rFonts w:hAnsi="Times New Roman" w:cs="Times New Roman"/>
          <w:color w:val="auto"/>
          <w:highlight w:val="none"/>
        </w:rPr>
        <w:t>50</w:t>
      </w:r>
      <w:r>
        <w:rPr>
          <w:rFonts w:hint="eastAsia" w:hAnsi="Times New Roman" w:cs="Times New Roman"/>
          <w:color w:val="auto"/>
          <w:highlight w:val="none"/>
        </w:rPr>
        <w:t>年重现期）；地面粗糙度按B类考虑。</w:t>
      </w:r>
    </w:p>
    <w:p w14:paraId="51BF2084">
      <w:pPr>
        <w:shd w:val="clear"/>
        <w:jc w:val="both"/>
        <w:rPr>
          <w:rFonts w:hAnsi="Times New Roman" w:cs="Times New Roman"/>
          <w:color w:val="auto"/>
          <w:highlight w:val="none"/>
        </w:rPr>
      </w:pPr>
      <w:r>
        <w:rPr>
          <w:rFonts w:hint="eastAsia" w:hAnsi="Times New Roman" w:cs="Times New Roman"/>
          <w:color w:val="auto"/>
          <w:highlight w:val="none"/>
        </w:rPr>
        <w:t>基本雪压</w:t>
      </w:r>
      <w:r>
        <w:rPr>
          <w:rFonts w:hAnsi="Times New Roman" w:cs="Times New Roman"/>
          <w:color w:val="auto"/>
          <w:highlight w:val="none"/>
        </w:rPr>
        <w:t>S0</w:t>
      </w:r>
      <w:r>
        <w:rPr>
          <w:rFonts w:hint="eastAsia" w:hAnsi="Times New Roman" w:cs="Times New Roman"/>
          <w:color w:val="auto"/>
          <w:highlight w:val="none"/>
        </w:rPr>
        <w:t>＝0.30k</w:t>
      </w:r>
      <w:r>
        <w:rPr>
          <w:rFonts w:hAnsi="Times New Roman" w:cs="Times New Roman"/>
          <w:color w:val="auto"/>
          <w:highlight w:val="none"/>
        </w:rPr>
        <w:t>N/m</w:t>
      </w:r>
      <w:r>
        <w:rPr>
          <w:rFonts w:hAnsi="Times New Roman" w:cs="Times New Roman"/>
          <w:color w:val="auto"/>
          <w:highlight w:val="none"/>
          <w:vertAlign w:val="superscript"/>
        </w:rPr>
        <w:t>2</w:t>
      </w:r>
      <w:r>
        <w:rPr>
          <w:rFonts w:hint="eastAsia" w:hAnsi="Times New Roman" w:cs="Times New Roman"/>
          <w:color w:val="auto"/>
          <w:highlight w:val="none"/>
        </w:rPr>
        <w:t>（</w:t>
      </w:r>
      <w:r>
        <w:rPr>
          <w:rFonts w:hAnsi="Times New Roman" w:cs="Times New Roman"/>
          <w:color w:val="auto"/>
          <w:highlight w:val="none"/>
        </w:rPr>
        <w:t>50</w:t>
      </w:r>
      <w:r>
        <w:rPr>
          <w:rFonts w:hint="eastAsia" w:hAnsi="Times New Roman" w:cs="Times New Roman"/>
          <w:color w:val="auto"/>
          <w:highlight w:val="none"/>
        </w:rPr>
        <w:t>年重现期）</w:t>
      </w:r>
    </w:p>
    <w:p w14:paraId="76A8E64F">
      <w:pPr>
        <w:shd w:val="clear"/>
        <w:jc w:val="both"/>
        <w:rPr>
          <w:rFonts w:hAnsi="Times New Roman" w:cs="Times New Roman"/>
          <w:color w:val="auto"/>
          <w:highlight w:val="none"/>
        </w:rPr>
      </w:pPr>
      <w:r>
        <w:rPr>
          <w:rFonts w:hint="eastAsia" w:hAnsi="Times New Roman" w:cs="Times New Roman"/>
          <w:color w:val="auto"/>
          <w:highlight w:val="none"/>
        </w:rPr>
        <w:t>（2）抗震设防烈度</w:t>
      </w:r>
    </w:p>
    <w:p w14:paraId="08B89A02">
      <w:pPr>
        <w:shd w:val="clear"/>
        <w:jc w:val="both"/>
        <w:rPr>
          <w:rFonts w:hAnsi="Times New Roman" w:cs="Times New Roman"/>
          <w:color w:val="auto"/>
          <w:highlight w:val="none"/>
        </w:rPr>
      </w:pPr>
      <w:r>
        <w:rPr>
          <w:rFonts w:hint="eastAsia" w:hAnsi="Times New Roman" w:cs="Times New Roman"/>
          <w:color w:val="auto"/>
          <w:highlight w:val="none"/>
        </w:rPr>
        <w:t>本工程所在区域的抗震设防烈度为8度，设计地震加速度值为0.2g，设计地震分组为第二组，场地类别为II类，设计特征周期0.40s。</w:t>
      </w:r>
    </w:p>
    <w:p w14:paraId="6C219D7E">
      <w:pPr>
        <w:shd w:val="clear"/>
        <w:jc w:val="both"/>
        <w:rPr>
          <w:rFonts w:hAnsi="Times New Roman" w:cs="Times New Roman"/>
          <w:color w:val="auto"/>
          <w:highlight w:val="none"/>
        </w:rPr>
      </w:pPr>
      <w:bookmarkStart w:id="1117" w:name="_Toc15683"/>
      <w:bookmarkStart w:id="1118" w:name="_Toc4681"/>
      <w:bookmarkStart w:id="1119" w:name="_Toc16663"/>
      <w:bookmarkStart w:id="1120" w:name="_Toc16251"/>
      <w:bookmarkStart w:id="1121" w:name="_Toc10975"/>
      <w:bookmarkStart w:id="1122" w:name="_Toc9733"/>
      <w:bookmarkStart w:id="1123" w:name="_Toc12722"/>
      <w:r>
        <w:rPr>
          <w:rFonts w:hint="eastAsia" w:hAnsi="Times New Roman" w:cs="Times New Roman"/>
          <w:color w:val="auto"/>
          <w:highlight w:val="none"/>
        </w:rPr>
        <w:t>（3）加固建筑结构的设计工作年限：10年</w:t>
      </w:r>
      <w:bookmarkEnd w:id="1117"/>
      <w:bookmarkEnd w:id="1118"/>
      <w:bookmarkEnd w:id="1119"/>
      <w:bookmarkEnd w:id="1120"/>
      <w:bookmarkEnd w:id="1121"/>
      <w:bookmarkEnd w:id="1122"/>
      <w:bookmarkEnd w:id="1123"/>
      <w:r>
        <w:rPr>
          <w:rFonts w:hint="eastAsia" w:hAnsi="Times New Roman" w:cs="Times New Roman"/>
          <w:color w:val="auto"/>
          <w:highlight w:val="none"/>
        </w:rPr>
        <w:t>。新建建筑结构的设计工作年限：50年。</w:t>
      </w:r>
    </w:p>
    <w:p w14:paraId="6AFF1B59">
      <w:pPr>
        <w:shd w:val="clear"/>
        <w:jc w:val="both"/>
        <w:rPr>
          <w:rFonts w:hAnsi="Times New Roman" w:cs="Times New Roman"/>
          <w:color w:val="auto"/>
          <w:highlight w:val="none"/>
        </w:rPr>
      </w:pPr>
      <w:r>
        <w:rPr>
          <w:rFonts w:hint="eastAsia" w:hAnsi="Times New Roman" w:cs="Times New Roman"/>
          <w:color w:val="auto"/>
          <w:highlight w:val="none"/>
        </w:rPr>
        <w:t>（4）荷载取值：恒载按材料自重根据实际做法计算；</w:t>
      </w:r>
      <w:r>
        <w:rPr>
          <w:rFonts w:hAnsi="Times New Roman" w:cs="Times New Roman"/>
          <w:color w:val="auto"/>
          <w:highlight w:val="none"/>
        </w:rPr>
        <w:t>平台</w:t>
      </w:r>
      <w:r>
        <w:rPr>
          <w:rFonts w:hint="eastAsia" w:hAnsi="Times New Roman" w:cs="Times New Roman"/>
          <w:color w:val="auto"/>
          <w:highlight w:val="none"/>
        </w:rPr>
        <w:t>活</w:t>
      </w:r>
      <w:r>
        <w:rPr>
          <w:rFonts w:hAnsi="Times New Roman" w:cs="Times New Roman"/>
          <w:color w:val="auto"/>
          <w:highlight w:val="none"/>
        </w:rPr>
        <w:t>荷载根据</w:t>
      </w:r>
      <w:r>
        <w:rPr>
          <w:rFonts w:hint="eastAsia" w:hAnsi="Times New Roman" w:cs="Times New Roman"/>
          <w:color w:val="auto"/>
          <w:highlight w:val="none"/>
        </w:rPr>
        <w:t>使用功能</w:t>
      </w:r>
      <w:r>
        <w:rPr>
          <w:rFonts w:hAnsi="Times New Roman" w:cs="Times New Roman"/>
          <w:color w:val="auto"/>
          <w:highlight w:val="none"/>
        </w:rPr>
        <w:t>参照规范采用</w:t>
      </w:r>
      <w:r>
        <w:rPr>
          <w:rFonts w:hint="eastAsia" w:hAnsi="Times New Roman" w:cs="Times New Roman"/>
          <w:color w:val="auto"/>
          <w:highlight w:val="none"/>
        </w:rPr>
        <w:t>楼面活荷载或等效活荷载</w:t>
      </w:r>
      <w:r>
        <w:rPr>
          <w:rFonts w:hAnsi="Times New Roman" w:cs="Times New Roman"/>
          <w:color w:val="auto"/>
          <w:highlight w:val="none"/>
        </w:rPr>
        <w:t>。</w:t>
      </w:r>
    </w:p>
    <w:p w14:paraId="5B47ED54">
      <w:pPr>
        <w:shd w:val="clear"/>
        <w:jc w:val="both"/>
        <w:rPr>
          <w:rFonts w:hAnsi="Times New Roman" w:cs="Times New Roman"/>
          <w:color w:val="auto"/>
          <w:highlight w:val="none"/>
        </w:rPr>
      </w:pPr>
      <w:r>
        <w:rPr>
          <w:rFonts w:hint="eastAsia" w:hAnsi="Times New Roman" w:cs="Times New Roman"/>
          <w:color w:val="auto"/>
          <w:highlight w:val="none"/>
        </w:rPr>
        <w:t>（5）标准冻深：1.32m。</w:t>
      </w:r>
    </w:p>
    <w:p w14:paraId="5F2BEDE1">
      <w:pPr>
        <w:shd w:val="clear"/>
        <w:ind w:firstLine="0" w:firstLineChars="0"/>
        <w:outlineLvl w:val="1"/>
        <w:rPr>
          <w:rFonts w:cs="Times New Roman"/>
          <w:b/>
          <w:color w:val="auto"/>
          <w:sz w:val="28"/>
          <w:szCs w:val="28"/>
          <w:highlight w:val="none"/>
        </w:rPr>
      </w:pPr>
      <w:bookmarkStart w:id="1124" w:name="_Toc25395"/>
      <w:bookmarkStart w:id="1125" w:name="_Toc6599"/>
      <w:bookmarkStart w:id="1126" w:name="_Toc2551"/>
      <w:bookmarkStart w:id="1127" w:name="_Toc29387"/>
      <w:bookmarkStart w:id="1128" w:name="_Toc28850"/>
      <w:bookmarkStart w:id="1129" w:name="_Toc5701022"/>
      <w:bookmarkStart w:id="1130" w:name="_Toc22691"/>
      <w:bookmarkStart w:id="1131" w:name="_Toc11820"/>
      <w:bookmarkStart w:id="1132" w:name="_Toc6181"/>
      <w:bookmarkStart w:id="1133" w:name="_Toc23493"/>
      <w:bookmarkStart w:id="1134" w:name="_Toc4581"/>
      <w:bookmarkStart w:id="1135" w:name="_Toc17861_WPSOffice_Level1"/>
      <w:bookmarkStart w:id="1136" w:name="_Toc2708"/>
      <w:bookmarkStart w:id="1137" w:name="_Toc30808"/>
      <w:bookmarkStart w:id="1138" w:name="_Toc29904"/>
      <w:bookmarkStart w:id="1139" w:name="_Toc10861"/>
      <w:bookmarkStart w:id="1140" w:name="_Toc15614"/>
      <w:bookmarkStart w:id="1141" w:name="_Toc13526"/>
      <w:bookmarkStart w:id="1142" w:name="_Toc27924"/>
      <w:bookmarkStart w:id="1143" w:name="_Toc1405"/>
      <w:bookmarkStart w:id="1144" w:name="_Toc5770"/>
      <w:bookmarkStart w:id="1145" w:name="_Toc22647"/>
      <w:bookmarkStart w:id="1146" w:name="_Toc32188"/>
      <w:bookmarkStart w:id="1147" w:name="_Toc26108"/>
      <w:bookmarkStart w:id="1148" w:name="_Toc29510"/>
      <w:bookmarkStart w:id="1149" w:name="_Toc23454"/>
      <w:bookmarkStart w:id="1150" w:name="_Toc4591"/>
      <w:bookmarkStart w:id="1151" w:name="_Toc17621"/>
      <w:bookmarkStart w:id="1152" w:name="_Toc29707"/>
      <w:bookmarkStart w:id="1153" w:name="_Toc13635"/>
      <w:bookmarkStart w:id="1154" w:name="_Toc158"/>
      <w:bookmarkStart w:id="1155" w:name="_Toc15628"/>
      <w:bookmarkStart w:id="1156" w:name="_Toc6304"/>
      <w:bookmarkStart w:id="1157" w:name="_Toc9291"/>
      <w:bookmarkStart w:id="1158" w:name="_Toc23839"/>
      <w:bookmarkStart w:id="1159" w:name="_Toc31695"/>
      <w:bookmarkStart w:id="1160" w:name="_Toc25667"/>
      <w:bookmarkStart w:id="1161" w:name="_Toc31343"/>
      <w:bookmarkStart w:id="1162" w:name="_Toc17209515"/>
      <w:bookmarkStart w:id="1163" w:name="_Toc16284"/>
      <w:bookmarkStart w:id="1164" w:name="_Toc9560"/>
      <w:bookmarkStart w:id="1165" w:name="_Toc31313"/>
      <w:bookmarkStart w:id="1166" w:name="_Toc21202"/>
      <w:bookmarkStart w:id="1167" w:name="_Toc567"/>
      <w:bookmarkStart w:id="1168" w:name="_Toc21550"/>
      <w:bookmarkStart w:id="1169" w:name="_Toc1991"/>
      <w:bookmarkStart w:id="1170" w:name="_Toc20480"/>
      <w:bookmarkStart w:id="1171" w:name="_Toc20029"/>
      <w:bookmarkStart w:id="1172" w:name="_Toc9549"/>
      <w:bookmarkStart w:id="1173" w:name="_Toc31406"/>
      <w:bookmarkStart w:id="1174" w:name="_Toc14466"/>
      <w:bookmarkStart w:id="1175" w:name="_Toc498"/>
      <w:bookmarkStart w:id="1176" w:name="_Toc18815"/>
      <w:bookmarkStart w:id="1177" w:name="_Toc11081"/>
      <w:bookmarkStart w:id="1178" w:name="_Toc12661"/>
      <w:bookmarkStart w:id="1179" w:name="_Toc10238"/>
      <w:bookmarkStart w:id="1180" w:name="_Toc23887"/>
      <w:bookmarkStart w:id="1181" w:name="_Toc24519"/>
      <w:bookmarkStart w:id="1182" w:name="_Toc245"/>
      <w:bookmarkStart w:id="1183" w:name="_Toc16715"/>
      <w:bookmarkStart w:id="1184" w:name="_Toc18753"/>
      <w:bookmarkStart w:id="1185" w:name="_Toc30428"/>
      <w:bookmarkStart w:id="1186" w:name="_Toc31937"/>
      <w:bookmarkStart w:id="1187" w:name="_Toc10251"/>
      <w:bookmarkStart w:id="1188" w:name="_Toc16768"/>
      <w:bookmarkStart w:id="1189" w:name="_Toc3707"/>
      <w:bookmarkStart w:id="1190" w:name="_Toc22728"/>
      <w:bookmarkStart w:id="1191" w:name="_Toc25746"/>
      <w:bookmarkStart w:id="1192" w:name="_Toc6213"/>
      <w:bookmarkStart w:id="1193" w:name="_Toc20503"/>
      <w:bookmarkStart w:id="1194" w:name="_Toc1659"/>
      <w:bookmarkStart w:id="1195" w:name="_Toc30565"/>
      <w:bookmarkStart w:id="1196" w:name="_Toc8389"/>
      <w:r>
        <w:rPr>
          <w:rFonts w:hint="eastAsia" w:cs="Times New Roman"/>
          <w:b/>
          <w:color w:val="auto"/>
          <w:sz w:val="28"/>
          <w:szCs w:val="28"/>
          <w:highlight w:val="none"/>
        </w:rPr>
        <w:t>13.3 建筑设计</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14:paraId="26887C5B">
      <w:pPr>
        <w:shd w:val="clear"/>
        <w:ind w:firstLine="482"/>
        <w:jc w:val="both"/>
        <w:rPr>
          <w:rFonts w:hAnsi="Times New Roman" w:cs="Times New Roman"/>
          <w:b/>
          <w:bCs/>
          <w:color w:val="auto"/>
          <w:highlight w:val="none"/>
        </w:rPr>
      </w:pPr>
      <w:r>
        <w:rPr>
          <w:rFonts w:hint="eastAsia" w:hAnsi="Times New Roman" w:cs="Times New Roman"/>
          <w:b/>
          <w:bCs/>
          <w:color w:val="auto"/>
          <w:highlight w:val="none"/>
        </w:rPr>
        <w:t>13.3.1基本要求</w:t>
      </w:r>
    </w:p>
    <w:p w14:paraId="4E17C133">
      <w:pPr>
        <w:shd w:val="clear"/>
        <w:jc w:val="both"/>
        <w:rPr>
          <w:rFonts w:hAnsi="Times New Roman" w:cs="Times New Roman"/>
          <w:color w:val="auto"/>
          <w:highlight w:val="none"/>
        </w:rPr>
      </w:pPr>
      <w:r>
        <w:rPr>
          <w:rFonts w:hint="eastAsia" w:hAnsi="Times New Roman" w:cs="Times New Roman"/>
          <w:color w:val="auto"/>
          <w:highlight w:val="none"/>
        </w:rPr>
        <w:t>根据本区域建筑的特点，建筑设计遵循经济、适用、美观的原则。建筑平面、剖面的设计在满足工艺生产、操作和检修的要求下，符合工业生产的特点，满足防火、防爆、防腐等要求。</w:t>
      </w:r>
    </w:p>
    <w:p w14:paraId="5D707681">
      <w:pPr>
        <w:shd w:val="clear"/>
        <w:jc w:val="both"/>
        <w:rPr>
          <w:rFonts w:hAnsi="Times New Roman" w:cs="Times New Roman"/>
          <w:color w:val="auto"/>
          <w:highlight w:val="none"/>
        </w:rPr>
      </w:pPr>
      <w:r>
        <w:rPr>
          <w:rFonts w:hint="eastAsia" w:hAnsi="Times New Roman" w:cs="Times New Roman"/>
          <w:color w:val="auto"/>
          <w:highlight w:val="none"/>
        </w:rPr>
        <w:t>（</w:t>
      </w:r>
      <w:r>
        <w:rPr>
          <w:rFonts w:hAnsi="Times New Roman" w:cs="Times New Roman"/>
          <w:color w:val="auto"/>
          <w:highlight w:val="none"/>
        </w:rPr>
        <w:t>1）建筑模数</w:t>
      </w:r>
      <w:r>
        <w:rPr>
          <w:rFonts w:hint="eastAsia" w:hAnsi="Times New Roman" w:cs="Times New Roman"/>
          <w:color w:val="auto"/>
          <w:highlight w:val="none"/>
        </w:rPr>
        <w:t>：建筑物的基本柱距、跨度、标高等在满足工艺要求的条件下尽可能满足建筑模数要求。</w:t>
      </w:r>
    </w:p>
    <w:p w14:paraId="293F3DBA">
      <w:pPr>
        <w:shd w:val="clear"/>
        <w:jc w:val="both"/>
        <w:rPr>
          <w:rFonts w:hAnsi="Times New Roman" w:cs="Times New Roman"/>
          <w:color w:val="auto"/>
          <w:highlight w:val="none"/>
        </w:rPr>
      </w:pPr>
      <w:r>
        <w:rPr>
          <w:rFonts w:hint="eastAsia" w:hAnsi="Times New Roman" w:cs="Times New Roman"/>
          <w:color w:val="auto"/>
          <w:highlight w:val="none"/>
        </w:rPr>
        <w:t>（</w:t>
      </w:r>
      <w:r>
        <w:rPr>
          <w:rFonts w:hAnsi="Times New Roman" w:cs="Times New Roman"/>
          <w:color w:val="auto"/>
          <w:highlight w:val="none"/>
        </w:rPr>
        <w:t>2）建筑设计防火满足</w:t>
      </w:r>
      <w:r>
        <w:rPr>
          <w:rFonts w:hint="eastAsia" w:hAnsi="Times New Roman" w:cs="Times New Roman"/>
          <w:color w:val="auto"/>
          <w:highlight w:val="none"/>
        </w:rPr>
        <w:t>《建筑防火通用规范》（GB55037-2022）、</w:t>
      </w:r>
      <w:r>
        <w:rPr>
          <w:rFonts w:hAnsi="Times New Roman" w:cs="Times New Roman"/>
          <w:color w:val="auto"/>
          <w:highlight w:val="none"/>
        </w:rPr>
        <w:t>《建筑设计防火规范》</w:t>
      </w:r>
      <w:r>
        <w:rPr>
          <w:rFonts w:hint="eastAsia" w:hAnsi="Times New Roman" w:cs="Times New Roman"/>
          <w:color w:val="auto"/>
          <w:highlight w:val="none"/>
        </w:rPr>
        <w:t>（2018版）</w:t>
      </w:r>
      <w:r>
        <w:rPr>
          <w:rFonts w:hAnsi="Times New Roman" w:cs="Times New Roman"/>
          <w:color w:val="auto"/>
          <w:highlight w:val="none"/>
        </w:rPr>
        <w:t>（GB50016-20</w:t>
      </w:r>
      <w:r>
        <w:rPr>
          <w:rFonts w:hint="eastAsia" w:hAnsi="Times New Roman" w:cs="Times New Roman"/>
          <w:color w:val="auto"/>
          <w:highlight w:val="none"/>
        </w:rPr>
        <w:t>14</w:t>
      </w:r>
      <w:r>
        <w:rPr>
          <w:rFonts w:hAnsi="Times New Roman" w:cs="Times New Roman"/>
          <w:color w:val="auto"/>
          <w:highlight w:val="none"/>
        </w:rPr>
        <w:t>）</w:t>
      </w:r>
      <w:r>
        <w:rPr>
          <w:rFonts w:hint="eastAsia" w:hAnsi="Times New Roman" w:cs="Times New Roman"/>
          <w:color w:val="auto"/>
          <w:highlight w:val="none"/>
        </w:rPr>
        <w:t>或《钢铁冶金企业设计防火标准》（GB50414-2018）</w:t>
      </w:r>
      <w:r>
        <w:rPr>
          <w:rFonts w:hAnsi="Times New Roman" w:cs="Times New Roman"/>
          <w:color w:val="auto"/>
          <w:highlight w:val="none"/>
        </w:rPr>
        <w:t>的要求。</w:t>
      </w:r>
    </w:p>
    <w:p w14:paraId="3AC0510F">
      <w:pPr>
        <w:shd w:val="clear"/>
        <w:jc w:val="both"/>
        <w:rPr>
          <w:rFonts w:hAnsi="Times New Roman" w:cs="Times New Roman"/>
          <w:color w:val="auto"/>
          <w:highlight w:val="none"/>
        </w:rPr>
      </w:pPr>
      <w:r>
        <w:rPr>
          <w:rFonts w:hint="eastAsia" w:hAnsi="Times New Roman" w:cs="Times New Roman"/>
          <w:color w:val="auto"/>
          <w:highlight w:val="none"/>
        </w:rPr>
        <w:t>（</w:t>
      </w:r>
      <w:r>
        <w:rPr>
          <w:rFonts w:hAnsi="Times New Roman" w:cs="Times New Roman"/>
          <w:color w:val="auto"/>
          <w:highlight w:val="none"/>
        </w:rPr>
        <w:t>3）建筑设计满足采光、通风、噪声控制等物理方面的要求。一般采用自然通风，天然采光。对室温有较严格要求的房间，局部采用机械通风、空调。当天然采光不能满足照度要求时，局部采用人工照明。噪声大的厂房采取隔声降噪措施。</w:t>
      </w:r>
    </w:p>
    <w:p w14:paraId="4D5B6A4C">
      <w:pPr>
        <w:shd w:val="clear"/>
        <w:jc w:val="both"/>
        <w:rPr>
          <w:rFonts w:hAnsi="Times New Roman" w:cs="Times New Roman"/>
          <w:color w:val="auto"/>
          <w:highlight w:val="none"/>
        </w:rPr>
      </w:pPr>
      <w:r>
        <w:rPr>
          <w:rFonts w:hint="eastAsia" w:hAnsi="Times New Roman" w:cs="Times New Roman"/>
          <w:color w:val="auto"/>
          <w:highlight w:val="none"/>
        </w:rPr>
        <w:t>（4</w:t>
      </w:r>
      <w:r>
        <w:rPr>
          <w:rFonts w:hAnsi="Times New Roman" w:cs="Times New Roman"/>
          <w:color w:val="auto"/>
          <w:highlight w:val="none"/>
        </w:rPr>
        <w:t>）安全措施</w:t>
      </w:r>
      <w:r>
        <w:rPr>
          <w:rFonts w:hint="eastAsia" w:hAnsi="Times New Roman" w:cs="Times New Roman"/>
          <w:color w:val="auto"/>
          <w:highlight w:val="none"/>
        </w:rPr>
        <w:t>：凡高差≥</w:t>
      </w:r>
      <w:r>
        <w:rPr>
          <w:rFonts w:hAnsi="Times New Roman" w:cs="Times New Roman"/>
          <w:color w:val="auto"/>
          <w:highlight w:val="none"/>
        </w:rPr>
        <w:t>800mm</w:t>
      </w:r>
      <w:r>
        <w:rPr>
          <w:rFonts w:hint="eastAsia" w:hAnsi="Times New Roman" w:cs="Times New Roman"/>
          <w:color w:val="auto"/>
          <w:highlight w:val="none"/>
        </w:rPr>
        <w:t>的平台、洞、坑边沿均设置安全护栏，护栏高≥</w:t>
      </w:r>
      <w:r>
        <w:rPr>
          <w:rFonts w:hAnsi="Times New Roman" w:cs="Times New Roman"/>
          <w:color w:val="auto"/>
          <w:highlight w:val="none"/>
        </w:rPr>
        <w:t>1</w:t>
      </w:r>
      <w:r>
        <w:rPr>
          <w:rFonts w:hint="eastAsia" w:hAnsi="Times New Roman" w:cs="Times New Roman"/>
          <w:color w:val="auto"/>
          <w:highlight w:val="none"/>
        </w:rPr>
        <w:t>20</w:t>
      </w:r>
      <w:r>
        <w:rPr>
          <w:rFonts w:hAnsi="Times New Roman" w:cs="Times New Roman"/>
          <w:color w:val="auto"/>
          <w:highlight w:val="none"/>
        </w:rPr>
        <w:t>0mm</w:t>
      </w:r>
      <w:r>
        <w:rPr>
          <w:rFonts w:hint="eastAsia" w:hAnsi="Times New Roman" w:cs="Times New Roman"/>
          <w:color w:val="auto"/>
          <w:highlight w:val="none"/>
        </w:rPr>
        <w:t>，栏杆离地面</w:t>
      </w:r>
      <w:r>
        <w:rPr>
          <w:rFonts w:hAnsi="Times New Roman" w:cs="Times New Roman"/>
          <w:color w:val="auto"/>
          <w:highlight w:val="none"/>
        </w:rPr>
        <w:t>100mm</w:t>
      </w:r>
      <w:r>
        <w:rPr>
          <w:rFonts w:hint="eastAsia" w:hAnsi="Times New Roman" w:cs="Times New Roman"/>
          <w:color w:val="auto"/>
          <w:highlight w:val="none"/>
        </w:rPr>
        <w:t>高度内不留空。需要用水冲洗或开敞的建、构筑物的楼地面，其洞边设置防水反沿，闲置不用的预留洞采用钢盖板盖严。</w:t>
      </w:r>
    </w:p>
    <w:p w14:paraId="145A38CB">
      <w:pPr>
        <w:shd w:val="clear"/>
        <w:jc w:val="both"/>
        <w:rPr>
          <w:rFonts w:hAnsi="Times New Roman" w:cs="Times New Roman"/>
          <w:color w:val="auto"/>
          <w:highlight w:val="none"/>
        </w:rPr>
      </w:pPr>
      <w:r>
        <w:rPr>
          <w:rFonts w:hint="eastAsia" w:hAnsi="Times New Roman" w:cs="Times New Roman"/>
          <w:color w:val="auto"/>
          <w:highlight w:val="none"/>
        </w:rPr>
        <w:t>（5</w:t>
      </w:r>
      <w:r>
        <w:rPr>
          <w:rFonts w:hAnsi="Times New Roman" w:cs="Times New Roman"/>
          <w:color w:val="auto"/>
          <w:highlight w:val="none"/>
        </w:rPr>
        <w:t>）结构保护措施</w:t>
      </w:r>
      <w:r>
        <w:rPr>
          <w:rFonts w:hint="eastAsia" w:hAnsi="Times New Roman" w:cs="Times New Roman"/>
          <w:color w:val="auto"/>
          <w:highlight w:val="none"/>
        </w:rPr>
        <w:t>：当钢构件表面温度≥</w:t>
      </w:r>
      <w:r>
        <w:rPr>
          <w:rFonts w:hAnsi="Times New Roman" w:cs="Times New Roman"/>
          <w:color w:val="auto"/>
          <w:highlight w:val="none"/>
        </w:rPr>
        <w:t>150</w:t>
      </w:r>
      <w:r>
        <w:rPr>
          <w:rFonts w:hint="eastAsia" w:hAnsi="Times New Roman" w:cs="Times New Roman"/>
          <w:color w:val="auto"/>
          <w:highlight w:val="none"/>
        </w:rPr>
        <w:t>℃，钢筋混凝土一般构件表面温度≥</w:t>
      </w:r>
      <w:r>
        <w:rPr>
          <w:rFonts w:hAnsi="Times New Roman" w:cs="Times New Roman"/>
          <w:color w:val="auto"/>
          <w:highlight w:val="none"/>
        </w:rPr>
        <w:t>80</w:t>
      </w:r>
      <w:r>
        <w:rPr>
          <w:rFonts w:hint="eastAsia" w:hAnsi="Times New Roman" w:cs="Times New Roman"/>
          <w:color w:val="auto"/>
          <w:highlight w:val="none"/>
        </w:rPr>
        <w:t>℃，均采取隔热措施。</w:t>
      </w:r>
    </w:p>
    <w:p w14:paraId="4D8B7437">
      <w:pPr>
        <w:shd w:val="clear"/>
        <w:jc w:val="both"/>
        <w:rPr>
          <w:rFonts w:hAnsi="Times New Roman" w:cs="Times New Roman"/>
          <w:color w:val="auto"/>
          <w:highlight w:val="none"/>
        </w:rPr>
      </w:pPr>
      <w:r>
        <w:rPr>
          <w:rFonts w:hint="eastAsia" w:hAnsi="Times New Roman" w:cs="Times New Roman"/>
          <w:color w:val="auto"/>
          <w:highlight w:val="none"/>
        </w:rPr>
        <w:t>对于生产过程中易受碰撞的结构构件，均采取保护措施。</w:t>
      </w:r>
    </w:p>
    <w:p w14:paraId="3B95EF3B">
      <w:pPr>
        <w:shd w:val="clear"/>
        <w:jc w:val="both"/>
        <w:rPr>
          <w:rFonts w:hAnsi="Times New Roman" w:cs="Times New Roman"/>
          <w:color w:val="auto"/>
          <w:highlight w:val="none"/>
        </w:rPr>
      </w:pPr>
      <w:r>
        <w:rPr>
          <w:rFonts w:hint="eastAsia" w:hAnsi="Times New Roman" w:cs="Times New Roman"/>
          <w:color w:val="auto"/>
          <w:highlight w:val="none"/>
        </w:rPr>
        <w:t>（6</w:t>
      </w:r>
      <w:r>
        <w:rPr>
          <w:rFonts w:hAnsi="Times New Roman" w:cs="Times New Roman"/>
          <w:color w:val="auto"/>
          <w:highlight w:val="none"/>
        </w:rPr>
        <w:t>）钢梯：</w:t>
      </w:r>
      <w:r>
        <w:rPr>
          <w:rFonts w:hint="eastAsia" w:hAnsi="Times New Roman" w:cs="Times New Roman"/>
          <w:color w:val="auto"/>
          <w:highlight w:val="none"/>
        </w:rPr>
        <w:t>车间内经常通行的钢梯宽度≥</w:t>
      </w:r>
      <w:r>
        <w:rPr>
          <w:rFonts w:hAnsi="Times New Roman" w:cs="Times New Roman"/>
          <w:color w:val="auto"/>
          <w:highlight w:val="none"/>
        </w:rPr>
        <w:t>900</w:t>
      </w:r>
      <w:r>
        <w:rPr>
          <w:rFonts w:hint="eastAsia" w:hAnsi="Times New Roman" w:cs="Times New Roman"/>
          <w:color w:val="auto"/>
          <w:highlight w:val="none"/>
        </w:rPr>
        <w:t>mm</w:t>
      </w:r>
      <w:r>
        <w:rPr>
          <w:rFonts w:hAnsi="Times New Roman" w:cs="Times New Roman"/>
          <w:color w:val="auto"/>
          <w:highlight w:val="none"/>
        </w:rPr>
        <w:t>，角度</w:t>
      </w:r>
      <w:r>
        <w:rPr>
          <w:rFonts w:hint="eastAsia" w:hAnsi="Times New Roman" w:cs="Times New Roman"/>
          <w:color w:val="auto"/>
          <w:highlight w:val="none"/>
        </w:rPr>
        <w:t>≤</w:t>
      </w:r>
      <w:r>
        <w:rPr>
          <w:rFonts w:hAnsi="Times New Roman" w:cs="Times New Roman"/>
          <w:color w:val="auto"/>
          <w:highlight w:val="none"/>
        </w:rPr>
        <w:t>45</w:t>
      </w:r>
      <w:r>
        <w:rPr>
          <w:rFonts w:hint="eastAsia" w:hAnsi="Times New Roman" w:cs="Times New Roman"/>
          <w:color w:val="auto"/>
          <w:highlight w:val="none"/>
        </w:rPr>
        <w:t>°</w:t>
      </w:r>
      <w:r>
        <w:rPr>
          <w:rFonts w:hAnsi="Times New Roman" w:cs="Times New Roman"/>
          <w:color w:val="auto"/>
          <w:highlight w:val="none"/>
        </w:rPr>
        <w:t>。上吊车钢梯角度可适当放宽要求。</w:t>
      </w:r>
      <w:r>
        <w:rPr>
          <w:rFonts w:hint="eastAsia" w:hAnsi="Times New Roman" w:cs="Times New Roman"/>
          <w:color w:val="FF0000"/>
          <w:lang w:val="en-US" w:eastAsia="zh-CN"/>
        </w:rPr>
        <w:t>室外钢梯除烟囱钢梯踏板（采用花纹钢板）外，其它钢梯踏板均采用钢格栅板。</w:t>
      </w:r>
    </w:p>
    <w:p w14:paraId="06861B9E">
      <w:pPr>
        <w:shd w:val="clear"/>
        <w:jc w:val="both"/>
        <w:rPr>
          <w:rFonts w:hAnsi="Times New Roman" w:cs="Times New Roman"/>
          <w:color w:val="auto"/>
          <w:highlight w:val="none"/>
        </w:rPr>
      </w:pPr>
      <w:r>
        <w:rPr>
          <w:rFonts w:hint="eastAsia" w:hAnsi="Times New Roman" w:cs="Times New Roman"/>
          <w:color w:val="auto"/>
          <w:highlight w:val="none"/>
        </w:rPr>
        <w:t>（7</w:t>
      </w:r>
      <w:r>
        <w:rPr>
          <w:rFonts w:hAnsi="Times New Roman" w:cs="Times New Roman"/>
          <w:color w:val="auto"/>
          <w:highlight w:val="none"/>
        </w:rPr>
        <w:t>）皮带机通廊倾角超过6</w:t>
      </w:r>
      <w:r>
        <w:rPr>
          <w:rFonts w:hint="eastAsia" w:hAnsi="Times New Roman" w:cs="Times New Roman"/>
          <w:color w:val="auto"/>
          <w:highlight w:val="none"/>
        </w:rPr>
        <w:t>°</w:t>
      </w:r>
      <w:r>
        <w:rPr>
          <w:rFonts w:hAnsi="Times New Roman" w:cs="Times New Roman"/>
          <w:color w:val="auto"/>
          <w:highlight w:val="none"/>
        </w:rPr>
        <w:t>时，应有防滑措施；大于12</w:t>
      </w:r>
      <w:r>
        <w:rPr>
          <w:rFonts w:hint="eastAsia" w:hAnsi="Times New Roman" w:cs="Times New Roman"/>
          <w:color w:val="auto"/>
          <w:highlight w:val="none"/>
        </w:rPr>
        <w:t>°</w:t>
      </w:r>
      <w:r>
        <w:rPr>
          <w:rFonts w:hAnsi="Times New Roman" w:cs="Times New Roman"/>
          <w:color w:val="auto"/>
          <w:highlight w:val="none"/>
        </w:rPr>
        <w:t>时应设踏步。</w:t>
      </w:r>
    </w:p>
    <w:p w14:paraId="4DE3D576">
      <w:pPr>
        <w:shd w:val="clear"/>
        <w:jc w:val="both"/>
        <w:rPr>
          <w:rFonts w:hAnsi="Times New Roman" w:cs="Times New Roman"/>
          <w:color w:val="auto"/>
          <w:highlight w:val="none"/>
        </w:rPr>
      </w:pPr>
      <w:r>
        <w:rPr>
          <w:rFonts w:hint="eastAsia" w:hAnsi="Times New Roman" w:cs="Times New Roman"/>
          <w:color w:val="auto"/>
          <w:highlight w:val="none"/>
        </w:rPr>
        <w:t>（8</w:t>
      </w:r>
      <w:r>
        <w:rPr>
          <w:rFonts w:hAnsi="Times New Roman" w:cs="Times New Roman"/>
          <w:color w:val="auto"/>
          <w:highlight w:val="none"/>
        </w:rPr>
        <w:t>）建筑防火</w:t>
      </w:r>
      <w:r>
        <w:rPr>
          <w:rFonts w:hint="eastAsia" w:hAnsi="Times New Roman" w:cs="Times New Roman"/>
          <w:color w:val="auto"/>
          <w:highlight w:val="none"/>
        </w:rPr>
        <w:t>：本项目主要建筑物火灾危险性类别除输煤输焦通廊及液压站等为丙类外,其它为丁、戊类，耐火等级一般为二级(部分为三级或四级)，每座建筑物的防火分区和允许最大占地面积均满足</w:t>
      </w:r>
      <w:r>
        <w:rPr>
          <w:rFonts w:hAnsi="Times New Roman" w:cs="Times New Roman"/>
          <w:color w:val="auto"/>
          <w:highlight w:val="none"/>
        </w:rPr>
        <w:t>《建筑设计防火规范》</w:t>
      </w:r>
      <w:r>
        <w:rPr>
          <w:rFonts w:hint="eastAsia" w:hAnsi="Times New Roman" w:cs="Times New Roman"/>
          <w:color w:val="auto"/>
          <w:highlight w:val="none"/>
        </w:rPr>
        <w:t>（2018版）</w:t>
      </w:r>
      <w:r>
        <w:rPr>
          <w:rFonts w:hAnsi="Times New Roman" w:cs="Times New Roman"/>
          <w:color w:val="auto"/>
          <w:highlight w:val="none"/>
        </w:rPr>
        <w:t>（GB50016-20</w:t>
      </w:r>
      <w:r>
        <w:rPr>
          <w:rFonts w:hint="eastAsia" w:hAnsi="Times New Roman" w:cs="Times New Roman"/>
          <w:color w:val="auto"/>
          <w:highlight w:val="none"/>
        </w:rPr>
        <w:t>14</w:t>
      </w:r>
      <w:r>
        <w:rPr>
          <w:rFonts w:hAnsi="Times New Roman" w:cs="Times New Roman"/>
          <w:color w:val="auto"/>
          <w:highlight w:val="none"/>
        </w:rPr>
        <w:t>）</w:t>
      </w:r>
      <w:r>
        <w:rPr>
          <w:rFonts w:hint="eastAsia" w:hAnsi="Times New Roman" w:cs="Times New Roman"/>
          <w:color w:val="auto"/>
          <w:highlight w:val="none"/>
        </w:rPr>
        <w:t>的要求，建筑设计中按规范设置了需要的出入口，满足疏散要求。</w:t>
      </w:r>
    </w:p>
    <w:p w14:paraId="40602EE3">
      <w:pPr>
        <w:shd w:val="clear"/>
        <w:jc w:val="both"/>
        <w:rPr>
          <w:rFonts w:hAnsi="Times New Roman" w:cs="Times New Roman"/>
          <w:color w:val="auto"/>
          <w:highlight w:val="none"/>
        </w:rPr>
      </w:pPr>
      <w:r>
        <w:rPr>
          <w:rFonts w:hint="eastAsia" w:hAnsi="Times New Roman" w:cs="Times New Roman"/>
          <w:color w:val="auto"/>
          <w:highlight w:val="none"/>
        </w:rPr>
        <w:t>（9）新建、扩建及改造的建、构筑物结构形式优先与原有形式保持一致，檐口低于10m的建筑物可做无组织排水。屋面无特殊要求采用不上人屋面，非采暖空调建筑不设保温层。</w:t>
      </w:r>
    </w:p>
    <w:p w14:paraId="5E0CB86C">
      <w:pPr>
        <w:shd w:val="clear"/>
        <w:ind w:firstLine="482"/>
        <w:jc w:val="both"/>
        <w:rPr>
          <w:rFonts w:hAnsi="Times New Roman" w:cs="Times New Roman"/>
          <w:b/>
          <w:bCs/>
          <w:color w:val="auto"/>
          <w:highlight w:val="none"/>
        </w:rPr>
      </w:pPr>
      <w:bookmarkStart w:id="1197" w:name="_Toc29093"/>
      <w:bookmarkStart w:id="1198" w:name="_Toc23345"/>
      <w:bookmarkStart w:id="1199" w:name="_Toc2122"/>
      <w:bookmarkStart w:id="1200" w:name="_Toc4446_WPSOffice_Level1"/>
      <w:bookmarkStart w:id="1201" w:name="_Toc23847"/>
      <w:bookmarkStart w:id="1202" w:name="_Toc4008"/>
      <w:bookmarkStart w:id="1203" w:name="_Toc27993"/>
      <w:bookmarkStart w:id="1204" w:name="_Toc23310"/>
      <w:bookmarkStart w:id="1205" w:name="_Toc5820"/>
      <w:bookmarkStart w:id="1206" w:name="_Toc23169"/>
      <w:bookmarkStart w:id="1207" w:name="_Toc18960"/>
      <w:bookmarkStart w:id="1208" w:name="_Toc25258"/>
      <w:bookmarkStart w:id="1209" w:name="_Toc15827"/>
      <w:bookmarkStart w:id="1210" w:name="_Toc5179"/>
      <w:bookmarkStart w:id="1211" w:name="_Toc19963"/>
      <w:bookmarkStart w:id="1212" w:name="_Toc28851"/>
      <w:bookmarkStart w:id="1213" w:name="_Toc16076"/>
      <w:bookmarkStart w:id="1214" w:name="_Toc3564"/>
      <w:bookmarkStart w:id="1215" w:name="_Toc20684"/>
      <w:bookmarkStart w:id="1216" w:name="_Toc24330"/>
      <w:bookmarkStart w:id="1217" w:name="_Toc93"/>
      <w:bookmarkStart w:id="1218" w:name="_Toc5701024"/>
      <w:bookmarkStart w:id="1219" w:name="_Toc31753"/>
      <w:bookmarkStart w:id="1220" w:name="_Toc369"/>
      <w:bookmarkStart w:id="1221" w:name="_Toc1765"/>
      <w:bookmarkStart w:id="1222" w:name="_Toc14884"/>
      <w:bookmarkStart w:id="1223" w:name="_Toc27406"/>
      <w:bookmarkStart w:id="1224" w:name="_Toc17474"/>
      <w:bookmarkStart w:id="1225" w:name="_Toc23628"/>
      <w:bookmarkStart w:id="1226" w:name="_Toc29917"/>
      <w:bookmarkStart w:id="1227" w:name="_Toc11149"/>
      <w:bookmarkStart w:id="1228" w:name="_Toc19244"/>
      <w:bookmarkStart w:id="1229" w:name="_Toc20735"/>
      <w:bookmarkStart w:id="1230" w:name="_Toc2053"/>
      <w:bookmarkStart w:id="1231" w:name="_Toc30464"/>
      <w:bookmarkStart w:id="1232" w:name="_Toc18443"/>
      <w:bookmarkStart w:id="1233" w:name="_Toc7087"/>
      <w:bookmarkStart w:id="1234" w:name="_Toc25852"/>
      <w:bookmarkStart w:id="1235" w:name="_Toc11614"/>
      <w:bookmarkStart w:id="1236" w:name="_Toc15617"/>
      <w:bookmarkStart w:id="1237" w:name="_Toc19473"/>
      <w:bookmarkStart w:id="1238" w:name="_Toc15103"/>
      <w:bookmarkStart w:id="1239" w:name="_Toc11886"/>
      <w:bookmarkStart w:id="1240" w:name="_Toc15346"/>
      <w:bookmarkStart w:id="1241" w:name="_Toc4374"/>
      <w:bookmarkStart w:id="1242" w:name="_Toc23516"/>
      <w:bookmarkStart w:id="1243" w:name="_Toc4932"/>
      <w:bookmarkStart w:id="1244" w:name="_Toc13865"/>
      <w:bookmarkStart w:id="1245" w:name="_Toc5383"/>
      <w:bookmarkStart w:id="1246" w:name="_Toc1083"/>
      <w:bookmarkStart w:id="1247" w:name="_Toc11636"/>
      <w:bookmarkStart w:id="1248" w:name="_Toc28290"/>
      <w:bookmarkStart w:id="1249" w:name="_Toc9546"/>
      <w:bookmarkStart w:id="1250" w:name="_Toc30143"/>
      <w:bookmarkStart w:id="1251" w:name="_Toc31091"/>
      <w:bookmarkStart w:id="1252" w:name="_Toc23871"/>
      <w:bookmarkStart w:id="1253" w:name="_Toc17599"/>
      <w:bookmarkStart w:id="1254" w:name="_Toc24520"/>
      <w:bookmarkStart w:id="1255" w:name="_Toc6902"/>
      <w:bookmarkStart w:id="1256" w:name="_Toc24811"/>
      <w:bookmarkStart w:id="1257" w:name="_Toc19189"/>
      <w:bookmarkStart w:id="1258" w:name="_Toc6000"/>
      <w:bookmarkStart w:id="1259" w:name="_Toc10895"/>
      <w:bookmarkStart w:id="1260" w:name="_Toc2664"/>
      <w:bookmarkStart w:id="1261" w:name="_Toc8244"/>
      <w:bookmarkStart w:id="1262" w:name="_Toc25028"/>
      <w:bookmarkStart w:id="1263" w:name="_Toc17209517"/>
      <w:r>
        <w:rPr>
          <w:rFonts w:hint="eastAsia" w:hAnsi="Times New Roman" w:cs="Times New Roman"/>
          <w:b/>
          <w:bCs/>
          <w:color w:val="auto"/>
          <w:highlight w:val="none"/>
        </w:rPr>
        <w:t>13.3.2建筑构造</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p>
    <w:p w14:paraId="0C4BA880">
      <w:pPr>
        <w:shd w:val="clear"/>
        <w:jc w:val="both"/>
        <w:rPr>
          <w:rFonts w:hAnsi="Times New Roman" w:cs="Times New Roman"/>
          <w:color w:val="auto"/>
          <w:highlight w:val="none"/>
        </w:rPr>
      </w:pPr>
      <w:bookmarkStart w:id="1264" w:name="_Toc10930"/>
      <w:bookmarkStart w:id="1265" w:name="_Toc24079_WPSOffice_Level2"/>
      <w:bookmarkStart w:id="1266" w:name="_Toc22200"/>
      <w:bookmarkStart w:id="1267" w:name="_Toc3333"/>
      <w:bookmarkStart w:id="1268" w:name="_Toc14738"/>
      <w:bookmarkStart w:id="1269" w:name="_Toc27182"/>
      <w:bookmarkStart w:id="1270" w:name="_Toc1375"/>
      <w:bookmarkStart w:id="1271" w:name="_Toc10306"/>
      <w:r>
        <w:rPr>
          <w:rFonts w:hint="eastAsia" w:hAnsi="Times New Roman" w:cs="Times New Roman"/>
          <w:color w:val="auto"/>
          <w:highlight w:val="none"/>
        </w:rPr>
        <w:t>(1)地面和楼面</w:t>
      </w:r>
      <w:bookmarkEnd w:id="1264"/>
      <w:bookmarkEnd w:id="1265"/>
      <w:bookmarkEnd w:id="1266"/>
      <w:bookmarkEnd w:id="1267"/>
      <w:bookmarkEnd w:id="1268"/>
      <w:bookmarkEnd w:id="1269"/>
      <w:bookmarkEnd w:id="1270"/>
      <w:bookmarkEnd w:id="1271"/>
    </w:p>
    <w:p w14:paraId="1C206724">
      <w:pPr>
        <w:shd w:val="clear"/>
        <w:jc w:val="both"/>
        <w:rPr>
          <w:rFonts w:hAnsi="Times New Roman" w:cs="Times New Roman"/>
          <w:color w:val="auto"/>
          <w:highlight w:val="none"/>
        </w:rPr>
      </w:pPr>
      <w:r>
        <w:rPr>
          <w:rFonts w:hint="eastAsia" w:hAnsi="Times New Roman" w:cs="Times New Roman"/>
          <w:color w:val="auto"/>
          <w:highlight w:val="none"/>
        </w:rPr>
        <w:t>1）厂房采用水泥砂浆楼面，所有转运站均为水泥砂浆楼面，混凝土地面。</w:t>
      </w:r>
    </w:p>
    <w:p w14:paraId="2E3A548A">
      <w:pPr>
        <w:shd w:val="clear"/>
        <w:jc w:val="both"/>
        <w:rPr>
          <w:rFonts w:hAnsi="Times New Roman" w:cs="Times New Roman"/>
          <w:color w:val="auto"/>
          <w:highlight w:val="none"/>
        </w:rPr>
      </w:pPr>
      <w:r>
        <w:rPr>
          <w:rFonts w:hint="eastAsia" w:hAnsi="Times New Roman" w:cs="Times New Roman"/>
          <w:color w:val="auto"/>
          <w:highlight w:val="none"/>
        </w:rPr>
        <w:t>2）电气类房间应根据使用情况确定。配电室、控制室及PLC室采用地砖楼地面，电缆夹层采用水泥砂浆楼地面。</w:t>
      </w:r>
    </w:p>
    <w:p w14:paraId="251A6879">
      <w:pPr>
        <w:shd w:val="clear"/>
        <w:jc w:val="both"/>
        <w:rPr>
          <w:rFonts w:hAnsi="Times New Roman" w:cs="Times New Roman"/>
          <w:color w:val="auto"/>
          <w:highlight w:val="none"/>
        </w:rPr>
      </w:pPr>
      <w:r>
        <w:rPr>
          <w:rFonts w:hint="eastAsia" w:hAnsi="Times New Roman" w:cs="Times New Roman"/>
          <w:color w:val="auto"/>
          <w:highlight w:val="none"/>
        </w:rPr>
        <w:t>3）返碱返酸仓下进车的地面采用重载地面。</w:t>
      </w:r>
    </w:p>
    <w:p w14:paraId="1907DDDD">
      <w:pPr>
        <w:shd w:val="clear"/>
        <w:jc w:val="both"/>
        <w:rPr>
          <w:rFonts w:hAnsi="Times New Roman" w:cs="Times New Roman"/>
          <w:color w:val="auto"/>
          <w:highlight w:val="none"/>
        </w:rPr>
      </w:pPr>
      <w:bookmarkStart w:id="1272" w:name="_Toc21505"/>
      <w:bookmarkStart w:id="1273" w:name="_Toc17780"/>
      <w:bookmarkStart w:id="1274" w:name="_Toc7318"/>
      <w:bookmarkStart w:id="1275" w:name="_Toc10370"/>
      <w:bookmarkStart w:id="1276" w:name="_Toc4967"/>
      <w:bookmarkStart w:id="1277" w:name="_Toc12996"/>
      <w:bookmarkStart w:id="1278" w:name="_Toc21371"/>
      <w:bookmarkStart w:id="1279" w:name="_Toc27531_WPSOffice_Level2"/>
      <w:r>
        <w:rPr>
          <w:rFonts w:hint="eastAsia" w:hAnsi="Times New Roman" w:cs="Times New Roman"/>
          <w:color w:val="auto"/>
          <w:highlight w:val="none"/>
        </w:rPr>
        <w:t>（2） 墙面</w:t>
      </w:r>
      <w:bookmarkEnd w:id="1272"/>
      <w:bookmarkEnd w:id="1273"/>
      <w:bookmarkEnd w:id="1274"/>
      <w:bookmarkEnd w:id="1275"/>
      <w:bookmarkEnd w:id="1276"/>
      <w:bookmarkEnd w:id="1277"/>
      <w:bookmarkEnd w:id="1278"/>
      <w:bookmarkEnd w:id="1279"/>
    </w:p>
    <w:p w14:paraId="0374507B">
      <w:pPr>
        <w:shd w:val="clear"/>
        <w:jc w:val="both"/>
        <w:rPr>
          <w:rFonts w:hAnsi="Times New Roman" w:cs="Times New Roman"/>
          <w:color w:val="auto"/>
          <w:highlight w:val="none"/>
        </w:rPr>
      </w:pPr>
      <w:r>
        <w:rPr>
          <w:rFonts w:hint="eastAsia" w:hAnsi="Times New Roman" w:cs="Times New Roman"/>
          <w:color w:val="auto"/>
          <w:highlight w:val="none"/>
        </w:rPr>
        <w:t>1）转运站、地下室等钢筋混凝土内墙，应按清水混凝土的要求施工,并根据实际情况，在其表面用水泥浆修补、整平；转运站、除尘框架等砌体内墙，砂浆抹灰处理，刷大白浆。</w:t>
      </w:r>
    </w:p>
    <w:p w14:paraId="16334392">
      <w:pPr>
        <w:shd w:val="clear"/>
        <w:jc w:val="both"/>
        <w:rPr>
          <w:rFonts w:hAnsi="Times New Roman" w:cs="Times New Roman"/>
          <w:color w:val="auto"/>
          <w:highlight w:val="none"/>
        </w:rPr>
      </w:pPr>
      <w:r>
        <w:rPr>
          <w:rFonts w:hint="eastAsia" w:hAnsi="Times New Roman" w:cs="Times New Roman"/>
          <w:color w:val="auto"/>
          <w:highlight w:val="none"/>
        </w:rPr>
        <w:t>2）值班室、控制室以及各类电气室内墙，应做中高级抹灰，涂两至三道优质内墙涂料（乳胶漆）；卫生间内墙采用墙面砖。</w:t>
      </w:r>
    </w:p>
    <w:p w14:paraId="085F9C6D">
      <w:pPr>
        <w:shd w:val="clear"/>
        <w:jc w:val="both"/>
        <w:rPr>
          <w:rFonts w:hAnsi="Times New Roman" w:cs="Times New Roman"/>
          <w:color w:val="auto"/>
          <w:highlight w:val="none"/>
        </w:rPr>
      </w:pPr>
      <w:r>
        <w:rPr>
          <w:rFonts w:hint="eastAsia" w:hAnsi="Times New Roman" w:cs="Times New Roman"/>
          <w:color w:val="auto"/>
          <w:highlight w:val="none"/>
        </w:rPr>
        <w:t>3）对于厂房、转运站等砌体外墙，应按涂料外墙的要求施工；地下室等钢筋混凝土外墙, 应按清水混凝土的要求施工，并根据实际情况，在其表面用水泥浆修补、整平。</w:t>
      </w:r>
    </w:p>
    <w:p w14:paraId="711D2089">
      <w:pPr>
        <w:shd w:val="clear"/>
        <w:jc w:val="both"/>
        <w:rPr>
          <w:rFonts w:hAnsi="Times New Roman" w:cs="Times New Roman"/>
          <w:color w:val="auto"/>
          <w:highlight w:val="none"/>
        </w:rPr>
      </w:pPr>
      <w:bookmarkStart w:id="1280" w:name="_Toc19374"/>
      <w:bookmarkStart w:id="1281" w:name="_Toc2940"/>
      <w:bookmarkStart w:id="1282" w:name="_Toc24815"/>
      <w:bookmarkStart w:id="1283" w:name="_Toc5129"/>
      <w:bookmarkStart w:id="1284" w:name="_Toc15926"/>
      <w:bookmarkStart w:id="1285" w:name="_Toc11414"/>
      <w:bookmarkStart w:id="1286" w:name="_Toc22600"/>
      <w:bookmarkStart w:id="1287" w:name="_Toc5708_WPSOffice_Level2"/>
      <w:r>
        <w:rPr>
          <w:rFonts w:hint="eastAsia" w:hAnsi="Times New Roman" w:cs="Times New Roman"/>
          <w:color w:val="auto"/>
          <w:highlight w:val="none"/>
        </w:rPr>
        <w:t>(3)屋面</w:t>
      </w:r>
      <w:bookmarkEnd w:id="1280"/>
      <w:bookmarkEnd w:id="1281"/>
      <w:bookmarkEnd w:id="1282"/>
      <w:bookmarkEnd w:id="1283"/>
      <w:bookmarkEnd w:id="1284"/>
      <w:bookmarkEnd w:id="1285"/>
      <w:bookmarkEnd w:id="1286"/>
      <w:bookmarkEnd w:id="1287"/>
    </w:p>
    <w:p w14:paraId="6534050D">
      <w:pPr>
        <w:shd w:val="clear"/>
        <w:jc w:val="both"/>
        <w:rPr>
          <w:rFonts w:hAnsi="Times New Roman" w:cs="Times New Roman"/>
          <w:color w:val="auto"/>
          <w:highlight w:val="none"/>
        </w:rPr>
      </w:pPr>
      <w:r>
        <w:rPr>
          <w:rFonts w:hint="eastAsia" w:hAnsi="Times New Roman" w:cs="Times New Roman"/>
          <w:color w:val="auto"/>
          <w:highlight w:val="none"/>
        </w:rPr>
        <w:t>1）</w:t>
      </w:r>
      <w:r>
        <w:rPr>
          <w:rFonts w:hint="eastAsia" w:hAnsi="Times New Roman" w:cs="Times New Roman"/>
          <w:color w:val="auto"/>
          <w:highlight w:val="none"/>
          <w:lang w:eastAsia="zh-CN"/>
        </w:rPr>
        <w:t>出铁场</w:t>
      </w:r>
      <w:r>
        <w:rPr>
          <w:rFonts w:hint="eastAsia" w:hAnsi="Times New Roman" w:cs="Times New Roman"/>
          <w:color w:val="auto"/>
          <w:highlight w:val="none"/>
        </w:rPr>
        <w:t>采用压型钢板围护屋面采用品质优良的镀锌铝</w:t>
      </w:r>
      <w:r>
        <w:rPr>
          <w:rFonts w:hint="eastAsia" w:hAnsi="Times New Roman" w:cs="Times New Roman"/>
          <w:color w:val="auto"/>
          <w:highlight w:val="none"/>
          <w:lang w:eastAsia="zh-CN"/>
        </w:rPr>
        <w:t>镁</w:t>
      </w:r>
      <w:r>
        <w:rPr>
          <w:rFonts w:hint="eastAsia" w:hAnsi="Times New Roman" w:cs="Times New Roman"/>
          <w:color w:val="auto"/>
          <w:highlight w:val="none"/>
        </w:rPr>
        <w:t>基板彩色压型钢板，基板厚度0.</w:t>
      </w:r>
      <w:r>
        <w:rPr>
          <w:rFonts w:hint="eastAsia" w:hAnsi="Times New Roman" w:cs="Times New Roman"/>
          <w:color w:val="auto"/>
          <w:highlight w:val="none"/>
          <w:lang w:val="en-US" w:eastAsia="zh-CN"/>
        </w:rPr>
        <w:t>8</w:t>
      </w:r>
      <w:r>
        <w:rPr>
          <w:rFonts w:hint="eastAsia" w:hAnsi="Times New Roman" w:cs="Times New Roman"/>
          <w:color w:val="auto"/>
          <w:highlight w:val="none"/>
        </w:rPr>
        <w:t>mm，并符合相关标准和规定要求。镀锌铝</w:t>
      </w:r>
      <w:r>
        <w:rPr>
          <w:rFonts w:hint="eastAsia" w:hAnsi="Times New Roman" w:cs="Times New Roman"/>
          <w:color w:val="auto"/>
          <w:highlight w:val="none"/>
          <w:lang w:eastAsia="zh-CN"/>
        </w:rPr>
        <w:t>镁</w:t>
      </w:r>
      <w:r>
        <w:rPr>
          <w:rFonts w:hint="eastAsia" w:hAnsi="Times New Roman" w:cs="Times New Roman"/>
          <w:color w:val="auto"/>
          <w:highlight w:val="none"/>
        </w:rPr>
        <w:t>层双面质量不得小于150g/m</w:t>
      </w:r>
      <w:r>
        <w:rPr>
          <w:rFonts w:hint="eastAsia" w:hAnsi="Times New Roman" w:cs="Times New Roman"/>
          <w:color w:val="auto"/>
          <w:highlight w:val="none"/>
          <w:vertAlign w:val="superscript"/>
        </w:rPr>
        <w:t>2</w:t>
      </w:r>
      <w:r>
        <w:rPr>
          <w:rFonts w:hint="eastAsia" w:hAnsi="Times New Roman" w:cs="Times New Roman"/>
          <w:color w:val="auto"/>
          <w:highlight w:val="none"/>
        </w:rPr>
        <w:t>，彩色（有机）涂层要求二烘二涂，HDP高耐久性聚酯涂层，正面≥22微米，背面≥11微米</w:t>
      </w:r>
      <w:r>
        <w:rPr>
          <w:rFonts w:hint="eastAsia" w:hAnsi="Times New Roman" w:cs="Times New Roman"/>
          <w:color w:val="auto"/>
          <w:highlight w:val="none"/>
          <w:lang w:eastAsia="zh-CN"/>
        </w:rPr>
        <w:t>，其余采用</w:t>
      </w:r>
      <w:r>
        <w:rPr>
          <w:rFonts w:hint="eastAsia" w:hAnsi="Times New Roman" w:cs="Times New Roman"/>
          <w:color w:val="auto"/>
          <w:highlight w:val="none"/>
        </w:rPr>
        <w:t>镀铝锌基板彩色压型钢板。</w:t>
      </w:r>
    </w:p>
    <w:p w14:paraId="4DDD954B">
      <w:pPr>
        <w:shd w:val="clear"/>
        <w:jc w:val="both"/>
        <w:rPr>
          <w:rFonts w:hAnsi="Times New Roman" w:cs="Times New Roman"/>
          <w:color w:val="auto"/>
          <w:highlight w:val="none"/>
        </w:rPr>
      </w:pPr>
      <w:r>
        <w:rPr>
          <w:rFonts w:hint="eastAsia" w:hAnsi="Times New Roman" w:cs="Times New Roman"/>
          <w:color w:val="auto"/>
          <w:highlight w:val="none"/>
        </w:rPr>
        <w:t>2）凡为卷材防水层的厂房屋面，均采用质量可靠、耐久性能好的优质防水卷材。</w:t>
      </w:r>
    </w:p>
    <w:p w14:paraId="7ABE0924">
      <w:pPr>
        <w:shd w:val="clear"/>
        <w:jc w:val="both"/>
        <w:rPr>
          <w:rFonts w:hAnsi="Times New Roman" w:cs="Times New Roman"/>
          <w:color w:val="auto"/>
          <w:highlight w:val="none"/>
        </w:rPr>
      </w:pPr>
      <w:r>
        <w:rPr>
          <w:rFonts w:hint="eastAsia" w:hAnsi="Times New Roman" w:cs="Times New Roman"/>
          <w:color w:val="auto"/>
          <w:highlight w:val="none"/>
        </w:rPr>
        <w:t>3）屋面C型钢檩条为镀锌檩条，镀锌量≥180g/m</w:t>
      </w:r>
      <w:r>
        <w:rPr>
          <w:rFonts w:hint="eastAsia" w:hAnsi="Times New Roman" w:cs="Times New Roman"/>
          <w:color w:val="auto"/>
          <w:highlight w:val="none"/>
          <w:vertAlign w:val="superscript"/>
        </w:rPr>
        <w:t>2</w:t>
      </w:r>
      <w:r>
        <w:rPr>
          <w:rFonts w:hint="eastAsia" w:hAnsi="Times New Roman" w:cs="Times New Roman"/>
          <w:color w:val="auto"/>
          <w:highlight w:val="none"/>
        </w:rPr>
        <w:t>。</w:t>
      </w:r>
    </w:p>
    <w:p w14:paraId="148DB253">
      <w:pPr>
        <w:shd w:val="clear"/>
        <w:jc w:val="both"/>
        <w:rPr>
          <w:rFonts w:hAnsi="Times New Roman" w:cs="Times New Roman"/>
          <w:color w:val="auto"/>
          <w:highlight w:val="none"/>
        </w:rPr>
      </w:pPr>
      <w:bookmarkStart w:id="1288" w:name="_Toc19697"/>
      <w:bookmarkStart w:id="1289" w:name="_Toc1407"/>
      <w:bookmarkStart w:id="1290" w:name="_Toc24514_WPSOffice_Level2"/>
      <w:bookmarkStart w:id="1291" w:name="_Toc32625"/>
      <w:bookmarkStart w:id="1292" w:name="_Toc3499"/>
      <w:bookmarkStart w:id="1293" w:name="_Toc12241"/>
      <w:bookmarkStart w:id="1294" w:name="_Toc24202"/>
      <w:bookmarkStart w:id="1295" w:name="_Toc4596"/>
      <w:r>
        <w:rPr>
          <w:rFonts w:hint="eastAsia" w:hAnsi="Times New Roman" w:cs="Times New Roman"/>
          <w:color w:val="auto"/>
          <w:highlight w:val="none"/>
        </w:rPr>
        <w:t>(4)墙体</w:t>
      </w:r>
      <w:bookmarkEnd w:id="1288"/>
      <w:bookmarkEnd w:id="1289"/>
      <w:bookmarkEnd w:id="1290"/>
      <w:bookmarkEnd w:id="1291"/>
      <w:bookmarkEnd w:id="1292"/>
      <w:bookmarkEnd w:id="1293"/>
      <w:bookmarkEnd w:id="1294"/>
      <w:bookmarkEnd w:id="1295"/>
    </w:p>
    <w:p w14:paraId="11D95FC6">
      <w:pPr>
        <w:shd w:val="clear"/>
        <w:jc w:val="both"/>
        <w:rPr>
          <w:rFonts w:hAnsi="Times New Roman" w:cs="Times New Roman"/>
          <w:color w:val="auto"/>
          <w:highlight w:val="none"/>
        </w:rPr>
      </w:pPr>
      <w:r>
        <w:rPr>
          <w:rFonts w:hint="eastAsia" w:hAnsi="Times New Roman" w:cs="Times New Roman"/>
          <w:color w:val="auto"/>
          <w:highlight w:val="none"/>
        </w:rPr>
        <w:t>1）</w:t>
      </w:r>
      <w:r>
        <w:rPr>
          <w:rFonts w:hint="eastAsia" w:hAnsi="Times New Roman" w:cs="Times New Roman"/>
          <w:color w:val="auto"/>
          <w:highlight w:val="none"/>
          <w:lang w:eastAsia="zh-CN"/>
        </w:rPr>
        <w:t>出铁场</w:t>
      </w:r>
      <w:r>
        <w:rPr>
          <w:rFonts w:hint="eastAsia" w:hAnsi="Times New Roman" w:cs="Times New Roman"/>
          <w:color w:val="auto"/>
          <w:highlight w:val="none"/>
        </w:rPr>
        <w:t>采用压型钢板围护屋面采用品质优良的镀锌铝</w:t>
      </w:r>
      <w:r>
        <w:rPr>
          <w:rFonts w:hint="eastAsia" w:hAnsi="Times New Roman" w:cs="Times New Roman"/>
          <w:color w:val="auto"/>
          <w:highlight w:val="none"/>
          <w:lang w:eastAsia="zh-CN"/>
        </w:rPr>
        <w:t>镁</w:t>
      </w:r>
      <w:r>
        <w:rPr>
          <w:rFonts w:hint="eastAsia" w:hAnsi="Times New Roman" w:cs="Times New Roman"/>
          <w:color w:val="auto"/>
          <w:highlight w:val="none"/>
        </w:rPr>
        <w:t>基板彩色压型钢板，基板厚度0.</w:t>
      </w:r>
      <w:r>
        <w:rPr>
          <w:rFonts w:hint="eastAsia" w:hAnsi="Times New Roman" w:cs="Times New Roman"/>
          <w:color w:val="auto"/>
          <w:highlight w:val="none"/>
          <w:lang w:val="en-US" w:eastAsia="zh-CN"/>
        </w:rPr>
        <w:t>6</w:t>
      </w:r>
      <w:r>
        <w:rPr>
          <w:rFonts w:hint="eastAsia" w:hAnsi="Times New Roman" w:cs="Times New Roman"/>
          <w:color w:val="auto"/>
          <w:highlight w:val="none"/>
        </w:rPr>
        <w:t>mm，并符合相关标准和规定要求。镀锌铝</w:t>
      </w:r>
      <w:r>
        <w:rPr>
          <w:rFonts w:hint="eastAsia" w:hAnsi="Times New Roman" w:cs="Times New Roman"/>
          <w:color w:val="auto"/>
          <w:highlight w:val="none"/>
          <w:lang w:eastAsia="zh-CN"/>
        </w:rPr>
        <w:t>镁</w:t>
      </w:r>
      <w:r>
        <w:rPr>
          <w:rFonts w:hint="eastAsia" w:hAnsi="Times New Roman" w:cs="Times New Roman"/>
          <w:color w:val="auto"/>
          <w:highlight w:val="none"/>
        </w:rPr>
        <w:t>层双面质量不得小于150g/m</w:t>
      </w:r>
      <w:r>
        <w:rPr>
          <w:rFonts w:hint="eastAsia" w:hAnsi="Times New Roman" w:cs="Times New Roman"/>
          <w:color w:val="auto"/>
          <w:highlight w:val="none"/>
          <w:vertAlign w:val="superscript"/>
        </w:rPr>
        <w:t>2</w:t>
      </w:r>
      <w:r>
        <w:rPr>
          <w:rFonts w:hint="eastAsia" w:hAnsi="Times New Roman" w:cs="Times New Roman"/>
          <w:color w:val="auto"/>
          <w:highlight w:val="none"/>
        </w:rPr>
        <w:t>，彩色（有机）涂层要求二烘二涂，HDP高耐久性聚酯涂层，正面≥22微米，背面≥11微米</w:t>
      </w:r>
      <w:r>
        <w:rPr>
          <w:rFonts w:hint="eastAsia" w:hAnsi="Times New Roman" w:cs="Times New Roman"/>
          <w:color w:val="auto"/>
          <w:highlight w:val="none"/>
          <w:lang w:eastAsia="zh-CN"/>
        </w:rPr>
        <w:t>，其余采用</w:t>
      </w:r>
      <w:r>
        <w:rPr>
          <w:rFonts w:hint="eastAsia" w:hAnsi="Times New Roman" w:cs="Times New Roman"/>
          <w:color w:val="auto"/>
          <w:highlight w:val="none"/>
        </w:rPr>
        <w:t>镀铝锌基板彩色压型钢板。</w:t>
      </w:r>
    </w:p>
    <w:p w14:paraId="3C74B4E1">
      <w:pPr>
        <w:shd w:val="clear"/>
        <w:jc w:val="both"/>
        <w:rPr>
          <w:rFonts w:hAnsi="Times New Roman" w:cs="Times New Roman"/>
          <w:color w:val="auto"/>
          <w:highlight w:val="none"/>
        </w:rPr>
      </w:pPr>
      <w:r>
        <w:rPr>
          <w:rFonts w:hint="eastAsia" w:hAnsi="Times New Roman" w:cs="Times New Roman"/>
          <w:color w:val="auto"/>
          <w:highlight w:val="none"/>
        </w:rPr>
        <w:t>2）砌体围护结构采用烧结多孔砖及加气混凝土砌块，墙体厚度3</w:t>
      </w:r>
      <w:r>
        <w:rPr>
          <w:rFonts w:hint="eastAsia" w:hAnsi="Times New Roman" w:cs="Times New Roman"/>
          <w:color w:val="auto"/>
          <w:highlight w:val="none"/>
          <w:lang w:val="en-US" w:eastAsia="zh-CN"/>
        </w:rPr>
        <w:t>0</w:t>
      </w:r>
      <w:r>
        <w:rPr>
          <w:rFonts w:hint="eastAsia" w:hAnsi="Times New Roman" w:cs="Times New Roman"/>
          <w:color w:val="auto"/>
          <w:highlight w:val="none"/>
        </w:rPr>
        <w:t>0mm。</w:t>
      </w:r>
    </w:p>
    <w:p w14:paraId="0D14BDCA">
      <w:pPr>
        <w:shd w:val="clear"/>
        <w:jc w:val="both"/>
        <w:rPr>
          <w:rFonts w:hAnsi="Times New Roman" w:cs="Times New Roman"/>
          <w:color w:val="auto"/>
          <w:highlight w:val="none"/>
        </w:rPr>
      </w:pPr>
      <w:r>
        <w:rPr>
          <w:rFonts w:hint="eastAsia" w:hAnsi="Times New Roman" w:cs="Times New Roman"/>
          <w:color w:val="auto"/>
          <w:highlight w:val="none"/>
        </w:rPr>
        <w:t>3）墙面C型钢墙梁为镀锌墙梁，镀锌量≥180g/m</w:t>
      </w:r>
      <w:r>
        <w:rPr>
          <w:rFonts w:hint="eastAsia" w:hAnsi="Times New Roman" w:cs="Times New Roman"/>
          <w:color w:val="auto"/>
          <w:highlight w:val="none"/>
          <w:vertAlign w:val="superscript"/>
        </w:rPr>
        <w:t>2</w:t>
      </w:r>
      <w:r>
        <w:rPr>
          <w:rFonts w:hint="eastAsia" w:hAnsi="Times New Roman" w:cs="Times New Roman"/>
          <w:color w:val="auto"/>
          <w:highlight w:val="none"/>
        </w:rPr>
        <w:t>。</w:t>
      </w:r>
    </w:p>
    <w:p w14:paraId="7F911FB8">
      <w:pPr>
        <w:shd w:val="clear"/>
        <w:jc w:val="both"/>
        <w:rPr>
          <w:rFonts w:hAnsi="Times New Roman" w:cs="Times New Roman"/>
          <w:color w:val="auto"/>
          <w:highlight w:val="none"/>
        </w:rPr>
      </w:pPr>
      <w:bookmarkStart w:id="1296" w:name="_Toc1751"/>
      <w:bookmarkStart w:id="1297" w:name="_Toc2112_WPSOffice_Level2"/>
      <w:bookmarkStart w:id="1298" w:name="_Toc9148"/>
      <w:bookmarkStart w:id="1299" w:name="_Toc31031"/>
      <w:bookmarkStart w:id="1300" w:name="_Toc22469"/>
      <w:bookmarkStart w:id="1301" w:name="_Toc20745"/>
      <w:bookmarkStart w:id="1302" w:name="_Toc29096"/>
      <w:bookmarkStart w:id="1303" w:name="_Toc13877"/>
      <w:r>
        <w:rPr>
          <w:rFonts w:hint="eastAsia" w:hAnsi="Times New Roman" w:cs="Times New Roman"/>
          <w:color w:val="auto"/>
          <w:highlight w:val="none"/>
        </w:rPr>
        <w:t>(5)门窗</w:t>
      </w:r>
      <w:bookmarkEnd w:id="1296"/>
      <w:bookmarkEnd w:id="1297"/>
      <w:bookmarkEnd w:id="1298"/>
      <w:bookmarkEnd w:id="1299"/>
      <w:bookmarkEnd w:id="1300"/>
      <w:bookmarkEnd w:id="1301"/>
      <w:bookmarkEnd w:id="1302"/>
      <w:bookmarkEnd w:id="1303"/>
    </w:p>
    <w:p w14:paraId="149301D8">
      <w:pPr>
        <w:shd w:val="clear"/>
        <w:jc w:val="both"/>
        <w:rPr>
          <w:rFonts w:hAnsi="Times New Roman" w:cs="Times New Roman"/>
          <w:color w:val="auto"/>
          <w:highlight w:val="none"/>
        </w:rPr>
      </w:pPr>
      <w:r>
        <w:rPr>
          <w:rFonts w:hint="eastAsia" w:hAnsi="Times New Roman" w:cs="Times New Roman"/>
          <w:color w:val="auto"/>
          <w:highlight w:val="none"/>
        </w:rPr>
        <w:t>1）一般建筑物的普通窗选用铝合金窗，窗户均采用双玻。</w:t>
      </w:r>
    </w:p>
    <w:p w14:paraId="2B0EDE9D">
      <w:pPr>
        <w:shd w:val="clear"/>
        <w:jc w:val="both"/>
        <w:rPr>
          <w:rFonts w:hAnsi="Times New Roman" w:cs="Times New Roman"/>
          <w:color w:val="auto"/>
          <w:highlight w:val="none"/>
        </w:rPr>
      </w:pPr>
      <w:r>
        <w:rPr>
          <w:rFonts w:hint="eastAsia" w:hAnsi="Times New Roman" w:cs="Times New Roman"/>
          <w:color w:val="auto"/>
          <w:highlight w:val="none"/>
        </w:rPr>
        <w:t>2）厂房及控制室、值班室等人员长期驻留或存有贵重物品的房间，门宽小于1.5m的设置钢制防盗门，底层外窗设防盗网。</w:t>
      </w:r>
      <w:r>
        <w:rPr>
          <w:rFonts w:hint="eastAsia" w:hAnsi="Times New Roman" w:cs="Times New Roman"/>
          <w:color w:val="auto"/>
          <w:highlight w:val="none"/>
          <w:lang w:val="en-US" w:eastAsia="zh-CN"/>
        </w:rPr>
        <w:t>新增配电室采用防火门，本项目需</w:t>
      </w:r>
      <w:r>
        <w:rPr>
          <w:rFonts w:hint="eastAsia" w:ascii="宋体" w:hAnsi="宋体" w:eastAsia="宋体" w:cs="Arial"/>
          <w:color w:val="auto"/>
          <w:highlight w:val="none"/>
          <w:lang w:val="en-US" w:eastAsia="zh-CN"/>
        </w:rPr>
        <w:t>更换</w:t>
      </w:r>
      <w:r>
        <w:rPr>
          <w:rFonts w:hint="eastAsia" w:cs="Arial"/>
          <w:color w:val="auto"/>
          <w:highlight w:val="none"/>
          <w:lang w:val="en-US" w:eastAsia="zh-CN"/>
        </w:rPr>
        <w:t>的</w:t>
      </w:r>
      <w:r>
        <w:rPr>
          <w:rFonts w:hint="eastAsia" w:ascii="宋体" w:hAnsi="宋体" w:eastAsia="宋体" w:cs="Arial"/>
          <w:color w:val="auto"/>
          <w:highlight w:val="none"/>
          <w:lang w:val="en-US" w:eastAsia="zh-CN"/>
        </w:rPr>
        <w:t>防火门</w:t>
      </w:r>
      <w:r>
        <w:rPr>
          <w:rFonts w:hint="eastAsia" w:cs="Arial"/>
          <w:color w:val="auto"/>
          <w:highlight w:val="none"/>
          <w:lang w:val="en-US" w:eastAsia="zh-CN"/>
        </w:rPr>
        <w:t>见13.5节第（15）条。</w:t>
      </w:r>
    </w:p>
    <w:p w14:paraId="6FE0571F">
      <w:pPr>
        <w:shd w:val="clear"/>
        <w:jc w:val="both"/>
        <w:rPr>
          <w:rFonts w:hAnsi="Times New Roman" w:cs="Times New Roman"/>
          <w:color w:val="auto"/>
          <w:highlight w:val="none"/>
        </w:rPr>
      </w:pPr>
      <w:r>
        <w:rPr>
          <w:rFonts w:hint="eastAsia" w:hAnsi="Times New Roman" w:cs="Times New Roman"/>
          <w:color w:val="auto"/>
          <w:highlight w:val="none"/>
        </w:rPr>
        <w:t>3）建筑外门窗物理性能达要求，见下表：</w:t>
      </w:r>
    </w:p>
    <w:tbl>
      <w:tblPr>
        <w:tblStyle w:val="6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69"/>
        <w:gridCol w:w="3649"/>
      </w:tblGrid>
      <w:tr w14:paraId="1765E3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trPr>
        <w:tc>
          <w:tcPr>
            <w:tcW w:w="5469" w:type="dxa"/>
            <w:vAlign w:val="center"/>
          </w:tcPr>
          <w:p w14:paraId="2EDFD050">
            <w:pPr>
              <w:shd w:val="clear"/>
              <w:spacing w:line="312" w:lineRule="auto"/>
              <w:jc w:val="both"/>
              <w:rPr>
                <w:rFonts w:hAnsi="Times New Roman" w:cs="Times New Roman"/>
                <w:color w:val="auto"/>
                <w:highlight w:val="none"/>
              </w:rPr>
            </w:pPr>
            <w:r>
              <w:rPr>
                <w:rFonts w:hint="eastAsia" w:hAnsi="Times New Roman" w:cs="Times New Roman"/>
                <w:color w:val="auto"/>
                <w:highlight w:val="none"/>
              </w:rPr>
              <w:t>项        目</w:t>
            </w:r>
          </w:p>
        </w:tc>
        <w:tc>
          <w:tcPr>
            <w:tcW w:w="3649" w:type="dxa"/>
            <w:vAlign w:val="center"/>
          </w:tcPr>
          <w:p w14:paraId="3354196B">
            <w:pPr>
              <w:shd w:val="clear"/>
              <w:spacing w:line="312" w:lineRule="auto"/>
              <w:jc w:val="both"/>
              <w:rPr>
                <w:rFonts w:hAnsi="Times New Roman" w:cs="Times New Roman"/>
                <w:color w:val="auto"/>
                <w:highlight w:val="none"/>
              </w:rPr>
            </w:pPr>
            <w:r>
              <w:rPr>
                <w:rFonts w:hint="eastAsia" w:hAnsi="Times New Roman" w:cs="Times New Roman"/>
                <w:color w:val="auto"/>
                <w:highlight w:val="none"/>
              </w:rPr>
              <w:t>指标要求</w:t>
            </w:r>
          </w:p>
        </w:tc>
      </w:tr>
      <w:tr w14:paraId="79253A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5469" w:type="dxa"/>
            <w:vAlign w:val="center"/>
          </w:tcPr>
          <w:p w14:paraId="2CFC4743">
            <w:pPr>
              <w:shd w:val="clear"/>
              <w:spacing w:line="312" w:lineRule="auto"/>
              <w:jc w:val="both"/>
              <w:rPr>
                <w:rFonts w:hAnsi="Times New Roman" w:cs="Times New Roman"/>
                <w:color w:val="auto"/>
                <w:highlight w:val="none"/>
              </w:rPr>
            </w:pPr>
            <w:r>
              <w:rPr>
                <w:rFonts w:hint="eastAsia" w:hAnsi="Times New Roman" w:cs="Times New Roman"/>
                <w:color w:val="auto"/>
                <w:highlight w:val="none"/>
              </w:rPr>
              <w:t>抗风压性能      （kPa）</w:t>
            </w:r>
          </w:p>
        </w:tc>
        <w:tc>
          <w:tcPr>
            <w:tcW w:w="3649" w:type="dxa"/>
            <w:vAlign w:val="center"/>
          </w:tcPr>
          <w:p w14:paraId="675DCA9F">
            <w:pPr>
              <w:shd w:val="clear"/>
              <w:spacing w:line="312" w:lineRule="auto"/>
              <w:jc w:val="both"/>
              <w:rPr>
                <w:rFonts w:hAnsi="Times New Roman" w:cs="Times New Roman"/>
                <w:color w:val="auto"/>
                <w:highlight w:val="none"/>
              </w:rPr>
            </w:pPr>
            <w:r>
              <w:rPr>
                <w:rFonts w:hint="eastAsia" w:hAnsi="Times New Roman" w:cs="Times New Roman"/>
                <w:color w:val="auto"/>
                <w:highlight w:val="none"/>
              </w:rPr>
              <w:t>≥2.5</w:t>
            </w:r>
          </w:p>
        </w:tc>
      </w:tr>
      <w:tr w14:paraId="3E81C1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5469" w:type="dxa"/>
            <w:vAlign w:val="center"/>
          </w:tcPr>
          <w:p w14:paraId="0F5EC0E6">
            <w:pPr>
              <w:shd w:val="clear"/>
              <w:spacing w:line="312" w:lineRule="auto"/>
              <w:jc w:val="both"/>
              <w:rPr>
                <w:rFonts w:hAnsi="Times New Roman" w:cs="Times New Roman"/>
                <w:color w:val="auto"/>
                <w:highlight w:val="none"/>
              </w:rPr>
            </w:pPr>
            <w:r>
              <w:rPr>
                <w:rFonts w:hint="eastAsia" w:hAnsi="Times New Roman" w:cs="Times New Roman"/>
                <w:color w:val="auto"/>
                <w:highlight w:val="none"/>
              </w:rPr>
              <w:t>气密性能 [m³/（m·h）]单位缝长分级指标</w:t>
            </w:r>
          </w:p>
          <w:p w14:paraId="43CE663A">
            <w:pPr>
              <w:shd w:val="clear"/>
              <w:spacing w:line="312" w:lineRule="auto"/>
              <w:jc w:val="both"/>
              <w:rPr>
                <w:rFonts w:hAnsi="Times New Roman" w:cs="Times New Roman"/>
                <w:color w:val="auto"/>
                <w:highlight w:val="none"/>
              </w:rPr>
            </w:pPr>
            <w:r>
              <w:rPr>
                <w:rFonts w:hint="eastAsia" w:hAnsi="Times New Roman" w:cs="Times New Roman"/>
                <w:color w:val="auto"/>
                <w:highlight w:val="none"/>
              </w:rPr>
              <w:t>[m³/（m</w:t>
            </w:r>
            <w:r>
              <w:rPr>
                <w:rFonts w:hint="eastAsia" w:hAnsi="Times New Roman" w:cs="Times New Roman"/>
                <w:color w:val="auto"/>
                <w:highlight w:val="none"/>
                <w:vertAlign w:val="superscript"/>
              </w:rPr>
              <w:t>2</w:t>
            </w:r>
            <w:r>
              <w:rPr>
                <w:rFonts w:hint="eastAsia" w:hAnsi="Times New Roman" w:cs="Times New Roman"/>
                <w:color w:val="auto"/>
                <w:highlight w:val="none"/>
              </w:rPr>
              <w:t>·h）] 单位面积分级指标</w:t>
            </w:r>
          </w:p>
        </w:tc>
        <w:tc>
          <w:tcPr>
            <w:tcW w:w="3649" w:type="dxa"/>
            <w:vAlign w:val="center"/>
          </w:tcPr>
          <w:p w14:paraId="37789B22">
            <w:pPr>
              <w:shd w:val="clear"/>
              <w:spacing w:line="312" w:lineRule="auto"/>
              <w:jc w:val="both"/>
              <w:rPr>
                <w:rFonts w:hAnsi="Times New Roman" w:cs="Times New Roman"/>
                <w:color w:val="auto"/>
                <w:highlight w:val="none"/>
              </w:rPr>
            </w:pPr>
            <w:r>
              <w:rPr>
                <w:rFonts w:hint="eastAsia" w:hAnsi="Times New Roman" w:cs="Times New Roman"/>
                <w:color w:val="auto"/>
                <w:highlight w:val="none"/>
              </w:rPr>
              <w:t>≤1.5</w:t>
            </w:r>
          </w:p>
          <w:p w14:paraId="068E9BBE">
            <w:pPr>
              <w:shd w:val="clear"/>
              <w:spacing w:line="312" w:lineRule="auto"/>
              <w:jc w:val="both"/>
              <w:rPr>
                <w:rFonts w:hAnsi="Times New Roman" w:cs="Times New Roman"/>
                <w:color w:val="auto"/>
                <w:highlight w:val="none"/>
              </w:rPr>
            </w:pPr>
            <w:r>
              <w:rPr>
                <w:rFonts w:hint="eastAsia" w:hAnsi="Times New Roman" w:cs="Times New Roman"/>
                <w:color w:val="auto"/>
                <w:highlight w:val="none"/>
              </w:rPr>
              <w:t>≤4.5</w:t>
            </w:r>
          </w:p>
        </w:tc>
      </w:tr>
      <w:tr w14:paraId="6BBE8F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5469" w:type="dxa"/>
            <w:vAlign w:val="center"/>
          </w:tcPr>
          <w:p w14:paraId="2246EDFC">
            <w:pPr>
              <w:shd w:val="clear"/>
              <w:spacing w:line="312" w:lineRule="auto"/>
              <w:jc w:val="both"/>
              <w:rPr>
                <w:rFonts w:hAnsi="Times New Roman" w:cs="Times New Roman"/>
                <w:color w:val="auto"/>
                <w:highlight w:val="none"/>
              </w:rPr>
            </w:pPr>
            <w:r>
              <w:rPr>
                <w:rFonts w:hint="eastAsia" w:hAnsi="Times New Roman" w:cs="Times New Roman"/>
                <w:color w:val="auto"/>
                <w:highlight w:val="none"/>
              </w:rPr>
              <w:t xml:space="preserve"> 水密性能分级指标▽p（Pa）</w:t>
            </w:r>
          </w:p>
        </w:tc>
        <w:tc>
          <w:tcPr>
            <w:tcW w:w="3649" w:type="dxa"/>
            <w:vAlign w:val="center"/>
          </w:tcPr>
          <w:p w14:paraId="3A1EA2A1">
            <w:pPr>
              <w:shd w:val="clear"/>
              <w:spacing w:line="312" w:lineRule="auto"/>
              <w:jc w:val="both"/>
              <w:rPr>
                <w:rFonts w:hAnsi="Times New Roman" w:cs="Times New Roman"/>
                <w:color w:val="auto"/>
                <w:highlight w:val="none"/>
              </w:rPr>
            </w:pPr>
            <w:r>
              <w:rPr>
                <w:rFonts w:hint="eastAsia" w:hAnsi="Times New Roman" w:cs="Times New Roman"/>
                <w:color w:val="auto"/>
                <w:highlight w:val="none"/>
              </w:rPr>
              <w:t>≥350</w:t>
            </w:r>
          </w:p>
        </w:tc>
      </w:tr>
      <w:tr w14:paraId="3886B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5469" w:type="dxa"/>
            <w:vAlign w:val="center"/>
          </w:tcPr>
          <w:p w14:paraId="25DB0D38">
            <w:pPr>
              <w:shd w:val="clear"/>
              <w:spacing w:line="312" w:lineRule="auto"/>
              <w:jc w:val="both"/>
              <w:rPr>
                <w:rFonts w:hAnsi="Times New Roman" w:cs="Times New Roman"/>
                <w:color w:val="auto"/>
                <w:highlight w:val="none"/>
              </w:rPr>
            </w:pPr>
            <w:r>
              <w:rPr>
                <w:rFonts w:hint="eastAsia" w:hAnsi="Times New Roman" w:cs="Times New Roman"/>
                <w:color w:val="auto"/>
                <w:highlight w:val="none"/>
              </w:rPr>
              <w:t>保温性能  [W/( m</w:t>
            </w:r>
            <w:r>
              <w:rPr>
                <w:rFonts w:hint="eastAsia" w:hAnsi="Times New Roman" w:cs="Times New Roman"/>
                <w:color w:val="auto"/>
                <w:highlight w:val="none"/>
                <w:vertAlign w:val="superscript"/>
              </w:rPr>
              <w:t>2</w:t>
            </w:r>
            <w:r>
              <w:rPr>
                <w:rFonts w:hint="eastAsia" w:hAnsi="Times New Roman" w:cs="Times New Roman"/>
                <w:color w:val="auto"/>
                <w:highlight w:val="none"/>
              </w:rPr>
              <w:t>·K)]</w:t>
            </w:r>
          </w:p>
        </w:tc>
        <w:tc>
          <w:tcPr>
            <w:tcW w:w="3649" w:type="dxa"/>
            <w:vAlign w:val="center"/>
          </w:tcPr>
          <w:p w14:paraId="51C4817D">
            <w:pPr>
              <w:shd w:val="clear"/>
              <w:spacing w:line="312" w:lineRule="auto"/>
              <w:jc w:val="both"/>
              <w:rPr>
                <w:rFonts w:hAnsi="Times New Roman" w:cs="Times New Roman"/>
                <w:color w:val="auto"/>
                <w:highlight w:val="none"/>
              </w:rPr>
            </w:pPr>
            <w:r>
              <w:rPr>
                <w:rFonts w:hint="eastAsia" w:hAnsi="Times New Roman" w:cs="Times New Roman"/>
                <w:color w:val="auto"/>
                <w:highlight w:val="none"/>
              </w:rPr>
              <w:t>≤2.0</w:t>
            </w:r>
          </w:p>
        </w:tc>
      </w:tr>
      <w:tr w14:paraId="414FDC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5469" w:type="dxa"/>
            <w:vAlign w:val="center"/>
          </w:tcPr>
          <w:p w14:paraId="59059C15">
            <w:pPr>
              <w:shd w:val="clear"/>
              <w:spacing w:line="312" w:lineRule="auto"/>
              <w:jc w:val="both"/>
              <w:rPr>
                <w:rFonts w:hAnsi="Times New Roman" w:cs="Times New Roman"/>
                <w:color w:val="auto"/>
                <w:highlight w:val="none"/>
              </w:rPr>
            </w:pPr>
            <w:r>
              <w:rPr>
                <w:rFonts w:hint="eastAsia" w:hAnsi="Times New Roman" w:cs="Times New Roman"/>
                <w:color w:val="auto"/>
                <w:highlight w:val="none"/>
              </w:rPr>
              <w:t>空气声隔声性能   (Db)</w:t>
            </w:r>
          </w:p>
        </w:tc>
        <w:tc>
          <w:tcPr>
            <w:tcW w:w="3649" w:type="dxa"/>
            <w:vAlign w:val="center"/>
          </w:tcPr>
          <w:p w14:paraId="0DD2CA9F">
            <w:pPr>
              <w:shd w:val="clear"/>
              <w:spacing w:line="312" w:lineRule="auto"/>
              <w:jc w:val="both"/>
              <w:rPr>
                <w:rFonts w:hAnsi="Times New Roman" w:cs="Times New Roman"/>
                <w:color w:val="auto"/>
                <w:highlight w:val="none"/>
              </w:rPr>
            </w:pPr>
            <w:r>
              <w:rPr>
                <w:rFonts w:hint="eastAsia" w:hAnsi="Times New Roman" w:cs="Times New Roman"/>
                <w:color w:val="auto"/>
                <w:highlight w:val="none"/>
              </w:rPr>
              <w:t>≥35</w:t>
            </w:r>
          </w:p>
        </w:tc>
      </w:tr>
      <w:tr w14:paraId="6C55B6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5469" w:type="dxa"/>
            <w:vAlign w:val="center"/>
          </w:tcPr>
          <w:p w14:paraId="2FB241F8">
            <w:pPr>
              <w:shd w:val="clear"/>
              <w:spacing w:line="312" w:lineRule="auto"/>
              <w:jc w:val="both"/>
              <w:rPr>
                <w:rFonts w:hAnsi="Times New Roman" w:cs="Times New Roman"/>
                <w:color w:val="auto"/>
                <w:highlight w:val="none"/>
              </w:rPr>
            </w:pPr>
            <w:r>
              <w:rPr>
                <w:rFonts w:hint="eastAsia" w:hAnsi="Times New Roman" w:cs="Times New Roman"/>
                <w:color w:val="auto"/>
                <w:highlight w:val="none"/>
              </w:rPr>
              <w:t>采光性能</w:t>
            </w:r>
          </w:p>
        </w:tc>
        <w:tc>
          <w:tcPr>
            <w:tcW w:w="3649" w:type="dxa"/>
            <w:vAlign w:val="center"/>
          </w:tcPr>
          <w:p w14:paraId="58502A4A">
            <w:pPr>
              <w:shd w:val="clear"/>
              <w:spacing w:line="312" w:lineRule="auto"/>
              <w:jc w:val="both"/>
              <w:rPr>
                <w:rFonts w:hAnsi="Times New Roman" w:cs="Times New Roman"/>
                <w:color w:val="auto"/>
                <w:highlight w:val="none"/>
              </w:rPr>
            </w:pPr>
            <w:r>
              <w:rPr>
                <w:rFonts w:hint="eastAsia" w:hAnsi="Times New Roman" w:cs="Times New Roman"/>
                <w:color w:val="auto"/>
                <w:highlight w:val="none"/>
              </w:rPr>
              <w:t>0.4～0.5</w:t>
            </w:r>
          </w:p>
        </w:tc>
      </w:tr>
    </w:tbl>
    <w:p w14:paraId="5281192B">
      <w:pPr>
        <w:shd w:val="clear"/>
        <w:jc w:val="both"/>
        <w:rPr>
          <w:rFonts w:hAnsi="Times New Roman" w:cs="Times New Roman"/>
          <w:color w:val="auto"/>
          <w:highlight w:val="none"/>
        </w:rPr>
      </w:pPr>
      <w:r>
        <w:rPr>
          <w:rFonts w:hint="eastAsia" w:hAnsi="Times New Roman" w:cs="Times New Roman"/>
          <w:color w:val="auto"/>
          <w:highlight w:val="none"/>
        </w:rPr>
        <w:t>4）单层厂房采用采光带时，采光带的波型与压型钢板板型相同，厚度不小于1.5mm。采光带采用阻燃型</w:t>
      </w:r>
      <w:r>
        <w:rPr>
          <w:rFonts w:hAnsi="Times New Roman" w:cs="Times New Roman"/>
          <w:color w:val="auto"/>
          <w:highlight w:val="none"/>
        </w:rPr>
        <w:t>FRP</w:t>
      </w:r>
      <w:r>
        <w:rPr>
          <w:rFonts w:hint="eastAsia" w:hAnsi="Times New Roman" w:cs="Times New Roman"/>
          <w:color w:val="auto"/>
          <w:highlight w:val="none"/>
        </w:rPr>
        <w:t>采光板</w:t>
      </w:r>
      <w:r>
        <w:rPr>
          <w:rFonts w:hint="eastAsia" w:hAnsi="Times New Roman" w:cs="Times New Roman"/>
          <w:color w:val="auto"/>
          <w:highlight w:val="none"/>
          <w:lang w:eastAsia="zh-CN"/>
        </w:rPr>
        <w:t>，</w:t>
      </w:r>
      <w:r>
        <w:rPr>
          <w:rFonts w:hint="eastAsia" w:hAnsi="Times New Roman" w:cs="Times New Roman"/>
          <w:color w:val="auto"/>
          <w:highlight w:val="none"/>
          <w:lang w:val="en-US" w:eastAsia="zh-CN"/>
        </w:rPr>
        <w:t>透光度不小于90%</w:t>
      </w:r>
      <w:r>
        <w:rPr>
          <w:rFonts w:hint="eastAsia" w:hAnsi="Times New Roman" w:cs="Times New Roman"/>
          <w:color w:val="auto"/>
          <w:highlight w:val="none"/>
        </w:rPr>
        <w:t>。</w:t>
      </w:r>
    </w:p>
    <w:p w14:paraId="3A4AA69F">
      <w:pPr>
        <w:shd w:val="clear"/>
        <w:jc w:val="both"/>
        <w:rPr>
          <w:rFonts w:hAnsi="Times New Roman" w:cs="Times New Roman"/>
          <w:color w:val="auto"/>
          <w:highlight w:val="none"/>
        </w:rPr>
      </w:pPr>
      <w:r>
        <w:rPr>
          <w:rFonts w:hint="eastAsia" w:hAnsi="Times New Roman" w:cs="Times New Roman"/>
          <w:color w:val="auto"/>
          <w:highlight w:val="none"/>
        </w:rPr>
        <w:t>5）有防火要求的采用钢制防火门窗,钢制门窗满足安装环境及相关标准和规定的钢结构防腐要求。</w:t>
      </w:r>
    </w:p>
    <w:p w14:paraId="4E196407">
      <w:pPr>
        <w:shd w:val="clear"/>
        <w:jc w:val="both"/>
        <w:rPr>
          <w:rFonts w:hAnsi="Times New Roman" w:cs="Times New Roman"/>
          <w:color w:val="auto"/>
          <w:highlight w:val="none"/>
        </w:rPr>
      </w:pPr>
      <w:r>
        <w:rPr>
          <w:rFonts w:hint="eastAsia" w:hAnsi="Times New Roman" w:cs="Times New Roman"/>
          <w:color w:val="auto"/>
          <w:highlight w:val="none"/>
        </w:rPr>
        <w:t>6）隔音要求：有隔音要求的房间需满足工艺要求及《民用建筑隔声设计规范》（GB 50118-2010）的规定。</w:t>
      </w:r>
    </w:p>
    <w:p w14:paraId="645DE956">
      <w:pPr>
        <w:shd w:val="clear"/>
        <w:jc w:val="both"/>
        <w:rPr>
          <w:rFonts w:hAnsi="Times New Roman" w:cs="Times New Roman"/>
          <w:color w:val="auto"/>
          <w:highlight w:val="none"/>
        </w:rPr>
      </w:pPr>
      <w:bookmarkStart w:id="1304" w:name="_Toc17275"/>
      <w:bookmarkStart w:id="1305" w:name="_Toc468"/>
      <w:bookmarkStart w:id="1306" w:name="_Toc5422"/>
      <w:bookmarkStart w:id="1307" w:name="_Toc9694"/>
      <w:bookmarkStart w:id="1308" w:name="_Toc27043"/>
      <w:bookmarkStart w:id="1309" w:name="_Toc18672"/>
      <w:bookmarkStart w:id="1310" w:name="_Toc23747"/>
      <w:bookmarkStart w:id="1311" w:name="_Toc18214"/>
      <w:bookmarkStart w:id="1312" w:name="_Toc10139"/>
      <w:bookmarkStart w:id="1313" w:name="_Toc8263"/>
      <w:bookmarkStart w:id="1314" w:name="_Toc6449"/>
      <w:bookmarkStart w:id="1315" w:name="_Toc5280"/>
      <w:bookmarkStart w:id="1316" w:name="_Toc19931"/>
      <w:bookmarkStart w:id="1317" w:name="_Toc18027"/>
      <w:bookmarkStart w:id="1318" w:name="_Toc16834"/>
      <w:bookmarkStart w:id="1319" w:name="_Toc9409"/>
      <w:bookmarkStart w:id="1320" w:name="_Toc23157"/>
      <w:bookmarkStart w:id="1321" w:name="_Toc1604"/>
      <w:bookmarkStart w:id="1322" w:name="_Toc30977"/>
      <w:bookmarkStart w:id="1323" w:name="_Toc31532"/>
      <w:bookmarkStart w:id="1324" w:name="_Toc25193"/>
      <w:bookmarkStart w:id="1325" w:name="_Toc3063"/>
      <w:bookmarkStart w:id="1326" w:name="_Toc12732"/>
      <w:bookmarkStart w:id="1327" w:name="_Toc26774_WPSOffice_Level2"/>
      <w:bookmarkStart w:id="1328" w:name="_Toc21737"/>
      <w:bookmarkStart w:id="1329" w:name="_Toc410"/>
      <w:bookmarkStart w:id="1330" w:name="_Toc19672"/>
      <w:bookmarkStart w:id="1331" w:name="_Toc12011"/>
      <w:bookmarkStart w:id="1332" w:name="_Toc17721"/>
      <w:bookmarkStart w:id="1333" w:name="_Toc31969"/>
      <w:bookmarkStart w:id="1334" w:name="_Toc3750"/>
      <w:bookmarkStart w:id="1335" w:name="_Toc14320"/>
      <w:bookmarkStart w:id="1336" w:name="_Toc11651"/>
      <w:bookmarkStart w:id="1337" w:name="_Toc19061"/>
      <w:bookmarkStart w:id="1338" w:name="_Toc24355"/>
      <w:bookmarkStart w:id="1339" w:name="_Toc20132"/>
      <w:bookmarkStart w:id="1340" w:name="_Toc30639"/>
      <w:bookmarkStart w:id="1341" w:name="_Toc10625"/>
      <w:bookmarkStart w:id="1342" w:name="_Toc19027"/>
      <w:bookmarkStart w:id="1343" w:name="_Toc12138"/>
      <w:bookmarkStart w:id="1344" w:name="_Toc10465"/>
      <w:r>
        <w:rPr>
          <w:rFonts w:hint="eastAsia" w:hAnsi="Times New Roman" w:cs="Times New Roman"/>
          <w:color w:val="auto"/>
          <w:highlight w:val="none"/>
        </w:rPr>
        <w:t>(7)走道和梯子</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p>
    <w:p w14:paraId="7C524E96">
      <w:pPr>
        <w:shd w:val="clear"/>
        <w:jc w:val="both"/>
        <w:rPr>
          <w:rFonts w:hAnsi="Times New Roman" w:cs="Times New Roman"/>
          <w:color w:val="auto"/>
          <w:highlight w:val="none"/>
        </w:rPr>
      </w:pPr>
      <w:r>
        <w:rPr>
          <w:rFonts w:hint="eastAsia" w:hAnsi="Times New Roman" w:cs="Times New Roman"/>
          <w:color w:val="auto"/>
          <w:highlight w:val="none"/>
        </w:rPr>
        <w:t>安全出口与通道的位置、数量及宽度等，与工艺设备、人行道、运输方式、运输线路相适应；楼梯的数量、位置、宽度和楼梯间的形式满足使用方便和安全疏散的要求。行车检修路线设置行走安全通道。</w:t>
      </w:r>
    </w:p>
    <w:p w14:paraId="738B13EB">
      <w:pPr>
        <w:shd w:val="clear"/>
        <w:jc w:val="both"/>
        <w:rPr>
          <w:rFonts w:hAnsi="Times New Roman" w:cs="Times New Roman"/>
          <w:color w:val="auto"/>
          <w:highlight w:val="none"/>
        </w:rPr>
      </w:pPr>
      <w:r>
        <w:rPr>
          <w:rFonts w:hint="eastAsia" w:hAnsi="Times New Roman" w:cs="Times New Roman"/>
          <w:color w:val="auto"/>
          <w:highlight w:val="none"/>
        </w:rPr>
        <w:t>钢梯一般采用斜梯形式</w:t>
      </w:r>
      <w:r>
        <w:rPr>
          <w:rFonts w:hint="eastAsia" w:hAnsi="Times New Roman" w:cs="Times New Roman"/>
          <w:color w:val="auto"/>
          <w:highlight w:val="none"/>
          <w:lang w:eastAsia="zh-CN"/>
        </w:rPr>
        <w:t>，</w:t>
      </w:r>
      <w:r>
        <w:rPr>
          <w:rFonts w:hint="eastAsia" w:hAnsi="Times New Roman" w:cs="Times New Roman"/>
          <w:color w:val="auto"/>
          <w:highlight w:val="none"/>
          <w:lang w:val="en-US" w:eastAsia="zh-CN"/>
        </w:rPr>
        <w:t>室外钢梯采用钢格栅，格栅厚度不小于5mm</w:t>
      </w:r>
      <w:r>
        <w:rPr>
          <w:rFonts w:hint="eastAsia" w:hAnsi="Times New Roman" w:cs="Times New Roman"/>
          <w:color w:val="auto"/>
          <w:highlight w:val="none"/>
        </w:rPr>
        <w:t>。</w:t>
      </w:r>
    </w:p>
    <w:p w14:paraId="13E8766E">
      <w:pPr>
        <w:shd w:val="clear"/>
        <w:ind w:firstLine="0" w:firstLineChars="0"/>
        <w:outlineLvl w:val="1"/>
        <w:rPr>
          <w:rFonts w:cs="Times New Roman"/>
          <w:b/>
          <w:color w:val="auto"/>
          <w:sz w:val="28"/>
          <w:szCs w:val="28"/>
          <w:highlight w:val="none"/>
        </w:rPr>
      </w:pPr>
      <w:bookmarkStart w:id="1345" w:name="_Toc2428"/>
      <w:bookmarkStart w:id="1346" w:name="_Toc17918"/>
      <w:bookmarkStart w:id="1347" w:name="_Toc30358"/>
      <w:bookmarkStart w:id="1348" w:name="_Toc4386"/>
      <w:bookmarkStart w:id="1349" w:name="_Toc9599"/>
      <w:bookmarkStart w:id="1350" w:name="_Toc32680"/>
      <w:bookmarkStart w:id="1351" w:name="_Toc23560"/>
      <w:bookmarkStart w:id="1352" w:name="_Toc27887"/>
      <w:bookmarkStart w:id="1353" w:name="_Toc4220"/>
      <w:bookmarkStart w:id="1354" w:name="_Toc8688"/>
      <w:bookmarkStart w:id="1355" w:name="_Toc2177"/>
      <w:bookmarkStart w:id="1356" w:name="_Toc13308"/>
      <w:bookmarkStart w:id="1357" w:name="_Toc27245"/>
      <w:bookmarkStart w:id="1358" w:name="_Toc12983"/>
      <w:bookmarkStart w:id="1359" w:name="_Toc5701023"/>
      <w:bookmarkStart w:id="1360" w:name="_Toc8853"/>
      <w:bookmarkStart w:id="1361" w:name="_Toc12701"/>
      <w:bookmarkStart w:id="1362" w:name="_Toc31533"/>
      <w:bookmarkStart w:id="1363" w:name="_Toc31435"/>
      <w:bookmarkStart w:id="1364" w:name="_Toc24170"/>
      <w:bookmarkStart w:id="1365" w:name="_Toc29985"/>
      <w:bookmarkStart w:id="1366" w:name="_Toc8119"/>
      <w:bookmarkStart w:id="1367" w:name="_Toc10953"/>
      <w:bookmarkStart w:id="1368" w:name="_Toc18019"/>
      <w:bookmarkStart w:id="1369" w:name="_Toc10936"/>
      <w:bookmarkStart w:id="1370" w:name="_Toc25959"/>
      <w:bookmarkStart w:id="1371" w:name="_Toc21564"/>
      <w:bookmarkStart w:id="1372" w:name="_Toc6551"/>
      <w:bookmarkStart w:id="1373" w:name="_Toc5581"/>
      <w:bookmarkStart w:id="1374" w:name="_Toc16086"/>
      <w:bookmarkStart w:id="1375" w:name="_Toc25231"/>
      <w:bookmarkStart w:id="1376" w:name="_Toc20184"/>
      <w:bookmarkStart w:id="1377" w:name="_Toc24250"/>
      <w:bookmarkStart w:id="1378" w:name="_Toc14690"/>
      <w:bookmarkStart w:id="1379" w:name="_Toc26403"/>
      <w:bookmarkStart w:id="1380" w:name="_Toc20780"/>
      <w:bookmarkStart w:id="1381" w:name="_Toc28983"/>
      <w:bookmarkStart w:id="1382" w:name="_Toc26443"/>
      <w:bookmarkStart w:id="1383" w:name="_Toc13568"/>
      <w:bookmarkStart w:id="1384" w:name="_Toc16833"/>
      <w:bookmarkStart w:id="1385" w:name="_Toc32551"/>
      <w:bookmarkStart w:id="1386" w:name="_Toc24194"/>
      <w:bookmarkStart w:id="1387" w:name="_Toc14550_WPSOffice_Level1"/>
      <w:bookmarkStart w:id="1388" w:name="_Toc10367"/>
      <w:bookmarkStart w:id="1389" w:name="_Toc17817"/>
      <w:bookmarkStart w:id="1390" w:name="_Toc11803"/>
      <w:bookmarkStart w:id="1391" w:name="_Toc17491"/>
      <w:bookmarkStart w:id="1392" w:name="_Toc28031"/>
      <w:bookmarkStart w:id="1393" w:name="_Toc734"/>
      <w:bookmarkStart w:id="1394" w:name="_Toc21294"/>
      <w:bookmarkStart w:id="1395" w:name="_Toc9018"/>
      <w:bookmarkStart w:id="1396" w:name="_Toc7369"/>
      <w:bookmarkStart w:id="1397" w:name="_Toc26944"/>
      <w:bookmarkStart w:id="1398" w:name="_Toc13892"/>
      <w:bookmarkStart w:id="1399" w:name="_Toc11675"/>
      <w:bookmarkStart w:id="1400" w:name="_Toc17543"/>
      <w:bookmarkStart w:id="1401" w:name="_Toc1894"/>
      <w:bookmarkStart w:id="1402" w:name="_Toc16289"/>
      <w:bookmarkStart w:id="1403" w:name="_Toc22946"/>
      <w:bookmarkStart w:id="1404" w:name="_Toc31854"/>
      <w:bookmarkStart w:id="1405" w:name="_Toc31387"/>
      <w:bookmarkStart w:id="1406" w:name="_Toc27409"/>
      <w:bookmarkStart w:id="1407" w:name="_Toc26750"/>
      <w:bookmarkStart w:id="1408" w:name="_Toc14871"/>
      <w:bookmarkStart w:id="1409" w:name="_Toc31993"/>
      <w:bookmarkStart w:id="1410" w:name="_Toc17209516"/>
      <w:bookmarkStart w:id="1411" w:name="_Toc26852"/>
      <w:bookmarkStart w:id="1412" w:name="_Toc15965"/>
      <w:bookmarkStart w:id="1413" w:name="_Toc10046"/>
      <w:bookmarkStart w:id="1414" w:name="_Toc23333"/>
      <w:bookmarkStart w:id="1415" w:name="_Toc10784"/>
      <w:bookmarkStart w:id="1416" w:name="_Toc8815"/>
      <w:r>
        <w:rPr>
          <w:rFonts w:hint="eastAsia" w:cs="Times New Roman"/>
          <w:b/>
          <w:color w:val="auto"/>
          <w:sz w:val="28"/>
          <w:szCs w:val="28"/>
          <w:highlight w:val="none"/>
        </w:rPr>
        <w:t>13.4 结构设计</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p>
    <w:p w14:paraId="6D723A31">
      <w:pPr>
        <w:shd w:val="clear"/>
        <w:jc w:val="both"/>
        <w:rPr>
          <w:rFonts w:hAnsi="Times New Roman" w:cs="Times New Roman"/>
          <w:color w:val="auto"/>
          <w:highlight w:val="none"/>
        </w:rPr>
      </w:pPr>
      <w:bookmarkStart w:id="1417" w:name="_Toc9010"/>
      <w:bookmarkStart w:id="1418" w:name="_Toc13459"/>
      <w:bookmarkStart w:id="1419" w:name="_Toc22696_WPSOffice_Level2"/>
      <w:bookmarkStart w:id="1420" w:name="_Toc31296"/>
      <w:bookmarkStart w:id="1421" w:name="_Toc18911"/>
      <w:bookmarkStart w:id="1422" w:name="_Toc28785"/>
      <w:bookmarkStart w:id="1423" w:name="_Toc2401"/>
      <w:bookmarkStart w:id="1424" w:name="_Toc5696"/>
      <w:r>
        <w:rPr>
          <w:rFonts w:hint="eastAsia" w:hAnsi="Times New Roman" w:cs="Times New Roman"/>
          <w:color w:val="auto"/>
          <w:highlight w:val="none"/>
        </w:rPr>
        <w:t>(1)钢结构材料的选用</w:t>
      </w:r>
      <w:bookmarkEnd w:id="1417"/>
      <w:bookmarkEnd w:id="1418"/>
      <w:bookmarkEnd w:id="1419"/>
      <w:bookmarkEnd w:id="1420"/>
      <w:bookmarkEnd w:id="1421"/>
      <w:bookmarkEnd w:id="1422"/>
      <w:bookmarkEnd w:id="1423"/>
      <w:bookmarkEnd w:id="1424"/>
    </w:p>
    <w:p w14:paraId="79D4B1DA">
      <w:pPr>
        <w:shd w:val="clear"/>
        <w:jc w:val="both"/>
        <w:rPr>
          <w:rFonts w:hAnsi="Times New Roman" w:cs="Times New Roman"/>
          <w:color w:val="auto"/>
          <w:highlight w:val="none"/>
        </w:rPr>
      </w:pPr>
      <w:r>
        <w:rPr>
          <w:rFonts w:hint="eastAsia" w:hAnsi="Times New Roman" w:cs="Times New Roman"/>
          <w:color w:val="auto"/>
          <w:highlight w:val="none"/>
        </w:rPr>
        <w:t>1）</w:t>
      </w:r>
      <w:r>
        <w:rPr>
          <w:rFonts w:hAnsi="Times New Roman" w:cs="Times New Roman"/>
          <w:color w:val="auto"/>
          <w:highlight w:val="none"/>
        </w:rPr>
        <w:t>主要承重构件采用Q235B或</w:t>
      </w:r>
      <w:r>
        <w:rPr>
          <w:rFonts w:hint="eastAsia" w:hAnsi="Times New Roman" w:cs="Times New Roman"/>
          <w:color w:val="auto"/>
          <w:highlight w:val="none"/>
        </w:rPr>
        <w:t>Q355</w:t>
      </w:r>
      <w:r>
        <w:rPr>
          <w:rFonts w:hAnsi="Times New Roman" w:cs="Times New Roman"/>
          <w:color w:val="auto"/>
          <w:highlight w:val="none"/>
        </w:rPr>
        <w:t>B钢。</w:t>
      </w:r>
    </w:p>
    <w:p w14:paraId="4F9CEF30">
      <w:pPr>
        <w:shd w:val="clear"/>
        <w:jc w:val="both"/>
        <w:rPr>
          <w:rFonts w:hAnsi="Times New Roman" w:cs="Times New Roman"/>
          <w:color w:val="auto"/>
          <w:highlight w:val="none"/>
        </w:rPr>
      </w:pPr>
      <w:r>
        <w:rPr>
          <w:rFonts w:hint="eastAsia" w:hAnsi="Times New Roman" w:cs="Times New Roman"/>
          <w:color w:val="auto"/>
          <w:highlight w:val="none"/>
        </w:rPr>
        <w:t>2）</w:t>
      </w:r>
      <w:r>
        <w:rPr>
          <w:rFonts w:hAnsi="Times New Roman" w:cs="Times New Roman"/>
          <w:color w:val="auto"/>
          <w:highlight w:val="none"/>
        </w:rPr>
        <w:t>其他构件采用Q235B钢。</w:t>
      </w:r>
    </w:p>
    <w:p w14:paraId="0E7026F4">
      <w:pPr>
        <w:shd w:val="clear"/>
        <w:jc w:val="both"/>
        <w:rPr>
          <w:rFonts w:hAnsi="Times New Roman" w:cs="Times New Roman"/>
          <w:color w:val="auto"/>
          <w:highlight w:val="none"/>
        </w:rPr>
      </w:pPr>
      <w:r>
        <w:rPr>
          <w:rFonts w:hint="eastAsia" w:hAnsi="Times New Roman" w:cs="Times New Roman"/>
          <w:color w:val="auto"/>
          <w:highlight w:val="none"/>
        </w:rPr>
        <w:t>3）</w:t>
      </w:r>
      <w:r>
        <w:rPr>
          <w:rFonts w:hAnsi="Times New Roman" w:cs="Times New Roman"/>
          <w:color w:val="auto"/>
          <w:highlight w:val="none"/>
        </w:rPr>
        <w:t>柱脚锚栓采用Q235或</w:t>
      </w:r>
      <w:r>
        <w:rPr>
          <w:rFonts w:hint="eastAsia" w:hAnsi="Times New Roman" w:cs="Times New Roman"/>
          <w:color w:val="auto"/>
          <w:highlight w:val="none"/>
        </w:rPr>
        <w:t>Q355</w:t>
      </w:r>
      <w:r>
        <w:rPr>
          <w:rFonts w:hAnsi="Times New Roman" w:cs="Times New Roman"/>
          <w:color w:val="auto"/>
          <w:highlight w:val="none"/>
        </w:rPr>
        <w:t>钢制作。</w:t>
      </w:r>
    </w:p>
    <w:p w14:paraId="02F56452">
      <w:pPr>
        <w:shd w:val="clear"/>
        <w:jc w:val="both"/>
        <w:rPr>
          <w:rFonts w:hAnsi="Times New Roman" w:cs="Times New Roman"/>
          <w:color w:val="auto"/>
          <w:highlight w:val="none"/>
        </w:rPr>
      </w:pPr>
      <w:r>
        <w:rPr>
          <w:rFonts w:hint="eastAsia" w:hAnsi="Times New Roman" w:cs="Times New Roman"/>
          <w:color w:val="auto"/>
          <w:highlight w:val="none"/>
        </w:rPr>
        <w:t>4）</w:t>
      </w:r>
      <w:r>
        <w:rPr>
          <w:rFonts w:hAnsi="Times New Roman" w:cs="Times New Roman"/>
          <w:color w:val="auto"/>
          <w:highlight w:val="none"/>
        </w:rPr>
        <w:t>钢材的力学性能和化成分应符合《低合金高强度结构钢》（GB/T1591-</w:t>
      </w:r>
      <w:r>
        <w:rPr>
          <w:rFonts w:hint="eastAsia" w:hAnsi="Times New Roman" w:cs="Times New Roman"/>
          <w:color w:val="auto"/>
          <w:highlight w:val="none"/>
        </w:rPr>
        <w:t>2018）、《碳素结构钢》（</w:t>
      </w:r>
      <w:r>
        <w:rPr>
          <w:rFonts w:hAnsi="Times New Roman" w:cs="Times New Roman"/>
          <w:color w:val="auto"/>
          <w:highlight w:val="none"/>
        </w:rPr>
        <w:t>GB/T700-2006）的规定。焊接材料：</w:t>
      </w:r>
      <w:r>
        <w:rPr>
          <w:rFonts w:hint="eastAsia" w:hAnsi="Times New Roman" w:cs="Times New Roman"/>
          <w:color w:val="auto"/>
          <w:highlight w:val="none"/>
        </w:rPr>
        <w:t>Q355</w:t>
      </w:r>
      <w:r>
        <w:rPr>
          <w:rFonts w:hAnsi="Times New Roman" w:cs="Times New Roman"/>
          <w:color w:val="auto"/>
          <w:highlight w:val="none"/>
        </w:rPr>
        <w:t>B钢，手工电弧焊时，采用E5001、E5003型焊条；Q235B钢，手工电弧焊时采用E4301</w:t>
      </w:r>
      <w:r>
        <w:rPr>
          <w:rFonts w:hint="eastAsia" w:hAnsi="Times New Roman" w:cs="Times New Roman"/>
          <w:color w:val="auto"/>
          <w:highlight w:val="none"/>
        </w:rPr>
        <w:t>、</w:t>
      </w:r>
      <w:r>
        <w:rPr>
          <w:rFonts w:hAnsi="Times New Roman" w:cs="Times New Roman"/>
          <w:color w:val="auto"/>
          <w:highlight w:val="none"/>
        </w:rPr>
        <w:t>E4303型焊条。自动埋弧焊时采用H08A</w:t>
      </w:r>
      <w:r>
        <w:rPr>
          <w:rFonts w:hint="eastAsia" w:hAnsi="Times New Roman" w:cs="Times New Roman"/>
          <w:color w:val="auto"/>
          <w:highlight w:val="none"/>
        </w:rPr>
        <w:t>焊丝，配以相应焊剂。Q355</w:t>
      </w:r>
      <w:r>
        <w:rPr>
          <w:rFonts w:hAnsi="Times New Roman" w:cs="Times New Roman"/>
          <w:color w:val="auto"/>
          <w:highlight w:val="none"/>
        </w:rPr>
        <w:t>钢与Q235钢的焊接，按Q235钢的要求选用焊接材料。采用的焊接材料均应符合《</w:t>
      </w:r>
      <w:r>
        <w:rPr>
          <w:rFonts w:hint="eastAsia" w:hAnsi="Times New Roman" w:cs="Times New Roman"/>
          <w:color w:val="auto"/>
          <w:highlight w:val="none"/>
        </w:rPr>
        <w:t>热强</w:t>
      </w:r>
      <w:r>
        <w:rPr>
          <w:rFonts w:hAnsi="Times New Roman" w:cs="Times New Roman"/>
          <w:color w:val="auto"/>
          <w:highlight w:val="none"/>
        </w:rPr>
        <w:t>钢焊条》（GB/T5118-</w:t>
      </w:r>
      <w:r>
        <w:rPr>
          <w:rFonts w:hint="eastAsia" w:hAnsi="Times New Roman" w:cs="Times New Roman"/>
          <w:color w:val="auto"/>
          <w:highlight w:val="none"/>
        </w:rPr>
        <w:t>2012）、《非合金钢及细晶粒钢焊条》（GB/T5117-2012）、《</w:t>
      </w:r>
      <w:r>
        <w:rPr>
          <w:rFonts w:hAnsi="Times New Roman" w:cs="Times New Roman"/>
          <w:color w:val="auto"/>
          <w:highlight w:val="none"/>
        </w:rPr>
        <w:t>埋弧焊用非合金钢及细晶粒钢实心焊丝、药芯焊丝和焊丝-焊剂组合分类要求</w:t>
      </w:r>
      <w:r>
        <w:rPr>
          <w:rFonts w:hint="eastAsia" w:hAnsi="Times New Roman" w:cs="Times New Roman"/>
          <w:color w:val="auto"/>
          <w:highlight w:val="none"/>
        </w:rPr>
        <w:t>》（</w:t>
      </w:r>
      <w:r>
        <w:rPr>
          <w:rFonts w:hAnsi="Times New Roman" w:cs="Times New Roman"/>
          <w:color w:val="auto"/>
          <w:highlight w:val="none"/>
        </w:rPr>
        <w:t>GB/T5293-</w:t>
      </w:r>
      <w:r>
        <w:rPr>
          <w:rFonts w:hint="eastAsia" w:hAnsi="Times New Roman" w:cs="Times New Roman"/>
          <w:color w:val="auto"/>
          <w:highlight w:val="none"/>
        </w:rPr>
        <w:t>2018）等的规定。如采用气体保护焊则应符合《熔化极气体保护电弧焊用非合金钢及细晶粒钢实心焊丝》（</w:t>
      </w:r>
      <w:r>
        <w:rPr>
          <w:rFonts w:hAnsi="Times New Roman" w:cs="Times New Roman"/>
          <w:color w:val="auto"/>
          <w:highlight w:val="none"/>
        </w:rPr>
        <w:t>GB/T8110-</w:t>
      </w:r>
      <w:r>
        <w:rPr>
          <w:rFonts w:hint="eastAsia" w:hAnsi="Times New Roman" w:cs="Times New Roman"/>
          <w:color w:val="auto"/>
          <w:highlight w:val="none"/>
        </w:rPr>
        <w:t>2020）的规定。</w:t>
      </w:r>
    </w:p>
    <w:p w14:paraId="6C84076E">
      <w:pPr>
        <w:shd w:val="clear"/>
        <w:jc w:val="both"/>
        <w:rPr>
          <w:rFonts w:hAnsi="Times New Roman" w:cs="Times New Roman"/>
          <w:color w:val="auto"/>
          <w:highlight w:val="none"/>
        </w:rPr>
      </w:pPr>
      <w:r>
        <w:rPr>
          <w:rFonts w:hint="eastAsia" w:hAnsi="Times New Roman" w:cs="Times New Roman"/>
          <w:color w:val="auto"/>
          <w:highlight w:val="none"/>
        </w:rPr>
        <w:t>5）</w:t>
      </w:r>
      <w:r>
        <w:rPr>
          <w:rFonts w:hAnsi="Times New Roman" w:cs="Times New Roman"/>
          <w:color w:val="auto"/>
          <w:highlight w:val="none"/>
        </w:rPr>
        <w:t>普通螺栓（性能等级为4.6级）采用Q235B钢制作。螺栓、螺母和垫圈应符合GB/T5780-20</w:t>
      </w:r>
      <w:r>
        <w:rPr>
          <w:rFonts w:hint="eastAsia" w:hAnsi="Times New Roman" w:cs="Times New Roman"/>
          <w:color w:val="auto"/>
          <w:highlight w:val="none"/>
        </w:rPr>
        <w:t>16</w:t>
      </w:r>
      <w:r>
        <w:rPr>
          <w:rFonts w:hAnsi="Times New Roman" w:cs="Times New Roman"/>
          <w:color w:val="auto"/>
          <w:highlight w:val="none"/>
        </w:rPr>
        <w:t>、GB/T41-20</w:t>
      </w:r>
      <w:r>
        <w:rPr>
          <w:rFonts w:hint="eastAsia" w:hAnsi="Times New Roman" w:cs="Times New Roman"/>
          <w:color w:val="auto"/>
          <w:highlight w:val="none"/>
        </w:rPr>
        <w:t>16、</w:t>
      </w:r>
      <w:r>
        <w:rPr>
          <w:rFonts w:hAnsi="Times New Roman" w:cs="Times New Roman"/>
          <w:color w:val="auto"/>
          <w:highlight w:val="none"/>
        </w:rPr>
        <w:t>GB/T95-2002的规定。</w:t>
      </w:r>
    </w:p>
    <w:p w14:paraId="53FAE7FB">
      <w:pPr>
        <w:shd w:val="clear"/>
        <w:jc w:val="both"/>
        <w:rPr>
          <w:rFonts w:hAnsi="Times New Roman" w:cs="Times New Roman"/>
          <w:color w:val="auto"/>
          <w:highlight w:val="none"/>
        </w:rPr>
      </w:pPr>
      <w:r>
        <w:rPr>
          <w:rFonts w:hint="eastAsia" w:hAnsi="Times New Roman" w:cs="Times New Roman"/>
          <w:color w:val="auto"/>
          <w:highlight w:val="none"/>
        </w:rPr>
        <w:t>6）</w:t>
      </w:r>
      <w:r>
        <w:rPr>
          <w:rFonts w:hAnsi="Times New Roman" w:cs="Times New Roman"/>
          <w:color w:val="auto"/>
          <w:highlight w:val="none"/>
        </w:rPr>
        <w:t>高强度螺栓采用10.9</w:t>
      </w:r>
      <w:r>
        <w:rPr>
          <w:rFonts w:hint="eastAsia" w:hAnsi="Times New Roman" w:cs="Times New Roman"/>
          <w:color w:val="auto"/>
          <w:highlight w:val="none"/>
        </w:rPr>
        <w:t>级扭剪型高强度螺栓时，应符合《钢结构用扭剪型高强度螺栓连接副》（</w:t>
      </w:r>
      <w:r>
        <w:rPr>
          <w:rFonts w:hAnsi="Times New Roman" w:cs="Times New Roman"/>
          <w:color w:val="auto"/>
          <w:highlight w:val="none"/>
        </w:rPr>
        <w:t>GB/T3632-</w:t>
      </w:r>
      <w:r>
        <w:rPr>
          <w:rFonts w:hint="eastAsia" w:hAnsi="Times New Roman" w:cs="Times New Roman"/>
          <w:color w:val="auto"/>
          <w:highlight w:val="none"/>
        </w:rPr>
        <w:t>2008）的规定。如采用高强度大六角头螺栓连接副，则应符合《钢结构用高强度大六角头螺栓》</w:t>
      </w:r>
      <w:r>
        <w:rPr>
          <w:rFonts w:hAnsi="Times New Roman" w:cs="Times New Roman"/>
          <w:color w:val="auto"/>
          <w:highlight w:val="none"/>
        </w:rPr>
        <w:t>（GB/T1228-</w:t>
      </w:r>
      <w:r>
        <w:rPr>
          <w:rFonts w:hint="eastAsia" w:hAnsi="Times New Roman" w:cs="Times New Roman"/>
          <w:color w:val="auto"/>
          <w:highlight w:val="none"/>
        </w:rPr>
        <w:t>2006</w:t>
      </w:r>
      <w:r>
        <w:rPr>
          <w:rFonts w:hAnsi="Times New Roman" w:cs="Times New Roman"/>
          <w:color w:val="auto"/>
          <w:highlight w:val="none"/>
        </w:rPr>
        <w:t>）</w:t>
      </w:r>
      <w:r>
        <w:rPr>
          <w:rFonts w:hint="eastAsia" w:hAnsi="Times New Roman" w:cs="Times New Roman"/>
          <w:color w:val="auto"/>
          <w:highlight w:val="none"/>
        </w:rPr>
        <w:t>、《钢结构用高强度大六角螺母》（</w:t>
      </w:r>
      <w:r>
        <w:rPr>
          <w:rFonts w:hAnsi="Times New Roman" w:cs="Times New Roman"/>
          <w:color w:val="auto"/>
          <w:highlight w:val="none"/>
        </w:rPr>
        <w:t>GB/T1229-</w:t>
      </w:r>
      <w:r>
        <w:rPr>
          <w:rFonts w:hint="eastAsia" w:hAnsi="Times New Roman" w:cs="Times New Roman"/>
          <w:color w:val="auto"/>
          <w:highlight w:val="none"/>
        </w:rPr>
        <w:t>2006）、《钢结构用高强度垫圈》（</w:t>
      </w:r>
      <w:r>
        <w:rPr>
          <w:rFonts w:hAnsi="Times New Roman" w:cs="Times New Roman"/>
          <w:color w:val="auto"/>
          <w:highlight w:val="none"/>
        </w:rPr>
        <w:t>GB/T1230-</w:t>
      </w:r>
      <w:r>
        <w:rPr>
          <w:rFonts w:hint="eastAsia" w:hAnsi="Times New Roman" w:cs="Times New Roman"/>
          <w:color w:val="auto"/>
          <w:highlight w:val="none"/>
        </w:rPr>
        <w:t>2006）、《钢结构用高强度大六角头螺栓、大六角螺母、垫圈技术条件》（</w:t>
      </w:r>
      <w:r>
        <w:rPr>
          <w:rFonts w:hAnsi="Times New Roman" w:cs="Times New Roman"/>
          <w:color w:val="auto"/>
          <w:highlight w:val="none"/>
        </w:rPr>
        <w:t>GB/T1231-</w:t>
      </w:r>
      <w:r>
        <w:rPr>
          <w:rFonts w:hint="eastAsia" w:hAnsi="Times New Roman" w:cs="Times New Roman"/>
          <w:color w:val="auto"/>
          <w:highlight w:val="none"/>
        </w:rPr>
        <w:t>2006）的规定。</w:t>
      </w:r>
    </w:p>
    <w:p w14:paraId="2E517000">
      <w:pPr>
        <w:shd w:val="clear"/>
        <w:jc w:val="both"/>
        <w:rPr>
          <w:rFonts w:hAnsi="Times New Roman" w:cs="Times New Roman"/>
          <w:color w:val="auto"/>
          <w:highlight w:val="none"/>
        </w:rPr>
      </w:pPr>
      <w:r>
        <w:rPr>
          <w:rFonts w:hint="eastAsia" w:hAnsi="Times New Roman" w:cs="Times New Roman"/>
          <w:color w:val="auto"/>
          <w:highlight w:val="none"/>
        </w:rPr>
        <w:t>7）</w:t>
      </w:r>
      <w:r>
        <w:rPr>
          <w:rFonts w:hAnsi="Times New Roman" w:cs="Times New Roman"/>
          <w:color w:val="auto"/>
          <w:highlight w:val="none"/>
        </w:rPr>
        <w:t>焊条根据构件的重要性及与主材等强的原则选用。</w:t>
      </w:r>
    </w:p>
    <w:p w14:paraId="491400DC">
      <w:pPr>
        <w:shd w:val="clear"/>
        <w:jc w:val="both"/>
        <w:rPr>
          <w:rFonts w:hAnsi="Times New Roman" w:cs="Times New Roman"/>
          <w:color w:val="auto"/>
          <w:highlight w:val="none"/>
        </w:rPr>
      </w:pPr>
      <w:bookmarkStart w:id="1425" w:name="_Toc11789_WPSOffice_Level2"/>
      <w:bookmarkStart w:id="1426" w:name="_Toc31262"/>
      <w:bookmarkStart w:id="1427" w:name="_Toc15199"/>
      <w:bookmarkStart w:id="1428" w:name="_Toc6156"/>
      <w:bookmarkStart w:id="1429" w:name="_Toc14880"/>
      <w:bookmarkStart w:id="1430" w:name="_Toc28278"/>
      <w:bookmarkStart w:id="1431" w:name="_Toc19275"/>
      <w:bookmarkStart w:id="1432" w:name="_Toc14102"/>
      <w:r>
        <w:rPr>
          <w:rFonts w:hint="eastAsia" w:hAnsi="Times New Roman" w:cs="Times New Roman"/>
          <w:color w:val="auto"/>
          <w:highlight w:val="none"/>
        </w:rPr>
        <w:t>(2)钢构件的除锈、涂装</w:t>
      </w:r>
      <w:bookmarkEnd w:id="1425"/>
      <w:bookmarkEnd w:id="1426"/>
      <w:bookmarkEnd w:id="1427"/>
      <w:bookmarkEnd w:id="1428"/>
      <w:bookmarkEnd w:id="1429"/>
      <w:bookmarkEnd w:id="1430"/>
      <w:bookmarkEnd w:id="1431"/>
      <w:bookmarkEnd w:id="1432"/>
    </w:p>
    <w:p w14:paraId="79D0078D">
      <w:pPr>
        <w:shd w:val="clear"/>
        <w:jc w:val="both"/>
        <w:rPr>
          <w:rFonts w:hAnsi="Times New Roman" w:cs="Times New Roman"/>
          <w:color w:val="auto"/>
          <w:highlight w:val="none"/>
        </w:rPr>
      </w:pPr>
      <w:r>
        <w:rPr>
          <w:rFonts w:hint="eastAsia" w:hAnsi="Times New Roman" w:cs="Times New Roman"/>
          <w:color w:val="auto"/>
          <w:highlight w:val="none"/>
        </w:rPr>
        <w:t>按以下要求选用。</w:t>
      </w:r>
    </w:p>
    <w:p w14:paraId="31EE8D44">
      <w:pPr>
        <w:shd w:val="clear"/>
        <w:jc w:val="both"/>
        <w:rPr>
          <w:rFonts w:hAnsi="Times New Roman" w:cs="Times New Roman"/>
          <w:color w:val="auto"/>
          <w:highlight w:val="none"/>
        </w:rPr>
      </w:pPr>
      <w:r>
        <w:rPr>
          <w:rFonts w:hint="eastAsia" w:hAnsi="Times New Roman" w:cs="Times New Roman"/>
          <w:color w:val="auto"/>
          <w:highlight w:val="none"/>
        </w:rPr>
        <w:t>1）</w:t>
      </w:r>
      <w:r>
        <w:rPr>
          <w:rFonts w:hAnsi="Times New Roman" w:cs="Times New Roman"/>
          <w:color w:val="auto"/>
          <w:highlight w:val="none"/>
        </w:rPr>
        <w:t>柱、梁、桁架、</w:t>
      </w:r>
      <w:r>
        <w:rPr>
          <w:rFonts w:hint="eastAsia" w:hAnsi="Times New Roman" w:cs="Times New Roman"/>
          <w:color w:val="auto"/>
          <w:highlight w:val="none"/>
        </w:rPr>
        <w:t>支架、</w:t>
      </w:r>
      <w:r>
        <w:rPr>
          <w:rFonts w:hAnsi="Times New Roman" w:cs="Times New Roman"/>
          <w:color w:val="auto"/>
          <w:highlight w:val="none"/>
        </w:rPr>
        <w:t>托梁和柱间支撑等主要受力构件除锈等级为Sa2.5级，涂装</w:t>
      </w:r>
      <w:r>
        <w:rPr>
          <w:rFonts w:hint="eastAsia" w:hAnsi="Times New Roman" w:cs="Times New Roman"/>
          <w:color w:val="auto"/>
          <w:highlight w:val="none"/>
        </w:rPr>
        <w:t>按相关标准和规定。</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0"/>
        <w:gridCol w:w="650"/>
        <w:gridCol w:w="1620"/>
        <w:gridCol w:w="1620"/>
        <w:gridCol w:w="1390"/>
        <w:gridCol w:w="1214"/>
        <w:gridCol w:w="1169"/>
      </w:tblGrid>
      <w:tr w14:paraId="4E9A1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20" w:type="dxa"/>
            <w:gridSpan w:val="2"/>
            <w:vMerge w:val="restart"/>
            <w:tcBorders>
              <w:top w:val="single" w:color="000000" w:sz="2" w:space="0"/>
              <w:left w:val="single" w:color="000000" w:sz="2" w:space="0"/>
              <w:bottom w:val="single" w:color="000000" w:sz="2" w:space="0"/>
              <w:right w:val="single" w:color="000000" w:sz="2" w:space="0"/>
            </w:tcBorders>
            <w:vAlign w:val="center"/>
          </w:tcPr>
          <w:p w14:paraId="5CFCCF09">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项目</w:t>
            </w:r>
          </w:p>
        </w:tc>
        <w:tc>
          <w:tcPr>
            <w:tcW w:w="5844" w:type="dxa"/>
            <w:gridSpan w:val="4"/>
            <w:tcBorders>
              <w:top w:val="single" w:color="000000" w:sz="2" w:space="0"/>
              <w:left w:val="single" w:color="auto" w:sz="4" w:space="0"/>
              <w:bottom w:val="single" w:color="000000" w:sz="2" w:space="0"/>
              <w:right w:val="single" w:color="000000" w:sz="2" w:space="0"/>
            </w:tcBorders>
            <w:vAlign w:val="center"/>
          </w:tcPr>
          <w:p w14:paraId="20A6D5CE">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涂层结构</w:t>
            </w:r>
          </w:p>
        </w:tc>
        <w:tc>
          <w:tcPr>
            <w:tcW w:w="1169" w:type="dxa"/>
            <w:tcBorders>
              <w:top w:val="single" w:color="000000" w:sz="2" w:space="0"/>
              <w:left w:val="single" w:color="auto" w:sz="4" w:space="0"/>
              <w:bottom w:val="single" w:color="000000" w:sz="2" w:space="0"/>
              <w:right w:val="single" w:color="000000" w:sz="2" w:space="0"/>
            </w:tcBorders>
            <w:vAlign w:val="center"/>
          </w:tcPr>
          <w:p w14:paraId="7B7965B9">
            <w:pPr>
              <w:shd w:val="clear"/>
              <w:ind w:firstLine="0" w:firstLineChars="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表面处理</w:t>
            </w:r>
          </w:p>
        </w:tc>
      </w:tr>
      <w:tr w14:paraId="7AC4A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20" w:type="dxa"/>
            <w:gridSpan w:val="2"/>
            <w:vMerge w:val="continue"/>
            <w:tcBorders>
              <w:top w:val="single" w:color="auto" w:sz="4" w:space="0"/>
              <w:left w:val="single" w:color="auto" w:sz="4" w:space="0"/>
              <w:bottom w:val="single" w:color="auto" w:sz="4" w:space="0"/>
              <w:right w:val="single" w:color="auto" w:sz="4" w:space="0"/>
            </w:tcBorders>
          </w:tcPr>
          <w:p w14:paraId="3A8193EF">
            <w:pPr>
              <w:shd w:val="clear"/>
              <w:ind w:firstLine="420"/>
              <w:jc w:val="center"/>
              <w:rPr>
                <w:rFonts w:hAnsi="Times New Roman" w:cs="Times New Roman"/>
                <w:color w:val="auto"/>
                <w:kern w:val="0"/>
                <w:sz w:val="21"/>
                <w:szCs w:val="21"/>
                <w:highlight w:val="none"/>
              </w:rPr>
            </w:pPr>
          </w:p>
        </w:tc>
        <w:tc>
          <w:tcPr>
            <w:tcW w:w="1620" w:type="dxa"/>
            <w:tcBorders>
              <w:top w:val="single" w:color="auto" w:sz="4" w:space="0"/>
              <w:left w:val="single" w:color="auto" w:sz="4" w:space="0"/>
              <w:bottom w:val="single" w:color="000000" w:sz="2" w:space="0"/>
              <w:right w:val="single" w:color="000000" w:sz="2" w:space="0"/>
            </w:tcBorders>
            <w:vAlign w:val="center"/>
          </w:tcPr>
          <w:p w14:paraId="6AA08092">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底漆</w:t>
            </w:r>
          </w:p>
        </w:tc>
        <w:tc>
          <w:tcPr>
            <w:tcW w:w="1620" w:type="dxa"/>
            <w:tcBorders>
              <w:top w:val="single" w:color="auto" w:sz="4" w:space="0"/>
              <w:left w:val="single" w:color="auto" w:sz="4" w:space="0"/>
              <w:bottom w:val="single" w:color="000000" w:sz="2" w:space="0"/>
              <w:right w:val="single" w:color="000000" w:sz="2" w:space="0"/>
            </w:tcBorders>
            <w:vAlign w:val="center"/>
          </w:tcPr>
          <w:p w14:paraId="75CCE6DE">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中间漆</w:t>
            </w:r>
          </w:p>
        </w:tc>
        <w:tc>
          <w:tcPr>
            <w:tcW w:w="1390" w:type="dxa"/>
            <w:tcBorders>
              <w:top w:val="single" w:color="auto" w:sz="4" w:space="0"/>
              <w:left w:val="single" w:color="auto" w:sz="4" w:space="0"/>
              <w:bottom w:val="single" w:color="000000" w:sz="2" w:space="0"/>
              <w:right w:val="single" w:color="000000" w:sz="2" w:space="0"/>
            </w:tcBorders>
            <w:vAlign w:val="center"/>
          </w:tcPr>
          <w:p w14:paraId="41D10B7E">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面漆</w:t>
            </w:r>
          </w:p>
        </w:tc>
        <w:tc>
          <w:tcPr>
            <w:tcW w:w="1214" w:type="dxa"/>
            <w:tcBorders>
              <w:top w:val="single" w:color="auto" w:sz="4" w:space="0"/>
              <w:left w:val="single" w:color="auto" w:sz="4" w:space="0"/>
              <w:bottom w:val="single" w:color="000000" w:sz="2" w:space="0"/>
              <w:right w:val="single" w:color="000000" w:sz="2" w:space="0"/>
            </w:tcBorders>
            <w:vAlign w:val="center"/>
          </w:tcPr>
          <w:p w14:paraId="0C660630">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修补漆</w:t>
            </w:r>
          </w:p>
        </w:tc>
        <w:tc>
          <w:tcPr>
            <w:tcW w:w="1169" w:type="dxa"/>
            <w:vMerge w:val="restart"/>
            <w:tcBorders>
              <w:top w:val="single" w:color="auto" w:sz="4" w:space="0"/>
              <w:left w:val="single" w:color="auto" w:sz="4" w:space="0"/>
              <w:bottom w:val="single" w:color="000000" w:sz="2" w:space="0"/>
              <w:right w:val="single" w:color="000000" w:sz="2" w:space="0"/>
            </w:tcBorders>
            <w:vAlign w:val="center"/>
          </w:tcPr>
          <w:p w14:paraId="6D64707A">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Sa2</w:t>
            </w:r>
            <w:r>
              <w:rPr>
                <w:rFonts w:hint="eastAsia" w:hAnsi="Times New Roman" w:cs="Times New Roman"/>
                <w:color w:val="auto"/>
                <w:kern w:val="0"/>
                <w:sz w:val="21"/>
                <w:szCs w:val="21"/>
                <w:highlight w:val="none"/>
              </w:rPr>
              <w:t>.5</w:t>
            </w:r>
          </w:p>
          <w:p w14:paraId="7A4882B2">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级除 锈</w:t>
            </w:r>
          </w:p>
        </w:tc>
      </w:tr>
      <w:tr w14:paraId="37EE6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8" w:hRule="atLeast"/>
        </w:trPr>
        <w:tc>
          <w:tcPr>
            <w:tcW w:w="1620" w:type="dxa"/>
            <w:gridSpan w:val="2"/>
            <w:tcBorders>
              <w:top w:val="single" w:color="auto" w:sz="4" w:space="0"/>
              <w:left w:val="single" w:color="000000" w:sz="2" w:space="0"/>
              <w:bottom w:val="single" w:color="000000" w:sz="2" w:space="0"/>
              <w:right w:val="single" w:color="000000" w:sz="2" w:space="0"/>
            </w:tcBorders>
            <w:vAlign w:val="center"/>
          </w:tcPr>
          <w:p w14:paraId="1CEF22B9">
            <w:pPr>
              <w:shd w:val="clear"/>
              <w:ind w:firstLine="420"/>
              <w:jc w:val="both"/>
              <w:rPr>
                <w:rFonts w:hAnsi="Times New Roman" w:cs="Times New Roman"/>
                <w:color w:val="auto"/>
                <w:kern w:val="0"/>
                <w:sz w:val="21"/>
                <w:szCs w:val="21"/>
                <w:highlight w:val="none"/>
              </w:rPr>
            </w:pPr>
            <w:r>
              <w:rPr>
                <w:rFonts w:hAnsi="Times New Roman" w:cs="Times New Roman"/>
                <w:color w:val="auto"/>
                <w:kern w:val="0"/>
                <w:sz w:val="21"/>
                <w:szCs w:val="21"/>
                <w:highlight w:val="none"/>
              </w:rPr>
              <w:t>涂料名称</w:t>
            </w:r>
          </w:p>
          <w:p w14:paraId="448993DB">
            <w:pPr>
              <w:shd w:val="clear"/>
              <w:ind w:firstLine="420"/>
              <w:jc w:val="both"/>
              <w:rPr>
                <w:rFonts w:hAnsi="Times New Roman" w:cs="Times New Roman"/>
                <w:color w:val="auto"/>
                <w:kern w:val="0"/>
                <w:sz w:val="21"/>
                <w:szCs w:val="21"/>
                <w:highlight w:val="none"/>
              </w:rPr>
            </w:pPr>
            <w:r>
              <w:rPr>
                <w:rFonts w:hAnsi="Times New Roman" w:cs="Times New Roman"/>
                <w:color w:val="auto"/>
                <w:kern w:val="0"/>
                <w:sz w:val="21"/>
                <w:szCs w:val="21"/>
                <w:highlight w:val="none"/>
              </w:rPr>
              <w:t>及型号</w:t>
            </w:r>
          </w:p>
        </w:tc>
        <w:tc>
          <w:tcPr>
            <w:tcW w:w="1620" w:type="dxa"/>
            <w:tcBorders>
              <w:top w:val="single" w:color="auto" w:sz="4" w:space="0"/>
              <w:left w:val="single" w:color="auto" w:sz="4" w:space="0"/>
              <w:bottom w:val="single" w:color="000000" w:sz="2" w:space="0"/>
              <w:right w:val="single" w:color="000000" w:sz="2" w:space="0"/>
            </w:tcBorders>
            <w:vAlign w:val="center"/>
          </w:tcPr>
          <w:p w14:paraId="452BCD14">
            <w:pPr>
              <w:shd w:val="clear"/>
              <w:ind w:firstLine="0" w:firstLineChars="0"/>
              <w:jc w:val="center"/>
              <w:rPr>
                <w:rFonts w:hAnsi="Times New Roman" w:cs="Times New Roman"/>
                <w:color w:val="auto"/>
                <w:kern w:val="0"/>
                <w:sz w:val="21"/>
                <w:szCs w:val="21"/>
                <w:highlight w:val="none"/>
              </w:rPr>
            </w:pPr>
            <w:r>
              <w:rPr>
                <w:rFonts w:hint="eastAsia" w:hAnsi="Times New Roman" w:cs="Times New Roman"/>
                <w:color w:val="auto"/>
                <w:kern w:val="0"/>
                <w:sz w:val="21"/>
                <w:szCs w:val="21"/>
                <w:highlight w:val="none"/>
              </w:rPr>
              <w:t>环氧富锌底漆</w:t>
            </w:r>
          </w:p>
        </w:tc>
        <w:tc>
          <w:tcPr>
            <w:tcW w:w="1620" w:type="dxa"/>
            <w:tcBorders>
              <w:top w:val="single" w:color="auto" w:sz="4" w:space="0"/>
              <w:left w:val="single" w:color="auto" w:sz="4" w:space="0"/>
              <w:bottom w:val="single" w:color="000000" w:sz="2" w:space="0"/>
              <w:right w:val="single" w:color="000000" w:sz="2" w:space="0"/>
            </w:tcBorders>
            <w:vAlign w:val="center"/>
          </w:tcPr>
          <w:p w14:paraId="636DFDE5">
            <w:pPr>
              <w:shd w:val="clear"/>
              <w:ind w:firstLine="0" w:firstLineChars="0"/>
              <w:jc w:val="center"/>
              <w:rPr>
                <w:rFonts w:hAnsi="Times New Roman" w:cs="Times New Roman"/>
                <w:color w:val="auto"/>
                <w:kern w:val="0"/>
                <w:sz w:val="21"/>
                <w:szCs w:val="21"/>
                <w:highlight w:val="none"/>
              </w:rPr>
            </w:pPr>
            <w:r>
              <w:rPr>
                <w:rFonts w:hint="eastAsia" w:hAnsi="Times New Roman" w:cs="Times New Roman"/>
                <w:color w:val="auto"/>
                <w:kern w:val="0"/>
                <w:sz w:val="21"/>
                <w:szCs w:val="21"/>
                <w:highlight w:val="none"/>
              </w:rPr>
              <w:t>环氧云铁中间漆</w:t>
            </w:r>
          </w:p>
        </w:tc>
        <w:tc>
          <w:tcPr>
            <w:tcW w:w="1390" w:type="dxa"/>
            <w:tcBorders>
              <w:top w:val="single" w:color="auto" w:sz="4" w:space="0"/>
              <w:left w:val="single" w:color="auto" w:sz="4" w:space="0"/>
              <w:bottom w:val="single" w:color="000000" w:sz="2" w:space="0"/>
              <w:right w:val="single" w:color="000000" w:sz="2" w:space="0"/>
            </w:tcBorders>
            <w:vAlign w:val="center"/>
          </w:tcPr>
          <w:p w14:paraId="33C03D4E">
            <w:pPr>
              <w:shd w:val="clear"/>
              <w:ind w:firstLine="0" w:firstLineChars="0"/>
              <w:jc w:val="center"/>
              <w:rPr>
                <w:rFonts w:hAnsi="Times New Roman" w:cs="Times New Roman"/>
                <w:color w:val="auto"/>
                <w:kern w:val="0"/>
                <w:sz w:val="21"/>
                <w:szCs w:val="21"/>
                <w:highlight w:val="none"/>
              </w:rPr>
            </w:pPr>
            <w:r>
              <w:rPr>
                <w:rFonts w:hint="eastAsia" w:hAnsi="Times New Roman" w:cs="Times New Roman"/>
                <w:color w:val="auto"/>
                <w:kern w:val="0"/>
                <w:sz w:val="21"/>
                <w:szCs w:val="21"/>
                <w:highlight w:val="none"/>
              </w:rPr>
              <w:t>丙烯酸聚氨酯面漆</w:t>
            </w:r>
          </w:p>
        </w:tc>
        <w:tc>
          <w:tcPr>
            <w:tcW w:w="1214" w:type="dxa"/>
            <w:tcBorders>
              <w:top w:val="single" w:color="auto" w:sz="4" w:space="0"/>
              <w:left w:val="single" w:color="auto" w:sz="4" w:space="0"/>
              <w:bottom w:val="single" w:color="000000" w:sz="2" w:space="0"/>
              <w:right w:val="single" w:color="000000" w:sz="2" w:space="0"/>
            </w:tcBorders>
            <w:vAlign w:val="center"/>
          </w:tcPr>
          <w:p w14:paraId="7A079334">
            <w:pPr>
              <w:shd w:val="clear"/>
              <w:ind w:firstLine="0" w:firstLineChars="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同左各层</w:t>
            </w:r>
          </w:p>
        </w:tc>
        <w:tc>
          <w:tcPr>
            <w:tcW w:w="1169" w:type="dxa"/>
            <w:vMerge w:val="continue"/>
            <w:tcBorders>
              <w:top w:val="single" w:color="auto" w:sz="4" w:space="0"/>
              <w:left w:val="single" w:color="auto" w:sz="4" w:space="0"/>
              <w:bottom w:val="single" w:color="auto" w:sz="4" w:space="0"/>
              <w:right w:val="single" w:color="auto" w:sz="4" w:space="0"/>
            </w:tcBorders>
          </w:tcPr>
          <w:p w14:paraId="3E6B7260">
            <w:pPr>
              <w:shd w:val="clear"/>
              <w:ind w:firstLine="420"/>
              <w:jc w:val="center"/>
              <w:rPr>
                <w:rFonts w:hAnsi="Times New Roman" w:cs="Times New Roman"/>
                <w:color w:val="auto"/>
                <w:kern w:val="0"/>
                <w:sz w:val="21"/>
                <w:szCs w:val="21"/>
                <w:highlight w:val="none"/>
              </w:rPr>
            </w:pPr>
          </w:p>
        </w:tc>
      </w:tr>
      <w:tr w14:paraId="0C0D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1" w:hRule="atLeast"/>
        </w:trPr>
        <w:tc>
          <w:tcPr>
            <w:tcW w:w="970" w:type="dxa"/>
            <w:vMerge w:val="restart"/>
            <w:tcBorders>
              <w:top w:val="single" w:color="auto" w:sz="4" w:space="0"/>
              <w:left w:val="single" w:color="000000" w:sz="2" w:space="0"/>
              <w:bottom w:val="single" w:color="000000" w:sz="2" w:space="0"/>
              <w:right w:val="single" w:color="000000" w:sz="2" w:space="0"/>
            </w:tcBorders>
            <w:vAlign w:val="center"/>
          </w:tcPr>
          <w:p w14:paraId="57F7B94E">
            <w:pPr>
              <w:shd w:val="clear"/>
              <w:ind w:firstLine="0" w:firstLineChars="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涂层厚度微米/层数</w:t>
            </w:r>
          </w:p>
        </w:tc>
        <w:tc>
          <w:tcPr>
            <w:tcW w:w="650" w:type="dxa"/>
            <w:tcBorders>
              <w:top w:val="single" w:color="auto" w:sz="4" w:space="0"/>
              <w:left w:val="single" w:color="auto" w:sz="4" w:space="0"/>
              <w:bottom w:val="single" w:color="000000" w:sz="2" w:space="0"/>
              <w:right w:val="single" w:color="000000" w:sz="2" w:space="0"/>
            </w:tcBorders>
            <w:vAlign w:val="center"/>
          </w:tcPr>
          <w:p w14:paraId="4BBD5339">
            <w:pPr>
              <w:shd w:val="clear"/>
              <w:ind w:firstLine="0" w:firstLineChars="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室内</w:t>
            </w:r>
          </w:p>
        </w:tc>
        <w:tc>
          <w:tcPr>
            <w:tcW w:w="1620" w:type="dxa"/>
            <w:tcBorders>
              <w:top w:val="single" w:color="auto" w:sz="4" w:space="0"/>
              <w:left w:val="single" w:color="auto" w:sz="4" w:space="0"/>
              <w:bottom w:val="single" w:color="000000" w:sz="2" w:space="0"/>
              <w:right w:val="single" w:color="000000" w:sz="2" w:space="0"/>
            </w:tcBorders>
            <w:vAlign w:val="center"/>
          </w:tcPr>
          <w:p w14:paraId="6D61ACFE">
            <w:pPr>
              <w:shd w:val="clear"/>
              <w:ind w:firstLine="420"/>
              <w:jc w:val="center"/>
              <w:rPr>
                <w:rFonts w:hAnsi="Times New Roman" w:cs="Times New Roman"/>
                <w:color w:val="auto"/>
                <w:kern w:val="0"/>
                <w:sz w:val="21"/>
                <w:szCs w:val="21"/>
                <w:highlight w:val="none"/>
              </w:rPr>
            </w:pPr>
            <w:r>
              <w:rPr>
                <w:rFonts w:hint="eastAsia" w:hAnsi="Times New Roman" w:cs="Times New Roman"/>
                <w:color w:val="auto"/>
                <w:kern w:val="0"/>
                <w:sz w:val="21"/>
                <w:szCs w:val="21"/>
                <w:highlight w:val="none"/>
              </w:rPr>
              <w:t>40</w:t>
            </w:r>
            <w:r>
              <w:rPr>
                <w:rFonts w:hAnsi="Times New Roman" w:cs="Times New Roman"/>
                <w:color w:val="auto"/>
                <w:kern w:val="0"/>
                <w:sz w:val="21"/>
                <w:szCs w:val="21"/>
                <w:highlight w:val="none"/>
              </w:rPr>
              <w:t>/</w:t>
            </w:r>
            <w:r>
              <w:rPr>
                <w:rFonts w:hint="eastAsia" w:hAnsi="Times New Roman" w:cs="Times New Roman"/>
                <w:color w:val="auto"/>
                <w:kern w:val="0"/>
                <w:sz w:val="21"/>
                <w:szCs w:val="21"/>
                <w:highlight w:val="none"/>
              </w:rPr>
              <w:t>1</w:t>
            </w:r>
          </w:p>
        </w:tc>
        <w:tc>
          <w:tcPr>
            <w:tcW w:w="1620" w:type="dxa"/>
            <w:tcBorders>
              <w:top w:val="single" w:color="auto" w:sz="4" w:space="0"/>
              <w:left w:val="single" w:color="auto" w:sz="4" w:space="0"/>
              <w:bottom w:val="single" w:color="000000" w:sz="2" w:space="0"/>
              <w:right w:val="single" w:color="000000" w:sz="2" w:space="0"/>
            </w:tcBorders>
            <w:vAlign w:val="center"/>
          </w:tcPr>
          <w:p w14:paraId="528C24AE">
            <w:pPr>
              <w:shd w:val="clear"/>
              <w:ind w:firstLine="420"/>
              <w:jc w:val="center"/>
              <w:rPr>
                <w:rFonts w:hAnsi="Times New Roman" w:cs="Times New Roman"/>
                <w:color w:val="auto"/>
                <w:kern w:val="0"/>
                <w:sz w:val="21"/>
                <w:szCs w:val="21"/>
                <w:highlight w:val="none"/>
              </w:rPr>
            </w:pPr>
            <w:r>
              <w:rPr>
                <w:rFonts w:hint="eastAsia" w:hAnsi="Times New Roman" w:cs="Times New Roman"/>
                <w:color w:val="auto"/>
                <w:kern w:val="0"/>
                <w:sz w:val="21"/>
                <w:szCs w:val="21"/>
                <w:highlight w:val="none"/>
              </w:rPr>
              <w:t>70</w:t>
            </w:r>
            <w:r>
              <w:rPr>
                <w:rFonts w:hAnsi="Times New Roman" w:cs="Times New Roman"/>
                <w:color w:val="auto"/>
                <w:kern w:val="0"/>
                <w:sz w:val="21"/>
                <w:szCs w:val="21"/>
                <w:highlight w:val="none"/>
              </w:rPr>
              <w:t>/</w:t>
            </w:r>
            <w:r>
              <w:rPr>
                <w:rFonts w:hint="eastAsia" w:hAnsi="Times New Roman" w:cs="Times New Roman"/>
                <w:color w:val="auto"/>
                <w:kern w:val="0"/>
                <w:sz w:val="21"/>
                <w:szCs w:val="21"/>
                <w:highlight w:val="none"/>
              </w:rPr>
              <w:t>1</w:t>
            </w:r>
          </w:p>
        </w:tc>
        <w:tc>
          <w:tcPr>
            <w:tcW w:w="1390" w:type="dxa"/>
            <w:tcBorders>
              <w:top w:val="single" w:color="auto" w:sz="4" w:space="0"/>
              <w:left w:val="single" w:color="auto" w:sz="4" w:space="0"/>
              <w:bottom w:val="single" w:color="000000" w:sz="2" w:space="0"/>
              <w:right w:val="single" w:color="000000" w:sz="2" w:space="0"/>
            </w:tcBorders>
            <w:vAlign w:val="center"/>
          </w:tcPr>
          <w:p w14:paraId="3096DE63">
            <w:pPr>
              <w:shd w:val="clear"/>
              <w:ind w:firstLine="420"/>
              <w:jc w:val="center"/>
              <w:rPr>
                <w:rFonts w:hAnsi="Times New Roman" w:cs="Times New Roman"/>
                <w:color w:val="auto"/>
                <w:kern w:val="0"/>
                <w:sz w:val="21"/>
                <w:szCs w:val="21"/>
                <w:highlight w:val="none"/>
              </w:rPr>
            </w:pPr>
            <w:r>
              <w:rPr>
                <w:rFonts w:hint="eastAsia" w:hAnsi="Times New Roman" w:cs="Times New Roman"/>
                <w:color w:val="auto"/>
                <w:kern w:val="0"/>
                <w:sz w:val="21"/>
                <w:szCs w:val="21"/>
                <w:highlight w:val="none"/>
              </w:rPr>
              <w:t>70</w:t>
            </w:r>
            <w:r>
              <w:rPr>
                <w:rFonts w:hAnsi="Times New Roman" w:cs="Times New Roman"/>
                <w:color w:val="auto"/>
                <w:kern w:val="0"/>
                <w:sz w:val="21"/>
                <w:szCs w:val="21"/>
                <w:highlight w:val="none"/>
              </w:rPr>
              <w:t>/</w:t>
            </w:r>
            <w:r>
              <w:rPr>
                <w:rFonts w:hint="eastAsia" w:hAnsi="Times New Roman" w:cs="Times New Roman"/>
                <w:color w:val="auto"/>
                <w:kern w:val="0"/>
                <w:sz w:val="21"/>
                <w:szCs w:val="21"/>
                <w:highlight w:val="none"/>
              </w:rPr>
              <w:t>2</w:t>
            </w:r>
          </w:p>
        </w:tc>
        <w:tc>
          <w:tcPr>
            <w:tcW w:w="1214" w:type="dxa"/>
            <w:tcBorders>
              <w:top w:val="single" w:color="auto" w:sz="4" w:space="0"/>
              <w:left w:val="single" w:color="auto" w:sz="4" w:space="0"/>
              <w:bottom w:val="single" w:color="000000" w:sz="2" w:space="0"/>
              <w:right w:val="single" w:color="000000" w:sz="2" w:space="0"/>
            </w:tcBorders>
            <w:vAlign w:val="center"/>
          </w:tcPr>
          <w:p w14:paraId="0614537B">
            <w:pPr>
              <w:shd w:val="clear"/>
              <w:ind w:firstLine="420"/>
              <w:jc w:val="center"/>
              <w:rPr>
                <w:rFonts w:hAnsi="Times New Roman" w:cs="Times New Roman"/>
                <w:color w:val="auto"/>
                <w:kern w:val="0"/>
                <w:sz w:val="21"/>
                <w:szCs w:val="21"/>
                <w:highlight w:val="none"/>
              </w:rPr>
            </w:pPr>
            <w:r>
              <w:rPr>
                <w:rFonts w:hint="eastAsia" w:hAnsi="Times New Roman" w:cs="Times New Roman"/>
                <w:color w:val="auto"/>
                <w:kern w:val="0"/>
                <w:sz w:val="21"/>
                <w:szCs w:val="21"/>
                <w:highlight w:val="none"/>
              </w:rPr>
              <w:t>180</w:t>
            </w:r>
            <w:r>
              <w:rPr>
                <w:rFonts w:hAnsi="Times New Roman" w:cs="Times New Roman"/>
                <w:color w:val="auto"/>
                <w:kern w:val="0"/>
                <w:sz w:val="21"/>
                <w:szCs w:val="21"/>
                <w:highlight w:val="none"/>
              </w:rPr>
              <w:t>/</w:t>
            </w:r>
            <w:r>
              <w:rPr>
                <w:rFonts w:hint="eastAsia" w:hAnsi="Times New Roman" w:cs="Times New Roman"/>
                <w:color w:val="auto"/>
                <w:kern w:val="0"/>
                <w:sz w:val="21"/>
                <w:szCs w:val="21"/>
                <w:highlight w:val="none"/>
              </w:rPr>
              <w:t>4</w:t>
            </w:r>
          </w:p>
        </w:tc>
        <w:tc>
          <w:tcPr>
            <w:tcW w:w="1169" w:type="dxa"/>
            <w:vMerge w:val="continue"/>
            <w:tcBorders>
              <w:top w:val="single" w:color="auto" w:sz="4" w:space="0"/>
              <w:left w:val="single" w:color="auto" w:sz="4" w:space="0"/>
              <w:bottom w:val="single" w:color="auto" w:sz="4" w:space="0"/>
              <w:right w:val="single" w:color="auto" w:sz="4" w:space="0"/>
            </w:tcBorders>
          </w:tcPr>
          <w:p w14:paraId="0B7E39A1">
            <w:pPr>
              <w:shd w:val="clear"/>
              <w:ind w:firstLine="420"/>
              <w:jc w:val="center"/>
              <w:rPr>
                <w:rFonts w:hAnsi="Times New Roman" w:cs="Times New Roman"/>
                <w:color w:val="auto"/>
                <w:kern w:val="0"/>
                <w:sz w:val="21"/>
                <w:szCs w:val="21"/>
                <w:highlight w:val="none"/>
              </w:rPr>
            </w:pPr>
          </w:p>
        </w:tc>
      </w:tr>
      <w:tr w14:paraId="166DE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trPr>
        <w:tc>
          <w:tcPr>
            <w:tcW w:w="970" w:type="dxa"/>
            <w:vMerge w:val="continue"/>
            <w:tcBorders>
              <w:top w:val="single" w:color="auto" w:sz="4" w:space="0"/>
              <w:left w:val="single" w:color="auto" w:sz="4" w:space="0"/>
              <w:bottom w:val="single" w:color="auto" w:sz="4" w:space="0"/>
              <w:right w:val="single" w:color="auto" w:sz="4" w:space="0"/>
            </w:tcBorders>
          </w:tcPr>
          <w:p w14:paraId="40EAC3D3">
            <w:pPr>
              <w:shd w:val="clear"/>
              <w:ind w:firstLine="420"/>
              <w:jc w:val="center"/>
              <w:rPr>
                <w:rFonts w:hAnsi="Times New Roman" w:cs="Times New Roman"/>
                <w:color w:val="auto"/>
                <w:kern w:val="0"/>
                <w:sz w:val="21"/>
                <w:szCs w:val="21"/>
                <w:highlight w:val="none"/>
              </w:rPr>
            </w:pPr>
          </w:p>
        </w:tc>
        <w:tc>
          <w:tcPr>
            <w:tcW w:w="650" w:type="dxa"/>
            <w:tcBorders>
              <w:top w:val="single" w:color="auto" w:sz="4" w:space="0"/>
              <w:left w:val="single" w:color="auto" w:sz="4" w:space="0"/>
              <w:bottom w:val="single" w:color="000000" w:sz="2" w:space="0"/>
              <w:right w:val="single" w:color="000000" w:sz="2" w:space="0"/>
            </w:tcBorders>
            <w:vAlign w:val="center"/>
          </w:tcPr>
          <w:p w14:paraId="225A1A57">
            <w:pPr>
              <w:shd w:val="clear"/>
              <w:ind w:firstLine="0" w:firstLineChars="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室外</w:t>
            </w:r>
          </w:p>
        </w:tc>
        <w:tc>
          <w:tcPr>
            <w:tcW w:w="1620" w:type="dxa"/>
            <w:tcBorders>
              <w:top w:val="single" w:color="auto" w:sz="4" w:space="0"/>
              <w:left w:val="single" w:color="auto" w:sz="4" w:space="0"/>
              <w:bottom w:val="single" w:color="000000" w:sz="2" w:space="0"/>
              <w:right w:val="single" w:color="000000" w:sz="2" w:space="0"/>
            </w:tcBorders>
            <w:vAlign w:val="center"/>
          </w:tcPr>
          <w:p w14:paraId="048A9683">
            <w:pPr>
              <w:shd w:val="clear"/>
              <w:ind w:firstLine="420"/>
              <w:jc w:val="center"/>
              <w:rPr>
                <w:rFonts w:hAnsi="Times New Roman" w:cs="Times New Roman"/>
                <w:color w:val="auto"/>
                <w:kern w:val="0"/>
                <w:sz w:val="21"/>
                <w:szCs w:val="21"/>
                <w:highlight w:val="none"/>
              </w:rPr>
            </w:pPr>
            <w:r>
              <w:rPr>
                <w:rFonts w:hint="eastAsia" w:hAnsi="Times New Roman" w:cs="Times New Roman"/>
                <w:color w:val="auto"/>
                <w:kern w:val="0"/>
                <w:sz w:val="21"/>
                <w:szCs w:val="21"/>
                <w:highlight w:val="none"/>
              </w:rPr>
              <w:t>70</w:t>
            </w:r>
            <w:r>
              <w:rPr>
                <w:rFonts w:hAnsi="Times New Roman" w:cs="Times New Roman"/>
                <w:color w:val="auto"/>
                <w:kern w:val="0"/>
                <w:sz w:val="21"/>
                <w:szCs w:val="21"/>
                <w:highlight w:val="none"/>
              </w:rPr>
              <w:t>/2</w:t>
            </w:r>
          </w:p>
        </w:tc>
        <w:tc>
          <w:tcPr>
            <w:tcW w:w="1620" w:type="dxa"/>
            <w:tcBorders>
              <w:top w:val="single" w:color="auto" w:sz="4" w:space="0"/>
              <w:left w:val="single" w:color="auto" w:sz="4" w:space="0"/>
              <w:bottom w:val="single" w:color="000000" w:sz="2" w:space="0"/>
              <w:right w:val="single" w:color="000000" w:sz="2" w:space="0"/>
            </w:tcBorders>
            <w:vAlign w:val="center"/>
          </w:tcPr>
          <w:p w14:paraId="09551DB8">
            <w:pPr>
              <w:shd w:val="clear"/>
              <w:ind w:firstLine="420"/>
              <w:jc w:val="center"/>
              <w:rPr>
                <w:rFonts w:hAnsi="Times New Roman" w:cs="Times New Roman"/>
                <w:color w:val="auto"/>
                <w:kern w:val="0"/>
                <w:sz w:val="21"/>
                <w:szCs w:val="21"/>
                <w:highlight w:val="none"/>
              </w:rPr>
            </w:pPr>
            <w:r>
              <w:rPr>
                <w:rFonts w:hint="eastAsia" w:hAnsi="Times New Roman" w:cs="Times New Roman"/>
                <w:color w:val="auto"/>
                <w:kern w:val="0"/>
                <w:sz w:val="21"/>
                <w:szCs w:val="21"/>
                <w:highlight w:val="none"/>
              </w:rPr>
              <w:t>70</w:t>
            </w:r>
            <w:r>
              <w:rPr>
                <w:rFonts w:hAnsi="Times New Roman" w:cs="Times New Roman"/>
                <w:color w:val="auto"/>
                <w:kern w:val="0"/>
                <w:sz w:val="21"/>
                <w:szCs w:val="21"/>
                <w:highlight w:val="none"/>
              </w:rPr>
              <w:t>/</w:t>
            </w:r>
            <w:r>
              <w:rPr>
                <w:rFonts w:hint="eastAsia" w:hAnsi="Times New Roman" w:cs="Times New Roman"/>
                <w:color w:val="auto"/>
                <w:kern w:val="0"/>
                <w:sz w:val="21"/>
                <w:szCs w:val="21"/>
                <w:highlight w:val="none"/>
              </w:rPr>
              <w:t>1</w:t>
            </w:r>
          </w:p>
        </w:tc>
        <w:tc>
          <w:tcPr>
            <w:tcW w:w="1390" w:type="dxa"/>
            <w:tcBorders>
              <w:top w:val="single" w:color="auto" w:sz="4" w:space="0"/>
              <w:left w:val="single" w:color="auto" w:sz="4" w:space="0"/>
              <w:bottom w:val="single" w:color="000000" w:sz="2" w:space="0"/>
              <w:right w:val="single" w:color="000000" w:sz="2" w:space="0"/>
            </w:tcBorders>
            <w:vAlign w:val="center"/>
          </w:tcPr>
          <w:p w14:paraId="72846D80">
            <w:pPr>
              <w:shd w:val="clear"/>
              <w:ind w:firstLine="420"/>
              <w:jc w:val="center"/>
              <w:rPr>
                <w:rFonts w:hAnsi="Times New Roman" w:cs="Times New Roman"/>
                <w:color w:val="auto"/>
                <w:kern w:val="0"/>
                <w:sz w:val="21"/>
                <w:szCs w:val="21"/>
                <w:highlight w:val="none"/>
              </w:rPr>
            </w:pPr>
            <w:r>
              <w:rPr>
                <w:rFonts w:hint="eastAsia" w:hAnsi="Times New Roman" w:cs="Times New Roman"/>
                <w:color w:val="auto"/>
                <w:kern w:val="0"/>
                <w:sz w:val="21"/>
                <w:szCs w:val="21"/>
                <w:highlight w:val="none"/>
              </w:rPr>
              <w:t>10</w:t>
            </w:r>
            <w:r>
              <w:rPr>
                <w:rFonts w:hAnsi="Times New Roman" w:cs="Times New Roman"/>
                <w:color w:val="auto"/>
                <w:kern w:val="0"/>
                <w:sz w:val="21"/>
                <w:szCs w:val="21"/>
                <w:highlight w:val="none"/>
              </w:rPr>
              <w:t>0/</w:t>
            </w:r>
            <w:r>
              <w:rPr>
                <w:rFonts w:hint="eastAsia" w:hAnsi="Times New Roman" w:cs="Times New Roman"/>
                <w:color w:val="auto"/>
                <w:kern w:val="0"/>
                <w:sz w:val="21"/>
                <w:szCs w:val="21"/>
                <w:highlight w:val="none"/>
              </w:rPr>
              <w:t>3</w:t>
            </w:r>
          </w:p>
        </w:tc>
        <w:tc>
          <w:tcPr>
            <w:tcW w:w="1214" w:type="dxa"/>
            <w:tcBorders>
              <w:top w:val="single" w:color="auto" w:sz="4" w:space="0"/>
              <w:left w:val="single" w:color="auto" w:sz="4" w:space="0"/>
              <w:bottom w:val="single" w:color="000000" w:sz="2" w:space="0"/>
              <w:right w:val="single" w:color="000000" w:sz="2" w:space="0"/>
            </w:tcBorders>
            <w:vAlign w:val="center"/>
          </w:tcPr>
          <w:p w14:paraId="0E75DD94">
            <w:pPr>
              <w:shd w:val="clear"/>
              <w:ind w:firstLine="420"/>
              <w:jc w:val="center"/>
              <w:rPr>
                <w:rFonts w:hAnsi="Times New Roman" w:cs="Times New Roman"/>
                <w:color w:val="auto"/>
                <w:kern w:val="0"/>
                <w:sz w:val="21"/>
                <w:szCs w:val="21"/>
                <w:highlight w:val="none"/>
              </w:rPr>
            </w:pPr>
            <w:r>
              <w:rPr>
                <w:rFonts w:hint="eastAsia" w:hAnsi="Times New Roman" w:cs="Times New Roman"/>
                <w:color w:val="auto"/>
                <w:kern w:val="0"/>
                <w:sz w:val="21"/>
                <w:szCs w:val="21"/>
                <w:highlight w:val="none"/>
              </w:rPr>
              <w:t>240</w:t>
            </w:r>
            <w:r>
              <w:rPr>
                <w:rFonts w:hAnsi="Times New Roman" w:cs="Times New Roman"/>
                <w:color w:val="auto"/>
                <w:kern w:val="0"/>
                <w:sz w:val="21"/>
                <w:szCs w:val="21"/>
                <w:highlight w:val="none"/>
              </w:rPr>
              <w:t>/</w:t>
            </w:r>
            <w:r>
              <w:rPr>
                <w:rFonts w:hint="eastAsia" w:hAnsi="Times New Roman" w:cs="Times New Roman"/>
                <w:color w:val="auto"/>
                <w:kern w:val="0"/>
                <w:sz w:val="21"/>
                <w:szCs w:val="21"/>
                <w:highlight w:val="none"/>
              </w:rPr>
              <w:t>6</w:t>
            </w:r>
          </w:p>
        </w:tc>
        <w:tc>
          <w:tcPr>
            <w:tcW w:w="1169" w:type="dxa"/>
            <w:vMerge w:val="continue"/>
            <w:tcBorders>
              <w:top w:val="single" w:color="auto" w:sz="4" w:space="0"/>
              <w:left w:val="single" w:color="auto" w:sz="4" w:space="0"/>
              <w:bottom w:val="single" w:color="auto" w:sz="4" w:space="0"/>
              <w:right w:val="single" w:color="auto" w:sz="4" w:space="0"/>
            </w:tcBorders>
          </w:tcPr>
          <w:p w14:paraId="6F1A3D4C">
            <w:pPr>
              <w:shd w:val="clear"/>
              <w:ind w:firstLine="420"/>
              <w:jc w:val="center"/>
              <w:rPr>
                <w:rFonts w:hAnsi="Times New Roman" w:cs="Times New Roman"/>
                <w:color w:val="auto"/>
                <w:kern w:val="0"/>
                <w:sz w:val="21"/>
                <w:szCs w:val="21"/>
                <w:highlight w:val="none"/>
              </w:rPr>
            </w:pPr>
          </w:p>
        </w:tc>
      </w:tr>
      <w:tr w14:paraId="204C9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6" w:hRule="atLeast"/>
        </w:trPr>
        <w:tc>
          <w:tcPr>
            <w:tcW w:w="1620" w:type="dxa"/>
            <w:gridSpan w:val="2"/>
            <w:tcBorders>
              <w:top w:val="single" w:color="auto" w:sz="4" w:space="0"/>
              <w:left w:val="single" w:color="000000" w:sz="2" w:space="0"/>
              <w:bottom w:val="single" w:color="000000" w:sz="2" w:space="0"/>
              <w:right w:val="single" w:color="000000" w:sz="2" w:space="0"/>
            </w:tcBorders>
            <w:vAlign w:val="center"/>
          </w:tcPr>
          <w:p w14:paraId="69EFF60E">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作业分工</w:t>
            </w:r>
          </w:p>
        </w:tc>
        <w:tc>
          <w:tcPr>
            <w:tcW w:w="4630" w:type="dxa"/>
            <w:gridSpan w:val="3"/>
            <w:tcBorders>
              <w:top w:val="single" w:color="auto" w:sz="4" w:space="0"/>
              <w:left w:val="single" w:color="auto" w:sz="4" w:space="0"/>
              <w:bottom w:val="single" w:color="000000" w:sz="2" w:space="0"/>
              <w:right w:val="single" w:color="000000" w:sz="2" w:space="0"/>
            </w:tcBorders>
            <w:vAlign w:val="center"/>
          </w:tcPr>
          <w:p w14:paraId="3A25B26F">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加工厂</w:t>
            </w:r>
          </w:p>
        </w:tc>
        <w:tc>
          <w:tcPr>
            <w:tcW w:w="1214" w:type="dxa"/>
            <w:tcBorders>
              <w:top w:val="single" w:color="auto" w:sz="4" w:space="0"/>
              <w:left w:val="single" w:color="auto" w:sz="4" w:space="0"/>
              <w:bottom w:val="single" w:color="000000" w:sz="2" w:space="0"/>
              <w:right w:val="single" w:color="000000" w:sz="2" w:space="0"/>
            </w:tcBorders>
            <w:vAlign w:val="center"/>
          </w:tcPr>
          <w:p w14:paraId="7C7E4321">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现场</w:t>
            </w:r>
          </w:p>
        </w:tc>
        <w:tc>
          <w:tcPr>
            <w:tcW w:w="1169" w:type="dxa"/>
            <w:vMerge w:val="continue"/>
            <w:tcBorders>
              <w:top w:val="single" w:color="auto" w:sz="4" w:space="0"/>
              <w:left w:val="single" w:color="auto" w:sz="4" w:space="0"/>
              <w:bottom w:val="single" w:color="auto" w:sz="4" w:space="0"/>
              <w:right w:val="single" w:color="auto" w:sz="4" w:space="0"/>
            </w:tcBorders>
          </w:tcPr>
          <w:p w14:paraId="3D0A4468">
            <w:pPr>
              <w:shd w:val="clear"/>
              <w:ind w:firstLine="420"/>
              <w:jc w:val="center"/>
              <w:rPr>
                <w:rFonts w:hAnsi="Times New Roman" w:cs="Times New Roman"/>
                <w:color w:val="auto"/>
                <w:kern w:val="0"/>
                <w:sz w:val="21"/>
                <w:szCs w:val="21"/>
                <w:highlight w:val="none"/>
              </w:rPr>
            </w:pPr>
          </w:p>
        </w:tc>
      </w:tr>
    </w:tbl>
    <w:p w14:paraId="4D1008EE">
      <w:pPr>
        <w:widowControl/>
        <w:shd w:val="clear"/>
        <w:spacing w:before="156" w:beforeLines="50"/>
        <w:ind w:firstLine="0" w:firstLineChars="0"/>
        <w:jc w:val="both"/>
        <w:rPr>
          <w:rFonts w:ascii="Arial" w:hAnsi="Arial" w:cs="Times New Roman"/>
          <w:color w:val="auto"/>
          <w:spacing w:val="20"/>
          <w:kern w:val="0"/>
          <w:sz w:val="21"/>
          <w:szCs w:val="21"/>
          <w:highlight w:val="none"/>
          <w:lang w:val="de-DE"/>
        </w:rPr>
      </w:pPr>
    </w:p>
    <w:p w14:paraId="3849D8BA">
      <w:pPr>
        <w:shd w:val="clear"/>
        <w:jc w:val="both"/>
        <w:rPr>
          <w:rFonts w:hAnsi="Times New Roman" w:cs="Times New Roman"/>
          <w:color w:val="auto"/>
          <w:highlight w:val="none"/>
        </w:rPr>
      </w:pPr>
      <w:r>
        <w:rPr>
          <w:rFonts w:hint="eastAsia" w:hAnsi="Times New Roman" w:cs="Times New Roman"/>
          <w:color w:val="auto"/>
          <w:highlight w:val="none"/>
        </w:rPr>
        <w:t>2）栏杆、埋件、平台铺板等</w:t>
      </w:r>
      <w:r>
        <w:rPr>
          <w:rFonts w:hAnsi="Times New Roman" w:cs="Times New Roman"/>
          <w:color w:val="auto"/>
          <w:highlight w:val="none"/>
        </w:rPr>
        <w:t>零星钢结构若采用手工除锈，除锈等级不低于St3级，涂装</w:t>
      </w:r>
      <w:r>
        <w:rPr>
          <w:rFonts w:hint="eastAsia" w:hAnsi="Times New Roman" w:cs="Times New Roman"/>
          <w:color w:val="auto"/>
          <w:highlight w:val="none"/>
        </w:rPr>
        <w:t>按相关标准和规定。</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6"/>
        <w:gridCol w:w="692"/>
        <w:gridCol w:w="2652"/>
        <w:gridCol w:w="2340"/>
        <w:gridCol w:w="1178"/>
        <w:gridCol w:w="1169"/>
      </w:tblGrid>
      <w:tr w14:paraId="7D259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68" w:type="dxa"/>
            <w:gridSpan w:val="2"/>
            <w:vMerge w:val="restart"/>
            <w:tcBorders>
              <w:top w:val="single" w:color="000000" w:sz="2" w:space="0"/>
              <w:left w:val="single" w:color="000000" w:sz="2" w:space="0"/>
              <w:bottom w:val="single" w:color="000000" w:sz="2" w:space="0"/>
              <w:right w:val="single" w:color="000000" w:sz="2" w:space="0"/>
            </w:tcBorders>
            <w:vAlign w:val="center"/>
          </w:tcPr>
          <w:p w14:paraId="62C81445">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项目</w:t>
            </w:r>
          </w:p>
        </w:tc>
        <w:tc>
          <w:tcPr>
            <w:tcW w:w="6170" w:type="dxa"/>
            <w:gridSpan w:val="3"/>
            <w:tcBorders>
              <w:top w:val="single" w:color="000000" w:sz="2" w:space="0"/>
              <w:left w:val="single" w:color="auto" w:sz="4" w:space="0"/>
              <w:bottom w:val="single" w:color="000000" w:sz="2" w:space="0"/>
              <w:right w:val="single" w:color="000000" w:sz="2" w:space="0"/>
            </w:tcBorders>
            <w:vAlign w:val="center"/>
          </w:tcPr>
          <w:p w14:paraId="1E170C90">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涂层结构</w:t>
            </w:r>
          </w:p>
        </w:tc>
        <w:tc>
          <w:tcPr>
            <w:tcW w:w="1169" w:type="dxa"/>
            <w:tcBorders>
              <w:top w:val="single" w:color="000000" w:sz="2" w:space="0"/>
              <w:left w:val="single" w:color="auto" w:sz="4" w:space="0"/>
              <w:bottom w:val="single" w:color="000000" w:sz="2" w:space="0"/>
              <w:right w:val="single" w:color="000000" w:sz="2" w:space="0"/>
            </w:tcBorders>
            <w:vAlign w:val="center"/>
          </w:tcPr>
          <w:p w14:paraId="5D9FC18F">
            <w:pPr>
              <w:shd w:val="clear"/>
              <w:ind w:firstLine="0" w:firstLineChars="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表面处理</w:t>
            </w:r>
          </w:p>
        </w:tc>
      </w:tr>
      <w:tr w14:paraId="40317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68" w:type="dxa"/>
            <w:gridSpan w:val="2"/>
            <w:vMerge w:val="continue"/>
            <w:tcBorders>
              <w:top w:val="single" w:color="auto" w:sz="4" w:space="0"/>
              <w:left w:val="single" w:color="auto" w:sz="4" w:space="0"/>
              <w:bottom w:val="single" w:color="auto" w:sz="4" w:space="0"/>
              <w:right w:val="single" w:color="auto" w:sz="4" w:space="0"/>
            </w:tcBorders>
          </w:tcPr>
          <w:p w14:paraId="19804364">
            <w:pPr>
              <w:shd w:val="clear"/>
              <w:ind w:firstLine="420"/>
              <w:jc w:val="center"/>
              <w:rPr>
                <w:rFonts w:hAnsi="Times New Roman" w:cs="Times New Roman"/>
                <w:color w:val="auto"/>
                <w:kern w:val="0"/>
                <w:sz w:val="21"/>
                <w:szCs w:val="21"/>
                <w:highlight w:val="none"/>
              </w:rPr>
            </w:pPr>
          </w:p>
        </w:tc>
        <w:tc>
          <w:tcPr>
            <w:tcW w:w="2652" w:type="dxa"/>
            <w:tcBorders>
              <w:top w:val="single" w:color="auto" w:sz="4" w:space="0"/>
              <w:left w:val="single" w:color="auto" w:sz="4" w:space="0"/>
              <w:bottom w:val="single" w:color="000000" w:sz="2" w:space="0"/>
              <w:right w:val="single" w:color="000000" w:sz="2" w:space="0"/>
            </w:tcBorders>
            <w:vAlign w:val="center"/>
          </w:tcPr>
          <w:p w14:paraId="200F7B79">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底漆</w:t>
            </w:r>
          </w:p>
        </w:tc>
        <w:tc>
          <w:tcPr>
            <w:tcW w:w="2340" w:type="dxa"/>
            <w:tcBorders>
              <w:top w:val="single" w:color="auto" w:sz="4" w:space="0"/>
              <w:left w:val="single" w:color="auto" w:sz="4" w:space="0"/>
              <w:bottom w:val="single" w:color="000000" w:sz="2" w:space="0"/>
              <w:right w:val="single" w:color="000000" w:sz="2" w:space="0"/>
            </w:tcBorders>
            <w:vAlign w:val="center"/>
          </w:tcPr>
          <w:p w14:paraId="6DCC4E0B">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面漆</w:t>
            </w:r>
          </w:p>
        </w:tc>
        <w:tc>
          <w:tcPr>
            <w:tcW w:w="1178" w:type="dxa"/>
            <w:tcBorders>
              <w:top w:val="single" w:color="auto" w:sz="4" w:space="0"/>
              <w:left w:val="single" w:color="auto" w:sz="4" w:space="0"/>
              <w:bottom w:val="single" w:color="000000" w:sz="2" w:space="0"/>
              <w:right w:val="single" w:color="000000" w:sz="2" w:space="0"/>
            </w:tcBorders>
            <w:vAlign w:val="center"/>
          </w:tcPr>
          <w:p w14:paraId="26FC6B45">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修补漆</w:t>
            </w:r>
          </w:p>
        </w:tc>
        <w:tc>
          <w:tcPr>
            <w:tcW w:w="1169" w:type="dxa"/>
            <w:vMerge w:val="restart"/>
            <w:tcBorders>
              <w:top w:val="single" w:color="auto" w:sz="4" w:space="0"/>
              <w:left w:val="single" w:color="auto" w:sz="4" w:space="0"/>
              <w:bottom w:val="single" w:color="000000" w:sz="2" w:space="0"/>
              <w:right w:val="single" w:color="000000" w:sz="2" w:space="0"/>
            </w:tcBorders>
            <w:vAlign w:val="center"/>
          </w:tcPr>
          <w:p w14:paraId="6C93DD27">
            <w:pPr>
              <w:shd w:val="clear"/>
              <w:ind w:firstLine="0" w:firstLineChars="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S</w:t>
            </w:r>
            <w:r>
              <w:rPr>
                <w:rFonts w:hint="eastAsia" w:hAnsi="Times New Roman" w:cs="Times New Roman"/>
                <w:color w:val="auto"/>
                <w:kern w:val="0"/>
                <w:sz w:val="21"/>
                <w:szCs w:val="21"/>
                <w:highlight w:val="none"/>
              </w:rPr>
              <w:t>t3</w:t>
            </w:r>
            <w:r>
              <w:rPr>
                <w:rFonts w:hAnsi="Times New Roman" w:cs="Times New Roman"/>
                <w:color w:val="auto"/>
                <w:kern w:val="0"/>
                <w:sz w:val="21"/>
                <w:szCs w:val="21"/>
                <w:highlight w:val="none"/>
              </w:rPr>
              <w:t>级除锈</w:t>
            </w:r>
          </w:p>
        </w:tc>
      </w:tr>
      <w:tr w14:paraId="2B522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trPr>
        <w:tc>
          <w:tcPr>
            <w:tcW w:w="1668" w:type="dxa"/>
            <w:gridSpan w:val="2"/>
            <w:tcBorders>
              <w:top w:val="single" w:color="auto" w:sz="4" w:space="0"/>
              <w:left w:val="single" w:color="000000" w:sz="2" w:space="0"/>
              <w:bottom w:val="single" w:color="000000" w:sz="2" w:space="0"/>
              <w:right w:val="single" w:color="000000" w:sz="2" w:space="0"/>
            </w:tcBorders>
            <w:vAlign w:val="center"/>
          </w:tcPr>
          <w:p w14:paraId="5F219648">
            <w:pPr>
              <w:shd w:val="clear"/>
              <w:ind w:firstLine="0" w:firstLineChars="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涂料名称及型号</w:t>
            </w:r>
          </w:p>
        </w:tc>
        <w:tc>
          <w:tcPr>
            <w:tcW w:w="2652" w:type="dxa"/>
            <w:tcBorders>
              <w:top w:val="single" w:color="auto" w:sz="4" w:space="0"/>
              <w:left w:val="single" w:color="auto" w:sz="4" w:space="0"/>
              <w:bottom w:val="single" w:color="000000" w:sz="2" w:space="0"/>
              <w:right w:val="single" w:color="000000" w:sz="2" w:space="0"/>
            </w:tcBorders>
            <w:vAlign w:val="center"/>
          </w:tcPr>
          <w:p w14:paraId="72CAC514">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醇酸防锈漆</w:t>
            </w:r>
          </w:p>
        </w:tc>
        <w:tc>
          <w:tcPr>
            <w:tcW w:w="2340" w:type="dxa"/>
            <w:tcBorders>
              <w:top w:val="single" w:color="auto" w:sz="4" w:space="0"/>
              <w:left w:val="single" w:color="auto" w:sz="4" w:space="0"/>
              <w:bottom w:val="single" w:color="000000" w:sz="2" w:space="0"/>
              <w:right w:val="single" w:color="000000" w:sz="2" w:space="0"/>
            </w:tcBorders>
            <w:vAlign w:val="center"/>
          </w:tcPr>
          <w:p w14:paraId="37C90007">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各色醇酸磁漆</w:t>
            </w:r>
          </w:p>
        </w:tc>
        <w:tc>
          <w:tcPr>
            <w:tcW w:w="1178" w:type="dxa"/>
            <w:tcBorders>
              <w:top w:val="single" w:color="auto" w:sz="4" w:space="0"/>
              <w:left w:val="single" w:color="auto" w:sz="4" w:space="0"/>
              <w:bottom w:val="single" w:color="000000" w:sz="2" w:space="0"/>
              <w:right w:val="single" w:color="000000" w:sz="2" w:space="0"/>
            </w:tcBorders>
            <w:vAlign w:val="center"/>
          </w:tcPr>
          <w:p w14:paraId="6A61036F">
            <w:pPr>
              <w:shd w:val="clear"/>
              <w:ind w:firstLine="0" w:firstLineChars="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同左各层</w:t>
            </w:r>
          </w:p>
        </w:tc>
        <w:tc>
          <w:tcPr>
            <w:tcW w:w="1169" w:type="dxa"/>
            <w:vMerge w:val="continue"/>
            <w:tcBorders>
              <w:top w:val="single" w:color="auto" w:sz="4" w:space="0"/>
              <w:left w:val="single" w:color="auto" w:sz="4" w:space="0"/>
              <w:bottom w:val="single" w:color="auto" w:sz="4" w:space="0"/>
              <w:right w:val="single" w:color="auto" w:sz="4" w:space="0"/>
            </w:tcBorders>
          </w:tcPr>
          <w:p w14:paraId="6579928D">
            <w:pPr>
              <w:shd w:val="clear"/>
              <w:ind w:firstLine="420"/>
              <w:jc w:val="center"/>
              <w:rPr>
                <w:rFonts w:hAnsi="Times New Roman" w:cs="Times New Roman"/>
                <w:color w:val="auto"/>
                <w:kern w:val="0"/>
                <w:sz w:val="21"/>
                <w:szCs w:val="21"/>
                <w:highlight w:val="none"/>
              </w:rPr>
            </w:pPr>
          </w:p>
        </w:tc>
      </w:tr>
      <w:tr w14:paraId="61360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1" w:hRule="atLeast"/>
        </w:trPr>
        <w:tc>
          <w:tcPr>
            <w:tcW w:w="976" w:type="dxa"/>
            <w:vMerge w:val="restart"/>
            <w:tcBorders>
              <w:top w:val="single" w:color="auto" w:sz="4" w:space="0"/>
              <w:left w:val="single" w:color="000000" w:sz="2" w:space="0"/>
              <w:bottom w:val="single" w:color="000000" w:sz="2" w:space="0"/>
              <w:right w:val="single" w:color="000000" w:sz="2" w:space="0"/>
            </w:tcBorders>
            <w:vAlign w:val="center"/>
          </w:tcPr>
          <w:p w14:paraId="675CE0C6">
            <w:pPr>
              <w:shd w:val="clear"/>
              <w:ind w:firstLine="0" w:firstLineChars="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涂层厚度微米/层数</w:t>
            </w:r>
          </w:p>
        </w:tc>
        <w:tc>
          <w:tcPr>
            <w:tcW w:w="692" w:type="dxa"/>
            <w:tcBorders>
              <w:top w:val="single" w:color="auto" w:sz="4" w:space="0"/>
              <w:left w:val="single" w:color="auto" w:sz="4" w:space="0"/>
              <w:bottom w:val="single" w:color="000000" w:sz="2" w:space="0"/>
              <w:right w:val="single" w:color="000000" w:sz="2" w:space="0"/>
            </w:tcBorders>
            <w:vAlign w:val="center"/>
          </w:tcPr>
          <w:p w14:paraId="7EF453E1">
            <w:pPr>
              <w:shd w:val="clear"/>
              <w:ind w:firstLine="0" w:firstLineChars="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室内</w:t>
            </w:r>
          </w:p>
        </w:tc>
        <w:tc>
          <w:tcPr>
            <w:tcW w:w="2652" w:type="dxa"/>
            <w:tcBorders>
              <w:top w:val="single" w:color="auto" w:sz="4" w:space="0"/>
              <w:left w:val="single" w:color="auto" w:sz="4" w:space="0"/>
              <w:bottom w:val="single" w:color="000000" w:sz="2" w:space="0"/>
              <w:right w:val="single" w:color="000000" w:sz="2" w:space="0"/>
            </w:tcBorders>
            <w:vAlign w:val="center"/>
          </w:tcPr>
          <w:p w14:paraId="1BF6ABC0">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60/2</w:t>
            </w:r>
          </w:p>
        </w:tc>
        <w:tc>
          <w:tcPr>
            <w:tcW w:w="2340" w:type="dxa"/>
            <w:tcBorders>
              <w:top w:val="single" w:color="auto" w:sz="4" w:space="0"/>
              <w:left w:val="single" w:color="auto" w:sz="4" w:space="0"/>
              <w:bottom w:val="single" w:color="000000" w:sz="2" w:space="0"/>
              <w:right w:val="single" w:color="000000" w:sz="2" w:space="0"/>
            </w:tcBorders>
            <w:vAlign w:val="center"/>
          </w:tcPr>
          <w:p w14:paraId="708743DB">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60/2</w:t>
            </w:r>
          </w:p>
        </w:tc>
        <w:tc>
          <w:tcPr>
            <w:tcW w:w="1178" w:type="dxa"/>
            <w:tcBorders>
              <w:top w:val="single" w:color="auto" w:sz="4" w:space="0"/>
              <w:left w:val="single" w:color="auto" w:sz="4" w:space="0"/>
              <w:bottom w:val="single" w:color="000000" w:sz="2" w:space="0"/>
              <w:right w:val="single" w:color="000000" w:sz="2" w:space="0"/>
            </w:tcBorders>
            <w:vAlign w:val="center"/>
          </w:tcPr>
          <w:p w14:paraId="762D8718">
            <w:pPr>
              <w:shd w:val="clear"/>
              <w:ind w:firstLine="420"/>
              <w:jc w:val="both"/>
              <w:rPr>
                <w:rFonts w:hAnsi="Times New Roman" w:cs="Times New Roman"/>
                <w:color w:val="auto"/>
                <w:kern w:val="0"/>
                <w:sz w:val="21"/>
                <w:szCs w:val="21"/>
                <w:highlight w:val="none"/>
              </w:rPr>
            </w:pPr>
            <w:r>
              <w:rPr>
                <w:rFonts w:hAnsi="Times New Roman" w:cs="Times New Roman"/>
                <w:color w:val="auto"/>
                <w:kern w:val="0"/>
                <w:sz w:val="21"/>
                <w:szCs w:val="21"/>
                <w:highlight w:val="none"/>
              </w:rPr>
              <w:t>120/4</w:t>
            </w:r>
          </w:p>
        </w:tc>
        <w:tc>
          <w:tcPr>
            <w:tcW w:w="1169" w:type="dxa"/>
            <w:vMerge w:val="continue"/>
            <w:tcBorders>
              <w:top w:val="single" w:color="auto" w:sz="4" w:space="0"/>
              <w:left w:val="single" w:color="auto" w:sz="4" w:space="0"/>
              <w:bottom w:val="single" w:color="auto" w:sz="4" w:space="0"/>
              <w:right w:val="single" w:color="auto" w:sz="4" w:space="0"/>
            </w:tcBorders>
          </w:tcPr>
          <w:p w14:paraId="30A4843B">
            <w:pPr>
              <w:shd w:val="clear"/>
              <w:ind w:firstLine="420"/>
              <w:jc w:val="center"/>
              <w:rPr>
                <w:rFonts w:hAnsi="Times New Roman" w:cs="Times New Roman"/>
                <w:color w:val="auto"/>
                <w:kern w:val="0"/>
                <w:sz w:val="21"/>
                <w:szCs w:val="21"/>
                <w:highlight w:val="none"/>
              </w:rPr>
            </w:pPr>
          </w:p>
        </w:tc>
      </w:tr>
      <w:tr w14:paraId="6DF7F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trPr>
        <w:tc>
          <w:tcPr>
            <w:tcW w:w="976" w:type="dxa"/>
            <w:vMerge w:val="continue"/>
            <w:tcBorders>
              <w:top w:val="single" w:color="auto" w:sz="4" w:space="0"/>
              <w:left w:val="single" w:color="auto" w:sz="4" w:space="0"/>
              <w:bottom w:val="single" w:color="auto" w:sz="4" w:space="0"/>
              <w:right w:val="single" w:color="auto" w:sz="4" w:space="0"/>
            </w:tcBorders>
          </w:tcPr>
          <w:p w14:paraId="13F69C47">
            <w:pPr>
              <w:shd w:val="clear"/>
              <w:ind w:firstLine="420"/>
              <w:jc w:val="center"/>
              <w:rPr>
                <w:rFonts w:hAnsi="Times New Roman" w:cs="Times New Roman"/>
                <w:color w:val="auto"/>
                <w:kern w:val="0"/>
                <w:sz w:val="21"/>
                <w:szCs w:val="21"/>
                <w:highlight w:val="none"/>
              </w:rPr>
            </w:pPr>
          </w:p>
        </w:tc>
        <w:tc>
          <w:tcPr>
            <w:tcW w:w="692" w:type="dxa"/>
            <w:tcBorders>
              <w:top w:val="single" w:color="auto" w:sz="4" w:space="0"/>
              <w:left w:val="single" w:color="auto" w:sz="4" w:space="0"/>
              <w:bottom w:val="single" w:color="000000" w:sz="2" w:space="0"/>
              <w:right w:val="single" w:color="000000" w:sz="2" w:space="0"/>
            </w:tcBorders>
            <w:vAlign w:val="center"/>
          </w:tcPr>
          <w:p w14:paraId="327DC618">
            <w:pPr>
              <w:shd w:val="clear"/>
              <w:ind w:firstLine="0" w:firstLineChars="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室外</w:t>
            </w:r>
          </w:p>
        </w:tc>
        <w:tc>
          <w:tcPr>
            <w:tcW w:w="2652" w:type="dxa"/>
            <w:tcBorders>
              <w:top w:val="single" w:color="auto" w:sz="4" w:space="0"/>
              <w:left w:val="single" w:color="auto" w:sz="4" w:space="0"/>
              <w:bottom w:val="single" w:color="000000" w:sz="2" w:space="0"/>
              <w:right w:val="single" w:color="000000" w:sz="2" w:space="0"/>
            </w:tcBorders>
            <w:vAlign w:val="center"/>
          </w:tcPr>
          <w:p w14:paraId="5FA9939E">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75/2</w:t>
            </w:r>
          </w:p>
        </w:tc>
        <w:tc>
          <w:tcPr>
            <w:tcW w:w="2340" w:type="dxa"/>
            <w:tcBorders>
              <w:top w:val="single" w:color="auto" w:sz="4" w:space="0"/>
              <w:left w:val="single" w:color="auto" w:sz="4" w:space="0"/>
              <w:bottom w:val="single" w:color="000000" w:sz="2" w:space="0"/>
              <w:right w:val="single" w:color="000000" w:sz="2" w:space="0"/>
            </w:tcBorders>
            <w:vAlign w:val="center"/>
          </w:tcPr>
          <w:p w14:paraId="6EBAE59C">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75/2</w:t>
            </w:r>
          </w:p>
        </w:tc>
        <w:tc>
          <w:tcPr>
            <w:tcW w:w="1178" w:type="dxa"/>
            <w:tcBorders>
              <w:top w:val="single" w:color="auto" w:sz="4" w:space="0"/>
              <w:left w:val="single" w:color="auto" w:sz="4" w:space="0"/>
              <w:bottom w:val="single" w:color="000000" w:sz="2" w:space="0"/>
              <w:right w:val="single" w:color="000000" w:sz="2" w:space="0"/>
            </w:tcBorders>
            <w:vAlign w:val="center"/>
          </w:tcPr>
          <w:p w14:paraId="21C93D8F">
            <w:pPr>
              <w:shd w:val="clear"/>
              <w:ind w:firstLine="420"/>
              <w:jc w:val="both"/>
              <w:rPr>
                <w:rFonts w:hAnsi="Times New Roman" w:cs="Times New Roman"/>
                <w:color w:val="auto"/>
                <w:kern w:val="0"/>
                <w:sz w:val="21"/>
                <w:szCs w:val="21"/>
                <w:highlight w:val="none"/>
              </w:rPr>
            </w:pPr>
            <w:r>
              <w:rPr>
                <w:rFonts w:hAnsi="Times New Roman" w:cs="Times New Roman"/>
                <w:color w:val="auto"/>
                <w:kern w:val="0"/>
                <w:sz w:val="21"/>
                <w:szCs w:val="21"/>
                <w:highlight w:val="none"/>
              </w:rPr>
              <w:t>150/4</w:t>
            </w:r>
          </w:p>
        </w:tc>
        <w:tc>
          <w:tcPr>
            <w:tcW w:w="1169" w:type="dxa"/>
            <w:vMerge w:val="continue"/>
            <w:tcBorders>
              <w:top w:val="single" w:color="auto" w:sz="4" w:space="0"/>
              <w:left w:val="single" w:color="auto" w:sz="4" w:space="0"/>
              <w:bottom w:val="single" w:color="auto" w:sz="4" w:space="0"/>
              <w:right w:val="single" w:color="auto" w:sz="4" w:space="0"/>
            </w:tcBorders>
          </w:tcPr>
          <w:p w14:paraId="69BD1078">
            <w:pPr>
              <w:shd w:val="clear"/>
              <w:ind w:firstLine="420"/>
              <w:jc w:val="center"/>
              <w:rPr>
                <w:rFonts w:hAnsi="Times New Roman" w:cs="Times New Roman"/>
                <w:color w:val="auto"/>
                <w:kern w:val="0"/>
                <w:sz w:val="21"/>
                <w:szCs w:val="21"/>
                <w:highlight w:val="none"/>
              </w:rPr>
            </w:pPr>
          </w:p>
        </w:tc>
      </w:tr>
      <w:tr w14:paraId="7CF0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trPr>
        <w:tc>
          <w:tcPr>
            <w:tcW w:w="1668" w:type="dxa"/>
            <w:gridSpan w:val="2"/>
            <w:tcBorders>
              <w:top w:val="single" w:color="auto" w:sz="4" w:space="0"/>
              <w:left w:val="single" w:color="000000" w:sz="2" w:space="0"/>
              <w:bottom w:val="single" w:color="000000" w:sz="2" w:space="0"/>
              <w:right w:val="single" w:color="000000" w:sz="2" w:space="0"/>
            </w:tcBorders>
            <w:vAlign w:val="center"/>
          </w:tcPr>
          <w:p w14:paraId="06984986">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作业分工</w:t>
            </w:r>
          </w:p>
        </w:tc>
        <w:tc>
          <w:tcPr>
            <w:tcW w:w="4992" w:type="dxa"/>
            <w:gridSpan w:val="2"/>
            <w:tcBorders>
              <w:top w:val="single" w:color="auto" w:sz="4" w:space="0"/>
              <w:left w:val="single" w:color="auto" w:sz="4" w:space="0"/>
              <w:bottom w:val="single" w:color="000000" w:sz="2" w:space="0"/>
              <w:right w:val="single" w:color="000000" w:sz="2" w:space="0"/>
            </w:tcBorders>
            <w:vAlign w:val="center"/>
          </w:tcPr>
          <w:p w14:paraId="7791526B">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加工厂</w:t>
            </w:r>
          </w:p>
        </w:tc>
        <w:tc>
          <w:tcPr>
            <w:tcW w:w="1178" w:type="dxa"/>
            <w:tcBorders>
              <w:top w:val="single" w:color="auto" w:sz="4" w:space="0"/>
              <w:left w:val="single" w:color="auto" w:sz="4" w:space="0"/>
              <w:bottom w:val="single" w:color="000000" w:sz="2" w:space="0"/>
              <w:right w:val="single" w:color="000000" w:sz="2" w:space="0"/>
            </w:tcBorders>
            <w:vAlign w:val="center"/>
          </w:tcPr>
          <w:p w14:paraId="54567ACF">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现场</w:t>
            </w:r>
          </w:p>
        </w:tc>
        <w:tc>
          <w:tcPr>
            <w:tcW w:w="1169" w:type="dxa"/>
            <w:vMerge w:val="continue"/>
            <w:tcBorders>
              <w:top w:val="single" w:color="auto" w:sz="4" w:space="0"/>
              <w:left w:val="single" w:color="auto" w:sz="4" w:space="0"/>
              <w:bottom w:val="single" w:color="auto" w:sz="4" w:space="0"/>
              <w:right w:val="single" w:color="auto" w:sz="4" w:space="0"/>
            </w:tcBorders>
          </w:tcPr>
          <w:p w14:paraId="47794D50">
            <w:pPr>
              <w:shd w:val="clear"/>
              <w:ind w:firstLine="420"/>
              <w:jc w:val="center"/>
              <w:rPr>
                <w:rFonts w:hAnsi="Times New Roman" w:cs="Times New Roman"/>
                <w:color w:val="auto"/>
                <w:kern w:val="0"/>
                <w:sz w:val="21"/>
                <w:szCs w:val="21"/>
                <w:highlight w:val="none"/>
              </w:rPr>
            </w:pPr>
          </w:p>
        </w:tc>
      </w:tr>
    </w:tbl>
    <w:p w14:paraId="172C831C">
      <w:pPr>
        <w:shd w:val="clear"/>
        <w:jc w:val="both"/>
        <w:rPr>
          <w:rFonts w:hAnsi="Times New Roman" w:cs="Times New Roman"/>
          <w:color w:val="auto"/>
          <w:highlight w:val="none"/>
        </w:rPr>
      </w:pPr>
      <w:r>
        <w:rPr>
          <w:rFonts w:hint="eastAsia" w:hAnsi="Times New Roman" w:cs="Times New Roman"/>
          <w:color w:val="auto"/>
          <w:highlight w:val="none"/>
        </w:rPr>
        <w:t>3）高温环境下涂装要求如下：</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6"/>
        <w:gridCol w:w="692"/>
        <w:gridCol w:w="2652"/>
        <w:gridCol w:w="2340"/>
        <w:gridCol w:w="1178"/>
        <w:gridCol w:w="1169"/>
      </w:tblGrid>
      <w:tr w14:paraId="46293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68" w:type="dxa"/>
            <w:gridSpan w:val="2"/>
            <w:vMerge w:val="restart"/>
            <w:tcBorders>
              <w:top w:val="single" w:color="000000" w:sz="2" w:space="0"/>
              <w:left w:val="single" w:color="000000" w:sz="2" w:space="0"/>
              <w:bottom w:val="single" w:color="000000" w:sz="2" w:space="0"/>
              <w:right w:val="single" w:color="000000" w:sz="2" w:space="0"/>
            </w:tcBorders>
            <w:vAlign w:val="center"/>
          </w:tcPr>
          <w:p w14:paraId="2BDEED8B">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项目</w:t>
            </w:r>
          </w:p>
        </w:tc>
        <w:tc>
          <w:tcPr>
            <w:tcW w:w="6170" w:type="dxa"/>
            <w:gridSpan w:val="3"/>
            <w:tcBorders>
              <w:top w:val="single" w:color="000000" w:sz="2" w:space="0"/>
              <w:left w:val="single" w:color="auto" w:sz="4" w:space="0"/>
              <w:bottom w:val="single" w:color="000000" w:sz="2" w:space="0"/>
              <w:right w:val="single" w:color="000000" w:sz="2" w:space="0"/>
            </w:tcBorders>
            <w:vAlign w:val="center"/>
          </w:tcPr>
          <w:p w14:paraId="73CA5247">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涂层结构</w:t>
            </w:r>
          </w:p>
        </w:tc>
        <w:tc>
          <w:tcPr>
            <w:tcW w:w="1169" w:type="dxa"/>
            <w:tcBorders>
              <w:top w:val="single" w:color="000000" w:sz="2" w:space="0"/>
              <w:left w:val="single" w:color="auto" w:sz="4" w:space="0"/>
              <w:bottom w:val="single" w:color="000000" w:sz="2" w:space="0"/>
              <w:right w:val="single" w:color="000000" w:sz="2" w:space="0"/>
            </w:tcBorders>
            <w:vAlign w:val="center"/>
          </w:tcPr>
          <w:p w14:paraId="47ECFD5E">
            <w:pPr>
              <w:shd w:val="clear"/>
              <w:ind w:firstLine="0" w:firstLineChars="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表面处理</w:t>
            </w:r>
          </w:p>
        </w:tc>
      </w:tr>
      <w:tr w14:paraId="28C9F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68" w:type="dxa"/>
            <w:gridSpan w:val="2"/>
            <w:vMerge w:val="continue"/>
            <w:tcBorders>
              <w:top w:val="single" w:color="auto" w:sz="4" w:space="0"/>
              <w:left w:val="single" w:color="auto" w:sz="4" w:space="0"/>
              <w:bottom w:val="single" w:color="auto" w:sz="4" w:space="0"/>
              <w:right w:val="single" w:color="auto" w:sz="4" w:space="0"/>
            </w:tcBorders>
          </w:tcPr>
          <w:p w14:paraId="20F1EE6F">
            <w:pPr>
              <w:shd w:val="clear"/>
              <w:ind w:firstLine="420"/>
              <w:jc w:val="center"/>
              <w:rPr>
                <w:rFonts w:hAnsi="Times New Roman" w:cs="Times New Roman"/>
                <w:color w:val="auto"/>
                <w:kern w:val="0"/>
                <w:sz w:val="21"/>
                <w:szCs w:val="21"/>
                <w:highlight w:val="none"/>
              </w:rPr>
            </w:pPr>
          </w:p>
        </w:tc>
        <w:tc>
          <w:tcPr>
            <w:tcW w:w="2652" w:type="dxa"/>
            <w:tcBorders>
              <w:top w:val="single" w:color="auto" w:sz="4" w:space="0"/>
              <w:left w:val="single" w:color="auto" w:sz="4" w:space="0"/>
              <w:bottom w:val="single" w:color="000000" w:sz="2" w:space="0"/>
              <w:right w:val="single" w:color="000000" w:sz="2" w:space="0"/>
            </w:tcBorders>
            <w:vAlign w:val="center"/>
          </w:tcPr>
          <w:p w14:paraId="60EBAA85">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底漆</w:t>
            </w:r>
          </w:p>
        </w:tc>
        <w:tc>
          <w:tcPr>
            <w:tcW w:w="2340" w:type="dxa"/>
            <w:tcBorders>
              <w:top w:val="single" w:color="auto" w:sz="4" w:space="0"/>
              <w:left w:val="single" w:color="auto" w:sz="4" w:space="0"/>
              <w:bottom w:val="single" w:color="000000" w:sz="2" w:space="0"/>
              <w:right w:val="single" w:color="000000" w:sz="2" w:space="0"/>
            </w:tcBorders>
            <w:vAlign w:val="center"/>
          </w:tcPr>
          <w:p w14:paraId="59763D3B">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面漆</w:t>
            </w:r>
          </w:p>
        </w:tc>
        <w:tc>
          <w:tcPr>
            <w:tcW w:w="1178" w:type="dxa"/>
            <w:tcBorders>
              <w:top w:val="single" w:color="auto" w:sz="4" w:space="0"/>
              <w:left w:val="single" w:color="auto" w:sz="4" w:space="0"/>
              <w:bottom w:val="single" w:color="000000" w:sz="2" w:space="0"/>
              <w:right w:val="single" w:color="000000" w:sz="2" w:space="0"/>
            </w:tcBorders>
            <w:vAlign w:val="center"/>
          </w:tcPr>
          <w:p w14:paraId="4F3D8A6A">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修补漆</w:t>
            </w:r>
          </w:p>
        </w:tc>
        <w:tc>
          <w:tcPr>
            <w:tcW w:w="1169" w:type="dxa"/>
            <w:vMerge w:val="restart"/>
            <w:tcBorders>
              <w:top w:val="single" w:color="auto" w:sz="4" w:space="0"/>
              <w:left w:val="single" w:color="auto" w:sz="4" w:space="0"/>
              <w:bottom w:val="single" w:color="000000" w:sz="2" w:space="0"/>
              <w:right w:val="single" w:color="000000" w:sz="2" w:space="0"/>
            </w:tcBorders>
            <w:vAlign w:val="center"/>
          </w:tcPr>
          <w:p w14:paraId="6BFA66AC">
            <w:pPr>
              <w:shd w:val="clear"/>
              <w:ind w:firstLine="0" w:firstLineChars="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S</w:t>
            </w:r>
            <w:r>
              <w:rPr>
                <w:rFonts w:hint="eastAsia" w:hAnsi="Times New Roman" w:cs="Times New Roman"/>
                <w:color w:val="auto"/>
                <w:kern w:val="0"/>
                <w:sz w:val="21"/>
                <w:szCs w:val="21"/>
                <w:highlight w:val="none"/>
              </w:rPr>
              <w:t>a2.5</w:t>
            </w:r>
            <w:r>
              <w:rPr>
                <w:rFonts w:hAnsi="Times New Roman" w:cs="Times New Roman"/>
                <w:color w:val="auto"/>
                <w:kern w:val="0"/>
                <w:sz w:val="21"/>
                <w:szCs w:val="21"/>
                <w:highlight w:val="none"/>
              </w:rPr>
              <w:t>级除锈</w:t>
            </w:r>
          </w:p>
        </w:tc>
      </w:tr>
      <w:tr w14:paraId="6FECE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trPr>
        <w:tc>
          <w:tcPr>
            <w:tcW w:w="1668" w:type="dxa"/>
            <w:gridSpan w:val="2"/>
            <w:tcBorders>
              <w:top w:val="single" w:color="auto" w:sz="4" w:space="0"/>
              <w:left w:val="single" w:color="000000" w:sz="2" w:space="0"/>
              <w:bottom w:val="single" w:color="000000" w:sz="2" w:space="0"/>
              <w:right w:val="single" w:color="000000" w:sz="2" w:space="0"/>
            </w:tcBorders>
            <w:vAlign w:val="center"/>
          </w:tcPr>
          <w:p w14:paraId="3E671E5F">
            <w:pPr>
              <w:shd w:val="clear"/>
              <w:ind w:firstLine="0" w:firstLineChars="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涂料名称及型号</w:t>
            </w:r>
          </w:p>
        </w:tc>
        <w:tc>
          <w:tcPr>
            <w:tcW w:w="2652" w:type="dxa"/>
            <w:tcBorders>
              <w:top w:val="single" w:color="auto" w:sz="4" w:space="0"/>
              <w:left w:val="single" w:color="auto" w:sz="4" w:space="0"/>
              <w:bottom w:val="single" w:color="000000" w:sz="2" w:space="0"/>
              <w:right w:val="single" w:color="000000" w:sz="2" w:space="0"/>
            </w:tcBorders>
            <w:vAlign w:val="center"/>
          </w:tcPr>
          <w:p w14:paraId="662E170B">
            <w:pPr>
              <w:shd w:val="clear"/>
              <w:ind w:firstLine="420"/>
              <w:jc w:val="center"/>
              <w:rPr>
                <w:rFonts w:hAnsi="Times New Roman" w:cs="Times New Roman"/>
                <w:color w:val="auto"/>
                <w:kern w:val="0"/>
                <w:sz w:val="21"/>
                <w:szCs w:val="21"/>
                <w:highlight w:val="none"/>
              </w:rPr>
            </w:pPr>
            <w:r>
              <w:rPr>
                <w:rFonts w:hint="eastAsia" w:hAnsi="Times New Roman" w:cs="Times New Roman"/>
                <w:color w:val="auto"/>
                <w:kern w:val="0"/>
                <w:sz w:val="21"/>
                <w:szCs w:val="21"/>
                <w:highlight w:val="none"/>
              </w:rPr>
              <w:t>E06-28无机硅酸锌底漆</w:t>
            </w:r>
          </w:p>
        </w:tc>
        <w:tc>
          <w:tcPr>
            <w:tcW w:w="2340" w:type="dxa"/>
            <w:tcBorders>
              <w:top w:val="single" w:color="auto" w:sz="4" w:space="0"/>
              <w:left w:val="single" w:color="auto" w:sz="4" w:space="0"/>
              <w:bottom w:val="single" w:color="000000" w:sz="2" w:space="0"/>
              <w:right w:val="single" w:color="000000" w:sz="2" w:space="0"/>
            </w:tcBorders>
            <w:vAlign w:val="center"/>
          </w:tcPr>
          <w:p w14:paraId="269C4345">
            <w:pPr>
              <w:shd w:val="clear"/>
              <w:ind w:firstLine="420"/>
              <w:jc w:val="center"/>
              <w:rPr>
                <w:rFonts w:hAnsi="Times New Roman" w:cs="Times New Roman"/>
                <w:color w:val="auto"/>
                <w:kern w:val="0"/>
                <w:sz w:val="21"/>
                <w:szCs w:val="21"/>
                <w:highlight w:val="none"/>
              </w:rPr>
            </w:pPr>
            <w:r>
              <w:rPr>
                <w:rFonts w:hint="eastAsia" w:hAnsi="Times New Roman" w:cs="Times New Roman"/>
                <w:color w:val="auto"/>
                <w:kern w:val="0"/>
                <w:sz w:val="21"/>
                <w:szCs w:val="21"/>
                <w:highlight w:val="none"/>
              </w:rPr>
              <w:t>W61-500有机硅耐高温防腐涂料面漆</w:t>
            </w:r>
          </w:p>
        </w:tc>
        <w:tc>
          <w:tcPr>
            <w:tcW w:w="1178" w:type="dxa"/>
            <w:tcBorders>
              <w:top w:val="single" w:color="auto" w:sz="4" w:space="0"/>
              <w:left w:val="single" w:color="auto" w:sz="4" w:space="0"/>
              <w:bottom w:val="single" w:color="000000" w:sz="2" w:space="0"/>
              <w:right w:val="single" w:color="000000" w:sz="2" w:space="0"/>
            </w:tcBorders>
            <w:vAlign w:val="center"/>
          </w:tcPr>
          <w:p w14:paraId="7778BA4F">
            <w:pPr>
              <w:shd w:val="clear"/>
              <w:ind w:firstLine="0" w:firstLineChars="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同左各层</w:t>
            </w:r>
          </w:p>
        </w:tc>
        <w:tc>
          <w:tcPr>
            <w:tcW w:w="1169" w:type="dxa"/>
            <w:vMerge w:val="continue"/>
            <w:tcBorders>
              <w:top w:val="single" w:color="auto" w:sz="4" w:space="0"/>
              <w:left w:val="single" w:color="auto" w:sz="4" w:space="0"/>
              <w:bottom w:val="single" w:color="auto" w:sz="4" w:space="0"/>
              <w:right w:val="single" w:color="auto" w:sz="4" w:space="0"/>
            </w:tcBorders>
          </w:tcPr>
          <w:p w14:paraId="00809947">
            <w:pPr>
              <w:shd w:val="clear"/>
              <w:ind w:firstLine="420"/>
              <w:jc w:val="center"/>
              <w:rPr>
                <w:rFonts w:hAnsi="Times New Roman" w:cs="Times New Roman"/>
                <w:color w:val="auto"/>
                <w:kern w:val="0"/>
                <w:sz w:val="21"/>
                <w:szCs w:val="21"/>
                <w:highlight w:val="none"/>
              </w:rPr>
            </w:pPr>
          </w:p>
        </w:tc>
      </w:tr>
      <w:tr w14:paraId="4D621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1" w:hRule="atLeast"/>
        </w:trPr>
        <w:tc>
          <w:tcPr>
            <w:tcW w:w="976" w:type="dxa"/>
            <w:tcBorders>
              <w:top w:val="single" w:color="auto" w:sz="4" w:space="0"/>
              <w:left w:val="single" w:color="000000" w:sz="2" w:space="0"/>
              <w:bottom w:val="single" w:color="000000" w:sz="2" w:space="0"/>
              <w:right w:val="single" w:color="000000" w:sz="2" w:space="0"/>
            </w:tcBorders>
            <w:vAlign w:val="center"/>
          </w:tcPr>
          <w:p w14:paraId="735C8E48">
            <w:pPr>
              <w:shd w:val="clear"/>
              <w:ind w:firstLine="0" w:firstLineChars="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涂层厚度微米/层数</w:t>
            </w:r>
          </w:p>
        </w:tc>
        <w:tc>
          <w:tcPr>
            <w:tcW w:w="692" w:type="dxa"/>
            <w:tcBorders>
              <w:top w:val="single" w:color="auto" w:sz="4" w:space="0"/>
              <w:left w:val="single" w:color="auto" w:sz="4" w:space="0"/>
              <w:bottom w:val="single" w:color="000000" w:sz="2" w:space="0"/>
              <w:right w:val="single" w:color="000000" w:sz="2" w:space="0"/>
            </w:tcBorders>
            <w:vAlign w:val="center"/>
          </w:tcPr>
          <w:p w14:paraId="6E01CAAE">
            <w:pPr>
              <w:shd w:val="clear"/>
              <w:ind w:firstLine="0" w:firstLineChars="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室内</w:t>
            </w:r>
          </w:p>
        </w:tc>
        <w:tc>
          <w:tcPr>
            <w:tcW w:w="2652" w:type="dxa"/>
            <w:tcBorders>
              <w:top w:val="single" w:color="auto" w:sz="4" w:space="0"/>
              <w:left w:val="single" w:color="auto" w:sz="4" w:space="0"/>
              <w:bottom w:val="single" w:color="000000" w:sz="2" w:space="0"/>
              <w:right w:val="single" w:color="000000" w:sz="2" w:space="0"/>
            </w:tcBorders>
            <w:vAlign w:val="center"/>
          </w:tcPr>
          <w:p w14:paraId="6036BF40">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60/2</w:t>
            </w:r>
          </w:p>
        </w:tc>
        <w:tc>
          <w:tcPr>
            <w:tcW w:w="2340" w:type="dxa"/>
            <w:tcBorders>
              <w:top w:val="single" w:color="auto" w:sz="4" w:space="0"/>
              <w:left w:val="single" w:color="auto" w:sz="4" w:space="0"/>
              <w:bottom w:val="single" w:color="000000" w:sz="2" w:space="0"/>
              <w:right w:val="single" w:color="000000" w:sz="2" w:space="0"/>
            </w:tcBorders>
            <w:vAlign w:val="center"/>
          </w:tcPr>
          <w:p w14:paraId="3E87B896">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60/2</w:t>
            </w:r>
          </w:p>
        </w:tc>
        <w:tc>
          <w:tcPr>
            <w:tcW w:w="1178" w:type="dxa"/>
            <w:tcBorders>
              <w:top w:val="single" w:color="auto" w:sz="4" w:space="0"/>
              <w:left w:val="single" w:color="auto" w:sz="4" w:space="0"/>
              <w:bottom w:val="single" w:color="000000" w:sz="2" w:space="0"/>
              <w:right w:val="single" w:color="000000" w:sz="2" w:space="0"/>
            </w:tcBorders>
            <w:vAlign w:val="center"/>
          </w:tcPr>
          <w:p w14:paraId="13E6119E">
            <w:pPr>
              <w:shd w:val="clear"/>
              <w:ind w:firstLine="420"/>
              <w:jc w:val="both"/>
              <w:rPr>
                <w:rFonts w:hAnsi="Times New Roman" w:cs="Times New Roman"/>
                <w:color w:val="auto"/>
                <w:kern w:val="0"/>
                <w:sz w:val="21"/>
                <w:szCs w:val="21"/>
                <w:highlight w:val="none"/>
              </w:rPr>
            </w:pPr>
            <w:r>
              <w:rPr>
                <w:rFonts w:hAnsi="Times New Roman" w:cs="Times New Roman"/>
                <w:color w:val="auto"/>
                <w:kern w:val="0"/>
                <w:sz w:val="21"/>
                <w:szCs w:val="21"/>
                <w:highlight w:val="none"/>
              </w:rPr>
              <w:t>120/4</w:t>
            </w:r>
          </w:p>
        </w:tc>
        <w:tc>
          <w:tcPr>
            <w:tcW w:w="1169" w:type="dxa"/>
            <w:vMerge w:val="continue"/>
            <w:tcBorders>
              <w:top w:val="single" w:color="auto" w:sz="4" w:space="0"/>
              <w:left w:val="single" w:color="auto" w:sz="4" w:space="0"/>
              <w:bottom w:val="single" w:color="auto" w:sz="4" w:space="0"/>
              <w:right w:val="single" w:color="auto" w:sz="4" w:space="0"/>
            </w:tcBorders>
          </w:tcPr>
          <w:p w14:paraId="75CD03C6">
            <w:pPr>
              <w:shd w:val="clear"/>
              <w:ind w:firstLine="420"/>
              <w:jc w:val="center"/>
              <w:rPr>
                <w:rFonts w:hAnsi="Times New Roman" w:cs="Times New Roman"/>
                <w:color w:val="auto"/>
                <w:kern w:val="0"/>
                <w:sz w:val="21"/>
                <w:szCs w:val="21"/>
                <w:highlight w:val="none"/>
              </w:rPr>
            </w:pPr>
          </w:p>
        </w:tc>
      </w:tr>
      <w:tr w14:paraId="630F0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trPr>
        <w:tc>
          <w:tcPr>
            <w:tcW w:w="1668" w:type="dxa"/>
            <w:gridSpan w:val="2"/>
            <w:tcBorders>
              <w:top w:val="single" w:color="auto" w:sz="4" w:space="0"/>
              <w:left w:val="single" w:color="000000" w:sz="2" w:space="0"/>
              <w:bottom w:val="single" w:color="000000" w:sz="2" w:space="0"/>
              <w:right w:val="single" w:color="000000" w:sz="2" w:space="0"/>
            </w:tcBorders>
            <w:vAlign w:val="center"/>
          </w:tcPr>
          <w:p w14:paraId="34666BA7">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作业分工</w:t>
            </w:r>
          </w:p>
        </w:tc>
        <w:tc>
          <w:tcPr>
            <w:tcW w:w="4992" w:type="dxa"/>
            <w:gridSpan w:val="2"/>
            <w:tcBorders>
              <w:top w:val="single" w:color="auto" w:sz="4" w:space="0"/>
              <w:left w:val="single" w:color="auto" w:sz="4" w:space="0"/>
              <w:bottom w:val="single" w:color="000000" w:sz="2" w:space="0"/>
              <w:right w:val="single" w:color="000000" w:sz="2" w:space="0"/>
            </w:tcBorders>
            <w:vAlign w:val="center"/>
          </w:tcPr>
          <w:p w14:paraId="1C6557C1">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加工厂</w:t>
            </w:r>
          </w:p>
        </w:tc>
        <w:tc>
          <w:tcPr>
            <w:tcW w:w="1178" w:type="dxa"/>
            <w:tcBorders>
              <w:top w:val="single" w:color="auto" w:sz="4" w:space="0"/>
              <w:left w:val="single" w:color="auto" w:sz="4" w:space="0"/>
              <w:bottom w:val="single" w:color="000000" w:sz="2" w:space="0"/>
              <w:right w:val="single" w:color="000000" w:sz="2" w:space="0"/>
            </w:tcBorders>
            <w:vAlign w:val="center"/>
          </w:tcPr>
          <w:p w14:paraId="66AEFEF1">
            <w:pPr>
              <w:shd w:val="clear"/>
              <w:ind w:firstLine="420"/>
              <w:jc w:val="center"/>
              <w:rPr>
                <w:rFonts w:hAnsi="Times New Roman" w:cs="Times New Roman"/>
                <w:color w:val="auto"/>
                <w:kern w:val="0"/>
                <w:sz w:val="21"/>
                <w:szCs w:val="21"/>
                <w:highlight w:val="none"/>
              </w:rPr>
            </w:pPr>
            <w:r>
              <w:rPr>
                <w:rFonts w:hAnsi="Times New Roman" w:cs="Times New Roman"/>
                <w:color w:val="auto"/>
                <w:kern w:val="0"/>
                <w:sz w:val="21"/>
                <w:szCs w:val="21"/>
                <w:highlight w:val="none"/>
              </w:rPr>
              <w:t>现场</w:t>
            </w:r>
          </w:p>
        </w:tc>
        <w:tc>
          <w:tcPr>
            <w:tcW w:w="1169" w:type="dxa"/>
            <w:vMerge w:val="continue"/>
            <w:tcBorders>
              <w:top w:val="single" w:color="auto" w:sz="4" w:space="0"/>
              <w:left w:val="single" w:color="auto" w:sz="4" w:space="0"/>
              <w:bottom w:val="single" w:color="auto" w:sz="4" w:space="0"/>
              <w:right w:val="single" w:color="auto" w:sz="4" w:space="0"/>
            </w:tcBorders>
          </w:tcPr>
          <w:p w14:paraId="629A0A9E">
            <w:pPr>
              <w:shd w:val="clear"/>
              <w:ind w:firstLine="420"/>
              <w:jc w:val="center"/>
              <w:rPr>
                <w:rFonts w:hAnsi="Times New Roman" w:cs="Times New Roman"/>
                <w:color w:val="auto"/>
                <w:kern w:val="0"/>
                <w:sz w:val="21"/>
                <w:szCs w:val="21"/>
                <w:highlight w:val="none"/>
              </w:rPr>
            </w:pPr>
          </w:p>
        </w:tc>
      </w:tr>
    </w:tbl>
    <w:p w14:paraId="72858F5B">
      <w:pPr>
        <w:shd w:val="clear"/>
        <w:snapToGrid w:val="0"/>
        <w:spacing w:line="312" w:lineRule="auto"/>
        <w:ind w:firstLine="360"/>
        <w:jc w:val="both"/>
        <w:rPr>
          <w:rFonts w:hAnsi="Times New Roman" w:cs="Times New Roman"/>
          <w:color w:val="auto"/>
          <w:sz w:val="18"/>
          <w:highlight w:val="none"/>
        </w:rPr>
      </w:pPr>
    </w:p>
    <w:p w14:paraId="02B237FB">
      <w:pPr>
        <w:shd w:val="clear"/>
        <w:jc w:val="both"/>
        <w:rPr>
          <w:rFonts w:hAnsi="Times New Roman" w:cs="Times New Roman"/>
          <w:color w:val="auto"/>
          <w:highlight w:val="none"/>
        </w:rPr>
      </w:pPr>
      <w:bookmarkStart w:id="1433" w:name="_Toc9039"/>
      <w:bookmarkStart w:id="1434" w:name="_Toc32124"/>
      <w:bookmarkStart w:id="1435" w:name="_Toc22056"/>
      <w:bookmarkStart w:id="1436" w:name="_Toc9394"/>
      <w:bookmarkStart w:id="1437" w:name="_Toc22821"/>
      <w:bookmarkStart w:id="1438" w:name="_Toc28545_WPSOffice_Level2"/>
      <w:bookmarkStart w:id="1439" w:name="_Toc14707"/>
      <w:bookmarkStart w:id="1440" w:name="_Toc13275"/>
      <w:r>
        <w:rPr>
          <w:rFonts w:hint="eastAsia" w:hAnsi="Times New Roman" w:cs="Times New Roman"/>
          <w:color w:val="auto"/>
          <w:highlight w:val="none"/>
        </w:rPr>
        <w:t>(3)钢筋混凝土结构材料的选用</w:t>
      </w:r>
      <w:bookmarkEnd w:id="1433"/>
      <w:bookmarkEnd w:id="1434"/>
      <w:bookmarkEnd w:id="1435"/>
      <w:bookmarkEnd w:id="1436"/>
      <w:bookmarkEnd w:id="1437"/>
      <w:bookmarkEnd w:id="1438"/>
      <w:bookmarkEnd w:id="1439"/>
      <w:bookmarkEnd w:id="1440"/>
    </w:p>
    <w:p w14:paraId="0BDC8C65">
      <w:pPr>
        <w:shd w:val="clear"/>
        <w:jc w:val="both"/>
        <w:rPr>
          <w:rFonts w:hAnsi="Times New Roman" w:cs="Times New Roman"/>
          <w:color w:val="auto"/>
          <w:highlight w:val="none"/>
        </w:rPr>
      </w:pPr>
      <w:r>
        <w:rPr>
          <w:rFonts w:hint="eastAsia" w:hAnsi="Times New Roman" w:cs="Times New Roman"/>
          <w:color w:val="auto"/>
          <w:highlight w:val="none"/>
        </w:rPr>
        <w:t>混凝土根据当地的环境类别及受力状况确定。</w:t>
      </w:r>
    </w:p>
    <w:p w14:paraId="03FF7D58">
      <w:pPr>
        <w:shd w:val="clear"/>
        <w:jc w:val="both"/>
        <w:rPr>
          <w:rFonts w:hAnsi="Times New Roman" w:cs="Times New Roman"/>
          <w:color w:val="auto"/>
          <w:highlight w:val="none"/>
        </w:rPr>
      </w:pPr>
      <w:r>
        <w:rPr>
          <w:rFonts w:hint="eastAsia" w:hAnsi="Times New Roman" w:cs="Times New Roman"/>
          <w:color w:val="auto"/>
          <w:highlight w:val="none"/>
        </w:rPr>
        <w:t>1）</w:t>
      </w:r>
      <w:r>
        <w:rPr>
          <w:rFonts w:hAnsi="Times New Roman" w:cs="Times New Roman"/>
          <w:color w:val="auto"/>
          <w:highlight w:val="none"/>
        </w:rPr>
        <w:t>钢筋混凝土框排架根据设计需要采用C2</w:t>
      </w:r>
      <w:r>
        <w:rPr>
          <w:rFonts w:hint="eastAsia" w:hAnsi="Times New Roman" w:cs="Times New Roman"/>
          <w:color w:val="auto"/>
          <w:highlight w:val="none"/>
        </w:rPr>
        <w:t>5</w:t>
      </w:r>
      <w:r>
        <w:rPr>
          <w:rFonts w:hAnsi="Times New Roman" w:cs="Times New Roman"/>
          <w:color w:val="auto"/>
          <w:highlight w:val="none"/>
        </w:rPr>
        <w:t>及以上等级。</w:t>
      </w:r>
    </w:p>
    <w:p w14:paraId="0F7CF110">
      <w:pPr>
        <w:shd w:val="clear"/>
        <w:jc w:val="both"/>
        <w:rPr>
          <w:rFonts w:hAnsi="Times New Roman" w:cs="Times New Roman"/>
          <w:color w:val="auto"/>
          <w:highlight w:val="none"/>
        </w:rPr>
      </w:pPr>
      <w:r>
        <w:rPr>
          <w:rFonts w:hint="eastAsia" w:hAnsi="Times New Roman" w:cs="Times New Roman"/>
          <w:color w:val="auto"/>
          <w:highlight w:val="none"/>
        </w:rPr>
        <w:t>2）</w:t>
      </w:r>
      <w:r>
        <w:rPr>
          <w:rFonts w:hAnsi="Times New Roman" w:cs="Times New Roman"/>
          <w:color w:val="auto"/>
          <w:highlight w:val="none"/>
        </w:rPr>
        <w:t>重要钢筋混凝土基础C25</w:t>
      </w:r>
      <w:r>
        <w:rPr>
          <w:rFonts w:hint="eastAsia" w:hAnsi="Times New Roman" w:cs="Times New Roman"/>
          <w:color w:val="auto"/>
          <w:highlight w:val="none"/>
        </w:rPr>
        <w:t>或</w:t>
      </w:r>
      <w:r>
        <w:rPr>
          <w:rFonts w:hAnsi="Times New Roman" w:cs="Times New Roman"/>
          <w:color w:val="auto"/>
          <w:highlight w:val="none"/>
        </w:rPr>
        <w:t>C30</w:t>
      </w:r>
      <w:r>
        <w:rPr>
          <w:rFonts w:hint="eastAsia" w:hAnsi="Times New Roman" w:cs="Times New Roman"/>
          <w:color w:val="auto"/>
          <w:highlight w:val="none"/>
        </w:rPr>
        <w:t>。</w:t>
      </w:r>
    </w:p>
    <w:p w14:paraId="6E322110">
      <w:pPr>
        <w:shd w:val="clear"/>
        <w:jc w:val="both"/>
        <w:rPr>
          <w:rFonts w:hAnsi="Times New Roman" w:cs="Times New Roman"/>
          <w:color w:val="auto"/>
          <w:highlight w:val="none"/>
        </w:rPr>
      </w:pPr>
      <w:r>
        <w:rPr>
          <w:rFonts w:hint="eastAsia" w:hAnsi="Times New Roman" w:cs="Times New Roman"/>
          <w:color w:val="auto"/>
          <w:highlight w:val="none"/>
        </w:rPr>
        <w:t>3）</w:t>
      </w:r>
      <w:r>
        <w:rPr>
          <w:rFonts w:hAnsi="Times New Roman" w:cs="Times New Roman"/>
          <w:color w:val="auto"/>
          <w:highlight w:val="none"/>
        </w:rPr>
        <w:t>一般设备基础采用C</w:t>
      </w:r>
      <w:r>
        <w:rPr>
          <w:rFonts w:hint="eastAsia" w:hAnsi="Times New Roman" w:cs="Times New Roman"/>
          <w:color w:val="auto"/>
          <w:highlight w:val="none"/>
        </w:rPr>
        <w:t>25或</w:t>
      </w:r>
      <w:r>
        <w:rPr>
          <w:rFonts w:hAnsi="Times New Roman" w:cs="Times New Roman"/>
          <w:color w:val="auto"/>
          <w:highlight w:val="none"/>
        </w:rPr>
        <w:t>C30</w:t>
      </w:r>
      <w:r>
        <w:rPr>
          <w:rFonts w:hint="eastAsia" w:hAnsi="Times New Roman" w:cs="Times New Roman"/>
          <w:color w:val="auto"/>
          <w:highlight w:val="none"/>
        </w:rPr>
        <w:t>。</w:t>
      </w:r>
    </w:p>
    <w:p w14:paraId="37B31FC3">
      <w:pPr>
        <w:shd w:val="clear"/>
        <w:jc w:val="both"/>
        <w:rPr>
          <w:rFonts w:hAnsi="Times New Roman" w:cs="Times New Roman"/>
          <w:color w:val="auto"/>
          <w:highlight w:val="none"/>
        </w:rPr>
      </w:pPr>
      <w:r>
        <w:rPr>
          <w:rFonts w:hint="eastAsia" w:hAnsi="Times New Roman" w:cs="Times New Roman"/>
          <w:color w:val="auto"/>
          <w:highlight w:val="none"/>
        </w:rPr>
        <w:t>4）</w:t>
      </w:r>
      <w:r>
        <w:rPr>
          <w:rFonts w:hAnsi="Times New Roman" w:cs="Times New Roman"/>
          <w:color w:val="auto"/>
          <w:highlight w:val="none"/>
        </w:rPr>
        <w:t>素混凝土及垫层采用C</w:t>
      </w:r>
      <w:r>
        <w:rPr>
          <w:rFonts w:hint="eastAsia" w:hAnsi="Times New Roman" w:cs="Times New Roman"/>
          <w:color w:val="auto"/>
          <w:highlight w:val="none"/>
        </w:rPr>
        <w:t>20及以上等级</w:t>
      </w:r>
      <w:r>
        <w:rPr>
          <w:rFonts w:hAnsi="Times New Roman" w:cs="Times New Roman"/>
          <w:color w:val="auto"/>
          <w:highlight w:val="none"/>
        </w:rPr>
        <w:t>。</w:t>
      </w:r>
    </w:p>
    <w:p w14:paraId="31CD68E2">
      <w:pPr>
        <w:shd w:val="clear"/>
        <w:jc w:val="both"/>
        <w:rPr>
          <w:rFonts w:hAnsi="Times New Roman" w:cs="Times New Roman"/>
          <w:color w:val="auto"/>
          <w:highlight w:val="none"/>
        </w:rPr>
      </w:pPr>
      <w:r>
        <w:rPr>
          <w:rFonts w:hint="eastAsia" w:hAnsi="Times New Roman" w:cs="Times New Roman"/>
          <w:color w:val="auto"/>
          <w:highlight w:val="none"/>
        </w:rPr>
        <w:t>5）</w:t>
      </w:r>
      <w:r>
        <w:rPr>
          <w:rFonts w:hAnsi="Times New Roman" w:cs="Times New Roman"/>
          <w:color w:val="auto"/>
          <w:highlight w:val="none"/>
        </w:rPr>
        <w:t>钢筋采用HPB300、HRB400等。</w:t>
      </w:r>
    </w:p>
    <w:p w14:paraId="245FC574">
      <w:pPr>
        <w:shd w:val="clear"/>
        <w:jc w:val="both"/>
        <w:rPr>
          <w:rFonts w:hAnsi="Times New Roman" w:cs="Times New Roman"/>
          <w:color w:val="auto"/>
          <w:highlight w:val="none"/>
        </w:rPr>
      </w:pPr>
      <w:bookmarkStart w:id="1441" w:name="_Toc1457_WPSOffice_Level2"/>
      <w:bookmarkStart w:id="1442" w:name="_Toc24145"/>
      <w:bookmarkStart w:id="1443" w:name="_Toc9785"/>
      <w:bookmarkStart w:id="1444" w:name="_Toc6319"/>
      <w:bookmarkStart w:id="1445" w:name="_Toc9865"/>
      <w:bookmarkStart w:id="1446" w:name="_Toc6998"/>
      <w:bookmarkStart w:id="1447" w:name="_Toc23762"/>
      <w:bookmarkStart w:id="1448" w:name="_Toc8990"/>
      <w:r>
        <w:rPr>
          <w:rFonts w:hint="eastAsia" w:hAnsi="Times New Roman" w:cs="Times New Roman"/>
          <w:color w:val="auto"/>
          <w:highlight w:val="none"/>
        </w:rPr>
        <w:t>(4)地基基础</w:t>
      </w:r>
      <w:bookmarkEnd w:id="1441"/>
      <w:bookmarkEnd w:id="1442"/>
      <w:bookmarkEnd w:id="1443"/>
      <w:bookmarkEnd w:id="1444"/>
      <w:bookmarkEnd w:id="1445"/>
      <w:bookmarkEnd w:id="1446"/>
      <w:bookmarkEnd w:id="1447"/>
      <w:bookmarkEnd w:id="1448"/>
    </w:p>
    <w:p w14:paraId="472B9899">
      <w:pPr>
        <w:shd w:val="clear"/>
        <w:jc w:val="both"/>
        <w:rPr>
          <w:rFonts w:hAnsi="Times New Roman" w:cs="Times New Roman"/>
          <w:color w:val="auto"/>
          <w:highlight w:val="none"/>
        </w:rPr>
      </w:pPr>
      <w:r>
        <w:rPr>
          <w:rFonts w:hint="eastAsia" w:hAnsi="Times New Roman" w:cs="Times New Roman"/>
          <w:color w:val="auto"/>
          <w:highlight w:val="none"/>
        </w:rPr>
        <w:t>1）建构筑物地基因既有建筑基础拆除等原因形成的超挖采用级配碎石回填，地基承载力特征值暂按250kPa考虑。对于新增转运站、除尘框架、配电室等基础持力层位于卵石层时，地基承载力特征值暂按500kPa考虑。</w:t>
      </w:r>
    </w:p>
    <w:p w14:paraId="46ACA69E">
      <w:pPr>
        <w:shd w:val="clear"/>
        <w:jc w:val="both"/>
        <w:rPr>
          <w:rFonts w:hAnsi="Times New Roman" w:cs="Times New Roman"/>
          <w:color w:val="auto"/>
          <w:highlight w:val="none"/>
        </w:rPr>
      </w:pPr>
      <w:r>
        <w:rPr>
          <w:rFonts w:hint="eastAsia" w:hAnsi="Times New Roman" w:cs="Times New Roman"/>
          <w:color w:val="auto"/>
          <w:highlight w:val="none"/>
        </w:rPr>
        <w:t>2）基础型式根据建筑物的结构特征采用钢筋混凝土条形基础、柱下独立基础、柱下条形基础或筏形基础。</w:t>
      </w:r>
    </w:p>
    <w:p w14:paraId="0206418B">
      <w:pPr>
        <w:shd w:val="clear"/>
        <w:jc w:val="both"/>
        <w:rPr>
          <w:rFonts w:hAnsi="Times New Roman" w:cs="Times New Roman"/>
          <w:color w:val="auto"/>
          <w:highlight w:val="none"/>
        </w:rPr>
      </w:pPr>
      <w:r>
        <w:rPr>
          <w:rFonts w:hint="eastAsia" w:hAnsi="Times New Roman" w:cs="Times New Roman"/>
          <w:color w:val="auto"/>
          <w:highlight w:val="none"/>
        </w:rPr>
        <w:t>3）振动设备基础与建（构）筑物基础分开，并避免产生共振。</w:t>
      </w:r>
    </w:p>
    <w:p w14:paraId="34340FD1">
      <w:pPr>
        <w:shd w:val="clear"/>
        <w:jc w:val="both"/>
        <w:rPr>
          <w:rFonts w:hAnsi="Times New Roman" w:cs="Times New Roman"/>
          <w:color w:val="auto"/>
          <w:highlight w:val="none"/>
        </w:rPr>
      </w:pPr>
      <w:r>
        <w:rPr>
          <w:rFonts w:hint="eastAsia" w:hAnsi="Times New Roman" w:cs="Times New Roman"/>
          <w:color w:val="auto"/>
          <w:highlight w:val="none"/>
        </w:rPr>
        <w:t>4）地下构筑物、水池采用防水钢筋混凝土结构。</w:t>
      </w:r>
    </w:p>
    <w:p w14:paraId="723CF2B9">
      <w:pPr>
        <w:shd w:val="clear"/>
        <w:jc w:val="both"/>
        <w:rPr>
          <w:rFonts w:hAnsi="Times New Roman" w:cs="Times New Roman"/>
          <w:color w:val="auto"/>
          <w:highlight w:val="none"/>
        </w:rPr>
      </w:pPr>
      <w:bookmarkStart w:id="1449" w:name="_Toc17419"/>
      <w:bookmarkStart w:id="1450" w:name="_Toc32655"/>
      <w:bookmarkStart w:id="1451" w:name="_Toc27776"/>
      <w:bookmarkStart w:id="1452" w:name="_Toc2963_WPSOffice_Level2"/>
      <w:bookmarkStart w:id="1453" w:name="_Toc26194"/>
      <w:bookmarkStart w:id="1454" w:name="_Toc10608"/>
      <w:bookmarkStart w:id="1455" w:name="_Toc29294"/>
      <w:bookmarkStart w:id="1456" w:name="_Toc9368"/>
      <w:r>
        <w:rPr>
          <w:rFonts w:hint="eastAsia" w:hAnsi="Times New Roman" w:cs="Times New Roman"/>
          <w:color w:val="auto"/>
          <w:highlight w:val="none"/>
        </w:rPr>
        <w:t>(5)结构选型</w:t>
      </w:r>
      <w:bookmarkEnd w:id="1449"/>
      <w:bookmarkEnd w:id="1450"/>
      <w:bookmarkEnd w:id="1451"/>
      <w:bookmarkEnd w:id="1452"/>
      <w:bookmarkEnd w:id="1453"/>
      <w:bookmarkEnd w:id="1454"/>
      <w:bookmarkEnd w:id="1455"/>
      <w:bookmarkEnd w:id="1456"/>
    </w:p>
    <w:p w14:paraId="49A18C26">
      <w:pPr>
        <w:shd w:val="clear"/>
        <w:jc w:val="both"/>
        <w:rPr>
          <w:rFonts w:hAnsi="Times New Roman" w:cs="Times New Roman"/>
          <w:color w:val="auto"/>
          <w:highlight w:val="none"/>
        </w:rPr>
      </w:pPr>
      <w:r>
        <w:rPr>
          <w:rFonts w:hint="eastAsia" w:hAnsi="Times New Roman" w:cs="Times New Roman"/>
          <w:color w:val="auto"/>
          <w:highlight w:val="none"/>
        </w:rPr>
        <w:t>跨度、高度较小的建筑物采用砖混结构。跨度大、高度大、荷载大的建筑物采用钢或钢筋混凝土框架、框排架结构。</w:t>
      </w:r>
    </w:p>
    <w:p w14:paraId="4C1C7F9D">
      <w:pPr>
        <w:shd w:val="clear"/>
        <w:jc w:val="both"/>
        <w:rPr>
          <w:rFonts w:hAnsi="Times New Roman" w:cs="Times New Roman"/>
          <w:color w:val="auto"/>
          <w:highlight w:val="none"/>
        </w:rPr>
      </w:pPr>
      <w:bookmarkStart w:id="1457" w:name="_Toc8395"/>
      <w:bookmarkStart w:id="1458" w:name="_Toc17253"/>
      <w:bookmarkStart w:id="1459" w:name="_Toc3891"/>
      <w:bookmarkStart w:id="1460" w:name="_Toc28381"/>
      <w:bookmarkStart w:id="1461" w:name="_Toc2774"/>
      <w:bookmarkStart w:id="1462" w:name="_Toc32017"/>
      <w:bookmarkStart w:id="1463" w:name="_Toc5663"/>
      <w:bookmarkStart w:id="1464" w:name="_Toc28876"/>
      <w:bookmarkStart w:id="1465" w:name="_Toc18199"/>
      <w:bookmarkStart w:id="1466" w:name="_Toc29864"/>
      <w:bookmarkStart w:id="1467" w:name="_Toc3039"/>
      <w:bookmarkStart w:id="1468" w:name="_Toc3965"/>
      <w:bookmarkStart w:id="1469" w:name="_Toc21606"/>
      <w:bookmarkStart w:id="1470" w:name="_Toc31610"/>
      <w:bookmarkStart w:id="1471" w:name="_Toc1009"/>
      <w:bookmarkStart w:id="1472" w:name="_Toc23125"/>
      <w:bookmarkStart w:id="1473" w:name="_Toc24351"/>
      <w:bookmarkStart w:id="1474" w:name="_Toc2789"/>
      <w:bookmarkStart w:id="1475" w:name="_Toc30070"/>
      <w:bookmarkStart w:id="1476" w:name="_Toc9154"/>
      <w:bookmarkStart w:id="1477" w:name="_Toc7830"/>
      <w:bookmarkStart w:id="1478" w:name="_Toc11559"/>
      <w:bookmarkStart w:id="1479" w:name="_Toc27451"/>
      <w:bookmarkStart w:id="1480" w:name="_Toc7743"/>
      <w:bookmarkStart w:id="1481" w:name="_Toc10512_WPSOffice_Level2"/>
      <w:bookmarkStart w:id="1482" w:name="_Toc18530"/>
      <w:bookmarkStart w:id="1483" w:name="_Toc3667"/>
      <w:bookmarkStart w:id="1484" w:name="_Toc13820"/>
      <w:bookmarkStart w:id="1485" w:name="_Toc32291"/>
      <w:bookmarkStart w:id="1486" w:name="_Toc23214"/>
      <w:bookmarkStart w:id="1487" w:name="_Toc11118"/>
      <w:bookmarkStart w:id="1488" w:name="_Toc6357"/>
      <w:bookmarkStart w:id="1489" w:name="_Toc9043"/>
      <w:bookmarkStart w:id="1490" w:name="_Toc24511"/>
      <w:bookmarkStart w:id="1491" w:name="_Toc16752"/>
      <w:bookmarkStart w:id="1492" w:name="_Toc21473"/>
      <w:bookmarkStart w:id="1493" w:name="_Toc1022"/>
      <w:bookmarkStart w:id="1494" w:name="_Toc13906"/>
      <w:r>
        <w:rPr>
          <w:rFonts w:hint="eastAsia" w:hAnsi="Times New Roman" w:cs="Times New Roman"/>
          <w:color w:val="auto"/>
          <w:highlight w:val="none"/>
        </w:rPr>
        <w:t>(6)变形缝</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p w14:paraId="249E5FF8">
      <w:pPr>
        <w:shd w:val="clear"/>
        <w:jc w:val="both"/>
        <w:rPr>
          <w:rFonts w:hAnsi="Times New Roman" w:cs="Times New Roman"/>
          <w:color w:val="auto"/>
          <w:highlight w:val="none"/>
        </w:rPr>
      </w:pPr>
      <w:r>
        <w:rPr>
          <w:rFonts w:hint="eastAsia" w:hAnsi="Times New Roman" w:cs="Times New Roman"/>
          <w:color w:val="auto"/>
          <w:highlight w:val="none"/>
        </w:rPr>
        <w:t>按照规范要求设置沉降缝、伸缩缝、防震缝。</w:t>
      </w:r>
    </w:p>
    <w:p w14:paraId="0A5A9340">
      <w:pPr>
        <w:shd w:val="clear"/>
        <w:jc w:val="both"/>
        <w:rPr>
          <w:rFonts w:hAnsi="Times New Roman" w:cs="Times New Roman"/>
          <w:color w:val="auto"/>
          <w:highlight w:val="none"/>
        </w:rPr>
      </w:pPr>
      <w:bookmarkStart w:id="1495" w:name="_Toc12470"/>
      <w:bookmarkStart w:id="1496" w:name="_Toc20432"/>
      <w:bookmarkStart w:id="1497" w:name="_Toc15768"/>
      <w:bookmarkStart w:id="1498" w:name="_Toc19964"/>
      <w:bookmarkStart w:id="1499" w:name="_Toc30448"/>
      <w:bookmarkStart w:id="1500" w:name="_Toc25195"/>
      <w:bookmarkStart w:id="1501" w:name="_Toc11450"/>
      <w:bookmarkStart w:id="1502" w:name="_Toc6485"/>
      <w:bookmarkStart w:id="1503" w:name="_Toc19316"/>
      <w:bookmarkStart w:id="1504" w:name="_Toc21191"/>
      <w:bookmarkStart w:id="1505" w:name="_Toc7685"/>
      <w:bookmarkStart w:id="1506" w:name="_Toc11353"/>
      <w:bookmarkStart w:id="1507" w:name="_Toc31447"/>
      <w:bookmarkStart w:id="1508" w:name="_Toc5919"/>
      <w:bookmarkStart w:id="1509" w:name="_Toc9435"/>
      <w:bookmarkStart w:id="1510" w:name="_Toc16605_WPSOffice_Level2"/>
      <w:bookmarkStart w:id="1511" w:name="_Toc6566"/>
      <w:bookmarkStart w:id="1512" w:name="_Toc11477"/>
      <w:bookmarkStart w:id="1513" w:name="_Toc9026"/>
      <w:bookmarkStart w:id="1514" w:name="_Toc9235"/>
      <w:bookmarkStart w:id="1515" w:name="_Toc11206"/>
      <w:bookmarkStart w:id="1516" w:name="_Toc18601"/>
      <w:bookmarkStart w:id="1517" w:name="_Toc11364"/>
      <w:bookmarkStart w:id="1518" w:name="_Toc2659"/>
      <w:bookmarkStart w:id="1519" w:name="_Toc27523"/>
      <w:bookmarkStart w:id="1520" w:name="_Toc16782"/>
      <w:bookmarkStart w:id="1521" w:name="_Toc10181"/>
      <w:bookmarkStart w:id="1522" w:name="_Toc16036"/>
      <w:bookmarkStart w:id="1523" w:name="_Toc6607"/>
      <w:bookmarkStart w:id="1524" w:name="_Toc5393"/>
      <w:bookmarkStart w:id="1525" w:name="_Toc18405"/>
      <w:bookmarkStart w:id="1526" w:name="_Toc11536"/>
      <w:bookmarkStart w:id="1527" w:name="_Toc9940"/>
      <w:bookmarkStart w:id="1528" w:name="_Toc29716"/>
      <w:bookmarkStart w:id="1529" w:name="_Toc30211"/>
      <w:bookmarkStart w:id="1530" w:name="_Toc27533"/>
      <w:bookmarkStart w:id="1531" w:name="_Toc7244"/>
      <w:bookmarkStart w:id="1532" w:name="_Toc22799"/>
      <w:r>
        <w:rPr>
          <w:rFonts w:hint="eastAsia" w:hAnsi="Times New Roman" w:cs="Times New Roman"/>
          <w:color w:val="auto"/>
          <w:highlight w:val="none"/>
        </w:rPr>
        <w:t>(7)</w:t>
      </w:r>
      <w:r>
        <w:rPr>
          <w:rFonts w:hAnsi="Times New Roman" w:cs="Times New Roman"/>
          <w:color w:val="auto"/>
          <w:highlight w:val="none"/>
        </w:rPr>
        <w:t>皮带通廊</w:t>
      </w:r>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p>
    <w:p w14:paraId="4C1C2B39">
      <w:pPr>
        <w:shd w:val="clear"/>
        <w:jc w:val="both"/>
        <w:rPr>
          <w:rFonts w:hAnsi="Times New Roman" w:cs="Times New Roman"/>
          <w:color w:val="auto"/>
          <w:highlight w:val="none"/>
        </w:rPr>
      </w:pPr>
      <w:r>
        <w:rPr>
          <w:rFonts w:hint="eastAsia" w:hAnsi="Times New Roman" w:cs="Times New Roman"/>
          <w:color w:val="auto"/>
          <w:highlight w:val="none"/>
        </w:rPr>
        <w:t>地上皮带通廊采用钢桁架；通廊支架一般采用钢支架；地下通廊采用防水钢筋混凝土箱型结构。</w:t>
      </w:r>
    </w:p>
    <w:p w14:paraId="7B8AF3CC">
      <w:pPr>
        <w:numPr>
          <w:ilvl w:val="0"/>
          <w:numId w:val="31"/>
        </w:numPr>
        <w:shd w:val="clear"/>
        <w:jc w:val="both"/>
        <w:rPr>
          <w:rFonts w:hAnsi="Times New Roman" w:cs="Times New Roman"/>
          <w:color w:val="auto"/>
          <w:highlight w:val="none"/>
        </w:rPr>
      </w:pPr>
      <w:r>
        <w:rPr>
          <w:rFonts w:hint="eastAsia" w:hAnsi="Times New Roman" w:cs="Times New Roman"/>
          <w:color w:val="auto"/>
          <w:highlight w:val="none"/>
        </w:rPr>
        <w:t>既有建构筑物加固改造</w:t>
      </w:r>
    </w:p>
    <w:p w14:paraId="5663CE62">
      <w:pPr>
        <w:shd w:val="clear"/>
        <w:jc w:val="both"/>
        <w:rPr>
          <w:rFonts w:hAnsi="Times New Roman" w:cs="Times New Roman"/>
          <w:color w:val="auto"/>
          <w:highlight w:val="none"/>
        </w:rPr>
      </w:pPr>
      <w:r>
        <w:rPr>
          <w:rFonts w:hint="eastAsia" w:hAnsi="Times New Roman" w:cs="Times New Roman"/>
          <w:color w:val="auto"/>
          <w:highlight w:val="none"/>
        </w:rPr>
        <w:t>既有建构筑物需要根据检测与鉴定结果进行改造与加固处理。对既有结构进行安全性、适用性、耐久性及抗灾害能力进行评定时，应符合《工程结构可靠性设计统一标准》（GB 50153-2008）的原则要求。应根据</w:t>
      </w:r>
      <w:r>
        <w:rPr>
          <w:rFonts w:hint="eastAsia" w:hAnsi="Times New Roman" w:cs="Times New Roman"/>
          <w:color w:val="auto"/>
          <w:highlight w:val="none"/>
          <w:lang w:val="en-US" w:eastAsia="zh-CN"/>
        </w:rPr>
        <w:t>鉴定报告</w:t>
      </w:r>
      <w:r>
        <w:rPr>
          <w:rFonts w:hint="eastAsia" w:hAnsi="Times New Roman" w:cs="Times New Roman"/>
          <w:color w:val="auto"/>
          <w:highlight w:val="none"/>
        </w:rPr>
        <w:t>评定结果、使用要求和后续工作年限确定既有结构的设计方案。</w:t>
      </w:r>
    </w:p>
    <w:p w14:paraId="4D3A5CAF">
      <w:pPr>
        <w:shd w:val="clear"/>
        <w:ind w:firstLine="0" w:firstLineChars="0"/>
        <w:outlineLvl w:val="1"/>
        <w:rPr>
          <w:rFonts w:cs="Times New Roman"/>
          <w:b/>
          <w:color w:val="auto"/>
          <w:sz w:val="28"/>
          <w:szCs w:val="28"/>
          <w:highlight w:val="none"/>
        </w:rPr>
      </w:pPr>
      <w:bookmarkStart w:id="1533" w:name="_Toc26856"/>
      <w:bookmarkStart w:id="1534" w:name="_Toc22173"/>
      <w:bookmarkStart w:id="1535" w:name="_Toc26229"/>
      <w:bookmarkStart w:id="1536" w:name="_Toc6233"/>
      <w:bookmarkStart w:id="1537" w:name="_Toc3141"/>
      <w:bookmarkStart w:id="1538" w:name="_Toc16590_WPSOffice_Level1"/>
      <w:bookmarkStart w:id="1539" w:name="_Toc19532"/>
      <w:bookmarkStart w:id="1540" w:name="_Toc5701025"/>
      <w:bookmarkStart w:id="1541" w:name="_Toc29983"/>
      <w:bookmarkStart w:id="1542" w:name="_Toc17874"/>
      <w:bookmarkStart w:id="1543" w:name="_Toc26653"/>
      <w:bookmarkStart w:id="1544" w:name="_Toc31043"/>
      <w:bookmarkStart w:id="1545" w:name="_Toc31010"/>
      <w:bookmarkStart w:id="1546" w:name="_Toc21803"/>
      <w:bookmarkStart w:id="1547" w:name="_Toc23980"/>
      <w:bookmarkStart w:id="1548" w:name="_Toc13101"/>
      <w:bookmarkStart w:id="1549" w:name="_Toc29494"/>
      <w:bookmarkStart w:id="1550" w:name="_Toc12886"/>
      <w:bookmarkStart w:id="1551" w:name="_Toc490"/>
      <w:bookmarkStart w:id="1552" w:name="_Toc11705"/>
      <w:bookmarkStart w:id="1553" w:name="_Toc24973"/>
      <w:bookmarkStart w:id="1554" w:name="_Toc15059"/>
      <w:bookmarkStart w:id="1555" w:name="_Toc17964"/>
      <w:bookmarkStart w:id="1556" w:name="_Toc4328"/>
      <w:bookmarkStart w:id="1557" w:name="_Toc6438"/>
      <w:bookmarkStart w:id="1558" w:name="_Toc9444"/>
      <w:bookmarkStart w:id="1559" w:name="_Toc17225"/>
      <w:bookmarkStart w:id="1560" w:name="_Toc30715"/>
      <w:bookmarkStart w:id="1561" w:name="_Toc12242"/>
      <w:bookmarkStart w:id="1562" w:name="_Toc9595"/>
      <w:bookmarkStart w:id="1563" w:name="_Toc18187"/>
      <w:bookmarkStart w:id="1564" w:name="_Toc23210"/>
      <w:bookmarkStart w:id="1565" w:name="_Toc20124"/>
      <w:bookmarkStart w:id="1566" w:name="_Toc23755"/>
      <w:bookmarkStart w:id="1567" w:name="_Toc25399"/>
      <w:bookmarkStart w:id="1568" w:name="_Toc32669"/>
      <w:bookmarkStart w:id="1569" w:name="_Toc2565"/>
      <w:bookmarkStart w:id="1570" w:name="_Toc16803"/>
      <w:bookmarkStart w:id="1571" w:name="_Toc11992"/>
      <w:bookmarkStart w:id="1572" w:name="_Toc4241"/>
      <w:bookmarkStart w:id="1573" w:name="_Toc15457"/>
      <w:bookmarkStart w:id="1574" w:name="_Toc3621"/>
      <w:bookmarkStart w:id="1575" w:name="_Toc21927"/>
      <w:bookmarkStart w:id="1576" w:name="_Toc20629"/>
      <w:bookmarkStart w:id="1577" w:name="_Toc3158"/>
      <w:bookmarkStart w:id="1578" w:name="_Toc2223"/>
      <w:bookmarkStart w:id="1579" w:name="_Toc28556"/>
      <w:bookmarkStart w:id="1580" w:name="_Toc14639"/>
      <w:bookmarkStart w:id="1581" w:name="_Toc30669"/>
      <w:bookmarkStart w:id="1582" w:name="_Toc9709"/>
      <w:bookmarkStart w:id="1583" w:name="_Toc3008"/>
      <w:bookmarkStart w:id="1584" w:name="_Toc22618"/>
      <w:bookmarkStart w:id="1585" w:name="_Toc28551"/>
      <w:bookmarkStart w:id="1586" w:name="_Toc10885"/>
      <w:bookmarkStart w:id="1587" w:name="_Toc18974"/>
      <w:bookmarkStart w:id="1588" w:name="_Toc13917"/>
      <w:bookmarkStart w:id="1589" w:name="_Toc11052"/>
      <w:bookmarkStart w:id="1590" w:name="_Toc15612"/>
      <w:bookmarkStart w:id="1591" w:name="_Toc14677"/>
      <w:bookmarkStart w:id="1592" w:name="_Toc2867"/>
      <w:bookmarkStart w:id="1593" w:name="_Toc25683"/>
      <w:bookmarkStart w:id="1594" w:name="_Toc1120"/>
      <w:bookmarkStart w:id="1595" w:name="_Toc6281"/>
      <w:bookmarkStart w:id="1596" w:name="_Toc22659"/>
      <w:bookmarkStart w:id="1597" w:name="_Toc31498"/>
      <w:bookmarkStart w:id="1598" w:name="_Toc10620"/>
      <w:bookmarkStart w:id="1599" w:name="_Toc18711"/>
      <w:bookmarkStart w:id="1600" w:name="_Toc17209518"/>
      <w:bookmarkStart w:id="1601" w:name="_Toc7851"/>
      <w:bookmarkStart w:id="1602" w:name="_Toc23945"/>
      <w:bookmarkStart w:id="1603" w:name="_Toc3135"/>
      <w:bookmarkStart w:id="1604" w:name="_Toc15318"/>
      <w:bookmarkStart w:id="1605" w:name="_Toc13708"/>
      <w:r>
        <w:rPr>
          <w:rFonts w:hint="eastAsia" w:cs="Times New Roman"/>
          <w:b/>
          <w:color w:val="auto"/>
          <w:sz w:val="28"/>
          <w:szCs w:val="28"/>
          <w:highlight w:val="none"/>
        </w:rPr>
        <w:t>13.5 主要建、构筑物结构形式</w:t>
      </w:r>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p>
    <w:p w14:paraId="23677CF1">
      <w:pPr>
        <w:shd w:val="clear"/>
        <w:jc w:val="both"/>
        <w:rPr>
          <w:rFonts w:hAnsi="Times New Roman" w:cs="Times New Roman"/>
          <w:color w:val="auto"/>
          <w:highlight w:val="none"/>
        </w:rPr>
      </w:pPr>
      <w:r>
        <w:rPr>
          <w:rFonts w:hint="eastAsia" w:hAnsi="Times New Roman" w:cs="Times New Roman"/>
          <w:color w:val="auto"/>
          <w:highlight w:val="none"/>
        </w:rPr>
        <w:t>本工程主要包括矿槽改造、上料斜桥改造、高炉炉体改造、风口平台及出铁场改造、粗煤气系统改造、软水泵房改造、除尘系统改造</w:t>
      </w:r>
      <w:r>
        <w:rPr>
          <w:rFonts w:hint="eastAsia" w:cs="Times New Roman"/>
          <w:color w:val="auto"/>
          <w:highlight w:val="none"/>
        </w:rPr>
        <w:t>等。</w:t>
      </w:r>
    </w:p>
    <w:p w14:paraId="099E4511">
      <w:pPr>
        <w:shd w:val="clear"/>
        <w:jc w:val="both"/>
        <w:rPr>
          <w:rFonts w:hAnsi="Times New Roman" w:cs="Times New Roman"/>
          <w:color w:val="auto"/>
          <w:highlight w:val="none"/>
        </w:rPr>
      </w:pPr>
      <w:r>
        <w:rPr>
          <w:rFonts w:hint="eastAsia" w:hAnsi="Times New Roman" w:cs="Times New Roman"/>
          <w:color w:val="auto"/>
          <w:highlight w:val="none"/>
        </w:rPr>
        <w:t>主要建、构筑物的建筑结构形式描述如下：</w:t>
      </w:r>
    </w:p>
    <w:p w14:paraId="3ED57C79">
      <w:pPr>
        <w:shd w:val="clear"/>
        <w:jc w:val="both"/>
        <w:rPr>
          <w:rFonts w:cs="Times New Roman"/>
          <w:color w:val="auto"/>
          <w:highlight w:val="none"/>
        </w:rPr>
      </w:pPr>
      <w:r>
        <w:rPr>
          <w:rFonts w:hint="eastAsia" w:cs="Times New Roman"/>
          <w:color w:val="auto"/>
          <w:highlight w:val="none"/>
        </w:rPr>
        <w:t>（1）高炉矿焦槽</w:t>
      </w:r>
    </w:p>
    <w:p w14:paraId="13BF88A0">
      <w:pPr>
        <w:shd w:val="clear"/>
        <w:jc w:val="both"/>
        <w:rPr>
          <w:rFonts w:hint="eastAsia" w:hAnsi="Times New Roman" w:cs="Times New Roman"/>
          <w:color w:val="auto"/>
          <w:highlight w:val="none"/>
        </w:rPr>
      </w:pPr>
      <w:r>
        <w:rPr>
          <w:rFonts w:hint="eastAsia" w:hAnsi="Times New Roman" w:cs="Times New Roman"/>
          <w:color w:val="auto"/>
          <w:highlight w:val="none"/>
        </w:rPr>
        <w:t>1）矿焦槽加固：根据业主提供的鉴定报告对矿焦槽进行加固改造，包括：柱梁加固、仓上部预制板更换改造、除尘改造、振动筛钢平台加固、仓壁修复等，该矿槽已使用34年，目标后续使用年限为10年。</w:t>
      </w:r>
    </w:p>
    <w:p w14:paraId="335F3A94">
      <w:pPr>
        <w:shd w:val="clear"/>
        <w:jc w:val="both"/>
        <w:rPr>
          <w:rFonts w:hint="eastAsia" w:hAnsi="Times New Roman" w:cs="Times New Roman"/>
          <w:color w:val="auto"/>
          <w:highlight w:val="none"/>
        </w:rPr>
      </w:pPr>
      <w:r>
        <w:rPr>
          <w:rFonts w:hint="eastAsia" w:hAnsi="Times New Roman" w:cs="Times New Roman"/>
          <w:color w:val="auto"/>
          <w:highlight w:val="none"/>
        </w:rPr>
        <w:t>根据鉴定报告该工程主体结构安全性评定为三级，其中基础安全性评定等级为B级，上部结构安全性评定等级为C级；综合抗震能力不满足抗震设防烈度8度、A类建筑的抗震鉴定要求；柱、梁主体结构构件存在断裂、倾斜的现象；料仓部分存在露筋、开裂、砼脱落及下沉等有缺陷的部位。根据鉴定报告加固方法如下：</w:t>
      </w:r>
    </w:p>
    <w:p w14:paraId="1F5636F3">
      <w:pPr>
        <w:shd w:val="clear"/>
        <w:jc w:val="both"/>
        <w:rPr>
          <w:rFonts w:hint="eastAsia" w:hAnsi="Times New Roman" w:cs="Times New Roman"/>
          <w:color w:val="auto"/>
          <w:highlight w:val="none"/>
        </w:rPr>
      </w:pPr>
      <w:r>
        <w:rPr>
          <w:rFonts w:hint="eastAsia" w:hAnsi="Times New Roman" w:cs="Times New Roman"/>
          <w:color w:val="auto"/>
          <w:highlight w:val="none"/>
        </w:rPr>
        <w:t>梁柱损坏处凿除并用聚合物砂浆修复；既有钢筋混凝土柱采用增加截面法加固，加固高度由基础顶面至14.000m；将9#~12#仓及2个焦仓仓顶皮带支承梁拆除，拆除的过程中保留原支承梁钢筋，采用钢骨混凝土梁恢复；既有槽上损坏混凝土楼板拆除后恢复；对于混凝土梁表面的夹渣、疏松、蜂窝、麻面、起砂、腐蚀、开裂等混凝土缺陷，剔除后露出混凝土坚实结构层，然后用聚合物砂浆修补；对于混凝土仓内表面的夹渣、疏松、蜂窝、麻面、起砂、腐蚀、开裂等混凝土缺陷，剔除后露出混凝土坚实结构层，然后用聚合物砂浆修补，并采用植筋挂网，用于工艺耐磨浇注料的喷涂。</w:t>
      </w:r>
      <w:r>
        <w:rPr>
          <w:rFonts w:hint="eastAsia" w:hAnsi="Times New Roman" w:cs="Times New Roman"/>
          <w:color w:val="auto"/>
          <w:highlight w:val="none"/>
          <w:lang w:val="en-US" w:eastAsia="zh-CN"/>
        </w:rPr>
        <w:t>43#皮带机部分埋件松动，进行注浆加固。各钢筋混凝土仓落料口更换钢漏斗。</w:t>
      </w:r>
    </w:p>
    <w:p w14:paraId="7DA37E5F">
      <w:pPr>
        <w:shd w:val="clear"/>
        <w:jc w:val="both"/>
        <w:rPr>
          <w:rFonts w:hint="eastAsia" w:hAnsi="Times New Roman" w:cs="Times New Roman"/>
          <w:color w:val="auto"/>
          <w:highlight w:val="none"/>
        </w:rPr>
      </w:pPr>
      <w:r>
        <w:rPr>
          <w:rFonts w:hint="eastAsia" w:hAnsi="Times New Roman" w:cs="Times New Roman"/>
          <w:color w:val="auto"/>
          <w:highlight w:val="none"/>
        </w:rPr>
        <w:t>2）矿焦槽封闭：现有矿焦槽总长约95m，总宽约19m，槽面高度约14m。矿焦槽墙面采用压型</w:t>
      </w:r>
      <w:r>
        <w:rPr>
          <w:rFonts w:hint="eastAsia" w:hAnsi="Times New Roman" w:cs="Times New Roman"/>
          <w:color w:val="auto"/>
          <w:highlight w:val="none"/>
          <w:lang w:val="en-US" w:eastAsia="zh-CN"/>
        </w:rPr>
        <w:t>彩</w:t>
      </w:r>
      <w:r>
        <w:rPr>
          <w:rFonts w:hint="eastAsia" w:hAnsi="Times New Roman" w:cs="Times New Roman"/>
          <w:color w:val="auto"/>
          <w:highlight w:val="none"/>
        </w:rPr>
        <w:t>钢板封闭，</w:t>
      </w:r>
      <w:r>
        <w:rPr>
          <w:rFonts w:hint="eastAsia" w:hAnsi="Times New Roman" w:cs="Times New Roman"/>
          <w:color w:val="auto"/>
          <w:highlight w:val="none"/>
          <w:lang w:val="en-US" w:eastAsia="zh-CN"/>
        </w:rPr>
        <w:t>局部设FRP采光带，东侧、南侧封墙皮高度从地面到屋顶，西侧从配电室通风百叶窗以上至屋面进行封闭，西侧其它部分从地面到屋顶封闭，26#转运站墙面彩板补齐，所有屋面压型彩钢板利旧。检修葫芦轨道外伸处设置检修门，检修门采用钢大门。</w:t>
      </w:r>
    </w:p>
    <w:p w14:paraId="17625A3E">
      <w:pPr>
        <w:shd w:val="clear"/>
        <w:jc w:val="both"/>
        <w:rPr>
          <w:rFonts w:hint="eastAsia" w:hAnsi="Times New Roman" w:cs="Times New Roman"/>
          <w:color w:val="auto"/>
          <w:highlight w:val="none"/>
        </w:rPr>
      </w:pPr>
      <w:r>
        <w:rPr>
          <w:rFonts w:hint="eastAsia" w:hAnsi="Times New Roman" w:cs="Times New Roman"/>
          <w:color w:val="auto"/>
          <w:highlight w:val="none"/>
        </w:rPr>
        <w:t>3）碎焦筛分</w:t>
      </w:r>
      <w:r>
        <w:rPr>
          <w:rFonts w:hint="eastAsia" w:hAnsi="Times New Roman" w:cs="Times New Roman"/>
          <w:color w:val="auto"/>
          <w:highlight w:val="none"/>
          <w:lang w:eastAsia="zh-CN"/>
        </w:rPr>
        <w:t>点</w:t>
      </w:r>
      <w:r>
        <w:rPr>
          <w:rFonts w:hint="eastAsia" w:hAnsi="Times New Roman" w:cs="Times New Roman"/>
          <w:color w:val="auto"/>
          <w:highlight w:val="none"/>
        </w:rPr>
        <w:t>封闭：采用压型钢板全封闭，局部设FRP采光带。</w:t>
      </w:r>
    </w:p>
    <w:p w14:paraId="1BD4E019">
      <w:pPr>
        <w:shd w:val="clear"/>
        <w:jc w:val="both"/>
        <w:rPr>
          <w:rFonts w:hint="eastAsia" w:hAnsi="Times New Roman" w:cs="Times New Roman"/>
          <w:color w:val="auto"/>
          <w:highlight w:val="none"/>
        </w:rPr>
      </w:pPr>
      <w:r>
        <w:rPr>
          <w:rFonts w:hint="eastAsia" w:hAnsi="Times New Roman" w:cs="Times New Roman"/>
          <w:color w:val="auto"/>
          <w:highlight w:val="none"/>
        </w:rPr>
        <w:t>4）碎焦筛分地面卸料口封闭：采用钢结构，长26m，宽5m，檐口高度5.000m，两端设电动卷帘门，采用压型钢板全封闭，局部设FRP采光带。</w:t>
      </w:r>
    </w:p>
    <w:p w14:paraId="375C3563">
      <w:pPr>
        <w:shd w:val="clear"/>
        <w:jc w:val="both"/>
        <w:rPr>
          <w:rFonts w:hint="eastAsia" w:hAnsi="Times New Roman" w:cs="Times New Roman"/>
          <w:color w:val="auto"/>
          <w:highlight w:val="none"/>
        </w:rPr>
      </w:pPr>
      <w:r>
        <w:rPr>
          <w:rFonts w:hint="eastAsia" w:hAnsi="Times New Roman" w:cs="Times New Roman"/>
          <w:color w:val="auto"/>
          <w:highlight w:val="none"/>
        </w:rPr>
        <w:t>5）碎铁槽封闭：采用钢结构，轴线长14m，宽5.0m，檐口高度7.500m，采用压型钢板封闭，局部设FRP采光带。</w:t>
      </w:r>
    </w:p>
    <w:p w14:paraId="1E888116">
      <w:pPr>
        <w:shd w:val="clear"/>
        <w:jc w:val="both"/>
        <w:rPr>
          <w:rFonts w:hint="eastAsia" w:hAnsi="Times New Roman" w:cs="Times New Roman"/>
          <w:color w:val="auto"/>
          <w:highlight w:val="none"/>
        </w:rPr>
      </w:pPr>
      <w:r>
        <w:rPr>
          <w:rFonts w:hint="eastAsia" w:hAnsi="Times New Roman" w:cs="Times New Roman"/>
          <w:color w:val="auto"/>
          <w:highlight w:val="none"/>
        </w:rPr>
        <w:t>6）碎铁皮带通廊封闭：碎铁皮带通廊总长13.5m，宽度3m，檐口高度2.500m。采用压型钢板封闭，局部设FRP采光带。根据鉴定结果确定是否进行加固。</w:t>
      </w:r>
    </w:p>
    <w:p w14:paraId="63CADD5A">
      <w:pPr>
        <w:shd w:val="clear"/>
        <w:jc w:val="both"/>
        <w:rPr>
          <w:rFonts w:hint="eastAsia" w:hAnsi="Times New Roman" w:cs="Times New Roman"/>
          <w:color w:val="auto"/>
          <w:highlight w:val="none"/>
        </w:rPr>
      </w:pPr>
      <w:r>
        <w:rPr>
          <w:rFonts w:hint="eastAsia" w:hAnsi="Times New Roman" w:cs="Times New Roman"/>
          <w:color w:val="auto"/>
          <w:highlight w:val="none"/>
        </w:rPr>
        <w:t>7）卷扬机电气室</w:t>
      </w:r>
      <w:r>
        <w:rPr>
          <w:rFonts w:hint="eastAsia" w:hAnsi="Times New Roman" w:cs="Times New Roman"/>
          <w:color w:val="auto"/>
          <w:highlight w:val="none"/>
          <w:lang w:val="en-US" w:eastAsia="zh-CN"/>
        </w:rPr>
        <w:t>改造，</w:t>
      </w:r>
      <w:r>
        <w:rPr>
          <w:rFonts w:hint="eastAsia" w:hAnsi="Times New Roman" w:cs="Times New Roman"/>
          <w:color w:val="auto"/>
          <w:highlight w:val="none"/>
        </w:rPr>
        <w:t>更换电气室防静电地板</w:t>
      </w:r>
      <w:r>
        <w:rPr>
          <w:rFonts w:hint="eastAsia" w:hAnsi="Times New Roman" w:cs="Times New Roman"/>
          <w:color w:val="auto"/>
          <w:highlight w:val="none"/>
          <w:lang w:eastAsia="zh-CN"/>
        </w:rPr>
        <w:t>、</w:t>
      </w:r>
      <w:r>
        <w:rPr>
          <w:rFonts w:hint="eastAsia" w:hAnsi="Times New Roman" w:cs="Times New Roman"/>
          <w:color w:val="auto"/>
          <w:highlight w:val="none"/>
          <w:lang w:val="en-US" w:eastAsia="zh-CN"/>
        </w:rPr>
        <w:t>墙壁处理，面积150㎡。</w:t>
      </w:r>
    </w:p>
    <w:p w14:paraId="7169634E">
      <w:pPr>
        <w:shd w:val="clear"/>
        <w:jc w:val="both"/>
        <w:rPr>
          <w:rFonts w:hint="eastAsia" w:hAnsi="Times New Roman" w:cs="Times New Roman"/>
          <w:color w:val="auto"/>
          <w:highlight w:val="none"/>
        </w:rPr>
      </w:pPr>
      <w:r>
        <w:rPr>
          <w:rFonts w:hint="eastAsia" w:hAnsi="Times New Roman" w:cs="Times New Roman"/>
          <w:color w:val="auto"/>
          <w:highlight w:val="none"/>
        </w:rPr>
        <w:t>8）2号高炉矿槽2#变压器室增加1个事故油坑，2号高炉卷扬1#、2#整流变室</w:t>
      </w:r>
      <w:r>
        <w:rPr>
          <w:rFonts w:hint="eastAsia" w:hAnsi="Times New Roman" w:cs="Times New Roman"/>
          <w:color w:val="auto"/>
          <w:highlight w:val="none"/>
          <w:lang w:val="en-US" w:eastAsia="zh-CN"/>
        </w:rPr>
        <w:t>各</w:t>
      </w:r>
      <w:r>
        <w:rPr>
          <w:rFonts w:hint="eastAsia" w:hAnsi="Times New Roman" w:cs="Times New Roman"/>
          <w:color w:val="auto"/>
          <w:highlight w:val="none"/>
        </w:rPr>
        <w:t>增加1个事故油坑，每个事故油坑尺寸长3m，宽2m，深1m。</w:t>
      </w:r>
    </w:p>
    <w:p w14:paraId="250439EC">
      <w:pPr>
        <w:shd w:val="clear"/>
        <w:jc w:val="both"/>
        <w:rPr>
          <w:rFonts w:hint="eastAsia" w:hAnsi="Times New Roman" w:eastAsia="宋体" w:cs="Times New Roman"/>
          <w:color w:val="auto"/>
          <w:highlight w:val="none"/>
          <w:lang w:eastAsia="zh-CN"/>
        </w:rPr>
      </w:pPr>
      <w:r>
        <w:rPr>
          <w:rFonts w:hint="eastAsia" w:hAnsi="Times New Roman" w:cs="Times New Roman"/>
          <w:color w:val="auto"/>
          <w:highlight w:val="none"/>
          <w:lang w:val="en-US" w:eastAsia="zh-CN"/>
        </w:rPr>
        <w:t>9）原2号高炉主控室</w:t>
      </w:r>
      <w:r>
        <w:rPr>
          <w:rFonts w:hint="eastAsia" w:hAnsi="Times New Roman" w:cs="Times New Roman"/>
          <w:color w:val="auto"/>
          <w:highlight w:val="none"/>
        </w:rPr>
        <w:t>更换防静电地板</w:t>
      </w:r>
      <w:r>
        <w:rPr>
          <w:rFonts w:hint="eastAsia" w:hAnsi="Times New Roman" w:cs="Times New Roman"/>
          <w:color w:val="auto"/>
          <w:highlight w:val="none"/>
          <w:lang w:eastAsia="zh-CN"/>
        </w:rPr>
        <w:t>，炉前休息室地板更换。</w:t>
      </w:r>
    </w:p>
    <w:p w14:paraId="2B578718">
      <w:pPr>
        <w:shd w:val="clear"/>
        <w:jc w:val="both"/>
        <w:rPr>
          <w:rFonts w:cs="Times New Roman"/>
          <w:color w:val="auto"/>
          <w:highlight w:val="none"/>
        </w:rPr>
      </w:pPr>
      <w:r>
        <w:rPr>
          <w:rFonts w:hint="eastAsia" w:cs="Times New Roman"/>
          <w:color w:val="auto"/>
          <w:highlight w:val="none"/>
        </w:rPr>
        <w:t>(2)高炉上料系统</w:t>
      </w:r>
    </w:p>
    <w:p w14:paraId="5169846C">
      <w:pPr>
        <w:shd w:val="clear"/>
        <w:jc w:val="both"/>
        <w:rPr>
          <w:rFonts w:cs="Times New Roman"/>
          <w:color w:val="auto"/>
          <w:highlight w:val="none"/>
        </w:rPr>
      </w:pPr>
      <w:r>
        <w:rPr>
          <w:rFonts w:hint="eastAsia" w:cs="Times New Roman"/>
          <w:color w:val="auto"/>
          <w:highlight w:val="none"/>
        </w:rPr>
        <w:t>斜桥加固：根据业主提供的鉴定报告对斜桥进行加固。斜桥加固完成后按照整体进行除锈、防腐刷漆。</w:t>
      </w:r>
    </w:p>
    <w:p w14:paraId="6C48E1AA">
      <w:pPr>
        <w:shd w:val="clear"/>
        <w:spacing w:line="312" w:lineRule="auto"/>
        <w:jc w:val="both"/>
        <w:rPr>
          <w:rFonts w:hAnsi="Times New Roman" w:cs="Times New Roman"/>
          <w:color w:val="auto"/>
          <w:highlight w:val="none"/>
        </w:rPr>
      </w:pPr>
      <w:r>
        <w:rPr>
          <w:rFonts w:hint="eastAsia" w:cs="Times New Roman"/>
          <w:color w:val="auto"/>
          <w:highlight w:val="none"/>
        </w:rPr>
        <w:t>根据检测报告斜桥主体结构可靠性评定为三级，部分构件梁变形不符合《钢结构设计标准》（GB50017-2017）限值要求。</w:t>
      </w:r>
      <w:r>
        <w:rPr>
          <w:rFonts w:hint="eastAsia" w:hAnsi="Times New Roman" w:cs="Times New Roman"/>
          <w:color w:val="auto"/>
          <w:highlight w:val="none"/>
        </w:rPr>
        <w:t>根据鉴定报告加固方法如下：</w:t>
      </w:r>
    </w:p>
    <w:p w14:paraId="7B4C68C3">
      <w:pPr>
        <w:shd w:val="clear"/>
        <w:spacing w:line="312" w:lineRule="auto"/>
        <w:jc w:val="both"/>
        <w:rPr>
          <w:rFonts w:hAnsi="Times New Roman" w:cs="Times New Roman"/>
          <w:color w:val="auto"/>
          <w:highlight w:val="none"/>
        </w:rPr>
      </w:pPr>
      <w:r>
        <w:rPr>
          <w:rFonts w:hint="eastAsia" w:hAnsi="Times New Roman" w:cs="Times New Roman"/>
          <w:color w:val="auto"/>
          <w:highlight w:val="none"/>
        </w:rPr>
        <w:t>对不符合变形要求的构件采用焊接型钢或钢板的措施增大截面方法进行加固。</w:t>
      </w:r>
    </w:p>
    <w:p w14:paraId="4CF429ED">
      <w:pPr>
        <w:shd w:val="clear"/>
        <w:jc w:val="both"/>
        <w:rPr>
          <w:rFonts w:cs="Times New Roman"/>
          <w:color w:val="auto"/>
          <w:highlight w:val="none"/>
        </w:rPr>
      </w:pPr>
      <w:r>
        <w:rPr>
          <w:rFonts w:hint="eastAsia" w:cs="Times New Roman"/>
          <w:color w:val="auto"/>
          <w:highlight w:val="none"/>
        </w:rPr>
        <w:t>(3)炉顶装料系统</w:t>
      </w:r>
    </w:p>
    <w:p w14:paraId="342D733F">
      <w:pPr>
        <w:shd w:val="clear"/>
        <w:jc w:val="both"/>
        <w:rPr>
          <w:rFonts w:hAnsi="Times New Roman" w:cs="Times New Roman"/>
          <w:color w:val="auto"/>
          <w:highlight w:val="none"/>
        </w:rPr>
      </w:pPr>
      <w:r>
        <w:rPr>
          <w:rFonts w:hint="eastAsia" w:hAnsi="Times New Roman" w:cs="Times New Roman"/>
          <w:color w:val="auto"/>
          <w:highlight w:val="none"/>
        </w:rPr>
        <w:t>炉顶刚架整体利旧，根据鉴定结果进行局部加固。炉顶刚架</w:t>
      </w:r>
      <w:r>
        <w:rPr>
          <w:rFonts w:hint="eastAsia" w:hAnsi="Times New Roman" w:cs="Times New Roman"/>
          <w:color w:val="auto"/>
          <w:highlight w:val="none"/>
          <w:lang w:val="en-US" w:eastAsia="zh-CN"/>
        </w:rPr>
        <w:t>梁、柱、栏杆除锈后重新进行防腐涂装</w:t>
      </w:r>
      <w:r>
        <w:rPr>
          <w:rFonts w:hint="eastAsia" w:hAnsi="Times New Roman" w:cs="Times New Roman"/>
          <w:color w:val="auto"/>
          <w:highlight w:val="none"/>
          <w:lang w:eastAsia="zh-CN"/>
        </w:rPr>
        <w:t>，</w:t>
      </w:r>
      <w:r>
        <w:rPr>
          <w:rFonts w:hint="eastAsia" w:hAnsi="Times New Roman" w:cs="Times New Roman"/>
          <w:color w:val="auto"/>
          <w:highlight w:val="none"/>
          <w:lang w:val="en-US" w:eastAsia="zh-CN"/>
        </w:rPr>
        <w:t>各层小房除锈后刷漆</w:t>
      </w:r>
      <w:r>
        <w:rPr>
          <w:rFonts w:hint="eastAsia" w:hAnsi="Times New Roman" w:cs="Times New Roman"/>
          <w:color w:val="auto"/>
          <w:highlight w:val="none"/>
        </w:rPr>
        <w:t>。</w:t>
      </w:r>
      <w:r>
        <w:rPr>
          <w:rFonts w:hint="eastAsia" w:hAnsi="Times New Roman" w:cs="Times New Roman"/>
          <w:color w:val="auto"/>
          <w:highlight w:val="none"/>
          <w:lang w:val="en-US" w:eastAsia="zh-CN"/>
        </w:rPr>
        <w:t>平台板不进行防腐除锈涂装。</w:t>
      </w:r>
    </w:p>
    <w:p w14:paraId="7964F8E6">
      <w:pPr>
        <w:shd w:val="clear"/>
        <w:jc w:val="both"/>
        <w:rPr>
          <w:rFonts w:cs="Times New Roman"/>
          <w:color w:val="auto"/>
          <w:highlight w:val="none"/>
        </w:rPr>
      </w:pPr>
      <w:r>
        <w:rPr>
          <w:rFonts w:hint="eastAsia" w:cs="Times New Roman"/>
          <w:color w:val="auto"/>
          <w:highlight w:val="none"/>
        </w:rPr>
        <w:t>(4)高炉炉体</w:t>
      </w:r>
    </w:p>
    <w:p w14:paraId="387945F9">
      <w:pPr>
        <w:shd w:val="clear"/>
        <w:jc w:val="both"/>
        <w:rPr>
          <w:rFonts w:hAnsi="Times New Roman" w:cs="Times New Roman"/>
          <w:color w:val="auto"/>
          <w:highlight w:val="none"/>
        </w:rPr>
      </w:pPr>
      <w:r>
        <w:rPr>
          <w:rFonts w:hint="eastAsia" w:hAnsi="Times New Roman" w:cs="Times New Roman"/>
          <w:color w:val="auto"/>
          <w:highlight w:val="none"/>
        </w:rPr>
        <w:t>高炉炉体的改造内容包括：炉体框架及高炉基础利旧及加固改造、新建炉底平台、更换热风围管、更换部分炉壳。</w:t>
      </w:r>
    </w:p>
    <w:p w14:paraId="04FA78E8">
      <w:pPr>
        <w:shd w:val="clear"/>
        <w:jc w:val="both"/>
        <w:rPr>
          <w:rFonts w:hAnsi="Times New Roman" w:cs="Times New Roman"/>
          <w:color w:val="auto"/>
          <w:highlight w:val="none"/>
        </w:rPr>
      </w:pPr>
      <w:r>
        <w:rPr>
          <w:rFonts w:hint="eastAsia" w:hAnsi="Times New Roman" w:cs="Times New Roman"/>
          <w:color w:val="auto"/>
          <w:highlight w:val="none"/>
        </w:rPr>
        <w:t>1）炉体框架及高炉基础整体利旧，根据鉴定结果进行相应的加固。</w:t>
      </w:r>
      <w:r>
        <w:rPr>
          <w:rFonts w:hint="eastAsia" w:hAnsi="Times New Roman" w:cs="Times New Roman"/>
          <w:color w:val="auto"/>
          <w:highlight w:val="none"/>
          <w:lang w:val="en-US" w:eastAsia="zh-CN"/>
        </w:rPr>
        <w:t>炉体框架梁、柱、栏杆除锈后重新进行防腐涂装</w:t>
      </w:r>
      <w:r>
        <w:rPr>
          <w:rFonts w:hint="eastAsia" w:hAnsi="Times New Roman" w:cs="Times New Roman"/>
          <w:color w:val="auto"/>
          <w:highlight w:val="none"/>
          <w:lang w:eastAsia="zh-CN"/>
        </w:rPr>
        <w:t>，</w:t>
      </w:r>
      <w:r>
        <w:rPr>
          <w:rFonts w:hint="eastAsia" w:hAnsi="Times New Roman" w:cs="Times New Roman"/>
          <w:color w:val="auto"/>
          <w:highlight w:val="none"/>
          <w:lang w:val="en-US" w:eastAsia="zh-CN"/>
        </w:rPr>
        <w:t>各层小房除锈后刷漆</w:t>
      </w:r>
      <w:r>
        <w:rPr>
          <w:rFonts w:hint="eastAsia" w:hAnsi="Times New Roman" w:cs="Times New Roman"/>
          <w:color w:val="auto"/>
          <w:highlight w:val="none"/>
        </w:rPr>
        <w:t>。</w:t>
      </w:r>
      <w:r>
        <w:rPr>
          <w:rFonts w:hint="eastAsia" w:hAnsi="Times New Roman" w:cs="Times New Roman"/>
          <w:color w:val="auto"/>
          <w:highlight w:val="none"/>
          <w:lang w:val="en-US" w:eastAsia="zh-CN"/>
        </w:rPr>
        <w:t>平台板不进行防腐除锈涂装。</w:t>
      </w:r>
    </w:p>
    <w:p w14:paraId="70D0C8D4">
      <w:pPr>
        <w:shd w:val="clear"/>
        <w:jc w:val="both"/>
        <w:rPr>
          <w:rFonts w:hAnsi="Times New Roman" w:cs="Times New Roman"/>
          <w:color w:val="auto"/>
          <w:highlight w:val="none"/>
        </w:rPr>
      </w:pPr>
      <w:r>
        <w:rPr>
          <w:rFonts w:hint="eastAsia" w:hAnsi="Times New Roman" w:cs="Times New Roman"/>
          <w:color w:val="auto"/>
          <w:highlight w:val="none"/>
        </w:rPr>
        <w:t>2）炉底增加两层平台。底层平台标高4.000m，平台净宽0.9m，平台内径12m，设置直爬梯。该层平台采用钢结构，通过钢三角撑支承于高炉基础圆台基座，利旧圆台基座上原有埋件。第二层平台标高7.000m，平台净宽1.0m，平台内径10.6m，设置直爬梯。该层平台采用钢结构，通过钢三角撑支承于高炉炉壳。</w:t>
      </w:r>
    </w:p>
    <w:p w14:paraId="2163182A">
      <w:pPr>
        <w:shd w:val="clear"/>
        <w:jc w:val="both"/>
        <w:rPr>
          <w:rFonts w:hAnsi="Times New Roman" w:cs="Times New Roman"/>
          <w:color w:val="auto"/>
          <w:highlight w:val="none"/>
        </w:rPr>
      </w:pPr>
      <w:r>
        <w:rPr>
          <w:rFonts w:hint="eastAsia" w:hAnsi="Times New Roman" w:cs="Times New Roman"/>
          <w:color w:val="auto"/>
          <w:highlight w:val="none"/>
        </w:rPr>
        <w:t>3）热风围管更换：热风围管沿炉壳周围直径为14.8m，热风围管断面管径为Φ2080×14mm。上部检修平台再重新设计。</w:t>
      </w:r>
    </w:p>
    <w:p w14:paraId="4F83F18C">
      <w:pPr>
        <w:shd w:val="clear"/>
        <w:jc w:val="both"/>
        <w:rPr>
          <w:rFonts w:hAnsi="Times New Roman" w:cs="Times New Roman"/>
          <w:color w:val="auto"/>
          <w:highlight w:val="none"/>
        </w:rPr>
      </w:pPr>
      <w:r>
        <w:rPr>
          <w:rFonts w:hint="eastAsia" w:hAnsi="Times New Roman" w:cs="Times New Roman"/>
          <w:color w:val="auto"/>
          <w:highlight w:val="none"/>
        </w:rPr>
        <w:t>4）炉壳更换：更换第12段冷却壁上的煤气取样机位置的炉壳，铁口铸铁冷却壁及扒料大门的铸铁冷却壁进行更换并更换相应位置的炉壳，更换风口带炉壳。</w:t>
      </w:r>
      <w:r>
        <w:rPr>
          <w:rFonts w:hint="eastAsia" w:hAnsi="Times New Roman" w:cs="Times New Roman"/>
          <w:color w:val="auto"/>
          <w:highlight w:val="none"/>
          <w:lang w:val="en-US" w:eastAsia="zh-CN"/>
        </w:rPr>
        <w:t>高炉炉壳全部除锈后重新进行耐高温防腐涂装。</w:t>
      </w:r>
    </w:p>
    <w:p w14:paraId="260E2313">
      <w:pPr>
        <w:shd w:val="clear"/>
        <w:jc w:val="both"/>
        <w:rPr>
          <w:rFonts w:cs="Times New Roman"/>
          <w:color w:val="auto"/>
          <w:highlight w:val="none"/>
        </w:rPr>
      </w:pPr>
      <w:r>
        <w:rPr>
          <w:rFonts w:hint="eastAsia" w:cs="Times New Roman"/>
          <w:color w:val="auto"/>
          <w:highlight w:val="none"/>
        </w:rPr>
        <w:t>(5)风口平台及出铁场</w:t>
      </w:r>
    </w:p>
    <w:p w14:paraId="2B1E61E6">
      <w:pPr>
        <w:shd w:val="clear"/>
        <w:jc w:val="both"/>
        <w:rPr>
          <w:rFonts w:hAnsi="Times New Roman" w:cs="Times New Roman"/>
          <w:color w:val="auto"/>
          <w:highlight w:val="none"/>
        </w:rPr>
      </w:pPr>
      <w:r>
        <w:rPr>
          <w:rFonts w:hint="eastAsia" w:hAnsi="Times New Roman" w:cs="Times New Roman"/>
          <w:color w:val="auto"/>
          <w:highlight w:val="none"/>
        </w:rPr>
        <w:t>出铁场系统改造内容包括：铁口封闭、出铁场平台面修补改造、泥炮操作室、主沟、铁沟、渣沟挡墙改造、风口平台改造、厂房墙皮及屋面改造等。</w:t>
      </w:r>
    </w:p>
    <w:p w14:paraId="0736C3B7">
      <w:pPr>
        <w:shd w:val="clear"/>
        <w:jc w:val="both"/>
        <w:rPr>
          <w:rFonts w:hAnsi="Times New Roman" w:cs="Times New Roman"/>
          <w:color w:val="auto"/>
          <w:highlight w:val="none"/>
        </w:rPr>
      </w:pPr>
      <w:r>
        <w:rPr>
          <w:rFonts w:hint="eastAsia" w:hAnsi="Times New Roman" w:cs="Times New Roman"/>
          <w:color w:val="auto"/>
          <w:highlight w:val="none"/>
        </w:rPr>
        <w:t>1）铁口封闭</w:t>
      </w:r>
    </w:p>
    <w:p w14:paraId="30993297">
      <w:pPr>
        <w:shd w:val="clear"/>
        <w:jc w:val="both"/>
        <w:rPr>
          <w:rFonts w:hAnsi="Times New Roman" w:cs="Times New Roman"/>
          <w:color w:val="auto"/>
          <w:highlight w:val="none"/>
        </w:rPr>
      </w:pPr>
      <w:r>
        <w:rPr>
          <w:rFonts w:hint="eastAsia" w:hAnsi="Times New Roman" w:cs="Times New Roman"/>
          <w:color w:val="auto"/>
          <w:highlight w:val="none"/>
        </w:rPr>
        <w:t>在铁口及主沟区设置钢结构整体式封闭罩。</w:t>
      </w:r>
    </w:p>
    <w:p w14:paraId="1B5CE7F5">
      <w:pPr>
        <w:shd w:val="clear"/>
        <w:jc w:val="both"/>
        <w:rPr>
          <w:rFonts w:hAnsi="Times New Roman" w:cs="Times New Roman"/>
          <w:color w:val="auto"/>
          <w:highlight w:val="none"/>
        </w:rPr>
      </w:pPr>
      <w:r>
        <w:rPr>
          <w:rFonts w:hint="eastAsia" w:hAnsi="Times New Roman" w:cs="Times New Roman"/>
          <w:color w:val="auto"/>
          <w:highlight w:val="none"/>
        </w:rPr>
        <w:t>2）出铁场平台面修补改造</w:t>
      </w:r>
    </w:p>
    <w:p w14:paraId="16EB2D08">
      <w:pPr>
        <w:shd w:val="clear"/>
        <w:jc w:val="both"/>
        <w:rPr>
          <w:rFonts w:hAnsi="Times New Roman" w:cs="Times New Roman"/>
          <w:color w:val="auto"/>
          <w:highlight w:val="none"/>
        </w:rPr>
      </w:pPr>
      <w:r>
        <w:rPr>
          <w:rFonts w:hint="eastAsia" w:hAnsi="Times New Roman" w:cs="Times New Roman"/>
          <w:color w:val="auto"/>
          <w:highlight w:val="none"/>
        </w:rPr>
        <w:t>改造前需对出铁场平台的梁柱、铁水摆动溜槽支撑环梁进行检测鉴定并进行加固。</w:t>
      </w:r>
    </w:p>
    <w:p w14:paraId="2176562D">
      <w:pPr>
        <w:shd w:val="clear"/>
        <w:jc w:val="both"/>
        <w:rPr>
          <w:rFonts w:hAnsi="Times New Roman" w:cs="Times New Roman"/>
          <w:color w:val="auto"/>
          <w:highlight w:val="none"/>
        </w:rPr>
      </w:pPr>
      <w:r>
        <w:rPr>
          <w:rFonts w:hint="eastAsia" w:hAnsi="Times New Roman" w:cs="Times New Roman"/>
          <w:color w:val="auto"/>
          <w:highlight w:val="none"/>
        </w:rPr>
        <w:t>南出铁场局部面层更换（值班室往北），北出铁场面层全部重新设计更换，渣铁沟两侧通过找坡，满足检修车辆在出铁场平台通行的要求。</w:t>
      </w:r>
    </w:p>
    <w:p w14:paraId="3582289C">
      <w:pPr>
        <w:shd w:val="clear"/>
        <w:jc w:val="both"/>
        <w:rPr>
          <w:rFonts w:hint="eastAsia" w:hAnsi="Times New Roman" w:cs="Times New Roman"/>
          <w:color w:val="auto"/>
          <w:highlight w:val="none"/>
        </w:rPr>
      </w:pPr>
      <w:r>
        <w:rPr>
          <w:rFonts w:hint="eastAsia" w:hAnsi="Times New Roman" w:cs="Times New Roman"/>
          <w:color w:val="auto"/>
          <w:highlight w:val="none"/>
        </w:rPr>
        <w:t>北出铁场吊装孔封闭，满足出铁场检修车辆（总重量20t）通行荷载要求。出铁场面层破损修复部分需采用C25可耐500℃的耐热混凝土修补，修补厚度150mm。渣铁沟两侧原使用砌体结构挡墙，挡墙损坏部分进行修复。</w:t>
      </w:r>
    </w:p>
    <w:p w14:paraId="2A2E674B">
      <w:pPr>
        <w:shd w:val="clear"/>
        <w:jc w:val="both"/>
        <w:rPr>
          <w:rFonts w:hint="default" w:hAnsi="Times New Roman" w:eastAsia="宋体" w:cs="Times New Roman"/>
          <w:color w:val="auto"/>
          <w:highlight w:val="none"/>
          <w:lang w:val="en-US" w:eastAsia="zh-CN"/>
        </w:rPr>
      </w:pPr>
      <w:r>
        <w:rPr>
          <w:rFonts w:hint="eastAsia" w:hAnsi="Times New Roman" w:cs="Times New Roman"/>
          <w:color w:val="auto"/>
          <w:highlight w:val="none"/>
          <w:lang w:val="en-US" w:eastAsia="zh-CN"/>
        </w:rPr>
        <w:t>南北出铁场改造及利旧地面整体水磨平整。</w:t>
      </w:r>
    </w:p>
    <w:p w14:paraId="39B7C987">
      <w:pPr>
        <w:shd w:val="clear"/>
        <w:jc w:val="both"/>
        <w:rPr>
          <w:rFonts w:hAnsi="Times New Roman" w:cs="Times New Roman"/>
          <w:color w:val="auto"/>
          <w:highlight w:val="none"/>
        </w:rPr>
      </w:pPr>
      <w:r>
        <w:rPr>
          <w:rFonts w:hint="eastAsia" w:hAnsi="Times New Roman" w:cs="Times New Roman"/>
          <w:color w:val="auto"/>
          <w:highlight w:val="none"/>
        </w:rPr>
        <w:t>3）主沟、铁沟、渣沟挡墙改造</w:t>
      </w:r>
    </w:p>
    <w:p w14:paraId="63C74BBD">
      <w:pPr>
        <w:shd w:val="clear"/>
        <w:jc w:val="both"/>
        <w:rPr>
          <w:rFonts w:hint="default" w:hAnsi="Times New Roman" w:eastAsia="宋体" w:cs="Times New Roman"/>
          <w:color w:val="auto"/>
          <w:highlight w:val="none"/>
          <w:lang w:val="en-US" w:eastAsia="zh-CN"/>
        </w:rPr>
      </w:pPr>
      <w:r>
        <w:rPr>
          <w:rFonts w:hint="eastAsia" w:hAnsi="Times New Roman" w:cs="Times New Roman"/>
          <w:color w:val="auto"/>
          <w:highlight w:val="none"/>
        </w:rPr>
        <w:t>拆除现有主沟，改造为智慧主沟。拆除现有主沟两侧和末端挡沙墙，新建耐热混凝土挡沙墙，主沟凹槽宽3800mm，对与主沟相连接的铁沟、渣沟、残铁沟部分挡墙也进行改造</w:t>
      </w:r>
      <w:r>
        <w:rPr>
          <w:rFonts w:hint="eastAsia" w:hAnsi="Times New Roman" w:cs="Times New Roman"/>
          <w:color w:val="auto"/>
          <w:highlight w:val="none"/>
          <w:lang w:eastAsia="zh-CN"/>
        </w:rPr>
        <w:t>，</w:t>
      </w:r>
      <w:r>
        <w:rPr>
          <w:rFonts w:hint="eastAsia" w:hAnsi="Times New Roman" w:cs="Times New Roman"/>
          <w:color w:val="auto"/>
          <w:highlight w:val="none"/>
          <w:lang w:val="en-US" w:eastAsia="zh-CN"/>
        </w:rPr>
        <w:t>并对沟帮进行修复，沟帮上缘采用30mm厚钢板防护。</w:t>
      </w:r>
    </w:p>
    <w:p w14:paraId="7FD87177">
      <w:pPr>
        <w:shd w:val="clear"/>
        <w:jc w:val="both"/>
        <w:rPr>
          <w:rFonts w:hAnsi="Times New Roman" w:cs="Times New Roman"/>
          <w:color w:val="auto"/>
          <w:highlight w:val="none"/>
        </w:rPr>
      </w:pPr>
      <w:r>
        <w:rPr>
          <w:rFonts w:hint="eastAsia" w:hAnsi="Times New Roman" w:cs="Times New Roman"/>
          <w:color w:val="auto"/>
          <w:highlight w:val="none"/>
        </w:rPr>
        <w:t>4）风口平台改造</w:t>
      </w:r>
    </w:p>
    <w:p w14:paraId="5C42A06E">
      <w:pPr>
        <w:shd w:val="clear"/>
        <w:jc w:val="both"/>
        <w:rPr>
          <w:rFonts w:hAnsi="Times New Roman" w:cs="Times New Roman"/>
          <w:color w:val="auto"/>
          <w:highlight w:val="none"/>
        </w:rPr>
      </w:pPr>
      <w:r>
        <w:rPr>
          <w:rFonts w:hint="eastAsia" w:hAnsi="Times New Roman" w:cs="Times New Roman"/>
          <w:color w:val="auto"/>
          <w:highlight w:val="none"/>
        </w:rPr>
        <w:t>风口平台主体结构利旧，现有东西方向距炉壳</w:t>
      </w:r>
      <w:r>
        <w:rPr>
          <w:rFonts w:hint="eastAsia" w:hAnsi="Times New Roman" w:cs="Times New Roman"/>
          <w:color w:val="auto"/>
          <w:highlight w:val="none"/>
          <w:lang w:val="en-US" w:eastAsia="zh-CN"/>
        </w:rPr>
        <w:t>3</w:t>
      </w:r>
      <w:r>
        <w:rPr>
          <w:rFonts w:hint="eastAsia" w:hAnsi="Times New Roman" w:cs="Times New Roman"/>
          <w:color w:val="auto"/>
          <w:highlight w:val="none"/>
        </w:rPr>
        <w:t>米之内风口平台面层更换，南北方向风口平台面层全部更换。风口平台耐热混凝土面层采用500℃耐热混凝土。</w:t>
      </w:r>
    </w:p>
    <w:p w14:paraId="38D39CE5">
      <w:pPr>
        <w:shd w:val="clear"/>
        <w:jc w:val="both"/>
        <w:rPr>
          <w:rFonts w:hAnsi="Times New Roman" w:cs="Times New Roman"/>
          <w:color w:val="auto"/>
          <w:highlight w:val="none"/>
        </w:rPr>
      </w:pPr>
      <w:r>
        <w:rPr>
          <w:rFonts w:hint="eastAsia" w:hAnsi="Times New Roman" w:cs="Times New Roman"/>
          <w:color w:val="auto"/>
          <w:highlight w:val="none"/>
        </w:rPr>
        <w:t>5）厂房墙皮及屋面改造</w:t>
      </w:r>
    </w:p>
    <w:p w14:paraId="08B3033F">
      <w:pPr>
        <w:shd w:val="clear"/>
        <w:jc w:val="both"/>
        <w:rPr>
          <w:rFonts w:hint="eastAsia" w:hAnsi="Times New Roman" w:cs="Times New Roman"/>
          <w:color w:val="auto"/>
          <w:highlight w:val="none"/>
        </w:rPr>
      </w:pPr>
      <w:r>
        <w:rPr>
          <w:rFonts w:hint="eastAsia" w:hAnsi="Times New Roman" w:cs="Times New Roman"/>
          <w:color w:val="auto"/>
          <w:highlight w:val="none"/>
          <w:lang w:val="en-US" w:eastAsia="zh-CN"/>
        </w:rPr>
        <w:t>高炉出铁场厂房钢结构全部除锈后进行防腐涂装</w:t>
      </w:r>
      <w:r>
        <w:rPr>
          <w:rFonts w:hint="eastAsia" w:hAnsi="Times New Roman" w:cs="Times New Roman"/>
          <w:color w:val="auto"/>
          <w:highlight w:val="none"/>
          <w:lang w:eastAsia="zh-CN"/>
        </w:rPr>
        <w:t>。</w:t>
      </w:r>
      <w:r>
        <w:rPr>
          <w:rFonts w:hint="eastAsia" w:hAnsi="Times New Roman" w:cs="Times New Roman"/>
          <w:color w:val="auto"/>
          <w:highlight w:val="none"/>
        </w:rPr>
        <w:t>南场气楼</w:t>
      </w:r>
      <w:r>
        <w:rPr>
          <w:rFonts w:hint="eastAsia" w:hAnsi="Times New Roman" w:cs="Times New Roman"/>
          <w:color w:val="auto"/>
          <w:highlight w:val="none"/>
          <w:lang w:val="en-US" w:eastAsia="zh-CN"/>
        </w:rPr>
        <w:t>彩钢板</w:t>
      </w:r>
      <w:r>
        <w:rPr>
          <w:rFonts w:hint="eastAsia" w:hAnsi="Times New Roman" w:cs="Times New Roman"/>
          <w:color w:val="auto"/>
          <w:highlight w:val="none"/>
        </w:rPr>
        <w:t>修复、</w:t>
      </w:r>
      <w:r>
        <w:rPr>
          <w:rFonts w:hint="eastAsia" w:hAnsi="Times New Roman" w:cs="Times New Roman"/>
          <w:color w:val="auto"/>
          <w:highlight w:val="none"/>
          <w:lang w:val="en-US" w:eastAsia="zh-CN"/>
        </w:rPr>
        <w:t>南场东侧屋面及东侧侧面的彩板更换</w:t>
      </w:r>
      <w:r>
        <w:rPr>
          <w:rFonts w:hint="eastAsia" w:hAnsi="Times New Roman" w:cs="Times New Roman"/>
          <w:color w:val="auto"/>
          <w:highlight w:val="none"/>
        </w:rPr>
        <w:t>，北场不动</w:t>
      </w:r>
      <w:r>
        <w:rPr>
          <w:rFonts w:hint="eastAsia" w:hAnsi="Times New Roman" w:cs="Times New Roman"/>
          <w:color w:val="auto"/>
          <w:highlight w:val="none"/>
          <w:lang w:eastAsia="zh-CN"/>
        </w:rPr>
        <w:t>。</w:t>
      </w:r>
      <w:r>
        <w:rPr>
          <w:rFonts w:hint="eastAsia" w:hAnsi="Times New Roman" w:cs="Times New Roman"/>
          <w:color w:val="auto"/>
          <w:highlight w:val="none"/>
          <w:lang w:val="en-US" w:eastAsia="zh-CN"/>
        </w:rPr>
        <w:t>其余利旧彩板</w:t>
      </w:r>
      <w:r>
        <w:rPr>
          <w:rFonts w:hint="eastAsia" w:hAnsi="Times New Roman" w:cs="Times New Roman"/>
          <w:color w:val="auto"/>
          <w:highlight w:val="none"/>
        </w:rPr>
        <w:t>墙皮内外清洗。</w:t>
      </w:r>
    </w:p>
    <w:p w14:paraId="7E27C9E4">
      <w:pPr>
        <w:shd w:val="clear"/>
        <w:spacing w:line="312" w:lineRule="auto"/>
        <w:jc w:val="both"/>
        <w:rPr>
          <w:rFonts w:hAnsi="Times New Roman" w:cs="Times New Roman"/>
          <w:color w:val="auto"/>
          <w:highlight w:val="none"/>
        </w:rPr>
      </w:pPr>
      <w:r>
        <w:rPr>
          <w:rFonts w:hint="eastAsia" w:hAnsi="Times New Roman" w:cs="Times New Roman"/>
          <w:color w:val="auto"/>
          <w:highlight w:val="none"/>
        </w:rPr>
        <w:t>6）出铁场地面硬化</w:t>
      </w:r>
    </w:p>
    <w:p w14:paraId="597BF6C2">
      <w:pPr>
        <w:shd w:val="clear"/>
        <w:spacing w:line="312" w:lineRule="auto"/>
        <w:jc w:val="both"/>
        <w:rPr>
          <w:rFonts w:hAnsi="Times New Roman" w:cs="Times New Roman"/>
          <w:color w:val="auto"/>
          <w:highlight w:val="none"/>
        </w:rPr>
      </w:pPr>
      <w:r>
        <w:rPr>
          <w:rFonts w:hint="eastAsia" w:hAnsi="Times New Roman" w:cs="Times New Roman"/>
          <w:highlight w:val="cyan"/>
        </w:rPr>
        <w:t>出铁场</w:t>
      </w:r>
      <w:r>
        <w:rPr>
          <w:rFonts w:hint="eastAsia" w:hAnsi="Times New Roman" w:cs="Times New Roman"/>
          <w:highlight w:val="cyan"/>
          <w:lang w:val="en-US" w:eastAsia="zh-CN"/>
        </w:rPr>
        <w:t>下方硬化（原有硬化铣刨后铺5cm水泥砂浆抹面）。</w:t>
      </w:r>
      <w:bookmarkStart w:id="1919" w:name="_GoBack"/>
      <w:bookmarkEnd w:id="1919"/>
    </w:p>
    <w:p w14:paraId="7C0AFC16">
      <w:pPr>
        <w:shd w:val="clear"/>
        <w:spacing w:line="312" w:lineRule="auto"/>
        <w:jc w:val="both"/>
        <w:rPr>
          <w:rFonts w:hAnsi="Times New Roman" w:cs="Times New Roman"/>
          <w:color w:val="auto"/>
          <w:highlight w:val="none"/>
        </w:rPr>
      </w:pPr>
      <w:r>
        <w:rPr>
          <w:rFonts w:hint="eastAsia" w:hAnsi="Times New Roman" w:cs="Times New Roman"/>
          <w:color w:val="auto"/>
          <w:highlight w:val="none"/>
        </w:rPr>
        <w:t>7）出铁场加固</w:t>
      </w:r>
    </w:p>
    <w:p w14:paraId="030AC4F8">
      <w:pPr>
        <w:shd w:val="clear"/>
        <w:jc w:val="both"/>
        <w:rPr>
          <w:rFonts w:cs="Times New Roman"/>
          <w:color w:val="auto"/>
          <w:highlight w:val="none"/>
        </w:rPr>
      </w:pPr>
      <w:r>
        <w:rPr>
          <w:rFonts w:hint="eastAsia" w:cs="Times New Roman"/>
          <w:color w:val="auto"/>
          <w:highlight w:val="none"/>
        </w:rPr>
        <w:t>根据业主提供的鉴定报告对出铁场进行加固改造，包括：柱梁加固、混凝土面层修复、出铁场耐火砖修补及外包钢板等。</w:t>
      </w:r>
    </w:p>
    <w:p w14:paraId="6CD784FC">
      <w:pPr>
        <w:shd w:val="clear"/>
        <w:spacing w:line="312" w:lineRule="auto"/>
        <w:jc w:val="both"/>
        <w:rPr>
          <w:rFonts w:cs="Times New Roman"/>
          <w:color w:val="auto"/>
          <w:highlight w:val="none"/>
        </w:rPr>
      </w:pPr>
      <w:r>
        <w:rPr>
          <w:rFonts w:hint="eastAsia" w:cs="Times New Roman"/>
          <w:color w:val="auto"/>
          <w:highlight w:val="none"/>
        </w:rPr>
        <w:t>根据鉴定报告主体结构安全性评定为三级，其中基础安全性评定等级为B 级，上部结构安全性评定等级为C级；部分柱、梁主体结构构件存在露筋、钢筋腐蚀现象，顶板存在渗水泛碱现象等有缺陷的部位。</w:t>
      </w:r>
      <w:r>
        <w:rPr>
          <w:rFonts w:hint="eastAsia" w:hAnsi="Times New Roman" w:cs="Times New Roman"/>
          <w:color w:val="auto"/>
          <w:highlight w:val="none"/>
        </w:rPr>
        <w:t>根据鉴定报告加固方法如下：</w:t>
      </w:r>
    </w:p>
    <w:p w14:paraId="4ED6F575">
      <w:pPr>
        <w:widowControl w:val="0"/>
        <w:shd w:val="clear" w:color="auto"/>
        <w:spacing w:line="312" w:lineRule="auto"/>
        <w:ind w:firstLine="480" w:firstLineChars="200"/>
        <w:jc w:val="both"/>
        <w:rPr>
          <w:rFonts w:hAnsi="Times New Roman" w:cs="Times New Roman"/>
          <w:color w:val="auto"/>
          <w:highlight w:val="none"/>
        </w:rPr>
      </w:pPr>
      <w:r>
        <w:rPr>
          <w:rFonts w:hAnsi="Times New Roman" w:cs="Times New Roman"/>
          <w:color w:val="auto"/>
          <w:highlight w:val="none"/>
        </w:rPr>
        <w:t>梁柱损坏处凿除并用聚合物砂浆修复</w:t>
      </w:r>
      <w:r>
        <w:rPr>
          <w:rFonts w:hint="eastAsia" w:hAnsi="Times New Roman" w:cs="Times New Roman"/>
          <w:color w:val="auto"/>
          <w:highlight w:val="none"/>
        </w:rPr>
        <w:t>；既有钢筋混凝土柱采用外包型钢法加固，加固高度由基础顶至柱顶；对于框架柱表面的夹渣、疏松、蜂窝、麻面、起砂、腐蚀、开裂等混凝土缺陷剔除后露出混凝土坚实结构层，然后用聚合物砂浆修补；梁存在露筋、断筋现象。后期加固需先把表面清理干净，对断筋和露筋进行修补然后加设钢板进行灌浆，完成后保留钢板，对加固后的梁进行包裹。</w:t>
      </w:r>
      <w:r>
        <w:rPr>
          <w:rFonts w:hint="eastAsia" w:hAnsi="Times New Roman" w:cs="Times New Roman"/>
          <w:color w:val="auto"/>
          <w:kern w:val="2"/>
          <w:sz w:val="24"/>
          <w:szCs w:val="24"/>
          <w:highlight w:val="none"/>
          <w:lang w:val="en-US" w:eastAsia="zh-CN" w:bidi="ar-SA"/>
        </w:rPr>
        <w:t>摆动溜槽处框架柱外包耐火砖损坏部位凿除并用新耐火砖修补，修补完成后再用10mm厚钢板进行防护。摆动溜槽处钢筋混凝土梁采用外包钢板防护。</w:t>
      </w:r>
    </w:p>
    <w:p w14:paraId="0D2CA473">
      <w:pPr>
        <w:shd w:val="clear"/>
        <w:spacing w:line="312" w:lineRule="auto"/>
        <w:jc w:val="both"/>
        <w:rPr>
          <w:rFonts w:hAnsi="Times New Roman" w:cs="Times New Roman"/>
          <w:color w:val="auto"/>
          <w:highlight w:val="none"/>
        </w:rPr>
      </w:pPr>
      <w:r>
        <w:rPr>
          <w:rFonts w:hint="eastAsia" w:hAnsi="Times New Roman" w:cs="Times New Roman"/>
          <w:color w:val="auto"/>
          <w:highlight w:val="none"/>
        </w:rPr>
        <w:t>8）冲渣沟框架加固</w:t>
      </w:r>
    </w:p>
    <w:p w14:paraId="25826AB0">
      <w:pPr>
        <w:shd w:val="clear"/>
        <w:spacing w:line="312" w:lineRule="auto"/>
        <w:jc w:val="both"/>
        <w:rPr>
          <w:rFonts w:cs="Times New Roman"/>
          <w:color w:val="auto"/>
          <w:highlight w:val="none"/>
        </w:rPr>
      </w:pPr>
      <w:r>
        <w:rPr>
          <w:rFonts w:hint="eastAsia" w:cs="Times New Roman"/>
          <w:color w:val="auto"/>
          <w:highlight w:val="none"/>
        </w:rPr>
        <w:t>根据业主提供的鉴定报告对冲渣沟框架进行加固改造，包括：柱梁加固、混凝土面层修复等。</w:t>
      </w:r>
    </w:p>
    <w:p w14:paraId="5427E704">
      <w:pPr>
        <w:shd w:val="clear"/>
        <w:spacing w:line="312" w:lineRule="auto"/>
        <w:jc w:val="both"/>
        <w:rPr>
          <w:rFonts w:hAnsi="Times New Roman" w:cs="Times New Roman"/>
          <w:color w:val="auto"/>
          <w:highlight w:val="none"/>
        </w:rPr>
      </w:pPr>
      <w:r>
        <w:rPr>
          <w:rFonts w:hint="eastAsia" w:cs="Times New Roman"/>
          <w:color w:val="auto"/>
          <w:highlight w:val="none"/>
        </w:rPr>
        <w:t>根据鉴定报告冲渣沟框架主体结构安全性评定为三级，其中基础安全性评定等级为B级，上部结构安全性评定等级为C级；柱、沟体主体结构构件存在露筋、钢筋腐蚀、混凝土脱落及渗水泛碱现象。</w:t>
      </w:r>
      <w:r>
        <w:rPr>
          <w:rFonts w:hint="eastAsia" w:hAnsi="Times New Roman" w:cs="Times New Roman"/>
          <w:color w:val="auto"/>
          <w:highlight w:val="none"/>
        </w:rPr>
        <w:t>根据鉴定报告加固方法如下：</w:t>
      </w:r>
    </w:p>
    <w:p w14:paraId="353CBF9B">
      <w:pPr>
        <w:shd w:val="clear"/>
        <w:spacing w:line="312" w:lineRule="auto"/>
        <w:jc w:val="both"/>
        <w:rPr>
          <w:rFonts w:hAnsi="Times New Roman" w:cs="Times New Roman"/>
          <w:color w:val="auto"/>
          <w:highlight w:val="none"/>
        </w:rPr>
      </w:pPr>
      <w:r>
        <w:rPr>
          <w:rFonts w:hAnsi="Times New Roman" w:cs="Times New Roman"/>
          <w:color w:val="auto"/>
          <w:highlight w:val="none"/>
        </w:rPr>
        <w:t>梁柱损坏处凿除并用聚合物砂浆修复</w:t>
      </w:r>
      <w:r>
        <w:rPr>
          <w:rFonts w:hint="eastAsia" w:hAnsi="Times New Roman" w:cs="Times New Roman"/>
          <w:color w:val="auto"/>
          <w:highlight w:val="none"/>
        </w:rPr>
        <w:t>；既有钢筋混凝土柱采用外包型钢法加固，加固高度由基础顶至柱顶；对于框架柱表面的夹渣、疏松、蜂窝、麻面、起砂、腐蚀、开裂等混凝土缺陷剔除后露出混凝土坚实结构层，然后用聚合物砂浆修补；既有钢筋混凝土梁采用增加截面法加固。</w:t>
      </w:r>
    </w:p>
    <w:p w14:paraId="0C263DBF">
      <w:pPr>
        <w:shd w:val="clear"/>
        <w:jc w:val="both"/>
        <w:rPr>
          <w:rFonts w:cs="Times New Roman"/>
          <w:color w:val="auto"/>
          <w:highlight w:val="none"/>
        </w:rPr>
      </w:pPr>
      <w:r>
        <w:rPr>
          <w:rFonts w:hint="eastAsia" w:cs="Times New Roman"/>
          <w:color w:val="auto"/>
          <w:highlight w:val="none"/>
        </w:rPr>
        <w:t>(6)粗煤气系统</w:t>
      </w:r>
    </w:p>
    <w:p w14:paraId="00F11DDC">
      <w:pPr>
        <w:shd w:val="clear"/>
        <w:jc w:val="both"/>
        <w:rPr>
          <w:rFonts w:hAnsi="Times New Roman" w:cs="Times New Roman"/>
          <w:color w:val="auto"/>
          <w:highlight w:val="none"/>
        </w:rPr>
      </w:pPr>
      <w:r>
        <w:rPr>
          <w:rFonts w:hint="eastAsia" w:hAnsi="Times New Roman" w:cs="Times New Roman"/>
          <w:color w:val="auto"/>
          <w:highlight w:val="none"/>
        </w:rPr>
        <w:t>粗煤气系统改造包括：1#高炉粗煤气系统改造和2#高炉粗煤气系统改造。</w:t>
      </w:r>
    </w:p>
    <w:p w14:paraId="0264DA68">
      <w:pPr>
        <w:shd w:val="clear"/>
        <w:jc w:val="both"/>
        <w:rPr>
          <w:rFonts w:hAnsi="Times New Roman" w:cs="Times New Roman"/>
          <w:color w:val="auto"/>
          <w:highlight w:val="none"/>
        </w:rPr>
      </w:pPr>
      <w:r>
        <w:rPr>
          <w:rFonts w:hint="eastAsia" w:hAnsi="Times New Roman" w:cs="Times New Roman"/>
          <w:color w:val="auto"/>
          <w:highlight w:val="none"/>
        </w:rPr>
        <w:t>1）1#高炉粗煤气改造包括：新建灰仓框架、仓泵基础及卸灰平台改造。</w:t>
      </w:r>
    </w:p>
    <w:p w14:paraId="1F2AD3E9">
      <w:pPr>
        <w:shd w:val="clear"/>
        <w:jc w:val="both"/>
        <w:rPr>
          <w:rFonts w:hAnsi="Times New Roman" w:cs="Times New Roman"/>
          <w:color w:val="auto"/>
          <w:highlight w:val="none"/>
        </w:rPr>
      </w:pPr>
      <w:r>
        <w:rPr>
          <w:rFonts w:hint="eastAsia" w:hAnsi="Times New Roman" w:cs="Times New Roman"/>
          <w:color w:val="auto"/>
          <w:highlight w:val="none"/>
        </w:rPr>
        <w:t>1#高炉、2#高炉灰仓框架合建。</w:t>
      </w:r>
    </w:p>
    <w:p w14:paraId="094EBFF2">
      <w:pPr>
        <w:shd w:val="clear"/>
        <w:jc w:val="both"/>
        <w:rPr>
          <w:rFonts w:hAnsi="Times New Roman" w:cs="Times New Roman"/>
          <w:color w:val="auto"/>
          <w:highlight w:val="none"/>
        </w:rPr>
      </w:pPr>
      <w:r>
        <w:rPr>
          <w:rFonts w:hint="eastAsia" w:hAnsi="Times New Roman" w:cs="Times New Roman"/>
          <w:color w:val="auto"/>
          <w:highlight w:val="none"/>
        </w:rPr>
        <w:t>仓泵基础采用钢筋混凝土基础、天然地基。</w:t>
      </w:r>
    </w:p>
    <w:p w14:paraId="7F2404BE">
      <w:pPr>
        <w:shd w:val="clear"/>
        <w:jc w:val="both"/>
        <w:rPr>
          <w:rFonts w:hAnsi="Times New Roman" w:cs="Times New Roman"/>
          <w:color w:val="auto"/>
          <w:highlight w:val="none"/>
        </w:rPr>
      </w:pPr>
      <w:r>
        <w:rPr>
          <w:rFonts w:hint="eastAsia" w:hAnsi="Times New Roman" w:cs="Times New Roman"/>
          <w:color w:val="auto"/>
          <w:highlight w:val="none"/>
        </w:rPr>
        <w:t>卸灰平台根据现场腐蚀情况进行加固改造。</w:t>
      </w:r>
    </w:p>
    <w:p w14:paraId="1A9494AB">
      <w:pPr>
        <w:shd w:val="clear"/>
        <w:jc w:val="both"/>
        <w:rPr>
          <w:rFonts w:hAnsi="Times New Roman" w:cs="Times New Roman"/>
          <w:color w:val="auto"/>
          <w:highlight w:val="none"/>
        </w:rPr>
      </w:pPr>
      <w:r>
        <w:rPr>
          <w:rFonts w:hint="eastAsia" w:cs="宋体"/>
          <w:color w:val="auto"/>
          <w:highlight w:val="none"/>
        </w:rPr>
        <w:t>2）</w:t>
      </w:r>
      <w:r>
        <w:rPr>
          <w:rFonts w:hint="eastAsia" w:hAnsi="Times New Roman" w:cs="Times New Roman"/>
          <w:color w:val="auto"/>
          <w:highlight w:val="none"/>
        </w:rPr>
        <w:t>2#高炉粗煤气改造包括：新建灰仓框架、仓泵基础、卸灰平台改造、下降管加固、重力除尘器框架加固改造、</w:t>
      </w:r>
      <w:r>
        <w:rPr>
          <w:rFonts w:hAnsi="Times New Roman" w:cs="Times New Roman"/>
          <w:color w:val="auto"/>
          <w:highlight w:val="none"/>
        </w:rPr>
        <w:t>重力除尘器内部导流筒</w:t>
      </w:r>
      <w:r>
        <w:rPr>
          <w:rFonts w:hint="eastAsia" w:hAnsi="Times New Roman" w:cs="Times New Roman"/>
          <w:color w:val="auto"/>
          <w:highlight w:val="none"/>
        </w:rPr>
        <w:t>局部更换。</w:t>
      </w:r>
    </w:p>
    <w:p w14:paraId="69C4CB03">
      <w:pPr>
        <w:shd w:val="clear"/>
        <w:jc w:val="both"/>
        <w:rPr>
          <w:rFonts w:hAnsi="Times New Roman" w:cs="Times New Roman"/>
          <w:color w:val="auto"/>
          <w:highlight w:val="none"/>
        </w:rPr>
      </w:pPr>
      <w:r>
        <w:rPr>
          <w:rFonts w:hint="eastAsia" w:hAnsi="Times New Roman" w:cs="Times New Roman"/>
          <w:color w:val="auto"/>
          <w:highlight w:val="none"/>
        </w:rPr>
        <w:t>1#高炉、2#高炉灰仓框架合建，平面轴线尺寸5m</w:t>
      </w:r>
      <w:r>
        <w:rPr>
          <w:rFonts w:ascii="Arial" w:hAnsi="Arial"/>
          <w:color w:val="auto"/>
          <w:highlight w:val="none"/>
        </w:rPr>
        <w:t>×</w:t>
      </w:r>
      <w:r>
        <w:rPr>
          <w:rFonts w:hint="eastAsia" w:hAnsi="Times New Roman" w:cs="Times New Roman"/>
          <w:color w:val="auto"/>
          <w:highlight w:val="none"/>
        </w:rPr>
        <w:t>10.6m，高度20m，共5层，灰仓框架底层采用压型钢板进行封闭。灰仓框架采用钢框架结构。灰仓框架采用独立基础、天然地基。</w:t>
      </w:r>
    </w:p>
    <w:p w14:paraId="186E9385">
      <w:pPr>
        <w:shd w:val="clear"/>
        <w:jc w:val="both"/>
        <w:rPr>
          <w:rFonts w:hAnsi="Times New Roman" w:cs="Times New Roman"/>
          <w:color w:val="auto"/>
          <w:highlight w:val="none"/>
        </w:rPr>
      </w:pPr>
      <w:r>
        <w:rPr>
          <w:rFonts w:hint="eastAsia" w:hAnsi="Times New Roman" w:cs="Times New Roman"/>
          <w:color w:val="auto"/>
          <w:highlight w:val="none"/>
        </w:rPr>
        <w:t>仓泵基础采用钢筋混凝土基础、天然地基。</w:t>
      </w:r>
    </w:p>
    <w:p w14:paraId="53A0DF4F">
      <w:pPr>
        <w:shd w:val="clear"/>
        <w:jc w:val="both"/>
        <w:rPr>
          <w:rFonts w:hAnsi="Times New Roman" w:cs="Times New Roman"/>
          <w:color w:val="auto"/>
          <w:highlight w:val="none"/>
        </w:rPr>
      </w:pPr>
      <w:r>
        <w:rPr>
          <w:rFonts w:hint="eastAsia" w:hAnsi="Times New Roman" w:cs="Times New Roman"/>
          <w:color w:val="auto"/>
          <w:highlight w:val="none"/>
        </w:rPr>
        <w:t>卸灰平台根据现场腐蚀情况进行加固改造。</w:t>
      </w:r>
    </w:p>
    <w:p w14:paraId="37147E63">
      <w:pPr>
        <w:shd w:val="clear"/>
        <w:jc w:val="both"/>
        <w:rPr>
          <w:rFonts w:hAnsi="Times New Roman" w:cs="Times New Roman"/>
          <w:color w:val="auto"/>
          <w:highlight w:val="none"/>
        </w:rPr>
      </w:pPr>
      <w:r>
        <w:rPr>
          <w:rFonts w:hint="eastAsia" w:hAnsi="Times New Roman" w:cs="Times New Roman"/>
          <w:color w:val="auto"/>
          <w:highlight w:val="none"/>
        </w:rPr>
        <w:t>粗煤气下降管三叉口位置及中部位置有开裂，根据开裂及锈蚀情况采用贴钢板、加钢包箍或加劲环等形式进行加固。粗煤气上升下降管外表面漆膜</w:t>
      </w:r>
      <w:r>
        <w:rPr>
          <w:rFonts w:hint="eastAsia" w:hAnsi="Times New Roman" w:cs="Times New Roman"/>
          <w:color w:val="auto"/>
          <w:highlight w:val="none"/>
          <w:lang w:val="en-US" w:eastAsia="zh-CN"/>
        </w:rPr>
        <w:t>全部</w:t>
      </w:r>
      <w:r>
        <w:rPr>
          <w:rFonts w:hint="eastAsia" w:hAnsi="Times New Roman" w:cs="Times New Roman"/>
          <w:color w:val="auto"/>
          <w:highlight w:val="none"/>
        </w:rPr>
        <w:t>除锈后重新进行</w:t>
      </w:r>
      <w:r>
        <w:rPr>
          <w:rFonts w:hint="eastAsia" w:hAnsi="Times New Roman" w:cs="Times New Roman"/>
          <w:color w:val="auto"/>
          <w:highlight w:val="none"/>
          <w:lang w:val="en-US" w:eastAsia="zh-CN"/>
        </w:rPr>
        <w:t>耐高温</w:t>
      </w:r>
      <w:r>
        <w:rPr>
          <w:rFonts w:hint="eastAsia" w:hAnsi="Times New Roman" w:cs="Times New Roman"/>
          <w:color w:val="auto"/>
          <w:highlight w:val="none"/>
        </w:rPr>
        <w:t>防腐涂装。</w:t>
      </w:r>
    </w:p>
    <w:p w14:paraId="39B452D8">
      <w:pPr>
        <w:shd w:val="clear"/>
        <w:jc w:val="both"/>
        <w:rPr>
          <w:rFonts w:hAnsi="Times New Roman" w:cs="Times New Roman"/>
          <w:color w:val="auto"/>
          <w:highlight w:val="none"/>
        </w:rPr>
      </w:pPr>
      <w:r>
        <w:rPr>
          <w:rFonts w:hint="eastAsia" w:hAnsi="Times New Roman" w:cs="Times New Roman"/>
          <w:color w:val="auto"/>
          <w:highlight w:val="none"/>
        </w:rPr>
        <w:t>重力除尘器框架部分梁腐蚀需要进行加固，并增设钢平台。</w:t>
      </w:r>
      <w:r>
        <w:rPr>
          <w:rFonts w:hint="eastAsia" w:hAnsi="Times New Roman" w:cs="Times New Roman"/>
          <w:color w:val="auto"/>
          <w:highlight w:val="none"/>
          <w:lang w:val="en-US" w:eastAsia="zh-CN"/>
        </w:rPr>
        <w:t>重力除尘器框架梁柱全部除锈后进行防腐涂装。</w:t>
      </w:r>
      <w:r>
        <w:rPr>
          <w:rFonts w:hint="eastAsia" w:hAnsi="Times New Roman" w:cs="Times New Roman"/>
          <w:color w:val="auto"/>
          <w:highlight w:val="none"/>
        </w:rPr>
        <w:t>重力除尘器壳体外部锈蚀严重，需要</w:t>
      </w:r>
      <w:r>
        <w:rPr>
          <w:rFonts w:hint="eastAsia" w:hAnsi="Times New Roman" w:cs="Times New Roman"/>
          <w:color w:val="auto"/>
          <w:highlight w:val="none"/>
          <w:lang w:val="en-US" w:eastAsia="zh-CN"/>
        </w:rPr>
        <w:t>全部</w:t>
      </w:r>
      <w:r>
        <w:rPr>
          <w:rFonts w:hint="eastAsia" w:hAnsi="Times New Roman" w:cs="Times New Roman"/>
          <w:color w:val="auto"/>
          <w:highlight w:val="none"/>
        </w:rPr>
        <w:t>除锈后重新进行</w:t>
      </w:r>
      <w:r>
        <w:rPr>
          <w:rFonts w:hint="eastAsia" w:hAnsi="Times New Roman" w:cs="Times New Roman"/>
          <w:color w:val="auto"/>
          <w:highlight w:val="none"/>
          <w:lang w:val="en-US" w:eastAsia="zh-CN"/>
        </w:rPr>
        <w:t>耐高温</w:t>
      </w:r>
      <w:r>
        <w:rPr>
          <w:rFonts w:hint="eastAsia" w:hAnsi="Times New Roman" w:cs="Times New Roman"/>
          <w:color w:val="auto"/>
          <w:highlight w:val="none"/>
        </w:rPr>
        <w:t>防腐涂装。重力除尘下卸灰区域四面采用压型钢板进行封闭，南北侧设置卷帘门。</w:t>
      </w:r>
    </w:p>
    <w:p w14:paraId="47F1F13C">
      <w:pPr>
        <w:shd w:val="clear"/>
        <w:jc w:val="both"/>
        <w:rPr>
          <w:rFonts w:hAnsi="Times New Roman" w:cs="Times New Roman"/>
          <w:color w:val="auto"/>
          <w:highlight w:val="none"/>
        </w:rPr>
      </w:pPr>
      <w:r>
        <w:rPr>
          <w:rFonts w:hAnsi="Times New Roman" w:cs="Times New Roman"/>
          <w:color w:val="auto"/>
          <w:highlight w:val="none"/>
        </w:rPr>
        <w:t>重力除尘器内部导流筒磨损严重，需对重力除尘器内部导流筒筒体进行局部修复</w:t>
      </w:r>
      <w:r>
        <w:rPr>
          <w:rFonts w:hint="eastAsia" w:hAnsi="Times New Roman" w:cs="Times New Roman"/>
          <w:color w:val="auto"/>
          <w:highlight w:val="none"/>
        </w:rPr>
        <w:t>。</w:t>
      </w:r>
    </w:p>
    <w:p w14:paraId="06ED04A7">
      <w:pPr>
        <w:shd w:val="clear"/>
        <w:jc w:val="both"/>
        <w:rPr>
          <w:rFonts w:hAnsi="Times New Roman" w:cs="Times New Roman"/>
          <w:color w:val="auto"/>
          <w:highlight w:val="none"/>
        </w:rPr>
      </w:pPr>
      <w:r>
        <w:rPr>
          <w:rFonts w:hint="eastAsia" w:cs="Times New Roman"/>
          <w:color w:val="auto"/>
          <w:highlight w:val="none"/>
        </w:rPr>
        <w:t>(7)</w:t>
      </w:r>
      <w:r>
        <w:rPr>
          <w:rFonts w:hint="eastAsia" w:hAnsi="Times New Roman" w:cs="Times New Roman"/>
          <w:color w:val="auto"/>
          <w:highlight w:val="none"/>
        </w:rPr>
        <w:t>热风炉</w:t>
      </w:r>
    </w:p>
    <w:p w14:paraId="1E0ED631">
      <w:pPr>
        <w:shd w:val="clear"/>
        <w:jc w:val="both"/>
        <w:rPr>
          <w:rFonts w:hAnsi="Times New Roman" w:cs="Times New Roman"/>
          <w:color w:val="auto"/>
          <w:highlight w:val="none"/>
        </w:rPr>
      </w:pPr>
      <w:r>
        <w:rPr>
          <w:rFonts w:hint="eastAsia" w:hAnsi="Times New Roman" w:cs="Times New Roman"/>
          <w:color w:val="auto"/>
          <w:highlight w:val="none"/>
        </w:rPr>
        <w:t>5）热风主管改造处增加热风主管支架、热风主管顶部平台。</w:t>
      </w:r>
    </w:p>
    <w:p w14:paraId="13960726">
      <w:pPr>
        <w:shd w:val="clear"/>
        <w:jc w:val="both"/>
        <w:rPr>
          <w:rFonts w:cs="Times New Roman"/>
          <w:color w:val="auto"/>
          <w:highlight w:val="none"/>
        </w:rPr>
      </w:pPr>
      <w:r>
        <w:rPr>
          <w:rFonts w:hint="eastAsia" w:cs="Times New Roman"/>
          <w:color w:val="auto"/>
          <w:highlight w:val="none"/>
        </w:rPr>
        <w:t>(8)煤气干法除尘</w:t>
      </w:r>
    </w:p>
    <w:p w14:paraId="246DBC41">
      <w:pPr>
        <w:shd w:val="clear"/>
        <w:jc w:val="both"/>
        <w:rPr>
          <w:rFonts w:hAnsi="Times New Roman" w:cs="Times New Roman"/>
          <w:color w:val="auto"/>
          <w:highlight w:val="none"/>
        </w:rPr>
      </w:pPr>
      <w:r>
        <w:rPr>
          <w:rFonts w:hint="eastAsia" w:hAnsi="Times New Roman" w:cs="Times New Roman"/>
          <w:color w:val="auto"/>
          <w:highlight w:val="none"/>
        </w:rPr>
        <w:t>1）脉冲喷吹平台增设净煤气管道，平台需铺板，局部加固。</w:t>
      </w:r>
    </w:p>
    <w:p w14:paraId="0ADDBD06">
      <w:pPr>
        <w:shd w:val="clear"/>
        <w:jc w:val="both"/>
        <w:rPr>
          <w:rFonts w:hAnsi="Times New Roman" w:cs="Times New Roman"/>
          <w:color w:val="auto"/>
          <w:highlight w:val="none"/>
        </w:rPr>
      </w:pPr>
      <w:r>
        <w:rPr>
          <w:rFonts w:hint="eastAsia" w:hAnsi="Times New Roman" w:cs="Times New Roman"/>
          <w:color w:val="auto"/>
          <w:highlight w:val="none"/>
        </w:rPr>
        <w:t>2）干法除尘灰仓卸灰区域需设计三面封闭并设除尘设施，出车侧设电动卷帘门。</w:t>
      </w:r>
    </w:p>
    <w:p w14:paraId="4E444784">
      <w:pPr>
        <w:shd w:val="clear"/>
        <w:spacing w:line="312" w:lineRule="auto"/>
        <w:jc w:val="both"/>
        <w:rPr>
          <w:rFonts w:hAnsi="Times New Roman" w:cs="Times New Roman"/>
          <w:color w:val="auto"/>
          <w:highlight w:val="none"/>
        </w:rPr>
      </w:pPr>
      <w:r>
        <w:rPr>
          <w:rFonts w:hint="eastAsia" w:hAnsi="Times New Roman" w:cs="Times New Roman"/>
          <w:color w:val="auto"/>
          <w:highlight w:val="none"/>
        </w:rPr>
        <w:t>3）从重力除尘至干法除尘的荒煤气管道需改造，相应的管道支架需重新制作，支架采用钢支架。</w:t>
      </w:r>
    </w:p>
    <w:p w14:paraId="659117DC">
      <w:pPr>
        <w:shd w:val="clear"/>
        <w:jc w:val="both"/>
        <w:rPr>
          <w:rFonts w:cs="Times New Roman"/>
          <w:color w:val="auto"/>
          <w:highlight w:val="none"/>
        </w:rPr>
      </w:pPr>
      <w:r>
        <w:rPr>
          <w:rFonts w:hint="eastAsia" w:cs="Times New Roman"/>
          <w:color w:val="auto"/>
          <w:highlight w:val="none"/>
        </w:rPr>
        <w:t>(9)调压阀组</w:t>
      </w:r>
    </w:p>
    <w:p w14:paraId="60F788BC">
      <w:pPr>
        <w:shd w:val="clear"/>
        <w:jc w:val="both"/>
        <w:rPr>
          <w:rFonts w:hAnsi="Times New Roman" w:cs="Times New Roman"/>
          <w:color w:val="auto"/>
          <w:highlight w:val="none"/>
        </w:rPr>
      </w:pPr>
      <w:r>
        <w:rPr>
          <w:rFonts w:hint="eastAsia" w:hAnsi="Times New Roman" w:cs="Times New Roman"/>
          <w:color w:val="auto"/>
          <w:highlight w:val="none"/>
        </w:rPr>
        <w:t>1）新增氧气主管阀门平台一处，平台平面尺寸3.0m×4.0m，平台标高5.5m，设置钢斜梯。</w:t>
      </w:r>
    </w:p>
    <w:p w14:paraId="5C5E8B94">
      <w:pPr>
        <w:shd w:val="clear"/>
        <w:jc w:val="both"/>
        <w:rPr>
          <w:rFonts w:cs="Times New Roman"/>
          <w:color w:val="auto"/>
          <w:highlight w:val="none"/>
        </w:rPr>
      </w:pPr>
      <w:r>
        <w:rPr>
          <w:rFonts w:hint="eastAsia" w:cs="Times New Roman"/>
          <w:color w:val="auto"/>
          <w:highlight w:val="none"/>
        </w:rPr>
        <w:t>(10)高炉水处理及给排水</w:t>
      </w:r>
    </w:p>
    <w:p w14:paraId="614D0087">
      <w:pPr>
        <w:shd w:val="clear"/>
        <w:jc w:val="both"/>
        <w:rPr>
          <w:rFonts w:hAnsi="Times New Roman" w:cs="Times New Roman"/>
          <w:color w:val="auto"/>
          <w:highlight w:val="none"/>
        </w:rPr>
      </w:pPr>
      <w:r>
        <w:rPr>
          <w:rFonts w:hint="eastAsia" w:hAnsi="Times New Roman" w:cs="Times New Roman"/>
          <w:color w:val="auto"/>
          <w:highlight w:val="none"/>
        </w:rPr>
        <w:t>1）软水泵房屋面6台空冷器更换，校核原有设备基础，并进行相应的改造。</w:t>
      </w:r>
    </w:p>
    <w:p w14:paraId="09CE7CFF">
      <w:pPr>
        <w:shd w:val="clear"/>
        <w:jc w:val="both"/>
        <w:rPr>
          <w:rFonts w:hAnsi="Times New Roman" w:cs="Times New Roman"/>
          <w:color w:val="auto"/>
          <w:highlight w:val="none"/>
        </w:rPr>
      </w:pPr>
      <w:r>
        <w:rPr>
          <w:rFonts w:hint="eastAsia" w:hAnsi="Times New Roman" w:cs="Times New Roman"/>
          <w:color w:val="auto"/>
          <w:highlight w:val="none"/>
        </w:rPr>
        <w:t>2）软水池内表面裂缝及受损区域修复并重新做防水、防渗。</w:t>
      </w:r>
    </w:p>
    <w:p w14:paraId="272DC5B9">
      <w:pPr>
        <w:shd w:val="clear"/>
        <w:jc w:val="both"/>
        <w:rPr>
          <w:rFonts w:hAnsi="Times New Roman" w:cs="Times New Roman"/>
          <w:color w:val="auto"/>
          <w:highlight w:val="none"/>
        </w:rPr>
      </w:pPr>
      <w:r>
        <w:rPr>
          <w:rFonts w:hint="eastAsia" w:hAnsi="Times New Roman" w:cs="Times New Roman"/>
          <w:color w:val="auto"/>
          <w:highlight w:val="none"/>
        </w:rPr>
        <w:t>3）软水泵房内新做两个高压软水泵基础，采用钢筋混凝土大块式基础、天然地基。</w:t>
      </w:r>
    </w:p>
    <w:p w14:paraId="2E0C84F5">
      <w:pPr>
        <w:shd w:val="clear"/>
        <w:jc w:val="both"/>
        <w:rPr>
          <w:rFonts w:cs="Times New Roman"/>
          <w:color w:val="auto"/>
          <w:highlight w:val="none"/>
        </w:rPr>
      </w:pPr>
      <w:r>
        <w:rPr>
          <w:rFonts w:hint="eastAsia" w:hAnsi="Times New Roman" w:cs="Times New Roman"/>
          <w:color w:val="auto"/>
          <w:highlight w:val="none"/>
        </w:rPr>
        <w:t>4）</w:t>
      </w:r>
      <w:r>
        <w:rPr>
          <w:rFonts w:hint="eastAsia" w:cs="Times New Roman"/>
          <w:color w:val="auto"/>
          <w:highlight w:val="none"/>
        </w:rPr>
        <w:t>净环水系统和增压水系统分别新增一台冷却塔，冷却塔基础采用独立基础、天然地基。</w:t>
      </w:r>
    </w:p>
    <w:p w14:paraId="2259AC1C">
      <w:pPr>
        <w:shd w:val="clear"/>
        <w:jc w:val="both"/>
        <w:rPr>
          <w:rFonts w:cs="Times New Roman"/>
          <w:color w:val="auto"/>
          <w:highlight w:val="none"/>
        </w:rPr>
      </w:pPr>
      <w:r>
        <w:rPr>
          <w:rFonts w:hint="eastAsia" w:cs="Times New Roman"/>
          <w:color w:val="auto"/>
          <w:highlight w:val="none"/>
        </w:rPr>
        <w:t>5）改造现有水泵房仓库做为新增低压柜电气室，电气室内部设置电缆沟（宽900mm，深1000mm）长度约10m。地面贴瓷砖。拆除PLC室一面墙体，墙体宽度8m、高4m。</w:t>
      </w:r>
    </w:p>
    <w:p w14:paraId="7F7208FB">
      <w:pPr>
        <w:shd w:val="clear"/>
        <w:jc w:val="both"/>
        <w:rPr>
          <w:rFonts w:cs="Times New Roman"/>
          <w:color w:val="auto"/>
          <w:highlight w:val="none"/>
        </w:rPr>
      </w:pPr>
      <w:r>
        <w:rPr>
          <w:rFonts w:hint="eastAsia" w:cs="Times New Roman"/>
          <w:color w:val="auto"/>
          <w:highlight w:val="none"/>
        </w:rPr>
        <w:t>(11) 高炉除尘系统</w:t>
      </w:r>
    </w:p>
    <w:p w14:paraId="2D776275">
      <w:pPr>
        <w:shd w:val="clear"/>
        <w:jc w:val="both"/>
        <w:rPr>
          <w:rFonts w:cs="Times New Roman"/>
          <w:color w:val="auto"/>
          <w:highlight w:val="none"/>
        </w:rPr>
      </w:pPr>
      <w:r>
        <w:rPr>
          <w:rFonts w:hint="eastAsia" w:cs="Times New Roman"/>
          <w:color w:val="auto"/>
          <w:highlight w:val="none"/>
        </w:rPr>
        <w:t>高炉除尘系统包括：高炉出铁场除尘、矿槽除尘、地沟除尘和1号高炉的槽上除尘。</w:t>
      </w:r>
    </w:p>
    <w:p w14:paraId="479F8A49">
      <w:pPr>
        <w:shd w:val="clear"/>
        <w:jc w:val="both"/>
        <w:rPr>
          <w:rFonts w:cs="Times New Roman"/>
          <w:color w:val="auto"/>
          <w:highlight w:val="none"/>
        </w:rPr>
      </w:pPr>
      <w:r>
        <w:rPr>
          <w:rFonts w:hint="eastAsia" w:cs="Times New Roman"/>
          <w:color w:val="auto"/>
          <w:highlight w:val="none"/>
        </w:rPr>
        <w:t>1）出铁场除尘</w:t>
      </w:r>
    </w:p>
    <w:p w14:paraId="6652F811">
      <w:pPr>
        <w:shd w:val="clear"/>
        <w:jc w:val="both"/>
        <w:rPr>
          <w:rFonts w:cs="Times New Roman"/>
          <w:color w:val="auto"/>
          <w:highlight w:val="none"/>
        </w:rPr>
      </w:pPr>
      <w:r>
        <w:rPr>
          <w:rFonts w:hint="eastAsia" w:cs="Times New Roman"/>
          <w:color w:val="auto"/>
          <w:highlight w:val="none"/>
        </w:rPr>
        <w:t>除尘器框架平面轴线尺寸49.0m×14.4m，平台标高4.5m。除尘器底层设出铁场除尘控制室及配电室，平面轴线尺寸5.4m×21.0m，采用砌体围护，地面为地砖地面，设置铝合金窗、</w:t>
      </w:r>
      <w:r>
        <w:rPr>
          <w:rFonts w:hint="eastAsia" w:cs="Times New Roman"/>
          <w:color w:val="auto"/>
          <w:highlight w:val="none"/>
          <w:lang w:val="en-US" w:eastAsia="zh-CN"/>
        </w:rPr>
        <w:t>甲级防火门</w:t>
      </w:r>
      <w:r>
        <w:rPr>
          <w:rFonts w:hint="eastAsia" w:cs="Times New Roman"/>
          <w:color w:val="auto"/>
          <w:highlight w:val="none"/>
        </w:rPr>
        <w:t>。除尘器框架采用钢筋混凝土框架结构，采用独立基础、天然地基。除尘器底层</w:t>
      </w:r>
      <w:r>
        <w:rPr>
          <w:rFonts w:hint="eastAsia" w:cs="Times New Roman"/>
          <w:color w:val="auto"/>
          <w:highlight w:val="none"/>
          <w:lang w:eastAsia="zh-CN"/>
        </w:rPr>
        <w:t>包含</w:t>
      </w:r>
      <w:r>
        <w:rPr>
          <w:rFonts w:hint="eastAsia" w:cs="Times New Roman"/>
          <w:color w:val="auto"/>
          <w:highlight w:val="none"/>
        </w:rPr>
        <w:t>返矿电气室，平面轴线尺寸5.4m×8.0m，采用砌体围护，地面为地砖地面，设置铝合金窗、</w:t>
      </w:r>
      <w:r>
        <w:rPr>
          <w:rFonts w:hint="eastAsia" w:cs="Times New Roman"/>
          <w:color w:val="auto"/>
          <w:highlight w:val="none"/>
          <w:lang w:val="en-US" w:eastAsia="zh-CN"/>
        </w:rPr>
        <w:t>甲级防火门</w:t>
      </w:r>
      <w:r>
        <w:rPr>
          <w:rFonts w:hint="eastAsia" w:cs="Times New Roman"/>
          <w:color w:val="auto"/>
          <w:highlight w:val="none"/>
        </w:rPr>
        <w:t>。</w:t>
      </w:r>
    </w:p>
    <w:p w14:paraId="7658C5AF">
      <w:pPr>
        <w:shd w:val="clear"/>
        <w:jc w:val="both"/>
        <w:rPr>
          <w:rFonts w:cs="Times New Roman"/>
          <w:color w:val="auto"/>
          <w:highlight w:val="none"/>
        </w:rPr>
      </w:pPr>
      <w:r>
        <w:rPr>
          <w:rFonts w:hint="eastAsia" w:cs="Times New Roman"/>
          <w:color w:val="auto"/>
          <w:highlight w:val="none"/>
        </w:rPr>
        <w:t>储气罐基础、风机基础和落地消音器基础采用大块式钢筋混凝土基础、天然地基。</w:t>
      </w:r>
    </w:p>
    <w:p w14:paraId="6588ED39">
      <w:pPr>
        <w:shd w:val="clear"/>
        <w:jc w:val="both"/>
        <w:rPr>
          <w:rFonts w:cs="Times New Roman"/>
          <w:color w:val="auto"/>
          <w:highlight w:val="none"/>
        </w:rPr>
      </w:pPr>
      <w:r>
        <w:rPr>
          <w:rFonts w:hint="eastAsia" w:cs="Times New Roman"/>
          <w:color w:val="auto"/>
          <w:highlight w:val="none"/>
        </w:rPr>
        <w:t>钢烟囱直径5.3m，高度50m，采用钢筋混凝土筏板基础、天然地基。钢烟囱设置钢梯及检测平台。</w:t>
      </w:r>
    </w:p>
    <w:p w14:paraId="0D773A13">
      <w:pPr>
        <w:shd w:val="clear"/>
        <w:jc w:val="both"/>
        <w:rPr>
          <w:rFonts w:cs="Times New Roman"/>
          <w:color w:val="auto"/>
          <w:highlight w:val="none"/>
        </w:rPr>
      </w:pPr>
      <w:r>
        <w:rPr>
          <w:rFonts w:hint="eastAsia" w:cs="Times New Roman"/>
          <w:color w:val="auto"/>
          <w:highlight w:val="none"/>
        </w:rPr>
        <w:t>除尘管道钢支架为钢桁架结构，基础采用独立基础、天然地基。</w:t>
      </w:r>
    </w:p>
    <w:p w14:paraId="104DB0BF">
      <w:pPr>
        <w:shd w:val="clear"/>
        <w:spacing w:line="312" w:lineRule="auto"/>
        <w:jc w:val="both"/>
        <w:rPr>
          <w:rFonts w:hAnsi="Times New Roman" w:cs="Times New Roman"/>
          <w:color w:val="auto"/>
          <w:highlight w:val="none"/>
        </w:rPr>
      </w:pPr>
      <w:r>
        <w:rPr>
          <w:rFonts w:hint="eastAsia" w:hAnsi="Times New Roman" w:cs="Times New Roman"/>
          <w:color w:val="auto"/>
          <w:highlight w:val="none"/>
        </w:rPr>
        <w:t>CEMS分析室一座，平面轴线尺寸</w:t>
      </w:r>
      <w:r>
        <w:rPr>
          <w:rFonts w:hint="eastAsia" w:cs="Times New Roman"/>
          <w:color w:val="auto"/>
          <w:highlight w:val="none"/>
        </w:rPr>
        <w:t>4.0m×5.0m，檐口标高3.6m。分析室采用地砖地面，铝合金窗，</w:t>
      </w:r>
      <w:r>
        <w:rPr>
          <w:rFonts w:hint="eastAsia" w:cs="Times New Roman"/>
          <w:color w:val="auto"/>
          <w:highlight w:val="none"/>
          <w:lang w:val="en-US" w:eastAsia="zh-CN"/>
        </w:rPr>
        <w:t>甲级防火门</w:t>
      </w:r>
      <w:r>
        <w:rPr>
          <w:rFonts w:hint="eastAsia" w:cs="Times New Roman"/>
          <w:color w:val="auto"/>
          <w:highlight w:val="none"/>
        </w:rPr>
        <w:t>。采用砖混结构，条形基础、天然地基。</w:t>
      </w:r>
    </w:p>
    <w:p w14:paraId="4BFF5E5A">
      <w:pPr>
        <w:shd w:val="clear"/>
        <w:spacing w:line="312" w:lineRule="auto"/>
        <w:jc w:val="both"/>
        <w:rPr>
          <w:rFonts w:hAnsi="Times New Roman" w:cs="Times New Roman"/>
          <w:color w:val="auto"/>
          <w:highlight w:val="none"/>
        </w:rPr>
      </w:pPr>
      <w:r>
        <w:rPr>
          <w:rFonts w:hint="eastAsia" w:hAnsi="Times New Roman" w:cs="Times New Roman"/>
          <w:color w:val="auto"/>
          <w:highlight w:val="none"/>
        </w:rPr>
        <w:t>既有建构筑物拆除包括既有配煤厂房、既有配煤电气室、既有地沟除尘风机房及既有地沟除尘框架及风机基础等拆除。</w:t>
      </w:r>
    </w:p>
    <w:p w14:paraId="127E0375">
      <w:pPr>
        <w:shd w:val="clear"/>
        <w:jc w:val="both"/>
        <w:rPr>
          <w:rFonts w:cs="Times New Roman"/>
          <w:color w:val="auto"/>
          <w:highlight w:val="none"/>
        </w:rPr>
      </w:pPr>
      <w:r>
        <w:rPr>
          <w:rFonts w:hint="eastAsia" w:cs="Times New Roman"/>
          <w:color w:val="auto"/>
          <w:highlight w:val="none"/>
        </w:rPr>
        <w:t>2）矿槽除尘</w:t>
      </w:r>
    </w:p>
    <w:p w14:paraId="07E917AA">
      <w:pPr>
        <w:shd w:val="clear"/>
        <w:spacing w:line="312" w:lineRule="auto"/>
        <w:jc w:val="both"/>
        <w:rPr>
          <w:rFonts w:hAnsi="Times New Roman" w:cs="Times New Roman"/>
          <w:color w:val="auto"/>
          <w:highlight w:val="none"/>
        </w:rPr>
      </w:pPr>
      <w:r>
        <w:rPr>
          <w:rFonts w:hint="eastAsia" w:hAnsi="Times New Roman" w:cs="Times New Roman"/>
          <w:color w:val="auto"/>
          <w:highlight w:val="none"/>
        </w:rPr>
        <w:t>矿槽除尘包括：钢烟囱加固、CEMS分析室及既有灰仓拆除。</w:t>
      </w:r>
    </w:p>
    <w:p w14:paraId="2630313C">
      <w:pPr>
        <w:shd w:val="clear"/>
        <w:spacing w:line="312" w:lineRule="auto"/>
        <w:jc w:val="both"/>
        <w:rPr>
          <w:rFonts w:hAnsi="Times New Roman" w:cs="Times New Roman"/>
          <w:color w:val="auto"/>
          <w:highlight w:val="none"/>
        </w:rPr>
      </w:pPr>
      <w:r>
        <w:rPr>
          <w:rFonts w:hint="eastAsia" w:hAnsi="Times New Roman" w:cs="Times New Roman"/>
          <w:color w:val="auto"/>
          <w:highlight w:val="none"/>
        </w:rPr>
        <w:t>根据鉴定报告既有2#高炉矿槽除尘器框架结构安全性鉴定评为B级，其中基础安全性评定等级为B级，上部结构安全性评定等级为B级；抗震承载力满足抗震设防烈度8度、A类建筑的抗震鉴定要求。该框架可不进行加固改造。</w:t>
      </w:r>
    </w:p>
    <w:p w14:paraId="15985F89">
      <w:pPr>
        <w:shd w:val="clear"/>
        <w:jc w:val="both"/>
        <w:rPr>
          <w:rFonts w:cs="Times New Roman"/>
          <w:color w:val="auto"/>
          <w:highlight w:val="none"/>
        </w:rPr>
      </w:pPr>
      <w:r>
        <w:rPr>
          <w:rFonts w:hint="eastAsia" w:cs="Times New Roman"/>
          <w:color w:val="auto"/>
          <w:highlight w:val="none"/>
        </w:rPr>
        <w:t>原钢烟囱直径3.6m，高度由30m增加至35m，对原钢烟囱及其基础进行加固。钢烟囱设置钢梯及检测平台。</w:t>
      </w:r>
    </w:p>
    <w:p w14:paraId="6B6FAAD6">
      <w:pPr>
        <w:shd w:val="clear"/>
        <w:spacing w:line="312" w:lineRule="auto"/>
        <w:jc w:val="both"/>
        <w:rPr>
          <w:rFonts w:cs="Times New Roman"/>
          <w:color w:val="auto"/>
          <w:highlight w:val="none"/>
        </w:rPr>
      </w:pPr>
      <w:r>
        <w:rPr>
          <w:rFonts w:hint="eastAsia" w:hAnsi="Times New Roman" w:cs="Times New Roman"/>
          <w:color w:val="auto"/>
          <w:highlight w:val="none"/>
        </w:rPr>
        <w:t>CEMS分析室一座，平面轴线尺寸</w:t>
      </w:r>
      <w:r>
        <w:rPr>
          <w:rFonts w:hint="eastAsia" w:cs="Times New Roman"/>
          <w:color w:val="auto"/>
          <w:highlight w:val="none"/>
        </w:rPr>
        <w:t>4.0m×5.0m，檐口标高3.6m。分析室采用地砖地面，铝合金窗，</w:t>
      </w:r>
      <w:r>
        <w:rPr>
          <w:rFonts w:hint="eastAsia" w:cs="Times New Roman"/>
          <w:color w:val="auto"/>
          <w:highlight w:val="none"/>
          <w:lang w:val="en-US" w:eastAsia="zh-CN"/>
        </w:rPr>
        <w:t>甲级防火门</w:t>
      </w:r>
      <w:r>
        <w:rPr>
          <w:rFonts w:hint="eastAsia" w:cs="Times New Roman"/>
          <w:color w:val="auto"/>
          <w:highlight w:val="none"/>
        </w:rPr>
        <w:t>。采用砖混结构，条形基础、天然地基。</w:t>
      </w:r>
    </w:p>
    <w:p w14:paraId="66348E1D">
      <w:pPr>
        <w:shd w:val="clear"/>
        <w:spacing w:line="312" w:lineRule="auto"/>
        <w:jc w:val="both"/>
        <w:rPr>
          <w:rFonts w:hAnsi="Times New Roman" w:cs="Times New Roman"/>
          <w:color w:val="auto"/>
          <w:highlight w:val="none"/>
        </w:rPr>
      </w:pPr>
      <w:r>
        <w:rPr>
          <w:rFonts w:hint="eastAsia" w:cs="Times New Roman"/>
          <w:color w:val="auto"/>
          <w:highlight w:val="none"/>
        </w:rPr>
        <w:t>拆除既有灰仓钢框架、支架及其基础。</w:t>
      </w:r>
    </w:p>
    <w:p w14:paraId="0704FD9A">
      <w:pPr>
        <w:shd w:val="clear"/>
        <w:snapToGrid w:val="0"/>
        <w:spacing w:line="312" w:lineRule="auto"/>
        <w:rPr>
          <w:rFonts w:cs="Times New Roman"/>
          <w:color w:val="auto"/>
          <w:highlight w:val="none"/>
        </w:rPr>
      </w:pPr>
      <w:r>
        <w:rPr>
          <w:rFonts w:hint="eastAsia" w:cs="Times New Roman"/>
          <w:color w:val="auto"/>
          <w:highlight w:val="none"/>
        </w:rPr>
        <w:t>3）地沟除尘</w:t>
      </w:r>
    </w:p>
    <w:p w14:paraId="4AAE442A">
      <w:pPr>
        <w:shd w:val="clear"/>
        <w:spacing w:line="312" w:lineRule="auto"/>
        <w:jc w:val="both"/>
        <w:rPr>
          <w:rFonts w:hAnsi="Times New Roman" w:cs="Times New Roman"/>
          <w:color w:val="auto"/>
          <w:highlight w:val="none"/>
        </w:rPr>
      </w:pPr>
      <w:r>
        <w:rPr>
          <w:rFonts w:hint="eastAsia" w:hAnsi="Times New Roman" w:cs="Times New Roman"/>
          <w:color w:val="auto"/>
          <w:highlight w:val="none"/>
        </w:rPr>
        <w:t>地沟除尘包括：钢烟囱加固、除尘管道支架、既有变频器室彩板墙变为砌体墙。</w:t>
      </w:r>
    </w:p>
    <w:p w14:paraId="589BE42B">
      <w:pPr>
        <w:shd w:val="clear"/>
        <w:spacing w:line="312" w:lineRule="auto"/>
        <w:jc w:val="both"/>
        <w:rPr>
          <w:rFonts w:hAnsi="Times New Roman" w:cs="Times New Roman"/>
          <w:color w:val="auto"/>
          <w:highlight w:val="none"/>
        </w:rPr>
      </w:pPr>
      <w:r>
        <w:rPr>
          <w:rFonts w:hint="eastAsia" w:hAnsi="Times New Roman" w:cs="Times New Roman"/>
          <w:color w:val="auto"/>
          <w:highlight w:val="none"/>
        </w:rPr>
        <w:t>该地沟除尘器框架利用既有2#高炉出铁场框架，根据鉴定报告，该框架主体结构安全性鉴定评为C级，其中基础安全性评定等级为B级，上部结构安全性评定等级为C级；该工程抗震承载力满足抗震设防烈度8度、A类建筑的抗震鉴定要求。根据鉴定报告，该框架可仅对该工程部分柱主体结构构件存在的露筋缺陷的部位进行修缮补强。</w:t>
      </w:r>
    </w:p>
    <w:p w14:paraId="0F2E7F8E">
      <w:pPr>
        <w:shd w:val="clear"/>
        <w:jc w:val="both"/>
        <w:rPr>
          <w:rFonts w:cs="Times New Roman"/>
          <w:color w:val="auto"/>
          <w:highlight w:val="none"/>
        </w:rPr>
      </w:pPr>
      <w:r>
        <w:rPr>
          <w:rFonts w:hint="eastAsia" w:cs="Times New Roman"/>
          <w:color w:val="auto"/>
          <w:highlight w:val="none"/>
        </w:rPr>
        <w:t>原钢烟囱直径4.024m，高度由32m增加至45m，对原钢烟囱及其基础进行加固。钢烟囱设置钢梯及检修平台。</w:t>
      </w:r>
    </w:p>
    <w:p w14:paraId="53DA51DE">
      <w:pPr>
        <w:shd w:val="clear"/>
        <w:snapToGrid w:val="0"/>
        <w:spacing w:line="312" w:lineRule="auto"/>
        <w:rPr>
          <w:rFonts w:cs="Times New Roman"/>
          <w:color w:val="auto"/>
          <w:highlight w:val="none"/>
        </w:rPr>
      </w:pPr>
      <w:r>
        <w:rPr>
          <w:rFonts w:hint="eastAsia" w:cs="Times New Roman"/>
          <w:color w:val="auto"/>
          <w:highlight w:val="none"/>
        </w:rPr>
        <w:t>除尘管道钢支架为钢桁架结构，基础采用独立基础、天然地基。</w:t>
      </w:r>
    </w:p>
    <w:p w14:paraId="498B647F">
      <w:pPr>
        <w:shd w:val="clear"/>
        <w:snapToGrid w:val="0"/>
        <w:spacing w:line="312" w:lineRule="auto"/>
        <w:rPr>
          <w:rFonts w:cs="Times New Roman"/>
          <w:color w:val="auto"/>
          <w:highlight w:val="none"/>
        </w:rPr>
      </w:pPr>
      <w:r>
        <w:rPr>
          <w:rFonts w:hint="eastAsia" w:cs="Times New Roman"/>
          <w:color w:val="auto"/>
          <w:highlight w:val="none"/>
        </w:rPr>
        <w:t>既有变频器室为彩板墙，将彩板墙拆除后用砌体墙围护。</w:t>
      </w:r>
    </w:p>
    <w:p w14:paraId="6A34A19E">
      <w:pPr>
        <w:shd w:val="clear"/>
        <w:spacing w:line="312" w:lineRule="auto"/>
        <w:jc w:val="both"/>
        <w:rPr>
          <w:rFonts w:cs="Times New Roman"/>
          <w:color w:val="auto"/>
          <w:highlight w:val="none"/>
        </w:rPr>
      </w:pPr>
      <w:r>
        <w:rPr>
          <w:rFonts w:hint="eastAsia" w:hAnsi="Times New Roman" w:cs="Times New Roman"/>
          <w:color w:val="auto"/>
          <w:highlight w:val="none"/>
        </w:rPr>
        <w:t>CEMS分析室一座，平面轴线尺寸</w:t>
      </w:r>
      <w:r>
        <w:rPr>
          <w:rFonts w:hint="eastAsia" w:cs="Times New Roman"/>
          <w:color w:val="auto"/>
          <w:highlight w:val="none"/>
        </w:rPr>
        <w:t>4.0m×5.0m，檐口标高3.6m。分析室采用地砖地面，铝合金窗，</w:t>
      </w:r>
      <w:r>
        <w:rPr>
          <w:rFonts w:hint="eastAsia" w:cs="Times New Roman"/>
          <w:color w:val="auto"/>
          <w:highlight w:val="none"/>
          <w:lang w:eastAsia="zh-CN"/>
        </w:rPr>
        <w:t>甲级防火门</w:t>
      </w:r>
      <w:r>
        <w:rPr>
          <w:rFonts w:hint="eastAsia" w:cs="Times New Roman"/>
          <w:color w:val="auto"/>
          <w:highlight w:val="none"/>
        </w:rPr>
        <w:t>。采用砖混结构，条形基础、天然地基。</w:t>
      </w:r>
    </w:p>
    <w:p w14:paraId="5DDDBDC9">
      <w:pPr>
        <w:shd w:val="clear"/>
        <w:jc w:val="both"/>
        <w:rPr>
          <w:rFonts w:cs="Times New Roman"/>
          <w:color w:val="auto"/>
          <w:highlight w:val="none"/>
        </w:rPr>
      </w:pPr>
      <w:r>
        <w:rPr>
          <w:rFonts w:hint="eastAsia" w:cs="Times New Roman"/>
          <w:color w:val="auto"/>
          <w:highlight w:val="none"/>
        </w:rPr>
        <w:t>4）1号高炉的槽上除尘</w:t>
      </w:r>
    </w:p>
    <w:p w14:paraId="61F2FA21">
      <w:pPr>
        <w:shd w:val="clear"/>
        <w:spacing w:line="312" w:lineRule="auto"/>
        <w:jc w:val="both"/>
        <w:rPr>
          <w:rFonts w:hAnsi="Times New Roman" w:cs="Times New Roman"/>
          <w:color w:val="auto"/>
          <w:highlight w:val="none"/>
        </w:rPr>
      </w:pPr>
      <w:r>
        <w:rPr>
          <w:rFonts w:hint="eastAsia" w:cs="Times New Roman"/>
          <w:color w:val="auto"/>
          <w:highlight w:val="none"/>
        </w:rPr>
        <w:t>1号高炉的槽上除尘</w:t>
      </w:r>
      <w:r>
        <w:rPr>
          <w:rFonts w:hint="eastAsia" w:hAnsi="Times New Roman" w:cs="Times New Roman"/>
          <w:color w:val="auto"/>
          <w:highlight w:val="none"/>
        </w:rPr>
        <w:t>包括：钢烟囱加固、新建CEMS分析室。</w:t>
      </w:r>
    </w:p>
    <w:p w14:paraId="108BFA69">
      <w:pPr>
        <w:shd w:val="clear"/>
        <w:jc w:val="both"/>
        <w:rPr>
          <w:rFonts w:cs="Times New Roman"/>
          <w:color w:val="auto"/>
          <w:highlight w:val="none"/>
        </w:rPr>
      </w:pPr>
      <w:r>
        <w:rPr>
          <w:rFonts w:hint="eastAsia" w:cs="Times New Roman"/>
          <w:color w:val="auto"/>
          <w:highlight w:val="none"/>
        </w:rPr>
        <w:t>原钢烟囱直径4.2m，高度由32m增加至40m，对原钢烟囱及其基础进行加固。钢烟囱设置钢梯及检测平台。</w:t>
      </w:r>
    </w:p>
    <w:p w14:paraId="4DDED98D">
      <w:pPr>
        <w:shd w:val="clear"/>
        <w:jc w:val="both"/>
        <w:rPr>
          <w:rFonts w:cs="Times New Roman"/>
          <w:color w:val="auto"/>
          <w:highlight w:val="none"/>
        </w:rPr>
      </w:pPr>
      <w:r>
        <w:rPr>
          <w:rFonts w:hint="eastAsia" w:cs="Times New Roman"/>
          <w:color w:val="auto"/>
          <w:highlight w:val="none"/>
        </w:rPr>
        <w:t>(12) 返矿线</w:t>
      </w:r>
    </w:p>
    <w:p w14:paraId="6B754103">
      <w:pPr>
        <w:shd w:val="clear"/>
        <w:snapToGrid w:val="0"/>
        <w:spacing w:line="312" w:lineRule="auto"/>
        <w:rPr>
          <w:rFonts w:cs="Times New Roman"/>
          <w:color w:val="auto"/>
          <w:highlight w:val="none"/>
        </w:rPr>
      </w:pPr>
      <w:r>
        <w:rPr>
          <w:rFonts w:hint="eastAsia" w:cs="Times New Roman"/>
          <w:color w:val="auto"/>
          <w:highlight w:val="none"/>
        </w:rPr>
        <w:t>新建FA 、FB皮带机机尾地坑平面尺寸7m</w:t>
      </w:r>
      <w:r>
        <w:rPr>
          <w:rFonts w:cs="Times New Roman"/>
          <w:color w:val="auto"/>
          <w:highlight w:val="none"/>
        </w:rPr>
        <w:t>×</w:t>
      </w:r>
      <w:r>
        <w:rPr>
          <w:rFonts w:hint="eastAsia" w:cs="Times New Roman"/>
          <w:color w:val="auto"/>
          <w:highlight w:val="none"/>
        </w:rPr>
        <w:t>7m，坑底标高-3.740。采用防水钢筋混凝土结构。</w:t>
      </w:r>
    </w:p>
    <w:p w14:paraId="26B36107">
      <w:pPr>
        <w:shd w:val="clear"/>
        <w:snapToGrid w:val="0"/>
        <w:spacing w:line="312" w:lineRule="auto"/>
        <w:rPr>
          <w:rFonts w:hAnsi="Times New Roman" w:cs="Times New Roman"/>
          <w:color w:val="auto"/>
          <w:sz w:val="18"/>
          <w:highlight w:val="none"/>
        </w:rPr>
      </w:pPr>
      <w:r>
        <w:rPr>
          <w:rFonts w:hint="eastAsia" w:cs="Times New Roman"/>
          <w:color w:val="auto"/>
          <w:highlight w:val="none"/>
        </w:rPr>
        <w:t>新建FA 及FB双皮带机通廊净宽6.2m，净高2.2m，桥面标高0.000m~19.930m。通廊采用压型钢板围护，结构形式为钢桁架。</w:t>
      </w:r>
    </w:p>
    <w:p w14:paraId="486B7E7B">
      <w:pPr>
        <w:shd w:val="clear"/>
        <w:jc w:val="both"/>
        <w:rPr>
          <w:rFonts w:cs="Times New Roman"/>
          <w:color w:val="auto"/>
          <w:highlight w:val="none"/>
        </w:rPr>
      </w:pPr>
      <w:r>
        <w:rPr>
          <w:rFonts w:hint="eastAsia" w:cs="Times New Roman"/>
          <w:color w:val="auto"/>
          <w:highlight w:val="none"/>
        </w:rPr>
        <w:t>10）建构筑物拆除</w:t>
      </w:r>
    </w:p>
    <w:p w14:paraId="75798104">
      <w:pPr>
        <w:shd w:val="clear"/>
        <w:jc w:val="both"/>
        <w:rPr>
          <w:rFonts w:cs="Times New Roman"/>
          <w:color w:val="auto"/>
          <w:highlight w:val="none"/>
        </w:rPr>
      </w:pPr>
      <w:r>
        <w:rPr>
          <w:rFonts w:hint="eastAsia" w:cs="Times New Roman"/>
          <w:color w:val="auto"/>
          <w:highlight w:val="none"/>
        </w:rPr>
        <w:t>既有两条砖混通廊及砖混配电室需要拆除。</w:t>
      </w:r>
    </w:p>
    <w:p w14:paraId="77A11715">
      <w:pPr>
        <w:pStyle w:val="17"/>
        <w:shd w:val="clear"/>
        <w:ind w:firstLine="0" w:firstLineChars="0"/>
        <w:rPr>
          <w:b w:val="0"/>
          <w:bCs w:val="0"/>
          <w:color w:val="auto"/>
          <w:highlight w:val="none"/>
        </w:rPr>
      </w:pPr>
      <w:bookmarkStart w:id="1606" w:name="_Toc32050"/>
      <w:bookmarkStart w:id="1607" w:name="_Toc6730"/>
      <w:bookmarkStart w:id="1608" w:name="_Toc215"/>
      <w:bookmarkStart w:id="1609" w:name="_Toc192"/>
      <w:bookmarkStart w:id="1610" w:name="_Toc70093515"/>
      <w:bookmarkStart w:id="1611" w:name="_Toc9660"/>
      <w:r>
        <w:rPr>
          <w:rFonts w:hint="eastAsia" w:hAnsi="Times New Roman" w:cs="Times New Roman"/>
          <w:b w:val="0"/>
          <w:bCs w:val="0"/>
          <w:color w:val="auto"/>
          <w:sz w:val="24"/>
          <w:szCs w:val="24"/>
          <w:highlight w:val="none"/>
        </w:rPr>
        <w:t>（1</w:t>
      </w:r>
      <w:r>
        <w:rPr>
          <w:rFonts w:hint="eastAsia" w:hAnsi="Times New Roman" w:cs="Times New Roman"/>
          <w:b w:val="0"/>
          <w:bCs w:val="0"/>
          <w:color w:val="auto"/>
          <w:sz w:val="24"/>
          <w:szCs w:val="24"/>
          <w:highlight w:val="none"/>
          <w:lang w:val="en-US" w:eastAsia="zh-CN"/>
        </w:rPr>
        <w:t>5</w:t>
      </w:r>
      <w:r>
        <w:rPr>
          <w:rFonts w:hint="eastAsia" w:hAnsi="Times New Roman" w:cs="Times New Roman"/>
          <w:b w:val="0"/>
          <w:bCs w:val="0"/>
          <w:color w:val="auto"/>
          <w:sz w:val="24"/>
          <w:szCs w:val="24"/>
          <w:highlight w:val="none"/>
        </w:rPr>
        <w:t>）建构筑物一览表</w:t>
      </w:r>
    </w:p>
    <w:p w14:paraId="549BD8BA">
      <w:pPr>
        <w:shd w:val="clear"/>
        <w:ind w:firstLine="0" w:firstLineChars="0"/>
        <w:jc w:val="center"/>
        <w:rPr>
          <w:rFonts w:ascii="Times New Roman" w:hAnsi="Times New Roman"/>
          <w:color w:val="auto"/>
          <w:highlight w:val="none"/>
        </w:rPr>
      </w:pPr>
      <w:r>
        <w:rPr>
          <w:rFonts w:hint="eastAsia"/>
          <w:color w:val="auto"/>
          <w:highlight w:val="none"/>
        </w:rPr>
        <w:t>建构筑物一览表</w:t>
      </w:r>
    </w:p>
    <w:tbl>
      <w:tblPr>
        <w:tblStyle w:val="60"/>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52"/>
        <w:gridCol w:w="1246"/>
        <w:gridCol w:w="1453"/>
        <w:gridCol w:w="897"/>
        <w:gridCol w:w="850"/>
        <w:gridCol w:w="426"/>
        <w:gridCol w:w="708"/>
        <w:gridCol w:w="567"/>
        <w:gridCol w:w="478"/>
        <w:gridCol w:w="1101"/>
      </w:tblGrid>
      <w:tr w14:paraId="52AC99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vAlign w:val="center"/>
          </w:tcPr>
          <w:p w14:paraId="68AA8D74">
            <w:pPr>
              <w:shd w:val="clear"/>
              <w:spacing w:line="240" w:lineRule="auto"/>
              <w:ind w:firstLine="0" w:firstLineChars="0"/>
              <w:jc w:val="center"/>
              <w:rPr>
                <w:rFonts w:ascii="Times New Roman" w:hAnsi="Times New Roman"/>
                <w:color w:val="auto"/>
                <w:sz w:val="21"/>
                <w:szCs w:val="21"/>
                <w:highlight w:val="none"/>
              </w:rPr>
            </w:pPr>
            <w:r>
              <w:rPr>
                <w:color w:val="auto"/>
                <w:sz w:val="21"/>
                <w:szCs w:val="20"/>
                <w:highlight w:val="none"/>
              </w:rPr>
              <w:t>序号</w:t>
            </w:r>
          </w:p>
        </w:tc>
        <w:tc>
          <w:tcPr>
            <w:tcW w:w="1246" w:type="dxa"/>
            <w:vMerge w:val="restart"/>
            <w:tcBorders>
              <w:top w:val="single" w:color="000000" w:sz="4" w:space="0"/>
              <w:left w:val="nil"/>
              <w:bottom w:val="single" w:color="000000" w:sz="4" w:space="0"/>
              <w:right w:val="single" w:color="000000" w:sz="4" w:space="0"/>
            </w:tcBorders>
            <w:vAlign w:val="center"/>
          </w:tcPr>
          <w:p w14:paraId="375979B6">
            <w:pPr>
              <w:shd w:val="clear"/>
              <w:spacing w:line="240" w:lineRule="auto"/>
              <w:ind w:firstLine="0" w:firstLineChars="0"/>
              <w:jc w:val="center"/>
              <w:rPr>
                <w:rFonts w:ascii="Times New Roman" w:hAnsi="Times New Roman"/>
                <w:color w:val="auto"/>
                <w:sz w:val="21"/>
                <w:szCs w:val="20"/>
                <w:highlight w:val="none"/>
              </w:rPr>
            </w:pPr>
            <w:r>
              <w:rPr>
                <w:color w:val="auto"/>
                <w:sz w:val="21"/>
                <w:szCs w:val="20"/>
                <w:highlight w:val="none"/>
              </w:rPr>
              <w:t>名称</w:t>
            </w:r>
          </w:p>
        </w:tc>
        <w:tc>
          <w:tcPr>
            <w:tcW w:w="1453" w:type="dxa"/>
            <w:tcBorders>
              <w:top w:val="single" w:color="000000" w:sz="4" w:space="0"/>
              <w:left w:val="nil"/>
              <w:bottom w:val="single" w:color="000000" w:sz="4" w:space="0"/>
              <w:right w:val="single" w:color="000000" w:sz="4" w:space="0"/>
            </w:tcBorders>
            <w:vAlign w:val="center"/>
          </w:tcPr>
          <w:p w14:paraId="7005E3B4">
            <w:pPr>
              <w:shd w:val="clear"/>
              <w:spacing w:line="240" w:lineRule="auto"/>
              <w:ind w:firstLine="0" w:firstLineChars="0"/>
              <w:jc w:val="center"/>
              <w:rPr>
                <w:rFonts w:ascii="Times New Roman" w:hAnsi="Times New Roman"/>
                <w:color w:val="auto"/>
                <w:sz w:val="21"/>
                <w:szCs w:val="20"/>
                <w:highlight w:val="none"/>
              </w:rPr>
            </w:pPr>
            <w:r>
              <w:rPr>
                <w:color w:val="auto"/>
                <w:sz w:val="21"/>
                <w:szCs w:val="20"/>
                <w:highlight w:val="none"/>
              </w:rPr>
              <w:t>平面尺寸</w:t>
            </w:r>
          </w:p>
        </w:tc>
        <w:tc>
          <w:tcPr>
            <w:tcW w:w="897" w:type="dxa"/>
            <w:vMerge w:val="restart"/>
            <w:tcBorders>
              <w:top w:val="single" w:color="000000" w:sz="4" w:space="0"/>
              <w:left w:val="nil"/>
              <w:bottom w:val="single" w:color="000000" w:sz="4" w:space="0"/>
              <w:right w:val="single" w:color="000000" w:sz="4" w:space="0"/>
            </w:tcBorders>
            <w:vAlign w:val="center"/>
          </w:tcPr>
          <w:p w14:paraId="66A627EF">
            <w:pPr>
              <w:shd w:val="clear"/>
              <w:spacing w:line="240" w:lineRule="auto"/>
              <w:ind w:firstLine="0" w:firstLineChars="0"/>
              <w:jc w:val="center"/>
              <w:rPr>
                <w:rFonts w:ascii="Times New Roman" w:hAnsi="Times New Roman"/>
                <w:color w:val="auto"/>
                <w:sz w:val="21"/>
                <w:szCs w:val="20"/>
                <w:highlight w:val="none"/>
              </w:rPr>
            </w:pPr>
            <w:r>
              <w:rPr>
                <w:rFonts w:hint="eastAsia"/>
                <w:color w:val="auto"/>
                <w:sz w:val="21"/>
                <w:szCs w:val="20"/>
                <w:highlight w:val="none"/>
              </w:rPr>
              <w:t>占地</w:t>
            </w:r>
            <w:r>
              <w:rPr>
                <w:color w:val="auto"/>
                <w:sz w:val="21"/>
                <w:szCs w:val="20"/>
                <w:highlight w:val="none"/>
              </w:rPr>
              <w:t>面积</w:t>
            </w:r>
            <w:r>
              <w:rPr>
                <w:rFonts w:ascii="Times New Roman" w:hAnsi="Times New Roman"/>
                <w:color w:val="auto"/>
                <w:sz w:val="21"/>
                <w:szCs w:val="20"/>
                <w:highlight w:val="none"/>
              </w:rPr>
              <w:t>(m</w:t>
            </w:r>
            <w:r>
              <w:rPr>
                <w:rFonts w:ascii="Times New Roman" w:hAnsi="Times New Roman"/>
                <w:color w:val="auto"/>
                <w:sz w:val="21"/>
                <w:szCs w:val="20"/>
                <w:highlight w:val="none"/>
                <w:vertAlign w:val="superscript"/>
              </w:rPr>
              <w:t>2</w:t>
            </w:r>
            <w:r>
              <w:rPr>
                <w:rFonts w:ascii="Times New Roman" w:hAnsi="Times New Roman"/>
                <w:color w:val="auto"/>
                <w:sz w:val="21"/>
                <w:szCs w:val="20"/>
                <w:highlight w:val="none"/>
              </w:rPr>
              <w:t>)</w:t>
            </w:r>
          </w:p>
        </w:tc>
        <w:tc>
          <w:tcPr>
            <w:tcW w:w="850" w:type="dxa"/>
            <w:vMerge w:val="restart"/>
            <w:tcBorders>
              <w:top w:val="single" w:color="000000" w:sz="4" w:space="0"/>
              <w:left w:val="nil"/>
              <w:bottom w:val="single" w:color="000000" w:sz="4" w:space="0"/>
              <w:right w:val="single" w:color="000000" w:sz="4" w:space="0"/>
            </w:tcBorders>
            <w:vAlign w:val="center"/>
          </w:tcPr>
          <w:p w14:paraId="0019DC6A">
            <w:pPr>
              <w:shd w:val="clear"/>
              <w:spacing w:line="240" w:lineRule="auto"/>
              <w:ind w:firstLine="0" w:firstLineChars="0"/>
              <w:rPr>
                <w:rFonts w:ascii="Times New Roman" w:hAnsi="Times New Roman"/>
                <w:color w:val="auto"/>
                <w:sz w:val="21"/>
                <w:szCs w:val="20"/>
                <w:highlight w:val="none"/>
              </w:rPr>
            </w:pPr>
            <w:r>
              <w:rPr>
                <w:rFonts w:hint="eastAsia"/>
                <w:color w:val="auto"/>
                <w:sz w:val="21"/>
                <w:szCs w:val="20"/>
                <w:highlight w:val="none"/>
              </w:rPr>
              <w:t>建筑</w:t>
            </w:r>
            <w:r>
              <w:rPr>
                <w:color w:val="auto"/>
                <w:sz w:val="21"/>
                <w:szCs w:val="20"/>
                <w:highlight w:val="none"/>
              </w:rPr>
              <w:t>面积</w:t>
            </w:r>
            <w:r>
              <w:rPr>
                <w:rFonts w:ascii="Times New Roman" w:hAnsi="Times New Roman"/>
                <w:color w:val="auto"/>
                <w:sz w:val="21"/>
                <w:szCs w:val="20"/>
                <w:highlight w:val="none"/>
              </w:rPr>
              <w:t>(m</w:t>
            </w:r>
            <w:r>
              <w:rPr>
                <w:rFonts w:ascii="Times New Roman" w:hAnsi="Times New Roman"/>
                <w:color w:val="auto"/>
                <w:sz w:val="21"/>
                <w:szCs w:val="20"/>
                <w:highlight w:val="none"/>
                <w:vertAlign w:val="superscript"/>
              </w:rPr>
              <w:t>2</w:t>
            </w:r>
            <w:r>
              <w:rPr>
                <w:rFonts w:ascii="Times New Roman" w:hAnsi="Times New Roman"/>
                <w:color w:val="auto"/>
                <w:sz w:val="21"/>
                <w:szCs w:val="20"/>
                <w:highlight w:val="none"/>
              </w:rPr>
              <w:t>)</w:t>
            </w:r>
          </w:p>
        </w:tc>
        <w:tc>
          <w:tcPr>
            <w:tcW w:w="426" w:type="dxa"/>
            <w:vMerge w:val="restart"/>
            <w:tcBorders>
              <w:top w:val="single" w:color="000000" w:sz="4" w:space="0"/>
              <w:left w:val="nil"/>
              <w:bottom w:val="single" w:color="000000" w:sz="4" w:space="0"/>
              <w:right w:val="single" w:color="000000" w:sz="4" w:space="0"/>
            </w:tcBorders>
            <w:vAlign w:val="center"/>
          </w:tcPr>
          <w:p w14:paraId="0A94E71A">
            <w:pPr>
              <w:shd w:val="clear"/>
              <w:spacing w:line="240" w:lineRule="auto"/>
              <w:ind w:firstLine="0" w:firstLineChars="0"/>
              <w:jc w:val="center"/>
              <w:rPr>
                <w:rFonts w:ascii="Times New Roman" w:hAnsi="Times New Roman"/>
                <w:color w:val="auto"/>
                <w:sz w:val="21"/>
                <w:szCs w:val="20"/>
                <w:highlight w:val="none"/>
              </w:rPr>
            </w:pPr>
            <w:r>
              <w:rPr>
                <w:color w:val="auto"/>
                <w:sz w:val="21"/>
                <w:szCs w:val="20"/>
                <w:highlight w:val="none"/>
              </w:rPr>
              <w:t>层数</w:t>
            </w:r>
          </w:p>
        </w:tc>
        <w:tc>
          <w:tcPr>
            <w:tcW w:w="708" w:type="dxa"/>
            <w:vMerge w:val="restart"/>
            <w:tcBorders>
              <w:top w:val="single" w:color="000000" w:sz="4" w:space="0"/>
              <w:left w:val="nil"/>
              <w:bottom w:val="single" w:color="000000" w:sz="4" w:space="0"/>
              <w:right w:val="single" w:color="000000" w:sz="4" w:space="0"/>
            </w:tcBorders>
            <w:vAlign w:val="center"/>
          </w:tcPr>
          <w:p w14:paraId="46C8927E">
            <w:pPr>
              <w:shd w:val="clear"/>
              <w:spacing w:line="240" w:lineRule="auto"/>
              <w:ind w:firstLine="0" w:firstLineChars="0"/>
              <w:jc w:val="center"/>
              <w:rPr>
                <w:rFonts w:ascii="Times New Roman" w:hAnsi="Times New Roman"/>
                <w:color w:val="auto"/>
                <w:sz w:val="21"/>
                <w:szCs w:val="20"/>
                <w:highlight w:val="none"/>
              </w:rPr>
            </w:pPr>
            <w:r>
              <w:rPr>
                <w:color w:val="auto"/>
                <w:sz w:val="21"/>
                <w:szCs w:val="20"/>
                <w:highlight w:val="none"/>
              </w:rPr>
              <w:t>檐口标高</w:t>
            </w:r>
          </w:p>
        </w:tc>
        <w:tc>
          <w:tcPr>
            <w:tcW w:w="567" w:type="dxa"/>
            <w:vMerge w:val="restart"/>
            <w:tcBorders>
              <w:top w:val="single" w:color="000000" w:sz="4" w:space="0"/>
              <w:left w:val="nil"/>
              <w:bottom w:val="single" w:color="000000" w:sz="4" w:space="0"/>
              <w:right w:val="single" w:color="000000" w:sz="4" w:space="0"/>
            </w:tcBorders>
            <w:vAlign w:val="center"/>
          </w:tcPr>
          <w:p w14:paraId="56186E30">
            <w:pPr>
              <w:shd w:val="clear"/>
              <w:spacing w:line="240" w:lineRule="auto"/>
              <w:ind w:firstLine="0" w:firstLineChars="0"/>
              <w:jc w:val="center"/>
              <w:rPr>
                <w:rFonts w:ascii="Times New Roman" w:hAnsi="Times New Roman"/>
                <w:color w:val="auto"/>
                <w:sz w:val="21"/>
                <w:szCs w:val="20"/>
                <w:highlight w:val="none"/>
              </w:rPr>
            </w:pPr>
            <w:r>
              <w:rPr>
                <w:color w:val="auto"/>
                <w:sz w:val="21"/>
                <w:szCs w:val="20"/>
                <w:highlight w:val="none"/>
              </w:rPr>
              <w:t>火灾危险性分类</w:t>
            </w:r>
          </w:p>
        </w:tc>
        <w:tc>
          <w:tcPr>
            <w:tcW w:w="478" w:type="dxa"/>
            <w:vMerge w:val="restart"/>
            <w:tcBorders>
              <w:top w:val="single" w:color="000000" w:sz="4" w:space="0"/>
              <w:left w:val="nil"/>
              <w:bottom w:val="single" w:color="000000" w:sz="4" w:space="0"/>
              <w:right w:val="single" w:color="000000" w:sz="4" w:space="0"/>
            </w:tcBorders>
            <w:vAlign w:val="center"/>
          </w:tcPr>
          <w:p w14:paraId="5710BFAF">
            <w:pPr>
              <w:shd w:val="clear"/>
              <w:spacing w:line="240" w:lineRule="auto"/>
              <w:ind w:firstLine="0" w:firstLineChars="0"/>
              <w:jc w:val="center"/>
              <w:rPr>
                <w:rFonts w:ascii="Times New Roman" w:hAnsi="Times New Roman"/>
                <w:color w:val="auto"/>
                <w:sz w:val="21"/>
                <w:szCs w:val="20"/>
                <w:highlight w:val="none"/>
              </w:rPr>
            </w:pPr>
            <w:r>
              <w:rPr>
                <w:color w:val="auto"/>
                <w:sz w:val="21"/>
                <w:szCs w:val="20"/>
                <w:highlight w:val="none"/>
              </w:rPr>
              <w:t>耐火等级</w:t>
            </w:r>
          </w:p>
        </w:tc>
        <w:tc>
          <w:tcPr>
            <w:tcW w:w="1101" w:type="dxa"/>
            <w:vMerge w:val="restart"/>
            <w:tcBorders>
              <w:top w:val="single" w:color="000000" w:sz="4" w:space="0"/>
              <w:left w:val="nil"/>
              <w:bottom w:val="single" w:color="000000" w:sz="4" w:space="0"/>
              <w:right w:val="single" w:color="000000" w:sz="4" w:space="0"/>
            </w:tcBorders>
            <w:vAlign w:val="center"/>
          </w:tcPr>
          <w:p w14:paraId="535484C4">
            <w:pPr>
              <w:shd w:val="clear"/>
              <w:spacing w:line="240" w:lineRule="auto"/>
              <w:ind w:firstLine="0" w:firstLineChars="0"/>
              <w:jc w:val="center"/>
              <w:rPr>
                <w:rFonts w:ascii="Times New Roman" w:hAnsi="Times New Roman"/>
                <w:color w:val="auto"/>
                <w:sz w:val="21"/>
                <w:szCs w:val="20"/>
                <w:highlight w:val="none"/>
              </w:rPr>
            </w:pPr>
            <w:r>
              <w:rPr>
                <w:color w:val="auto"/>
                <w:sz w:val="21"/>
                <w:szCs w:val="20"/>
                <w:highlight w:val="none"/>
              </w:rPr>
              <w:t>结构类</w:t>
            </w:r>
            <w:r>
              <w:rPr>
                <w:rFonts w:ascii="Times New Roman" w:hAnsi="Times New Roman"/>
                <w:color w:val="auto"/>
                <w:sz w:val="21"/>
                <w:szCs w:val="20"/>
                <w:highlight w:val="none"/>
              </w:rPr>
              <w:t xml:space="preserve">  </w:t>
            </w:r>
            <w:r>
              <w:rPr>
                <w:color w:val="auto"/>
                <w:sz w:val="21"/>
                <w:szCs w:val="20"/>
                <w:highlight w:val="none"/>
              </w:rPr>
              <w:t>型</w:t>
            </w:r>
          </w:p>
        </w:tc>
      </w:tr>
      <w:tr w14:paraId="120879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vAlign w:val="center"/>
          </w:tcPr>
          <w:p w14:paraId="30903BC6">
            <w:pPr>
              <w:widowControl/>
              <w:shd w:val="clear"/>
              <w:spacing w:line="240" w:lineRule="auto"/>
              <w:ind w:firstLine="0" w:firstLineChars="0"/>
              <w:rPr>
                <w:rFonts w:ascii="Times New Roman" w:hAnsi="Times New Roman"/>
                <w:color w:val="auto"/>
                <w:sz w:val="21"/>
                <w:szCs w:val="21"/>
                <w:highlight w:val="none"/>
              </w:rPr>
            </w:pPr>
          </w:p>
        </w:tc>
        <w:tc>
          <w:tcPr>
            <w:tcW w:w="1246" w:type="dxa"/>
            <w:vMerge w:val="continue"/>
            <w:tcBorders>
              <w:top w:val="single" w:color="000000" w:sz="4" w:space="0"/>
              <w:left w:val="nil"/>
              <w:bottom w:val="single" w:color="000000" w:sz="4" w:space="0"/>
              <w:right w:val="single" w:color="000000" w:sz="4" w:space="0"/>
            </w:tcBorders>
            <w:vAlign w:val="center"/>
          </w:tcPr>
          <w:p w14:paraId="597FBDF3">
            <w:pPr>
              <w:widowControl/>
              <w:shd w:val="clear"/>
              <w:spacing w:line="240" w:lineRule="auto"/>
              <w:ind w:firstLine="0" w:firstLineChars="0"/>
              <w:rPr>
                <w:rFonts w:ascii="Times New Roman" w:hAnsi="Times New Roman"/>
                <w:color w:val="auto"/>
                <w:sz w:val="21"/>
                <w:szCs w:val="21"/>
                <w:highlight w:val="none"/>
              </w:rPr>
            </w:pPr>
          </w:p>
        </w:tc>
        <w:tc>
          <w:tcPr>
            <w:tcW w:w="1453" w:type="dxa"/>
            <w:tcBorders>
              <w:top w:val="single" w:color="000000" w:sz="4" w:space="0"/>
              <w:left w:val="nil"/>
              <w:bottom w:val="single" w:color="000000" w:sz="4" w:space="0"/>
              <w:right w:val="single" w:color="000000" w:sz="4" w:space="0"/>
            </w:tcBorders>
            <w:vAlign w:val="center"/>
          </w:tcPr>
          <w:p w14:paraId="75B8171B">
            <w:pPr>
              <w:shd w:val="clear"/>
              <w:spacing w:line="240" w:lineRule="auto"/>
              <w:ind w:firstLine="0" w:firstLineChars="0"/>
              <w:jc w:val="center"/>
              <w:rPr>
                <w:rFonts w:ascii="Times New Roman" w:hAnsi="Times New Roman"/>
                <w:color w:val="auto"/>
                <w:sz w:val="21"/>
                <w:szCs w:val="20"/>
                <w:highlight w:val="none"/>
              </w:rPr>
            </w:pPr>
            <w:r>
              <w:rPr>
                <w:color w:val="auto"/>
                <w:sz w:val="21"/>
                <w:szCs w:val="20"/>
                <w:highlight w:val="none"/>
              </w:rPr>
              <w:t>（长</w:t>
            </w:r>
            <w:r>
              <w:rPr>
                <w:rFonts w:ascii="Times New Roman" w:hAnsi="Times New Roman"/>
                <w:color w:val="auto"/>
                <w:sz w:val="21"/>
                <w:szCs w:val="20"/>
                <w:highlight w:val="none"/>
              </w:rPr>
              <w:t>×</w:t>
            </w:r>
            <w:r>
              <w:rPr>
                <w:color w:val="auto"/>
                <w:sz w:val="21"/>
                <w:szCs w:val="20"/>
                <w:highlight w:val="none"/>
              </w:rPr>
              <w:t>宽）</w:t>
            </w:r>
            <w:r>
              <w:rPr>
                <w:rFonts w:ascii="Times New Roman" w:hAnsi="Times New Roman"/>
                <w:color w:val="auto"/>
                <w:sz w:val="21"/>
                <w:szCs w:val="20"/>
                <w:highlight w:val="none"/>
              </w:rPr>
              <w:t>m</w:t>
            </w:r>
          </w:p>
        </w:tc>
        <w:tc>
          <w:tcPr>
            <w:tcW w:w="897" w:type="dxa"/>
            <w:vMerge w:val="continue"/>
            <w:tcBorders>
              <w:top w:val="single" w:color="000000" w:sz="4" w:space="0"/>
              <w:left w:val="nil"/>
              <w:bottom w:val="single" w:color="000000" w:sz="4" w:space="0"/>
              <w:right w:val="single" w:color="000000" w:sz="4" w:space="0"/>
            </w:tcBorders>
            <w:vAlign w:val="center"/>
          </w:tcPr>
          <w:p w14:paraId="537631B1">
            <w:pPr>
              <w:widowControl/>
              <w:shd w:val="clear"/>
              <w:spacing w:line="240" w:lineRule="auto"/>
              <w:ind w:firstLine="0" w:firstLineChars="0"/>
              <w:rPr>
                <w:rFonts w:ascii="Times New Roman" w:hAnsi="Times New Roman"/>
                <w:color w:val="auto"/>
                <w:sz w:val="21"/>
                <w:szCs w:val="21"/>
                <w:highlight w:val="none"/>
              </w:rPr>
            </w:pPr>
          </w:p>
        </w:tc>
        <w:tc>
          <w:tcPr>
            <w:tcW w:w="850" w:type="dxa"/>
            <w:vMerge w:val="continue"/>
            <w:tcBorders>
              <w:top w:val="single" w:color="000000" w:sz="4" w:space="0"/>
              <w:left w:val="nil"/>
              <w:bottom w:val="single" w:color="000000" w:sz="4" w:space="0"/>
              <w:right w:val="single" w:color="000000" w:sz="4" w:space="0"/>
            </w:tcBorders>
            <w:vAlign w:val="center"/>
          </w:tcPr>
          <w:p w14:paraId="28674E71">
            <w:pPr>
              <w:widowControl/>
              <w:shd w:val="clear"/>
              <w:spacing w:line="240" w:lineRule="auto"/>
              <w:ind w:firstLine="0" w:firstLineChars="0"/>
              <w:rPr>
                <w:rFonts w:ascii="Times New Roman" w:hAnsi="Times New Roman"/>
                <w:color w:val="auto"/>
                <w:sz w:val="21"/>
                <w:szCs w:val="21"/>
                <w:highlight w:val="none"/>
              </w:rPr>
            </w:pPr>
          </w:p>
        </w:tc>
        <w:tc>
          <w:tcPr>
            <w:tcW w:w="426" w:type="dxa"/>
            <w:vMerge w:val="continue"/>
            <w:tcBorders>
              <w:top w:val="single" w:color="000000" w:sz="4" w:space="0"/>
              <w:left w:val="nil"/>
              <w:bottom w:val="single" w:color="000000" w:sz="4" w:space="0"/>
              <w:right w:val="single" w:color="000000" w:sz="4" w:space="0"/>
            </w:tcBorders>
            <w:vAlign w:val="center"/>
          </w:tcPr>
          <w:p w14:paraId="1F6BEEC6">
            <w:pPr>
              <w:widowControl/>
              <w:shd w:val="clear"/>
              <w:spacing w:line="240" w:lineRule="auto"/>
              <w:ind w:firstLine="0" w:firstLineChars="0"/>
              <w:rPr>
                <w:rFonts w:ascii="Times New Roman" w:hAnsi="Times New Roman"/>
                <w:color w:val="auto"/>
                <w:sz w:val="21"/>
                <w:szCs w:val="21"/>
                <w:highlight w:val="none"/>
              </w:rPr>
            </w:pPr>
          </w:p>
        </w:tc>
        <w:tc>
          <w:tcPr>
            <w:tcW w:w="708" w:type="dxa"/>
            <w:vMerge w:val="continue"/>
            <w:tcBorders>
              <w:top w:val="single" w:color="000000" w:sz="4" w:space="0"/>
              <w:left w:val="nil"/>
              <w:bottom w:val="single" w:color="000000" w:sz="4" w:space="0"/>
              <w:right w:val="single" w:color="000000" w:sz="4" w:space="0"/>
            </w:tcBorders>
            <w:vAlign w:val="center"/>
          </w:tcPr>
          <w:p w14:paraId="7E6AE8E0">
            <w:pPr>
              <w:widowControl/>
              <w:shd w:val="clear"/>
              <w:spacing w:line="240" w:lineRule="auto"/>
              <w:ind w:firstLine="0" w:firstLineChars="0"/>
              <w:rPr>
                <w:rFonts w:ascii="Times New Roman" w:hAnsi="Times New Roman"/>
                <w:color w:val="auto"/>
                <w:sz w:val="21"/>
                <w:szCs w:val="21"/>
                <w:highlight w:val="none"/>
              </w:rPr>
            </w:pPr>
          </w:p>
        </w:tc>
        <w:tc>
          <w:tcPr>
            <w:tcW w:w="567" w:type="dxa"/>
            <w:vMerge w:val="continue"/>
            <w:tcBorders>
              <w:top w:val="single" w:color="000000" w:sz="4" w:space="0"/>
              <w:left w:val="nil"/>
              <w:bottom w:val="single" w:color="000000" w:sz="4" w:space="0"/>
              <w:right w:val="single" w:color="000000" w:sz="4" w:space="0"/>
            </w:tcBorders>
            <w:vAlign w:val="center"/>
          </w:tcPr>
          <w:p w14:paraId="677ECBCF">
            <w:pPr>
              <w:widowControl/>
              <w:shd w:val="clear"/>
              <w:spacing w:line="240" w:lineRule="auto"/>
              <w:ind w:firstLine="0" w:firstLineChars="0"/>
              <w:rPr>
                <w:rFonts w:ascii="Times New Roman" w:hAnsi="Times New Roman"/>
                <w:color w:val="auto"/>
                <w:sz w:val="21"/>
                <w:szCs w:val="21"/>
                <w:highlight w:val="none"/>
              </w:rPr>
            </w:pPr>
          </w:p>
        </w:tc>
        <w:tc>
          <w:tcPr>
            <w:tcW w:w="478" w:type="dxa"/>
            <w:vMerge w:val="continue"/>
            <w:tcBorders>
              <w:top w:val="single" w:color="000000" w:sz="4" w:space="0"/>
              <w:left w:val="nil"/>
              <w:bottom w:val="single" w:color="000000" w:sz="4" w:space="0"/>
              <w:right w:val="single" w:color="000000" w:sz="4" w:space="0"/>
            </w:tcBorders>
            <w:vAlign w:val="center"/>
          </w:tcPr>
          <w:p w14:paraId="6BDC70C4">
            <w:pPr>
              <w:widowControl/>
              <w:shd w:val="clear"/>
              <w:spacing w:line="240" w:lineRule="auto"/>
              <w:ind w:firstLine="0" w:firstLineChars="0"/>
              <w:rPr>
                <w:rFonts w:ascii="Times New Roman" w:hAnsi="Times New Roman"/>
                <w:color w:val="auto"/>
                <w:sz w:val="21"/>
                <w:szCs w:val="21"/>
                <w:highlight w:val="none"/>
              </w:rPr>
            </w:pPr>
          </w:p>
        </w:tc>
        <w:tc>
          <w:tcPr>
            <w:tcW w:w="1101" w:type="dxa"/>
            <w:vMerge w:val="continue"/>
            <w:tcBorders>
              <w:top w:val="single" w:color="000000" w:sz="4" w:space="0"/>
              <w:left w:val="nil"/>
              <w:bottom w:val="single" w:color="000000" w:sz="4" w:space="0"/>
              <w:right w:val="single" w:color="000000" w:sz="4" w:space="0"/>
            </w:tcBorders>
            <w:vAlign w:val="center"/>
          </w:tcPr>
          <w:p w14:paraId="78620740">
            <w:pPr>
              <w:widowControl/>
              <w:shd w:val="clear"/>
              <w:spacing w:line="240" w:lineRule="auto"/>
              <w:ind w:firstLine="0" w:firstLineChars="0"/>
              <w:rPr>
                <w:rFonts w:ascii="Times New Roman" w:hAnsi="Times New Roman"/>
                <w:color w:val="auto"/>
                <w:sz w:val="21"/>
                <w:szCs w:val="21"/>
                <w:highlight w:val="none"/>
              </w:rPr>
            </w:pPr>
          </w:p>
        </w:tc>
      </w:tr>
      <w:tr w14:paraId="0901F7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52" w:type="dxa"/>
            <w:tcBorders>
              <w:top w:val="single" w:color="000000" w:sz="4" w:space="0"/>
              <w:left w:val="single" w:color="000000" w:sz="4" w:space="0"/>
              <w:bottom w:val="single" w:color="000000" w:sz="4" w:space="0"/>
              <w:right w:val="single" w:color="000000" w:sz="4" w:space="0"/>
            </w:tcBorders>
            <w:vAlign w:val="center"/>
          </w:tcPr>
          <w:p w14:paraId="24A0DBCB">
            <w:pPr>
              <w:shd w:val="clear"/>
              <w:spacing w:line="240" w:lineRule="auto"/>
              <w:ind w:firstLine="0" w:firstLineChars="0"/>
              <w:jc w:val="center"/>
              <w:rPr>
                <w:rFonts w:ascii="Times New Roman" w:hAnsi="Times New Roman"/>
                <w:color w:val="auto"/>
                <w:sz w:val="21"/>
                <w:szCs w:val="20"/>
                <w:highlight w:val="none"/>
              </w:rPr>
            </w:pPr>
            <w:r>
              <w:rPr>
                <w:rFonts w:ascii="Times New Roman" w:hAnsi="Times New Roman"/>
                <w:color w:val="auto"/>
                <w:sz w:val="21"/>
                <w:szCs w:val="20"/>
                <w:highlight w:val="none"/>
              </w:rPr>
              <w:t>1</w:t>
            </w:r>
          </w:p>
        </w:tc>
        <w:tc>
          <w:tcPr>
            <w:tcW w:w="1246" w:type="dxa"/>
            <w:tcBorders>
              <w:top w:val="single" w:color="000000" w:sz="4" w:space="0"/>
              <w:left w:val="nil"/>
              <w:bottom w:val="single" w:color="000000" w:sz="4" w:space="0"/>
              <w:right w:val="single" w:color="000000" w:sz="4" w:space="0"/>
            </w:tcBorders>
            <w:vAlign w:val="center"/>
          </w:tcPr>
          <w:p w14:paraId="68A9CB13">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炉前液压操作室</w:t>
            </w:r>
          </w:p>
        </w:tc>
        <w:tc>
          <w:tcPr>
            <w:tcW w:w="1453" w:type="dxa"/>
            <w:tcBorders>
              <w:top w:val="single" w:color="000000" w:sz="4" w:space="0"/>
              <w:left w:val="nil"/>
              <w:bottom w:val="single" w:color="000000" w:sz="4" w:space="0"/>
              <w:right w:val="single" w:color="000000" w:sz="4" w:space="0"/>
            </w:tcBorders>
            <w:vAlign w:val="center"/>
          </w:tcPr>
          <w:p w14:paraId="734BB836">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4.2</w:t>
            </w:r>
            <w:r>
              <w:rPr>
                <w:rFonts w:ascii="Times New Roman" w:hAnsi="Times New Roman"/>
                <w:color w:val="auto"/>
                <w:sz w:val="21"/>
                <w:szCs w:val="20"/>
                <w:highlight w:val="none"/>
              </w:rPr>
              <w:t>m×</w:t>
            </w:r>
            <w:r>
              <w:rPr>
                <w:rFonts w:hint="eastAsia" w:ascii="Times New Roman" w:hAnsi="Times New Roman"/>
                <w:color w:val="auto"/>
                <w:sz w:val="21"/>
                <w:szCs w:val="20"/>
                <w:highlight w:val="none"/>
              </w:rPr>
              <w:t>3.5</w:t>
            </w:r>
            <w:r>
              <w:rPr>
                <w:rFonts w:ascii="Times New Roman" w:hAnsi="Times New Roman"/>
                <w:color w:val="auto"/>
                <w:sz w:val="21"/>
                <w:szCs w:val="20"/>
                <w:highlight w:val="none"/>
              </w:rPr>
              <w:t>m</w:t>
            </w:r>
          </w:p>
        </w:tc>
        <w:tc>
          <w:tcPr>
            <w:tcW w:w="897" w:type="dxa"/>
            <w:tcBorders>
              <w:top w:val="single" w:color="000000" w:sz="4" w:space="0"/>
              <w:left w:val="nil"/>
              <w:bottom w:val="single" w:color="000000" w:sz="4" w:space="0"/>
              <w:right w:val="single" w:color="000000" w:sz="4" w:space="0"/>
            </w:tcBorders>
            <w:vAlign w:val="center"/>
          </w:tcPr>
          <w:p w14:paraId="493E57EE">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w:t>
            </w:r>
          </w:p>
        </w:tc>
        <w:tc>
          <w:tcPr>
            <w:tcW w:w="850" w:type="dxa"/>
            <w:tcBorders>
              <w:top w:val="single" w:color="000000" w:sz="4" w:space="0"/>
              <w:left w:val="nil"/>
              <w:bottom w:val="single" w:color="000000" w:sz="4" w:space="0"/>
              <w:right w:val="single" w:color="000000" w:sz="4" w:space="0"/>
            </w:tcBorders>
            <w:vAlign w:val="center"/>
          </w:tcPr>
          <w:p w14:paraId="7EEECA9E">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14.7</w:t>
            </w:r>
          </w:p>
        </w:tc>
        <w:tc>
          <w:tcPr>
            <w:tcW w:w="426" w:type="dxa"/>
            <w:tcBorders>
              <w:top w:val="single" w:color="000000" w:sz="4" w:space="0"/>
              <w:left w:val="nil"/>
              <w:bottom w:val="single" w:color="000000" w:sz="4" w:space="0"/>
              <w:right w:val="single" w:color="000000" w:sz="4" w:space="0"/>
            </w:tcBorders>
            <w:vAlign w:val="center"/>
          </w:tcPr>
          <w:p w14:paraId="288326B6">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1</w:t>
            </w:r>
          </w:p>
        </w:tc>
        <w:tc>
          <w:tcPr>
            <w:tcW w:w="708" w:type="dxa"/>
            <w:tcBorders>
              <w:top w:val="single" w:color="000000" w:sz="4" w:space="0"/>
              <w:left w:val="nil"/>
              <w:bottom w:val="single" w:color="000000" w:sz="4" w:space="0"/>
              <w:right w:val="single" w:color="000000" w:sz="4" w:space="0"/>
            </w:tcBorders>
            <w:vAlign w:val="center"/>
          </w:tcPr>
          <w:p w14:paraId="5758E367">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3.6</w:t>
            </w:r>
          </w:p>
        </w:tc>
        <w:tc>
          <w:tcPr>
            <w:tcW w:w="567" w:type="dxa"/>
            <w:tcBorders>
              <w:top w:val="single" w:color="000000" w:sz="4" w:space="0"/>
              <w:left w:val="nil"/>
              <w:bottom w:val="single" w:color="000000" w:sz="4" w:space="0"/>
              <w:right w:val="single" w:color="000000" w:sz="4" w:space="0"/>
            </w:tcBorders>
            <w:vAlign w:val="center"/>
          </w:tcPr>
          <w:p w14:paraId="00BEEFA9">
            <w:pPr>
              <w:shd w:val="clear"/>
              <w:spacing w:line="240" w:lineRule="auto"/>
              <w:ind w:firstLine="0" w:firstLineChars="0"/>
              <w:jc w:val="center"/>
              <w:rPr>
                <w:rFonts w:ascii="Times New Roman" w:hAnsi="Times New Roman"/>
                <w:color w:val="auto"/>
                <w:sz w:val="21"/>
                <w:szCs w:val="20"/>
                <w:highlight w:val="none"/>
              </w:rPr>
            </w:pPr>
            <w:r>
              <w:rPr>
                <w:rFonts w:hint="eastAsia"/>
                <w:color w:val="auto"/>
                <w:sz w:val="21"/>
                <w:szCs w:val="20"/>
                <w:highlight w:val="none"/>
              </w:rPr>
              <w:t>丁</w:t>
            </w:r>
          </w:p>
        </w:tc>
        <w:tc>
          <w:tcPr>
            <w:tcW w:w="478" w:type="dxa"/>
            <w:tcBorders>
              <w:top w:val="single" w:color="000000" w:sz="4" w:space="0"/>
              <w:left w:val="nil"/>
              <w:bottom w:val="single" w:color="000000" w:sz="4" w:space="0"/>
              <w:right w:val="single" w:color="000000" w:sz="4" w:space="0"/>
            </w:tcBorders>
            <w:vAlign w:val="center"/>
          </w:tcPr>
          <w:p w14:paraId="2A047CF3">
            <w:pPr>
              <w:shd w:val="clear"/>
              <w:spacing w:line="240" w:lineRule="auto"/>
              <w:ind w:firstLine="0" w:firstLineChars="0"/>
              <w:jc w:val="center"/>
              <w:rPr>
                <w:rFonts w:ascii="Times New Roman" w:hAnsi="Times New Roman"/>
                <w:color w:val="auto"/>
                <w:sz w:val="21"/>
                <w:szCs w:val="20"/>
                <w:highlight w:val="none"/>
              </w:rPr>
            </w:pPr>
            <w:r>
              <w:rPr>
                <w:color w:val="auto"/>
                <w:sz w:val="21"/>
                <w:szCs w:val="20"/>
                <w:highlight w:val="none"/>
              </w:rPr>
              <w:t>二</w:t>
            </w:r>
          </w:p>
        </w:tc>
        <w:tc>
          <w:tcPr>
            <w:tcW w:w="1101" w:type="dxa"/>
            <w:tcBorders>
              <w:top w:val="single" w:color="000000" w:sz="4" w:space="0"/>
              <w:left w:val="nil"/>
              <w:bottom w:val="single" w:color="000000" w:sz="4" w:space="0"/>
              <w:right w:val="single" w:color="000000" w:sz="4" w:space="0"/>
            </w:tcBorders>
            <w:vAlign w:val="center"/>
          </w:tcPr>
          <w:p w14:paraId="19811748">
            <w:pPr>
              <w:shd w:val="clear"/>
              <w:spacing w:line="240" w:lineRule="auto"/>
              <w:ind w:firstLine="0" w:firstLineChars="0"/>
              <w:jc w:val="center"/>
              <w:rPr>
                <w:rFonts w:hint="eastAsia" w:ascii="Times New Roman" w:hAnsi="Times New Roman" w:eastAsia="宋体"/>
                <w:color w:val="auto"/>
                <w:sz w:val="21"/>
                <w:szCs w:val="20"/>
                <w:highlight w:val="none"/>
                <w:lang w:eastAsia="zh-CN"/>
              </w:rPr>
            </w:pPr>
            <w:r>
              <w:rPr>
                <w:rFonts w:hint="eastAsia" w:ascii="Times New Roman" w:hAnsi="Times New Roman"/>
                <w:color w:val="auto"/>
                <w:sz w:val="21"/>
                <w:szCs w:val="20"/>
                <w:highlight w:val="none"/>
                <w:lang w:eastAsia="zh-CN"/>
              </w:rPr>
              <w:t>钢结构</w:t>
            </w:r>
          </w:p>
        </w:tc>
      </w:tr>
      <w:tr w14:paraId="2BB74A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52" w:type="dxa"/>
            <w:tcBorders>
              <w:top w:val="single" w:color="000000" w:sz="4" w:space="0"/>
              <w:left w:val="single" w:color="000000" w:sz="4" w:space="0"/>
              <w:bottom w:val="single" w:color="000000" w:sz="4" w:space="0"/>
              <w:right w:val="single" w:color="000000" w:sz="4" w:space="0"/>
            </w:tcBorders>
            <w:vAlign w:val="center"/>
          </w:tcPr>
          <w:p w14:paraId="0CD5AA67">
            <w:pPr>
              <w:shd w:val="clear"/>
              <w:spacing w:line="240" w:lineRule="auto"/>
              <w:ind w:firstLine="0" w:firstLineChars="0"/>
              <w:jc w:val="center"/>
              <w:rPr>
                <w:rFonts w:ascii="Times New Roman" w:hAnsi="Times New Roman"/>
                <w:color w:val="auto"/>
                <w:sz w:val="21"/>
                <w:szCs w:val="20"/>
                <w:highlight w:val="none"/>
              </w:rPr>
            </w:pPr>
            <w:r>
              <w:rPr>
                <w:rFonts w:ascii="Times New Roman" w:hAnsi="Times New Roman"/>
                <w:color w:val="auto"/>
                <w:sz w:val="21"/>
                <w:szCs w:val="20"/>
                <w:highlight w:val="none"/>
              </w:rPr>
              <w:t>2</w:t>
            </w:r>
          </w:p>
        </w:tc>
        <w:tc>
          <w:tcPr>
            <w:tcW w:w="1246" w:type="dxa"/>
            <w:tcBorders>
              <w:top w:val="single" w:color="000000" w:sz="4" w:space="0"/>
              <w:left w:val="nil"/>
              <w:bottom w:val="single" w:color="000000" w:sz="4" w:space="0"/>
              <w:right w:val="single" w:color="000000" w:sz="4" w:space="0"/>
            </w:tcBorders>
            <w:vAlign w:val="center"/>
          </w:tcPr>
          <w:p w14:paraId="2B6673C7">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炉前液压操作室</w:t>
            </w:r>
          </w:p>
        </w:tc>
        <w:tc>
          <w:tcPr>
            <w:tcW w:w="1453" w:type="dxa"/>
            <w:tcBorders>
              <w:top w:val="single" w:color="000000" w:sz="4" w:space="0"/>
              <w:left w:val="nil"/>
              <w:bottom w:val="single" w:color="000000" w:sz="4" w:space="0"/>
              <w:right w:val="single" w:color="000000" w:sz="4" w:space="0"/>
            </w:tcBorders>
            <w:vAlign w:val="center"/>
          </w:tcPr>
          <w:p w14:paraId="50C5DDCD">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4.2</w:t>
            </w:r>
            <w:r>
              <w:rPr>
                <w:rFonts w:ascii="Times New Roman" w:hAnsi="Times New Roman"/>
                <w:color w:val="auto"/>
                <w:sz w:val="21"/>
                <w:szCs w:val="20"/>
                <w:highlight w:val="none"/>
              </w:rPr>
              <w:t>m×</w:t>
            </w:r>
            <w:r>
              <w:rPr>
                <w:rFonts w:hint="eastAsia" w:ascii="Times New Roman" w:hAnsi="Times New Roman"/>
                <w:color w:val="auto"/>
                <w:sz w:val="21"/>
                <w:szCs w:val="20"/>
                <w:highlight w:val="none"/>
              </w:rPr>
              <w:t>3.5</w:t>
            </w:r>
            <w:r>
              <w:rPr>
                <w:rFonts w:ascii="Times New Roman" w:hAnsi="Times New Roman"/>
                <w:color w:val="auto"/>
                <w:sz w:val="21"/>
                <w:szCs w:val="20"/>
                <w:highlight w:val="none"/>
              </w:rPr>
              <w:t>m</w:t>
            </w:r>
          </w:p>
        </w:tc>
        <w:tc>
          <w:tcPr>
            <w:tcW w:w="897" w:type="dxa"/>
            <w:tcBorders>
              <w:top w:val="single" w:color="000000" w:sz="4" w:space="0"/>
              <w:left w:val="nil"/>
              <w:bottom w:val="single" w:color="000000" w:sz="4" w:space="0"/>
              <w:right w:val="single" w:color="000000" w:sz="4" w:space="0"/>
            </w:tcBorders>
            <w:vAlign w:val="center"/>
          </w:tcPr>
          <w:p w14:paraId="33644AF3">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w:t>
            </w:r>
          </w:p>
        </w:tc>
        <w:tc>
          <w:tcPr>
            <w:tcW w:w="850" w:type="dxa"/>
            <w:tcBorders>
              <w:top w:val="single" w:color="000000" w:sz="4" w:space="0"/>
              <w:left w:val="nil"/>
              <w:bottom w:val="single" w:color="000000" w:sz="4" w:space="0"/>
              <w:right w:val="single" w:color="000000" w:sz="4" w:space="0"/>
            </w:tcBorders>
            <w:vAlign w:val="center"/>
          </w:tcPr>
          <w:p w14:paraId="7E5C0F73">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14.7</w:t>
            </w:r>
          </w:p>
        </w:tc>
        <w:tc>
          <w:tcPr>
            <w:tcW w:w="426" w:type="dxa"/>
            <w:tcBorders>
              <w:top w:val="single" w:color="000000" w:sz="4" w:space="0"/>
              <w:left w:val="nil"/>
              <w:bottom w:val="single" w:color="000000" w:sz="4" w:space="0"/>
              <w:right w:val="single" w:color="000000" w:sz="4" w:space="0"/>
            </w:tcBorders>
            <w:vAlign w:val="center"/>
          </w:tcPr>
          <w:p w14:paraId="10958C4E">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1</w:t>
            </w:r>
          </w:p>
        </w:tc>
        <w:tc>
          <w:tcPr>
            <w:tcW w:w="708" w:type="dxa"/>
            <w:tcBorders>
              <w:top w:val="single" w:color="000000" w:sz="4" w:space="0"/>
              <w:left w:val="nil"/>
              <w:bottom w:val="single" w:color="000000" w:sz="4" w:space="0"/>
              <w:right w:val="single" w:color="000000" w:sz="4" w:space="0"/>
            </w:tcBorders>
            <w:vAlign w:val="center"/>
          </w:tcPr>
          <w:p w14:paraId="27B891CF">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3.6</w:t>
            </w:r>
          </w:p>
        </w:tc>
        <w:tc>
          <w:tcPr>
            <w:tcW w:w="567" w:type="dxa"/>
            <w:tcBorders>
              <w:top w:val="single" w:color="000000" w:sz="4" w:space="0"/>
              <w:left w:val="nil"/>
              <w:bottom w:val="single" w:color="000000" w:sz="4" w:space="0"/>
              <w:right w:val="single" w:color="000000" w:sz="4" w:space="0"/>
            </w:tcBorders>
            <w:vAlign w:val="center"/>
          </w:tcPr>
          <w:p w14:paraId="3B9F8571">
            <w:pPr>
              <w:shd w:val="clear"/>
              <w:spacing w:line="240" w:lineRule="auto"/>
              <w:ind w:firstLine="0" w:firstLineChars="0"/>
              <w:jc w:val="center"/>
              <w:rPr>
                <w:rFonts w:ascii="Times New Roman" w:hAnsi="Times New Roman"/>
                <w:color w:val="auto"/>
                <w:sz w:val="21"/>
                <w:szCs w:val="20"/>
                <w:highlight w:val="none"/>
              </w:rPr>
            </w:pPr>
            <w:r>
              <w:rPr>
                <w:rFonts w:hint="eastAsia"/>
                <w:color w:val="auto"/>
                <w:sz w:val="21"/>
                <w:szCs w:val="20"/>
                <w:highlight w:val="none"/>
              </w:rPr>
              <w:t>丁</w:t>
            </w:r>
          </w:p>
        </w:tc>
        <w:tc>
          <w:tcPr>
            <w:tcW w:w="478" w:type="dxa"/>
            <w:tcBorders>
              <w:top w:val="single" w:color="000000" w:sz="4" w:space="0"/>
              <w:left w:val="nil"/>
              <w:bottom w:val="single" w:color="000000" w:sz="4" w:space="0"/>
              <w:right w:val="single" w:color="000000" w:sz="4" w:space="0"/>
            </w:tcBorders>
            <w:vAlign w:val="center"/>
          </w:tcPr>
          <w:p w14:paraId="500FC4EB">
            <w:pPr>
              <w:shd w:val="clear"/>
              <w:spacing w:line="240" w:lineRule="auto"/>
              <w:ind w:firstLine="0" w:firstLineChars="0"/>
              <w:jc w:val="center"/>
              <w:rPr>
                <w:rFonts w:ascii="Times New Roman" w:hAnsi="Times New Roman"/>
                <w:color w:val="auto"/>
                <w:sz w:val="21"/>
                <w:szCs w:val="20"/>
                <w:highlight w:val="none"/>
              </w:rPr>
            </w:pPr>
            <w:r>
              <w:rPr>
                <w:color w:val="auto"/>
                <w:sz w:val="21"/>
                <w:szCs w:val="20"/>
                <w:highlight w:val="none"/>
              </w:rPr>
              <w:t>二</w:t>
            </w:r>
          </w:p>
        </w:tc>
        <w:tc>
          <w:tcPr>
            <w:tcW w:w="1101" w:type="dxa"/>
            <w:tcBorders>
              <w:top w:val="single" w:color="000000" w:sz="4" w:space="0"/>
              <w:left w:val="nil"/>
              <w:bottom w:val="single" w:color="000000" w:sz="4" w:space="0"/>
              <w:right w:val="single" w:color="000000" w:sz="4" w:space="0"/>
            </w:tcBorders>
            <w:vAlign w:val="center"/>
          </w:tcPr>
          <w:p w14:paraId="26B39B4C">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lang w:eastAsia="zh-CN"/>
              </w:rPr>
              <w:t>钢结构</w:t>
            </w:r>
          </w:p>
        </w:tc>
      </w:tr>
      <w:tr w14:paraId="20B8BB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52" w:type="dxa"/>
            <w:tcBorders>
              <w:top w:val="single" w:color="000000" w:sz="4" w:space="0"/>
              <w:left w:val="single" w:color="000000" w:sz="4" w:space="0"/>
              <w:bottom w:val="single" w:color="000000" w:sz="4" w:space="0"/>
              <w:right w:val="single" w:color="000000" w:sz="4" w:space="0"/>
            </w:tcBorders>
            <w:vAlign w:val="center"/>
          </w:tcPr>
          <w:p w14:paraId="58C68601">
            <w:pPr>
              <w:shd w:val="clear"/>
              <w:spacing w:line="240" w:lineRule="auto"/>
              <w:ind w:firstLine="0" w:firstLineChars="0"/>
              <w:jc w:val="center"/>
              <w:rPr>
                <w:rFonts w:ascii="Times New Roman" w:hAnsi="Times New Roman"/>
                <w:color w:val="auto"/>
                <w:sz w:val="21"/>
                <w:szCs w:val="20"/>
                <w:highlight w:val="none"/>
              </w:rPr>
            </w:pPr>
            <w:r>
              <w:rPr>
                <w:rFonts w:ascii="Times New Roman" w:hAnsi="Times New Roman"/>
                <w:color w:val="auto"/>
                <w:sz w:val="21"/>
                <w:szCs w:val="20"/>
                <w:highlight w:val="none"/>
              </w:rPr>
              <w:t>3</w:t>
            </w:r>
          </w:p>
        </w:tc>
        <w:tc>
          <w:tcPr>
            <w:tcW w:w="1246" w:type="dxa"/>
            <w:tcBorders>
              <w:top w:val="single" w:color="000000" w:sz="4" w:space="0"/>
              <w:left w:val="nil"/>
              <w:bottom w:val="single" w:color="000000" w:sz="4" w:space="0"/>
              <w:right w:val="single" w:color="000000" w:sz="4" w:space="0"/>
            </w:tcBorders>
            <w:vAlign w:val="center"/>
          </w:tcPr>
          <w:p w14:paraId="7F6C7EBF">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出铁场除尘配电室</w:t>
            </w:r>
          </w:p>
        </w:tc>
        <w:tc>
          <w:tcPr>
            <w:tcW w:w="1453" w:type="dxa"/>
            <w:tcBorders>
              <w:top w:val="single" w:color="000000" w:sz="4" w:space="0"/>
              <w:left w:val="nil"/>
              <w:bottom w:val="single" w:color="000000" w:sz="4" w:space="0"/>
              <w:right w:val="single" w:color="000000" w:sz="4" w:space="0"/>
            </w:tcBorders>
            <w:vAlign w:val="center"/>
          </w:tcPr>
          <w:p w14:paraId="332B8F0F">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lang w:val="en-US" w:eastAsia="zh-CN"/>
              </w:rPr>
              <w:t>9</w:t>
            </w:r>
            <w:r>
              <w:rPr>
                <w:rFonts w:hint="eastAsia" w:ascii="Times New Roman" w:hAnsi="Times New Roman"/>
                <w:color w:val="auto"/>
                <w:sz w:val="21"/>
                <w:szCs w:val="20"/>
                <w:highlight w:val="none"/>
              </w:rPr>
              <w:t>m×2</w:t>
            </w:r>
            <w:r>
              <w:rPr>
                <w:rFonts w:hint="eastAsia" w:ascii="Times New Roman" w:hAnsi="Times New Roman"/>
                <w:color w:val="auto"/>
                <w:sz w:val="21"/>
                <w:szCs w:val="20"/>
                <w:highlight w:val="none"/>
                <w:lang w:val="en-US" w:eastAsia="zh-CN"/>
              </w:rPr>
              <w:t>5</w:t>
            </w:r>
            <w:r>
              <w:rPr>
                <w:rFonts w:hint="eastAsia" w:ascii="Times New Roman" w:hAnsi="Times New Roman"/>
                <w:color w:val="auto"/>
                <w:sz w:val="21"/>
                <w:szCs w:val="20"/>
                <w:highlight w:val="none"/>
              </w:rPr>
              <w:t>.0m</w:t>
            </w:r>
          </w:p>
        </w:tc>
        <w:tc>
          <w:tcPr>
            <w:tcW w:w="897" w:type="dxa"/>
            <w:tcBorders>
              <w:top w:val="single" w:color="000000" w:sz="4" w:space="0"/>
              <w:left w:val="nil"/>
              <w:bottom w:val="single" w:color="000000" w:sz="4" w:space="0"/>
              <w:right w:val="single" w:color="000000" w:sz="4" w:space="0"/>
            </w:tcBorders>
            <w:vAlign w:val="center"/>
          </w:tcPr>
          <w:p w14:paraId="43C91E82">
            <w:pPr>
              <w:shd w:val="clear"/>
              <w:spacing w:line="240" w:lineRule="auto"/>
              <w:ind w:firstLine="0" w:firstLineChars="0"/>
              <w:jc w:val="center"/>
              <w:rPr>
                <w:rFonts w:hint="default" w:ascii="Times New Roman" w:hAnsi="Times New Roman" w:eastAsia="宋体"/>
                <w:color w:val="auto"/>
                <w:sz w:val="21"/>
                <w:szCs w:val="20"/>
                <w:highlight w:val="none"/>
                <w:lang w:val="en-US" w:eastAsia="zh-CN"/>
              </w:rPr>
            </w:pPr>
            <w:r>
              <w:rPr>
                <w:rFonts w:hint="eastAsia" w:ascii="Times New Roman" w:hAnsi="Times New Roman"/>
                <w:color w:val="auto"/>
                <w:sz w:val="21"/>
                <w:szCs w:val="20"/>
                <w:highlight w:val="none"/>
                <w:lang w:val="en-US" w:eastAsia="zh-CN"/>
              </w:rPr>
              <w:t>225</w:t>
            </w:r>
          </w:p>
        </w:tc>
        <w:tc>
          <w:tcPr>
            <w:tcW w:w="850" w:type="dxa"/>
            <w:tcBorders>
              <w:top w:val="single" w:color="000000" w:sz="4" w:space="0"/>
              <w:left w:val="nil"/>
              <w:bottom w:val="single" w:color="000000" w:sz="4" w:space="0"/>
              <w:right w:val="single" w:color="000000" w:sz="4" w:space="0"/>
            </w:tcBorders>
            <w:vAlign w:val="center"/>
          </w:tcPr>
          <w:p w14:paraId="69D7B8E0">
            <w:pPr>
              <w:shd w:val="clear"/>
              <w:spacing w:line="240" w:lineRule="auto"/>
              <w:ind w:firstLine="0" w:firstLineChars="0"/>
              <w:jc w:val="center"/>
              <w:rPr>
                <w:rFonts w:hint="default" w:ascii="Times New Roman" w:hAnsi="Times New Roman" w:eastAsia="宋体"/>
                <w:color w:val="auto"/>
                <w:sz w:val="21"/>
                <w:szCs w:val="20"/>
                <w:highlight w:val="none"/>
                <w:lang w:val="en-US" w:eastAsia="zh-CN"/>
              </w:rPr>
            </w:pPr>
            <w:r>
              <w:rPr>
                <w:rFonts w:hint="eastAsia" w:ascii="Times New Roman" w:hAnsi="Times New Roman"/>
                <w:color w:val="auto"/>
                <w:sz w:val="21"/>
                <w:szCs w:val="20"/>
                <w:highlight w:val="none"/>
                <w:lang w:val="en-US" w:eastAsia="zh-CN"/>
              </w:rPr>
              <w:t>225</w:t>
            </w:r>
          </w:p>
        </w:tc>
        <w:tc>
          <w:tcPr>
            <w:tcW w:w="426" w:type="dxa"/>
            <w:tcBorders>
              <w:top w:val="single" w:color="000000" w:sz="4" w:space="0"/>
              <w:left w:val="nil"/>
              <w:bottom w:val="single" w:color="000000" w:sz="4" w:space="0"/>
              <w:right w:val="single" w:color="000000" w:sz="4" w:space="0"/>
            </w:tcBorders>
            <w:vAlign w:val="center"/>
          </w:tcPr>
          <w:p w14:paraId="28EF0E15">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1</w:t>
            </w:r>
          </w:p>
        </w:tc>
        <w:tc>
          <w:tcPr>
            <w:tcW w:w="708" w:type="dxa"/>
            <w:tcBorders>
              <w:top w:val="single" w:color="000000" w:sz="4" w:space="0"/>
              <w:left w:val="nil"/>
              <w:bottom w:val="single" w:color="000000" w:sz="4" w:space="0"/>
              <w:right w:val="single" w:color="000000" w:sz="4" w:space="0"/>
            </w:tcBorders>
            <w:vAlign w:val="center"/>
          </w:tcPr>
          <w:p w14:paraId="743BC417">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4.5</w:t>
            </w:r>
          </w:p>
        </w:tc>
        <w:tc>
          <w:tcPr>
            <w:tcW w:w="567" w:type="dxa"/>
            <w:tcBorders>
              <w:top w:val="single" w:color="000000" w:sz="4" w:space="0"/>
              <w:left w:val="nil"/>
              <w:bottom w:val="single" w:color="000000" w:sz="4" w:space="0"/>
              <w:right w:val="single" w:color="000000" w:sz="4" w:space="0"/>
            </w:tcBorders>
            <w:vAlign w:val="center"/>
          </w:tcPr>
          <w:p w14:paraId="2A1BDEDA">
            <w:pPr>
              <w:shd w:val="clear"/>
              <w:spacing w:line="240" w:lineRule="auto"/>
              <w:ind w:firstLine="0" w:firstLineChars="0"/>
              <w:jc w:val="center"/>
              <w:rPr>
                <w:rFonts w:ascii="Times New Roman" w:hAnsi="Times New Roman"/>
                <w:color w:val="auto"/>
                <w:sz w:val="21"/>
                <w:szCs w:val="20"/>
                <w:highlight w:val="none"/>
              </w:rPr>
            </w:pPr>
            <w:r>
              <w:rPr>
                <w:rFonts w:hint="eastAsia"/>
                <w:color w:val="auto"/>
                <w:sz w:val="21"/>
                <w:szCs w:val="20"/>
                <w:highlight w:val="none"/>
              </w:rPr>
              <w:t>丙</w:t>
            </w:r>
          </w:p>
        </w:tc>
        <w:tc>
          <w:tcPr>
            <w:tcW w:w="478" w:type="dxa"/>
            <w:tcBorders>
              <w:top w:val="single" w:color="000000" w:sz="4" w:space="0"/>
              <w:left w:val="nil"/>
              <w:bottom w:val="single" w:color="000000" w:sz="4" w:space="0"/>
              <w:right w:val="single" w:color="000000" w:sz="4" w:space="0"/>
            </w:tcBorders>
            <w:vAlign w:val="center"/>
          </w:tcPr>
          <w:p w14:paraId="7E185A06">
            <w:pPr>
              <w:shd w:val="clear"/>
              <w:spacing w:line="240" w:lineRule="auto"/>
              <w:ind w:firstLine="0" w:firstLineChars="0"/>
              <w:jc w:val="center"/>
              <w:rPr>
                <w:rFonts w:ascii="Times New Roman" w:hAnsi="Times New Roman"/>
                <w:color w:val="auto"/>
                <w:sz w:val="21"/>
                <w:szCs w:val="20"/>
                <w:highlight w:val="none"/>
              </w:rPr>
            </w:pPr>
            <w:r>
              <w:rPr>
                <w:color w:val="auto"/>
                <w:sz w:val="21"/>
                <w:szCs w:val="20"/>
                <w:highlight w:val="none"/>
              </w:rPr>
              <w:t>二</w:t>
            </w:r>
          </w:p>
        </w:tc>
        <w:tc>
          <w:tcPr>
            <w:tcW w:w="1101" w:type="dxa"/>
            <w:tcBorders>
              <w:top w:val="single" w:color="000000" w:sz="4" w:space="0"/>
              <w:left w:val="nil"/>
              <w:bottom w:val="single" w:color="000000" w:sz="4" w:space="0"/>
              <w:right w:val="single" w:color="000000" w:sz="4" w:space="0"/>
            </w:tcBorders>
            <w:vAlign w:val="center"/>
          </w:tcPr>
          <w:p w14:paraId="14594247">
            <w:pPr>
              <w:shd w:val="clear"/>
              <w:spacing w:line="240" w:lineRule="auto"/>
              <w:ind w:firstLine="0" w:firstLineChars="0"/>
              <w:jc w:val="center"/>
              <w:rPr>
                <w:rFonts w:ascii="Times New Roman" w:hAnsi="Times New Roman"/>
                <w:color w:val="auto"/>
                <w:sz w:val="21"/>
                <w:szCs w:val="20"/>
                <w:highlight w:val="none"/>
              </w:rPr>
            </w:pPr>
            <w:r>
              <w:rPr>
                <w:color w:val="auto"/>
                <w:sz w:val="21"/>
                <w:szCs w:val="20"/>
                <w:highlight w:val="none"/>
              </w:rPr>
              <w:t>框架结构</w:t>
            </w:r>
          </w:p>
        </w:tc>
      </w:tr>
      <w:tr w14:paraId="42C1D3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52" w:type="dxa"/>
            <w:tcBorders>
              <w:top w:val="single" w:color="000000" w:sz="4" w:space="0"/>
              <w:left w:val="single" w:color="000000" w:sz="4" w:space="0"/>
              <w:bottom w:val="single" w:color="000000" w:sz="4" w:space="0"/>
              <w:right w:val="single" w:color="000000" w:sz="4" w:space="0"/>
            </w:tcBorders>
            <w:vAlign w:val="center"/>
          </w:tcPr>
          <w:p w14:paraId="0520EF2E">
            <w:pPr>
              <w:shd w:val="clear"/>
              <w:spacing w:line="240" w:lineRule="auto"/>
              <w:ind w:firstLine="0" w:firstLineChars="0"/>
              <w:jc w:val="center"/>
              <w:rPr>
                <w:rFonts w:ascii="Times New Roman" w:hAnsi="Times New Roman"/>
                <w:color w:val="auto"/>
                <w:sz w:val="21"/>
                <w:szCs w:val="20"/>
                <w:highlight w:val="none"/>
              </w:rPr>
            </w:pPr>
            <w:r>
              <w:rPr>
                <w:rFonts w:ascii="Times New Roman" w:hAnsi="Times New Roman"/>
                <w:color w:val="auto"/>
                <w:sz w:val="21"/>
                <w:szCs w:val="20"/>
                <w:highlight w:val="none"/>
              </w:rPr>
              <w:t>5</w:t>
            </w:r>
          </w:p>
        </w:tc>
        <w:tc>
          <w:tcPr>
            <w:tcW w:w="1246" w:type="dxa"/>
            <w:tcBorders>
              <w:top w:val="single" w:color="000000" w:sz="4" w:space="0"/>
              <w:left w:val="nil"/>
              <w:bottom w:val="single" w:color="000000" w:sz="4" w:space="0"/>
              <w:right w:val="single" w:color="000000" w:sz="4" w:space="0"/>
            </w:tcBorders>
            <w:vAlign w:val="center"/>
          </w:tcPr>
          <w:p w14:paraId="1BF8805E">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出铁场除尘CEMS分析室</w:t>
            </w:r>
          </w:p>
        </w:tc>
        <w:tc>
          <w:tcPr>
            <w:tcW w:w="1453" w:type="dxa"/>
            <w:tcBorders>
              <w:top w:val="single" w:color="000000" w:sz="4" w:space="0"/>
              <w:left w:val="nil"/>
              <w:bottom w:val="single" w:color="000000" w:sz="4" w:space="0"/>
              <w:right w:val="single" w:color="000000" w:sz="4" w:space="0"/>
            </w:tcBorders>
            <w:vAlign w:val="center"/>
          </w:tcPr>
          <w:p w14:paraId="2A74F4D5">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4.0</w:t>
            </w:r>
            <w:r>
              <w:rPr>
                <w:rFonts w:ascii="Times New Roman" w:hAnsi="Times New Roman"/>
                <w:color w:val="auto"/>
                <w:sz w:val="21"/>
                <w:szCs w:val="20"/>
                <w:highlight w:val="none"/>
              </w:rPr>
              <w:t>m×</w:t>
            </w:r>
            <w:r>
              <w:rPr>
                <w:rFonts w:hint="eastAsia" w:ascii="Times New Roman" w:hAnsi="Times New Roman"/>
                <w:color w:val="auto"/>
                <w:sz w:val="21"/>
                <w:szCs w:val="20"/>
                <w:highlight w:val="none"/>
              </w:rPr>
              <w:t>5.0</w:t>
            </w:r>
            <w:r>
              <w:rPr>
                <w:rFonts w:ascii="Times New Roman" w:hAnsi="Times New Roman"/>
                <w:color w:val="auto"/>
                <w:sz w:val="21"/>
                <w:szCs w:val="20"/>
                <w:highlight w:val="none"/>
              </w:rPr>
              <w:t>m</w:t>
            </w:r>
          </w:p>
        </w:tc>
        <w:tc>
          <w:tcPr>
            <w:tcW w:w="897" w:type="dxa"/>
            <w:tcBorders>
              <w:top w:val="single" w:color="000000" w:sz="4" w:space="0"/>
              <w:left w:val="nil"/>
              <w:bottom w:val="single" w:color="000000" w:sz="4" w:space="0"/>
              <w:right w:val="single" w:color="000000" w:sz="4" w:space="0"/>
            </w:tcBorders>
            <w:vAlign w:val="center"/>
          </w:tcPr>
          <w:p w14:paraId="7BFA5E77">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20</w:t>
            </w:r>
          </w:p>
        </w:tc>
        <w:tc>
          <w:tcPr>
            <w:tcW w:w="850" w:type="dxa"/>
            <w:tcBorders>
              <w:top w:val="single" w:color="000000" w:sz="4" w:space="0"/>
              <w:left w:val="nil"/>
              <w:bottom w:val="single" w:color="000000" w:sz="4" w:space="0"/>
              <w:right w:val="single" w:color="000000" w:sz="4" w:space="0"/>
            </w:tcBorders>
            <w:vAlign w:val="center"/>
          </w:tcPr>
          <w:p w14:paraId="1B99A600">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20</w:t>
            </w:r>
          </w:p>
        </w:tc>
        <w:tc>
          <w:tcPr>
            <w:tcW w:w="426" w:type="dxa"/>
            <w:tcBorders>
              <w:top w:val="single" w:color="000000" w:sz="4" w:space="0"/>
              <w:left w:val="nil"/>
              <w:bottom w:val="single" w:color="000000" w:sz="4" w:space="0"/>
              <w:right w:val="single" w:color="000000" w:sz="4" w:space="0"/>
            </w:tcBorders>
            <w:vAlign w:val="center"/>
          </w:tcPr>
          <w:p w14:paraId="2870295D">
            <w:pPr>
              <w:shd w:val="clear"/>
              <w:spacing w:line="240" w:lineRule="auto"/>
              <w:ind w:firstLine="0" w:firstLineChars="0"/>
              <w:jc w:val="center"/>
              <w:rPr>
                <w:rFonts w:ascii="Times New Roman" w:hAnsi="Times New Roman"/>
                <w:color w:val="auto"/>
                <w:sz w:val="21"/>
                <w:szCs w:val="20"/>
                <w:highlight w:val="none"/>
              </w:rPr>
            </w:pPr>
            <w:r>
              <w:rPr>
                <w:rFonts w:ascii="Times New Roman" w:hAnsi="Times New Roman"/>
                <w:color w:val="auto"/>
                <w:sz w:val="21"/>
                <w:szCs w:val="20"/>
                <w:highlight w:val="none"/>
              </w:rPr>
              <w:t>1</w:t>
            </w:r>
          </w:p>
        </w:tc>
        <w:tc>
          <w:tcPr>
            <w:tcW w:w="708" w:type="dxa"/>
            <w:tcBorders>
              <w:top w:val="single" w:color="000000" w:sz="4" w:space="0"/>
              <w:left w:val="nil"/>
              <w:bottom w:val="single" w:color="000000" w:sz="4" w:space="0"/>
              <w:right w:val="single" w:color="000000" w:sz="4" w:space="0"/>
            </w:tcBorders>
            <w:vAlign w:val="center"/>
          </w:tcPr>
          <w:p w14:paraId="48750B06">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3.6</w:t>
            </w:r>
          </w:p>
        </w:tc>
        <w:tc>
          <w:tcPr>
            <w:tcW w:w="567" w:type="dxa"/>
            <w:tcBorders>
              <w:top w:val="single" w:color="000000" w:sz="4" w:space="0"/>
              <w:left w:val="nil"/>
              <w:bottom w:val="single" w:color="000000" w:sz="4" w:space="0"/>
              <w:right w:val="single" w:color="000000" w:sz="4" w:space="0"/>
            </w:tcBorders>
            <w:vAlign w:val="center"/>
          </w:tcPr>
          <w:p w14:paraId="2384E224">
            <w:pPr>
              <w:shd w:val="clear"/>
              <w:spacing w:line="240" w:lineRule="auto"/>
              <w:ind w:firstLine="0" w:firstLineChars="0"/>
              <w:jc w:val="center"/>
              <w:rPr>
                <w:rFonts w:ascii="Times New Roman" w:hAnsi="Times New Roman"/>
                <w:color w:val="auto"/>
                <w:sz w:val="21"/>
                <w:szCs w:val="20"/>
                <w:highlight w:val="none"/>
              </w:rPr>
            </w:pPr>
            <w:r>
              <w:rPr>
                <w:rFonts w:hint="eastAsia"/>
                <w:color w:val="auto"/>
                <w:sz w:val="21"/>
                <w:szCs w:val="20"/>
                <w:highlight w:val="none"/>
              </w:rPr>
              <w:t>丁</w:t>
            </w:r>
          </w:p>
        </w:tc>
        <w:tc>
          <w:tcPr>
            <w:tcW w:w="478" w:type="dxa"/>
            <w:tcBorders>
              <w:top w:val="single" w:color="000000" w:sz="4" w:space="0"/>
              <w:left w:val="nil"/>
              <w:bottom w:val="single" w:color="000000" w:sz="4" w:space="0"/>
              <w:right w:val="single" w:color="000000" w:sz="4" w:space="0"/>
            </w:tcBorders>
            <w:vAlign w:val="center"/>
          </w:tcPr>
          <w:p w14:paraId="748C52DC">
            <w:pPr>
              <w:shd w:val="clear"/>
              <w:spacing w:line="240" w:lineRule="auto"/>
              <w:ind w:firstLine="0" w:firstLineChars="0"/>
              <w:jc w:val="center"/>
              <w:rPr>
                <w:rFonts w:ascii="Times New Roman" w:hAnsi="Times New Roman"/>
                <w:color w:val="auto"/>
                <w:sz w:val="21"/>
                <w:szCs w:val="20"/>
                <w:highlight w:val="none"/>
              </w:rPr>
            </w:pPr>
            <w:r>
              <w:rPr>
                <w:color w:val="auto"/>
                <w:sz w:val="21"/>
                <w:szCs w:val="20"/>
                <w:highlight w:val="none"/>
              </w:rPr>
              <w:t>二</w:t>
            </w:r>
          </w:p>
        </w:tc>
        <w:tc>
          <w:tcPr>
            <w:tcW w:w="1101" w:type="dxa"/>
            <w:tcBorders>
              <w:top w:val="single" w:color="000000" w:sz="4" w:space="0"/>
              <w:left w:val="nil"/>
              <w:bottom w:val="single" w:color="000000" w:sz="4" w:space="0"/>
              <w:right w:val="single" w:color="000000" w:sz="4" w:space="0"/>
            </w:tcBorders>
            <w:vAlign w:val="center"/>
          </w:tcPr>
          <w:p w14:paraId="46D6F463">
            <w:pPr>
              <w:shd w:val="clear"/>
              <w:spacing w:line="240" w:lineRule="auto"/>
              <w:ind w:firstLine="0" w:firstLineChars="0"/>
              <w:jc w:val="center"/>
              <w:rPr>
                <w:rFonts w:ascii="Times New Roman" w:hAnsi="Times New Roman"/>
                <w:color w:val="auto"/>
                <w:sz w:val="21"/>
                <w:szCs w:val="20"/>
                <w:highlight w:val="none"/>
              </w:rPr>
            </w:pPr>
            <w:r>
              <w:rPr>
                <w:rFonts w:hint="eastAsia"/>
                <w:color w:val="auto"/>
                <w:sz w:val="21"/>
                <w:szCs w:val="20"/>
                <w:highlight w:val="none"/>
              </w:rPr>
              <w:t>砖混结构</w:t>
            </w:r>
          </w:p>
        </w:tc>
      </w:tr>
      <w:tr w14:paraId="3C0A62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79" w:hRule="atLeast"/>
          <w:jc w:val="center"/>
        </w:trPr>
        <w:tc>
          <w:tcPr>
            <w:tcW w:w="652" w:type="dxa"/>
            <w:tcBorders>
              <w:top w:val="single" w:color="000000" w:sz="4" w:space="0"/>
              <w:left w:val="single" w:color="000000" w:sz="4" w:space="0"/>
              <w:bottom w:val="single" w:color="000000" w:sz="4" w:space="0"/>
              <w:right w:val="single" w:color="000000" w:sz="4" w:space="0"/>
            </w:tcBorders>
            <w:vAlign w:val="center"/>
          </w:tcPr>
          <w:p w14:paraId="5F79087C">
            <w:pPr>
              <w:shd w:val="clear"/>
              <w:spacing w:line="240" w:lineRule="auto"/>
              <w:ind w:firstLine="0" w:firstLineChars="0"/>
              <w:jc w:val="center"/>
              <w:rPr>
                <w:rFonts w:ascii="Times New Roman" w:hAnsi="Times New Roman"/>
                <w:color w:val="auto"/>
                <w:sz w:val="21"/>
                <w:szCs w:val="20"/>
                <w:highlight w:val="none"/>
              </w:rPr>
            </w:pPr>
            <w:r>
              <w:rPr>
                <w:rFonts w:ascii="Times New Roman" w:hAnsi="Times New Roman"/>
                <w:color w:val="auto"/>
                <w:sz w:val="21"/>
                <w:szCs w:val="20"/>
                <w:highlight w:val="none"/>
              </w:rPr>
              <w:t>6</w:t>
            </w:r>
          </w:p>
        </w:tc>
        <w:tc>
          <w:tcPr>
            <w:tcW w:w="1246" w:type="dxa"/>
            <w:tcBorders>
              <w:top w:val="single" w:color="000000" w:sz="4" w:space="0"/>
              <w:left w:val="nil"/>
              <w:bottom w:val="single" w:color="000000" w:sz="4" w:space="0"/>
              <w:right w:val="single" w:color="000000" w:sz="4" w:space="0"/>
            </w:tcBorders>
            <w:vAlign w:val="center"/>
          </w:tcPr>
          <w:p w14:paraId="3302F49F">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矿槽除尘CEMS分析室</w:t>
            </w:r>
          </w:p>
        </w:tc>
        <w:tc>
          <w:tcPr>
            <w:tcW w:w="1453" w:type="dxa"/>
            <w:tcBorders>
              <w:top w:val="single" w:color="000000" w:sz="4" w:space="0"/>
              <w:left w:val="nil"/>
              <w:bottom w:val="single" w:color="000000" w:sz="4" w:space="0"/>
              <w:right w:val="single" w:color="000000" w:sz="4" w:space="0"/>
            </w:tcBorders>
            <w:vAlign w:val="center"/>
          </w:tcPr>
          <w:p w14:paraId="7A66BDD5">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4.0</w:t>
            </w:r>
            <w:r>
              <w:rPr>
                <w:rFonts w:ascii="Times New Roman" w:hAnsi="Times New Roman"/>
                <w:color w:val="auto"/>
                <w:sz w:val="21"/>
                <w:szCs w:val="20"/>
                <w:highlight w:val="none"/>
              </w:rPr>
              <w:t>m×</w:t>
            </w:r>
            <w:r>
              <w:rPr>
                <w:rFonts w:hint="eastAsia" w:ascii="Times New Roman" w:hAnsi="Times New Roman"/>
                <w:color w:val="auto"/>
                <w:sz w:val="21"/>
                <w:szCs w:val="20"/>
                <w:highlight w:val="none"/>
              </w:rPr>
              <w:t>5.0</w:t>
            </w:r>
            <w:r>
              <w:rPr>
                <w:rFonts w:ascii="Times New Roman" w:hAnsi="Times New Roman"/>
                <w:color w:val="auto"/>
                <w:sz w:val="21"/>
                <w:szCs w:val="20"/>
                <w:highlight w:val="none"/>
              </w:rPr>
              <w:t>m</w:t>
            </w:r>
          </w:p>
        </w:tc>
        <w:tc>
          <w:tcPr>
            <w:tcW w:w="897" w:type="dxa"/>
            <w:tcBorders>
              <w:top w:val="single" w:color="000000" w:sz="4" w:space="0"/>
              <w:left w:val="nil"/>
              <w:bottom w:val="single" w:color="000000" w:sz="4" w:space="0"/>
              <w:right w:val="single" w:color="000000" w:sz="4" w:space="0"/>
            </w:tcBorders>
            <w:vAlign w:val="center"/>
          </w:tcPr>
          <w:p w14:paraId="34C445A2">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20</w:t>
            </w:r>
          </w:p>
        </w:tc>
        <w:tc>
          <w:tcPr>
            <w:tcW w:w="850" w:type="dxa"/>
            <w:tcBorders>
              <w:top w:val="single" w:color="000000" w:sz="4" w:space="0"/>
              <w:left w:val="nil"/>
              <w:bottom w:val="single" w:color="000000" w:sz="4" w:space="0"/>
              <w:right w:val="single" w:color="000000" w:sz="4" w:space="0"/>
            </w:tcBorders>
            <w:vAlign w:val="center"/>
          </w:tcPr>
          <w:p w14:paraId="60FD478E">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20</w:t>
            </w:r>
          </w:p>
        </w:tc>
        <w:tc>
          <w:tcPr>
            <w:tcW w:w="426" w:type="dxa"/>
            <w:tcBorders>
              <w:top w:val="single" w:color="000000" w:sz="4" w:space="0"/>
              <w:left w:val="nil"/>
              <w:bottom w:val="single" w:color="000000" w:sz="4" w:space="0"/>
              <w:right w:val="single" w:color="000000" w:sz="4" w:space="0"/>
            </w:tcBorders>
            <w:vAlign w:val="center"/>
          </w:tcPr>
          <w:p w14:paraId="10F24B24">
            <w:pPr>
              <w:shd w:val="clear"/>
              <w:spacing w:line="240" w:lineRule="auto"/>
              <w:ind w:firstLine="0" w:firstLineChars="0"/>
              <w:jc w:val="center"/>
              <w:rPr>
                <w:rFonts w:ascii="Times New Roman" w:hAnsi="Times New Roman"/>
                <w:color w:val="auto"/>
                <w:sz w:val="21"/>
                <w:szCs w:val="20"/>
                <w:highlight w:val="none"/>
              </w:rPr>
            </w:pPr>
            <w:r>
              <w:rPr>
                <w:rFonts w:ascii="Times New Roman" w:hAnsi="Times New Roman"/>
                <w:color w:val="auto"/>
                <w:sz w:val="21"/>
                <w:szCs w:val="20"/>
                <w:highlight w:val="none"/>
              </w:rPr>
              <w:t>1</w:t>
            </w:r>
          </w:p>
        </w:tc>
        <w:tc>
          <w:tcPr>
            <w:tcW w:w="708" w:type="dxa"/>
            <w:tcBorders>
              <w:top w:val="single" w:color="000000" w:sz="4" w:space="0"/>
              <w:left w:val="nil"/>
              <w:bottom w:val="single" w:color="000000" w:sz="4" w:space="0"/>
              <w:right w:val="single" w:color="000000" w:sz="4" w:space="0"/>
            </w:tcBorders>
            <w:vAlign w:val="center"/>
          </w:tcPr>
          <w:p w14:paraId="7E20132D">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3.6</w:t>
            </w:r>
          </w:p>
        </w:tc>
        <w:tc>
          <w:tcPr>
            <w:tcW w:w="567" w:type="dxa"/>
            <w:tcBorders>
              <w:top w:val="single" w:color="000000" w:sz="4" w:space="0"/>
              <w:left w:val="nil"/>
              <w:bottom w:val="single" w:color="000000" w:sz="4" w:space="0"/>
              <w:right w:val="single" w:color="000000" w:sz="4" w:space="0"/>
            </w:tcBorders>
            <w:vAlign w:val="center"/>
          </w:tcPr>
          <w:p w14:paraId="69D3A224">
            <w:pPr>
              <w:shd w:val="clear"/>
              <w:spacing w:line="240" w:lineRule="auto"/>
              <w:ind w:firstLine="0" w:firstLineChars="0"/>
              <w:jc w:val="center"/>
              <w:rPr>
                <w:rFonts w:ascii="Times New Roman" w:hAnsi="Times New Roman"/>
                <w:color w:val="auto"/>
                <w:sz w:val="21"/>
                <w:szCs w:val="20"/>
                <w:highlight w:val="none"/>
              </w:rPr>
            </w:pPr>
            <w:r>
              <w:rPr>
                <w:rFonts w:hint="eastAsia"/>
                <w:color w:val="auto"/>
                <w:sz w:val="21"/>
                <w:szCs w:val="20"/>
                <w:highlight w:val="none"/>
              </w:rPr>
              <w:t>丁</w:t>
            </w:r>
          </w:p>
        </w:tc>
        <w:tc>
          <w:tcPr>
            <w:tcW w:w="478" w:type="dxa"/>
            <w:tcBorders>
              <w:top w:val="single" w:color="000000" w:sz="4" w:space="0"/>
              <w:left w:val="nil"/>
              <w:bottom w:val="single" w:color="000000" w:sz="4" w:space="0"/>
              <w:right w:val="single" w:color="000000" w:sz="4" w:space="0"/>
            </w:tcBorders>
            <w:vAlign w:val="center"/>
          </w:tcPr>
          <w:p w14:paraId="18459A19">
            <w:pPr>
              <w:shd w:val="clear"/>
              <w:spacing w:line="240" w:lineRule="auto"/>
              <w:ind w:firstLine="0" w:firstLineChars="0"/>
              <w:jc w:val="center"/>
              <w:rPr>
                <w:rFonts w:ascii="Times New Roman" w:hAnsi="Times New Roman"/>
                <w:color w:val="auto"/>
                <w:sz w:val="21"/>
                <w:szCs w:val="20"/>
                <w:highlight w:val="none"/>
              </w:rPr>
            </w:pPr>
            <w:r>
              <w:rPr>
                <w:color w:val="auto"/>
                <w:sz w:val="21"/>
                <w:szCs w:val="20"/>
                <w:highlight w:val="none"/>
              </w:rPr>
              <w:t>二</w:t>
            </w:r>
          </w:p>
        </w:tc>
        <w:tc>
          <w:tcPr>
            <w:tcW w:w="1101" w:type="dxa"/>
            <w:tcBorders>
              <w:top w:val="single" w:color="000000" w:sz="4" w:space="0"/>
              <w:left w:val="nil"/>
              <w:bottom w:val="single" w:color="000000" w:sz="4" w:space="0"/>
              <w:right w:val="single" w:color="000000" w:sz="4" w:space="0"/>
            </w:tcBorders>
            <w:vAlign w:val="center"/>
          </w:tcPr>
          <w:p w14:paraId="7DC3CE65">
            <w:pPr>
              <w:shd w:val="clear"/>
              <w:spacing w:line="240" w:lineRule="auto"/>
              <w:ind w:firstLine="0" w:firstLineChars="0"/>
              <w:jc w:val="center"/>
              <w:rPr>
                <w:rFonts w:ascii="Times New Roman" w:hAnsi="Times New Roman"/>
                <w:color w:val="auto"/>
                <w:sz w:val="21"/>
                <w:szCs w:val="20"/>
                <w:highlight w:val="none"/>
              </w:rPr>
            </w:pPr>
            <w:r>
              <w:rPr>
                <w:rFonts w:hint="eastAsia"/>
                <w:color w:val="auto"/>
                <w:sz w:val="21"/>
                <w:szCs w:val="20"/>
                <w:highlight w:val="none"/>
              </w:rPr>
              <w:t>砖混结构</w:t>
            </w:r>
          </w:p>
        </w:tc>
      </w:tr>
      <w:tr w14:paraId="2E802F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652" w:type="dxa"/>
            <w:tcBorders>
              <w:top w:val="single" w:color="000000" w:sz="4" w:space="0"/>
              <w:left w:val="single" w:color="000000" w:sz="4" w:space="0"/>
              <w:bottom w:val="single" w:color="000000" w:sz="4" w:space="0"/>
              <w:right w:val="single" w:color="000000" w:sz="4" w:space="0"/>
            </w:tcBorders>
            <w:vAlign w:val="center"/>
          </w:tcPr>
          <w:p w14:paraId="72078F69">
            <w:pPr>
              <w:shd w:val="clear"/>
              <w:spacing w:line="240" w:lineRule="auto"/>
              <w:ind w:firstLine="0" w:firstLineChars="0"/>
              <w:jc w:val="center"/>
              <w:rPr>
                <w:rFonts w:ascii="Times New Roman" w:hAnsi="Times New Roman"/>
                <w:color w:val="auto"/>
                <w:sz w:val="21"/>
                <w:szCs w:val="20"/>
                <w:highlight w:val="none"/>
              </w:rPr>
            </w:pPr>
            <w:r>
              <w:rPr>
                <w:rFonts w:ascii="Times New Roman" w:hAnsi="Times New Roman"/>
                <w:color w:val="auto"/>
                <w:sz w:val="21"/>
                <w:szCs w:val="20"/>
                <w:highlight w:val="none"/>
              </w:rPr>
              <w:t>7</w:t>
            </w:r>
          </w:p>
        </w:tc>
        <w:tc>
          <w:tcPr>
            <w:tcW w:w="1246" w:type="dxa"/>
            <w:tcBorders>
              <w:top w:val="single" w:color="000000" w:sz="4" w:space="0"/>
              <w:left w:val="nil"/>
              <w:bottom w:val="single" w:color="000000" w:sz="4" w:space="0"/>
              <w:right w:val="single" w:color="000000" w:sz="4" w:space="0"/>
            </w:tcBorders>
            <w:vAlign w:val="center"/>
          </w:tcPr>
          <w:p w14:paraId="7395C6A9">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地沟除尘CEMS分析室</w:t>
            </w:r>
          </w:p>
        </w:tc>
        <w:tc>
          <w:tcPr>
            <w:tcW w:w="1453" w:type="dxa"/>
            <w:tcBorders>
              <w:top w:val="single" w:color="000000" w:sz="4" w:space="0"/>
              <w:left w:val="nil"/>
              <w:bottom w:val="single" w:color="000000" w:sz="4" w:space="0"/>
              <w:right w:val="single" w:color="000000" w:sz="4" w:space="0"/>
            </w:tcBorders>
            <w:vAlign w:val="center"/>
          </w:tcPr>
          <w:p w14:paraId="5D3F92C6">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4.0</w:t>
            </w:r>
            <w:r>
              <w:rPr>
                <w:rFonts w:ascii="Times New Roman" w:hAnsi="Times New Roman"/>
                <w:color w:val="auto"/>
                <w:sz w:val="21"/>
                <w:szCs w:val="20"/>
                <w:highlight w:val="none"/>
              </w:rPr>
              <w:t>m×</w:t>
            </w:r>
            <w:r>
              <w:rPr>
                <w:rFonts w:hint="eastAsia" w:ascii="Times New Roman" w:hAnsi="Times New Roman"/>
                <w:color w:val="auto"/>
                <w:sz w:val="21"/>
                <w:szCs w:val="20"/>
                <w:highlight w:val="none"/>
              </w:rPr>
              <w:t>5.0</w:t>
            </w:r>
            <w:r>
              <w:rPr>
                <w:rFonts w:ascii="Times New Roman" w:hAnsi="Times New Roman"/>
                <w:color w:val="auto"/>
                <w:sz w:val="21"/>
                <w:szCs w:val="20"/>
                <w:highlight w:val="none"/>
              </w:rPr>
              <w:t>m</w:t>
            </w:r>
          </w:p>
        </w:tc>
        <w:tc>
          <w:tcPr>
            <w:tcW w:w="897" w:type="dxa"/>
            <w:tcBorders>
              <w:top w:val="single" w:color="000000" w:sz="4" w:space="0"/>
              <w:left w:val="nil"/>
              <w:bottom w:val="single" w:color="000000" w:sz="4" w:space="0"/>
              <w:right w:val="single" w:color="000000" w:sz="4" w:space="0"/>
            </w:tcBorders>
            <w:vAlign w:val="center"/>
          </w:tcPr>
          <w:p w14:paraId="6876A00F">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20</w:t>
            </w:r>
          </w:p>
        </w:tc>
        <w:tc>
          <w:tcPr>
            <w:tcW w:w="850" w:type="dxa"/>
            <w:tcBorders>
              <w:top w:val="single" w:color="000000" w:sz="4" w:space="0"/>
              <w:left w:val="nil"/>
              <w:bottom w:val="single" w:color="000000" w:sz="4" w:space="0"/>
              <w:right w:val="single" w:color="000000" w:sz="4" w:space="0"/>
            </w:tcBorders>
            <w:vAlign w:val="center"/>
          </w:tcPr>
          <w:p w14:paraId="0C50E6DB">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20</w:t>
            </w:r>
          </w:p>
        </w:tc>
        <w:tc>
          <w:tcPr>
            <w:tcW w:w="426" w:type="dxa"/>
            <w:tcBorders>
              <w:top w:val="single" w:color="000000" w:sz="4" w:space="0"/>
              <w:left w:val="nil"/>
              <w:bottom w:val="single" w:color="000000" w:sz="4" w:space="0"/>
              <w:right w:val="single" w:color="000000" w:sz="4" w:space="0"/>
            </w:tcBorders>
            <w:vAlign w:val="center"/>
          </w:tcPr>
          <w:p w14:paraId="50EF1A09">
            <w:pPr>
              <w:shd w:val="clear"/>
              <w:spacing w:line="240" w:lineRule="auto"/>
              <w:ind w:firstLine="0" w:firstLineChars="0"/>
              <w:jc w:val="center"/>
              <w:rPr>
                <w:rFonts w:ascii="Times New Roman" w:hAnsi="Times New Roman"/>
                <w:color w:val="auto"/>
                <w:sz w:val="21"/>
                <w:szCs w:val="20"/>
                <w:highlight w:val="none"/>
              </w:rPr>
            </w:pPr>
            <w:r>
              <w:rPr>
                <w:rFonts w:ascii="Times New Roman" w:hAnsi="Times New Roman"/>
                <w:color w:val="auto"/>
                <w:sz w:val="21"/>
                <w:szCs w:val="20"/>
                <w:highlight w:val="none"/>
              </w:rPr>
              <w:t>1</w:t>
            </w:r>
          </w:p>
        </w:tc>
        <w:tc>
          <w:tcPr>
            <w:tcW w:w="708" w:type="dxa"/>
            <w:tcBorders>
              <w:top w:val="single" w:color="000000" w:sz="4" w:space="0"/>
              <w:left w:val="nil"/>
              <w:bottom w:val="single" w:color="000000" w:sz="4" w:space="0"/>
              <w:right w:val="single" w:color="000000" w:sz="4" w:space="0"/>
            </w:tcBorders>
            <w:vAlign w:val="center"/>
          </w:tcPr>
          <w:p w14:paraId="23CCF4EF">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3.6</w:t>
            </w:r>
          </w:p>
        </w:tc>
        <w:tc>
          <w:tcPr>
            <w:tcW w:w="567" w:type="dxa"/>
            <w:tcBorders>
              <w:top w:val="single" w:color="000000" w:sz="4" w:space="0"/>
              <w:left w:val="nil"/>
              <w:bottom w:val="single" w:color="000000" w:sz="4" w:space="0"/>
              <w:right w:val="single" w:color="000000" w:sz="4" w:space="0"/>
            </w:tcBorders>
            <w:vAlign w:val="center"/>
          </w:tcPr>
          <w:p w14:paraId="6E796A2B">
            <w:pPr>
              <w:shd w:val="clear"/>
              <w:spacing w:line="240" w:lineRule="auto"/>
              <w:ind w:firstLine="0" w:firstLineChars="0"/>
              <w:jc w:val="center"/>
              <w:rPr>
                <w:rFonts w:ascii="Times New Roman" w:hAnsi="Times New Roman"/>
                <w:color w:val="auto"/>
                <w:sz w:val="21"/>
                <w:szCs w:val="20"/>
                <w:highlight w:val="none"/>
              </w:rPr>
            </w:pPr>
            <w:r>
              <w:rPr>
                <w:rFonts w:hint="eastAsia"/>
                <w:color w:val="auto"/>
                <w:sz w:val="21"/>
                <w:szCs w:val="20"/>
                <w:highlight w:val="none"/>
              </w:rPr>
              <w:t>丁</w:t>
            </w:r>
          </w:p>
        </w:tc>
        <w:tc>
          <w:tcPr>
            <w:tcW w:w="478" w:type="dxa"/>
            <w:tcBorders>
              <w:top w:val="single" w:color="000000" w:sz="4" w:space="0"/>
              <w:left w:val="nil"/>
              <w:bottom w:val="single" w:color="000000" w:sz="4" w:space="0"/>
              <w:right w:val="single" w:color="000000" w:sz="4" w:space="0"/>
            </w:tcBorders>
            <w:vAlign w:val="center"/>
          </w:tcPr>
          <w:p w14:paraId="30B0507F">
            <w:pPr>
              <w:shd w:val="clear"/>
              <w:spacing w:line="240" w:lineRule="auto"/>
              <w:ind w:firstLine="0" w:firstLineChars="0"/>
              <w:jc w:val="center"/>
              <w:rPr>
                <w:rFonts w:ascii="Times New Roman" w:hAnsi="Times New Roman"/>
                <w:color w:val="auto"/>
                <w:sz w:val="21"/>
                <w:szCs w:val="20"/>
                <w:highlight w:val="none"/>
              </w:rPr>
            </w:pPr>
            <w:r>
              <w:rPr>
                <w:color w:val="auto"/>
                <w:sz w:val="21"/>
                <w:szCs w:val="20"/>
                <w:highlight w:val="none"/>
              </w:rPr>
              <w:t>二</w:t>
            </w:r>
          </w:p>
        </w:tc>
        <w:tc>
          <w:tcPr>
            <w:tcW w:w="1101" w:type="dxa"/>
            <w:tcBorders>
              <w:top w:val="single" w:color="000000" w:sz="4" w:space="0"/>
              <w:left w:val="nil"/>
              <w:bottom w:val="single" w:color="000000" w:sz="4" w:space="0"/>
              <w:right w:val="single" w:color="000000" w:sz="4" w:space="0"/>
            </w:tcBorders>
            <w:vAlign w:val="center"/>
          </w:tcPr>
          <w:p w14:paraId="142979FE">
            <w:pPr>
              <w:shd w:val="clear"/>
              <w:spacing w:line="240" w:lineRule="auto"/>
              <w:ind w:firstLine="0" w:firstLineChars="0"/>
              <w:jc w:val="center"/>
              <w:rPr>
                <w:rFonts w:ascii="Times New Roman" w:hAnsi="Times New Roman"/>
                <w:color w:val="auto"/>
                <w:sz w:val="21"/>
                <w:szCs w:val="20"/>
                <w:highlight w:val="none"/>
              </w:rPr>
            </w:pPr>
            <w:r>
              <w:rPr>
                <w:rFonts w:hint="eastAsia"/>
                <w:color w:val="auto"/>
                <w:sz w:val="21"/>
                <w:szCs w:val="20"/>
                <w:highlight w:val="none"/>
              </w:rPr>
              <w:t>砖混结构</w:t>
            </w:r>
          </w:p>
        </w:tc>
      </w:tr>
      <w:tr w14:paraId="1A715D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52" w:type="dxa"/>
            <w:tcBorders>
              <w:top w:val="single" w:color="000000" w:sz="4" w:space="0"/>
              <w:left w:val="single" w:color="000000" w:sz="4" w:space="0"/>
              <w:bottom w:val="single" w:color="000000" w:sz="4" w:space="0"/>
              <w:right w:val="single" w:color="000000" w:sz="4" w:space="0"/>
            </w:tcBorders>
            <w:vAlign w:val="center"/>
          </w:tcPr>
          <w:p w14:paraId="24269D45">
            <w:pPr>
              <w:shd w:val="clear"/>
              <w:spacing w:line="240" w:lineRule="auto"/>
              <w:ind w:firstLine="0" w:firstLineChars="0"/>
              <w:jc w:val="center"/>
              <w:rPr>
                <w:rFonts w:ascii="Times New Roman" w:hAnsi="Times New Roman"/>
                <w:color w:val="auto"/>
                <w:sz w:val="21"/>
                <w:szCs w:val="20"/>
                <w:highlight w:val="none"/>
              </w:rPr>
            </w:pPr>
            <w:r>
              <w:rPr>
                <w:rFonts w:ascii="Times New Roman" w:hAnsi="Times New Roman"/>
                <w:color w:val="auto"/>
                <w:sz w:val="21"/>
                <w:szCs w:val="20"/>
                <w:highlight w:val="none"/>
              </w:rPr>
              <w:t>8</w:t>
            </w:r>
          </w:p>
        </w:tc>
        <w:tc>
          <w:tcPr>
            <w:tcW w:w="1246" w:type="dxa"/>
            <w:tcBorders>
              <w:top w:val="single" w:color="000000" w:sz="4" w:space="0"/>
              <w:left w:val="nil"/>
              <w:bottom w:val="single" w:color="000000" w:sz="4" w:space="0"/>
              <w:right w:val="single" w:color="000000" w:sz="4" w:space="0"/>
            </w:tcBorders>
            <w:vAlign w:val="center"/>
          </w:tcPr>
          <w:p w14:paraId="6AD706E3">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1号高炉的槽上除尘CEMS分析室</w:t>
            </w:r>
          </w:p>
        </w:tc>
        <w:tc>
          <w:tcPr>
            <w:tcW w:w="1453" w:type="dxa"/>
            <w:tcBorders>
              <w:top w:val="single" w:color="000000" w:sz="4" w:space="0"/>
              <w:left w:val="nil"/>
              <w:bottom w:val="single" w:color="000000" w:sz="4" w:space="0"/>
              <w:right w:val="single" w:color="000000" w:sz="4" w:space="0"/>
            </w:tcBorders>
            <w:vAlign w:val="center"/>
          </w:tcPr>
          <w:p w14:paraId="140FFD26">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4.0</w:t>
            </w:r>
            <w:r>
              <w:rPr>
                <w:rFonts w:ascii="Times New Roman" w:hAnsi="Times New Roman"/>
                <w:color w:val="auto"/>
                <w:sz w:val="21"/>
                <w:szCs w:val="20"/>
                <w:highlight w:val="none"/>
              </w:rPr>
              <w:t>m×</w:t>
            </w:r>
            <w:r>
              <w:rPr>
                <w:rFonts w:hint="eastAsia" w:ascii="Times New Roman" w:hAnsi="Times New Roman"/>
                <w:color w:val="auto"/>
                <w:sz w:val="21"/>
                <w:szCs w:val="20"/>
                <w:highlight w:val="none"/>
              </w:rPr>
              <w:t>5.0</w:t>
            </w:r>
            <w:r>
              <w:rPr>
                <w:rFonts w:ascii="Times New Roman" w:hAnsi="Times New Roman"/>
                <w:color w:val="auto"/>
                <w:sz w:val="21"/>
                <w:szCs w:val="20"/>
                <w:highlight w:val="none"/>
              </w:rPr>
              <w:t>m</w:t>
            </w:r>
          </w:p>
        </w:tc>
        <w:tc>
          <w:tcPr>
            <w:tcW w:w="897" w:type="dxa"/>
            <w:tcBorders>
              <w:top w:val="single" w:color="000000" w:sz="4" w:space="0"/>
              <w:left w:val="nil"/>
              <w:bottom w:val="single" w:color="000000" w:sz="4" w:space="0"/>
              <w:right w:val="single" w:color="000000" w:sz="4" w:space="0"/>
            </w:tcBorders>
            <w:vAlign w:val="center"/>
          </w:tcPr>
          <w:p w14:paraId="0C0D9E02">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20</w:t>
            </w:r>
          </w:p>
        </w:tc>
        <w:tc>
          <w:tcPr>
            <w:tcW w:w="850" w:type="dxa"/>
            <w:tcBorders>
              <w:top w:val="single" w:color="000000" w:sz="4" w:space="0"/>
              <w:left w:val="nil"/>
              <w:bottom w:val="single" w:color="000000" w:sz="4" w:space="0"/>
              <w:right w:val="single" w:color="000000" w:sz="4" w:space="0"/>
            </w:tcBorders>
            <w:vAlign w:val="center"/>
          </w:tcPr>
          <w:p w14:paraId="6A6383AC">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20</w:t>
            </w:r>
          </w:p>
        </w:tc>
        <w:tc>
          <w:tcPr>
            <w:tcW w:w="426" w:type="dxa"/>
            <w:tcBorders>
              <w:top w:val="single" w:color="000000" w:sz="4" w:space="0"/>
              <w:left w:val="nil"/>
              <w:bottom w:val="single" w:color="000000" w:sz="4" w:space="0"/>
              <w:right w:val="single" w:color="000000" w:sz="4" w:space="0"/>
            </w:tcBorders>
            <w:vAlign w:val="center"/>
          </w:tcPr>
          <w:p w14:paraId="71C87475">
            <w:pPr>
              <w:shd w:val="clear"/>
              <w:spacing w:line="240" w:lineRule="auto"/>
              <w:ind w:firstLine="0" w:firstLineChars="0"/>
              <w:jc w:val="center"/>
              <w:rPr>
                <w:rFonts w:ascii="Times New Roman" w:hAnsi="Times New Roman"/>
                <w:color w:val="auto"/>
                <w:sz w:val="21"/>
                <w:szCs w:val="20"/>
                <w:highlight w:val="none"/>
              </w:rPr>
            </w:pPr>
            <w:r>
              <w:rPr>
                <w:rFonts w:ascii="Times New Roman" w:hAnsi="Times New Roman"/>
                <w:color w:val="auto"/>
                <w:sz w:val="21"/>
                <w:szCs w:val="20"/>
                <w:highlight w:val="none"/>
              </w:rPr>
              <w:t>1</w:t>
            </w:r>
          </w:p>
        </w:tc>
        <w:tc>
          <w:tcPr>
            <w:tcW w:w="708" w:type="dxa"/>
            <w:tcBorders>
              <w:top w:val="single" w:color="000000" w:sz="4" w:space="0"/>
              <w:left w:val="nil"/>
              <w:bottom w:val="single" w:color="000000" w:sz="4" w:space="0"/>
              <w:right w:val="single" w:color="000000" w:sz="4" w:space="0"/>
            </w:tcBorders>
            <w:vAlign w:val="center"/>
          </w:tcPr>
          <w:p w14:paraId="667A128E">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3.6</w:t>
            </w:r>
          </w:p>
        </w:tc>
        <w:tc>
          <w:tcPr>
            <w:tcW w:w="567" w:type="dxa"/>
            <w:tcBorders>
              <w:top w:val="single" w:color="000000" w:sz="4" w:space="0"/>
              <w:left w:val="nil"/>
              <w:bottom w:val="single" w:color="000000" w:sz="4" w:space="0"/>
              <w:right w:val="single" w:color="000000" w:sz="4" w:space="0"/>
            </w:tcBorders>
            <w:vAlign w:val="center"/>
          </w:tcPr>
          <w:p w14:paraId="54D3FCB5">
            <w:pPr>
              <w:shd w:val="clear"/>
              <w:spacing w:line="240" w:lineRule="auto"/>
              <w:ind w:firstLine="0" w:firstLineChars="0"/>
              <w:jc w:val="center"/>
              <w:rPr>
                <w:rFonts w:ascii="Times New Roman" w:hAnsi="Times New Roman"/>
                <w:color w:val="auto"/>
                <w:sz w:val="21"/>
                <w:szCs w:val="20"/>
                <w:highlight w:val="none"/>
              </w:rPr>
            </w:pPr>
            <w:r>
              <w:rPr>
                <w:rFonts w:hint="eastAsia"/>
                <w:color w:val="auto"/>
                <w:sz w:val="21"/>
                <w:szCs w:val="20"/>
                <w:highlight w:val="none"/>
              </w:rPr>
              <w:t>丁</w:t>
            </w:r>
          </w:p>
        </w:tc>
        <w:tc>
          <w:tcPr>
            <w:tcW w:w="478" w:type="dxa"/>
            <w:tcBorders>
              <w:top w:val="single" w:color="000000" w:sz="4" w:space="0"/>
              <w:left w:val="nil"/>
              <w:bottom w:val="single" w:color="000000" w:sz="4" w:space="0"/>
              <w:right w:val="single" w:color="000000" w:sz="4" w:space="0"/>
            </w:tcBorders>
            <w:vAlign w:val="center"/>
          </w:tcPr>
          <w:p w14:paraId="558C660D">
            <w:pPr>
              <w:shd w:val="clear"/>
              <w:spacing w:line="240" w:lineRule="auto"/>
              <w:ind w:firstLine="0" w:firstLineChars="0"/>
              <w:jc w:val="center"/>
              <w:rPr>
                <w:rFonts w:ascii="Times New Roman" w:hAnsi="Times New Roman"/>
                <w:color w:val="auto"/>
                <w:sz w:val="21"/>
                <w:szCs w:val="20"/>
                <w:highlight w:val="none"/>
              </w:rPr>
            </w:pPr>
            <w:r>
              <w:rPr>
                <w:color w:val="auto"/>
                <w:sz w:val="21"/>
                <w:szCs w:val="20"/>
                <w:highlight w:val="none"/>
              </w:rPr>
              <w:t>二</w:t>
            </w:r>
          </w:p>
        </w:tc>
        <w:tc>
          <w:tcPr>
            <w:tcW w:w="1101" w:type="dxa"/>
            <w:tcBorders>
              <w:top w:val="single" w:color="000000" w:sz="4" w:space="0"/>
              <w:left w:val="nil"/>
              <w:bottom w:val="single" w:color="000000" w:sz="4" w:space="0"/>
              <w:right w:val="single" w:color="000000" w:sz="4" w:space="0"/>
            </w:tcBorders>
            <w:vAlign w:val="center"/>
          </w:tcPr>
          <w:p w14:paraId="4585CF7A">
            <w:pPr>
              <w:shd w:val="clear"/>
              <w:spacing w:line="240" w:lineRule="auto"/>
              <w:ind w:firstLine="0" w:firstLineChars="0"/>
              <w:jc w:val="center"/>
              <w:rPr>
                <w:rFonts w:ascii="Times New Roman" w:hAnsi="Times New Roman"/>
                <w:color w:val="auto"/>
                <w:sz w:val="21"/>
                <w:szCs w:val="20"/>
                <w:highlight w:val="none"/>
              </w:rPr>
            </w:pPr>
            <w:r>
              <w:rPr>
                <w:rFonts w:hint="eastAsia"/>
                <w:color w:val="auto"/>
                <w:sz w:val="21"/>
                <w:szCs w:val="20"/>
                <w:highlight w:val="none"/>
              </w:rPr>
              <w:t>砖混结构</w:t>
            </w:r>
          </w:p>
        </w:tc>
      </w:tr>
    </w:tbl>
    <w:p w14:paraId="0C78958E">
      <w:pPr>
        <w:pStyle w:val="17"/>
        <w:shd w:val="clear"/>
        <w:ind w:firstLine="0" w:firstLineChars="0"/>
        <w:rPr>
          <w:rFonts w:hAnsi="Times New Roman" w:cs="Times New Roman"/>
          <w:b w:val="0"/>
          <w:bCs w:val="0"/>
          <w:color w:val="auto"/>
          <w:sz w:val="24"/>
          <w:szCs w:val="24"/>
          <w:highlight w:val="none"/>
        </w:rPr>
      </w:pPr>
      <w:r>
        <w:rPr>
          <w:rFonts w:hint="eastAsia" w:hAnsi="Times New Roman" w:cs="Times New Roman"/>
          <w:b w:val="0"/>
          <w:bCs w:val="0"/>
          <w:color w:val="auto"/>
          <w:sz w:val="24"/>
          <w:szCs w:val="24"/>
          <w:highlight w:val="none"/>
        </w:rPr>
        <w:t>（15）既有防火门更换</w:t>
      </w:r>
    </w:p>
    <w:p w14:paraId="37117F9F">
      <w:pPr>
        <w:shd w:val="clear"/>
        <w:ind w:firstLine="0" w:firstLineChars="0"/>
        <w:jc w:val="center"/>
        <w:rPr>
          <w:color w:val="auto"/>
          <w:highlight w:val="none"/>
        </w:rPr>
      </w:pPr>
      <w:r>
        <w:rPr>
          <w:rFonts w:hint="eastAsia"/>
          <w:color w:val="auto"/>
          <w:highlight w:val="none"/>
        </w:rPr>
        <w:t>2号高炉需更换甲级防火门统计</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2959"/>
        <w:gridCol w:w="3689"/>
        <w:gridCol w:w="992"/>
      </w:tblGrid>
      <w:tr w14:paraId="6D3AF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62626A21">
            <w:pPr>
              <w:widowControl/>
              <w:shd w:val="clear"/>
              <w:ind w:firstLine="0" w:firstLineChars="0"/>
              <w:jc w:val="center"/>
              <w:textAlignment w:val="center"/>
              <w:rPr>
                <w:rFonts w:cs="宋体"/>
                <w:color w:val="auto"/>
                <w:highlight w:val="none"/>
              </w:rPr>
            </w:pPr>
            <w:r>
              <w:rPr>
                <w:rFonts w:hint="eastAsia" w:ascii="Times New Roman" w:hAnsi="Times New Roman"/>
                <w:color w:val="auto"/>
                <w:sz w:val="21"/>
                <w:szCs w:val="20"/>
                <w:highlight w:val="none"/>
              </w:rPr>
              <w:t>序号</w:t>
            </w:r>
          </w:p>
        </w:tc>
        <w:tc>
          <w:tcPr>
            <w:tcW w:w="3255" w:type="dxa"/>
            <w:vAlign w:val="center"/>
          </w:tcPr>
          <w:p w14:paraId="66AAAC14">
            <w:pPr>
              <w:shd w:val="clear"/>
              <w:spacing w:line="240" w:lineRule="auto"/>
              <w:ind w:firstLine="0" w:firstLineChars="0"/>
              <w:jc w:val="center"/>
              <w:rPr>
                <w:color w:val="auto"/>
                <w:sz w:val="21"/>
                <w:szCs w:val="20"/>
                <w:highlight w:val="none"/>
              </w:rPr>
            </w:pPr>
            <w:r>
              <w:rPr>
                <w:rFonts w:hint="eastAsia"/>
                <w:color w:val="auto"/>
                <w:sz w:val="21"/>
                <w:szCs w:val="20"/>
                <w:highlight w:val="none"/>
              </w:rPr>
              <w:t>安装位置</w:t>
            </w:r>
          </w:p>
        </w:tc>
        <w:tc>
          <w:tcPr>
            <w:tcW w:w="4035" w:type="dxa"/>
            <w:vAlign w:val="center"/>
          </w:tcPr>
          <w:p w14:paraId="1B063E62">
            <w:pPr>
              <w:shd w:val="clear"/>
              <w:spacing w:line="240" w:lineRule="auto"/>
              <w:ind w:firstLine="0" w:firstLineChars="0"/>
              <w:jc w:val="center"/>
              <w:rPr>
                <w:color w:val="auto"/>
                <w:sz w:val="21"/>
                <w:szCs w:val="20"/>
                <w:highlight w:val="none"/>
              </w:rPr>
            </w:pPr>
            <w:r>
              <w:rPr>
                <w:rFonts w:hint="eastAsia"/>
                <w:color w:val="auto"/>
                <w:sz w:val="21"/>
                <w:szCs w:val="20"/>
                <w:highlight w:val="none"/>
              </w:rPr>
              <w:t>尺寸</w:t>
            </w:r>
          </w:p>
        </w:tc>
        <w:tc>
          <w:tcPr>
            <w:tcW w:w="1060" w:type="dxa"/>
            <w:vAlign w:val="center"/>
          </w:tcPr>
          <w:p w14:paraId="68AB14F1">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数量</w:t>
            </w:r>
          </w:p>
        </w:tc>
      </w:tr>
      <w:tr w14:paraId="5F1A9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768FFA02">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c>
          <w:tcPr>
            <w:tcW w:w="3255" w:type="dxa"/>
            <w:vAlign w:val="center"/>
          </w:tcPr>
          <w:p w14:paraId="2656ADD4">
            <w:pPr>
              <w:shd w:val="clear"/>
              <w:spacing w:line="240" w:lineRule="auto"/>
              <w:ind w:firstLine="0" w:firstLineChars="0"/>
              <w:jc w:val="center"/>
              <w:rPr>
                <w:color w:val="auto"/>
                <w:sz w:val="21"/>
                <w:szCs w:val="20"/>
                <w:highlight w:val="none"/>
              </w:rPr>
            </w:pPr>
            <w:r>
              <w:rPr>
                <w:rFonts w:hint="eastAsia"/>
                <w:color w:val="auto"/>
                <w:sz w:val="21"/>
                <w:szCs w:val="20"/>
                <w:highlight w:val="none"/>
              </w:rPr>
              <w:t>卷扬炉台电磁站北门</w:t>
            </w:r>
          </w:p>
        </w:tc>
        <w:tc>
          <w:tcPr>
            <w:tcW w:w="4035" w:type="dxa"/>
            <w:vAlign w:val="center"/>
          </w:tcPr>
          <w:p w14:paraId="1BB0955F">
            <w:pPr>
              <w:shd w:val="clear"/>
              <w:spacing w:line="240" w:lineRule="auto"/>
              <w:ind w:firstLine="0" w:firstLineChars="0"/>
              <w:jc w:val="center"/>
              <w:rPr>
                <w:color w:val="auto"/>
                <w:sz w:val="21"/>
                <w:szCs w:val="20"/>
                <w:highlight w:val="none"/>
              </w:rPr>
            </w:pPr>
            <w:r>
              <w:rPr>
                <w:rFonts w:hint="eastAsia"/>
                <w:color w:val="auto"/>
                <w:sz w:val="21"/>
                <w:szCs w:val="20"/>
                <w:highlight w:val="none"/>
              </w:rPr>
              <w:t>1.5m（宽）</w:t>
            </w:r>
            <w:r>
              <w:rPr>
                <w:rFonts w:ascii="Arial" w:hAnsi="Arial"/>
                <w:color w:val="auto"/>
                <w:sz w:val="21"/>
                <w:szCs w:val="20"/>
                <w:highlight w:val="none"/>
              </w:rPr>
              <w:t>×</w:t>
            </w:r>
            <w:r>
              <w:rPr>
                <w:rFonts w:hint="eastAsia"/>
                <w:color w:val="auto"/>
                <w:sz w:val="21"/>
                <w:szCs w:val="20"/>
                <w:highlight w:val="none"/>
              </w:rPr>
              <w:t>2.41m（高）(双开门)</w:t>
            </w:r>
          </w:p>
        </w:tc>
        <w:tc>
          <w:tcPr>
            <w:tcW w:w="1060" w:type="dxa"/>
            <w:vAlign w:val="center"/>
          </w:tcPr>
          <w:p w14:paraId="43D31CCD">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2F0F3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4FE5F94A">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2</w:t>
            </w:r>
          </w:p>
        </w:tc>
        <w:tc>
          <w:tcPr>
            <w:tcW w:w="3255" w:type="dxa"/>
            <w:vAlign w:val="center"/>
          </w:tcPr>
          <w:p w14:paraId="23EBE769">
            <w:pPr>
              <w:shd w:val="clear"/>
              <w:spacing w:line="240" w:lineRule="auto"/>
              <w:ind w:firstLine="0" w:firstLineChars="0"/>
              <w:jc w:val="center"/>
              <w:rPr>
                <w:color w:val="auto"/>
                <w:sz w:val="21"/>
                <w:szCs w:val="20"/>
                <w:highlight w:val="none"/>
              </w:rPr>
            </w:pPr>
            <w:r>
              <w:rPr>
                <w:rFonts w:hint="eastAsia"/>
                <w:color w:val="auto"/>
                <w:sz w:val="21"/>
                <w:szCs w:val="20"/>
                <w:highlight w:val="none"/>
              </w:rPr>
              <w:t>卷扬室北门</w:t>
            </w:r>
          </w:p>
        </w:tc>
        <w:tc>
          <w:tcPr>
            <w:tcW w:w="4035" w:type="dxa"/>
            <w:vAlign w:val="center"/>
          </w:tcPr>
          <w:p w14:paraId="0E78B15E">
            <w:pPr>
              <w:shd w:val="clear"/>
              <w:spacing w:line="240" w:lineRule="auto"/>
              <w:ind w:firstLine="0" w:firstLineChars="0"/>
              <w:jc w:val="center"/>
              <w:rPr>
                <w:color w:val="auto"/>
                <w:sz w:val="21"/>
                <w:szCs w:val="20"/>
                <w:highlight w:val="none"/>
              </w:rPr>
            </w:pPr>
            <w:r>
              <w:rPr>
                <w:rFonts w:hint="eastAsia"/>
                <w:color w:val="auto"/>
                <w:sz w:val="21"/>
                <w:szCs w:val="20"/>
                <w:highlight w:val="none"/>
              </w:rPr>
              <w:t>1.27m（宽）</w:t>
            </w:r>
            <w:r>
              <w:rPr>
                <w:rFonts w:ascii="Arial" w:hAnsi="Arial"/>
                <w:color w:val="auto"/>
                <w:sz w:val="21"/>
                <w:szCs w:val="20"/>
                <w:highlight w:val="none"/>
              </w:rPr>
              <w:t>×</w:t>
            </w:r>
            <w:r>
              <w:rPr>
                <w:rFonts w:hint="eastAsia"/>
                <w:color w:val="auto"/>
                <w:sz w:val="21"/>
                <w:szCs w:val="20"/>
                <w:highlight w:val="none"/>
              </w:rPr>
              <w:t>2.2m（高）(双开门)</w:t>
            </w:r>
          </w:p>
        </w:tc>
        <w:tc>
          <w:tcPr>
            <w:tcW w:w="1060" w:type="dxa"/>
            <w:vAlign w:val="center"/>
          </w:tcPr>
          <w:p w14:paraId="08838434">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2E1EF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0FB1E228">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3</w:t>
            </w:r>
          </w:p>
        </w:tc>
        <w:tc>
          <w:tcPr>
            <w:tcW w:w="3255" w:type="dxa"/>
            <w:vAlign w:val="center"/>
          </w:tcPr>
          <w:p w14:paraId="6E85C9BF">
            <w:pPr>
              <w:shd w:val="clear"/>
              <w:spacing w:line="240" w:lineRule="auto"/>
              <w:ind w:firstLine="0" w:firstLineChars="0"/>
              <w:jc w:val="center"/>
              <w:rPr>
                <w:color w:val="auto"/>
                <w:sz w:val="21"/>
                <w:szCs w:val="20"/>
                <w:highlight w:val="none"/>
              </w:rPr>
            </w:pPr>
            <w:r>
              <w:rPr>
                <w:rFonts w:hint="eastAsia"/>
                <w:color w:val="auto"/>
                <w:sz w:val="21"/>
                <w:szCs w:val="20"/>
                <w:highlight w:val="none"/>
              </w:rPr>
              <w:t>卷扬低压电磁站东墙北门</w:t>
            </w:r>
          </w:p>
        </w:tc>
        <w:tc>
          <w:tcPr>
            <w:tcW w:w="4035" w:type="dxa"/>
            <w:vAlign w:val="center"/>
          </w:tcPr>
          <w:p w14:paraId="2BD2EC9B">
            <w:pPr>
              <w:shd w:val="clear"/>
              <w:spacing w:line="240" w:lineRule="auto"/>
              <w:ind w:firstLine="0" w:firstLineChars="0"/>
              <w:jc w:val="center"/>
              <w:rPr>
                <w:color w:val="auto"/>
                <w:sz w:val="21"/>
                <w:szCs w:val="20"/>
                <w:highlight w:val="none"/>
              </w:rPr>
            </w:pPr>
            <w:r>
              <w:rPr>
                <w:rFonts w:hint="eastAsia"/>
                <w:color w:val="auto"/>
                <w:sz w:val="21"/>
                <w:szCs w:val="20"/>
                <w:highlight w:val="none"/>
              </w:rPr>
              <w:t>1.0m（宽）</w:t>
            </w:r>
            <w:r>
              <w:rPr>
                <w:rFonts w:ascii="Arial" w:hAnsi="Arial"/>
                <w:color w:val="auto"/>
                <w:sz w:val="21"/>
                <w:szCs w:val="20"/>
                <w:highlight w:val="none"/>
              </w:rPr>
              <w:t>×</w:t>
            </w:r>
            <w:r>
              <w:rPr>
                <w:rFonts w:hint="eastAsia"/>
                <w:color w:val="auto"/>
                <w:sz w:val="21"/>
                <w:szCs w:val="20"/>
                <w:highlight w:val="none"/>
              </w:rPr>
              <w:t>2.42m（高）(单开门)</w:t>
            </w:r>
          </w:p>
        </w:tc>
        <w:tc>
          <w:tcPr>
            <w:tcW w:w="1060" w:type="dxa"/>
            <w:vAlign w:val="center"/>
          </w:tcPr>
          <w:p w14:paraId="0524DD29">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4738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12A41E90">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4</w:t>
            </w:r>
          </w:p>
        </w:tc>
        <w:tc>
          <w:tcPr>
            <w:tcW w:w="3255" w:type="dxa"/>
            <w:vAlign w:val="center"/>
          </w:tcPr>
          <w:p w14:paraId="31ACD2D9">
            <w:pPr>
              <w:shd w:val="clear"/>
              <w:spacing w:line="240" w:lineRule="auto"/>
              <w:ind w:firstLine="0" w:firstLineChars="0"/>
              <w:jc w:val="center"/>
              <w:rPr>
                <w:color w:val="auto"/>
                <w:sz w:val="21"/>
                <w:szCs w:val="20"/>
                <w:highlight w:val="none"/>
              </w:rPr>
            </w:pPr>
            <w:r>
              <w:rPr>
                <w:rFonts w:hint="eastAsia"/>
                <w:color w:val="auto"/>
                <w:sz w:val="21"/>
                <w:szCs w:val="20"/>
                <w:highlight w:val="none"/>
              </w:rPr>
              <w:t>卷扬低压电磁站东墙南门</w:t>
            </w:r>
          </w:p>
        </w:tc>
        <w:tc>
          <w:tcPr>
            <w:tcW w:w="4035" w:type="dxa"/>
            <w:vAlign w:val="center"/>
          </w:tcPr>
          <w:p w14:paraId="0BDD3420">
            <w:pPr>
              <w:shd w:val="clear"/>
              <w:spacing w:line="240" w:lineRule="auto"/>
              <w:ind w:firstLine="0" w:firstLineChars="0"/>
              <w:jc w:val="center"/>
              <w:rPr>
                <w:color w:val="auto"/>
                <w:sz w:val="21"/>
                <w:szCs w:val="20"/>
                <w:highlight w:val="none"/>
              </w:rPr>
            </w:pPr>
            <w:r>
              <w:rPr>
                <w:rFonts w:hint="eastAsia"/>
                <w:color w:val="auto"/>
                <w:sz w:val="21"/>
                <w:szCs w:val="20"/>
                <w:highlight w:val="none"/>
              </w:rPr>
              <w:t>1.0m（宽）</w:t>
            </w:r>
            <w:r>
              <w:rPr>
                <w:rFonts w:ascii="Arial" w:hAnsi="Arial"/>
                <w:color w:val="auto"/>
                <w:sz w:val="21"/>
                <w:szCs w:val="20"/>
                <w:highlight w:val="none"/>
              </w:rPr>
              <w:t>×</w:t>
            </w:r>
            <w:r>
              <w:rPr>
                <w:rFonts w:hint="eastAsia"/>
                <w:color w:val="auto"/>
                <w:sz w:val="21"/>
                <w:szCs w:val="20"/>
                <w:highlight w:val="none"/>
              </w:rPr>
              <w:t>2.38m（高）(单开门)</w:t>
            </w:r>
          </w:p>
        </w:tc>
        <w:tc>
          <w:tcPr>
            <w:tcW w:w="1060" w:type="dxa"/>
            <w:vAlign w:val="center"/>
          </w:tcPr>
          <w:p w14:paraId="24844EBE">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62FA9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1BCFEFC9">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5</w:t>
            </w:r>
          </w:p>
        </w:tc>
        <w:tc>
          <w:tcPr>
            <w:tcW w:w="3255" w:type="dxa"/>
            <w:vAlign w:val="center"/>
          </w:tcPr>
          <w:p w14:paraId="302F0090">
            <w:pPr>
              <w:shd w:val="clear"/>
              <w:spacing w:line="240" w:lineRule="auto"/>
              <w:ind w:firstLine="0" w:firstLineChars="0"/>
              <w:jc w:val="center"/>
              <w:rPr>
                <w:color w:val="auto"/>
                <w:sz w:val="21"/>
                <w:szCs w:val="20"/>
                <w:highlight w:val="none"/>
              </w:rPr>
            </w:pPr>
            <w:r>
              <w:rPr>
                <w:rFonts w:hint="eastAsia"/>
                <w:color w:val="auto"/>
                <w:sz w:val="21"/>
                <w:szCs w:val="20"/>
                <w:highlight w:val="none"/>
              </w:rPr>
              <w:t>卷扬整流室北墙西门</w:t>
            </w:r>
          </w:p>
        </w:tc>
        <w:tc>
          <w:tcPr>
            <w:tcW w:w="4035" w:type="dxa"/>
            <w:vAlign w:val="center"/>
          </w:tcPr>
          <w:p w14:paraId="2A64B73C">
            <w:pPr>
              <w:shd w:val="clear"/>
              <w:spacing w:line="240" w:lineRule="auto"/>
              <w:ind w:firstLine="0" w:firstLineChars="0"/>
              <w:jc w:val="center"/>
              <w:rPr>
                <w:color w:val="auto"/>
                <w:sz w:val="21"/>
                <w:szCs w:val="20"/>
                <w:highlight w:val="none"/>
              </w:rPr>
            </w:pPr>
            <w:r>
              <w:rPr>
                <w:rFonts w:hint="eastAsia"/>
                <w:color w:val="auto"/>
                <w:sz w:val="21"/>
                <w:szCs w:val="20"/>
                <w:highlight w:val="none"/>
              </w:rPr>
              <w:t>1.19m（宽）</w:t>
            </w:r>
            <w:r>
              <w:rPr>
                <w:rFonts w:ascii="Arial" w:hAnsi="Arial"/>
                <w:color w:val="auto"/>
                <w:sz w:val="21"/>
                <w:szCs w:val="20"/>
                <w:highlight w:val="none"/>
              </w:rPr>
              <w:t>×</w:t>
            </w:r>
            <w:r>
              <w:rPr>
                <w:rFonts w:hint="eastAsia"/>
                <w:color w:val="auto"/>
                <w:sz w:val="21"/>
                <w:szCs w:val="20"/>
                <w:highlight w:val="none"/>
              </w:rPr>
              <w:t>m2.41（高）(单开门)</w:t>
            </w:r>
          </w:p>
        </w:tc>
        <w:tc>
          <w:tcPr>
            <w:tcW w:w="1060" w:type="dxa"/>
            <w:vAlign w:val="center"/>
          </w:tcPr>
          <w:p w14:paraId="6455EF58">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33C69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6247DEC6">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6</w:t>
            </w:r>
          </w:p>
        </w:tc>
        <w:tc>
          <w:tcPr>
            <w:tcW w:w="3255" w:type="dxa"/>
            <w:vAlign w:val="center"/>
          </w:tcPr>
          <w:p w14:paraId="0AEF0133">
            <w:pPr>
              <w:shd w:val="clear"/>
              <w:spacing w:line="240" w:lineRule="auto"/>
              <w:ind w:firstLine="0" w:firstLineChars="0"/>
              <w:jc w:val="center"/>
              <w:rPr>
                <w:color w:val="auto"/>
                <w:sz w:val="21"/>
                <w:szCs w:val="20"/>
                <w:highlight w:val="none"/>
              </w:rPr>
            </w:pPr>
            <w:r>
              <w:rPr>
                <w:rFonts w:hint="eastAsia"/>
                <w:color w:val="auto"/>
                <w:sz w:val="21"/>
                <w:szCs w:val="20"/>
                <w:highlight w:val="none"/>
              </w:rPr>
              <w:t>卷扬整流室北墙南门</w:t>
            </w:r>
          </w:p>
        </w:tc>
        <w:tc>
          <w:tcPr>
            <w:tcW w:w="4035" w:type="dxa"/>
            <w:vAlign w:val="center"/>
          </w:tcPr>
          <w:p w14:paraId="6C976415">
            <w:pPr>
              <w:shd w:val="clear"/>
              <w:spacing w:line="240" w:lineRule="auto"/>
              <w:ind w:firstLine="0" w:firstLineChars="0"/>
              <w:jc w:val="center"/>
              <w:rPr>
                <w:color w:val="auto"/>
                <w:sz w:val="21"/>
                <w:szCs w:val="20"/>
                <w:highlight w:val="none"/>
              </w:rPr>
            </w:pPr>
            <w:r>
              <w:rPr>
                <w:rFonts w:hint="eastAsia"/>
                <w:color w:val="auto"/>
                <w:sz w:val="21"/>
                <w:szCs w:val="20"/>
                <w:highlight w:val="none"/>
              </w:rPr>
              <w:t>1.19m（宽）</w:t>
            </w:r>
            <w:r>
              <w:rPr>
                <w:rFonts w:ascii="Arial" w:hAnsi="Arial"/>
                <w:color w:val="auto"/>
                <w:sz w:val="21"/>
                <w:szCs w:val="20"/>
                <w:highlight w:val="none"/>
              </w:rPr>
              <w:t>×</w:t>
            </w:r>
            <w:r>
              <w:rPr>
                <w:rFonts w:hint="eastAsia"/>
                <w:color w:val="auto"/>
                <w:sz w:val="21"/>
                <w:szCs w:val="20"/>
                <w:highlight w:val="none"/>
              </w:rPr>
              <w:t>2.41m（高）(单开门)</w:t>
            </w:r>
          </w:p>
        </w:tc>
        <w:tc>
          <w:tcPr>
            <w:tcW w:w="1060" w:type="dxa"/>
            <w:vAlign w:val="center"/>
          </w:tcPr>
          <w:p w14:paraId="1F07F6D1">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1968C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64A0F282">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7</w:t>
            </w:r>
          </w:p>
        </w:tc>
        <w:tc>
          <w:tcPr>
            <w:tcW w:w="3255" w:type="dxa"/>
            <w:vAlign w:val="center"/>
          </w:tcPr>
          <w:p w14:paraId="643A2305">
            <w:pPr>
              <w:shd w:val="clear"/>
              <w:spacing w:line="240" w:lineRule="auto"/>
              <w:ind w:firstLine="0" w:firstLineChars="0"/>
              <w:jc w:val="center"/>
              <w:rPr>
                <w:color w:val="auto"/>
                <w:sz w:val="21"/>
                <w:szCs w:val="20"/>
                <w:highlight w:val="none"/>
              </w:rPr>
            </w:pPr>
            <w:r>
              <w:rPr>
                <w:rFonts w:hint="eastAsia"/>
                <w:color w:val="auto"/>
                <w:sz w:val="21"/>
                <w:szCs w:val="20"/>
                <w:highlight w:val="none"/>
              </w:rPr>
              <w:t>卷扬整流室南门</w:t>
            </w:r>
          </w:p>
        </w:tc>
        <w:tc>
          <w:tcPr>
            <w:tcW w:w="4035" w:type="dxa"/>
            <w:vAlign w:val="center"/>
          </w:tcPr>
          <w:p w14:paraId="469C9ECD">
            <w:pPr>
              <w:shd w:val="clear"/>
              <w:spacing w:line="240" w:lineRule="auto"/>
              <w:ind w:firstLine="0" w:firstLineChars="0"/>
              <w:jc w:val="center"/>
              <w:rPr>
                <w:color w:val="auto"/>
                <w:sz w:val="21"/>
                <w:szCs w:val="20"/>
                <w:highlight w:val="none"/>
              </w:rPr>
            </w:pPr>
            <w:r>
              <w:rPr>
                <w:rFonts w:hint="eastAsia"/>
                <w:color w:val="auto"/>
                <w:sz w:val="21"/>
                <w:szCs w:val="20"/>
                <w:highlight w:val="none"/>
              </w:rPr>
              <w:t>0.96m（宽）</w:t>
            </w:r>
            <w:r>
              <w:rPr>
                <w:rFonts w:ascii="Arial" w:hAnsi="Arial"/>
                <w:color w:val="auto"/>
                <w:sz w:val="21"/>
                <w:szCs w:val="20"/>
                <w:highlight w:val="none"/>
              </w:rPr>
              <w:t>×</w:t>
            </w:r>
            <w:r>
              <w:rPr>
                <w:rFonts w:hint="eastAsia"/>
                <w:color w:val="auto"/>
                <w:sz w:val="21"/>
                <w:szCs w:val="20"/>
                <w:highlight w:val="none"/>
              </w:rPr>
              <w:t>2.4m（高）(单开门)</w:t>
            </w:r>
          </w:p>
        </w:tc>
        <w:tc>
          <w:tcPr>
            <w:tcW w:w="1060" w:type="dxa"/>
            <w:vAlign w:val="center"/>
          </w:tcPr>
          <w:p w14:paraId="7F3E55A7">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6CD80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29B334E6">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8</w:t>
            </w:r>
          </w:p>
        </w:tc>
        <w:tc>
          <w:tcPr>
            <w:tcW w:w="3255" w:type="dxa"/>
            <w:vAlign w:val="center"/>
          </w:tcPr>
          <w:p w14:paraId="698C4F12">
            <w:pPr>
              <w:shd w:val="clear"/>
              <w:spacing w:line="240" w:lineRule="auto"/>
              <w:ind w:firstLine="0" w:firstLineChars="0"/>
              <w:jc w:val="center"/>
              <w:rPr>
                <w:color w:val="auto"/>
                <w:sz w:val="21"/>
                <w:szCs w:val="20"/>
                <w:highlight w:val="none"/>
              </w:rPr>
            </w:pPr>
            <w:r>
              <w:rPr>
                <w:rFonts w:hint="eastAsia"/>
                <w:color w:val="auto"/>
                <w:sz w:val="21"/>
                <w:szCs w:val="20"/>
                <w:highlight w:val="none"/>
              </w:rPr>
              <w:t>炉台电缆夹层北门</w:t>
            </w:r>
          </w:p>
        </w:tc>
        <w:tc>
          <w:tcPr>
            <w:tcW w:w="4035" w:type="dxa"/>
            <w:vAlign w:val="center"/>
          </w:tcPr>
          <w:p w14:paraId="130159C1">
            <w:pPr>
              <w:shd w:val="clear"/>
              <w:spacing w:line="240" w:lineRule="auto"/>
              <w:ind w:firstLine="0" w:firstLineChars="0"/>
              <w:jc w:val="center"/>
              <w:rPr>
                <w:color w:val="auto"/>
                <w:sz w:val="21"/>
                <w:szCs w:val="20"/>
                <w:highlight w:val="none"/>
              </w:rPr>
            </w:pPr>
            <w:r>
              <w:rPr>
                <w:rFonts w:hint="eastAsia"/>
                <w:color w:val="auto"/>
                <w:sz w:val="21"/>
                <w:szCs w:val="20"/>
                <w:highlight w:val="none"/>
              </w:rPr>
              <w:t>1.46m（宽）</w:t>
            </w:r>
            <w:r>
              <w:rPr>
                <w:rFonts w:ascii="Arial" w:hAnsi="Arial"/>
                <w:color w:val="auto"/>
                <w:sz w:val="21"/>
                <w:szCs w:val="20"/>
                <w:highlight w:val="none"/>
              </w:rPr>
              <w:t>×</w:t>
            </w:r>
            <w:r>
              <w:rPr>
                <w:rFonts w:hint="eastAsia"/>
                <w:color w:val="auto"/>
                <w:sz w:val="21"/>
                <w:szCs w:val="20"/>
                <w:highlight w:val="none"/>
              </w:rPr>
              <w:t>2.45m（高）(双开门)</w:t>
            </w:r>
          </w:p>
        </w:tc>
        <w:tc>
          <w:tcPr>
            <w:tcW w:w="1060" w:type="dxa"/>
            <w:vAlign w:val="center"/>
          </w:tcPr>
          <w:p w14:paraId="5DFBAEA4">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0A995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271863AC">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9</w:t>
            </w:r>
          </w:p>
        </w:tc>
        <w:tc>
          <w:tcPr>
            <w:tcW w:w="3255" w:type="dxa"/>
            <w:vAlign w:val="center"/>
          </w:tcPr>
          <w:p w14:paraId="7E7562B6">
            <w:pPr>
              <w:shd w:val="clear"/>
              <w:spacing w:line="240" w:lineRule="auto"/>
              <w:ind w:firstLine="0" w:firstLineChars="0"/>
              <w:jc w:val="center"/>
              <w:rPr>
                <w:color w:val="auto"/>
                <w:sz w:val="21"/>
                <w:szCs w:val="20"/>
                <w:highlight w:val="none"/>
              </w:rPr>
            </w:pPr>
            <w:r>
              <w:rPr>
                <w:rFonts w:hint="eastAsia"/>
                <w:color w:val="auto"/>
                <w:sz w:val="21"/>
                <w:szCs w:val="20"/>
                <w:highlight w:val="none"/>
              </w:rPr>
              <w:t>炉台电缆夹层南门</w:t>
            </w:r>
          </w:p>
        </w:tc>
        <w:tc>
          <w:tcPr>
            <w:tcW w:w="4035" w:type="dxa"/>
            <w:vAlign w:val="center"/>
          </w:tcPr>
          <w:p w14:paraId="1D629D3A">
            <w:pPr>
              <w:shd w:val="clear"/>
              <w:spacing w:line="240" w:lineRule="auto"/>
              <w:ind w:firstLine="0" w:firstLineChars="0"/>
              <w:jc w:val="center"/>
              <w:rPr>
                <w:color w:val="auto"/>
                <w:sz w:val="21"/>
                <w:szCs w:val="20"/>
                <w:highlight w:val="none"/>
              </w:rPr>
            </w:pPr>
            <w:r>
              <w:rPr>
                <w:rFonts w:hint="eastAsia"/>
                <w:color w:val="auto"/>
                <w:sz w:val="21"/>
                <w:szCs w:val="20"/>
                <w:highlight w:val="none"/>
              </w:rPr>
              <w:t>1.46m（宽）</w:t>
            </w:r>
            <w:r>
              <w:rPr>
                <w:rFonts w:ascii="Arial" w:hAnsi="Arial"/>
                <w:color w:val="auto"/>
                <w:sz w:val="21"/>
                <w:szCs w:val="20"/>
                <w:highlight w:val="none"/>
              </w:rPr>
              <w:t>×</w:t>
            </w:r>
            <w:r>
              <w:rPr>
                <w:rFonts w:hint="eastAsia"/>
                <w:color w:val="auto"/>
                <w:sz w:val="21"/>
                <w:szCs w:val="20"/>
                <w:highlight w:val="none"/>
              </w:rPr>
              <w:t>2.45m（高）(双开门)</w:t>
            </w:r>
          </w:p>
        </w:tc>
        <w:tc>
          <w:tcPr>
            <w:tcW w:w="1060" w:type="dxa"/>
            <w:vAlign w:val="center"/>
          </w:tcPr>
          <w:p w14:paraId="0E71C18C">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49510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558E7435">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10</w:t>
            </w:r>
          </w:p>
        </w:tc>
        <w:tc>
          <w:tcPr>
            <w:tcW w:w="3255" w:type="dxa"/>
            <w:vAlign w:val="center"/>
          </w:tcPr>
          <w:p w14:paraId="20FF8A29">
            <w:pPr>
              <w:shd w:val="clear"/>
              <w:spacing w:line="240" w:lineRule="auto"/>
              <w:ind w:firstLine="0" w:firstLineChars="0"/>
              <w:jc w:val="center"/>
              <w:rPr>
                <w:color w:val="auto"/>
                <w:sz w:val="21"/>
                <w:szCs w:val="20"/>
                <w:highlight w:val="none"/>
              </w:rPr>
            </w:pPr>
            <w:r>
              <w:rPr>
                <w:rFonts w:hint="eastAsia"/>
                <w:color w:val="auto"/>
                <w:sz w:val="21"/>
                <w:szCs w:val="20"/>
                <w:highlight w:val="none"/>
              </w:rPr>
              <w:t>炉台PLC室东墙北门</w:t>
            </w:r>
          </w:p>
        </w:tc>
        <w:tc>
          <w:tcPr>
            <w:tcW w:w="4035" w:type="dxa"/>
            <w:vAlign w:val="center"/>
          </w:tcPr>
          <w:p w14:paraId="1C095AF6">
            <w:pPr>
              <w:shd w:val="clear"/>
              <w:spacing w:line="240" w:lineRule="auto"/>
              <w:ind w:firstLine="0" w:firstLineChars="0"/>
              <w:jc w:val="center"/>
              <w:rPr>
                <w:color w:val="auto"/>
                <w:sz w:val="21"/>
                <w:szCs w:val="20"/>
                <w:highlight w:val="none"/>
              </w:rPr>
            </w:pPr>
            <w:r>
              <w:rPr>
                <w:rFonts w:hint="eastAsia"/>
                <w:color w:val="auto"/>
                <w:sz w:val="21"/>
                <w:szCs w:val="20"/>
                <w:highlight w:val="none"/>
              </w:rPr>
              <w:t>0.9m（宽）</w:t>
            </w:r>
            <w:r>
              <w:rPr>
                <w:rFonts w:ascii="Arial" w:hAnsi="Arial"/>
                <w:color w:val="auto"/>
                <w:sz w:val="21"/>
                <w:szCs w:val="20"/>
                <w:highlight w:val="none"/>
              </w:rPr>
              <w:t>×</w:t>
            </w:r>
            <w:r>
              <w:rPr>
                <w:rFonts w:hint="eastAsia"/>
                <w:color w:val="auto"/>
                <w:sz w:val="21"/>
                <w:szCs w:val="20"/>
                <w:highlight w:val="none"/>
              </w:rPr>
              <w:t>2.1m（高）(单开门)</w:t>
            </w:r>
          </w:p>
        </w:tc>
        <w:tc>
          <w:tcPr>
            <w:tcW w:w="1060" w:type="dxa"/>
            <w:vAlign w:val="center"/>
          </w:tcPr>
          <w:p w14:paraId="72665E2E">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2EC49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560A1720">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11</w:t>
            </w:r>
          </w:p>
        </w:tc>
        <w:tc>
          <w:tcPr>
            <w:tcW w:w="3255" w:type="dxa"/>
            <w:vAlign w:val="center"/>
          </w:tcPr>
          <w:p w14:paraId="6ADC1043">
            <w:pPr>
              <w:shd w:val="clear"/>
              <w:spacing w:line="240" w:lineRule="auto"/>
              <w:ind w:firstLine="0" w:firstLineChars="0"/>
              <w:jc w:val="center"/>
              <w:rPr>
                <w:color w:val="auto"/>
                <w:sz w:val="21"/>
                <w:szCs w:val="20"/>
                <w:highlight w:val="none"/>
              </w:rPr>
            </w:pPr>
            <w:r>
              <w:rPr>
                <w:rFonts w:hint="eastAsia"/>
                <w:color w:val="auto"/>
                <w:sz w:val="21"/>
                <w:szCs w:val="20"/>
                <w:highlight w:val="none"/>
              </w:rPr>
              <w:t>炉台PLC室东墙南门</w:t>
            </w:r>
          </w:p>
        </w:tc>
        <w:tc>
          <w:tcPr>
            <w:tcW w:w="4035" w:type="dxa"/>
            <w:vAlign w:val="center"/>
          </w:tcPr>
          <w:p w14:paraId="532FF480">
            <w:pPr>
              <w:shd w:val="clear"/>
              <w:spacing w:line="240" w:lineRule="auto"/>
              <w:ind w:firstLine="0" w:firstLineChars="0"/>
              <w:jc w:val="center"/>
              <w:rPr>
                <w:color w:val="auto"/>
                <w:sz w:val="21"/>
                <w:szCs w:val="20"/>
                <w:highlight w:val="none"/>
              </w:rPr>
            </w:pPr>
            <w:r>
              <w:rPr>
                <w:rFonts w:hint="eastAsia"/>
                <w:color w:val="auto"/>
                <w:sz w:val="21"/>
                <w:szCs w:val="20"/>
                <w:highlight w:val="none"/>
              </w:rPr>
              <w:t>0.9m（宽）</w:t>
            </w:r>
            <w:r>
              <w:rPr>
                <w:rFonts w:ascii="Arial" w:hAnsi="Arial"/>
                <w:color w:val="auto"/>
                <w:sz w:val="21"/>
                <w:szCs w:val="20"/>
                <w:highlight w:val="none"/>
              </w:rPr>
              <w:t>×</w:t>
            </w:r>
            <w:r>
              <w:rPr>
                <w:rFonts w:hint="eastAsia"/>
                <w:color w:val="auto"/>
                <w:sz w:val="21"/>
                <w:szCs w:val="20"/>
                <w:highlight w:val="none"/>
              </w:rPr>
              <w:t>2.1m（高）(单开门)</w:t>
            </w:r>
          </w:p>
        </w:tc>
        <w:tc>
          <w:tcPr>
            <w:tcW w:w="1060" w:type="dxa"/>
            <w:vAlign w:val="center"/>
          </w:tcPr>
          <w:p w14:paraId="23269F9E">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6D8F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3DC13BE7">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12</w:t>
            </w:r>
          </w:p>
        </w:tc>
        <w:tc>
          <w:tcPr>
            <w:tcW w:w="3255" w:type="dxa"/>
            <w:vAlign w:val="center"/>
          </w:tcPr>
          <w:p w14:paraId="1C61BA5A">
            <w:pPr>
              <w:shd w:val="clear"/>
              <w:spacing w:line="240" w:lineRule="auto"/>
              <w:ind w:firstLine="0" w:firstLineChars="0"/>
              <w:jc w:val="center"/>
              <w:rPr>
                <w:color w:val="auto"/>
                <w:sz w:val="21"/>
                <w:szCs w:val="20"/>
                <w:highlight w:val="none"/>
              </w:rPr>
            </w:pPr>
            <w:r>
              <w:rPr>
                <w:rFonts w:hint="eastAsia"/>
                <w:color w:val="auto"/>
                <w:sz w:val="21"/>
                <w:szCs w:val="20"/>
                <w:highlight w:val="none"/>
              </w:rPr>
              <w:t>炉台PLC室南门</w:t>
            </w:r>
          </w:p>
        </w:tc>
        <w:tc>
          <w:tcPr>
            <w:tcW w:w="4035" w:type="dxa"/>
            <w:vAlign w:val="center"/>
          </w:tcPr>
          <w:p w14:paraId="3B330715">
            <w:pPr>
              <w:shd w:val="clear"/>
              <w:spacing w:line="240" w:lineRule="auto"/>
              <w:ind w:firstLine="0" w:firstLineChars="0"/>
              <w:jc w:val="center"/>
              <w:rPr>
                <w:color w:val="auto"/>
                <w:sz w:val="21"/>
                <w:szCs w:val="20"/>
                <w:highlight w:val="none"/>
              </w:rPr>
            </w:pPr>
            <w:r>
              <w:rPr>
                <w:rFonts w:hint="eastAsia"/>
                <w:color w:val="auto"/>
                <w:sz w:val="21"/>
                <w:szCs w:val="20"/>
                <w:highlight w:val="none"/>
              </w:rPr>
              <w:t>0.8m（宽）</w:t>
            </w:r>
            <w:r>
              <w:rPr>
                <w:rFonts w:ascii="Arial" w:hAnsi="Arial"/>
                <w:color w:val="auto"/>
                <w:sz w:val="21"/>
                <w:szCs w:val="20"/>
                <w:highlight w:val="none"/>
              </w:rPr>
              <w:t>×</w:t>
            </w:r>
            <w:r>
              <w:rPr>
                <w:rFonts w:hint="eastAsia"/>
                <w:color w:val="auto"/>
                <w:sz w:val="21"/>
                <w:szCs w:val="20"/>
                <w:highlight w:val="none"/>
              </w:rPr>
              <w:t>2.1m（高）(单开门)</w:t>
            </w:r>
          </w:p>
        </w:tc>
        <w:tc>
          <w:tcPr>
            <w:tcW w:w="1060" w:type="dxa"/>
            <w:vAlign w:val="center"/>
          </w:tcPr>
          <w:p w14:paraId="54C409F5">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634A4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2DBBCDD7">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13</w:t>
            </w:r>
          </w:p>
        </w:tc>
        <w:tc>
          <w:tcPr>
            <w:tcW w:w="3255" w:type="dxa"/>
            <w:vAlign w:val="center"/>
          </w:tcPr>
          <w:p w14:paraId="7CB43C70">
            <w:pPr>
              <w:shd w:val="clear"/>
              <w:spacing w:line="240" w:lineRule="auto"/>
              <w:ind w:firstLine="0" w:firstLineChars="0"/>
              <w:jc w:val="center"/>
              <w:rPr>
                <w:color w:val="auto"/>
                <w:sz w:val="21"/>
                <w:szCs w:val="20"/>
                <w:highlight w:val="none"/>
              </w:rPr>
            </w:pPr>
            <w:r>
              <w:rPr>
                <w:rFonts w:hint="eastAsia"/>
                <w:color w:val="auto"/>
                <w:sz w:val="21"/>
                <w:szCs w:val="20"/>
                <w:highlight w:val="none"/>
              </w:rPr>
              <w:t>2号除尘1#（原出铁场除尘）</w:t>
            </w:r>
          </w:p>
        </w:tc>
        <w:tc>
          <w:tcPr>
            <w:tcW w:w="4035" w:type="dxa"/>
            <w:vAlign w:val="center"/>
          </w:tcPr>
          <w:p w14:paraId="33E18B3E">
            <w:pPr>
              <w:shd w:val="clear"/>
              <w:spacing w:line="240" w:lineRule="auto"/>
              <w:ind w:firstLine="0" w:firstLineChars="0"/>
              <w:jc w:val="center"/>
              <w:rPr>
                <w:color w:val="auto"/>
                <w:sz w:val="21"/>
                <w:szCs w:val="20"/>
                <w:highlight w:val="none"/>
              </w:rPr>
            </w:pPr>
            <w:r>
              <w:rPr>
                <w:rFonts w:hint="eastAsia"/>
                <w:color w:val="auto"/>
                <w:sz w:val="21"/>
                <w:szCs w:val="20"/>
                <w:highlight w:val="none"/>
              </w:rPr>
              <w:t>0.95m（宽）</w:t>
            </w:r>
            <w:r>
              <w:rPr>
                <w:rFonts w:ascii="Arial" w:hAnsi="Arial"/>
                <w:color w:val="auto"/>
                <w:sz w:val="21"/>
                <w:szCs w:val="20"/>
                <w:highlight w:val="none"/>
              </w:rPr>
              <w:t>×</w:t>
            </w:r>
            <w:r>
              <w:rPr>
                <w:rFonts w:hint="eastAsia"/>
                <w:color w:val="auto"/>
                <w:sz w:val="21"/>
                <w:szCs w:val="20"/>
                <w:highlight w:val="none"/>
              </w:rPr>
              <w:t>2.365m（高）(单开门)</w:t>
            </w:r>
          </w:p>
        </w:tc>
        <w:tc>
          <w:tcPr>
            <w:tcW w:w="1060" w:type="dxa"/>
            <w:vAlign w:val="center"/>
          </w:tcPr>
          <w:p w14:paraId="057FC628">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5C91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77582FE8">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14</w:t>
            </w:r>
          </w:p>
        </w:tc>
        <w:tc>
          <w:tcPr>
            <w:tcW w:w="3255" w:type="dxa"/>
            <w:vAlign w:val="center"/>
          </w:tcPr>
          <w:p w14:paraId="54A20DE8">
            <w:pPr>
              <w:shd w:val="clear"/>
              <w:spacing w:line="240" w:lineRule="auto"/>
              <w:ind w:firstLine="0" w:firstLineChars="0"/>
              <w:jc w:val="center"/>
              <w:rPr>
                <w:color w:val="auto"/>
                <w:sz w:val="21"/>
                <w:szCs w:val="20"/>
                <w:highlight w:val="none"/>
              </w:rPr>
            </w:pPr>
            <w:r>
              <w:rPr>
                <w:rFonts w:hint="eastAsia"/>
                <w:color w:val="auto"/>
                <w:sz w:val="21"/>
                <w:szCs w:val="20"/>
                <w:highlight w:val="none"/>
              </w:rPr>
              <w:t>2号除尘2#（原出铁场除尘）</w:t>
            </w:r>
          </w:p>
        </w:tc>
        <w:tc>
          <w:tcPr>
            <w:tcW w:w="4035" w:type="dxa"/>
            <w:vAlign w:val="center"/>
          </w:tcPr>
          <w:p w14:paraId="1DE5C25A">
            <w:pPr>
              <w:shd w:val="clear"/>
              <w:spacing w:line="240" w:lineRule="auto"/>
              <w:ind w:firstLine="0" w:firstLineChars="0"/>
              <w:jc w:val="center"/>
              <w:rPr>
                <w:color w:val="auto"/>
                <w:sz w:val="21"/>
                <w:szCs w:val="20"/>
                <w:highlight w:val="none"/>
              </w:rPr>
            </w:pPr>
            <w:r>
              <w:rPr>
                <w:rFonts w:hint="eastAsia"/>
                <w:color w:val="auto"/>
                <w:sz w:val="21"/>
                <w:szCs w:val="20"/>
                <w:highlight w:val="none"/>
              </w:rPr>
              <w:t>0.96m（宽）</w:t>
            </w:r>
            <w:r>
              <w:rPr>
                <w:rFonts w:ascii="Arial" w:hAnsi="Arial"/>
                <w:color w:val="auto"/>
                <w:sz w:val="21"/>
                <w:szCs w:val="20"/>
                <w:highlight w:val="none"/>
              </w:rPr>
              <w:t>×</w:t>
            </w:r>
            <w:r>
              <w:rPr>
                <w:rFonts w:hint="eastAsia"/>
                <w:color w:val="auto"/>
                <w:sz w:val="21"/>
                <w:szCs w:val="20"/>
                <w:highlight w:val="none"/>
              </w:rPr>
              <w:t>2.11m（高）(单开门)</w:t>
            </w:r>
          </w:p>
        </w:tc>
        <w:tc>
          <w:tcPr>
            <w:tcW w:w="1060" w:type="dxa"/>
            <w:vAlign w:val="center"/>
          </w:tcPr>
          <w:p w14:paraId="72A6A866">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59539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407DAC5E">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15</w:t>
            </w:r>
          </w:p>
        </w:tc>
        <w:tc>
          <w:tcPr>
            <w:tcW w:w="3255" w:type="dxa"/>
            <w:vAlign w:val="center"/>
          </w:tcPr>
          <w:p w14:paraId="2141D36A">
            <w:pPr>
              <w:shd w:val="clear"/>
              <w:spacing w:line="240" w:lineRule="auto"/>
              <w:ind w:firstLine="0" w:firstLineChars="0"/>
              <w:jc w:val="center"/>
              <w:rPr>
                <w:color w:val="auto"/>
                <w:sz w:val="21"/>
                <w:szCs w:val="20"/>
                <w:highlight w:val="none"/>
              </w:rPr>
            </w:pPr>
            <w:r>
              <w:rPr>
                <w:rFonts w:hint="eastAsia"/>
                <w:color w:val="auto"/>
                <w:sz w:val="21"/>
                <w:szCs w:val="20"/>
                <w:highlight w:val="none"/>
              </w:rPr>
              <w:t>2号除尘3#（原出铁场除尘）</w:t>
            </w:r>
          </w:p>
        </w:tc>
        <w:tc>
          <w:tcPr>
            <w:tcW w:w="4035" w:type="dxa"/>
            <w:vAlign w:val="center"/>
          </w:tcPr>
          <w:p w14:paraId="537352A6">
            <w:pPr>
              <w:shd w:val="clear"/>
              <w:spacing w:line="240" w:lineRule="auto"/>
              <w:ind w:firstLine="0" w:firstLineChars="0"/>
              <w:jc w:val="center"/>
              <w:rPr>
                <w:color w:val="auto"/>
                <w:sz w:val="21"/>
                <w:szCs w:val="20"/>
                <w:highlight w:val="none"/>
              </w:rPr>
            </w:pPr>
            <w:r>
              <w:rPr>
                <w:rFonts w:hint="eastAsia"/>
                <w:color w:val="auto"/>
                <w:sz w:val="21"/>
                <w:szCs w:val="20"/>
                <w:highlight w:val="none"/>
              </w:rPr>
              <w:t>0.798m（宽）</w:t>
            </w:r>
            <w:r>
              <w:rPr>
                <w:rFonts w:ascii="Arial" w:hAnsi="Arial"/>
                <w:color w:val="auto"/>
                <w:sz w:val="21"/>
                <w:szCs w:val="20"/>
                <w:highlight w:val="none"/>
              </w:rPr>
              <w:t>×</w:t>
            </w:r>
            <w:r>
              <w:rPr>
                <w:rFonts w:hint="eastAsia"/>
                <w:color w:val="auto"/>
                <w:sz w:val="21"/>
                <w:szCs w:val="20"/>
                <w:highlight w:val="none"/>
              </w:rPr>
              <w:t>1.96m（高）(单开门)</w:t>
            </w:r>
          </w:p>
        </w:tc>
        <w:tc>
          <w:tcPr>
            <w:tcW w:w="1060" w:type="dxa"/>
            <w:vAlign w:val="center"/>
          </w:tcPr>
          <w:p w14:paraId="34D893EC">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37E31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2A275C59">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16</w:t>
            </w:r>
          </w:p>
        </w:tc>
        <w:tc>
          <w:tcPr>
            <w:tcW w:w="3255" w:type="dxa"/>
            <w:vAlign w:val="center"/>
          </w:tcPr>
          <w:p w14:paraId="4A9FB0D7">
            <w:pPr>
              <w:shd w:val="clear"/>
              <w:spacing w:line="240" w:lineRule="auto"/>
              <w:ind w:firstLine="0" w:firstLineChars="0"/>
              <w:jc w:val="center"/>
              <w:rPr>
                <w:color w:val="auto"/>
                <w:sz w:val="21"/>
                <w:szCs w:val="20"/>
                <w:highlight w:val="none"/>
              </w:rPr>
            </w:pPr>
            <w:r>
              <w:rPr>
                <w:rFonts w:hint="eastAsia"/>
                <w:color w:val="auto"/>
                <w:sz w:val="21"/>
                <w:szCs w:val="20"/>
                <w:highlight w:val="none"/>
              </w:rPr>
              <w:t>3号除尘1#（矿槽除尘）</w:t>
            </w:r>
          </w:p>
        </w:tc>
        <w:tc>
          <w:tcPr>
            <w:tcW w:w="4035" w:type="dxa"/>
            <w:vAlign w:val="center"/>
          </w:tcPr>
          <w:p w14:paraId="5946482B">
            <w:pPr>
              <w:shd w:val="clear"/>
              <w:spacing w:line="240" w:lineRule="auto"/>
              <w:ind w:firstLine="0" w:firstLineChars="0"/>
              <w:jc w:val="center"/>
              <w:rPr>
                <w:color w:val="auto"/>
                <w:sz w:val="21"/>
                <w:szCs w:val="20"/>
                <w:highlight w:val="none"/>
              </w:rPr>
            </w:pPr>
            <w:r>
              <w:rPr>
                <w:rFonts w:hint="eastAsia"/>
                <w:color w:val="auto"/>
                <w:sz w:val="21"/>
                <w:szCs w:val="20"/>
                <w:highlight w:val="none"/>
              </w:rPr>
              <w:t>0.99m（宽）</w:t>
            </w:r>
            <w:r>
              <w:rPr>
                <w:rFonts w:ascii="Arial" w:hAnsi="Arial"/>
                <w:color w:val="auto"/>
                <w:sz w:val="21"/>
                <w:szCs w:val="20"/>
                <w:highlight w:val="none"/>
              </w:rPr>
              <w:t>×</w:t>
            </w:r>
            <w:r>
              <w:rPr>
                <w:rFonts w:hint="eastAsia"/>
                <w:color w:val="auto"/>
                <w:sz w:val="21"/>
                <w:szCs w:val="20"/>
                <w:highlight w:val="none"/>
              </w:rPr>
              <w:t>2.14m（高）(单开门)</w:t>
            </w:r>
          </w:p>
        </w:tc>
        <w:tc>
          <w:tcPr>
            <w:tcW w:w="1060" w:type="dxa"/>
            <w:vAlign w:val="center"/>
          </w:tcPr>
          <w:p w14:paraId="751B91C7">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6DB8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0B634F5D">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17</w:t>
            </w:r>
          </w:p>
        </w:tc>
        <w:tc>
          <w:tcPr>
            <w:tcW w:w="3255" w:type="dxa"/>
            <w:vAlign w:val="center"/>
          </w:tcPr>
          <w:p w14:paraId="6E0A4489">
            <w:pPr>
              <w:shd w:val="clear"/>
              <w:spacing w:line="240" w:lineRule="auto"/>
              <w:ind w:firstLine="0" w:firstLineChars="0"/>
              <w:jc w:val="center"/>
              <w:rPr>
                <w:color w:val="auto"/>
                <w:sz w:val="21"/>
                <w:szCs w:val="20"/>
                <w:highlight w:val="none"/>
              </w:rPr>
            </w:pPr>
            <w:r>
              <w:rPr>
                <w:rFonts w:hint="eastAsia"/>
                <w:color w:val="auto"/>
                <w:sz w:val="21"/>
                <w:szCs w:val="20"/>
                <w:highlight w:val="none"/>
              </w:rPr>
              <w:t>3号除尘2#（矿槽除尘）</w:t>
            </w:r>
          </w:p>
        </w:tc>
        <w:tc>
          <w:tcPr>
            <w:tcW w:w="4035" w:type="dxa"/>
            <w:vAlign w:val="center"/>
          </w:tcPr>
          <w:p w14:paraId="45DF0B11">
            <w:pPr>
              <w:shd w:val="clear"/>
              <w:spacing w:line="240" w:lineRule="auto"/>
              <w:ind w:firstLine="0" w:firstLineChars="0"/>
              <w:jc w:val="center"/>
              <w:rPr>
                <w:color w:val="auto"/>
                <w:sz w:val="21"/>
                <w:szCs w:val="20"/>
                <w:highlight w:val="none"/>
              </w:rPr>
            </w:pPr>
            <w:r>
              <w:rPr>
                <w:rFonts w:hint="eastAsia"/>
                <w:color w:val="auto"/>
                <w:sz w:val="21"/>
                <w:szCs w:val="20"/>
                <w:highlight w:val="none"/>
              </w:rPr>
              <w:t>0.915m（宽）</w:t>
            </w:r>
            <w:r>
              <w:rPr>
                <w:rFonts w:ascii="Arial" w:hAnsi="Arial"/>
                <w:color w:val="auto"/>
                <w:sz w:val="21"/>
                <w:szCs w:val="20"/>
                <w:highlight w:val="none"/>
              </w:rPr>
              <w:t>×</w:t>
            </w:r>
            <w:r>
              <w:rPr>
                <w:rFonts w:hint="eastAsia"/>
                <w:color w:val="auto"/>
                <w:sz w:val="21"/>
                <w:szCs w:val="20"/>
                <w:highlight w:val="none"/>
              </w:rPr>
              <w:t>1.85m（高）(单开门)</w:t>
            </w:r>
          </w:p>
        </w:tc>
        <w:tc>
          <w:tcPr>
            <w:tcW w:w="1060" w:type="dxa"/>
            <w:vAlign w:val="center"/>
          </w:tcPr>
          <w:p w14:paraId="4762AFD7">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5E960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7CC18901">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18</w:t>
            </w:r>
          </w:p>
        </w:tc>
        <w:tc>
          <w:tcPr>
            <w:tcW w:w="3255" w:type="dxa"/>
            <w:vAlign w:val="center"/>
          </w:tcPr>
          <w:p w14:paraId="60E710FE">
            <w:pPr>
              <w:shd w:val="clear"/>
              <w:spacing w:line="240" w:lineRule="auto"/>
              <w:ind w:firstLine="0" w:firstLineChars="0"/>
              <w:jc w:val="center"/>
              <w:rPr>
                <w:color w:val="auto"/>
                <w:sz w:val="21"/>
                <w:szCs w:val="20"/>
                <w:highlight w:val="none"/>
              </w:rPr>
            </w:pPr>
            <w:r>
              <w:rPr>
                <w:rFonts w:hint="eastAsia"/>
                <w:color w:val="auto"/>
                <w:sz w:val="21"/>
                <w:szCs w:val="20"/>
                <w:highlight w:val="none"/>
              </w:rPr>
              <w:t>3号除尘3#（矿槽除尘）</w:t>
            </w:r>
          </w:p>
        </w:tc>
        <w:tc>
          <w:tcPr>
            <w:tcW w:w="4035" w:type="dxa"/>
            <w:vAlign w:val="center"/>
          </w:tcPr>
          <w:p w14:paraId="33263DE2">
            <w:pPr>
              <w:shd w:val="clear"/>
              <w:spacing w:line="240" w:lineRule="auto"/>
              <w:ind w:firstLine="0" w:firstLineChars="0"/>
              <w:jc w:val="center"/>
              <w:rPr>
                <w:color w:val="auto"/>
                <w:sz w:val="21"/>
                <w:szCs w:val="20"/>
                <w:highlight w:val="none"/>
              </w:rPr>
            </w:pPr>
            <w:r>
              <w:rPr>
                <w:rFonts w:hint="eastAsia"/>
                <w:color w:val="auto"/>
                <w:sz w:val="21"/>
                <w:szCs w:val="20"/>
                <w:highlight w:val="none"/>
              </w:rPr>
              <w:t>0.98m（宽）</w:t>
            </w:r>
            <w:r>
              <w:rPr>
                <w:rFonts w:ascii="Arial" w:hAnsi="Arial"/>
                <w:color w:val="auto"/>
                <w:sz w:val="21"/>
                <w:szCs w:val="20"/>
                <w:highlight w:val="none"/>
              </w:rPr>
              <w:t>×</w:t>
            </w:r>
            <w:r>
              <w:rPr>
                <w:rFonts w:hint="eastAsia"/>
                <w:color w:val="auto"/>
                <w:sz w:val="21"/>
                <w:szCs w:val="20"/>
                <w:highlight w:val="none"/>
              </w:rPr>
              <w:t>2.39m（高）(单开门)</w:t>
            </w:r>
          </w:p>
        </w:tc>
        <w:tc>
          <w:tcPr>
            <w:tcW w:w="1060" w:type="dxa"/>
            <w:vAlign w:val="center"/>
          </w:tcPr>
          <w:p w14:paraId="611BB297">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342D0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45AAE850">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19</w:t>
            </w:r>
          </w:p>
        </w:tc>
        <w:tc>
          <w:tcPr>
            <w:tcW w:w="3255" w:type="dxa"/>
            <w:vAlign w:val="center"/>
          </w:tcPr>
          <w:p w14:paraId="3018A465">
            <w:pPr>
              <w:shd w:val="clear"/>
              <w:spacing w:line="240" w:lineRule="auto"/>
              <w:ind w:firstLine="0" w:firstLineChars="0"/>
              <w:jc w:val="center"/>
              <w:rPr>
                <w:color w:val="auto"/>
                <w:sz w:val="21"/>
                <w:szCs w:val="20"/>
                <w:highlight w:val="none"/>
              </w:rPr>
            </w:pPr>
            <w:r>
              <w:rPr>
                <w:rFonts w:hint="eastAsia"/>
                <w:color w:val="auto"/>
                <w:sz w:val="21"/>
                <w:szCs w:val="20"/>
                <w:highlight w:val="none"/>
              </w:rPr>
              <w:t>热风炉助燃风机变频室南门</w:t>
            </w:r>
          </w:p>
        </w:tc>
        <w:tc>
          <w:tcPr>
            <w:tcW w:w="4035" w:type="dxa"/>
            <w:vAlign w:val="center"/>
          </w:tcPr>
          <w:p w14:paraId="413CE9FA">
            <w:pPr>
              <w:shd w:val="clear"/>
              <w:spacing w:line="240" w:lineRule="auto"/>
              <w:ind w:firstLine="0" w:firstLineChars="0"/>
              <w:jc w:val="center"/>
              <w:rPr>
                <w:color w:val="auto"/>
                <w:sz w:val="21"/>
                <w:szCs w:val="20"/>
                <w:highlight w:val="none"/>
              </w:rPr>
            </w:pPr>
            <w:r>
              <w:rPr>
                <w:rFonts w:hint="eastAsia"/>
                <w:color w:val="auto"/>
                <w:sz w:val="21"/>
                <w:szCs w:val="20"/>
                <w:highlight w:val="none"/>
              </w:rPr>
              <w:t>0.95m（宽）</w:t>
            </w:r>
            <w:r>
              <w:rPr>
                <w:rFonts w:ascii="Arial" w:hAnsi="Arial"/>
                <w:color w:val="auto"/>
                <w:sz w:val="21"/>
                <w:szCs w:val="20"/>
                <w:highlight w:val="none"/>
              </w:rPr>
              <w:t>×</w:t>
            </w:r>
            <w:r>
              <w:rPr>
                <w:rFonts w:hint="eastAsia"/>
                <w:color w:val="auto"/>
                <w:sz w:val="21"/>
                <w:szCs w:val="20"/>
                <w:highlight w:val="none"/>
              </w:rPr>
              <w:t>2.12m（高）(单开门)</w:t>
            </w:r>
          </w:p>
        </w:tc>
        <w:tc>
          <w:tcPr>
            <w:tcW w:w="1060" w:type="dxa"/>
            <w:vAlign w:val="center"/>
          </w:tcPr>
          <w:p w14:paraId="1CF13DA2">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5008B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0B54899E">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20</w:t>
            </w:r>
          </w:p>
        </w:tc>
        <w:tc>
          <w:tcPr>
            <w:tcW w:w="3255" w:type="dxa"/>
            <w:vAlign w:val="center"/>
          </w:tcPr>
          <w:p w14:paraId="79E3AC4F">
            <w:pPr>
              <w:shd w:val="clear"/>
              <w:spacing w:line="240" w:lineRule="auto"/>
              <w:ind w:firstLine="0" w:firstLineChars="0"/>
              <w:jc w:val="center"/>
              <w:rPr>
                <w:color w:val="auto"/>
                <w:sz w:val="21"/>
                <w:szCs w:val="20"/>
                <w:highlight w:val="none"/>
              </w:rPr>
            </w:pPr>
            <w:r>
              <w:rPr>
                <w:rFonts w:hint="eastAsia"/>
                <w:color w:val="auto"/>
                <w:sz w:val="21"/>
                <w:szCs w:val="20"/>
                <w:highlight w:val="none"/>
              </w:rPr>
              <w:t>热风炉助燃风机变频室北门</w:t>
            </w:r>
          </w:p>
        </w:tc>
        <w:tc>
          <w:tcPr>
            <w:tcW w:w="4035" w:type="dxa"/>
            <w:vAlign w:val="center"/>
          </w:tcPr>
          <w:p w14:paraId="2755F6A9">
            <w:pPr>
              <w:shd w:val="clear"/>
              <w:spacing w:line="240" w:lineRule="auto"/>
              <w:ind w:firstLine="0" w:firstLineChars="0"/>
              <w:jc w:val="center"/>
              <w:rPr>
                <w:color w:val="auto"/>
                <w:sz w:val="21"/>
                <w:szCs w:val="20"/>
                <w:highlight w:val="none"/>
              </w:rPr>
            </w:pPr>
            <w:r>
              <w:rPr>
                <w:rFonts w:hint="eastAsia"/>
                <w:color w:val="auto"/>
                <w:sz w:val="21"/>
                <w:szCs w:val="20"/>
                <w:highlight w:val="none"/>
              </w:rPr>
              <w:t>1.52m（宽）</w:t>
            </w:r>
            <w:r>
              <w:rPr>
                <w:rFonts w:ascii="Arial" w:hAnsi="Arial"/>
                <w:color w:val="auto"/>
                <w:sz w:val="21"/>
                <w:szCs w:val="20"/>
                <w:highlight w:val="none"/>
              </w:rPr>
              <w:t>×</w:t>
            </w:r>
            <w:r>
              <w:rPr>
                <w:rFonts w:hint="eastAsia"/>
                <w:color w:val="auto"/>
                <w:sz w:val="21"/>
                <w:szCs w:val="20"/>
                <w:highlight w:val="none"/>
              </w:rPr>
              <w:t>2.06m（高）(双开门)</w:t>
            </w:r>
          </w:p>
        </w:tc>
        <w:tc>
          <w:tcPr>
            <w:tcW w:w="1060" w:type="dxa"/>
            <w:vAlign w:val="center"/>
          </w:tcPr>
          <w:p w14:paraId="593AE4D2">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0EB06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5F5FEF78">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21</w:t>
            </w:r>
          </w:p>
        </w:tc>
        <w:tc>
          <w:tcPr>
            <w:tcW w:w="3255" w:type="dxa"/>
            <w:vAlign w:val="center"/>
          </w:tcPr>
          <w:p w14:paraId="223B5498">
            <w:pPr>
              <w:shd w:val="clear"/>
              <w:spacing w:line="240" w:lineRule="auto"/>
              <w:ind w:firstLine="0" w:firstLineChars="0"/>
              <w:jc w:val="center"/>
              <w:rPr>
                <w:color w:val="auto"/>
                <w:sz w:val="21"/>
                <w:szCs w:val="20"/>
                <w:highlight w:val="none"/>
              </w:rPr>
            </w:pPr>
            <w:r>
              <w:rPr>
                <w:rFonts w:hint="eastAsia"/>
                <w:color w:val="auto"/>
                <w:sz w:val="21"/>
                <w:szCs w:val="20"/>
                <w:highlight w:val="none"/>
              </w:rPr>
              <w:t>煤气遮断阀控制室</w:t>
            </w:r>
          </w:p>
        </w:tc>
        <w:tc>
          <w:tcPr>
            <w:tcW w:w="4035" w:type="dxa"/>
            <w:vAlign w:val="center"/>
          </w:tcPr>
          <w:p w14:paraId="48E8671B">
            <w:pPr>
              <w:shd w:val="clear"/>
              <w:spacing w:line="240" w:lineRule="auto"/>
              <w:ind w:firstLine="0" w:firstLineChars="0"/>
              <w:jc w:val="center"/>
              <w:rPr>
                <w:color w:val="auto"/>
                <w:sz w:val="21"/>
                <w:szCs w:val="20"/>
                <w:highlight w:val="none"/>
              </w:rPr>
            </w:pPr>
            <w:r>
              <w:rPr>
                <w:rFonts w:hint="eastAsia"/>
                <w:color w:val="auto"/>
                <w:sz w:val="21"/>
                <w:szCs w:val="20"/>
                <w:highlight w:val="none"/>
              </w:rPr>
              <w:t>0.96m（宽）</w:t>
            </w:r>
            <w:r>
              <w:rPr>
                <w:rFonts w:ascii="Arial" w:hAnsi="Arial"/>
                <w:color w:val="auto"/>
                <w:sz w:val="21"/>
                <w:szCs w:val="20"/>
                <w:highlight w:val="none"/>
              </w:rPr>
              <w:t>×</w:t>
            </w:r>
            <w:r>
              <w:rPr>
                <w:rFonts w:hint="eastAsia"/>
                <w:color w:val="auto"/>
                <w:sz w:val="21"/>
                <w:szCs w:val="20"/>
                <w:highlight w:val="none"/>
              </w:rPr>
              <w:t>2.11m（高）(单开门)</w:t>
            </w:r>
          </w:p>
        </w:tc>
        <w:tc>
          <w:tcPr>
            <w:tcW w:w="1060" w:type="dxa"/>
            <w:vAlign w:val="center"/>
          </w:tcPr>
          <w:p w14:paraId="4324D667">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37352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327883C0">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22</w:t>
            </w:r>
          </w:p>
        </w:tc>
        <w:tc>
          <w:tcPr>
            <w:tcW w:w="3255" w:type="dxa"/>
            <w:vAlign w:val="center"/>
          </w:tcPr>
          <w:p w14:paraId="0D6E361E">
            <w:pPr>
              <w:shd w:val="clear"/>
              <w:spacing w:line="240" w:lineRule="auto"/>
              <w:ind w:firstLine="0" w:firstLineChars="0"/>
              <w:jc w:val="center"/>
              <w:rPr>
                <w:color w:val="auto"/>
                <w:sz w:val="21"/>
                <w:szCs w:val="20"/>
                <w:highlight w:val="none"/>
              </w:rPr>
            </w:pPr>
            <w:r>
              <w:rPr>
                <w:rFonts w:hint="eastAsia"/>
                <w:color w:val="auto"/>
                <w:sz w:val="21"/>
                <w:szCs w:val="20"/>
                <w:highlight w:val="none"/>
              </w:rPr>
              <w:t>矿槽自动上料PLC室南门</w:t>
            </w:r>
          </w:p>
        </w:tc>
        <w:tc>
          <w:tcPr>
            <w:tcW w:w="4035" w:type="dxa"/>
            <w:vAlign w:val="center"/>
          </w:tcPr>
          <w:p w14:paraId="4F1B9F40">
            <w:pPr>
              <w:shd w:val="clear"/>
              <w:spacing w:line="240" w:lineRule="auto"/>
              <w:ind w:firstLine="0" w:firstLineChars="0"/>
              <w:jc w:val="center"/>
              <w:rPr>
                <w:color w:val="auto"/>
                <w:sz w:val="21"/>
                <w:szCs w:val="20"/>
                <w:highlight w:val="none"/>
              </w:rPr>
            </w:pPr>
            <w:r>
              <w:rPr>
                <w:rFonts w:hint="eastAsia"/>
                <w:color w:val="auto"/>
                <w:sz w:val="21"/>
                <w:szCs w:val="20"/>
                <w:highlight w:val="none"/>
              </w:rPr>
              <w:t>0.90m（宽）</w:t>
            </w:r>
            <w:r>
              <w:rPr>
                <w:rFonts w:ascii="Arial" w:hAnsi="Arial"/>
                <w:color w:val="auto"/>
                <w:sz w:val="21"/>
                <w:szCs w:val="20"/>
                <w:highlight w:val="none"/>
              </w:rPr>
              <w:t>×</w:t>
            </w:r>
            <w:r>
              <w:rPr>
                <w:rFonts w:hint="eastAsia"/>
                <w:color w:val="auto"/>
                <w:sz w:val="21"/>
                <w:szCs w:val="20"/>
                <w:highlight w:val="none"/>
              </w:rPr>
              <w:t>2.1m（高）(单开门)</w:t>
            </w:r>
          </w:p>
        </w:tc>
        <w:tc>
          <w:tcPr>
            <w:tcW w:w="1060" w:type="dxa"/>
            <w:vAlign w:val="center"/>
          </w:tcPr>
          <w:p w14:paraId="1A74B64B">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598AF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27B4A6C4">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23</w:t>
            </w:r>
          </w:p>
        </w:tc>
        <w:tc>
          <w:tcPr>
            <w:tcW w:w="3255" w:type="dxa"/>
            <w:vAlign w:val="center"/>
          </w:tcPr>
          <w:p w14:paraId="183D0DB2">
            <w:pPr>
              <w:shd w:val="clear"/>
              <w:spacing w:line="240" w:lineRule="auto"/>
              <w:ind w:firstLine="0" w:firstLineChars="0"/>
              <w:jc w:val="center"/>
              <w:rPr>
                <w:color w:val="auto"/>
                <w:sz w:val="21"/>
                <w:szCs w:val="20"/>
                <w:highlight w:val="none"/>
              </w:rPr>
            </w:pPr>
            <w:r>
              <w:rPr>
                <w:rFonts w:hint="eastAsia"/>
                <w:color w:val="auto"/>
                <w:sz w:val="21"/>
                <w:szCs w:val="20"/>
                <w:highlight w:val="none"/>
              </w:rPr>
              <w:t>矿槽自动上料PLC室北门</w:t>
            </w:r>
          </w:p>
        </w:tc>
        <w:tc>
          <w:tcPr>
            <w:tcW w:w="4035" w:type="dxa"/>
            <w:vAlign w:val="center"/>
          </w:tcPr>
          <w:p w14:paraId="64B6175F">
            <w:pPr>
              <w:shd w:val="clear"/>
              <w:spacing w:line="240" w:lineRule="auto"/>
              <w:ind w:firstLine="0" w:firstLineChars="0"/>
              <w:jc w:val="center"/>
              <w:rPr>
                <w:color w:val="auto"/>
                <w:sz w:val="21"/>
                <w:szCs w:val="20"/>
                <w:highlight w:val="none"/>
              </w:rPr>
            </w:pPr>
            <w:r>
              <w:rPr>
                <w:rFonts w:hint="eastAsia"/>
                <w:color w:val="auto"/>
                <w:sz w:val="21"/>
                <w:szCs w:val="20"/>
                <w:highlight w:val="none"/>
              </w:rPr>
              <w:t>0.90m（宽）</w:t>
            </w:r>
            <w:r>
              <w:rPr>
                <w:rFonts w:ascii="Arial" w:hAnsi="Arial"/>
                <w:color w:val="auto"/>
                <w:sz w:val="21"/>
                <w:szCs w:val="20"/>
                <w:highlight w:val="none"/>
              </w:rPr>
              <w:t>×</w:t>
            </w:r>
            <w:r>
              <w:rPr>
                <w:rFonts w:hint="eastAsia"/>
                <w:color w:val="auto"/>
                <w:sz w:val="21"/>
                <w:szCs w:val="20"/>
                <w:highlight w:val="none"/>
              </w:rPr>
              <w:t>2.1m（高）(单开门)</w:t>
            </w:r>
          </w:p>
        </w:tc>
        <w:tc>
          <w:tcPr>
            <w:tcW w:w="1060" w:type="dxa"/>
            <w:vAlign w:val="center"/>
          </w:tcPr>
          <w:p w14:paraId="6693F811">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5D968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51165075">
            <w:pPr>
              <w:widowControl/>
              <w:shd w:val="clear"/>
              <w:ind w:firstLine="0" w:firstLineChars="0"/>
              <w:jc w:val="center"/>
              <w:textAlignment w:val="center"/>
              <w:rPr>
                <w:rFonts w:cs="宋体"/>
                <w:color w:val="auto"/>
                <w:kern w:val="0"/>
                <w:highlight w:val="none"/>
                <w:lang w:bidi="ar"/>
              </w:rPr>
            </w:pPr>
            <w:r>
              <w:rPr>
                <w:rFonts w:hint="eastAsia" w:cs="宋体"/>
                <w:color w:val="auto"/>
                <w:kern w:val="0"/>
                <w:highlight w:val="none"/>
                <w:lang w:bidi="ar"/>
              </w:rPr>
              <w:t>24</w:t>
            </w:r>
          </w:p>
        </w:tc>
        <w:tc>
          <w:tcPr>
            <w:tcW w:w="3255" w:type="dxa"/>
            <w:vAlign w:val="center"/>
          </w:tcPr>
          <w:p w14:paraId="6AB5E6C8">
            <w:pPr>
              <w:shd w:val="clear"/>
              <w:spacing w:line="240" w:lineRule="auto"/>
              <w:ind w:firstLine="0" w:firstLineChars="0"/>
              <w:jc w:val="center"/>
              <w:rPr>
                <w:color w:val="auto"/>
                <w:sz w:val="21"/>
                <w:szCs w:val="20"/>
                <w:highlight w:val="none"/>
              </w:rPr>
            </w:pPr>
            <w:r>
              <w:rPr>
                <w:rFonts w:hint="eastAsia"/>
                <w:color w:val="auto"/>
                <w:sz w:val="21"/>
                <w:szCs w:val="20"/>
                <w:highlight w:val="none"/>
              </w:rPr>
              <w:t>炉前液压操作室</w:t>
            </w:r>
          </w:p>
        </w:tc>
        <w:tc>
          <w:tcPr>
            <w:tcW w:w="4035" w:type="dxa"/>
            <w:vAlign w:val="center"/>
          </w:tcPr>
          <w:p w14:paraId="6B25A0D2">
            <w:pPr>
              <w:shd w:val="clear"/>
              <w:spacing w:line="240" w:lineRule="auto"/>
              <w:ind w:firstLine="0" w:firstLineChars="0"/>
              <w:jc w:val="center"/>
              <w:rPr>
                <w:color w:val="auto"/>
                <w:sz w:val="21"/>
                <w:szCs w:val="20"/>
                <w:highlight w:val="none"/>
              </w:rPr>
            </w:pPr>
            <w:r>
              <w:rPr>
                <w:rFonts w:hint="eastAsia"/>
                <w:color w:val="auto"/>
                <w:sz w:val="21"/>
                <w:szCs w:val="20"/>
                <w:highlight w:val="none"/>
              </w:rPr>
              <w:t>1.20m（宽）</w:t>
            </w:r>
            <w:r>
              <w:rPr>
                <w:rFonts w:ascii="Arial" w:hAnsi="Arial"/>
                <w:color w:val="auto"/>
                <w:sz w:val="21"/>
                <w:szCs w:val="20"/>
                <w:highlight w:val="none"/>
              </w:rPr>
              <w:t>×</w:t>
            </w:r>
            <w:r>
              <w:rPr>
                <w:rFonts w:hint="eastAsia"/>
                <w:color w:val="auto"/>
                <w:sz w:val="21"/>
                <w:szCs w:val="20"/>
                <w:highlight w:val="none"/>
              </w:rPr>
              <w:t>2.4m（高）(单开门)</w:t>
            </w:r>
          </w:p>
        </w:tc>
        <w:tc>
          <w:tcPr>
            <w:tcW w:w="1060" w:type="dxa"/>
            <w:vAlign w:val="center"/>
          </w:tcPr>
          <w:p w14:paraId="7DFA60A5">
            <w:pPr>
              <w:widowControl/>
              <w:shd w:val="clear"/>
              <w:ind w:firstLine="0" w:firstLineChars="0"/>
              <w:jc w:val="center"/>
              <w:textAlignment w:val="center"/>
              <w:rPr>
                <w:rFonts w:cs="宋体"/>
                <w:color w:val="auto"/>
                <w:kern w:val="0"/>
                <w:highlight w:val="none"/>
                <w:lang w:bidi="ar"/>
              </w:rPr>
            </w:pPr>
            <w:r>
              <w:rPr>
                <w:rFonts w:hint="eastAsia" w:cs="宋体"/>
                <w:color w:val="auto"/>
                <w:kern w:val="0"/>
                <w:highlight w:val="none"/>
                <w:lang w:bidi="ar"/>
              </w:rPr>
              <w:t>2</w:t>
            </w:r>
          </w:p>
        </w:tc>
      </w:tr>
    </w:tbl>
    <w:p w14:paraId="3584A437">
      <w:pPr>
        <w:pStyle w:val="17"/>
        <w:shd w:val="clear"/>
        <w:ind w:firstLine="0" w:firstLineChars="0"/>
        <w:rPr>
          <w:rFonts w:hint="eastAsia"/>
          <w:color w:val="auto"/>
          <w:highlight w:val="none"/>
        </w:rPr>
      </w:pPr>
      <w:r>
        <w:rPr>
          <w:rFonts w:hint="eastAsia" w:hAnsi="Times New Roman" w:cs="Times New Roman"/>
          <w:b w:val="0"/>
          <w:bCs w:val="0"/>
          <w:color w:val="auto"/>
          <w:sz w:val="24"/>
          <w:szCs w:val="24"/>
          <w:highlight w:val="none"/>
        </w:rPr>
        <w:t>（1</w:t>
      </w:r>
      <w:r>
        <w:rPr>
          <w:rFonts w:hint="eastAsia" w:hAnsi="Times New Roman" w:cs="Times New Roman"/>
          <w:b w:val="0"/>
          <w:bCs w:val="0"/>
          <w:color w:val="auto"/>
          <w:sz w:val="24"/>
          <w:szCs w:val="24"/>
          <w:highlight w:val="none"/>
          <w:lang w:val="en-US" w:eastAsia="zh-CN"/>
        </w:rPr>
        <w:t>6</w:t>
      </w:r>
      <w:r>
        <w:rPr>
          <w:rFonts w:hint="eastAsia" w:hAnsi="Times New Roman" w:cs="Times New Roman"/>
          <w:b w:val="0"/>
          <w:bCs w:val="0"/>
          <w:color w:val="auto"/>
          <w:sz w:val="24"/>
          <w:szCs w:val="24"/>
          <w:highlight w:val="none"/>
        </w:rPr>
        <w:t>）</w:t>
      </w:r>
      <w:r>
        <w:rPr>
          <w:rFonts w:hint="eastAsia" w:ascii="宋体" w:hAnsi="Times New Roman" w:eastAsia="宋体" w:cs="Times New Roman"/>
          <w:b w:val="0"/>
          <w:bCs w:val="0"/>
          <w:color w:val="auto"/>
          <w:sz w:val="24"/>
          <w:szCs w:val="24"/>
          <w:highlight w:val="none"/>
          <w:lang w:val="en-US" w:eastAsia="zh-CN"/>
        </w:rPr>
        <w:t>大修需更换门窗数量</w:t>
      </w:r>
    </w:p>
    <w:tbl>
      <w:tblPr>
        <w:tblStyle w:val="60"/>
        <w:tblW w:w="874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61"/>
        <w:gridCol w:w="2731"/>
        <w:gridCol w:w="1712"/>
        <w:gridCol w:w="1712"/>
        <w:gridCol w:w="1429"/>
      </w:tblGrid>
      <w:tr w14:paraId="7A12F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8745" w:type="dxa"/>
            <w:gridSpan w:val="5"/>
            <w:tcBorders>
              <w:top w:val="nil"/>
              <w:left w:val="nil"/>
              <w:bottom w:val="nil"/>
              <w:right w:val="nil"/>
            </w:tcBorders>
            <w:shd w:val="clear" w:color="auto" w:fill="auto"/>
            <w:noWrap/>
            <w:vAlign w:val="center"/>
          </w:tcPr>
          <w:p w14:paraId="4BA81C56">
            <w:pPr>
              <w:shd w:val="clear"/>
              <w:autoSpaceDE w:val="0"/>
              <w:autoSpaceDN w:val="0"/>
              <w:ind w:left="432" w:hanging="432" w:firstLineChars="0"/>
              <w:jc w:val="center"/>
              <w:outlineLvl w:val="0"/>
              <w:rPr>
                <w:rFonts w:hint="eastAsia"/>
                <w:color w:val="auto"/>
                <w:sz w:val="21"/>
                <w:szCs w:val="21"/>
                <w:highlight w:val="none"/>
              </w:rPr>
            </w:pPr>
            <w:bookmarkStart w:id="1612" w:name="_Toc6301"/>
            <w:r>
              <w:rPr>
                <w:rFonts w:hint="eastAsia"/>
                <w:color w:val="auto"/>
                <w:sz w:val="21"/>
                <w:szCs w:val="21"/>
                <w:highlight w:val="none"/>
                <w:lang w:val="en-US" w:eastAsia="zh-CN"/>
              </w:rPr>
              <w:t>2号高炉大修需更换门窗数量</w:t>
            </w:r>
            <w:bookmarkEnd w:id="1612"/>
          </w:p>
        </w:tc>
      </w:tr>
      <w:tr w14:paraId="3BF95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35499">
            <w:pPr>
              <w:shd w:val="clear"/>
              <w:autoSpaceDE w:val="0"/>
              <w:autoSpaceDN w:val="0"/>
              <w:ind w:left="432" w:hanging="432" w:firstLineChars="0"/>
              <w:jc w:val="center"/>
              <w:outlineLvl w:val="0"/>
              <w:rPr>
                <w:rFonts w:hint="eastAsia"/>
                <w:color w:val="auto"/>
                <w:sz w:val="21"/>
                <w:szCs w:val="21"/>
                <w:highlight w:val="none"/>
              </w:rPr>
            </w:pPr>
            <w:bookmarkStart w:id="1613" w:name="_Toc11721"/>
            <w:r>
              <w:rPr>
                <w:rFonts w:hint="eastAsia"/>
                <w:color w:val="auto"/>
                <w:sz w:val="21"/>
                <w:szCs w:val="21"/>
                <w:highlight w:val="none"/>
                <w:lang w:val="en-US" w:eastAsia="zh-CN"/>
              </w:rPr>
              <w:t>序号</w:t>
            </w:r>
            <w:bookmarkEnd w:id="1613"/>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F9032">
            <w:pPr>
              <w:shd w:val="clear"/>
              <w:autoSpaceDE w:val="0"/>
              <w:autoSpaceDN w:val="0"/>
              <w:ind w:left="432" w:hanging="432" w:firstLineChars="0"/>
              <w:jc w:val="center"/>
              <w:outlineLvl w:val="0"/>
              <w:rPr>
                <w:rFonts w:hint="eastAsia"/>
                <w:color w:val="auto"/>
                <w:sz w:val="21"/>
                <w:szCs w:val="21"/>
                <w:highlight w:val="none"/>
              </w:rPr>
            </w:pPr>
            <w:bookmarkStart w:id="1614" w:name="_Toc9213"/>
            <w:r>
              <w:rPr>
                <w:rFonts w:hint="eastAsia"/>
                <w:color w:val="auto"/>
                <w:sz w:val="21"/>
                <w:szCs w:val="21"/>
                <w:highlight w:val="none"/>
                <w:lang w:val="en-US" w:eastAsia="zh-CN"/>
              </w:rPr>
              <w:t>地点</w:t>
            </w:r>
            <w:bookmarkEnd w:id="1614"/>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9C8CA">
            <w:pPr>
              <w:shd w:val="clear"/>
              <w:autoSpaceDE w:val="0"/>
              <w:autoSpaceDN w:val="0"/>
              <w:ind w:left="432" w:hanging="432" w:firstLineChars="0"/>
              <w:jc w:val="center"/>
              <w:outlineLvl w:val="0"/>
              <w:rPr>
                <w:rFonts w:hint="eastAsia"/>
                <w:color w:val="auto"/>
                <w:sz w:val="21"/>
                <w:szCs w:val="21"/>
                <w:highlight w:val="none"/>
              </w:rPr>
            </w:pPr>
            <w:bookmarkStart w:id="1615" w:name="_Toc30124"/>
            <w:r>
              <w:rPr>
                <w:rFonts w:hint="eastAsia"/>
                <w:color w:val="auto"/>
                <w:sz w:val="21"/>
                <w:szCs w:val="21"/>
                <w:highlight w:val="none"/>
                <w:lang w:val="en-US" w:eastAsia="zh-CN"/>
              </w:rPr>
              <w:t>门（个数）</w:t>
            </w:r>
            <w:bookmarkEnd w:id="1615"/>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19093D89">
            <w:pPr>
              <w:shd w:val="clear"/>
              <w:autoSpaceDE w:val="0"/>
              <w:autoSpaceDN w:val="0"/>
              <w:ind w:left="432" w:hanging="432" w:firstLineChars="0"/>
              <w:jc w:val="center"/>
              <w:outlineLvl w:val="0"/>
              <w:rPr>
                <w:rFonts w:hint="eastAsia"/>
                <w:color w:val="auto"/>
                <w:sz w:val="21"/>
                <w:szCs w:val="21"/>
                <w:highlight w:val="none"/>
              </w:rPr>
            </w:pPr>
            <w:bookmarkStart w:id="1616" w:name="_Toc9067"/>
            <w:r>
              <w:rPr>
                <w:rFonts w:hint="eastAsia"/>
                <w:color w:val="auto"/>
                <w:sz w:val="21"/>
                <w:szCs w:val="21"/>
                <w:highlight w:val="none"/>
                <w:lang w:val="en-US" w:eastAsia="zh-CN"/>
              </w:rPr>
              <w:t>窗（个数）</w:t>
            </w:r>
            <w:bookmarkEnd w:id="1616"/>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53013">
            <w:pPr>
              <w:shd w:val="clear"/>
              <w:autoSpaceDE w:val="0"/>
              <w:autoSpaceDN w:val="0"/>
              <w:ind w:left="432" w:hanging="432" w:firstLineChars="0"/>
              <w:jc w:val="center"/>
              <w:outlineLvl w:val="0"/>
              <w:rPr>
                <w:rFonts w:hint="eastAsia"/>
                <w:color w:val="auto"/>
                <w:sz w:val="21"/>
                <w:szCs w:val="21"/>
                <w:highlight w:val="none"/>
              </w:rPr>
            </w:pPr>
            <w:bookmarkStart w:id="1617" w:name="_Toc12988"/>
            <w:r>
              <w:rPr>
                <w:rFonts w:hint="eastAsia"/>
                <w:color w:val="auto"/>
                <w:sz w:val="21"/>
                <w:szCs w:val="21"/>
                <w:highlight w:val="none"/>
                <w:lang w:val="en-US" w:eastAsia="zh-CN"/>
              </w:rPr>
              <w:t>备注</w:t>
            </w:r>
            <w:bookmarkEnd w:id="1617"/>
          </w:p>
        </w:tc>
      </w:tr>
      <w:tr w14:paraId="69FD1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1D305">
            <w:pPr>
              <w:shd w:val="clear"/>
              <w:autoSpaceDE w:val="0"/>
              <w:autoSpaceDN w:val="0"/>
              <w:ind w:left="432" w:hanging="432" w:firstLineChars="0"/>
              <w:jc w:val="center"/>
              <w:outlineLvl w:val="0"/>
              <w:rPr>
                <w:rFonts w:hint="eastAsia"/>
                <w:color w:val="auto"/>
                <w:sz w:val="21"/>
                <w:szCs w:val="21"/>
                <w:highlight w:val="none"/>
              </w:rPr>
            </w:pPr>
            <w:bookmarkStart w:id="1618" w:name="_Toc30800"/>
            <w:r>
              <w:rPr>
                <w:rFonts w:hint="eastAsia"/>
                <w:color w:val="auto"/>
                <w:sz w:val="21"/>
                <w:szCs w:val="21"/>
                <w:highlight w:val="none"/>
                <w:lang w:val="en-US" w:eastAsia="zh-CN"/>
              </w:rPr>
              <w:t>1</w:t>
            </w:r>
            <w:bookmarkEnd w:id="1618"/>
          </w:p>
        </w:tc>
        <w:tc>
          <w:tcPr>
            <w:tcW w:w="2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84A85">
            <w:pPr>
              <w:shd w:val="clear"/>
              <w:autoSpaceDE w:val="0"/>
              <w:autoSpaceDN w:val="0"/>
              <w:ind w:left="432" w:hanging="432" w:firstLineChars="0"/>
              <w:jc w:val="center"/>
              <w:outlineLvl w:val="0"/>
              <w:rPr>
                <w:rFonts w:hint="eastAsia"/>
                <w:color w:val="auto"/>
                <w:sz w:val="21"/>
                <w:szCs w:val="21"/>
                <w:highlight w:val="none"/>
              </w:rPr>
            </w:pPr>
            <w:bookmarkStart w:id="1619" w:name="_Toc21870"/>
            <w:r>
              <w:rPr>
                <w:rFonts w:hint="eastAsia"/>
                <w:color w:val="auto"/>
                <w:sz w:val="21"/>
                <w:szCs w:val="21"/>
                <w:highlight w:val="none"/>
                <w:lang w:val="en-US" w:eastAsia="zh-CN"/>
              </w:rPr>
              <w:t>2号高炉矿槽除尘操作室、电气室</w:t>
            </w:r>
            <w:bookmarkEnd w:id="1619"/>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C3DB2">
            <w:pPr>
              <w:shd w:val="clear"/>
              <w:autoSpaceDE w:val="0"/>
              <w:autoSpaceDN w:val="0"/>
              <w:ind w:left="432" w:hanging="432" w:firstLineChars="0"/>
              <w:jc w:val="center"/>
              <w:outlineLvl w:val="0"/>
              <w:rPr>
                <w:rFonts w:hint="eastAsia"/>
                <w:color w:val="auto"/>
                <w:sz w:val="21"/>
                <w:szCs w:val="21"/>
                <w:highlight w:val="none"/>
              </w:rPr>
            </w:pPr>
            <w:bookmarkStart w:id="1620" w:name="_Toc23350"/>
            <w:r>
              <w:rPr>
                <w:rFonts w:hint="eastAsia"/>
                <w:color w:val="auto"/>
                <w:sz w:val="21"/>
                <w:szCs w:val="21"/>
                <w:highlight w:val="none"/>
                <w:lang w:val="en-US" w:eastAsia="zh-CN"/>
              </w:rPr>
              <w:t>3</w:t>
            </w:r>
            <w:bookmarkEnd w:id="1620"/>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2A07DCA9">
            <w:pPr>
              <w:shd w:val="clear"/>
              <w:autoSpaceDE w:val="0"/>
              <w:autoSpaceDN w:val="0"/>
              <w:ind w:left="432" w:hanging="432" w:firstLineChars="0"/>
              <w:jc w:val="center"/>
              <w:outlineLvl w:val="0"/>
              <w:rPr>
                <w:rFonts w:hint="eastAsia"/>
                <w:color w:val="auto"/>
                <w:sz w:val="21"/>
                <w:szCs w:val="21"/>
                <w:highlight w:val="none"/>
              </w:rPr>
            </w:pPr>
            <w:bookmarkStart w:id="1621" w:name="_Toc15975"/>
            <w:r>
              <w:rPr>
                <w:rFonts w:hint="eastAsia"/>
                <w:color w:val="auto"/>
                <w:sz w:val="21"/>
                <w:szCs w:val="21"/>
                <w:highlight w:val="none"/>
                <w:lang w:val="en-US" w:eastAsia="zh-CN"/>
              </w:rPr>
              <w:t>5</w:t>
            </w:r>
            <w:bookmarkEnd w:id="1621"/>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EDC20">
            <w:pPr>
              <w:shd w:val="clear"/>
              <w:autoSpaceDE w:val="0"/>
              <w:autoSpaceDN w:val="0"/>
              <w:ind w:left="432" w:hanging="432" w:firstLineChars="0"/>
              <w:jc w:val="center"/>
              <w:outlineLvl w:val="0"/>
              <w:rPr>
                <w:rFonts w:hint="eastAsia"/>
                <w:color w:val="auto"/>
                <w:sz w:val="21"/>
                <w:szCs w:val="21"/>
                <w:highlight w:val="none"/>
              </w:rPr>
            </w:pPr>
          </w:p>
        </w:tc>
      </w:tr>
      <w:tr w14:paraId="077EA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AA32A">
            <w:pPr>
              <w:shd w:val="clear"/>
              <w:autoSpaceDE w:val="0"/>
              <w:autoSpaceDN w:val="0"/>
              <w:ind w:left="432" w:hanging="432" w:firstLineChars="0"/>
              <w:jc w:val="center"/>
              <w:outlineLvl w:val="0"/>
              <w:rPr>
                <w:rFonts w:hint="eastAsia"/>
                <w:color w:val="auto"/>
                <w:sz w:val="21"/>
                <w:szCs w:val="21"/>
                <w:highlight w:val="none"/>
              </w:rPr>
            </w:pPr>
            <w:bookmarkStart w:id="1622" w:name="_Toc4968"/>
            <w:r>
              <w:rPr>
                <w:rFonts w:hint="eastAsia"/>
                <w:color w:val="auto"/>
                <w:sz w:val="21"/>
                <w:szCs w:val="21"/>
                <w:highlight w:val="none"/>
                <w:lang w:val="en-US" w:eastAsia="zh-CN"/>
              </w:rPr>
              <w:t>2</w:t>
            </w:r>
            <w:bookmarkEnd w:id="1622"/>
          </w:p>
        </w:tc>
        <w:tc>
          <w:tcPr>
            <w:tcW w:w="2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C0FD7">
            <w:pPr>
              <w:shd w:val="clear"/>
              <w:autoSpaceDE w:val="0"/>
              <w:autoSpaceDN w:val="0"/>
              <w:ind w:left="432" w:hanging="432" w:firstLineChars="0"/>
              <w:jc w:val="center"/>
              <w:outlineLvl w:val="0"/>
              <w:rPr>
                <w:rFonts w:hint="eastAsia"/>
                <w:color w:val="auto"/>
                <w:sz w:val="21"/>
                <w:szCs w:val="21"/>
                <w:highlight w:val="none"/>
              </w:rPr>
            </w:pPr>
            <w:bookmarkStart w:id="1623" w:name="_Toc17432"/>
            <w:r>
              <w:rPr>
                <w:rFonts w:hint="eastAsia"/>
                <w:color w:val="auto"/>
                <w:sz w:val="21"/>
                <w:szCs w:val="21"/>
                <w:highlight w:val="none"/>
                <w:lang w:val="en-US" w:eastAsia="zh-CN"/>
              </w:rPr>
              <w:t>2号高炉矿槽除尘风机房</w:t>
            </w:r>
            <w:bookmarkEnd w:id="1623"/>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34C88">
            <w:pPr>
              <w:shd w:val="clear"/>
              <w:autoSpaceDE w:val="0"/>
              <w:autoSpaceDN w:val="0"/>
              <w:ind w:left="432" w:hanging="432" w:firstLineChars="0"/>
              <w:jc w:val="center"/>
              <w:outlineLvl w:val="0"/>
              <w:rPr>
                <w:rFonts w:hint="eastAsia"/>
                <w:color w:val="auto"/>
                <w:sz w:val="21"/>
                <w:szCs w:val="21"/>
                <w:highlight w:val="none"/>
              </w:rPr>
            </w:pPr>
            <w:bookmarkStart w:id="1624" w:name="_Toc24732"/>
            <w:r>
              <w:rPr>
                <w:rFonts w:hint="eastAsia"/>
                <w:color w:val="auto"/>
                <w:sz w:val="21"/>
                <w:szCs w:val="21"/>
                <w:highlight w:val="none"/>
                <w:lang w:val="en-US" w:eastAsia="zh-CN"/>
              </w:rPr>
              <w:t>0</w:t>
            </w:r>
            <w:bookmarkEnd w:id="1624"/>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6266BC9E">
            <w:pPr>
              <w:shd w:val="clear"/>
              <w:autoSpaceDE w:val="0"/>
              <w:autoSpaceDN w:val="0"/>
              <w:ind w:left="432" w:hanging="432" w:firstLineChars="0"/>
              <w:jc w:val="center"/>
              <w:outlineLvl w:val="0"/>
              <w:rPr>
                <w:rFonts w:hint="eastAsia"/>
                <w:color w:val="auto"/>
                <w:sz w:val="21"/>
                <w:szCs w:val="21"/>
                <w:highlight w:val="none"/>
              </w:rPr>
            </w:pPr>
            <w:bookmarkStart w:id="1625" w:name="_Toc1601"/>
            <w:r>
              <w:rPr>
                <w:rFonts w:hint="eastAsia"/>
                <w:color w:val="auto"/>
                <w:sz w:val="21"/>
                <w:szCs w:val="21"/>
                <w:highlight w:val="none"/>
                <w:lang w:val="en-US" w:eastAsia="zh-CN"/>
              </w:rPr>
              <w:t>11</w:t>
            </w:r>
            <w:bookmarkEnd w:id="1625"/>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034C6">
            <w:pPr>
              <w:shd w:val="clear"/>
              <w:autoSpaceDE w:val="0"/>
              <w:autoSpaceDN w:val="0"/>
              <w:ind w:left="432" w:hanging="432" w:firstLineChars="0"/>
              <w:jc w:val="center"/>
              <w:outlineLvl w:val="0"/>
              <w:rPr>
                <w:rFonts w:hint="eastAsia"/>
                <w:color w:val="auto"/>
                <w:sz w:val="21"/>
                <w:szCs w:val="21"/>
                <w:highlight w:val="none"/>
              </w:rPr>
            </w:pPr>
            <w:bookmarkStart w:id="1626" w:name="_Toc20208"/>
            <w:r>
              <w:rPr>
                <w:rFonts w:hint="eastAsia"/>
                <w:color w:val="auto"/>
                <w:sz w:val="21"/>
                <w:szCs w:val="21"/>
                <w:highlight w:val="none"/>
                <w:lang w:val="en-US" w:eastAsia="zh-CN"/>
              </w:rPr>
              <w:t>外墙翻新</w:t>
            </w:r>
            <w:bookmarkEnd w:id="1626"/>
          </w:p>
        </w:tc>
      </w:tr>
      <w:tr w14:paraId="5F0DC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8D936">
            <w:pPr>
              <w:shd w:val="clear"/>
              <w:autoSpaceDE w:val="0"/>
              <w:autoSpaceDN w:val="0"/>
              <w:ind w:left="432" w:hanging="432" w:firstLineChars="0"/>
              <w:jc w:val="center"/>
              <w:outlineLvl w:val="0"/>
              <w:rPr>
                <w:rFonts w:hint="eastAsia"/>
                <w:color w:val="auto"/>
                <w:sz w:val="21"/>
                <w:szCs w:val="21"/>
                <w:highlight w:val="none"/>
              </w:rPr>
            </w:pPr>
            <w:bookmarkStart w:id="1627" w:name="_Toc1661"/>
            <w:r>
              <w:rPr>
                <w:rFonts w:hint="eastAsia"/>
                <w:color w:val="auto"/>
                <w:sz w:val="21"/>
                <w:szCs w:val="21"/>
                <w:highlight w:val="none"/>
                <w:lang w:val="en-US" w:eastAsia="zh-CN"/>
              </w:rPr>
              <w:t>3</w:t>
            </w:r>
            <w:bookmarkEnd w:id="1627"/>
          </w:p>
        </w:tc>
        <w:tc>
          <w:tcPr>
            <w:tcW w:w="2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C1652">
            <w:pPr>
              <w:shd w:val="clear"/>
              <w:autoSpaceDE w:val="0"/>
              <w:autoSpaceDN w:val="0"/>
              <w:ind w:left="432" w:hanging="432" w:firstLineChars="0"/>
              <w:jc w:val="center"/>
              <w:outlineLvl w:val="0"/>
              <w:rPr>
                <w:rFonts w:hint="eastAsia"/>
                <w:color w:val="auto"/>
                <w:sz w:val="21"/>
                <w:szCs w:val="21"/>
                <w:highlight w:val="none"/>
              </w:rPr>
            </w:pPr>
            <w:bookmarkStart w:id="1628" w:name="_Toc12218"/>
            <w:r>
              <w:rPr>
                <w:rFonts w:hint="eastAsia"/>
                <w:color w:val="auto"/>
                <w:sz w:val="21"/>
                <w:szCs w:val="21"/>
                <w:highlight w:val="none"/>
                <w:lang w:val="en-US" w:eastAsia="zh-CN"/>
              </w:rPr>
              <w:t>原2号出铁场除尘操作室、电气室</w:t>
            </w:r>
            <w:bookmarkEnd w:id="1628"/>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BD634">
            <w:pPr>
              <w:shd w:val="clear"/>
              <w:autoSpaceDE w:val="0"/>
              <w:autoSpaceDN w:val="0"/>
              <w:ind w:left="432" w:hanging="432" w:firstLineChars="0"/>
              <w:jc w:val="center"/>
              <w:outlineLvl w:val="0"/>
              <w:rPr>
                <w:rFonts w:hint="eastAsia" w:eastAsia="宋体"/>
                <w:color w:val="auto"/>
                <w:sz w:val="21"/>
                <w:szCs w:val="21"/>
                <w:highlight w:val="none"/>
                <w:lang w:val="en-US" w:eastAsia="zh-CN"/>
              </w:rPr>
            </w:pPr>
            <w:bookmarkStart w:id="1629" w:name="_Toc30279"/>
            <w:r>
              <w:rPr>
                <w:rFonts w:hint="eastAsia"/>
                <w:color w:val="auto"/>
                <w:sz w:val="21"/>
                <w:szCs w:val="21"/>
                <w:highlight w:val="none"/>
                <w:lang w:val="en-US" w:eastAsia="zh-CN"/>
              </w:rPr>
              <w:t>2</w:t>
            </w:r>
            <w:bookmarkEnd w:id="1629"/>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10E73BB5">
            <w:pPr>
              <w:shd w:val="clear"/>
              <w:autoSpaceDE w:val="0"/>
              <w:autoSpaceDN w:val="0"/>
              <w:ind w:left="432" w:hanging="432" w:firstLineChars="0"/>
              <w:jc w:val="center"/>
              <w:outlineLvl w:val="0"/>
              <w:rPr>
                <w:rFonts w:hint="eastAsia"/>
                <w:color w:val="auto"/>
                <w:sz w:val="21"/>
                <w:szCs w:val="21"/>
                <w:highlight w:val="none"/>
              </w:rPr>
            </w:pPr>
            <w:bookmarkStart w:id="1630" w:name="_Toc1538"/>
            <w:r>
              <w:rPr>
                <w:rFonts w:hint="eastAsia"/>
                <w:color w:val="auto"/>
                <w:sz w:val="21"/>
                <w:szCs w:val="21"/>
                <w:highlight w:val="none"/>
                <w:lang w:val="en-US" w:eastAsia="zh-CN"/>
              </w:rPr>
              <w:t>6</w:t>
            </w:r>
            <w:bookmarkEnd w:id="1630"/>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0B292">
            <w:pPr>
              <w:shd w:val="clear"/>
              <w:autoSpaceDE w:val="0"/>
              <w:autoSpaceDN w:val="0"/>
              <w:ind w:left="432" w:hanging="432" w:firstLineChars="0"/>
              <w:jc w:val="center"/>
              <w:outlineLvl w:val="0"/>
              <w:rPr>
                <w:rFonts w:hint="eastAsia"/>
                <w:color w:val="auto"/>
                <w:sz w:val="21"/>
                <w:szCs w:val="21"/>
                <w:highlight w:val="none"/>
              </w:rPr>
            </w:pPr>
          </w:p>
        </w:tc>
      </w:tr>
      <w:tr w14:paraId="7946E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68A5B">
            <w:pPr>
              <w:shd w:val="clear"/>
              <w:autoSpaceDE w:val="0"/>
              <w:autoSpaceDN w:val="0"/>
              <w:ind w:left="432" w:hanging="432" w:firstLineChars="0"/>
              <w:jc w:val="center"/>
              <w:outlineLvl w:val="0"/>
              <w:rPr>
                <w:rFonts w:hint="eastAsia"/>
                <w:color w:val="auto"/>
                <w:sz w:val="21"/>
                <w:szCs w:val="21"/>
                <w:highlight w:val="none"/>
              </w:rPr>
            </w:pPr>
            <w:bookmarkStart w:id="1631" w:name="_Toc28188"/>
            <w:r>
              <w:rPr>
                <w:rFonts w:hint="eastAsia"/>
                <w:color w:val="auto"/>
                <w:sz w:val="21"/>
                <w:szCs w:val="21"/>
                <w:highlight w:val="none"/>
                <w:lang w:val="en-US" w:eastAsia="zh-CN"/>
              </w:rPr>
              <w:t>4</w:t>
            </w:r>
            <w:bookmarkEnd w:id="1631"/>
          </w:p>
        </w:tc>
        <w:tc>
          <w:tcPr>
            <w:tcW w:w="2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9C762">
            <w:pPr>
              <w:shd w:val="clear"/>
              <w:autoSpaceDE w:val="0"/>
              <w:autoSpaceDN w:val="0"/>
              <w:ind w:left="432" w:hanging="432" w:firstLineChars="0"/>
              <w:jc w:val="center"/>
              <w:outlineLvl w:val="0"/>
              <w:rPr>
                <w:rFonts w:hint="eastAsia"/>
                <w:color w:val="auto"/>
                <w:sz w:val="21"/>
                <w:szCs w:val="21"/>
                <w:highlight w:val="none"/>
              </w:rPr>
            </w:pPr>
            <w:bookmarkStart w:id="1632" w:name="_Toc27549"/>
            <w:r>
              <w:rPr>
                <w:rFonts w:hint="eastAsia"/>
                <w:color w:val="auto"/>
                <w:sz w:val="21"/>
                <w:szCs w:val="21"/>
                <w:highlight w:val="none"/>
                <w:lang w:val="en-US" w:eastAsia="zh-CN"/>
              </w:rPr>
              <w:t>原2号出铁场除尘风机房</w:t>
            </w:r>
            <w:bookmarkEnd w:id="1632"/>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5F62C">
            <w:pPr>
              <w:shd w:val="clear"/>
              <w:autoSpaceDE w:val="0"/>
              <w:autoSpaceDN w:val="0"/>
              <w:ind w:left="432" w:hanging="432" w:firstLineChars="0"/>
              <w:jc w:val="center"/>
              <w:outlineLvl w:val="0"/>
              <w:rPr>
                <w:rFonts w:hint="eastAsia"/>
                <w:color w:val="auto"/>
                <w:sz w:val="21"/>
                <w:szCs w:val="21"/>
                <w:highlight w:val="none"/>
              </w:rPr>
            </w:pPr>
            <w:bookmarkStart w:id="1633" w:name="_Toc7838"/>
            <w:r>
              <w:rPr>
                <w:rFonts w:hint="eastAsia"/>
                <w:color w:val="auto"/>
                <w:sz w:val="21"/>
                <w:szCs w:val="21"/>
                <w:highlight w:val="none"/>
                <w:lang w:val="en-US" w:eastAsia="zh-CN"/>
              </w:rPr>
              <w:t>0</w:t>
            </w:r>
            <w:bookmarkEnd w:id="1633"/>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5A5943FA">
            <w:pPr>
              <w:shd w:val="clear"/>
              <w:autoSpaceDE w:val="0"/>
              <w:autoSpaceDN w:val="0"/>
              <w:ind w:left="432" w:hanging="432" w:firstLineChars="0"/>
              <w:jc w:val="center"/>
              <w:outlineLvl w:val="0"/>
              <w:rPr>
                <w:rFonts w:hint="eastAsia"/>
                <w:color w:val="auto"/>
                <w:sz w:val="21"/>
                <w:szCs w:val="21"/>
                <w:highlight w:val="none"/>
              </w:rPr>
            </w:pPr>
            <w:bookmarkStart w:id="1634" w:name="_Toc23613"/>
            <w:r>
              <w:rPr>
                <w:rFonts w:hint="eastAsia"/>
                <w:color w:val="auto"/>
                <w:sz w:val="21"/>
                <w:szCs w:val="21"/>
                <w:highlight w:val="none"/>
                <w:lang w:val="en-US" w:eastAsia="zh-CN"/>
              </w:rPr>
              <w:t>17</w:t>
            </w:r>
            <w:bookmarkEnd w:id="1634"/>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D11D9">
            <w:pPr>
              <w:shd w:val="clear"/>
              <w:autoSpaceDE w:val="0"/>
              <w:autoSpaceDN w:val="0"/>
              <w:ind w:left="432" w:hanging="432" w:firstLineChars="0"/>
              <w:jc w:val="center"/>
              <w:outlineLvl w:val="0"/>
              <w:rPr>
                <w:rFonts w:hint="eastAsia"/>
                <w:color w:val="auto"/>
                <w:sz w:val="21"/>
                <w:szCs w:val="21"/>
                <w:highlight w:val="none"/>
              </w:rPr>
            </w:pPr>
            <w:bookmarkStart w:id="1635" w:name="_Toc21481"/>
            <w:r>
              <w:rPr>
                <w:rFonts w:hint="eastAsia"/>
                <w:color w:val="auto"/>
                <w:sz w:val="21"/>
                <w:szCs w:val="21"/>
                <w:highlight w:val="none"/>
                <w:lang w:val="en-US" w:eastAsia="zh-CN"/>
              </w:rPr>
              <w:t>外墙翻新</w:t>
            </w:r>
            <w:bookmarkEnd w:id="1635"/>
          </w:p>
        </w:tc>
      </w:tr>
      <w:tr w14:paraId="5DC6B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EEA14">
            <w:pPr>
              <w:shd w:val="clear"/>
              <w:autoSpaceDE w:val="0"/>
              <w:autoSpaceDN w:val="0"/>
              <w:ind w:left="432" w:hanging="432" w:firstLineChars="0"/>
              <w:jc w:val="center"/>
              <w:outlineLvl w:val="0"/>
              <w:rPr>
                <w:rFonts w:hint="eastAsia"/>
                <w:color w:val="auto"/>
                <w:sz w:val="21"/>
                <w:szCs w:val="21"/>
                <w:highlight w:val="none"/>
              </w:rPr>
            </w:pPr>
            <w:bookmarkStart w:id="1636" w:name="_Toc32249"/>
            <w:r>
              <w:rPr>
                <w:rFonts w:hint="eastAsia"/>
                <w:color w:val="auto"/>
                <w:sz w:val="21"/>
                <w:szCs w:val="21"/>
                <w:highlight w:val="none"/>
                <w:lang w:val="en-US" w:eastAsia="zh-CN"/>
              </w:rPr>
              <w:t>5</w:t>
            </w:r>
            <w:bookmarkEnd w:id="1636"/>
          </w:p>
        </w:tc>
        <w:tc>
          <w:tcPr>
            <w:tcW w:w="2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1CC8D">
            <w:pPr>
              <w:shd w:val="clear"/>
              <w:autoSpaceDE w:val="0"/>
              <w:autoSpaceDN w:val="0"/>
              <w:ind w:left="432" w:hanging="432" w:firstLineChars="0"/>
              <w:jc w:val="center"/>
              <w:outlineLvl w:val="0"/>
              <w:rPr>
                <w:rFonts w:hint="eastAsia"/>
                <w:color w:val="auto"/>
                <w:sz w:val="21"/>
                <w:szCs w:val="21"/>
                <w:highlight w:val="none"/>
              </w:rPr>
            </w:pPr>
            <w:bookmarkStart w:id="1637" w:name="_Toc9338"/>
            <w:r>
              <w:rPr>
                <w:rFonts w:hint="eastAsia"/>
                <w:color w:val="auto"/>
                <w:sz w:val="21"/>
                <w:szCs w:val="21"/>
                <w:highlight w:val="none"/>
                <w:lang w:val="en-US" w:eastAsia="zh-CN"/>
              </w:rPr>
              <w:t>地沟休息室</w:t>
            </w:r>
            <w:bookmarkEnd w:id="1637"/>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08CCC">
            <w:pPr>
              <w:shd w:val="clear"/>
              <w:autoSpaceDE w:val="0"/>
              <w:autoSpaceDN w:val="0"/>
              <w:ind w:left="432" w:hanging="432" w:firstLineChars="0"/>
              <w:jc w:val="center"/>
              <w:outlineLvl w:val="0"/>
              <w:rPr>
                <w:rFonts w:hint="eastAsia"/>
                <w:color w:val="auto"/>
                <w:sz w:val="21"/>
                <w:szCs w:val="21"/>
                <w:highlight w:val="none"/>
              </w:rPr>
            </w:pPr>
            <w:bookmarkStart w:id="1638" w:name="_Toc31512"/>
            <w:r>
              <w:rPr>
                <w:rFonts w:hint="eastAsia"/>
                <w:color w:val="auto"/>
                <w:sz w:val="21"/>
                <w:szCs w:val="21"/>
                <w:highlight w:val="none"/>
                <w:lang w:val="en-US" w:eastAsia="zh-CN"/>
              </w:rPr>
              <w:t>0</w:t>
            </w:r>
            <w:bookmarkEnd w:id="1638"/>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30F6E153">
            <w:pPr>
              <w:shd w:val="clear"/>
              <w:autoSpaceDE w:val="0"/>
              <w:autoSpaceDN w:val="0"/>
              <w:ind w:left="432" w:hanging="432" w:firstLineChars="0"/>
              <w:jc w:val="center"/>
              <w:outlineLvl w:val="0"/>
              <w:rPr>
                <w:rFonts w:hint="eastAsia"/>
                <w:color w:val="auto"/>
                <w:sz w:val="21"/>
                <w:szCs w:val="21"/>
                <w:highlight w:val="none"/>
              </w:rPr>
            </w:pPr>
            <w:bookmarkStart w:id="1639" w:name="_Toc12369"/>
            <w:r>
              <w:rPr>
                <w:rFonts w:hint="eastAsia"/>
                <w:color w:val="auto"/>
                <w:sz w:val="21"/>
                <w:szCs w:val="21"/>
                <w:highlight w:val="none"/>
                <w:lang w:val="en-US" w:eastAsia="zh-CN"/>
              </w:rPr>
              <w:t>2</w:t>
            </w:r>
            <w:bookmarkEnd w:id="1639"/>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63062">
            <w:pPr>
              <w:shd w:val="clear"/>
              <w:autoSpaceDE w:val="0"/>
              <w:autoSpaceDN w:val="0"/>
              <w:ind w:left="432" w:hanging="432" w:firstLineChars="0"/>
              <w:jc w:val="center"/>
              <w:outlineLvl w:val="0"/>
              <w:rPr>
                <w:rFonts w:hint="eastAsia"/>
                <w:color w:val="auto"/>
                <w:sz w:val="21"/>
                <w:szCs w:val="21"/>
                <w:highlight w:val="none"/>
              </w:rPr>
            </w:pPr>
          </w:p>
        </w:tc>
      </w:tr>
      <w:tr w14:paraId="4FDAE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8A4F7">
            <w:pPr>
              <w:shd w:val="clear"/>
              <w:autoSpaceDE w:val="0"/>
              <w:autoSpaceDN w:val="0"/>
              <w:ind w:left="432" w:hanging="432" w:firstLineChars="0"/>
              <w:jc w:val="center"/>
              <w:outlineLvl w:val="0"/>
              <w:rPr>
                <w:rFonts w:hint="eastAsia"/>
                <w:color w:val="auto"/>
                <w:sz w:val="21"/>
                <w:szCs w:val="21"/>
                <w:highlight w:val="none"/>
              </w:rPr>
            </w:pPr>
            <w:bookmarkStart w:id="1640" w:name="_Toc24350"/>
            <w:r>
              <w:rPr>
                <w:rFonts w:hint="eastAsia"/>
                <w:color w:val="auto"/>
                <w:sz w:val="21"/>
                <w:szCs w:val="21"/>
                <w:highlight w:val="none"/>
                <w:lang w:val="en-US" w:eastAsia="zh-CN"/>
              </w:rPr>
              <w:t>6</w:t>
            </w:r>
            <w:bookmarkEnd w:id="1640"/>
          </w:p>
        </w:tc>
        <w:tc>
          <w:tcPr>
            <w:tcW w:w="2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C008C">
            <w:pPr>
              <w:shd w:val="clear"/>
              <w:autoSpaceDE w:val="0"/>
              <w:autoSpaceDN w:val="0"/>
              <w:ind w:left="432" w:hanging="432" w:firstLineChars="0"/>
              <w:jc w:val="center"/>
              <w:outlineLvl w:val="0"/>
              <w:rPr>
                <w:rFonts w:hint="eastAsia"/>
                <w:color w:val="auto"/>
                <w:sz w:val="21"/>
                <w:szCs w:val="21"/>
                <w:highlight w:val="none"/>
              </w:rPr>
            </w:pPr>
            <w:bookmarkStart w:id="1641" w:name="_Toc14910"/>
            <w:r>
              <w:rPr>
                <w:rFonts w:hint="eastAsia"/>
                <w:color w:val="auto"/>
                <w:sz w:val="21"/>
                <w:szCs w:val="21"/>
                <w:highlight w:val="none"/>
                <w:lang w:val="en-US" w:eastAsia="zh-CN"/>
              </w:rPr>
              <w:t>槽上操作室（原2号高炉值班室）</w:t>
            </w:r>
            <w:bookmarkEnd w:id="1641"/>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88847">
            <w:pPr>
              <w:shd w:val="clear"/>
              <w:autoSpaceDE w:val="0"/>
              <w:autoSpaceDN w:val="0"/>
              <w:ind w:left="432" w:hanging="432" w:firstLineChars="0"/>
              <w:jc w:val="center"/>
              <w:outlineLvl w:val="0"/>
              <w:rPr>
                <w:rFonts w:hint="eastAsia"/>
                <w:color w:val="auto"/>
                <w:sz w:val="21"/>
                <w:szCs w:val="21"/>
                <w:highlight w:val="none"/>
              </w:rPr>
            </w:pPr>
            <w:bookmarkStart w:id="1642" w:name="_Toc14709"/>
            <w:r>
              <w:rPr>
                <w:rFonts w:hint="eastAsia"/>
                <w:color w:val="auto"/>
                <w:sz w:val="21"/>
                <w:szCs w:val="21"/>
                <w:highlight w:val="none"/>
                <w:lang w:val="en-US" w:eastAsia="zh-CN"/>
              </w:rPr>
              <w:t>1</w:t>
            </w:r>
            <w:bookmarkEnd w:id="1642"/>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204AFB1E">
            <w:pPr>
              <w:shd w:val="clear"/>
              <w:autoSpaceDE w:val="0"/>
              <w:autoSpaceDN w:val="0"/>
              <w:ind w:left="432" w:hanging="432" w:firstLineChars="0"/>
              <w:jc w:val="center"/>
              <w:outlineLvl w:val="0"/>
              <w:rPr>
                <w:rFonts w:hint="eastAsia"/>
                <w:color w:val="auto"/>
                <w:sz w:val="21"/>
                <w:szCs w:val="21"/>
                <w:highlight w:val="none"/>
              </w:rPr>
            </w:pPr>
            <w:bookmarkStart w:id="1643" w:name="_Toc29816"/>
            <w:r>
              <w:rPr>
                <w:rFonts w:hint="eastAsia"/>
                <w:color w:val="auto"/>
                <w:sz w:val="21"/>
                <w:szCs w:val="21"/>
                <w:highlight w:val="none"/>
                <w:lang w:val="en-US" w:eastAsia="zh-CN"/>
              </w:rPr>
              <w:t>5</w:t>
            </w:r>
            <w:bookmarkEnd w:id="1643"/>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3D0FC">
            <w:pPr>
              <w:shd w:val="clear"/>
              <w:autoSpaceDE w:val="0"/>
              <w:autoSpaceDN w:val="0"/>
              <w:ind w:left="432" w:hanging="432" w:firstLineChars="0"/>
              <w:jc w:val="center"/>
              <w:outlineLvl w:val="0"/>
              <w:rPr>
                <w:rFonts w:hint="eastAsia"/>
                <w:color w:val="auto"/>
                <w:sz w:val="21"/>
                <w:szCs w:val="21"/>
                <w:highlight w:val="none"/>
              </w:rPr>
            </w:pPr>
          </w:p>
        </w:tc>
      </w:tr>
      <w:tr w14:paraId="279EE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26E6D">
            <w:pPr>
              <w:shd w:val="clear"/>
              <w:autoSpaceDE w:val="0"/>
              <w:autoSpaceDN w:val="0"/>
              <w:ind w:left="432" w:hanging="432" w:firstLineChars="0"/>
              <w:jc w:val="center"/>
              <w:outlineLvl w:val="0"/>
              <w:rPr>
                <w:rFonts w:hint="eastAsia"/>
                <w:color w:val="auto"/>
                <w:sz w:val="21"/>
                <w:szCs w:val="21"/>
                <w:highlight w:val="none"/>
              </w:rPr>
            </w:pPr>
            <w:bookmarkStart w:id="1644" w:name="_Toc6695"/>
            <w:r>
              <w:rPr>
                <w:rFonts w:hint="eastAsia"/>
                <w:color w:val="auto"/>
                <w:sz w:val="21"/>
                <w:szCs w:val="21"/>
                <w:highlight w:val="none"/>
                <w:lang w:val="en-US" w:eastAsia="zh-CN"/>
              </w:rPr>
              <w:t>7</w:t>
            </w:r>
            <w:bookmarkEnd w:id="1644"/>
          </w:p>
        </w:tc>
        <w:tc>
          <w:tcPr>
            <w:tcW w:w="2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5FF74">
            <w:pPr>
              <w:shd w:val="clear"/>
              <w:autoSpaceDE w:val="0"/>
              <w:autoSpaceDN w:val="0"/>
              <w:ind w:left="432" w:hanging="432" w:firstLineChars="0"/>
              <w:jc w:val="center"/>
              <w:outlineLvl w:val="0"/>
              <w:rPr>
                <w:rFonts w:hint="eastAsia"/>
                <w:color w:val="auto"/>
                <w:sz w:val="21"/>
                <w:szCs w:val="21"/>
                <w:highlight w:val="none"/>
              </w:rPr>
            </w:pPr>
            <w:bookmarkStart w:id="1645" w:name="_Toc25317"/>
            <w:r>
              <w:rPr>
                <w:rFonts w:hint="eastAsia"/>
                <w:color w:val="auto"/>
                <w:sz w:val="21"/>
                <w:szCs w:val="21"/>
                <w:highlight w:val="none"/>
                <w:lang w:val="en-US" w:eastAsia="zh-CN"/>
              </w:rPr>
              <w:t>2号高炉助燃风机房</w:t>
            </w:r>
            <w:bookmarkEnd w:id="1645"/>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1D146">
            <w:pPr>
              <w:shd w:val="clear"/>
              <w:autoSpaceDE w:val="0"/>
              <w:autoSpaceDN w:val="0"/>
              <w:ind w:left="432" w:hanging="432" w:firstLineChars="0"/>
              <w:jc w:val="center"/>
              <w:outlineLvl w:val="0"/>
              <w:rPr>
                <w:rFonts w:hint="eastAsia" w:eastAsia="宋体"/>
                <w:color w:val="auto"/>
                <w:sz w:val="21"/>
                <w:szCs w:val="21"/>
                <w:highlight w:val="none"/>
                <w:lang w:val="en-US" w:eastAsia="zh-CN"/>
              </w:rPr>
            </w:pPr>
            <w:bookmarkStart w:id="1646" w:name="_Toc24954"/>
            <w:r>
              <w:rPr>
                <w:rFonts w:hint="eastAsia"/>
                <w:color w:val="auto"/>
                <w:sz w:val="21"/>
                <w:szCs w:val="21"/>
                <w:highlight w:val="none"/>
                <w:lang w:val="en-US" w:eastAsia="zh-CN"/>
              </w:rPr>
              <w:t>0</w:t>
            </w:r>
            <w:bookmarkEnd w:id="1646"/>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46A6532E">
            <w:pPr>
              <w:shd w:val="clear"/>
              <w:autoSpaceDE w:val="0"/>
              <w:autoSpaceDN w:val="0"/>
              <w:ind w:left="432" w:hanging="432" w:firstLineChars="0"/>
              <w:jc w:val="center"/>
              <w:outlineLvl w:val="0"/>
              <w:rPr>
                <w:rFonts w:hint="eastAsia"/>
                <w:color w:val="auto"/>
                <w:sz w:val="21"/>
                <w:szCs w:val="21"/>
                <w:highlight w:val="none"/>
              </w:rPr>
            </w:pPr>
            <w:bookmarkStart w:id="1647" w:name="_Toc2245"/>
            <w:r>
              <w:rPr>
                <w:rFonts w:hint="eastAsia"/>
                <w:color w:val="auto"/>
                <w:sz w:val="21"/>
                <w:szCs w:val="21"/>
                <w:highlight w:val="none"/>
                <w:lang w:val="en-US" w:eastAsia="zh-CN"/>
              </w:rPr>
              <w:t>2</w:t>
            </w:r>
            <w:bookmarkEnd w:id="1647"/>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FB084">
            <w:pPr>
              <w:shd w:val="clear"/>
              <w:autoSpaceDE w:val="0"/>
              <w:autoSpaceDN w:val="0"/>
              <w:ind w:left="432" w:hanging="432" w:firstLineChars="0"/>
              <w:jc w:val="center"/>
              <w:outlineLvl w:val="0"/>
              <w:rPr>
                <w:rFonts w:hint="eastAsia"/>
                <w:color w:val="auto"/>
                <w:sz w:val="21"/>
                <w:szCs w:val="21"/>
                <w:highlight w:val="none"/>
              </w:rPr>
            </w:pPr>
          </w:p>
        </w:tc>
      </w:tr>
      <w:tr w14:paraId="6152F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8FE23">
            <w:pPr>
              <w:shd w:val="clear"/>
              <w:autoSpaceDE w:val="0"/>
              <w:autoSpaceDN w:val="0"/>
              <w:ind w:left="432" w:hanging="432" w:firstLineChars="0"/>
              <w:jc w:val="center"/>
              <w:outlineLvl w:val="0"/>
              <w:rPr>
                <w:rFonts w:hint="eastAsia"/>
                <w:color w:val="auto"/>
                <w:sz w:val="21"/>
                <w:szCs w:val="21"/>
                <w:highlight w:val="none"/>
              </w:rPr>
            </w:pPr>
            <w:bookmarkStart w:id="1648" w:name="_Toc24949"/>
            <w:r>
              <w:rPr>
                <w:rFonts w:hint="eastAsia"/>
                <w:color w:val="auto"/>
                <w:sz w:val="21"/>
                <w:szCs w:val="21"/>
                <w:highlight w:val="none"/>
                <w:lang w:val="en-US" w:eastAsia="zh-CN"/>
              </w:rPr>
              <w:t>8</w:t>
            </w:r>
            <w:bookmarkEnd w:id="1648"/>
          </w:p>
        </w:tc>
        <w:tc>
          <w:tcPr>
            <w:tcW w:w="2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C993F">
            <w:pPr>
              <w:shd w:val="clear"/>
              <w:autoSpaceDE w:val="0"/>
              <w:autoSpaceDN w:val="0"/>
              <w:ind w:left="432" w:hanging="432" w:firstLineChars="0"/>
              <w:jc w:val="center"/>
              <w:outlineLvl w:val="0"/>
              <w:rPr>
                <w:rFonts w:hint="eastAsia"/>
                <w:color w:val="auto"/>
                <w:sz w:val="21"/>
                <w:szCs w:val="21"/>
                <w:highlight w:val="none"/>
              </w:rPr>
            </w:pPr>
            <w:bookmarkStart w:id="1649" w:name="_Toc2204"/>
            <w:r>
              <w:rPr>
                <w:rFonts w:hint="eastAsia"/>
                <w:color w:val="auto"/>
                <w:sz w:val="21"/>
                <w:szCs w:val="21"/>
                <w:highlight w:val="none"/>
                <w:lang w:val="en-US" w:eastAsia="zh-CN"/>
              </w:rPr>
              <w:t>2号高炉热风炉电磁站1楼</w:t>
            </w:r>
            <w:bookmarkEnd w:id="1649"/>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8D1D4">
            <w:pPr>
              <w:shd w:val="clear"/>
              <w:autoSpaceDE w:val="0"/>
              <w:autoSpaceDN w:val="0"/>
              <w:ind w:left="432" w:hanging="432" w:firstLineChars="0"/>
              <w:jc w:val="center"/>
              <w:outlineLvl w:val="0"/>
              <w:rPr>
                <w:rFonts w:hint="eastAsia"/>
                <w:color w:val="auto"/>
                <w:sz w:val="21"/>
                <w:szCs w:val="21"/>
                <w:highlight w:val="none"/>
              </w:rPr>
            </w:pPr>
            <w:bookmarkStart w:id="1650" w:name="_Toc18268"/>
            <w:r>
              <w:rPr>
                <w:rFonts w:hint="eastAsia"/>
                <w:color w:val="auto"/>
                <w:sz w:val="21"/>
                <w:szCs w:val="21"/>
                <w:highlight w:val="none"/>
                <w:lang w:val="en-US" w:eastAsia="zh-CN"/>
              </w:rPr>
              <w:t>1</w:t>
            </w:r>
            <w:bookmarkEnd w:id="1650"/>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2644BF9A">
            <w:pPr>
              <w:shd w:val="clear"/>
              <w:autoSpaceDE w:val="0"/>
              <w:autoSpaceDN w:val="0"/>
              <w:ind w:left="432" w:hanging="432" w:firstLineChars="0"/>
              <w:jc w:val="center"/>
              <w:outlineLvl w:val="0"/>
              <w:rPr>
                <w:rFonts w:hint="eastAsia"/>
                <w:color w:val="auto"/>
                <w:sz w:val="21"/>
                <w:szCs w:val="21"/>
                <w:highlight w:val="none"/>
              </w:rPr>
            </w:pPr>
            <w:bookmarkStart w:id="1651" w:name="_Toc3776"/>
            <w:r>
              <w:rPr>
                <w:rFonts w:hint="eastAsia"/>
                <w:color w:val="auto"/>
                <w:sz w:val="21"/>
                <w:szCs w:val="21"/>
                <w:highlight w:val="none"/>
                <w:lang w:val="en-US" w:eastAsia="zh-CN"/>
              </w:rPr>
              <w:t>3</w:t>
            </w:r>
            <w:bookmarkEnd w:id="1651"/>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9E2B8">
            <w:pPr>
              <w:shd w:val="clear"/>
              <w:autoSpaceDE w:val="0"/>
              <w:autoSpaceDN w:val="0"/>
              <w:ind w:left="432" w:hanging="432" w:firstLineChars="0"/>
              <w:jc w:val="center"/>
              <w:outlineLvl w:val="0"/>
              <w:rPr>
                <w:rFonts w:hint="default" w:eastAsia="宋体"/>
                <w:color w:val="auto"/>
                <w:sz w:val="21"/>
                <w:szCs w:val="21"/>
                <w:highlight w:val="none"/>
                <w:lang w:val="en-US" w:eastAsia="zh-CN"/>
              </w:rPr>
            </w:pPr>
            <w:bookmarkStart w:id="1652" w:name="_Toc29562"/>
            <w:r>
              <w:rPr>
                <w:rFonts w:hint="eastAsia"/>
                <w:color w:val="auto"/>
                <w:sz w:val="21"/>
                <w:szCs w:val="21"/>
                <w:highlight w:val="none"/>
                <w:lang w:val="en-US" w:eastAsia="zh-CN"/>
              </w:rPr>
              <w:t>防火门</w:t>
            </w:r>
            <w:bookmarkEnd w:id="1652"/>
          </w:p>
        </w:tc>
      </w:tr>
      <w:tr w14:paraId="1BE80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1A2F7">
            <w:pPr>
              <w:shd w:val="clear"/>
              <w:autoSpaceDE w:val="0"/>
              <w:autoSpaceDN w:val="0"/>
              <w:ind w:left="432" w:hanging="432" w:firstLineChars="0"/>
              <w:jc w:val="center"/>
              <w:outlineLvl w:val="0"/>
              <w:rPr>
                <w:rFonts w:hint="eastAsia"/>
                <w:color w:val="auto"/>
                <w:sz w:val="21"/>
                <w:szCs w:val="21"/>
                <w:highlight w:val="none"/>
              </w:rPr>
            </w:pPr>
            <w:bookmarkStart w:id="1653" w:name="_Toc28443"/>
            <w:r>
              <w:rPr>
                <w:rFonts w:hint="eastAsia"/>
                <w:color w:val="auto"/>
                <w:sz w:val="21"/>
                <w:szCs w:val="21"/>
                <w:highlight w:val="none"/>
                <w:lang w:val="en-US" w:eastAsia="zh-CN"/>
              </w:rPr>
              <w:t>9</w:t>
            </w:r>
            <w:bookmarkEnd w:id="1653"/>
          </w:p>
        </w:tc>
        <w:tc>
          <w:tcPr>
            <w:tcW w:w="2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7FCC7">
            <w:pPr>
              <w:shd w:val="clear"/>
              <w:autoSpaceDE w:val="0"/>
              <w:autoSpaceDN w:val="0"/>
              <w:ind w:left="432" w:hanging="432" w:firstLineChars="0"/>
              <w:jc w:val="center"/>
              <w:outlineLvl w:val="0"/>
              <w:rPr>
                <w:rFonts w:hint="eastAsia"/>
                <w:color w:val="auto"/>
                <w:sz w:val="21"/>
                <w:szCs w:val="21"/>
                <w:highlight w:val="none"/>
              </w:rPr>
            </w:pPr>
            <w:bookmarkStart w:id="1654" w:name="_Toc14039"/>
            <w:r>
              <w:rPr>
                <w:rFonts w:hint="eastAsia"/>
                <w:color w:val="auto"/>
                <w:sz w:val="21"/>
                <w:szCs w:val="21"/>
                <w:highlight w:val="none"/>
                <w:lang w:val="en-US" w:eastAsia="zh-CN"/>
              </w:rPr>
              <w:t>2号高炉炉前休息室</w:t>
            </w:r>
            <w:bookmarkEnd w:id="1654"/>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35F7D">
            <w:pPr>
              <w:shd w:val="clear"/>
              <w:autoSpaceDE w:val="0"/>
              <w:autoSpaceDN w:val="0"/>
              <w:ind w:left="432" w:hanging="432" w:firstLineChars="0"/>
              <w:jc w:val="center"/>
              <w:outlineLvl w:val="0"/>
              <w:rPr>
                <w:rFonts w:hint="eastAsia"/>
                <w:color w:val="auto"/>
                <w:sz w:val="21"/>
                <w:szCs w:val="21"/>
                <w:highlight w:val="none"/>
              </w:rPr>
            </w:pPr>
            <w:bookmarkStart w:id="1655" w:name="_Toc4855"/>
            <w:r>
              <w:rPr>
                <w:rFonts w:hint="eastAsia"/>
                <w:color w:val="auto"/>
                <w:sz w:val="21"/>
                <w:szCs w:val="21"/>
                <w:highlight w:val="none"/>
                <w:lang w:val="en-US" w:eastAsia="zh-CN"/>
              </w:rPr>
              <w:t>4</w:t>
            </w:r>
            <w:bookmarkEnd w:id="1655"/>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6B2050CD">
            <w:pPr>
              <w:shd w:val="clear"/>
              <w:autoSpaceDE w:val="0"/>
              <w:autoSpaceDN w:val="0"/>
              <w:ind w:left="432" w:hanging="432" w:firstLineChars="0"/>
              <w:jc w:val="center"/>
              <w:outlineLvl w:val="0"/>
              <w:rPr>
                <w:rFonts w:hint="eastAsia"/>
                <w:color w:val="auto"/>
                <w:sz w:val="21"/>
                <w:szCs w:val="21"/>
                <w:highlight w:val="none"/>
              </w:rPr>
            </w:pPr>
            <w:bookmarkStart w:id="1656" w:name="_Toc31502"/>
            <w:r>
              <w:rPr>
                <w:rFonts w:hint="eastAsia"/>
                <w:color w:val="auto"/>
                <w:sz w:val="21"/>
                <w:szCs w:val="21"/>
                <w:highlight w:val="none"/>
                <w:lang w:val="en-US" w:eastAsia="zh-CN"/>
              </w:rPr>
              <w:t>4</w:t>
            </w:r>
            <w:bookmarkEnd w:id="1656"/>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8FA38">
            <w:pPr>
              <w:shd w:val="clear"/>
              <w:autoSpaceDE w:val="0"/>
              <w:autoSpaceDN w:val="0"/>
              <w:ind w:left="432" w:hanging="432" w:firstLineChars="0"/>
              <w:jc w:val="center"/>
              <w:outlineLvl w:val="0"/>
              <w:rPr>
                <w:rFonts w:hint="eastAsia"/>
                <w:color w:val="auto"/>
                <w:sz w:val="21"/>
                <w:szCs w:val="21"/>
                <w:highlight w:val="none"/>
              </w:rPr>
            </w:pPr>
          </w:p>
        </w:tc>
      </w:tr>
      <w:tr w14:paraId="72005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gridSpan w:val="4"/>
            <w:tcBorders>
              <w:top w:val="nil"/>
              <w:left w:val="nil"/>
              <w:bottom w:val="nil"/>
              <w:right w:val="nil"/>
            </w:tcBorders>
            <w:shd w:val="clear" w:color="auto" w:fill="auto"/>
            <w:noWrap/>
            <w:vAlign w:val="center"/>
          </w:tcPr>
          <w:p w14:paraId="43E5C5D9">
            <w:pPr>
              <w:shd w:val="clear"/>
              <w:autoSpaceDE w:val="0"/>
              <w:autoSpaceDN w:val="0"/>
              <w:ind w:left="432" w:hanging="432" w:firstLineChars="0"/>
              <w:jc w:val="center"/>
              <w:outlineLvl w:val="0"/>
              <w:rPr>
                <w:rFonts w:hint="eastAsia"/>
                <w:color w:val="auto"/>
                <w:sz w:val="21"/>
                <w:szCs w:val="21"/>
                <w:highlight w:val="none"/>
              </w:rPr>
            </w:pPr>
            <w:bookmarkStart w:id="1657" w:name="_Toc18962"/>
            <w:r>
              <w:rPr>
                <w:rFonts w:hint="eastAsia"/>
                <w:color w:val="auto"/>
                <w:sz w:val="21"/>
                <w:szCs w:val="21"/>
                <w:highlight w:val="none"/>
                <w:shd w:val="clear"/>
                <w:lang w:val="en-US" w:eastAsia="zh-CN"/>
              </w:rPr>
              <w:t>备注：槽上操作室、2号高炉矿槽除尘操作室需翻新</w:t>
            </w:r>
            <w:bookmarkEnd w:id="1657"/>
          </w:p>
        </w:tc>
        <w:tc>
          <w:tcPr>
            <w:tcW w:w="0" w:type="auto"/>
            <w:tcBorders>
              <w:top w:val="nil"/>
              <w:left w:val="nil"/>
              <w:bottom w:val="nil"/>
              <w:right w:val="nil"/>
            </w:tcBorders>
            <w:shd w:val="clear" w:color="auto" w:fill="auto"/>
            <w:noWrap/>
            <w:vAlign w:val="center"/>
          </w:tcPr>
          <w:p w14:paraId="76416750">
            <w:pPr>
              <w:shd w:val="clear"/>
              <w:autoSpaceDE w:val="0"/>
              <w:autoSpaceDN w:val="0"/>
              <w:ind w:left="432" w:hanging="432" w:firstLineChars="0"/>
              <w:jc w:val="center"/>
              <w:outlineLvl w:val="0"/>
              <w:rPr>
                <w:rFonts w:hint="eastAsia"/>
                <w:color w:val="auto"/>
                <w:sz w:val="21"/>
                <w:szCs w:val="21"/>
                <w:highlight w:val="none"/>
              </w:rPr>
            </w:pPr>
          </w:p>
        </w:tc>
      </w:tr>
    </w:tbl>
    <w:p w14:paraId="4DF67397">
      <w:pPr>
        <w:shd w:val="clear"/>
        <w:snapToGrid w:val="0"/>
        <w:ind w:firstLine="0" w:firstLineChars="0"/>
        <w:jc w:val="center"/>
        <w:outlineLvl w:val="0"/>
        <w:rPr>
          <w:rFonts w:ascii="Times New Roman" w:hAnsi="Times New Roman" w:cs="Times New Roman"/>
          <w:b/>
          <w:color w:val="auto"/>
          <w:kern w:val="0"/>
          <w:sz w:val="30"/>
          <w:szCs w:val="28"/>
          <w:highlight w:val="none"/>
          <w:lang w:val="zh-CN"/>
        </w:rPr>
      </w:pPr>
      <w:r>
        <w:rPr>
          <w:rFonts w:hint="eastAsia"/>
          <w:color w:val="auto"/>
          <w:highlight w:val="none"/>
        </w:rPr>
        <w:br w:type="page"/>
      </w:r>
      <w:bookmarkEnd w:id="1606"/>
      <w:bookmarkEnd w:id="1607"/>
      <w:bookmarkEnd w:id="1608"/>
      <w:bookmarkEnd w:id="1609"/>
      <w:bookmarkStart w:id="1658" w:name="_Toc8087"/>
      <w:bookmarkStart w:id="1659" w:name="_Toc27109"/>
      <w:bookmarkStart w:id="1660" w:name="_Toc24513"/>
      <w:bookmarkStart w:id="1661" w:name="_Toc30581"/>
      <w:bookmarkStart w:id="1662" w:name="_Toc14123"/>
      <w:bookmarkStart w:id="1663" w:name="_Toc4378"/>
      <w:r>
        <w:rPr>
          <w:rFonts w:ascii="Times New Roman" w:hAnsi="Times New Roman" w:cs="Times New Roman"/>
          <w:b/>
          <w:color w:val="auto"/>
          <w:kern w:val="0"/>
          <w:sz w:val="30"/>
          <w:szCs w:val="28"/>
          <w:highlight w:val="none"/>
          <w:lang w:val="zh-CN"/>
        </w:rPr>
        <w:t>1</w:t>
      </w:r>
      <w:r>
        <w:rPr>
          <w:rFonts w:hint="eastAsia" w:ascii="Times New Roman" w:hAnsi="Times New Roman" w:cs="Times New Roman"/>
          <w:b/>
          <w:color w:val="auto"/>
          <w:kern w:val="0"/>
          <w:sz w:val="30"/>
          <w:szCs w:val="28"/>
          <w:highlight w:val="none"/>
        </w:rPr>
        <w:t xml:space="preserve">5 </w:t>
      </w:r>
      <w:r>
        <w:rPr>
          <w:rFonts w:ascii="Times New Roman" w:hAnsi="Times New Roman" w:cs="Times New Roman"/>
          <w:b/>
          <w:color w:val="auto"/>
          <w:kern w:val="0"/>
          <w:sz w:val="30"/>
          <w:szCs w:val="28"/>
          <w:highlight w:val="none"/>
          <w:lang w:val="zh-CN"/>
        </w:rPr>
        <w:t>环境保护</w:t>
      </w:r>
      <w:bookmarkEnd w:id="1610"/>
      <w:bookmarkEnd w:id="1611"/>
      <w:bookmarkEnd w:id="1658"/>
      <w:bookmarkEnd w:id="1659"/>
      <w:bookmarkEnd w:id="1660"/>
      <w:bookmarkEnd w:id="1661"/>
      <w:bookmarkEnd w:id="1662"/>
      <w:bookmarkEnd w:id="1663"/>
    </w:p>
    <w:p w14:paraId="48CF788A">
      <w:pPr>
        <w:shd w:val="clear"/>
        <w:ind w:firstLine="0" w:firstLineChars="0"/>
        <w:outlineLvl w:val="1"/>
        <w:rPr>
          <w:rFonts w:cs="Times New Roman"/>
          <w:b/>
          <w:color w:val="auto"/>
          <w:sz w:val="28"/>
          <w:szCs w:val="28"/>
          <w:highlight w:val="none"/>
          <w:lang w:val="zh-CN"/>
        </w:rPr>
      </w:pPr>
      <w:bookmarkStart w:id="1664" w:name="_Toc70093516"/>
      <w:bookmarkStart w:id="1665" w:name="_Toc504"/>
      <w:bookmarkStart w:id="1666" w:name="_Toc4352"/>
      <w:bookmarkStart w:id="1667" w:name="_Toc15777"/>
      <w:bookmarkStart w:id="1668" w:name="_Toc32275"/>
      <w:bookmarkStart w:id="1669" w:name="_Toc2175"/>
      <w:bookmarkStart w:id="1670" w:name="_Toc28554"/>
      <w:bookmarkStart w:id="1671" w:name="_Toc14996"/>
      <w:r>
        <w:rPr>
          <w:rFonts w:hint="eastAsia" w:cs="Times New Roman"/>
          <w:b/>
          <w:color w:val="auto"/>
          <w:sz w:val="28"/>
          <w:szCs w:val="28"/>
          <w:highlight w:val="none"/>
          <w:lang w:val="zh-CN"/>
        </w:rPr>
        <w:t>1</w:t>
      </w:r>
      <w:r>
        <w:rPr>
          <w:rFonts w:hint="eastAsia" w:cs="Times New Roman"/>
          <w:b/>
          <w:color w:val="auto"/>
          <w:sz w:val="28"/>
          <w:szCs w:val="28"/>
          <w:highlight w:val="none"/>
        </w:rPr>
        <w:t>5</w:t>
      </w:r>
      <w:r>
        <w:rPr>
          <w:rFonts w:hint="eastAsia" w:cs="Times New Roman"/>
          <w:b/>
          <w:color w:val="auto"/>
          <w:sz w:val="28"/>
          <w:szCs w:val="28"/>
          <w:highlight w:val="none"/>
          <w:lang w:val="zh-CN"/>
        </w:rPr>
        <w:t>.1</w:t>
      </w:r>
      <w:r>
        <w:rPr>
          <w:rFonts w:hint="eastAsia" w:cs="Times New Roman"/>
          <w:b/>
          <w:color w:val="auto"/>
          <w:sz w:val="28"/>
          <w:szCs w:val="28"/>
          <w:highlight w:val="none"/>
        </w:rPr>
        <w:t xml:space="preserve"> </w:t>
      </w:r>
      <w:r>
        <w:rPr>
          <w:rFonts w:hint="eastAsia" w:cs="Times New Roman"/>
          <w:b/>
          <w:color w:val="auto"/>
          <w:sz w:val="28"/>
          <w:szCs w:val="28"/>
          <w:highlight w:val="none"/>
          <w:lang w:val="zh-CN"/>
        </w:rPr>
        <w:t>编制依据</w:t>
      </w:r>
      <w:bookmarkEnd w:id="1664"/>
      <w:r>
        <w:rPr>
          <w:rFonts w:hint="eastAsia" w:cs="Times New Roman"/>
          <w:b/>
          <w:color w:val="auto"/>
          <w:sz w:val="28"/>
          <w:szCs w:val="28"/>
          <w:highlight w:val="none"/>
          <w:lang w:val="zh-CN"/>
        </w:rPr>
        <w:t>及采用的标准</w:t>
      </w:r>
      <w:bookmarkEnd w:id="1665"/>
      <w:bookmarkEnd w:id="1666"/>
      <w:bookmarkEnd w:id="1667"/>
      <w:bookmarkEnd w:id="1668"/>
      <w:bookmarkEnd w:id="1669"/>
      <w:bookmarkEnd w:id="1670"/>
      <w:bookmarkEnd w:id="1671"/>
    </w:p>
    <w:p w14:paraId="1A04F5CD">
      <w:pPr>
        <w:shd w:val="clear"/>
        <w:rPr>
          <w:rFonts w:ascii="Times New Roman" w:hAnsi="Times New Roman" w:cs="Times New Roman"/>
          <w:color w:val="auto"/>
          <w:highlight w:val="none"/>
        </w:rPr>
      </w:pPr>
      <w:bookmarkStart w:id="1672" w:name="_Toc21596"/>
      <w:bookmarkStart w:id="1673" w:name="_Toc23799"/>
      <w:bookmarkStart w:id="1674" w:name="_Toc27532"/>
      <w:bookmarkStart w:id="1675" w:name="_Toc18295"/>
      <w:r>
        <w:rPr>
          <w:rFonts w:hint="eastAsia" w:ascii="Times New Roman" w:hAnsi="Times New Roman" w:cs="Times New Roman"/>
          <w:color w:val="auto"/>
          <w:highlight w:val="none"/>
        </w:rPr>
        <w:t>《中华人民共和国环境保护法》（2015年1月1日）</w:t>
      </w:r>
    </w:p>
    <w:p w14:paraId="05A74F82">
      <w:pPr>
        <w:shd w:val="clear"/>
        <w:rPr>
          <w:rFonts w:ascii="Times New Roman" w:hAnsi="Times New Roman" w:cs="Times New Roman"/>
          <w:color w:val="auto"/>
          <w:highlight w:val="none"/>
        </w:rPr>
      </w:pPr>
      <w:r>
        <w:rPr>
          <w:rFonts w:hint="eastAsia" w:ascii="Times New Roman" w:hAnsi="Times New Roman" w:cs="Times New Roman"/>
          <w:color w:val="auto"/>
          <w:highlight w:val="none"/>
        </w:rPr>
        <w:t>《中华人民共和国大气污染防治法》（2018年10月26日修订）</w:t>
      </w:r>
    </w:p>
    <w:p w14:paraId="0C2464B8">
      <w:pPr>
        <w:shd w:val="clear"/>
        <w:rPr>
          <w:rFonts w:ascii="Times New Roman" w:hAnsi="Times New Roman" w:cs="Times New Roman"/>
          <w:color w:val="auto"/>
          <w:highlight w:val="none"/>
        </w:rPr>
      </w:pPr>
      <w:r>
        <w:rPr>
          <w:rFonts w:hint="eastAsia" w:ascii="Times New Roman" w:hAnsi="Times New Roman" w:cs="Times New Roman"/>
          <w:color w:val="auto"/>
          <w:highlight w:val="none"/>
        </w:rPr>
        <w:t>《中华人民共和国噪声污染防治法》（2022年6月5日施行）</w:t>
      </w:r>
    </w:p>
    <w:p w14:paraId="51568EE2">
      <w:pPr>
        <w:shd w:val="clear"/>
        <w:rPr>
          <w:rFonts w:ascii="Times New Roman" w:hAnsi="Times New Roman" w:cs="Times New Roman"/>
          <w:color w:val="auto"/>
          <w:highlight w:val="none"/>
        </w:rPr>
      </w:pPr>
      <w:r>
        <w:rPr>
          <w:rFonts w:hint="eastAsia" w:ascii="Times New Roman" w:hAnsi="Times New Roman" w:cs="Times New Roman"/>
          <w:color w:val="auto"/>
          <w:highlight w:val="none"/>
        </w:rPr>
        <w:t>《中华人民共和国水污染防治法》</w:t>
      </w:r>
      <w:r>
        <w:rPr>
          <w:rFonts w:hint="eastAsia" w:ascii="Times New Roman" w:hAnsi="Times New Roman" w:cs="Times New Roman"/>
          <w:color w:val="auto"/>
          <w:highlight w:val="none"/>
        </w:rPr>
        <w:tab/>
      </w:r>
      <w:r>
        <w:rPr>
          <w:rFonts w:hint="eastAsia" w:ascii="Times New Roman" w:hAnsi="Times New Roman" w:cs="Times New Roman"/>
          <w:color w:val="auto"/>
          <w:highlight w:val="none"/>
        </w:rPr>
        <w:t>（2018年1月1日）</w:t>
      </w:r>
    </w:p>
    <w:p w14:paraId="44A6B39D">
      <w:pPr>
        <w:shd w:val="clear"/>
        <w:rPr>
          <w:rFonts w:ascii="Times New Roman" w:hAnsi="Times New Roman" w:cs="Times New Roman"/>
          <w:color w:val="auto"/>
          <w:highlight w:val="none"/>
        </w:rPr>
      </w:pPr>
      <w:r>
        <w:rPr>
          <w:rFonts w:hint="eastAsia" w:ascii="Times New Roman" w:hAnsi="Times New Roman" w:cs="Times New Roman"/>
          <w:color w:val="auto"/>
          <w:highlight w:val="none"/>
        </w:rPr>
        <w:t>《中华人民共和国土壤污染防治法》（2018年8月31日颁布，2019年1月1日施行）；</w:t>
      </w:r>
    </w:p>
    <w:p w14:paraId="53853C3C">
      <w:pPr>
        <w:shd w:val="clear"/>
        <w:rPr>
          <w:rFonts w:ascii="Times New Roman" w:hAnsi="Times New Roman" w:cs="Times New Roman"/>
          <w:color w:val="auto"/>
          <w:highlight w:val="none"/>
        </w:rPr>
      </w:pPr>
      <w:r>
        <w:rPr>
          <w:rFonts w:hint="eastAsia" w:ascii="Times New Roman" w:hAnsi="Times New Roman" w:cs="Times New Roman"/>
          <w:color w:val="auto"/>
          <w:highlight w:val="none"/>
        </w:rPr>
        <w:t>《中华人民共和国固体废物污染环境防治法》（2020年4月29日二次修订）</w:t>
      </w:r>
    </w:p>
    <w:p w14:paraId="7F72F5C1">
      <w:pPr>
        <w:shd w:val="clear"/>
        <w:rPr>
          <w:rFonts w:ascii="Times New Roman" w:hAnsi="Times New Roman" w:cs="Times New Roman"/>
          <w:color w:val="auto"/>
          <w:highlight w:val="none"/>
        </w:rPr>
      </w:pPr>
      <w:r>
        <w:rPr>
          <w:rFonts w:hint="eastAsia" w:ascii="Times New Roman" w:hAnsi="Times New Roman" w:cs="Times New Roman"/>
          <w:color w:val="auto"/>
          <w:highlight w:val="none"/>
        </w:rPr>
        <w:t>《国务院关于印发水污染防治行动计划的通知》（国发[2015]17号）</w:t>
      </w:r>
    </w:p>
    <w:p w14:paraId="6E759114">
      <w:pPr>
        <w:shd w:val="clear"/>
        <w:rPr>
          <w:rFonts w:ascii="Times New Roman" w:hAnsi="Times New Roman" w:cs="Times New Roman"/>
          <w:color w:val="auto"/>
          <w:highlight w:val="none"/>
        </w:rPr>
      </w:pPr>
      <w:r>
        <w:rPr>
          <w:rFonts w:hint="eastAsia" w:ascii="Times New Roman" w:hAnsi="Times New Roman" w:cs="Times New Roman"/>
          <w:color w:val="auto"/>
          <w:highlight w:val="none"/>
        </w:rPr>
        <w:t>《关于推进实施钢铁行业超低排放的意见》（环大气〔2019〕35号）</w:t>
      </w:r>
    </w:p>
    <w:p w14:paraId="24E59B3C">
      <w:pPr>
        <w:shd w:val="clear"/>
        <w:rPr>
          <w:rFonts w:ascii="Times New Roman" w:hAnsi="Times New Roman" w:cs="Times New Roman"/>
          <w:color w:val="auto"/>
          <w:highlight w:val="none"/>
        </w:rPr>
      </w:pPr>
      <w:r>
        <w:rPr>
          <w:rFonts w:hint="eastAsia" w:ascii="Times New Roman" w:hAnsi="Times New Roman" w:cs="Times New Roman"/>
          <w:color w:val="auto"/>
          <w:highlight w:val="none"/>
        </w:rPr>
        <w:t>《工业炉窑大气污染综合治理方案》（环大气[2019]56号）</w:t>
      </w:r>
    </w:p>
    <w:p w14:paraId="1E2EED97">
      <w:pPr>
        <w:shd w:val="clear"/>
        <w:rPr>
          <w:rFonts w:ascii="Times New Roman" w:hAnsi="Times New Roman" w:cs="Times New Roman"/>
          <w:color w:val="auto"/>
          <w:highlight w:val="none"/>
        </w:rPr>
      </w:pPr>
      <w:r>
        <w:rPr>
          <w:rFonts w:hint="eastAsia" w:ascii="Times New Roman" w:hAnsi="Times New Roman" w:cs="Times New Roman"/>
          <w:color w:val="auto"/>
          <w:highlight w:val="none"/>
        </w:rPr>
        <w:t>《甘肃省钢铁行业超低排放改造工作计划》（甘肃省生态环境厅大气环境处2019年12月24日发布）</w:t>
      </w:r>
    </w:p>
    <w:p w14:paraId="780A1128">
      <w:pPr>
        <w:shd w:val="clear"/>
        <w:rPr>
          <w:rFonts w:ascii="Times New Roman" w:hAnsi="Times New Roman" w:cs="Times New Roman"/>
          <w:color w:val="auto"/>
          <w:highlight w:val="none"/>
        </w:rPr>
      </w:pPr>
      <w:r>
        <w:rPr>
          <w:rFonts w:hint="eastAsia" w:ascii="Times New Roman" w:hAnsi="Times New Roman" w:cs="Times New Roman"/>
          <w:color w:val="auto"/>
          <w:highlight w:val="none"/>
        </w:rPr>
        <w:t>《钢铁工业环境保护设计规范》（GB50406-2017）；</w:t>
      </w:r>
    </w:p>
    <w:p w14:paraId="7D27A407">
      <w:pPr>
        <w:shd w:val="clear"/>
        <w:rPr>
          <w:rFonts w:ascii="Times New Roman" w:hAnsi="Times New Roman" w:cs="Times New Roman"/>
          <w:color w:val="auto"/>
          <w:highlight w:val="none"/>
        </w:rPr>
      </w:pPr>
      <w:r>
        <w:rPr>
          <w:rFonts w:hint="eastAsia" w:ascii="Times New Roman" w:hAnsi="Times New Roman" w:cs="Times New Roman"/>
          <w:color w:val="auto"/>
          <w:highlight w:val="none"/>
        </w:rPr>
        <w:t>《炼铁工业大气污染物排放标准》（GB28663-2012）；</w:t>
      </w:r>
    </w:p>
    <w:p w14:paraId="73CF577A">
      <w:pPr>
        <w:shd w:val="clear"/>
        <w:rPr>
          <w:rFonts w:ascii="Times New Roman" w:hAnsi="Times New Roman" w:cs="Times New Roman"/>
          <w:color w:val="auto"/>
          <w:highlight w:val="none"/>
        </w:rPr>
      </w:pPr>
      <w:r>
        <w:rPr>
          <w:rFonts w:hint="eastAsia" w:ascii="Times New Roman" w:hAnsi="Times New Roman" w:cs="Times New Roman"/>
          <w:color w:val="auto"/>
          <w:highlight w:val="none"/>
        </w:rPr>
        <w:t>《钢铁工业水污染物排放标准》（GB13456-2012及2020年修改单）；</w:t>
      </w:r>
    </w:p>
    <w:p w14:paraId="0AAE1A21">
      <w:pPr>
        <w:shd w:val="clear"/>
        <w:rPr>
          <w:rFonts w:ascii="Times New Roman" w:hAnsi="Times New Roman" w:cs="Times New Roman"/>
          <w:color w:val="auto"/>
          <w:highlight w:val="none"/>
        </w:rPr>
      </w:pPr>
      <w:r>
        <w:rPr>
          <w:rFonts w:hint="eastAsia" w:ascii="Times New Roman" w:hAnsi="Times New Roman" w:cs="Times New Roman"/>
          <w:color w:val="auto"/>
          <w:highlight w:val="none"/>
        </w:rPr>
        <w:t>《排污单位自行监测技术指南 钢铁工业及炼焦化学工业》（HJ878-2017）</w:t>
      </w:r>
    </w:p>
    <w:p w14:paraId="1F809F15">
      <w:pPr>
        <w:shd w:val="clear"/>
        <w:rPr>
          <w:rFonts w:ascii="Times New Roman" w:hAnsi="Times New Roman" w:cs="Times New Roman"/>
          <w:color w:val="auto"/>
          <w:highlight w:val="none"/>
        </w:rPr>
      </w:pPr>
      <w:r>
        <w:rPr>
          <w:rFonts w:hint="eastAsia" w:ascii="Times New Roman" w:hAnsi="Times New Roman" w:cs="Times New Roman"/>
          <w:color w:val="auto"/>
          <w:highlight w:val="none"/>
        </w:rPr>
        <w:t>《工业企业厂界环境噪声排放标准》（GB12348-2008）</w:t>
      </w:r>
    </w:p>
    <w:p w14:paraId="3BEF3C1A">
      <w:pPr>
        <w:shd w:val="clear"/>
        <w:rPr>
          <w:rFonts w:ascii="Times New Roman" w:hAnsi="Times New Roman" w:cs="Times New Roman"/>
          <w:color w:val="auto"/>
          <w:highlight w:val="none"/>
        </w:rPr>
      </w:pPr>
      <w:r>
        <w:rPr>
          <w:rFonts w:hint="eastAsia" w:ascii="Times New Roman" w:hAnsi="Times New Roman" w:cs="Times New Roman"/>
          <w:color w:val="auto"/>
          <w:highlight w:val="none"/>
        </w:rPr>
        <w:t>《一般工业固体废物贮存和填埋污染控制标准》（GB18599-2020）</w:t>
      </w:r>
    </w:p>
    <w:p w14:paraId="6F139305">
      <w:pPr>
        <w:shd w:val="clear"/>
        <w:rPr>
          <w:rFonts w:ascii="Times New Roman" w:hAnsi="Times New Roman" w:cs="Times New Roman"/>
          <w:color w:val="auto"/>
          <w:highlight w:val="none"/>
        </w:rPr>
      </w:pPr>
      <w:r>
        <w:rPr>
          <w:rFonts w:hint="eastAsia" w:ascii="Times New Roman" w:hAnsi="Times New Roman" w:cs="Times New Roman"/>
          <w:color w:val="auto"/>
          <w:highlight w:val="none"/>
        </w:rPr>
        <w:t>《固体废物分类与代码目录》（生态环境部公告 2024 第4号）</w:t>
      </w:r>
    </w:p>
    <w:p w14:paraId="1FC3F3B5">
      <w:pPr>
        <w:shd w:val="clear"/>
        <w:rPr>
          <w:rFonts w:ascii="Times New Roman"/>
          <w:color w:val="auto"/>
          <w:highlight w:val="none"/>
          <w:lang w:val="zh-CN"/>
        </w:rPr>
      </w:pPr>
      <w:r>
        <w:rPr>
          <w:rFonts w:ascii="Times New Roman"/>
          <w:color w:val="auto"/>
          <w:highlight w:val="none"/>
          <w:lang w:val="zh-CN"/>
        </w:rPr>
        <w:t>《国家危险废物名录（202</w:t>
      </w:r>
      <w:r>
        <w:rPr>
          <w:rFonts w:hint="eastAsia" w:ascii="Times New Roman"/>
          <w:color w:val="auto"/>
          <w:highlight w:val="none"/>
        </w:rPr>
        <w:t>5年</w:t>
      </w:r>
      <w:r>
        <w:rPr>
          <w:rFonts w:ascii="Times New Roman"/>
          <w:color w:val="auto"/>
          <w:highlight w:val="none"/>
          <w:lang w:val="zh-CN"/>
        </w:rPr>
        <w:t>版）》</w:t>
      </w:r>
      <w:r>
        <w:rPr>
          <w:rFonts w:hint="eastAsia" w:ascii="Times New Roman"/>
          <w:color w:val="auto"/>
          <w:highlight w:val="none"/>
          <w:lang w:val="zh-CN"/>
        </w:rPr>
        <w:t>（</w:t>
      </w:r>
      <w:r>
        <w:rPr>
          <w:rFonts w:hint="eastAsia" w:ascii="Times New Roman"/>
          <w:color w:val="auto"/>
          <w:highlight w:val="none"/>
        </w:rPr>
        <w:t>部令第36号</w:t>
      </w:r>
      <w:r>
        <w:rPr>
          <w:rFonts w:hint="eastAsia" w:ascii="Times New Roman"/>
          <w:color w:val="auto"/>
          <w:highlight w:val="none"/>
          <w:lang w:val="zh-CN"/>
        </w:rPr>
        <w:t>）</w:t>
      </w:r>
    </w:p>
    <w:p w14:paraId="0A2FB2D4">
      <w:pPr>
        <w:shd w:val="clear"/>
        <w:rPr>
          <w:rFonts w:ascii="Times New Roman" w:hAnsi="Times New Roman" w:cs="Times New Roman"/>
          <w:color w:val="auto"/>
          <w:highlight w:val="none"/>
        </w:rPr>
      </w:pPr>
      <w:r>
        <w:rPr>
          <w:rFonts w:ascii="Times New Roman"/>
          <w:color w:val="auto"/>
          <w:highlight w:val="none"/>
        </w:rPr>
        <w:t>《危险废物贮存污染控制标准》（GB18597-20</w:t>
      </w:r>
      <w:r>
        <w:rPr>
          <w:rFonts w:hint="eastAsia" w:ascii="Times New Roman"/>
          <w:color w:val="auto"/>
          <w:highlight w:val="none"/>
        </w:rPr>
        <w:t>23</w:t>
      </w:r>
      <w:r>
        <w:rPr>
          <w:rFonts w:ascii="Times New Roman"/>
          <w:color w:val="auto"/>
          <w:highlight w:val="none"/>
        </w:rPr>
        <w:t>）</w:t>
      </w:r>
    </w:p>
    <w:p w14:paraId="47DDCE7E">
      <w:pPr>
        <w:shd w:val="clear"/>
        <w:rPr>
          <w:rFonts w:ascii="Times New Roman" w:hAnsi="Times New Roman" w:cs="Times New Roman"/>
          <w:color w:val="auto"/>
          <w:highlight w:val="none"/>
        </w:rPr>
      </w:pPr>
      <w:r>
        <w:rPr>
          <w:rFonts w:hint="eastAsia" w:ascii="Times New Roman" w:hAnsi="Times New Roman" w:cs="Times New Roman"/>
          <w:color w:val="auto"/>
          <w:highlight w:val="none"/>
        </w:rPr>
        <w:t>《工业企业厂界环境噪声排放标准》（GB12348-2008）</w:t>
      </w:r>
    </w:p>
    <w:p w14:paraId="26DBEB2D">
      <w:pPr>
        <w:shd w:val="clear"/>
        <w:rPr>
          <w:rFonts w:ascii="Times New Roman" w:hAnsi="Times New Roman" w:cs="Times New Roman"/>
          <w:color w:val="auto"/>
          <w:highlight w:val="none"/>
        </w:rPr>
      </w:pPr>
      <w:r>
        <w:rPr>
          <w:rFonts w:hint="eastAsia" w:ascii="Times New Roman" w:hAnsi="Times New Roman" w:cs="Times New Roman"/>
          <w:color w:val="auto"/>
          <w:highlight w:val="none"/>
        </w:rPr>
        <w:t>《工业循环冷却水处理设计规范》（GB/T50050-2017）</w:t>
      </w:r>
    </w:p>
    <w:p w14:paraId="3AD15D32">
      <w:pPr>
        <w:shd w:val="clear"/>
        <w:rPr>
          <w:rFonts w:ascii="Times New Roman" w:hAnsi="Times New Roman" w:cs="Times New Roman"/>
          <w:color w:val="auto"/>
          <w:highlight w:val="none"/>
        </w:rPr>
      </w:pPr>
      <w:r>
        <w:rPr>
          <w:rFonts w:hint="eastAsia" w:ascii="Times New Roman" w:hAnsi="Times New Roman" w:cs="Times New Roman"/>
          <w:color w:val="auto"/>
          <w:highlight w:val="none"/>
        </w:rPr>
        <w:t>《固定污染源烟气（SO</w:t>
      </w:r>
      <w:r>
        <w:rPr>
          <w:rFonts w:hint="eastAsia" w:ascii="Times New Roman" w:hAnsi="Times New Roman" w:cs="Times New Roman"/>
          <w:color w:val="auto"/>
          <w:highlight w:val="none"/>
          <w:vertAlign w:val="subscript"/>
        </w:rPr>
        <w:t>2</w:t>
      </w:r>
      <w:r>
        <w:rPr>
          <w:rFonts w:hint="eastAsia" w:ascii="Times New Roman" w:hAnsi="Times New Roman" w:cs="Times New Roman"/>
          <w:color w:val="auto"/>
          <w:highlight w:val="none"/>
        </w:rPr>
        <w:t>、NO</w:t>
      </w:r>
      <w:r>
        <w:rPr>
          <w:rFonts w:hint="eastAsia" w:ascii="Times New Roman" w:hAnsi="Times New Roman" w:cs="Times New Roman"/>
          <w:color w:val="auto"/>
          <w:highlight w:val="none"/>
          <w:vertAlign w:val="subscript"/>
        </w:rPr>
        <w:t>X</w:t>
      </w:r>
      <w:r>
        <w:rPr>
          <w:rFonts w:hint="eastAsia" w:ascii="Times New Roman" w:hAnsi="Times New Roman" w:cs="Times New Roman"/>
          <w:color w:val="auto"/>
          <w:highlight w:val="none"/>
        </w:rPr>
        <w:t>、颗粒物）排放连续监测技术规范》（HJ 75-2017）</w:t>
      </w:r>
    </w:p>
    <w:p w14:paraId="1881D52A">
      <w:pPr>
        <w:shd w:val="clear"/>
        <w:rPr>
          <w:rFonts w:ascii="Times New Roman" w:hAnsi="Times New Roman" w:cs="Times New Roman"/>
          <w:color w:val="auto"/>
          <w:highlight w:val="none"/>
        </w:rPr>
      </w:pPr>
      <w:r>
        <w:rPr>
          <w:rFonts w:hint="eastAsia" w:ascii="Times New Roman" w:hAnsi="Times New Roman" w:cs="Times New Roman"/>
          <w:color w:val="auto"/>
          <w:highlight w:val="none"/>
        </w:rPr>
        <w:t>《固定污染源烟气（SO</w:t>
      </w:r>
      <w:r>
        <w:rPr>
          <w:rFonts w:hint="eastAsia" w:ascii="Times New Roman" w:hAnsi="Times New Roman" w:cs="Times New Roman"/>
          <w:color w:val="auto"/>
          <w:highlight w:val="none"/>
          <w:vertAlign w:val="subscript"/>
        </w:rPr>
        <w:t>2</w:t>
      </w:r>
      <w:r>
        <w:rPr>
          <w:rFonts w:hint="eastAsia" w:ascii="Times New Roman" w:hAnsi="Times New Roman" w:cs="Times New Roman"/>
          <w:color w:val="auto"/>
          <w:highlight w:val="none"/>
        </w:rPr>
        <w:t>、NO</w:t>
      </w:r>
      <w:r>
        <w:rPr>
          <w:rFonts w:hint="eastAsia" w:ascii="Times New Roman" w:hAnsi="Times New Roman" w:cs="Times New Roman"/>
          <w:color w:val="auto"/>
          <w:highlight w:val="none"/>
          <w:vertAlign w:val="subscript"/>
        </w:rPr>
        <w:t>X</w:t>
      </w:r>
      <w:r>
        <w:rPr>
          <w:rFonts w:hint="eastAsia" w:ascii="Times New Roman" w:hAnsi="Times New Roman" w:cs="Times New Roman"/>
          <w:color w:val="auto"/>
          <w:highlight w:val="none"/>
        </w:rPr>
        <w:t>、颗粒物）排放连续监测系统技术要求及检测方法》（HJ 76-2017）</w:t>
      </w:r>
    </w:p>
    <w:p w14:paraId="36792291">
      <w:pPr>
        <w:shd w:val="clear"/>
        <w:rPr>
          <w:rFonts w:ascii="Times New Roman" w:hAnsi="Times New Roman" w:cs="Times New Roman"/>
          <w:color w:val="auto"/>
          <w:highlight w:val="none"/>
        </w:rPr>
      </w:pPr>
      <w:r>
        <w:rPr>
          <w:rFonts w:hint="eastAsia" w:ascii="Times New Roman" w:hAnsi="Times New Roman" w:cs="Times New Roman"/>
          <w:color w:val="auto"/>
          <w:highlight w:val="none"/>
        </w:rPr>
        <w:t>《关于加强技术防控提升排污单位自行监测质量的通知》（环办监测函〔2024〕214 号）</w:t>
      </w:r>
    </w:p>
    <w:p w14:paraId="55CFDC6A">
      <w:pPr>
        <w:shd w:val="clear"/>
        <w:rPr>
          <w:rFonts w:ascii="Times New Roman" w:hAnsi="Times New Roman" w:cs="Times New Roman"/>
          <w:color w:val="auto"/>
          <w:highlight w:val="none"/>
        </w:rPr>
      </w:pPr>
      <w:r>
        <w:rPr>
          <w:rFonts w:hint="eastAsia" w:ascii="Times New Roman" w:hAnsi="Times New Roman" w:cs="Times New Roman"/>
          <w:color w:val="auto"/>
          <w:highlight w:val="none"/>
        </w:rPr>
        <w:t>《固定污染源废气排放口监测点位设置技术规范》（T/CAEPI46-2022）</w:t>
      </w:r>
    </w:p>
    <w:p w14:paraId="6DD87EE4">
      <w:pPr>
        <w:shd w:val="clear"/>
        <w:autoSpaceDE w:val="0"/>
        <w:autoSpaceDN w:val="0"/>
        <w:rPr>
          <w:rFonts w:ascii="Times New Roman" w:hAnsi="Times New Roman" w:cs="Times New Roman"/>
          <w:color w:val="auto"/>
          <w:kern w:val="0"/>
          <w:highlight w:val="none"/>
          <w:lang w:val="zh-CN" w:bidi="zh-CN"/>
        </w:rPr>
      </w:pPr>
      <w:r>
        <w:rPr>
          <w:rFonts w:ascii="Times New Roman" w:hAnsi="Times New Roman" w:cs="Times New Roman"/>
          <w:color w:val="auto"/>
          <w:kern w:val="0"/>
          <w:highlight w:val="none"/>
          <w:lang w:val="zh-CN" w:bidi="zh-CN"/>
        </w:rPr>
        <w:t>《</w:t>
      </w:r>
      <w:r>
        <w:rPr>
          <w:rFonts w:hint="eastAsia" w:ascii="Times New Roman" w:hAnsi="Times New Roman" w:cs="Times New Roman"/>
          <w:color w:val="auto"/>
          <w:kern w:val="0"/>
          <w:highlight w:val="none"/>
          <w:lang w:val="zh-CN" w:bidi="zh-CN"/>
        </w:rPr>
        <w:t>固定污染源废气排放口监测点位设置技术规范</w:t>
      </w:r>
      <w:r>
        <w:rPr>
          <w:rFonts w:ascii="Times New Roman" w:hAnsi="Times New Roman" w:cs="Times New Roman"/>
          <w:color w:val="auto"/>
          <w:kern w:val="0"/>
          <w:highlight w:val="none"/>
          <w:lang w:val="zh-CN" w:bidi="zh-CN"/>
        </w:rPr>
        <w:t>》</w:t>
      </w:r>
      <w:r>
        <w:rPr>
          <w:rFonts w:hint="eastAsia" w:ascii="Times New Roman" w:hAnsi="Times New Roman" w:cs="Times New Roman"/>
          <w:color w:val="auto"/>
          <w:kern w:val="0"/>
          <w:highlight w:val="none"/>
          <w:lang w:val="zh-CN" w:bidi="zh-CN"/>
        </w:rPr>
        <w:t>（T  CAEPI46-2022  实施日期2022-06-01）;</w:t>
      </w:r>
    </w:p>
    <w:p w14:paraId="6FF6E749">
      <w:pPr>
        <w:shd w:val="clear"/>
        <w:autoSpaceDE w:val="0"/>
        <w:autoSpaceDN w:val="0"/>
        <w:rPr>
          <w:rFonts w:ascii="Times New Roman" w:hAnsi="Times New Roman" w:cs="Times New Roman"/>
          <w:color w:val="auto"/>
          <w:kern w:val="0"/>
          <w:highlight w:val="none"/>
          <w:lang w:val="zh-CN" w:bidi="zh-CN"/>
        </w:rPr>
      </w:pPr>
      <w:r>
        <w:rPr>
          <w:rFonts w:ascii="Times New Roman" w:hAnsi="Times New Roman" w:cs="Times New Roman"/>
          <w:color w:val="auto"/>
          <w:kern w:val="0"/>
          <w:highlight w:val="none"/>
          <w:lang w:val="zh-CN" w:bidi="zh-CN"/>
        </w:rPr>
        <w:t>《关于加强技术防控提升排污单位自行监测质量的通知（环办监测函〔2024〕214 号）》</w:t>
      </w:r>
    </w:p>
    <w:p w14:paraId="5B978EBD">
      <w:pPr>
        <w:shd w:val="clear"/>
        <w:ind w:firstLine="0" w:firstLineChars="0"/>
        <w:outlineLvl w:val="1"/>
        <w:rPr>
          <w:rFonts w:cs="Times New Roman"/>
          <w:b/>
          <w:color w:val="auto"/>
          <w:sz w:val="28"/>
          <w:szCs w:val="28"/>
          <w:highlight w:val="none"/>
          <w:lang w:val="zh-CN"/>
        </w:rPr>
      </w:pPr>
      <w:bookmarkStart w:id="1676" w:name="_Toc7156"/>
      <w:bookmarkStart w:id="1677" w:name="_Toc30439"/>
      <w:r>
        <w:rPr>
          <w:rFonts w:hint="eastAsia" w:cs="Times New Roman"/>
          <w:b/>
          <w:color w:val="auto"/>
          <w:sz w:val="28"/>
          <w:szCs w:val="28"/>
          <w:highlight w:val="none"/>
          <w:lang w:val="zh-CN"/>
        </w:rPr>
        <w:t>1</w:t>
      </w:r>
      <w:r>
        <w:rPr>
          <w:rFonts w:hint="eastAsia" w:cs="Times New Roman"/>
          <w:b/>
          <w:color w:val="auto"/>
          <w:sz w:val="28"/>
          <w:szCs w:val="28"/>
          <w:highlight w:val="none"/>
        </w:rPr>
        <w:t>5</w:t>
      </w:r>
      <w:r>
        <w:rPr>
          <w:rFonts w:hint="eastAsia" w:cs="Times New Roman"/>
          <w:b/>
          <w:color w:val="auto"/>
          <w:sz w:val="28"/>
          <w:szCs w:val="28"/>
          <w:highlight w:val="none"/>
          <w:lang w:val="zh-CN"/>
        </w:rPr>
        <w:t>.2</w:t>
      </w:r>
      <w:r>
        <w:rPr>
          <w:rFonts w:hint="eastAsia" w:cs="Times New Roman"/>
          <w:b/>
          <w:color w:val="auto"/>
          <w:sz w:val="28"/>
          <w:szCs w:val="28"/>
          <w:highlight w:val="none"/>
        </w:rPr>
        <w:t xml:space="preserve"> </w:t>
      </w:r>
      <w:r>
        <w:rPr>
          <w:rFonts w:hint="eastAsia" w:cs="Times New Roman"/>
          <w:b/>
          <w:color w:val="auto"/>
          <w:sz w:val="28"/>
          <w:szCs w:val="28"/>
          <w:highlight w:val="none"/>
          <w:lang w:val="zh-CN"/>
        </w:rPr>
        <w:t>主要污染源、污染物</w:t>
      </w:r>
      <w:bookmarkEnd w:id="1672"/>
      <w:bookmarkEnd w:id="1673"/>
      <w:bookmarkEnd w:id="1674"/>
      <w:bookmarkEnd w:id="1675"/>
      <w:bookmarkEnd w:id="1676"/>
      <w:bookmarkEnd w:id="1677"/>
    </w:p>
    <w:p w14:paraId="15442060">
      <w:pPr>
        <w:keepNext/>
        <w:keepLines/>
        <w:numPr>
          <w:ilvl w:val="2"/>
          <w:numId w:val="0"/>
        </w:numPr>
        <w:shd w:val="clear"/>
        <w:adjustRightInd w:val="0"/>
        <w:spacing w:before="120"/>
        <w:textAlignment w:val="baseline"/>
        <w:outlineLvl w:val="2"/>
        <w:rPr>
          <w:rFonts w:ascii="Times New Roman" w:hAnsi="Times New Roman" w:cs="Times New Roman"/>
          <w:bCs/>
          <w:color w:val="auto"/>
          <w:highlight w:val="none"/>
          <w:lang w:val="zh-CN"/>
        </w:rPr>
      </w:pPr>
      <w:bookmarkStart w:id="1678" w:name="_Toc18516"/>
      <w:bookmarkStart w:id="1679" w:name="_Toc16929"/>
      <w:bookmarkStart w:id="1680" w:name="_Toc70093522"/>
      <w:bookmarkStart w:id="1681" w:name="_Toc18655"/>
      <w:bookmarkStart w:id="1682" w:name="_Toc9318"/>
      <w:bookmarkStart w:id="1683" w:name="_Toc30958"/>
      <w:r>
        <w:rPr>
          <w:rFonts w:ascii="Times New Roman" w:hAnsi="Times New Roman" w:cs="Times New Roman"/>
          <w:bCs/>
          <w:color w:val="auto"/>
          <w:highlight w:val="none"/>
          <w:lang w:val="zh-CN"/>
        </w:rPr>
        <w:t>1</w:t>
      </w:r>
      <w:r>
        <w:rPr>
          <w:rFonts w:hint="eastAsia" w:ascii="Times New Roman" w:hAnsi="Times New Roman" w:cs="Times New Roman"/>
          <w:bCs/>
          <w:color w:val="auto"/>
          <w:highlight w:val="none"/>
        </w:rPr>
        <w:t>5</w:t>
      </w:r>
      <w:r>
        <w:rPr>
          <w:rFonts w:ascii="Times New Roman" w:hAnsi="Times New Roman" w:cs="Times New Roman"/>
          <w:bCs/>
          <w:color w:val="auto"/>
          <w:highlight w:val="none"/>
          <w:lang w:val="zh-CN"/>
        </w:rPr>
        <w:t>.2.1</w:t>
      </w:r>
      <w:r>
        <w:rPr>
          <w:rFonts w:hint="eastAsia" w:ascii="Times New Roman" w:hAnsi="Times New Roman" w:cs="Times New Roman"/>
          <w:bCs/>
          <w:color w:val="auto"/>
          <w:highlight w:val="none"/>
        </w:rPr>
        <w:t>废气</w:t>
      </w:r>
    </w:p>
    <w:p w14:paraId="45E0103A">
      <w:pPr>
        <w:shd w:val="clear"/>
        <w:autoSpaceDE w:val="0"/>
        <w:autoSpaceDN w:val="0"/>
        <w:rPr>
          <w:rFonts w:cs="宋体"/>
          <w:bCs/>
          <w:color w:val="auto"/>
          <w:kern w:val="0"/>
          <w:szCs w:val="22"/>
          <w:highlight w:val="none"/>
          <w:lang w:bidi="zh-CN"/>
        </w:rPr>
      </w:pPr>
      <w:r>
        <w:rPr>
          <w:rFonts w:cs="宋体"/>
          <w:bCs/>
          <w:color w:val="auto"/>
          <w:kern w:val="0"/>
          <w:szCs w:val="22"/>
          <w:highlight w:val="none"/>
          <w:lang w:val="zh-CN" w:bidi="zh-CN"/>
        </w:rPr>
        <w:t>本项目废气主要是</w:t>
      </w:r>
      <w:r>
        <w:rPr>
          <w:rFonts w:hint="eastAsia" w:cs="宋体"/>
          <w:bCs/>
          <w:color w:val="auto"/>
          <w:kern w:val="0"/>
          <w:szCs w:val="22"/>
          <w:highlight w:val="none"/>
          <w:lang w:bidi="zh-CN"/>
        </w:rPr>
        <w:t>出铁场系统的含尘废气、矿槽和地沟除尘系统的含尘废气、高炉煤气、炉顶均压放散煤气。</w:t>
      </w:r>
    </w:p>
    <w:p w14:paraId="441AB50F">
      <w:pPr>
        <w:keepNext/>
        <w:keepLines/>
        <w:numPr>
          <w:ilvl w:val="2"/>
          <w:numId w:val="0"/>
        </w:numPr>
        <w:shd w:val="clear"/>
        <w:adjustRightInd w:val="0"/>
        <w:spacing w:before="120"/>
        <w:textAlignment w:val="baseline"/>
        <w:outlineLvl w:val="2"/>
        <w:rPr>
          <w:rFonts w:ascii="Times New Roman" w:hAnsi="Times New Roman" w:cs="Times New Roman"/>
          <w:bCs/>
          <w:color w:val="auto"/>
          <w:highlight w:val="none"/>
          <w:lang w:val="zh-CN"/>
        </w:rPr>
      </w:pPr>
      <w:r>
        <w:rPr>
          <w:rFonts w:ascii="Times New Roman" w:hAnsi="Times New Roman" w:cs="Times New Roman"/>
          <w:bCs/>
          <w:color w:val="auto"/>
          <w:highlight w:val="none"/>
          <w:lang w:val="zh-CN"/>
        </w:rPr>
        <w:t>1</w:t>
      </w:r>
      <w:r>
        <w:rPr>
          <w:rFonts w:hint="eastAsia" w:ascii="Times New Roman" w:hAnsi="Times New Roman" w:cs="Times New Roman"/>
          <w:bCs/>
          <w:color w:val="auto"/>
          <w:highlight w:val="none"/>
        </w:rPr>
        <w:t>5</w:t>
      </w:r>
      <w:r>
        <w:rPr>
          <w:rFonts w:ascii="Times New Roman" w:hAnsi="Times New Roman" w:cs="Times New Roman"/>
          <w:bCs/>
          <w:color w:val="auto"/>
          <w:highlight w:val="none"/>
          <w:lang w:val="zh-CN"/>
        </w:rPr>
        <w:t>.2.2</w:t>
      </w:r>
      <w:r>
        <w:rPr>
          <w:rFonts w:hint="eastAsia" w:ascii="Times New Roman" w:hAnsi="Times New Roman" w:cs="Times New Roman"/>
          <w:bCs/>
          <w:color w:val="auto"/>
          <w:highlight w:val="none"/>
        </w:rPr>
        <w:t>废水</w:t>
      </w:r>
    </w:p>
    <w:p w14:paraId="66D64295">
      <w:pPr>
        <w:shd w:val="clear"/>
        <w:autoSpaceDE w:val="0"/>
        <w:autoSpaceDN w:val="0"/>
        <w:rPr>
          <w:rFonts w:cs="宋体"/>
          <w:bCs/>
          <w:color w:val="auto"/>
          <w:kern w:val="0"/>
          <w:szCs w:val="22"/>
          <w:highlight w:val="none"/>
          <w:lang w:bidi="zh-CN"/>
        </w:rPr>
      </w:pPr>
      <w:r>
        <w:rPr>
          <w:rFonts w:hint="eastAsia" w:cs="宋体"/>
          <w:bCs/>
          <w:color w:val="auto"/>
          <w:kern w:val="0"/>
          <w:szCs w:val="22"/>
          <w:highlight w:val="none"/>
          <w:lang w:bidi="zh-CN"/>
        </w:rPr>
        <w:t>本次改造后，软水冷却水循环使用，产生净环水排水、高炉冲渣水和生活污水。</w:t>
      </w:r>
    </w:p>
    <w:p w14:paraId="10F04958">
      <w:pPr>
        <w:keepNext/>
        <w:keepLines/>
        <w:numPr>
          <w:ilvl w:val="2"/>
          <w:numId w:val="0"/>
        </w:numPr>
        <w:shd w:val="clear"/>
        <w:adjustRightInd w:val="0"/>
        <w:spacing w:before="120"/>
        <w:textAlignment w:val="baseline"/>
        <w:outlineLvl w:val="2"/>
        <w:rPr>
          <w:rFonts w:ascii="Times New Roman" w:hAnsi="Times New Roman" w:cs="Times New Roman"/>
          <w:bCs/>
          <w:color w:val="auto"/>
          <w:highlight w:val="none"/>
          <w:lang w:val="zh-CN"/>
        </w:rPr>
      </w:pPr>
      <w:r>
        <w:rPr>
          <w:rFonts w:ascii="Times New Roman" w:hAnsi="Times New Roman" w:cs="Times New Roman"/>
          <w:bCs/>
          <w:color w:val="auto"/>
          <w:highlight w:val="none"/>
          <w:lang w:val="zh-CN"/>
        </w:rPr>
        <w:t>1</w:t>
      </w:r>
      <w:r>
        <w:rPr>
          <w:rFonts w:hint="eastAsia" w:ascii="Times New Roman" w:hAnsi="Times New Roman" w:cs="Times New Roman"/>
          <w:bCs/>
          <w:color w:val="auto"/>
          <w:highlight w:val="none"/>
        </w:rPr>
        <w:t>5</w:t>
      </w:r>
      <w:r>
        <w:rPr>
          <w:rFonts w:ascii="Times New Roman" w:hAnsi="Times New Roman" w:cs="Times New Roman"/>
          <w:bCs/>
          <w:color w:val="auto"/>
          <w:highlight w:val="none"/>
          <w:lang w:val="zh-CN"/>
        </w:rPr>
        <w:t>.2.3</w:t>
      </w:r>
      <w:r>
        <w:rPr>
          <w:rFonts w:hint="eastAsia" w:ascii="Times New Roman" w:hAnsi="Times New Roman" w:cs="Times New Roman"/>
          <w:bCs/>
          <w:color w:val="auto"/>
          <w:highlight w:val="none"/>
        </w:rPr>
        <w:t>固体废物</w:t>
      </w:r>
    </w:p>
    <w:p w14:paraId="12C3EBA1">
      <w:pPr>
        <w:shd w:val="clear"/>
        <w:autoSpaceDE w:val="0"/>
        <w:autoSpaceDN w:val="0"/>
        <w:rPr>
          <w:rFonts w:cs="宋体"/>
          <w:bCs/>
          <w:color w:val="auto"/>
          <w:kern w:val="0"/>
          <w:szCs w:val="22"/>
          <w:highlight w:val="none"/>
          <w:lang w:val="zh-CN" w:bidi="zh-CN"/>
        </w:rPr>
      </w:pPr>
      <w:r>
        <w:rPr>
          <w:rFonts w:hint="eastAsia" w:cs="宋体"/>
          <w:bCs/>
          <w:color w:val="auto"/>
          <w:kern w:val="0"/>
          <w:szCs w:val="22"/>
          <w:highlight w:val="none"/>
          <w:lang w:val="zh-CN" w:bidi="zh-CN"/>
        </w:rPr>
        <w:t>本项目产生的固体废弃物主要包括高炉水渣、</w:t>
      </w:r>
      <w:r>
        <w:rPr>
          <w:rFonts w:hint="eastAsia" w:cs="宋体"/>
          <w:bCs/>
          <w:color w:val="auto"/>
          <w:kern w:val="0"/>
          <w:szCs w:val="22"/>
          <w:highlight w:val="none"/>
          <w:lang w:bidi="zh-CN"/>
        </w:rPr>
        <w:t>粗煤气重力除尘</w:t>
      </w:r>
      <w:r>
        <w:rPr>
          <w:rFonts w:hint="eastAsia" w:cs="宋体"/>
          <w:bCs/>
          <w:color w:val="auto"/>
          <w:kern w:val="0"/>
          <w:szCs w:val="22"/>
          <w:highlight w:val="none"/>
          <w:lang w:val="zh-CN" w:bidi="zh-CN"/>
        </w:rPr>
        <w:t>灰、干法煤气布袋除尘灰、环境除尘灰、废耐火材料、</w:t>
      </w:r>
      <w:r>
        <w:rPr>
          <w:rFonts w:hint="eastAsia" w:cs="宋体"/>
          <w:bCs/>
          <w:color w:val="auto"/>
          <w:kern w:val="0"/>
          <w:szCs w:val="22"/>
          <w:highlight w:val="none"/>
          <w:lang w:bidi="zh-CN"/>
        </w:rPr>
        <w:t>生活垃圾及</w:t>
      </w:r>
      <w:r>
        <w:rPr>
          <w:rFonts w:hint="eastAsia" w:cs="宋体"/>
          <w:bCs/>
          <w:color w:val="auto"/>
          <w:kern w:val="0"/>
          <w:szCs w:val="22"/>
          <w:highlight w:val="none"/>
          <w:lang w:val="zh-CN" w:bidi="zh-CN"/>
        </w:rPr>
        <w:t>废</w:t>
      </w:r>
      <w:r>
        <w:rPr>
          <w:rFonts w:hint="eastAsia" w:cs="宋体"/>
          <w:bCs/>
          <w:color w:val="auto"/>
          <w:kern w:val="0"/>
          <w:szCs w:val="22"/>
          <w:highlight w:val="none"/>
          <w:lang w:bidi="zh-CN"/>
        </w:rPr>
        <w:t>油脂</w:t>
      </w:r>
      <w:r>
        <w:rPr>
          <w:rFonts w:hint="eastAsia" w:cs="宋体"/>
          <w:bCs/>
          <w:color w:val="auto"/>
          <w:kern w:val="0"/>
          <w:szCs w:val="22"/>
          <w:highlight w:val="none"/>
          <w:lang w:val="zh-CN" w:bidi="zh-CN"/>
        </w:rPr>
        <w:t>。</w:t>
      </w:r>
    </w:p>
    <w:p w14:paraId="1F5B6011">
      <w:pPr>
        <w:keepNext/>
        <w:keepLines/>
        <w:numPr>
          <w:ilvl w:val="2"/>
          <w:numId w:val="0"/>
        </w:numPr>
        <w:shd w:val="clear"/>
        <w:adjustRightInd w:val="0"/>
        <w:spacing w:before="120"/>
        <w:textAlignment w:val="baseline"/>
        <w:outlineLvl w:val="2"/>
        <w:rPr>
          <w:rFonts w:ascii="Times New Roman" w:hAnsi="Times New Roman" w:cs="Times New Roman"/>
          <w:bCs/>
          <w:color w:val="auto"/>
          <w:highlight w:val="none"/>
          <w:lang w:val="zh-CN"/>
        </w:rPr>
      </w:pPr>
      <w:r>
        <w:rPr>
          <w:rFonts w:ascii="Times New Roman" w:hAnsi="Times New Roman" w:cs="Times New Roman"/>
          <w:bCs/>
          <w:color w:val="auto"/>
          <w:highlight w:val="none"/>
          <w:lang w:val="zh-CN"/>
        </w:rPr>
        <w:t>1</w:t>
      </w:r>
      <w:r>
        <w:rPr>
          <w:rFonts w:hint="eastAsia" w:ascii="Times New Roman" w:hAnsi="Times New Roman" w:cs="Times New Roman"/>
          <w:bCs/>
          <w:color w:val="auto"/>
          <w:highlight w:val="none"/>
        </w:rPr>
        <w:t>5</w:t>
      </w:r>
      <w:r>
        <w:rPr>
          <w:rFonts w:ascii="Times New Roman" w:hAnsi="Times New Roman" w:cs="Times New Roman"/>
          <w:bCs/>
          <w:color w:val="auto"/>
          <w:highlight w:val="none"/>
          <w:lang w:val="zh-CN"/>
        </w:rPr>
        <w:t>.2.4</w:t>
      </w:r>
      <w:r>
        <w:rPr>
          <w:rFonts w:hint="eastAsia" w:ascii="Times New Roman" w:hAnsi="Times New Roman" w:cs="Times New Roman"/>
          <w:bCs/>
          <w:color w:val="auto"/>
          <w:highlight w:val="none"/>
        </w:rPr>
        <w:t>噪声</w:t>
      </w:r>
    </w:p>
    <w:p w14:paraId="6C5E5C03">
      <w:pPr>
        <w:shd w:val="clear"/>
        <w:autoSpaceDE w:val="0"/>
        <w:autoSpaceDN w:val="0"/>
        <w:rPr>
          <w:rFonts w:cs="宋体"/>
          <w:color w:val="auto"/>
          <w:kern w:val="0"/>
          <w:szCs w:val="22"/>
          <w:highlight w:val="none"/>
          <w:lang w:val="zh-CN" w:bidi="zh-CN"/>
        </w:rPr>
      </w:pPr>
      <w:r>
        <w:rPr>
          <w:rFonts w:hint="eastAsia" w:cs="宋体"/>
          <w:color w:val="auto"/>
          <w:kern w:val="0"/>
          <w:szCs w:val="22"/>
          <w:highlight w:val="none"/>
          <w:lang w:val="zh-CN" w:bidi="zh-CN"/>
        </w:rPr>
        <w:t>本项目产生的噪声为由于机械的撞击、磨擦、转动等运动而引起的机械噪声以及由于气流的起伏运动或气动力引起的空气动力性噪声，主要噪声源有：各种风机、泵类和阀门运行噪声、振动筛噪声及冷却塔噪声等。</w:t>
      </w:r>
    </w:p>
    <w:p w14:paraId="10FECCC3">
      <w:pPr>
        <w:shd w:val="clear"/>
        <w:ind w:firstLine="0" w:firstLineChars="0"/>
        <w:outlineLvl w:val="1"/>
        <w:rPr>
          <w:rFonts w:cs="Times New Roman"/>
          <w:b/>
          <w:color w:val="auto"/>
          <w:sz w:val="28"/>
          <w:szCs w:val="28"/>
          <w:highlight w:val="none"/>
          <w:lang w:val="zh-CN"/>
        </w:rPr>
      </w:pPr>
      <w:bookmarkStart w:id="1684" w:name="_Toc19767"/>
      <w:bookmarkStart w:id="1685" w:name="_Toc13615"/>
      <w:r>
        <w:rPr>
          <w:rFonts w:hint="eastAsia" w:cs="Times New Roman"/>
          <w:b/>
          <w:color w:val="auto"/>
          <w:sz w:val="28"/>
          <w:szCs w:val="28"/>
          <w:highlight w:val="none"/>
          <w:lang w:val="zh-CN"/>
        </w:rPr>
        <w:t>1</w:t>
      </w:r>
      <w:r>
        <w:rPr>
          <w:rFonts w:hint="eastAsia" w:cs="Times New Roman"/>
          <w:b/>
          <w:color w:val="auto"/>
          <w:sz w:val="28"/>
          <w:szCs w:val="28"/>
          <w:highlight w:val="none"/>
        </w:rPr>
        <w:t>5</w:t>
      </w:r>
      <w:r>
        <w:rPr>
          <w:rFonts w:hint="eastAsia" w:cs="Times New Roman"/>
          <w:b/>
          <w:color w:val="auto"/>
          <w:sz w:val="28"/>
          <w:szCs w:val="28"/>
          <w:highlight w:val="none"/>
          <w:lang w:val="zh-CN"/>
        </w:rPr>
        <w:t>.3</w:t>
      </w:r>
      <w:r>
        <w:rPr>
          <w:rFonts w:hint="eastAsia" w:cs="Times New Roman"/>
          <w:b/>
          <w:color w:val="auto"/>
          <w:sz w:val="28"/>
          <w:szCs w:val="28"/>
          <w:highlight w:val="none"/>
        </w:rPr>
        <w:t xml:space="preserve"> </w:t>
      </w:r>
      <w:r>
        <w:rPr>
          <w:rFonts w:hint="eastAsia" w:cs="Times New Roman"/>
          <w:b/>
          <w:color w:val="auto"/>
          <w:sz w:val="28"/>
          <w:szCs w:val="28"/>
          <w:highlight w:val="none"/>
          <w:lang w:val="zh-CN"/>
        </w:rPr>
        <w:t>污染物控制措施</w:t>
      </w:r>
      <w:bookmarkEnd w:id="1678"/>
      <w:bookmarkEnd w:id="1679"/>
      <w:bookmarkEnd w:id="1680"/>
      <w:bookmarkEnd w:id="1681"/>
      <w:bookmarkEnd w:id="1682"/>
      <w:bookmarkEnd w:id="1683"/>
      <w:bookmarkEnd w:id="1684"/>
      <w:bookmarkEnd w:id="1685"/>
    </w:p>
    <w:p w14:paraId="0C04EFCA">
      <w:pPr>
        <w:keepNext/>
        <w:keepLines/>
        <w:numPr>
          <w:ilvl w:val="2"/>
          <w:numId w:val="0"/>
        </w:numPr>
        <w:shd w:val="clear"/>
        <w:adjustRightInd w:val="0"/>
        <w:spacing w:before="120"/>
        <w:textAlignment w:val="baseline"/>
        <w:outlineLvl w:val="2"/>
        <w:rPr>
          <w:rFonts w:ascii="Times New Roman" w:hAnsi="Times New Roman" w:cs="Times New Roman"/>
          <w:bCs/>
          <w:color w:val="auto"/>
          <w:highlight w:val="none"/>
          <w:lang w:val="zh-CN"/>
        </w:rPr>
      </w:pPr>
      <w:bookmarkStart w:id="1686" w:name="_Toc18435"/>
      <w:r>
        <w:rPr>
          <w:rFonts w:ascii="Times New Roman" w:hAnsi="Times New Roman" w:cs="Times New Roman"/>
          <w:bCs/>
          <w:color w:val="auto"/>
          <w:highlight w:val="none"/>
          <w:lang w:val="zh-CN"/>
        </w:rPr>
        <w:t>1</w:t>
      </w:r>
      <w:r>
        <w:rPr>
          <w:rFonts w:hint="eastAsia" w:ascii="Times New Roman" w:hAnsi="Times New Roman" w:cs="Times New Roman"/>
          <w:bCs/>
          <w:color w:val="auto"/>
          <w:highlight w:val="none"/>
        </w:rPr>
        <w:t>5</w:t>
      </w:r>
      <w:r>
        <w:rPr>
          <w:rFonts w:ascii="Times New Roman" w:hAnsi="Times New Roman" w:cs="Times New Roman"/>
          <w:bCs/>
          <w:color w:val="auto"/>
          <w:highlight w:val="none"/>
          <w:lang w:val="zh-CN"/>
        </w:rPr>
        <w:t>.3.1</w:t>
      </w:r>
      <w:r>
        <w:rPr>
          <w:rFonts w:hint="eastAsia" w:ascii="Times New Roman" w:hAnsi="Times New Roman" w:cs="Times New Roman"/>
          <w:bCs/>
          <w:color w:val="auto"/>
          <w:highlight w:val="none"/>
        </w:rPr>
        <w:t>废气控制</w:t>
      </w:r>
    </w:p>
    <w:p w14:paraId="6B36A8F2">
      <w:pPr>
        <w:shd w:val="clear"/>
        <w:autoSpaceDE w:val="0"/>
        <w:autoSpaceDN w:val="0"/>
        <w:rPr>
          <w:rFonts w:ascii="Times New Roman" w:hAnsi="Times New Roman" w:cs="Times New Roman"/>
          <w:bCs/>
          <w:color w:val="auto"/>
          <w:kern w:val="0"/>
          <w:szCs w:val="22"/>
          <w:highlight w:val="none"/>
          <w:lang w:bidi="zh-CN"/>
        </w:rPr>
      </w:pPr>
      <w:r>
        <w:rPr>
          <w:rFonts w:hint="eastAsia" w:ascii="Times New Roman" w:hAnsi="Times New Roman" w:cs="Times New Roman"/>
          <w:bCs/>
          <w:color w:val="auto"/>
          <w:kern w:val="0"/>
          <w:szCs w:val="22"/>
          <w:highlight w:val="none"/>
          <w:lang w:bidi="zh-CN"/>
        </w:rPr>
        <w:t>15.3.1.1 有组织废气控制措施</w:t>
      </w:r>
    </w:p>
    <w:p w14:paraId="2568A42F">
      <w:pPr>
        <w:shd w:val="clear"/>
        <w:autoSpaceDE w:val="0"/>
        <w:autoSpaceDN w:val="0"/>
        <w:rPr>
          <w:rFonts w:ascii="Times New Roman" w:hAnsi="Times New Roman" w:cs="Times New Roman"/>
          <w:bCs/>
          <w:color w:val="auto"/>
          <w:kern w:val="0"/>
          <w:szCs w:val="22"/>
          <w:highlight w:val="none"/>
          <w:lang w:bidi="zh-CN"/>
        </w:rPr>
      </w:pPr>
      <w:r>
        <w:rPr>
          <w:rFonts w:ascii="Times New Roman" w:hAnsi="Times New Roman" w:cs="Times New Roman"/>
          <w:bCs/>
          <w:color w:val="auto"/>
          <w:kern w:val="0"/>
          <w:szCs w:val="22"/>
          <w:highlight w:val="none"/>
          <w:lang w:bidi="zh-CN"/>
        </w:rPr>
        <w:t>2号高炉优化升级及超低排放改造项目，除尘设施主要内容包括：出铁场除尘系统改造、矿槽除尘系统改造、地沟除尘系统改造。</w:t>
      </w:r>
    </w:p>
    <w:p w14:paraId="039A4374">
      <w:pPr>
        <w:shd w:val="clear"/>
        <w:autoSpaceDE w:val="0"/>
        <w:autoSpaceDN w:val="0"/>
        <w:rPr>
          <w:rFonts w:ascii="Times New Roman" w:hAnsi="Times New Roman" w:cs="Times New Roman"/>
          <w:bCs/>
          <w:color w:val="auto"/>
          <w:kern w:val="0"/>
          <w:szCs w:val="22"/>
          <w:highlight w:val="none"/>
          <w:lang w:bidi="zh-CN"/>
        </w:rPr>
      </w:pPr>
      <w:r>
        <w:rPr>
          <w:rFonts w:hint="eastAsia" w:ascii="Times New Roman" w:hAnsi="Times New Roman" w:cs="Times New Roman"/>
          <w:bCs/>
          <w:color w:val="auto"/>
          <w:kern w:val="0"/>
          <w:szCs w:val="22"/>
          <w:highlight w:val="none"/>
          <w:lang w:bidi="zh-CN"/>
        </w:rPr>
        <w:t>（1）</w:t>
      </w:r>
      <w:r>
        <w:rPr>
          <w:rFonts w:ascii="Times New Roman" w:hAnsi="Times New Roman" w:cs="Times New Roman"/>
          <w:bCs/>
          <w:color w:val="auto"/>
          <w:kern w:val="0"/>
          <w:szCs w:val="22"/>
          <w:highlight w:val="none"/>
          <w:lang w:bidi="zh-CN"/>
        </w:rPr>
        <w:t>出铁场</w:t>
      </w:r>
      <w:r>
        <w:rPr>
          <w:rFonts w:hint="eastAsia" w:ascii="Times New Roman" w:hAnsi="Times New Roman" w:cs="Times New Roman"/>
          <w:bCs/>
          <w:color w:val="auto"/>
          <w:kern w:val="0"/>
          <w:szCs w:val="22"/>
          <w:highlight w:val="none"/>
          <w:lang w:bidi="zh-CN"/>
        </w:rPr>
        <w:t>除尘</w:t>
      </w:r>
      <w:r>
        <w:rPr>
          <w:rFonts w:ascii="Times New Roman" w:hAnsi="Times New Roman" w:cs="Times New Roman"/>
          <w:bCs/>
          <w:color w:val="auto"/>
          <w:kern w:val="0"/>
          <w:szCs w:val="22"/>
          <w:highlight w:val="none"/>
          <w:lang w:bidi="zh-CN"/>
        </w:rPr>
        <w:t>系统</w:t>
      </w:r>
      <w:r>
        <w:rPr>
          <w:rFonts w:hint="eastAsia" w:ascii="Times New Roman" w:hAnsi="Times New Roman" w:cs="Times New Roman"/>
          <w:bCs/>
          <w:color w:val="auto"/>
          <w:kern w:val="0"/>
          <w:szCs w:val="22"/>
          <w:highlight w:val="none"/>
          <w:lang w:bidi="zh-CN"/>
        </w:rPr>
        <w:t>及炉顶废气</w:t>
      </w:r>
    </w:p>
    <w:p w14:paraId="1C261099">
      <w:pPr>
        <w:shd w:val="clear"/>
        <w:autoSpaceDE w:val="0"/>
        <w:autoSpaceDN w:val="0"/>
        <w:rPr>
          <w:rFonts w:ascii="Times New Roman" w:hAnsi="Times New Roman" w:cs="Times New Roman"/>
          <w:bCs/>
          <w:color w:val="auto"/>
          <w:kern w:val="0"/>
          <w:szCs w:val="22"/>
          <w:highlight w:val="none"/>
          <w:lang w:bidi="zh-CN"/>
        </w:rPr>
      </w:pPr>
      <w:r>
        <w:rPr>
          <w:rFonts w:ascii="Times New Roman" w:hAnsi="Times New Roman" w:cs="Times New Roman"/>
          <w:bCs/>
          <w:color w:val="auto"/>
          <w:kern w:val="0"/>
          <w:szCs w:val="22"/>
          <w:highlight w:val="none"/>
          <w:lang w:bidi="zh-CN"/>
        </w:rPr>
        <w:t>新建一套出铁场除尘系统，除尘系统的设计风量为12×10</w:t>
      </w:r>
      <w:r>
        <w:rPr>
          <w:rFonts w:ascii="Times New Roman" w:hAnsi="Times New Roman" w:cs="Times New Roman"/>
          <w:bCs/>
          <w:color w:val="auto"/>
          <w:kern w:val="0"/>
          <w:szCs w:val="22"/>
          <w:highlight w:val="none"/>
          <w:vertAlign w:val="superscript"/>
          <w:lang w:bidi="zh-CN"/>
        </w:rPr>
        <w:t>5</w:t>
      </w:r>
      <w:r>
        <w:rPr>
          <w:rFonts w:ascii="Times New Roman" w:hAnsi="Times New Roman" w:cs="Times New Roman"/>
          <w:bCs/>
          <w:color w:val="auto"/>
          <w:kern w:val="0"/>
          <w:szCs w:val="22"/>
          <w:highlight w:val="none"/>
          <w:lang w:bidi="zh-CN"/>
        </w:rPr>
        <w:t>m</w:t>
      </w:r>
      <w:r>
        <w:rPr>
          <w:rFonts w:ascii="Times New Roman" w:hAnsi="Times New Roman" w:cs="Times New Roman"/>
          <w:bCs/>
          <w:color w:val="auto"/>
          <w:kern w:val="0"/>
          <w:szCs w:val="22"/>
          <w:highlight w:val="none"/>
          <w:vertAlign w:val="superscript"/>
          <w:lang w:bidi="zh-CN"/>
        </w:rPr>
        <w:t>3</w:t>
      </w:r>
      <w:r>
        <w:rPr>
          <w:rFonts w:ascii="Times New Roman" w:hAnsi="Times New Roman" w:cs="Times New Roman"/>
          <w:bCs/>
          <w:color w:val="auto"/>
          <w:kern w:val="0"/>
          <w:szCs w:val="22"/>
          <w:highlight w:val="none"/>
          <w:lang w:bidi="zh-CN"/>
        </w:rPr>
        <w:t>/h，主要捕集高炉炉顶</w:t>
      </w:r>
      <w:r>
        <w:rPr>
          <w:rFonts w:hint="eastAsia" w:ascii="Times New Roman" w:hAnsi="Times New Roman" w:cs="Times New Roman"/>
          <w:bCs/>
          <w:color w:val="auto"/>
          <w:kern w:val="0"/>
          <w:szCs w:val="22"/>
          <w:highlight w:val="none"/>
          <w:lang w:bidi="zh-CN"/>
        </w:rPr>
        <w:t>、</w:t>
      </w:r>
      <w:r>
        <w:rPr>
          <w:rFonts w:ascii="Times New Roman" w:hAnsi="Times New Roman" w:cs="Times New Roman"/>
          <w:bCs/>
          <w:color w:val="auto"/>
          <w:kern w:val="0"/>
          <w:szCs w:val="22"/>
          <w:highlight w:val="none"/>
          <w:lang w:bidi="zh-CN"/>
        </w:rPr>
        <w:t>铁口顶吸</w:t>
      </w:r>
      <w:r>
        <w:rPr>
          <w:rFonts w:hint="eastAsia" w:ascii="Times New Roman" w:hAnsi="Times New Roman" w:cs="Times New Roman"/>
          <w:bCs/>
          <w:color w:val="auto"/>
          <w:kern w:val="0"/>
          <w:szCs w:val="22"/>
          <w:highlight w:val="none"/>
          <w:lang w:bidi="zh-CN"/>
        </w:rPr>
        <w:t>、</w:t>
      </w:r>
      <w:r>
        <w:rPr>
          <w:rFonts w:ascii="Times New Roman" w:hAnsi="Times New Roman" w:cs="Times New Roman"/>
          <w:bCs/>
          <w:color w:val="auto"/>
          <w:kern w:val="0"/>
          <w:szCs w:val="22"/>
          <w:highlight w:val="none"/>
          <w:lang w:bidi="zh-CN"/>
        </w:rPr>
        <w:t>铁口侧吸</w:t>
      </w:r>
      <w:r>
        <w:rPr>
          <w:rFonts w:hint="eastAsia" w:ascii="Times New Roman" w:hAnsi="Times New Roman" w:cs="Times New Roman"/>
          <w:bCs/>
          <w:color w:val="auto"/>
          <w:kern w:val="0"/>
          <w:szCs w:val="22"/>
          <w:highlight w:val="none"/>
          <w:lang w:bidi="zh-CN"/>
        </w:rPr>
        <w:t>、</w:t>
      </w:r>
      <w:r>
        <w:rPr>
          <w:rFonts w:ascii="Times New Roman" w:hAnsi="Times New Roman" w:cs="Times New Roman"/>
          <w:bCs/>
          <w:color w:val="auto"/>
          <w:kern w:val="0"/>
          <w:szCs w:val="22"/>
          <w:highlight w:val="none"/>
          <w:lang w:bidi="zh-CN"/>
        </w:rPr>
        <w:t>砂口</w:t>
      </w:r>
      <w:r>
        <w:rPr>
          <w:rFonts w:hint="eastAsia" w:ascii="Times New Roman" w:hAnsi="Times New Roman" w:cs="Times New Roman"/>
          <w:bCs/>
          <w:color w:val="auto"/>
          <w:kern w:val="0"/>
          <w:szCs w:val="22"/>
          <w:highlight w:val="none"/>
          <w:lang w:bidi="zh-CN"/>
        </w:rPr>
        <w:t>、</w:t>
      </w:r>
      <w:r>
        <w:rPr>
          <w:rFonts w:ascii="Times New Roman" w:hAnsi="Times New Roman" w:cs="Times New Roman"/>
          <w:bCs/>
          <w:color w:val="auto"/>
          <w:kern w:val="0"/>
          <w:szCs w:val="22"/>
          <w:highlight w:val="none"/>
          <w:lang w:bidi="zh-CN"/>
        </w:rPr>
        <w:t>摆动流嘴</w:t>
      </w:r>
      <w:r>
        <w:rPr>
          <w:rFonts w:hint="eastAsia" w:ascii="Times New Roman" w:hAnsi="Times New Roman" w:cs="Times New Roman"/>
          <w:bCs/>
          <w:color w:val="auto"/>
          <w:kern w:val="0"/>
          <w:szCs w:val="22"/>
          <w:highlight w:val="none"/>
          <w:lang w:bidi="zh-CN"/>
        </w:rPr>
        <w:t>、</w:t>
      </w:r>
      <w:r>
        <w:rPr>
          <w:rFonts w:ascii="Times New Roman" w:hAnsi="Times New Roman" w:cs="Times New Roman"/>
          <w:bCs/>
          <w:color w:val="auto"/>
          <w:kern w:val="0"/>
          <w:szCs w:val="22"/>
          <w:highlight w:val="none"/>
          <w:lang w:bidi="zh-CN"/>
        </w:rPr>
        <w:t>渣沟</w:t>
      </w:r>
      <w:r>
        <w:rPr>
          <w:rFonts w:hint="eastAsia" w:ascii="Times New Roman" w:hAnsi="Times New Roman" w:cs="Times New Roman"/>
          <w:bCs/>
          <w:color w:val="auto"/>
          <w:kern w:val="0"/>
          <w:szCs w:val="22"/>
          <w:highlight w:val="none"/>
          <w:lang w:bidi="zh-CN"/>
        </w:rPr>
        <w:t>、</w:t>
      </w:r>
      <w:r>
        <w:rPr>
          <w:rFonts w:ascii="Times New Roman" w:hAnsi="Times New Roman" w:cs="Times New Roman"/>
          <w:bCs/>
          <w:color w:val="auto"/>
          <w:kern w:val="0"/>
          <w:szCs w:val="22"/>
          <w:highlight w:val="none"/>
          <w:lang w:bidi="zh-CN"/>
        </w:rPr>
        <w:t>铁沟等部位产生的烟尘。烟尘经覆膜滤料长袋低压脉冲除尘器净化后通过排气筒排放，除尘系统设置一个直径5</w:t>
      </w:r>
      <w:r>
        <w:rPr>
          <w:rFonts w:hint="eastAsia" w:ascii="Times New Roman" w:hAnsi="Times New Roman" w:cs="Times New Roman"/>
          <w:bCs/>
          <w:color w:val="auto"/>
          <w:kern w:val="0"/>
          <w:szCs w:val="22"/>
          <w:highlight w:val="none"/>
          <w:lang w:bidi="zh-CN"/>
        </w:rPr>
        <w:t>3</w:t>
      </w:r>
      <w:r>
        <w:rPr>
          <w:rFonts w:ascii="Times New Roman" w:hAnsi="Times New Roman" w:cs="Times New Roman"/>
          <w:bCs/>
          <w:color w:val="auto"/>
          <w:kern w:val="0"/>
          <w:szCs w:val="22"/>
          <w:highlight w:val="none"/>
          <w:lang w:bidi="zh-CN"/>
        </w:rPr>
        <w:t>00mm、高度50m的排气筒，排气筒安装自动监控设施。外排烟气中颗粒物浓度≤10mg/m</w:t>
      </w:r>
      <w:r>
        <w:rPr>
          <w:rFonts w:ascii="Times New Roman" w:hAnsi="Times New Roman" w:cs="Times New Roman"/>
          <w:bCs/>
          <w:color w:val="auto"/>
          <w:kern w:val="0"/>
          <w:szCs w:val="22"/>
          <w:highlight w:val="none"/>
          <w:vertAlign w:val="superscript"/>
          <w:lang w:bidi="zh-CN"/>
        </w:rPr>
        <w:t>3</w:t>
      </w:r>
      <w:r>
        <w:rPr>
          <w:rFonts w:ascii="Times New Roman" w:hAnsi="Times New Roman" w:cs="Times New Roman"/>
          <w:bCs/>
          <w:color w:val="auto"/>
          <w:kern w:val="0"/>
          <w:szCs w:val="22"/>
          <w:highlight w:val="none"/>
          <w:lang w:bidi="zh-CN"/>
        </w:rPr>
        <w:t>，满足《炼铁工业大气污染物排放标准》（GB 28663-2012）特别排放限值和《关于推进实施钢铁行业超低排放的意见》（环大气 [2019]35号）的钢铁企业超低排放指标限值。</w:t>
      </w:r>
    </w:p>
    <w:p w14:paraId="63735D66">
      <w:pPr>
        <w:shd w:val="clear"/>
        <w:autoSpaceDE w:val="0"/>
        <w:autoSpaceDN w:val="0"/>
        <w:rPr>
          <w:rFonts w:ascii="Times New Roman" w:hAnsi="Times New Roman" w:cs="Times New Roman"/>
          <w:bCs/>
          <w:color w:val="auto"/>
          <w:kern w:val="0"/>
          <w:szCs w:val="22"/>
          <w:highlight w:val="none"/>
          <w:lang w:bidi="zh-CN"/>
        </w:rPr>
      </w:pPr>
      <w:r>
        <w:rPr>
          <w:rFonts w:hint="eastAsia" w:ascii="Times New Roman" w:hAnsi="Times New Roman" w:cs="Times New Roman"/>
          <w:bCs/>
          <w:color w:val="auto"/>
          <w:kern w:val="0"/>
          <w:szCs w:val="22"/>
          <w:highlight w:val="none"/>
          <w:lang w:bidi="zh-CN"/>
        </w:rPr>
        <w:t>（2）矿焦槽</w:t>
      </w:r>
      <w:r>
        <w:rPr>
          <w:rFonts w:hint="eastAsia" w:hAnsi="Times New Roman" w:cs="宋体"/>
          <w:bCs/>
          <w:color w:val="auto"/>
          <w:kern w:val="0"/>
          <w:highlight w:val="none"/>
          <w:lang w:val="zh-CN" w:bidi="zh-CN"/>
        </w:rPr>
        <w:t>矿槽除尘系统（槽上+碎焦筛分）</w:t>
      </w:r>
    </w:p>
    <w:p w14:paraId="66855A97">
      <w:pPr>
        <w:shd w:val="clear"/>
        <w:autoSpaceDE w:val="0"/>
        <w:autoSpaceDN w:val="0"/>
        <w:rPr>
          <w:rFonts w:ascii="Times New Roman" w:hAnsi="Times New Roman" w:cs="Times New Roman"/>
          <w:bCs/>
          <w:color w:val="auto"/>
          <w:kern w:val="0"/>
          <w:szCs w:val="22"/>
          <w:highlight w:val="none"/>
          <w:lang w:bidi="zh-CN"/>
        </w:rPr>
      </w:pPr>
      <w:r>
        <w:rPr>
          <w:rFonts w:ascii="Times New Roman" w:hAnsi="Times New Roman" w:cs="Times New Roman"/>
          <w:bCs/>
          <w:color w:val="auto"/>
          <w:kern w:val="0"/>
          <w:szCs w:val="22"/>
          <w:highlight w:val="none"/>
          <w:lang w:bidi="zh-CN"/>
        </w:rPr>
        <w:t>矿槽除尘系统利旧改造，矿槽除尘系统设计风量为</w:t>
      </w:r>
      <w:r>
        <w:rPr>
          <w:rFonts w:hint="eastAsia" w:ascii="Times New Roman" w:hAnsi="Times New Roman" w:cs="Times New Roman"/>
          <w:bCs/>
          <w:color w:val="auto"/>
          <w:kern w:val="0"/>
          <w:szCs w:val="22"/>
          <w:highlight w:val="none"/>
          <w:lang w:bidi="zh-CN"/>
        </w:rPr>
        <w:t>49</w:t>
      </w:r>
      <w:r>
        <w:rPr>
          <w:rFonts w:ascii="Times New Roman" w:hAnsi="Times New Roman" w:cs="Times New Roman"/>
          <w:bCs/>
          <w:color w:val="auto"/>
          <w:kern w:val="0"/>
          <w:szCs w:val="22"/>
          <w:highlight w:val="none"/>
          <w:lang w:bidi="zh-CN"/>
        </w:rPr>
        <w:t>×10</w:t>
      </w:r>
      <w:r>
        <w:rPr>
          <w:rFonts w:ascii="Times New Roman" w:hAnsi="Times New Roman" w:cs="Times New Roman"/>
          <w:bCs/>
          <w:color w:val="auto"/>
          <w:kern w:val="0"/>
          <w:szCs w:val="22"/>
          <w:highlight w:val="none"/>
          <w:vertAlign w:val="superscript"/>
          <w:lang w:bidi="zh-CN"/>
        </w:rPr>
        <w:t>4</w:t>
      </w:r>
      <w:r>
        <w:rPr>
          <w:rFonts w:ascii="Times New Roman" w:hAnsi="Times New Roman" w:cs="Times New Roman"/>
          <w:bCs/>
          <w:color w:val="auto"/>
          <w:kern w:val="0"/>
          <w:szCs w:val="22"/>
          <w:highlight w:val="none"/>
          <w:lang w:bidi="zh-CN"/>
        </w:rPr>
        <w:t>m</w:t>
      </w:r>
      <w:r>
        <w:rPr>
          <w:rFonts w:ascii="Times New Roman" w:hAnsi="Times New Roman" w:cs="Times New Roman"/>
          <w:bCs/>
          <w:color w:val="auto"/>
          <w:kern w:val="0"/>
          <w:szCs w:val="22"/>
          <w:highlight w:val="none"/>
          <w:vertAlign w:val="superscript"/>
          <w:lang w:bidi="zh-CN"/>
        </w:rPr>
        <w:t>3</w:t>
      </w:r>
      <w:r>
        <w:rPr>
          <w:rFonts w:ascii="Times New Roman" w:hAnsi="Times New Roman" w:cs="Times New Roman"/>
          <w:bCs/>
          <w:color w:val="auto"/>
          <w:kern w:val="0"/>
          <w:szCs w:val="22"/>
          <w:highlight w:val="none"/>
          <w:lang w:bidi="zh-CN"/>
        </w:rPr>
        <w:t>/h，主要捕集42#~43#皮带卸料小车</w:t>
      </w:r>
      <w:r>
        <w:rPr>
          <w:rFonts w:hint="eastAsia" w:ascii="Times New Roman" w:hAnsi="Times New Roman" w:cs="Times New Roman"/>
          <w:bCs/>
          <w:color w:val="auto"/>
          <w:kern w:val="0"/>
          <w:szCs w:val="22"/>
          <w:highlight w:val="none"/>
          <w:lang w:bidi="zh-CN"/>
        </w:rPr>
        <w:t>、</w:t>
      </w:r>
      <w:r>
        <w:rPr>
          <w:rFonts w:ascii="Times New Roman" w:hAnsi="Times New Roman" w:cs="Times New Roman"/>
          <w:bCs/>
          <w:color w:val="auto"/>
          <w:kern w:val="0"/>
          <w:szCs w:val="22"/>
          <w:highlight w:val="none"/>
          <w:lang w:bidi="zh-CN"/>
        </w:rPr>
        <w:t>44#皮带卸料小车</w:t>
      </w:r>
      <w:r>
        <w:rPr>
          <w:rFonts w:hint="eastAsia" w:ascii="Times New Roman" w:hAnsi="Times New Roman" w:cs="Times New Roman"/>
          <w:bCs/>
          <w:color w:val="auto"/>
          <w:kern w:val="0"/>
          <w:szCs w:val="22"/>
          <w:highlight w:val="none"/>
          <w:lang w:bidi="zh-CN"/>
        </w:rPr>
        <w:t>、42#~44#皮带机头、</w:t>
      </w:r>
      <w:r>
        <w:rPr>
          <w:rFonts w:ascii="Times New Roman" w:hAnsi="Times New Roman" w:cs="Times New Roman"/>
          <w:bCs/>
          <w:color w:val="auto"/>
          <w:kern w:val="0"/>
          <w:szCs w:val="22"/>
          <w:highlight w:val="none"/>
          <w:lang w:bidi="zh-CN"/>
        </w:rPr>
        <w:t>碎铁仓顶部除尘</w:t>
      </w:r>
      <w:r>
        <w:rPr>
          <w:rFonts w:hint="eastAsia" w:ascii="Times New Roman" w:hAnsi="Times New Roman" w:cs="Times New Roman"/>
          <w:bCs/>
          <w:color w:val="auto"/>
          <w:kern w:val="0"/>
          <w:szCs w:val="22"/>
          <w:highlight w:val="none"/>
          <w:lang w:bidi="zh-CN"/>
        </w:rPr>
        <w:t>、</w:t>
      </w:r>
      <w:r>
        <w:rPr>
          <w:rFonts w:ascii="Times New Roman" w:hAnsi="Times New Roman" w:cs="Times New Roman"/>
          <w:bCs/>
          <w:color w:val="auto"/>
          <w:kern w:val="0"/>
          <w:szCs w:val="22"/>
          <w:highlight w:val="none"/>
          <w:lang w:bidi="zh-CN"/>
        </w:rPr>
        <w:t>碎铁仓下部</w:t>
      </w:r>
      <w:r>
        <w:rPr>
          <w:rFonts w:hint="eastAsia" w:ascii="Times New Roman" w:hAnsi="Times New Roman" w:cs="Times New Roman"/>
          <w:bCs/>
          <w:color w:val="auto"/>
          <w:kern w:val="0"/>
          <w:szCs w:val="22"/>
          <w:highlight w:val="none"/>
          <w:lang w:bidi="zh-CN"/>
        </w:rPr>
        <w:t>、</w:t>
      </w:r>
      <w:r>
        <w:rPr>
          <w:rFonts w:ascii="Times New Roman" w:hAnsi="Times New Roman" w:cs="Times New Roman"/>
          <w:bCs/>
          <w:color w:val="auto"/>
          <w:kern w:val="0"/>
          <w:szCs w:val="22"/>
          <w:highlight w:val="none"/>
          <w:lang w:bidi="zh-CN"/>
        </w:rPr>
        <w:t>38#供料皮带头部</w:t>
      </w:r>
      <w:r>
        <w:rPr>
          <w:rFonts w:hint="eastAsia" w:ascii="Times New Roman" w:hAnsi="Times New Roman" w:cs="Times New Roman"/>
          <w:bCs/>
          <w:color w:val="auto"/>
          <w:kern w:val="0"/>
          <w:szCs w:val="22"/>
          <w:highlight w:val="none"/>
          <w:lang w:bidi="zh-CN"/>
        </w:rPr>
        <w:t>、</w:t>
      </w:r>
      <w:r>
        <w:rPr>
          <w:rFonts w:ascii="Times New Roman" w:hAnsi="Times New Roman" w:cs="Times New Roman"/>
          <w:bCs/>
          <w:color w:val="auto"/>
          <w:kern w:val="0"/>
          <w:szCs w:val="22"/>
          <w:highlight w:val="none"/>
          <w:lang w:bidi="zh-CN"/>
        </w:rPr>
        <w:t>42#</w:t>
      </w:r>
      <w:r>
        <w:rPr>
          <w:rFonts w:hint="eastAsia" w:ascii="Times New Roman" w:hAnsi="Times New Roman" w:cs="Times New Roman"/>
          <w:bCs/>
          <w:color w:val="auto"/>
          <w:kern w:val="0"/>
          <w:szCs w:val="22"/>
          <w:highlight w:val="none"/>
          <w:lang w:bidi="zh-CN"/>
        </w:rPr>
        <w:t>~</w:t>
      </w:r>
      <w:r>
        <w:rPr>
          <w:rFonts w:ascii="Times New Roman" w:hAnsi="Times New Roman" w:cs="Times New Roman"/>
          <w:bCs/>
          <w:color w:val="auto"/>
          <w:kern w:val="0"/>
          <w:szCs w:val="22"/>
          <w:highlight w:val="none"/>
          <w:lang w:bidi="zh-CN"/>
        </w:rPr>
        <w:t>44#皮带机尾受料点后</w:t>
      </w:r>
      <w:r>
        <w:rPr>
          <w:rFonts w:hint="eastAsia" w:ascii="Times New Roman" w:hAnsi="Times New Roman" w:cs="Times New Roman"/>
          <w:bCs/>
          <w:color w:val="auto"/>
          <w:kern w:val="0"/>
          <w:szCs w:val="22"/>
          <w:highlight w:val="none"/>
          <w:lang w:bidi="zh-CN"/>
        </w:rPr>
        <w:t>等43</w:t>
      </w:r>
      <w:r>
        <w:rPr>
          <w:rFonts w:ascii="Times New Roman" w:hAnsi="Times New Roman" w:cs="Times New Roman"/>
          <w:bCs/>
          <w:color w:val="auto"/>
          <w:kern w:val="0"/>
          <w:szCs w:val="22"/>
          <w:highlight w:val="none"/>
          <w:lang w:bidi="zh-CN"/>
        </w:rPr>
        <w:t>产尘点所产生的含尘废气。含尘废气经滤筒过滤净化后通过排气筒排放，矿槽除尘系统设置一个直径3600mm、高35m的排气筒，排气筒安装自动监控设施。外排烟气中颗粒物浓度≤10mg/m</w:t>
      </w:r>
      <w:r>
        <w:rPr>
          <w:rFonts w:ascii="Times New Roman" w:hAnsi="Times New Roman" w:cs="Times New Roman"/>
          <w:bCs/>
          <w:color w:val="auto"/>
          <w:kern w:val="0"/>
          <w:szCs w:val="22"/>
          <w:highlight w:val="none"/>
          <w:vertAlign w:val="superscript"/>
          <w:lang w:bidi="zh-CN"/>
        </w:rPr>
        <w:t>3</w:t>
      </w:r>
      <w:r>
        <w:rPr>
          <w:rFonts w:ascii="Times New Roman" w:hAnsi="Times New Roman" w:cs="Times New Roman"/>
          <w:bCs/>
          <w:color w:val="auto"/>
          <w:kern w:val="0"/>
          <w:szCs w:val="22"/>
          <w:highlight w:val="none"/>
          <w:lang w:bidi="zh-CN"/>
        </w:rPr>
        <w:t>，满足《炼铁工业大气污染物排放标准》（GB 28663-2012）特别排放限值和《关于推进实施钢铁行业超低排放的意见》（环大气[2019] 35号）的钢铁企业超低排放指标限值。</w:t>
      </w:r>
    </w:p>
    <w:p w14:paraId="6EA8EAB3">
      <w:pPr>
        <w:shd w:val="clear"/>
        <w:autoSpaceDE w:val="0"/>
        <w:autoSpaceDN w:val="0"/>
        <w:rPr>
          <w:rFonts w:ascii="Times New Roman" w:hAnsi="Times New Roman" w:cs="Times New Roman"/>
          <w:bCs/>
          <w:color w:val="auto"/>
          <w:kern w:val="0"/>
          <w:szCs w:val="22"/>
          <w:highlight w:val="none"/>
          <w:lang w:bidi="zh-CN"/>
        </w:rPr>
      </w:pPr>
      <w:r>
        <w:rPr>
          <w:rFonts w:ascii="Times New Roman" w:hAnsi="Times New Roman" w:cs="Times New Roman"/>
          <w:bCs/>
          <w:color w:val="auto"/>
          <w:kern w:val="0"/>
          <w:szCs w:val="22"/>
          <w:highlight w:val="none"/>
          <w:lang w:bidi="zh-CN"/>
        </w:rPr>
        <w:t>（3）地沟除尘系统（槽下+返矿转运）</w:t>
      </w:r>
    </w:p>
    <w:p w14:paraId="6287DD94">
      <w:pPr>
        <w:shd w:val="clear"/>
        <w:autoSpaceDE w:val="0"/>
        <w:autoSpaceDN w:val="0"/>
        <w:rPr>
          <w:rFonts w:ascii="Times New Roman" w:hAnsi="Times New Roman" w:cs="Times New Roman"/>
          <w:bCs/>
          <w:color w:val="auto"/>
          <w:kern w:val="0"/>
          <w:szCs w:val="22"/>
          <w:highlight w:val="none"/>
          <w:lang w:bidi="zh-CN"/>
        </w:rPr>
      </w:pPr>
      <w:r>
        <w:rPr>
          <w:rFonts w:ascii="Times New Roman" w:hAnsi="Times New Roman" w:cs="Times New Roman"/>
          <w:bCs/>
          <w:color w:val="auto"/>
          <w:kern w:val="0"/>
          <w:szCs w:val="22"/>
          <w:highlight w:val="none"/>
          <w:lang w:bidi="zh-CN"/>
        </w:rPr>
        <w:t>地沟除尘系统由原出铁场除尘系统利旧改造而来，地沟除尘系统的设计风量为70×10</w:t>
      </w:r>
      <w:r>
        <w:rPr>
          <w:rFonts w:ascii="Times New Roman" w:hAnsi="Times New Roman" w:cs="Times New Roman"/>
          <w:bCs/>
          <w:color w:val="auto"/>
          <w:kern w:val="0"/>
          <w:szCs w:val="22"/>
          <w:highlight w:val="none"/>
          <w:vertAlign w:val="superscript"/>
          <w:lang w:bidi="zh-CN"/>
        </w:rPr>
        <w:t>4</w:t>
      </w:r>
      <w:r>
        <w:rPr>
          <w:rFonts w:ascii="Times New Roman" w:hAnsi="Times New Roman" w:cs="Times New Roman"/>
          <w:bCs/>
          <w:color w:val="auto"/>
          <w:kern w:val="0"/>
          <w:szCs w:val="22"/>
          <w:highlight w:val="none"/>
          <w:lang w:bidi="zh-CN"/>
        </w:rPr>
        <w:t>m</w:t>
      </w:r>
      <w:r>
        <w:rPr>
          <w:rFonts w:ascii="Times New Roman" w:hAnsi="Times New Roman" w:cs="Times New Roman"/>
          <w:bCs/>
          <w:color w:val="auto"/>
          <w:kern w:val="0"/>
          <w:szCs w:val="22"/>
          <w:highlight w:val="none"/>
          <w:vertAlign w:val="superscript"/>
          <w:lang w:bidi="zh-CN"/>
        </w:rPr>
        <w:t>3</w:t>
      </w:r>
      <w:r>
        <w:rPr>
          <w:rFonts w:ascii="Times New Roman" w:hAnsi="Times New Roman" w:cs="Times New Roman"/>
          <w:bCs/>
          <w:color w:val="auto"/>
          <w:kern w:val="0"/>
          <w:szCs w:val="22"/>
          <w:highlight w:val="none"/>
          <w:lang w:bidi="zh-CN"/>
        </w:rPr>
        <w:t>/h，主要捕集和处理9#-1、-2振动筛→北上料皮带（振筛本体、筛上物出料溜槽、北上料皮带落料点）</w:t>
      </w:r>
      <w:r>
        <w:rPr>
          <w:rFonts w:hint="eastAsia" w:ascii="Times New Roman" w:hAnsi="Times New Roman" w:cs="Times New Roman"/>
          <w:bCs/>
          <w:color w:val="auto"/>
          <w:kern w:val="0"/>
          <w:szCs w:val="22"/>
          <w:highlight w:val="none"/>
          <w:lang w:bidi="zh-CN"/>
        </w:rPr>
        <w:t>、</w:t>
      </w:r>
      <w:r>
        <w:rPr>
          <w:rFonts w:ascii="Times New Roman" w:hAnsi="Times New Roman" w:cs="Times New Roman"/>
          <w:bCs/>
          <w:color w:val="auto"/>
          <w:kern w:val="0"/>
          <w:szCs w:val="22"/>
          <w:highlight w:val="none"/>
          <w:lang w:bidi="zh-CN"/>
        </w:rPr>
        <w:t>9#-1、-2振动筛返料→碱返皮带</w:t>
      </w:r>
      <w:r>
        <w:rPr>
          <w:rFonts w:hint="eastAsia" w:ascii="Times New Roman" w:hAnsi="Times New Roman" w:cs="Times New Roman"/>
          <w:bCs/>
          <w:color w:val="auto"/>
          <w:kern w:val="0"/>
          <w:szCs w:val="22"/>
          <w:highlight w:val="none"/>
          <w:lang w:bidi="zh-CN"/>
        </w:rPr>
        <w:t>、</w:t>
      </w:r>
      <w:r>
        <w:rPr>
          <w:rFonts w:ascii="Times New Roman" w:hAnsi="Times New Roman" w:cs="Times New Roman"/>
          <w:bCs/>
          <w:color w:val="auto"/>
          <w:kern w:val="0"/>
          <w:szCs w:val="22"/>
          <w:highlight w:val="none"/>
          <w:lang w:bidi="zh-CN"/>
        </w:rPr>
        <w:t>10#-1、-2振动筛→北上料皮带（振筛本体、筛上物出料溜槽、北上料皮带落料点）</w:t>
      </w:r>
      <w:r>
        <w:rPr>
          <w:rFonts w:hint="eastAsia" w:ascii="Times New Roman" w:hAnsi="Times New Roman" w:cs="Times New Roman"/>
          <w:bCs/>
          <w:color w:val="auto"/>
          <w:kern w:val="0"/>
          <w:szCs w:val="22"/>
          <w:highlight w:val="none"/>
          <w:lang w:bidi="zh-CN"/>
        </w:rPr>
        <w:t>、</w:t>
      </w:r>
      <w:r>
        <w:rPr>
          <w:rFonts w:ascii="Times New Roman" w:hAnsi="Times New Roman" w:cs="Times New Roman"/>
          <w:bCs/>
          <w:color w:val="auto"/>
          <w:kern w:val="0"/>
          <w:szCs w:val="22"/>
          <w:highlight w:val="none"/>
          <w:lang w:bidi="zh-CN"/>
        </w:rPr>
        <w:t>10#-1、-2振动筛返料→碱返皮带</w:t>
      </w:r>
      <w:r>
        <w:rPr>
          <w:rFonts w:hint="eastAsia" w:ascii="Times New Roman" w:hAnsi="Times New Roman" w:cs="Times New Roman"/>
          <w:bCs/>
          <w:color w:val="auto"/>
          <w:kern w:val="0"/>
          <w:szCs w:val="22"/>
          <w:highlight w:val="none"/>
          <w:lang w:bidi="zh-CN"/>
        </w:rPr>
        <w:t>、</w:t>
      </w:r>
      <w:r>
        <w:rPr>
          <w:rFonts w:ascii="Times New Roman" w:hAnsi="Times New Roman" w:cs="Times New Roman"/>
          <w:bCs/>
          <w:color w:val="auto"/>
          <w:kern w:val="0"/>
          <w:szCs w:val="22"/>
          <w:highlight w:val="none"/>
          <w:lang w:bidi="zh-CN"/>
        </w:rPr>
        <w:t>15#-1、-2振动筛→南上料皮带（振筛本体、筛上物出料溜槽、北上料皮带落料点）</w:t>
      </w:r>
      <w:r>
        <w:rPr>
          <w:rFonts w:hint="eastAsia" w:ascii="Times New Roman" w:hAnsi="Times New Roman" w:cs="Times New Roman"/>
          <w:bCs/>
          <w:color w:val="auto"/>
          <w:kern w:val="0"/>
          <w:szCs w:val="22"/>
          <w:highlight w:val="none"/>
          <w:lang w:bidi="zh-CN"/>
        </w:rPr>
        <w:t>、</w:t>
      </w:r>
      <w:r>
        <w:rPr>
          <w:rFonts w:ascii="Times New Roman" w:hAnsi="Times New Roman" w:cs="Times New Roman"/>
          <w:bCs/>
          <w:color w:val="auto"/>
          <w:kern w:val="0"/>
          <w:szCs w:val="22"/>
          <w:highlight w:val="none"/>
          <w:lang w:bidi="zh-CN"/>
        </w:rPr>
        <w:t>15#-1、-2振动筛返料→碱返皮带</w:t>
      </w:r>
      <w:r>
        <w:rPr>
          <w:rFonts w:hint="eastAsia" w:ascii="Times New Roman" w:hAnsi="Times New Roman" w:cs="Times New Roman"/>
          <w:bCs/>
          <w:color w:val="auto"/>
          <w:kern w:val="0"/>
          <w:szCs w:val="22"/>
          <w:highlight w:val="none"/>
          <w:lang w:bidi="zh-CN"/>
        </w:rPr>
        <w:t>等</w:t>
      </w:r>
      <w:r>
        <w:rPr>
          <w:rFonts w:ascii="Times New Roman" w:hAnsi="Times New Roman" w:cs="Times New Roman"/>
          <w:bCs/>
          <w:color w:val="auto"/>
          <w:kern w:val="0"/>
          <w:szCs w:val="22"/>
          <w:highlight w:val="none"/>
          <w:lang w:bidi="zh-CN"/>
        </w:rPr>
        <w:t>产尘点所产生的含尘废气。含尘废气经滤筒过滤净化后通过排气筒排放，地沟除尘系统设置一个直径40</w:t>
      </w:r>
      <w:r>
        <w:rPr>
          <w:rFonts w:hint="eastAsia" w:ascii="Times New Roman" w:hAnsi="Times New Roman" w:cs="Times New Roman"/>
          <w:bCs/>
          <w:color w:val="auto"/>
          <w:kern w:val="0"/>
          <w:szCs w:val="22"/>
          <w:highlight w:val="none"/>
          <w:lang w:bidi="zh-CN"/>
        </w:rPr>
        <w:t>24</w:t>
      </w:r>
      <w:r>
        <w:rPr>
          <w:rFonts w:ascii="Times New Roman" w:hAnsi="Times New Roman" w:cs="Times New Roman"/>
          <w:bCs/>
          <w:color w:val="auto"/>
          <w:kern w:val="0"/>
          <w:szCs w:val="22"/>
          <w:highlight w:val="none"/>
          <w:lang w:bidi="zh-CN"/>
        </w:rPr>
        <w:t>mm、高</w:t>
      </w:r>
      <w:r>
        <w:rPr>
          <w:rFonts w:hint="eastAsia" w:ascii="Times New Roman" w:hAnsi="Times New Roman" w:cs="Times New Roman"/>
          <w:bCs/>
          <w:color w:val="auto"/>
          <w:kern w:val="0"/>
          <w:szCs w:val="22"/>
          <w:highlight w:val="none"/>
          <w:lang w:bidi="zh-CN"/>
        </w:rPr>
        <w:t>4</w:t>
      </w:r>
      <w:r>
        <w:rPr>
          <w:rFonts w:ascii="Times New Roman" w:hAnsi="Times New Roman" w:cs="Times New Roman"/>
          <w:bCs/>
          <w:color w:val="auto"/>
          <w:kern w:val="0"/>
          <w:szCs w:val="22"/>
          <w:highlight w:val="none"/>
          <w:lang w:bidi="zh-CN"/>
        </w:rPr>
        <w:t>5m的排气筒，排气筒安装自动监控设施。外排烟气中颗粒物浓度≤10mg/m</w:t>
      </w:r>
      <w:r>
        <w:rPr>
          <w:rFonts w:ascii="Times New Roman" w:hAnsi="Times New Roman" w:cs="Times New Roman"/>
          <w:bCs/>
          <w:color w:val="auto"/>
          <w:kern w:val="0"/>
          <w:szCs w:val="22"/>
          <w:highlight w:val="none"/>
          <w:vertAlign w:val="superscript"/>
          <w:lang w:bidi="zh-CN"/>
        </w:rPr>
        <w:t>3</w:t>
      </w:r>
      <w:r>
        <w:rPr>
          <w:rFonts w:ascii="Times New Roman" w:hAnsi="Times New Roman" w:cs="Times New Roman"/>
          <w:bCs/>
          <w:color w:val="auto"/>
          <w:kern w:val="0"/>
          <w:szCs w:val="22"/>
          <w:highlight w:val="none"/>
          <w:lang w:bidi="zh-CN"/>
        </w:rPr>
        <w:t>，满足《炼铁工业大气污染物排放标准》（GB 28663-2012）特别排放限值和《关于推进实施钢铁行业超低排放的意见》（环大气[2019] 35号）的钢铁企业超低排放指标限值。</w:t>
      </w:r>
    </w:p>
    <w:p w14:paraId="135F917C">
      <w:pPr>
        <w:shd w:val="clear"/>
        <w:rPr>
          <w:rFonts w:ascii="Times New Roman" w:hAnsi="Times New Roman" w:cs="Times New Roman"/>
          <w:color w:val="auto"/>
          <w:highlight w:val="none"/>
        </w:rPr>
      </w:pPr>
      <w:r>
        <w:rPr>
          <w:rFonts w:ascii="Times New Roman" w:hAnsi="Times New Roman" w:cs="Times New Roman"/>
          <w:bCs/>
          <w:color w:val="auto"/>
          <w:kern w:val="0"/>
          <w:szCs w:val="22"/>
          <w:highlight w:val="none"/>
          <w:lang w:bidi="zh-CN"/>
        </w:rPr>
        <w:t>（4）</w:t>
      </w:r>
      <w:r>
        <w:rPr>
          <w:rFonts w:ascii="Times New Roman" w:hAnsi="Times New Roman" w:cs="Times New Roman"/>
          <w:color w:val="auto"/>
          <w:highlight w:val="none"/>
        </w:rPr>
        <w:t>F4转运站除尘</w:t>
      </w:r>
    </w:p>
    <w:p w14:paraId="17886657">
      <w:pPr>
        <w:shd w:val="clear"/>
        <w:autoSpaceDE w:val="0"/>
        <w:autoSpaceDN w:val="0"/>
        <w:rPr>
          <w:rFonts w:ascii="Times New Roman" w:hAnsi="Times New Roman" w:cs="Times New Roman"/>
          <w:bCs/>
          <w:color w:val="auto"/>
          <w:kern w:val="0"/>
          <w:szCs w:val="22"/>
          <w:highlight w:val="none"/>
          <w:lang w:bidi="zh-CN"/>
        </w:rPr>
      </w:pPr>
      <w:r>
        <w:rPr>
          <w:rFonts w:ascii="Times New Roman" w:hAnsi="Times New Roman" w:cs="Times New Roman"/>
          <w:color w:val="auto"/>
          <w:highlight w:val="none"/>
        </w:rPr>
        <w:t>本转运站除尘主要为F04皮带头卸料和FK-2胶带机受料点，除尘总风量为16500m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/h。由于F4转运站距离2#高炉区域较远，靠近3#高炉矿槽除尘系统，考虑将F4转运站除尘接入到3#高炉矿槽主干管上</w:t>
      </w:r>
      <w:r>
        <w:rPr>
          <w:rFonts w:hint="eastAsia" w:ascii="Times New Roman" w:hAnsi="Times New Roman" w:cs="Times New Roman"/>
          <w:color w:val="auto"/>
          <w:highlight w:val="none"/>
        </w:rPr>
        <w:t>。</w:t>
      </w:r>
    </w:p>
    <w:p w14:paraId="3AAFF6E0">
      <w:pPr>
        <w:shd w:val="clear"/>
        <w:autoSpaceDE w:val="0"/>
        <w:autoSpaceDN w:val="0"/>
        <w:rPr>
          <w:rFonts w:ascii="Times New Roman" w:hAnsi="Times New Roman" w:cs="Times New Roman"/>
          <w:bCs/>
          <w:color w:val="auto"/>
          <w:kern w:val="0"/>
          <w:szCs w:val="22"/>
          <w:highlight w:val="none"/>
          <w:lang w:bidi="zh-CN"/>
        </w:rPr>
      </w:pPr>
      <w:r>
        <w:rPr>
          <w:rFonts w:ascii="Times New Roman" w:hAnsi="Times New Roman" w:cs="Times New Roman"/>
          <w:bCs/>
          <w:color w:val="auto"/>
          <w:kern w:val="0"/>
          <w:szCs w:val="22"/>
          <w:highlight w:val="none"/>
          <w:lang w:bidi="zh-CN"/>
        </w:rPr>
        <w:t>（</w:t>
      </w:r>
      <w:r>
        <w:rPr>
          <w:rFonts w:hint="eastAsia" w:ascii="Times New Roman" w:hAnsi="Times New Roman" w:cs="Times New Roman"/>
          <w:bCs/>
          <w:color w:val="auto"/>
          <w:kern w:val="0"/>
          <w:szCs w:val="22"/>
          <w:highlight w:val="none"/>
          <w:lang w:bidi="zh-CN"/>
        </w:rPr>
        <w:t>5</w:t>
      </w:r>
      <w:r>
        <w:rPr>
          <w:rFonts w:ascii="Times New Roman" w:hAnsi="Times New Roman" w:cs="Times New Roman"/>
          <w:bCs/>
          <w:color w:val="auto"/>
          <w:kern w:val="0"/>
          <w:szCs w:val="22"/>
          <w:highlight w:val="none"/>
          <w:lang w:bidi="zh-CN"/>
        </w:rPr>
        <w:t>）高炉煤气净化回收</w:t>
      </w:r>
    </w:p>
    <w:p w14:paraId="726F8512">
      <w:pPr>
        <w:shd w:val="clear"/>
        <w:autoSpaceDE w:val="0"/>
        <w:autoSpaceDN w:val="0"/>
        <w:rPr>
          <w:rFonts w:ascii="Times New Roman" w:hAnsi="Times New Roman" w:cs="Times New Roman"/>
          <w:bCs/>
          <w:color w:val="auto"/>
          <w:kern w:val="0"/>
          <w:szCs w:val="22"/>
          <w:highlight w:val="none"/>
          <w:lang w:bidi="zh-CN"/>
        </w:rPr>
      </w:pPr>
      <w:r>
        <w:rPr>
          <w:rFonts w:ascii="Times New Roman" w:hAnsi="Times New Roman" w:cs="Times New Roman"/>
          <w:bCs/>
          <w:color w:val="auto"/>
          <w:kern w:val="0"/>
          <w:szCs w:val="22"/>
          <w:highlight w:val="none"/>
          <w:lang w:bidi="zh-CN"/>
        </w:rPr>
        <w:t>高炉冶炼过程中产生大量含CO、烟尘的高炉煤气，经重力除尘器、布袋除尘器净化处理后，含尘浓度≤5mg/m</w:t>
      </w:r>
      <w:r>
        <w:rPr>
          <w:rFonts w:ascii="Times New Roman" w:hAnsi="Times New Roman" w:cs="Times New Roman"/>
          <w:bCs/>
          <w:color w:val="auto"/>
          <w:kern w:val="0"/>
          <w:szCs w:val="22"/>
          <w:highlight w:val="none"/>
          <w:vertAlign w:val="superscript"/>
          <w:lang w:bidi="zh-CN"/>
        </w:rPr>
        <w:t>3</w:t>
      </w:r>
      <w:r>
        <w:rPr>
          <w:rFonts w:ascii="Times New Roman" w:hAnsi="Times New Roman" w:cs="Times New Roman"/>
          <w:bCs/>
          <w:color w:val="auto"/>
          <w:kern w:val="0"/>
          <w:szCs w:val="22"/>
          <w:highlight w:val="none"/>
          <w:lang w:bidi="zh-CN"/>
        </w:rPr>
        <w:t>，送全厂煤气管网回收利用。</w:t>
      </w:r>
    </w:p>
    <w:p w14:paraId="7CC6BA4B">
      <w:pPr>
        <w:shd w:val="clear"/>
        <w:autoSpaceDE w:val="0"/>
        <w:autoSpaceDN w:val="0"/>
        <w:rPr>
          <w:rFonts w:ascii="Times New Roman" w:hAnsi="Times New Roman" w:cs="Times New Roman"/>
          <w:bCs/>
          <w:color w:val="auto"/>
          <w:kern w:val="0"/>
          <w:szCs w:val="22"/>
          <w:highlight w:val="none"/>
          <w:lang w:bidi="zh-CN"/>
        </w:rPr>
      </w:pPr>
      <w:r>
        <w:rPr>
          <w:rFonts w:ascii="Times New Roman" w:hAnsi="Times New Roman" w:cs="Times New Roman"/>
          <w:bCs/>
          <w:color w:val="auto"/>
          <w:kern w:val="0"/>
          <w:szCs w:val="22"/>
          <w:highlight w:val="none"/>
          <w:lang w:bidi="zh-CN"/>
        </w:rPr>
        <w:t>（</w:t>
      </w:r>
      <w:r>
        <w:rPr>
          <w:rFonts w:hint="eastAsia" w:ascii="Times New Roman" w:hAnsi="Times New Roman" w:cs="Times New Roman"/>
          <w:bCs/>
          <w:color w:val="auto"/>
          <w:kern w:val="0"/>
          <w:szCs w:val="22"/>
          <w:highlight w:val="none"/>
          <w:lang w:bidi="zh-CN"/>
        </w:rPr>
        <w:t>6</w:t>
      </w:r>
      <w:r>
        <w:rPr>
          <w:rFonts w:ascii="Times New Roman" w:hAnsi="Times New Roman" w:cs="Times New Roman"/>
          <w:bCs/>
          <w:color w:val="auto"/>
          <w:kern w:val="0"/>
          <w:szCs w:val="22"/>
          <w:highlight w:val="none"/>
          <w:lang w:bidi="zh-CN"/>
        </w:rPr>
        <w:t>）炉顶均压放散煤气净化回收</w:t>
      </w:r>
    </w:p>
    <w:p w14:paraId="0E889522">
      <w:pPr>
        <w:shd w:val="clear"/>
        <w:autoSpaceDE w:val="0"/>
        <w:autoSpaceDN w:val="0"/>
        <w:rPr>
          <w:rFonts w:ascii="Times New Roman" w:hAnsi="Times New Roman" w:cs="Times New Roman"/>
          <w:bCs/>
          <w:color w:val="auto"/>
          <w:kern w:val="0"/>
          <w:szCs w:val="22"/>
          <w:highlight w:val="none"/>
          <w:lang w:bidi="zh-CN"/>
        </w:rPr>
      </w:pPr>
      <w:r>
        <w:rPr>
          <w:rFonts w:ascii="Times New Roman" w:hAnsi="Times New Roman" w:cs="Times New Roman"/>
          <w:bCs/>
          <w:color w:val="auto"/>
          <w:kern w:val="0"/>
          <w:szCs w:val="22"/>
          <w:highlight w:val="none"/>
          <w:lang w:bidi="zh-CN"/>
        </w:rPr>
        <w:t>炉顶装料设备设有均压装置，均压气体为高炉净煤气和氮气，均压放散气体含CO、粉尘等。本工程设置均压煤气回收设施，均压煤气通过炉顶旋风除尘器和布袋除尘器净化后，送入净煤气管网回收利用；回收设施故障时不回收，均压煤气通过旋风除尘器除尘、消声器消声后高空放散。</w:t>
      </w:r>
    </w:p>
    <w:p w14:paraId="174DDC13">
      <w:pPr>
        <w:shd w:val="clear"/>
        <w:autoSpaceDE w:val="0"/>
        <w:autoSpaceDN w:val="0"/>
        <w:rPr>
          <w:rFonts w:ascii="Times New Roman" w:hAnsi="Times New Roman" w:cs="Times New Roman"/>
          <w:bCs/>
          <w:color w:val="auto"/>
          <w:kern w:val="0"/>
          <w:szCs w:val="22"/>
          <w:highlight w:val="none"/>
          <w:lang w:bidi="zh-CN"/>
        </w:rPr>
      </w:pPr>
      <w:r>
        <w:rPr>
          <w:rFonts w:hint="eastAsia" w:ascii="Times New Roman" w:hAnsi="Times New Roman" w:cs="Times New Roman"/>
          <w:bCs/>
          <w:color w:val="auto"/>
          <w:kern w:val="0"/>
          <w:szCs w:val="22"/>
          <w:highlight w:val="none"/>
          <w:lang w:bidi="zh-CN"/>
        </w:rPr>
        <w:t>15.3.1.2 无组织废气控制措施</w:t>
      </w:r>
    </w:p>
    <w:p w14:paraId="10CDB295">
      <w:pPr>
        <w:shd w:val="clear"/>
        <w:rPr>
          <w:rFonts w:ascii="Times New Roman" w:hAnsi="Times New Roman" w:cs="Times New Roman"/>
          <w:bCs/>
          <w:color w:val="auto"/>
          <w:highlight w:val="none"/>
        </w:rPr>
      </w:pPr>
      <w:r>
        <w:rPr>
          <w:rFonts w:hint="eastAsia" w:ascii="Times New Roman" w:hAnsi="Times New Roman" w:cs="Times New Roman"/>
          <w:bCs/>
          <w:color w:val="auto"/>
          <w:highlight w:val="none"/>
        </w:rPr>
        <w:t>在4</w:t>
      </w:r>
      <w:r>
        <w:rPr>
          <w:rFonts w:ascii="Times New Roman" w:hAnsi="Times New Roman" w:cs="Times New Roman"/>
          <w:bCs/>
          <w:color w:val="auto"/>
          <w:highlight w:val="none"/>
        </w:rPr>
        <w:t>#</w:t>
      </w:r>
      <w:r>
        <w:rPr>
          <w:rFonts w:hint="eastAsia" w:ascii="Times New Roman" w:hAnsi="Times New Roman" w:cs="Times New Roman"/>
          <w:bCs/>
          <w:color w:val="auto"/>
          <w:highlight w:val="none"/>
        </w:rPr>
        <w:t>除尘器集中灰仓下方改造成双卸灰口型式，两个卸灰口支路均通过吸排罐车拉运至2×360m</w:t>
      </w:r>
      <w:r>
        <w:rPr>
          <w:rFonts w:hint="eastAsia" w:ascii="Times New Roman" w:hAnsi="Times New Roman" w:cs="Times New Roman"/>
          <w:bCs/>
          <w:color w:val="auto"/>
          <w:highlight w:val="none"/>
          <w:vertAlign w:val="superscript"/>
        </w:rPr>
        <w:t>2</w:t>
      </w:r>
      <w:r>
        <w:rPr>
          <w:rFonts w:hint="eastAsia" w:ascii="Times New Roman" w:hAnsi="Times New Roman" w:cs="Times New Roman"/>
          <w:bCs/>
          <w:color w:val="auto"/>
          <w:highlight w:val="none"/>
        </w:rPr>
        <w:t>烧结机配料室预留接口气力输送至配料除尘仓。</w:t>
      </w:r>
    </w:p>
    <w:p w14:paraId="28775D01">
      <w:pPr>
        <w:shd w:val="clear"/>
        <w:autoSpaceDE w:val="0"/>
        <w:autoSpaceDN w:val="0"/>
        <w:rPr>
          <w:rFonts w:ascii="Times New Roman" w:hAnsi="Times New Roman" w:cs="Times New Roman"/>
          <w:bCs/>
          <w:color w:val="auto"/>
          <w:kern w:val="0"/>
          <w:szCs w:val="22"/>
          <w:highlight w:val="none"/>
          <w:lang w:bidi="zh-CN"/>
        </w:rPr>
      </w:pPr>
      <w:r>
        <w:rPr>
          <w:rFonts w:ascii="Times New Roman" w:hAnsi="Times New Roman" w:cs="Times New Roman"/>
          <w:bCs/>
          <w:color w:val="auto"/>
          <w:kern w:val="0"/>
          <w:szCs w:val="22"/>
          <w:highlight w:val="none"/>
          <w:lang w:bidi="zh-CN"/>
        </w:rPr>
        <w:t>供料、矿焦槽及上料系统中，各胶带机采用封闭通廊，将矿焦槽全封闭。槽上卸料小车设移动抽尘，皮带设置导料槽密封。</w:t>
      </w:r>
    </w:p>
    <w:p w14:paraId="15CA720E">
      <w:pPr>
        <w:shd w:val="clear"/>
        <w:autoSpaceDE w:val="0"/>
        <w:autoSpaceDN w:val="0"/>
        <w:rPr>
          <w:rFonts w:ascii="Times New Roman" w:hAnsi="Times New Roman" w:cs="Times New Roman"/>
          <w:bCs/>
          <w:color w:val="auto"/>
          <w:kern w:val="0"/>
          <w:szCs w:val="22"/>
          <w:highlight w:val="none"/>
          <w:lang w:bidi="zh-CN"/>
        </w:rPr>
      </w:pPr>
      <w:r>
        <w:rPr>
          <w:rFonts w:ascii="Times New Roman" w:hAnsi="Times New Roman" w:cs="Times New Roman"/>
          <w:bCs/>
          <w:color w:val="auto"/>
          <w:kern w:val="0"/>
          <w:szCs w:val="22"/>
          <w:highlight w:val="none"/>
          <w:lang w:bidi="zh-CN"/>
        </w:rPr>
        <w:t>事故状态下，粉矿仓、粉焦仓等汽车外运卸料口增设抽风除尘设施，有效抑制粉尘外泄。外运汽车为封闭车厢或苫盖严密，有效抑制粉尘外泄。</w:t>
      </w:r>
    </w:p>
    <w:p w14:paraId="6E0A9B3C">
      <w:pPr>
        <w:shd w:val="clear"/>
        <w:autoSpaceDE w:val="0"/>
        <w:autoSpaceDN w:val="0"/>
        <w:rPr>
          <w:rFonts w:ascii="Times New Roman" w:hAnsi="Times New Roman" w:cs="Times New Roman"/>
          <w:bCs/>
          <w:color w:val="auto"/>
          <w:kern w:val="0"/>
          <w:szCs w:val="22"/>
          <w:highlight w:val="none"/>
          <w:lang w:bidi="zh-CN"/>
        </w:rPr>
      </w:pPr>
      <w:r>
        <w:rPr>
          <w:rFonts w:ascii="Times New Roman" w:hAnsi="Times New Roman" w:cs="Times New Roman"/>
          <w:bCs/>
          <w:color w:val="auto"/>
          <w:kern w:val="0"/>
          <w:szCs w:val="22"/>
          <w:highlight w:val="none"/>
          <w:lang w:bidi="zh-CN"/>
        </w:rPr>
        <w:t>高炉炉顶受料斗采用密闭收尘罩，接入出铁场及炉顶除尘系统。</w:t>
      </w:r>
    </w:p>
    <w:p w14:paraId="40DB41AB">
      <w:pPr>
        <w:shd w:val="clear"/>
        <w:autoSpaceDE w:val="0"/>
        <w:autoSpaceDN w:val="0"/>
        <w:rPr>
          <w:rFonts w:ascii="Times New Roman" w:hAnsi="Times New Roman" w:cs="Times New Roman"/>
          <w:bCs/>
          <w:color w:val="auto"/>
          <w:kern w:val="0"/>
          <w:szCs w:val="22"/>
          <w:highlight w:val="none"/>
          <w:lang w:bidi="zh-CN"/>
        </w:rPr>
      </w:pPr>
      <w:r>
        <w:rPr>
          <w:rFonts w:ascii="Times New Roman" w:hAnsi="Times New Roman" w:cs="Times New Roman"/>
          <w:bCs/>
          <w:color w:val="auto"/>
          <w:kern w:val="0"/>
          <w:szCs w:val="22"/>
          <w:highlight w:val="none"/>
          <w:lang w:bidi="zh-CN"/>
        </w:rPr>
        <w:t>重力除尘器除尘灰排灰采用吸引压送密闭罐车外运，双轴加湿搅拌机加湿卸灰汽车外运作为备用。外运汽车为封闭车厢或苫盖严密，有效抑制粉尘外泄。</w:t>
      </w:r>
    </w:p>
    <w:p w14:paraId="10CABB77">
      <w:pPr>
        <w:shd w:val="clear"/>
        <w:autoSpaceDE w:val="0"/>
        <w:autoSpaceDN w:val="0"/>
        <w:rPr>
          <w:rFonts w:ascii="Times New Roman" w:hAnsi="Times New Roman" w:cs="Times New Roman"/>
          <w:bCs/>
          <w:color w:val="auto"/>
          <w:kern w:val="0"/>
          <w:szCs w:val="22"/>
          <w:highlight w:val="none"/>
          <w:lang w:bidi="zh-CN"/>
        </w:rPr>
      </w:pPr>
      <w:r>
        <w:rPr>
          <w:rFonts w:ascii="Times New Roman" w:hAnsi="Times New Roman" w:cs="Times New Roman"/>
          <w:bCs/>
          <w:color w:val="auto"/>
          <w:kern w:val="0"/>
          <w:szCs w:val="22"/>
          <w:highlight w:val="none"/>
          <w:lang w:bidi="zh-CN"/>
        </w:rPr>
        <w:t>干法布袋除尘器至大灰仓之间输灰采用密闭气力输灰方式，杜绝了粉尘污染。干法布袋除尘灰大灰仓排灰采用环保加湿搅拌机加湿卸灰汽车外运，并预留吸引压送密闭罐车外运接口。外运汽车为封闭车厢或苫盖严密，有效抑制粉尘外泄。</w:t>
      </w:r>
    </w:p>
    <w:p w14:paraId="653791FB">
      <w:pPr>
        <w:shd w:val="clear"/>
        <w:rPr>
          <w:rFonts w:ascii="Times New Roman" w:hAnsi="Times New Roman" w:cs="Times New Roman"/>
          <w:bCs/>
          <w:color w:val="auto"/>
          <w:highlight w:val="none"/>
        </w:rPr>
      </w:pPr>
      <w:r>
        <w:rPr>
          <w:rFonts w:ascii="Times New Roman" w:hAnsi="Times New Roman" w:cs="Times New Roman"/>
          <w:bCs/>
          <w:color w:val="auto"/>
          <w:highlight w:val="none"/>
        </w:rPr>
        <w:t>出铁场</w:t>
      </w:r>
      <w:r>
        <w:rPr>
          <w:rFonts w:hint="eastAsia" w:ascii="Times New Roman" w:hAnsi="Times New Roman" w:cs="Times New Roman"/>
          <w:bCs/>
          <w:color w:val="auto"/>
          <w:highlight w:val="none"/>
        </w:rPr>
        <w:t>除尘器灰斗收集的除尘灰通过一二级刮板机、斗提机输送至集中灰仓</w:t>
      </w:r>
      <w:r>
        <w:rPr>
          <w:rFonts w:ascii="Times New Roman" w:hAnsi="Times New Roman" w:cs="Times New Roman"/>
          <w:bCs/>
          <w:color w:val="auto"/>
          <w:highlight w:val="none"/>
        </w:rPr>
        <w:t>，杜绝了粉尘污染。</w:t>
      </w:r>
      <w:r>
        <w:rPr>
          <w:rFonts w:hint="eastAsia" w:ascii="Times New Roman" w:hAnsi="Times New Roman" w:cs="Times New Roman"/>
          <w:bCs/>
          <w:color w:val="auto"/>
          <w:highlight w:val="none"/>
        </w:rPr>
        <w:t>集中灰仓设置双卸灰口，两个卸灰口支路均通过吸排罐车拉运至2×360m</w:t>
      </w:r>
      <w:r>
        <w:rPr>
          <w:rFonts w:hint="eastAsia" w:ascii="Times New Roman" w:hAnsi="Times New Roman" w:cs="Times New Roman"/>
          <w:bCs/>
          <w:color w:val="auto"/>
          <w:highlight w:val="none"/>
          <w:vertAlign w:val="superscript"/>
        </w:rPr>
        <w:t>2</w:t>
      </w:r>
      <w:r>
        <w:rPr>
          <w:rFonts w:hint="eastAsia" w:ascii="Times New Roman" w:hAnsi="Times New Roman" w:cs="Times New Roman"/>
          <w:bCs/>
          <w:color w:val="auto"/>
          <w:highlight w:val="none"/>
        </w:rPr>
        <w:t>烧结机配料室预留接口气力输送至配料除尘仓。</w:t>
      </w:r>
      <w:r>
        <w:rPr>
          <w:rFonts w:ascii="Times New Roman" w:hAnsi="Times New Roman" w:cs="Times New Roman"/>
          <w:bCs/>
          <w:color w:val="auto"/>
          <w:highlight w:val="none"/>
        </w:rPr>
        <w:t>矿槽</w:t>
      </w:r>
      <w:r>
        <w:rPr>
          <w:rFonts w:hint="eastAsia" w:ascii="Times New Roman" w:hAnsi="Times New Roman" w:cs="Times New Roman"/>
          <w:bCs/>
          <w:color w:val="auto"/>
          <w:highlight w:val="none"/>
        </w:rPr>
        <w:t>除尘系统</w:t>
      </w:r>
      <w:r>
        <w:rPr>
          <w:rFonts w:ascii="Times New Roman" w:hAnsi="Times New Roman" w:cs="Times New Roman"/>
          <w:bCs/>
          <w:color w:val="auto"/>
          <w:highlight w:val="none"/>
        </w:rPr>
        <w:t>除尘灰采用</w:t>
      </w:r>
      <w:r>
        <w:rPr>
          <w:rFonts w:hint="eastAsia" w:ascii="Times New Roman" w:hAnsi="Times New Roman" w:cs="Times New Roman"/>
          <w:bCs/>
          <w:color w:val="auto"/>
          <w:highlight w:val="none"/>
        </w:rPr>
        <w:t>刮板机输灰</w:t>
      </w:r>
      <w:r>
        <w:rPr>
          <w:rFonts w:ascii="Times New Roman" w:hAnsi="Times New Roman" w:cs="Times New Roman"/>
          <w:bCs/>
          <w:color w:val="auto"/>
          <w:highlight w:val="none"/>
        </w:rPr>
        <w:t>方式</w:t>
      </w:r>
      <w:r>
        <w:rPr>
          <w:rFonts w:hint="eastAsia" w:ascii="Times New Roman" w:hAnsi="Times New Roman" w:cs="Times New Roman"/>
          <w:bCs/>
          <w:color w:val="auto"/>
          <w:highlight w:val="none"/>
        </w:rPr>
        <w:t>输送至现有集中灰仓，现有集中灰仓下方改造为两个卸灰口，两个卸灰口支路均通过吸排罐车拉运至2×360m</w:t>
      </w:r>
      <w:r>
        <w:rPr>
          <w:rFonts w:hint="eastAsia" w:ascii="Times New Roman" w:hAnsi="Times New Roman" w:cs="Times New Roman"/>
          <w:bCs/>
          <w:color w:val="auto"/>
          <w:highlight w:val="none"/>
          <w:vertAlign w:val="superscript"/>
        </w:rPr>
        <w:t>2</w:t>
      </w:r>
      <w:r>
        <w:rPr>
          <w:rFonts w:hint="eastAsia" w:ascii="Times New Roman" w:hAnsi="Times New Roman" w:cs="Times New Roman"/>
          <w:bCs/>
          <w:color w:val="auto"/>
          <w:highlight w:val="none"/>
        </w:rPr>
        <w:t>烧结机配料室预留接口气力输送至配料除尘仓</w:t>
      </w:r>
      <w:r>
        <w:rPr>
          <w:rFonts w:ascii="Times New Roman" w:hAnsi="Times New Roman" w:cs="Times New Roman"/>
          <w:bCs/>
          <w:color w:val="auto"/>
          <w:highlight w:val="none"/>
        </w:rPr>
        <w:t>。</w:t>
      </w:r>
      <w:r>
        <w:rPr>
          <w:rFonts w:hint="eastAsia" w:ascii="Times New Roman" w:hAnsi="Times New Roman" w:cs="Times New Roman"/>
          <w:bCs/>
          <w:color w:val="auto"/>
          <w:highlight w:val="none"/>
        </w:rPr>
        <w:t>地沟除尘系统</w:t>
      </w:r>
      <w:r>
        <w:rPr>
          <w:rFonts w:ascii="Times New Roman" w:hAnsi="Times New Roman" w:cs="Times New Roman"/>
          <w:bCs/>
          <w:color w:val="auto"/>
          <w:highlight w:val="none"/>
        </w:rPr>
        <w:t>除尘灰采用</w:t>
      </w:r>
      <w:r>
        <w:rPr>
          <w:rFonts w:hint="eastAsia" w:ascii="Times New Roman" w:hAnsi="Times New Roman" w:cs="Times New Roman"/>
          <w:bCs/>
          <w:color w:val="auto"/>
          <w:highlight w:val="none"/>
        </w:rPr>
        <w:t>刮板机输灰</w:t>
      </w:r>
      <w:r>
        <w:rPr>
          <w:rFonts w:ascii="Times New Roman" w:hAnsi="Times New Roman" w:cs="Times New Roman"/>
          <w:bCs/>
          <w:color w:val="auto"/>
          <w:highlight w:val="none"/>
        </w:rPr>
        <w:t>方式</w:t>
      </w:r>
      <w:r>
        <w:rPr>
          <w:rFonts w:hint="eastAsia" w:ascii="Times New Roman" w:hAnsi="Times New Roman" w:cs="Times New Roman"/>
          <w:bCs/>
          <w:color w:val="auto"/>
          <w:highlight w:val="none"/>
        </w:rPr>
        <w:t>输送至新建集中灰仓，新建集中灰仓下方设置两个卸灰口，两个卸灰口支路均通过吸排罐车拉运至2×360m</w:t>
      </w:r>
      <w:r>
        <w:rPr>
          <w:rFonts w:hint="eastAsia" w:ascii="Times New Roman" w:hAnsi="Times New Roman" w:cs="Times New Roman"/>
          <w:bCs/>
          <w:color w:val="auto"/>
          <w:highlight w:val="none"/>
          <w:vertAlign w:val="superscript"/>
        </w:rPr>
        <w:t>2</w:t>
      </w:r>
      <w:r>
        <w:rPr>
          <w:rFonts w:hint="eastAsia" w:ascii="Times New Roman" w:hAnsi="Times New Roman" w:cs="Times New Roman"/>
          <w:bCs/>
          <w:color w:val="auto"/>
          <w:highlight w:val="none"/>
        </w:rPr>
        <w:t>烧结机配料室预留接口气力输送至配料除尘仓</w:t>
      </w:r>
      <w:r>
        <w:rPr>
          <w:rFonts w:ascii="Times New Roman" w:hAnsi="Times New Roman" w:cs="Times New Roman"/>
          <w:bCs/>
          <w:color w:val="auto"/>
          <w:highlight w:val="none"/>
        </w:rPr>
        <w:t>。</w:t>
      </w:r>
    </w:p>
    <w:p w14:paraId="0B481DCD">
      <w:pPr>
        <w:shd w:val="clear"/>
        <w:autoSpaceDE w:val="0"/>
        <w:autoSpaceDN w:val="0"/>
        <w:rPr>
          <w:rFonts w:ascii="Times New Roman" w:hAnsi="Times New Roman" w:cs="Times New Roman"/>
          <w:bCs/>
          <w:color w:val="auto"/>
          <w:kern w:val="0"/>
          <w:szCs w:val="22"/>
          <w:highlight w:val="none"/>
          <w:lang w:bidi="zh-CN"/>
        </w:rPr>
      </w:pPr>
      <w:r>
        <w:rPr>
          <w:rFonts w:ascii="Times New Roman" w:hAnsi="Times New Roman" w:cs="Times New Roman"/>
          <w:bCs/>
          <w:color w:val="auto"/>
          <w:kern w:val="0"/>
          <w:szCs w:val="22"/>
          <w:highlight w:val="none"/>
          <w:lang w:bidi="zh-CN"/>
        </w:rPr>
        <w:t>出铁场厂房封闭，出铁场铁口设封闭小房，渣铁沟全部沟段设有沟盖封闭。</w:t>
      </w:r>
    </w:p>
    <w:p w14:paraId="542EE01E">
      <w:pPr>
        <w:shd w:val="clear"/>
        <w:spacing w:after="120" w:line="240" w:lineRule="auto"/>
        <w:ind w:firstLine="280" w:firstLineChars="100"/>
        <w:rPr>
          <w:rFonts w:ascii="Times New Roman" w:hAnsi="Times New Roman" w:cs="Times New Roman"/>
          <w:color w:val="auto"/>
          <w:sz w:val="28"/>
          <w:highlight w:val="none"/>
        </w:rPr>
      </w:pPr>
    </w:p>
    <w:p w14:paraId="3E4EE8B8">
      <w:pPr>
        <w:shd w:val="clear"/>
        <w:rPr>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16581807">
      <w:pPr>
        <w:shd w:val="clear"/>
        <w:jc w:val="center"/>
        <w:rPr>
          <w:rFonts w:ascii="Times New Roman" w:hAnsi="Times New Roman" w:eastAsia="黑体" w:cs="Times New Roman"/>
          <w:color w:val="auto"/>
          <w:szCs w:val="32"/>
          <w:highlight w:val="none"/>
        </w:rPr>
      </w:pPr>
      <w:r>
        <w:rPr>
          <w:rFonts w:hint="eastAsia" w:ascii="Times New Roman" w:hAnsi="Times New Roman" w:eastAsia="黑体" w:cs="Times New Roman"/>
          <w:color w:val="auto"/>
          <w:szCs w:val="32"/>
          <w:highlight w:val="none"/>
        </w:rPr>
        <w:t>表15.3-1  本项目无组织控制措施</w:t>
      </w:r>
    </w:p>
    <w:tbl>
      <w:tblPr>
        <w:tblStyle w:val="6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2"/>
        <w:gridCol w:w="1063"/>
        <w:gridCol w:w="1622"/>
        <w:gridCol w:w="2996"/>
        <w:gridCol w:w="7991"/>
      </w:tblGrid>
      <w:tr w14:paraId="48B53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177" w:type="pct"/>
            <w:vMerge w:val="restart"/>
            <w:tcBorders>
              <w:tl2br w:val="nil"/>
              <w:tr2bl w:val="nil"/>
            </w:tcBorders>
            <w:shd w:val="clear" w:color="auto" w:fill="auto"/>
            <w:noWrap/>
            <w:vAlign w:val="center"/>
          </w:tcPr>
          <w:p w14:paraId="4F8DA35D">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序号</w:t>
            </w:r>
          </w:p>
        </w:tc>
        <w:tc>
          <w:tcPr>
            <w:tcW w:w="374" w:type="pct"/>
            <w:vMerge w:val="restart"/>
            <w:tcBorders>
              <w:tl2br w:val="nil"/>
              <w:tr2bl w:val="nil"/>
            </w:tcBorders>
            <w:shd w:val="clear" w:color="auto" w:fill="auto"/>
            <w:noWrap/>
            <w:vAlign w:val="center"/>
          </w:tcPr>
          <w:p w14:paraId="3EF1F63D">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生产工序</w:t>
            </w:r>
          </w:p>
        </w:tc>
        <w:tc>
          <w:tcPr>
            <w:tcW w:w="572" w:type="pct"/>
            <w:vMerge w:val="restart"/>
            <w:tcBorders>
              <w:tl2br w:val="nil"/>
              <w:tr2bl w:val="nil"/>
            </w:tcBorders>
            <w:shd w:val="clear" w:color="auto" w:fill="auto"/>
            <w:noWrap/>
            <w:vAlign w:val="center"/>
          </w:tcPr>
          <w:p w14:paraId="70E96572">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生产设备/车间名称</w:t>
            </w:r>
          </w:p>
        </w:tc>
        <w:tc>
          <w:tcPr>
            <w:tcW w:w="1056" w:type="pct"/>
            <w:vMerge w:val="restart"/>
            <w:tcBorders>
              <w:tl2br w:val="nil"/>
              <w:tr2bl w:val="nil"/>
            </w:tcBorders>
            <w:shd w:val="clear" w:color="auto" w:fill="auto"/>
            <w:noWrap/>
            <w:vAlign w:val="center"/>
          </w:tcPr>
          <w:p w14:paraId="0522ED74">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无组织排放源名称</w:t>
            </w:r>
          </w:p>
        </w:tc>
        <w:tc>
          <w:tcPr>
            <w:tcW w:w="2818" w:type="pct"/>
            <w:vMerge w:val="restart"/>
            <w:tcBorders>
              <w:tl2br w:val="nil"/>
              <w:tr2bl w:val="nil"/>
            </w:tcBorders>
            <w:shd w:val="clear" w:color="auto" w:fill="auto"/>
            <w:noWrap/>
            <w:vAlign w:val="center"/>
          </w:tcPr>
          <w:p w14:paraId="2CA8975E">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治理设施</w:t>
            </w:r>
          </w:p>
        </w:tc>
      </w:tr>
      <w:tr w14:paraId="11914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177" w:type="pct"/>
            <w:vMerge w:val="continue"/>
            <w:tcBorders>
              <w:tl2br w:val="nil"/>
              <w:tr2bl w:val="nil"/>
            </w:tcBorders>
            <w:shd w:val="clear" w:color="auto" w:fill="auto"/>
            <w:noWrap/>
            <w:vAlign w:val="center"/>
          </w:tcPr>
          <w:p w14:paraId="3BE9C143">
            <w:pPr>
              <w:widowControl/>
              <w:shd w:val="clear"/>
              <w:spacing w:line="240" w:lineRule="auto"/>
              <w:ind w:left="-120" w:leftChars="-50" w:right="-120" w:rightChars="-50" w:firstLine="0" w:firstLineChars="0"/>
              <w:jc w:val="center"/>
              <w:rPr>
                <w:rFonts w:ascii="Times New Roman" w:hAnsi="Times New Roman" w:cs="Times New Roman"/>
                <w:color w:val="auto"/>
                <w:sz w:val="21"/>
                <w:szCs w:val="21"/>
                <w:highlight w:val="none"/>
              </w:rPr>
            </w:pPr>
          </w:p>
        </w:tc>
        <w:tc>
          <w:tcPr>
            <w:tcW w:w="374" w:type="pct"/>
            <w:vMerge w:val="continue"/>
            <w:tcBorders>
              <w:tl2br w:val="nil"/>
              <w:tr2bl w:val="nil"/>
            </w:tcBorders>
            <w:shd w:val="clear" w:color="auto" w:fill="auto"/>
            <w:noWrap/>
            <w:vAlign w:val="center"/>
          </w:tcPr>
          <w:p w14:paraId="26351C84">
            <w:pPr>
              <w:widowControl/>
              <w:shd w:val="clear"/>
              <w:spacing w:line="240" w:lineRule="auto"/>
              <w:ind w:left="-120" w:leftChars="-50" w:right="-120" w:rightChars="-50" w:firstLine="0" w:firstLineChars="0"/>
              <w:jc w:val="center"/>
              <w:rPr>
                <w:rFonts w:ascii="Times New Roman" w:hAnsi="Times New Roman" w:cs="Times New Roman"/>
                <w:color w:val="auto"/>
                <w:sz w:val="21"/>
                <w:szCs w:val="21"/>
                <w:highlight w:val="none"/>
              </w:rPr>
            </w:pPr>
          </w:p>
        </w:tc>
        <w:tc>
          <w:tcPr>
            <w:tcW w:w="572" w:type="pct"/>
            <w:vMerge w:val="continue"/>
            <w:tcBorders>
              <w:tl2br w:val="nil"/>
              <w:tr2bl w:val="nil"/>
            </w:tcBorders>
            <w:shd w:val="clear" w:color="auto" w:fill="auto"/>
            <w:noWrap/>
            <w:vAlign w:val="center"/>
          </w:tcPr>
          <w:p w14:paraId="13F03CA3">
            <w:pPr>
              <w:widowControl/>
              <w:shd w:val="clear"/>
              <w:spacing w:line="240" w:lineRule="auto"/>
              <w:ind w:left="-120" w:leftChars="-50" w:right="-120" w:rightChars="-50" w:firstLine="0" w:firstLineChars="0"/>
              <w:jc w:val="center"/>
              <w:rPr>
                <w:rFonts w:ascii="Times New Roman" w:hAnsi="Times New Roman" w:cs="Times New Roman"/>
                <w:color w:val="auto"/>
                <w:sz w:val="21"/>
                <w:szCs w:val="21"/>
                <w:highlight w:val="none"/>
              </w:rPr>
            </w:pPr>
          </w:p>
        </w:tc>
        <w:tc>
          <w:tcPr>
            <w:tcW w:w="1056" w:type="pct"/>
            <w:vMerge w:val="continue"/>
            <w:tcBorders>
              <w:tl2br w:val="nil"/>
              <w:tr2bl w:val="nil"/>
            </w:tcBorders>
            <w:shd w:val="clear" w:color="auto" w:fill="auto"/>
            <w:noWrap/>
            <w:vAlign w:val="center"/>
          </w:tcPr>
          <w:p w14:paraId="35542C93">
            <w:pPr>
              <w:widowControl/>
              <w:shd w:val="clear"/>
              <w:spacing w:line="240" w:lineRule="auto"/>
              <w:ind w:left="-120" w:leftChars="-50" w:right="-120" w:rightChars="-50" w:firstLine="0" w:firstLineChars="0"/>
              <w:jc w:val="center"/>
              <w:rPr>
                <w:rFonts w:ascii="Times New Roman" w:hAnsi="Times New Roman" w:cs="Times New Roman"/>
                <w:color w:val="auto"/>
                <w:sz w:val="21"/>
                <w:szCs w:val="21"/>
                <w:highlight w:val="none"/>
              </w:rPr>
            </w:pPr>
          </w:p>
        </w:tc>
        <w:tc>
          <w:tcPr>
            <w:tcW w:w="2818" w:type="pct"/>
            <w:vMerge w:val="continue"/>
            <w:tcBorders>
              <w:tl2br w:val="nil"/>
              <w:tr2bl w:val="nil"/>
            </w:tcBorders>
            <w:shd w:val="clear" w:color="auto" w:fill="auto"/>
            <w:noWrap/>
            <w:vAlign w:val="center"/>
          </w:tcPr>
          <w:p w14:paraId="6E3380D7">
            <w:pPr>
              <w:widowControl/>
              <w:shd w:val="clear"/>
              <w:spacing w:line="240" w:lineRule="auto"/>
              <w:ind w:left="-120" w:leftChars="-50" w:right="-120" w:rightChars="-50" w:firstLine="0" w:firstLineChars="0"/>
              <w:jc w:val="center"/>
              <w:rPr>
                <w:rFonts w:ascii="Times New Roman" w:hAnsi="Times New Roman" w:cs="Times New Roman"/>
                <w:color w:val="auto"/>
                <w:sz w:val="21"/>
                <w:szCs w:val="21"/>
                <w:highlight w:val="none"/>
              </w:rPr>
            </w:pPr>
          </w:p>
        </w:tc>
      </w:tr>
      <w:tr w14:paraId="33AE9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0EB6EC5E">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w:t>
            </w:r>
          </w:p>
        </w:tc>
        <w:tc>
          <w:tcPr>
            <w:tcW w:w="374" w:type="pct"/>
            <w:tcBorders>
              <w:tl2br w:val="nil"/>
              <w:tr2bl w:val="nil"/>
            </w:tcBorders>
            <w:shd w:val="clear" w:color="auto" w:fill="auto"/>
            <w:noWrap/>
            <w:vAlign w:val="center"/>
          </w:tcPr>
          <w:p w14:paraId="3B9DD28F">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649C7A6D">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高炉炉顶</w:t>
            </w:r>
          </w:p>
        </w:tc>
        <w:tc>
          <w:tcPr>
            <w:tcW w:w="1056" w:type="pct"/>
            <w:tcBorders>
              <w:tl2br w:val="nil"/>
              <w:tr2bl w:val="nil"/>
            </w:tcBorders>
            <w:shd w:val="clear" w:color="auto" w:fill="auto"/>
            <w:vAlign w:val="center"/>
          </w:tcPr>
          <w:p w14:paraId="2B721E19">
            <w:pPr>
              <w:widowControl/>
              <w:shd w:val="clear"/>
              <w:spacing w:line="240" w:lineRule="auto"/>
              <w:ind w:left="-120" w:leftChars="-50" w:right="-120" w:rightChars="-50"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高炉炉顶小车上料受料槽</w:t>
            </w:r>
          </w:p>
        </w:tc>
        <w:tc>
          <w:tcPr>
            <w:tcW w:w="2818" w:type="pct"/>
            <w:tcBorders>
              <w:tl2br w:val="nil"/>
              <w:tr2bl w:val="nil"/>
            </w:tcBorders>
            <w:shd w:val="clear" w:color="auto" w:fill="auto"/>
            <w:vAlign w:val="center"/>
          </w:tcPr>
          <w:p w14:paraId="7277B6EA">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炉顶，三面和顶面封闭，接入新建出铁场除尘系统</w:t>
            </w:r>
          </w:p>
        </w:tc>
      </w:tr>
      <w:tr w14:paraId="51AA0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48764B93">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2</w:t>
            </w:r>
          </w:p>
        </w:tc>
        <w:tc>
          <w:tcPr>
            <w:tcW w:w="374" w:type="pct"/>
            <w:tcBorders>
              <w:tl2br w:val="nil"/>
              <w:tr2bl w:val="nil"/>
            </w:tcBorders>
            <w:shd w:val="clear" w:color="auto" w:fill="auto"/>
            <w:noWrap/>
            <w:vAlign w:val="center"/>
          </w:tcPr>
          <w:p w14:paraId="0D77968F">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3887CF91">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南出铁场</w:t>
            </w:r>
          </w:p>
        </w:tc>
        <w:tc>
          <w:tcPr>
            <w:tcW w:w="1056" w:type="pct"/>
            <w:tcBorders>
              <w:tl2br w:val="nil"/>
              <w:tr2bl w:val="nil"/>
            </w:tcBorders>
            <w:shd w:val="clear" w:color="auto" w:fill="auto"/>
            <w:vAlign w:val="center"/>
          </w:tcPr>
          <w:p w14:paraId="3E899126">
            <w:pPr>
              <w:widowControl/>
              <w:shd w:val="clear"/>
              <w:spacing w:line="240" w:lineRule="auto"/>
              <w:ind w:left="-120" w:leftChars="-50" w:right="-120" w:rightChars="-50"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南出铁场铁口顶吸</w:t>
            </w:r>
          </w:p>
        </w:tc>
        <w:tc>
          <w:tcPr>
            <w:tcW w:w="2818" w:type="pct"/>
            <w:tcBorders>
              <w:tl2br w:val="nil"/>
              <w:tr2bl w:val="nil"/>
            </w:tcBorders>
            <w:shd w:val="clear" w:color="auto" w:fill="auto"/>
            <w:vAlign w:val="center"/>
          </w:tcPr>
          <w:p w14:paraId="2C9F1700">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出铁场9.74m，出铁口整体封闭，顶部设置吸尘罩，接入新建出铁场除尘系统</w:t>
            </w:r>
          </w:p>
        </w:tc>
      </w:tr>
      <w:tr w14:paraId="07DE5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516D881F">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3</w:t>
            </w:r>
          </w:p>
        </w:tc>
        <w:tc>
          <w:tcPr>
            <w:tcW w:w="374" w:type="pct"/>
            <w:tcBorders>
              <w:tl2br w:val="nil"/>
              <w:tr2bl w:val="nil"/>
            </w:tcBorders>
            <w:shd w:val="clear" w:color="auto" w:fill="auto"/>
            <w:noWrap/>
            <w:vAlign w:val="center"/>
          </w:tcPr>
          <w:p w14:paraId="3D94BDD7">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639DA43D">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南出铁场</w:t>
            </w:r>
          </w:p>
        </w:tc>
        <w:tc>
          <w:tcPr>
            <w:tcW w:w="1056" w:type="pct"/>
            <w:tcBorders>
              <w:tl2br w:val="nil"/>
              <w:tr2bl w:val="nil"/>
            </w:tcBorders>
            <w:shd w:val="clear" w:color="auto" w:fill="auto"/>
            <w:vAlign w:val="center"/>
          </w:tcPr>
          <w:p w14:paraId="7B63EC6A">
            <w:pPr>
              <w:widowControl/>
              <w:shd w:val="clear"/>
              <w:spacing w:line="240" w:lineRule="auto"/>
              <w:ind w:left="-120" w:leftChars="-50" w:right="-120" w:rightChars="-50"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南出铁场铁口侧吸</w:t>
            </w:r>
          </w:p>
        </w:tc>
        <w:tc>
          <w:tcPr>
            <w:tcW w:w="2818" w:type="pct"/>
            <w:tcBorders>
              <w:tl2br w:val="nil"/>
              <w:tr2bl w:val="nil"/>
            </w:tcBorders>
            <w:shd w:val="clear" w:color="auto" w:fill="auto"/>
            <w:vAlign w:val="center"/>
          </w:tcPr>
          <w:p w14:paraId="45DC78B8">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出铁场9.74m，出铁口整体封闭，侧面设置吸尘罩，接入新建出铁场除尘系统</w:t>
            </w:r>
          </w:p>
        </w:tc>
      </w:tr>
      <w:tr w14:paraId="2A1A2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1F53E92C">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4</w:t>
            </w:r>
          </w:p>
        </w:tc>
        <w:tc>
          <w:tcPr>
            <w:tcW w:w="374" w:type="pct"/>
            <w:tcBorders>
              <w:tl2br w:val="nil"/>
              <w:tr2bl w:val="nil"/>
            </w:tcBorders>
            <w:shd w:val="clear" w:color="auto" w:fill="auto"/>
            <w:noWrap/>
            <w:vAlign w:val="center"/>
          </w:tcPr>
          <w:p w14:paraId="322E6B13">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0D61050E">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南出铁场</w:t>
            </w:r>
          </w:p>
        </w:tc>
        <w:tc>
          <w:tcPr>
            <w:tcW w:w="1056" w:type="pct"/>
            <w:tcBorders>
              <w:tl2br w:val="nil"/>
              <w:tr2bl w:val="nil"/>
            </w:tcBorders>
            <w:shd w:val="clear" w:color="auto" w:fill="auto"/>
            <w:vAlign w:val="center"/>
          </w:tcPr>
          <w:p w14:paraId="727EEFDE">
            <w:pPr>
              <w:widowControl/>
              <w:shd w:val="clear"/>
              <w:spacing w:line="240" w:lineRule="auto"/>
              <w:ind w:left="-120" w:leftChars="-50" w:right="-120" w:rightChars="-50"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南出铁场撇渣器</w:t>
            </w:r>
          </w:p>
        </w:tc>
        <w:tc>
          <w:tcPr>
            <w:tcW w:w="2818" w:type="pct"/>
            <w:tcBorders>
              <w:tl2br w:val="nil"/>
              <w:tr2bl w:val="nil"/>
            </w:tcBorders>
            <w:shd w:val="clear" w:color="auto" w:fill="auto"/>
            <w:vAlign w:val="center"/>
          </w:tcPr>
          <w:p w14:paraId="5C269B58">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出铁场9.74m，撇渣器位设置整体封闭吸尘罩，接入新建出铁场除尘系统</w:t>
            </w:r>
          </w:p>
        </w:tc>
      </w:tr>
      <w:tr w14:paraId="6AAC1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104F96F1">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5</w:t>
            </w:r>
          </w:p>
        </w:tc>
        <w:tc>
          <w:tcPr>
            <w:tcW w:w="374" w:type="pct"/>
            <w:tcBorders>
              <w:tl2br w:val="nil"/>
              <w:tr2bl w:val="nil"/>
            </w:tcBorders>
            <w:shd w:val="clear" w:color="auto" w:fill="auto"/>
            <w:noWrap/>
            <w:vAlign w:val="center"/>
          </w:tcPr>
          <w:p w14:paraId="5B54A3DF">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77DDC138">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南出铁场</w:t>
            </w:r>
          </w:p>
        </w:tc>
        <w:tc>
          <w:tcPr>
            <w:tcW w:w="1056" w:type="pct"/>
            <w:tcBorders>
              <w:tl2br w:val="nil"/>
              <w:tr2bl w:val="nil"/>
            </w:tcBorders>
            <w:shd w:val="clear" w:color="auto" w:fill="auto"/>
            <w:vAlign w:val="center"/>
          </w:tcPr>
          <w:p w14:paraId="3D81E18E">
            <w:pPr>
              <w:widowControl/>
              <w:shd w:val="clear"/>
              <w:spacing w:line="240" w:lineRule="auto"/>
              <w:ind w:left="-120" w:leftChars="-50" w:right="-120" w:rightChars="-50"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南出铁场摆动流嘴</w:t>
            </w:r>
          </w:p>
        </w:tc>
        <w:tc>
          <w:tcPr>
            <w:tcW w:w="2818" w:type="pct"/>
            <w:tcBorders>
              <w:tl2br w:val="nil"/>
              <w:tr2bl w:val="nil"/>
            </w:tcBorders>
            <w:shd w:val="clear" w:color="auto" w:fill="auto"/>
            <w:vAlign w:val="center"/>
          </w:tcPr>
          <w:p w14:paraId="1DD3982A">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出铁场9.74m，摆动流嘴顶部封闭盖板，罐位顶部、侧面设置吸尘罩，接入新建出铁场除尘系统</w:t>
            </w:r>
          </w:p>
        </w:tc>
      </w:tr>
      <w:tr w14:paraId="1BE27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49FD531E">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6</w:t>
            </w:r>
          </w:p>
        </w:tc>
        <w:tc>
          <w:tcPr>
            <w:tcW w:w="374" w:type="pct"/>
            <w:tcBorders>
              <w:tl2br w:val="nil"/>
              <w:tr2bl w:val="nil"/>
            </w:tcBorders>
            <w:shd w:val="clear" w:color="auto" w:fill="auto"/>
            <w:noWrap/>
            <w:vAlign w:val="center"/>
          </w:tcPr>
          <w:p w14:paraId="12315409">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19B2B2D0">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南出铁场</w:t>
            </w:r>
          </w:p>
        </w:tc>
        <w:tc>
          <w:tcPr>
            <w:tcW w:w="1056" w:type="pct"/>
            <w:tcBorders>
              <w:tl2br w:val="nil"/>
              <w:tr2bl w:val="nil"/>
            </w:tcBorders>
            <w:shd w:val="clear" w:color="auto" w:fill="auto"/>
            <w:vAlign w:val="center"/>
          </w:tcPr>
          <w:p w14:paraId="61641E08">
            <w:pPr>
              <w:widowControl/>
              <w:shd w:val="clear"/>
              <w:spacing w:line="240" w:lineRule="auto"/>
              <w:ind w:left="-120" w:leftChars="-50" w:right="-120" w:rightChars="-50"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南出铁场渣沟</w:t>
            </w:r>
          </w:p>
        </w:tc>
        <w:tc>
          <w:tcPr>
            <w:tcW w:w="2818" w:type="pct"/>
            <w:tcBorders>
              <w:tl2br w:val="nil"/>
              <w:tr2bl w:val="nil"/>
            </w:tcBorders>
            <w:shd w:val="clear" w:color="auto" w:fill="auto"/>
            <w:vAlign w:val="center"/>
          </w:tcPr>
          <w:p w14:paraId="1916A918">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出铁场9.74m，渣沟侧壁设置吸尘罩，接入新建出铁场除尘系统</w:t>
            </w:r>
          </w:p>
        </w:tc>
      </w:tr>
      <w:tr w14:paraId="54120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38A68699">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7</w:t>
            </w:r>
          </w:p>
        </w:tc>
        <w:tc>
          <w:tcPr>
            <w:tcW w:w="374" w:type="pct"/>
            <w:tcBorders>
              <w:tl2br w:val="nil"/>
              <w:tr2bl w:val="nil"/>
            </w:tcBorders>
            <w:shd w:val="clear" w:color="auto" w:fill="auto"/>
            <w:noWrap/>
            <w:vAlign w:val="center"/>
          </w:tcPr>
          <w:p w14:paraId="578775AB">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6DF847BF">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南出铁场</w:t>
            </w:r>
          </w:p>
        </w:tc>
        <w:tc>
          <w:tcPr>
            <w:tcW w:w="1056" w:type="pct"/>
            <w:tcBorders>
              <w:tl2br w:val="nil"/>
              <w:tr2bl w:val="nil"/>
            </w:tcBorders>
            <w:shd w:val="clear" w:color="auto" w:fill="auto"/>
            <w:vAlign w:val="center"/>
          </w:tcPr>
          <w:p w14:paraId="1AF1DAAC">
            <w:pPr>
              <w:widowControl/>
              <w:shd w:val="clear"/>
              <w:spacing w:line="240" w:lineRule="auto"/>
              <w:ind w:left="-120" w:leftChars="-50" w:right="-120" w:rightChars="-50"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南出铁场铁沟</w:t>
            </w:r>
          </w:p>
        </w:tc>
        <w:tc>
          <w:tcPr>
            <w:tcW w:w="2818" w:type="pct"/>
            <w:tcBorders>
              <w:tl2br w:val="nil"/>
              <w:tr2bl w:val="nil"/>
            </w:tcBorders>
            <w:shd w:val="clear" w:color="auto" w:fill="auto"/>
            <w:vAlign w:val="center"/>
          </w:tcPr>
          <w:p w14:paraId="47905435">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出铁场9.74m，铁沟侧壁设置吸尘罩，接入新建出铁场除尘系统</w:t>
            </w:r>
          </w:p>
        </w:tc>
      </w:tr>
      <w:tr w14:paraId="20B8D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49B56FFE">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8</w:t>
            </w:r>
          </w:p>
        </w:tc>
        <w:tc>
          <w:tcPr>
            <w:tcW w:w="374" w:type="pct"/>
            <w:tcBorders>
              <w:tl2br w:val="nil"/>
              <w:tr2bl w:val="nil"/>
            </w:tcBorders>
            <w:shd w:val="clear" w:color="auto" w:fill="auto"/>
            <w:noWrap/>
            <w:vAlign w:val="center"/>
          </w:tcPr>
          <w:p w14:paraId="470D48E6">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6C1E2007">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北出铁场</w:t>
            </w:r>
          </w:p>
        </w:tc>
        <w:tc>
          <w:tcPr>
            <w:tcW w:w="1056" w:type="pct"/>
            <w:tcBorders>
              <w:tl2br w:val="nil"/>
              <w:tr2bl w:val="nil"/>
            </w:tcBorders>
            <w:shd w:val="clear" w:color="auto" w:fill="auto"/>
            <w:vAlign w:val="center"/>
          </w:tcPr>
          <w:p w14:paraId="7B00B173">
            <w:pPr>
              <w:widowControl/>
              <w:shd w:val="clear"/>
              <w:spacing w:line="240" w:lineRule="auto"/>
              <w:ind w:left="-120" w:leftChars="-50" w:right="-120" w:rightChars="-50"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北出铁场铁口顶吸</w:t>
            </w:r>
          </w:p>
        </w:tc>
        <w:tc>
          <w:tcPr>
            <w:tcW w:w="2818" w:type="pct"/>
            <w:tcBorders>
              <w:tl2br w:val="nil"/>
              <w:tr2bl w:val="nil"/>
            </w:tcBorders>
            <w:shd w:val="clear" w:color="auto" w:fill="auto"/>
            <w:vAlign w:val="center"/>
          </w:tcPr>
          <w:p w14:paraId="70A640A7">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出铁场9.74m，出铁口整体封闭，顶部设置吸尘罩，接入新建出铁场除尘系统</w:t>
            </w:r>
          </w:p>
        </w:tc>
      </w:tr>
      <w:tr w14:paraId="26B7F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57A7FB30">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9</w:t>
            </w:r>
          </w:p>
        </w:tc>
        <w:tc>
          <w:tcPr>
            <w:tcW w:w="374" w:type="pct"/>
            <w:tcBorders>
              <w:tl2br w:val="nil"/>
              <w:tr2bl w:val="nil"/>
            </w:tcBorders>
            <w:shd w:val="clear" w:color="auto" w:fill="auto"/>
            <w:noWrap/>
            <w:vAlign w:val="center"/>
          </w:tcPr>
          <w:p w14:paraId="0F234988">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674275DE">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北出铁场</w:t>
            </w:r>
          </w:p>
        </w:tc>
        <w:tc>
          <w:tcPr>
            <w:tcW w:w="1056" w:type="pct"/>
            <w:tcBorders>
              <w:tl2br w:val="nil"/>
              <w:tr2bl w:val="nil"/>
            </w:tcBorders>
            <w:shd w:val="clear" w:color="auto" w:fill="auto"/>
            <w:vAlign w:val="center"/>
          </w:tcPr>
          <w:p w14:paraId="78B74C12">
            <w:pPr>
              <w:widowControl/>
              <w:shd w:val="clear"/>
              <w:spacing w:line="240" w:lineRule="auto"/>
              <w:ind w:left="-120" w:leftChars="-50" w:right="-120" w:rightChars="-50"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北出铁场铁口侧吸</w:t>
            </w:r>
          </w:p>
        </w:tc>
        <w:tc>
          <w:tcPr>
            <w:tcW w:w="2818" w:type="pct"/>
            <w:tcBorders>
              <w:tl2br w:val="nil"/>
              <w:tr2bl w:val="nil"/>
            </w:tcBorders>
            <w:shd w:val="clear" w:color="auto" w:fill="auto"/>
            <w:vAlign w:val="center"/>
          </w:tcPr>
          <w:p w14:paraId="679F7828">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出铁场9.74m，出铁口整体封闭，侧面设置吸尘罩，接入新建出铁场除尘系统</w:t>
            </w:r>
          </w:p>
        </w:tc>
      </w:tr>
      <w:tr w14:paraId="06EBF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44DE3B41">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10</w:t>
            </w:r>
          </w:p>
        </w:tc>
        <w:tc>
          <w:tcPr>
            <w:tcW w:w="374" w:type="pct"/>
            <w:tcBorders>
              <w:tl2br w:val="nil"/>
              <w:tr2bl w:val="nil"/>
            </w:tcBorders>
            <w:shd w:val="clear" w:color="auto" w:fill="auto"/>
            <w:noWrap/>
            <w:vAlign w:val="center"/>
          </w:tcPr>
          <w:p w14:paraId="24B9BF79">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5A204836">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北出铁场</w:t>
            </w:r>
          </w:p>
        </w:tc>
        <w:tc>
          <w:tcPr>
            <w:tcW w:w="1056" w:type="pct"/>
            <w:tcBorders>
              <w:tl2br w:val="nil"/>
              <w:tr2bl w:val="nil"/>
            </w:tcBorders>
            <w:shd w:val="clear" w:color="auto" w:fill="auto"/>
            <w:vAlign w:val="center"/>
          </w:tcPr>
          <w:p w14:paraId="3B93A87B">
            <w:pPr>
              <w:widowControl/>
              <w:shd w:val="clear"/>
              <w:spacing w:line="240" w:lineRule="auto"/>
              <w:ind w:left="-120" w:leftChars="-50" w:right="-120" w:rightChars="-50"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北出铁场撇渣器</w:t>
            </w:r>
          </w:p>
        </w:tc>
        <w:tc>
          <w:tcPr>
            <w:tcW w:w="2818" w:type="pct"/>
            <w:tcBorders>
              <w:tl2br w:val="nil"/>
              <w:tr2bl w:val="nil"/>
            </w:tcBorders>
            <w:shd w:val="clear" w:color="auto" w:fill="auto"/>
            <w:vAlign w:val="center"/>
          </w:tcPr>
          <w:p w14:paraId="05E4C853">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出铁场9.74m，撇渣器位设置整体封闭吸尘罩，接入新建出铁场除尘系统</w:t>
            </w:r>
          </w:p>
        </w:tc>
      </w:tr>
      <w:tr w14:paraId="1F280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02BCADC5">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11</w:t>
            </w:r>
          </w:p>
        </w:tc>
        <w:tc>
          <w:tcPr>
            <w:tcW w:w="374" w:type="pct"/>
            <w:tcBorders>
              <w:tl2br w:val="nil"/>
              <w:tr2bl w:val="nil"/>
            </w:tcBorders>
            <w:shd w:val="clear" w:color="auto" w:fill="auto"/>
            <w:noWrap/>
            <w:vAlign w:val="center"/>
          </w:tcPr>
          <w:p w14:paraId="66A91B88">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1DD0911E">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北出铁场</w:t>
            </w:r>
          </w:p>
        </w:tc>
        <w:tc>
          <w:tcPr>
            <w:tcW w:w="1056" w:type="pct"/>
            <w:tcBorders>
              <w:tl2br w:val="nil"/>
              <w:tr2bl w:val="nil"/>
            </w:tcBorders>
            <w:shd w:val="clear" w:color="auto" w:fill="auto"/>
            <w:vAlign w:val="center"/>
          </w:tcPr>
          <w:p w14:paraId="3EC35276">
            <w:pPr>
              <w:widowControl/>
              <w:shd w:val="clear"/>
              <w:spacing w:line="240" w:lineRule="auto"/>
              <w:ind w:left="-120" w:leftChars="-50" w:right="-120" w:rightChars="-50"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北出铁场摆动流嘴</w:t>
            </w:r>
          </w:p>
        </w:tc>
        <w:tc>
          <w:tcPr>
            <w:tcW w:w="2818" w:type="pct"/>
            <w:tcBorders>
              <w:tl2br w:val="nil"/>
              <w:tr2bl w:val="nil"/>
            </w:tcBorders>
            <w:shd w:val="clear" w:color="auto" w:fill="auto"/>
            <w:vAlign w:val="center"/>
          </w:tcPr>
          <w:p w14:paraId="78394981">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出铁场9.74m，摆动流嘴顶部封闭盖板，罐位顶部、侧面设置吸尘罩，接入新建出铁场除尘系统</w:t>
            </w:r>
          </w:p>
        </w:tc>
      </w:tr>
      <w:tr w14:paraId="5DF6A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1BD09F1B">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12</w:t>
            </w:r>
          </w:p>
        </w:tc>
        <w:tc>
          <w:tcPr>
            <w:tcW w:w="374" w:type="pct"/>
            <w:tcBorders>
              <w:tl2br w:val="nil"/>
              <w:tr2bl w:val="nil"/>
            </w:tcBorders>
            <w:shd w:val="clear" w:color="auto" w:fill="auto"/>
            <w:noWrap/>
            <w:vAlign w:val="center"/>
          </w:tcPr>
          <w:p w14:paraId="6AF51013">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7FB51CB6">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北出铁场</w:t>
            </w:r>
          </w:p>
        </w:tc>
        <w:tc>
          <w:tcPr>
            <w:tcW w:w="1056" w:type="pct"/>
            <w:tcBorders>
              <w:tl2br w:val="nil"/>
              <w:tr2bl w:val="nil"/>
            </w:tcBorders>
            <w:shd w:val="clear" w:color="auto" w:fill="auto"/>
            <w:vAlign w:val="center"/>
          </w:tcPr>
          <w:p w14:paraId="7AB00DB8">
            <w:pPr>
              <w:widowControl/>
              <w:shd w:val="clear"/>
              <w:spacing w:line="240" w:lineRule="auto"/>
              <w:ind w:left="-120" w:leftChars="-50" w:right="-120" w:rightChars="-50"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北出铁场渣沟</w:t>
            </w:r>
          </w:p>
        </w:tc>
        <w:tc>
          <w:tcPr>
            <w:tcW w:w="2818" w:type="pct"/>
            <w:tcBorders>
              <w:tl2br w:val="nil"/>
              <w:tr2bl w:val="nil"/>
            </w:tcBorders>
            <w:shd w:val="clear" w:color="auto" w:fill="auto"/>
            <w:vAlign w:val="center"/>
          </w:tcPr>
          <w:p w14:paraId="1A2A5324">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出铁场9.74m，渣沟侧壁设置吸尘罩，接入新建出铁场除尘系统</w:t>
            </w:r>
          </w:p>
        </w:tc>
      </w:tr>
      <w:tr w14:paraId="1D3F4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34577804">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13</w:t>
            </w:r>
          </w:p>
        </w:tc>
        <w:tc>
          <w:tcPr>
            <w:tcW w:w="374" w:type="pct"/>
            <w:tcBorders>
              <w:tl2br w:val="nil"/>
              <w:tr2bl w:val="nil"/>
            </w:tcBorders>
            <w:shd w:val="clear" w:color="auto" w:fill="auto"/>
            <w:noWrap/>
            <w:vAlign w:val="center"/>
          </w:tcPr>
          <w:p w14:paraId="47BED89B">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412DD4CD">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北出铁场</w:t>
            </w:r>
          </w:p>
        </w:tc>
        <w:tc>
          <w:tcPr>
            <w:tcW w:w="1056" w:type="pct"/>
            <w:tcBorders>
              <w:tl2br w:val="nil"/>
              <w:tr2bl w:val="nil"/>
            </w:tcBorders>
            <w:shd w:val="clear" w:color="auto" w:fill="auto"/>
            <w:vAlign w:val="center"/>
          </w:tcPr>
          <w:p w14:paraId="02FD7384">
            <w:pPr>
              <w:widowControl/>
              <w:shd w:val="clear"/>
              <w:spacing w:line="240" w:lineRule="auto"/>
              <w:ind w:left="-120" w:leftChars="-50" w:right="-120" w:rightChars="-50"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北出铁场铁沟</w:t>
            </w:r>
          </w:p>
        </w:tc>
        <w:tc>
          <w:tcPr>
            <w:tcW w:w="2818" w:type="pct"/>
            <w:tcBorders>
              <w:tl2br w:val="nil"/>
              <w:tr2bl w:val="nil"/>
            </w:tcBorders>
            <w:shd w:val="clear" w:color="auto" w:fill="auto"/>
            <w:vAlign w:val="center"/>
          </w:tcPr>
          <w:p w14:paraId="6EDD90D4">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出铁场9.74m，铁沟侧壁设置吸尘罩，接入新建出铁场除尘系统</w:t>
            </w:r>
          </w:p>
        </w:tc>
      </w:tr>
      <w:tr w14:paraId="21246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2FD78051">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8</w:t>
            </w:r>
          </w:p>
        </w:tc>
        <w:tc>
          <w:tcPr>
            <w:tcW w:w="374" w:type="pct"/>
            <w:tcBorders>
              <w:tl2br w:val="nil"/>
              <w:tr2bl w:val="nil"/>
            </w:tcBorders>
            <w:shd w:val="clear" w:color="auto" w:fill="auto"/>
            <w:noWrap/>
            <w:vAlign w:val="center"/>
          </w:tcPr>
          <w:p w14:paraId="5E247308">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2E5CBC39">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北出铁场</w:t>
            </w:r>
          </w:p>
        </w:tc>
        <w:tc>
          <w:tcPr>
            <w:tcW w:w="1056" w:type="pct"/>
            <w:tcBorders>
              <w:tl2br w:val="nil"/>
              <w:tr2bl w:val="nil"/>
            </w:tcBorders>
            <w:shd w:val="clear" w:color="auto" w:fill="auto"/>
            <w:vAlign w:val="center"/>
          </w:tcPr>
          <w:p w14:paraId="291314A3">
            <w:pPr>
              <w:widowControl/>
              <w:shd w:val="clear"/>
              <w:spacing w:line="240" w:lineRule="auto"/>
              <w:ind w:left="-120" w:leftChars="-50" w:right="-120" w:rightChars="-50" w:firstLine="0" w:firstLineChars="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干法除尘卸灰间</w:t>
            </w:r>
          </w:p>
        </w:tc>
        <w:tc>
          <w:tcPr>
            <w:tcW w:w="2818" w:type="pct"/>
            <w:tcBorders>
              <w:tl2br w:val="nil"/>
              <w:tr2bl w:val="nil"/>
            </w:tcBorders>
            <w:shd w:val="clear" w:color="auto" w:fill="auto"/>
            <w:noWrap/>
            <w:vAlign w:val="center"/>
          </w:tcPr>
          <w:p w14:paraId="3FBE3F55">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卸灰间全封闭，顶部设置吸尘罩，接入新建出铁场除尘系统</w:t>
            </w:r>
          </w:p>
        </w:tc>
      </w:tr>
      <w:tr w14:paraId="79F75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38FBEE81">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9</w:t>
            </w:r>
          </w:p>
        </w:tc>
        <w:tc>
          <w:tcPr>
            <w:tcW w:w="374" w:type="pct"/>
            <w:tcBorders>
              <w:tl2br w:val="nil"/>
              <w:tr2bl w:val="nil"/>
            </w:tcBorders>
            <w:shd w:val="clear" w:color="auto" w:fill="auto"/>
            <w:noWrap/>
            <w:vAlign w:val="center"/>
          </w:tcPr>
          <w:p w14:paraId="1C5C0902">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vAlign w:val="center"/>
          </w:tcPr>
          <w:p w14:paraId="24A3CEB2">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高炉矿槽槽上</w:t>
            </w:r>
          </w:p>
        </w:tc>
        <w:tc>
          <w:tcPr>
            <w:tcW w:w="1056" w:type="pct"/>
            <w:tcBorders>
              <w:tl2br w:val="nil"/>
              <w:tr2bl w:val="nil"/>
            </w:tcBorders>
            <w:shd w:val="clear" w:color="auto" w:fill="auto"/>
            <w:vAlign w:val="center"/>
          </w:tcPr>
          <w:p w14:paraId="43EF097E">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42#~43#皮带卸料小车</w:t>
            </w:r>
          </w:p>
        </w:tc>
        <w:tc>
          <w:tcPr>
            <w:tcW w:w="2818" w:type="pct"/>
            <w:tcBorders>
              <w:tl2br w:val="nil"/>
              <w:tr2bl w:val="nil"/>
            </w:tcBorders>
            <w:shd w:val="clear" w:color="auto" w:fill="auto"/>
            <w:vAlign w:val="center"/>
          </w:tcPr>
          <w:p w14:paraId="32875088">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14.000m平面，设置移动同通风槽，接入矿槽除尘系统（槽上+碎焦筛分）</w:t>
            </w:r>
          </w:p>
        </w:tc>
      </w:tr>
      <w:tr w14:paraId="43A14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56EF3EB6">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10</w:t>
            </w:r>
          </w:p>
        </w:tc>
        <w:tc>
          <w:tcPr>
            <w:tcW w:w="374" w:type="pct"/>
            <w:tcBorders>
              <w:tl2br w:val="nil"/>
              <w:tr2bl w:val="nil"/>
            </w:tcBorders>
            <w:shd w:val="clear" w:color="auto" w:fill="auto"/>
            <w:noWrap/>
            <w:vAlign w:val="center"/>
          </w:tcPr>
          <w:p w14:paraId="6F7C4AF1">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vAlign w:val="center"/>
          </w:tcPr>
          <w:p w14:paraId="074D5BE5">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高炉矿槽槽上</w:t>
            </w:r>
          </w:p>
        </w:tc>
        <w:tc>
          <w:tcPr>
            <w:tcW w:w="1056" w:type="pct"/>
            <w:tcBorders>
              <w:tl2br w:val="nil"/>
              <w:tr2bl w:val="nil"/>
            </w:tcBorders>
            <w:shd w:val="clear" w:color="auto" w:fill="auto"/>
            <w:vAlign w:val="center"/>
          </w:tcPr>
          <w:p w14:paraId="2C53222C">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44#皮带卸料小车</w:t>
            </w:r>
          </w:p>
        </w:tc>
        <w:tc>
          <w:tcPr>
            <w:tcW w:w="2818" w:type="pct"/>
            <w:tcBorders>
              <w:tl2br w:val="nil"/>
              <w:tr2bl w:val="nil"/>
            </w:tcBorders>
            <w:shd w:val="clear" w:color="auto" w:fill="auto"/>
            <w:vAlign w:val="center"/>
          </w:tcPr>
          <w:p w14:paraId="5BBCE7FF">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14.000m平面，设置密闭吸尘罩，接入矿槽除尘系统（槽上+碎焦筛分）</w:t>
            </w:r>
          </w:p>
        </w:tc>
      </w:tr>
      <w:tr w14:paraId="54C9A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069DD95F">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11</w:t>
            </w:r>
          </w:p>
        </w:tc>
        <w:tc>
          <w:tcPr>
            <w:tcW w:w="374" w:type="pct"/>
            <w:tcBorders>
              <w:tl2br w:val="nil"/>
              <w:tr2bl w:val="nil"/>
            </w:tcBorders>
            <w:shd w:val="clear" w:color="auto" w:fill="auto"/>
            <w:noWrap/>
            <w:vAlign w:val="center"/>
          </w:tcPr>
          <w:p w14:paraId="42C7E426">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vAlign w:val="center"/>
          </w:tcPr>
          <w:p w14:paraId="124347E9">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高炉矿槽槽上</w:t>
            </w:r>
          </w:p>
        </w:tc>
        <w:tc>
          <w:tcPr>
            <w:tcW w:w="1056" w:type="pct"/>
            <w:tcBorders>
              <w:tl2br w:val="nil"/>
              <w:tr2bl w:val="nil"/>
            </w:tcBorders>
            <w:shd w:val="clear" w:color="auto" w:fill="auto"/>
            <w:vAlign w:val="center"/>
          </w:tcPr>
          <w:p w14:paraId="371AE157">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42#、43##皮带机头</w:t>
            </w:r>
          </w:p>
        </w:tc>
        <w:tc>
          <w:tcPr>
            <w:tcW w:w="2818" w:type="pct"/>
            <w:tcBorders>
              <w:tl2br w:val="nil"/>
              <w:tr2bl w:val="nil"/>
            </w:tcBorders>
            <w:shd w:val="clear" w:color="auto" w:fill="auto"/>
            <w:vAlign w:val="center"/>
          </w:tcPr>
          <w:p w14:paraId="514E177D">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14.000m平面，皮带头罩封闭，设置移密闭吸尘罩，接入矿槽除尘系统（槽上+碎焦筛分）</w:t>
            </w:r>
          </w:p>
        </w:tc>
      </w:tr>
      <w:tr w14:paraId="1E7CA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5A000572">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12</w:t>
            </w:r>
          </w:p>
        </w:tc>
        <w:tc>
          <w:tcPr>
            <w:tcW w:w="374" w:type="pct"/>
            <w:tcBorders>
              <w:tl2br w:val="nil"/>
              <w:tr2bl w:val="nil"/>
            </w:tcBorders>
            <w:shd w:val="clear" w:color="auto" w:fill="auto"/>
            <w:noWrap/>
            <w:vAlign w:val="center"/>
          </w:tcPr>
          <w:p w14:paraId="716083B6">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vAlign w:val="center"/>
          </w:tcPr>
          <w:p w14:paraId="77434EFE">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高炉矿槽槽上</w:t>
            </w:r>
          </w:p>
        </w:tc>
        <w:tc>
          <w:tcPr>
            <w:tcW w:w="1056" w:type="pct"/>
            <w:tcBorders>
              <w:tl2br w:val="nil"/>
              <w:tr2bl w:val="nil"/>
            </w:tcBorders>
            <w:shd w:val="clear" w:color="auto" w:fill="auto"/>
            <w:vAlign w:val="center"/>
          </w:tcPr>
          <w:p w14:paraId="72520FF8">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44#皮带机头</w:t>
            </w:r>
          </w:p>
        </w:tc>
        <w:tc>
          <w:tcPr>
            <w:tcW w:w="2818" w:type="pct"/>
            <w:tcBorders>
              <w:tl2br w:val="nil"/>
              <w:tr2bl w:val="nil"/>
            </w:tcBorders>
            <w:shd w:val="clear" w:color="auto" w:fill="auto"/>
            <w:vAlign w:val="center"/>
          </w:tcPr>
          <w:p w14:paraId="362B30D9">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14.000m平面，皮带头罩封闭，设置移密闭吸尘罩，接入矿槽除尘系统（槽上+碎焦筛分）</w:t>
            </w:r>
          </w:p>
        </w:tc>
      </w:tr>
      <w:tr w14:paraId="72979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3991CEC8">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13</w:t>
            </w:r>
          </w:p>
        </w:tc>
        <w:tc>
          <w:tcPr>
            <w:tcW w:w="374" w:type="pct"/>
            <w:tcBorders>
              <w:tl2br w:val="nil"/>
              <w:tr2bl w:val="nil"/>
            </w:tcBorders>
            <w:shd w:val="clear" w:color="auto" w:fill="auto"/>
            <w:noWrap/>
            <w:vAlign w:val="center"/>
          </w:tcPr>
          <w:p w14:paraId="0FD55AA5">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vAlign w:val="center"/>
          </w:tcPr>
          <w:p w14:paraId="07B0ABFD">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高炉矿槽槽上</w:t>
            </w:r>
          </w:p>
        </w:tc>
        <w:tc>
          <w:tcPr>
            <w:tcW w:w="1056" w:type="pct"/>
            <w:tcBorders>
              <w:tl2br w:val="nil"/>
              <w:tr2bl w:val="nil"/>
            </w:tcBorders>
            <w:shd w:val="clear" w:color="auto" w:fill="auto"/>
            <w:vAlign w:val="center"/>
          </w:tcPr>
          <w:p w14:paraId="63E58739">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44#皮带机头焦粉仓仓顶</w:t>
            </w:r>
          </w:p>
        </w:tc>
        <w:tc>
          <w:tcPr>
            <w:tcW w:w="2818" w:type="pct"/>
            <w:tcBorders>
              <w:tl2br w:val="nil"/>
              <w:tr2bl w:val="nil"/>
            </w:tcBorders>
            <w:shd w:val="clear" w:color="auto" w:fill="auto"/>
            <w:vAlign w:val="center"/>
          </w:tcPr>
          <w:p w14:paraId="7AA9DD7E">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14.000m平面，设置密闭吸尘罩，接入矿槽除尘系统（槽上+碎焦筛分）</w:t>
            </w:r>
          </w:p>
        </w:tc>
      </w:tr>
      <w:tr w14:paraId="4DCBD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4F3CDC34">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14</w:t>
            </w:r>
          </w:p>
        </w:tc>
        <w:tc>
          <w:tcPr>
            <w:tcW w:w="374" w:type="pct"/>
            <w:tcBorders>
              <w:tl2br w:val="nil"/>
              <w:tr2bl w:val="nil"/>
            </w:tcBorders>
            <w:shd w:val="clear" w:color="auto" w:fill="auto"/>
            <w:noWrap/>
            <w:vAlign w:val="center"/>
          </w:tcPr>
          <w:p w14:paraId="4DA04DB8">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vAlign w:val="center"/>
          </w:tcPr>
          <w:p w14:paraId="66C8231B">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高炉矿槽槽上</w:t>
            </w:r>
          </w:p>
        </w:tc>
        <w:tc>
          <w:tcPr>
            <w:tcW w:w="1056" w:type="pct"/>
            <w:tcBorders>
              <w:tl2br w:val="nil"/>
              <w:tr2bl w:val="nil"/>
            </w:tcBorders>
            <w:shd w:val="clear" w:color="auto" w:fill="auto"/>
            <w:vAlign w:val="center"/>
          </w:tcPr>
          <w:p w14:paraId="080F7B84">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南、北焦仓仓顶</w:t>
            </w:r>
          </w:p>
        </w:tc>
        <w:tc>
          <w:tcPr>
            <w:tcW w:w="2818" w:type="pct"/>
            <w:tcBorders>
              <w:tl2br w:val="nil"/>
              <w:tr2bl w:val="nil"/>
            </w:tcBorders>
            <w:shd w:val="clear" w:color="auto" w:fill="auto"/>
            <w:vAlign w:val="center"/>
          </w:tcPr>
          <w:p w14:paraId="3B72A186">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14.000m平面，设置移动同通风槽，接入矿槽除尘系统（槽上+碎焦筛分）</w:t>
            </w:r>
          </w:p>
        </w:tc>
      </w:tr>
      <w:tr w14:paraId="70501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61431DC3">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15</w:t>
            </w:r>
          </w:p>
        </w:tc>
        <w:tc>
          <w:tcPr>
            <w:tcW w:w="374" w:type="pct"/>
            <w:tcBorders>
              <w:tl2br w:val="nil"/>
              <w:tr2bl w:val="nil"/>
            </w:tcBorders>
            <w:shd w:val="clear" w:color="auto" w:fill="auto"/>
            <w:noWrap/>
            <w:vAlign w:val="center"/>
          </w:tcPr>
          <w:p w14:paraId="35014FA8">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vAlign w:val="center"/>
          </w:tcPr>
          <w:p w14:paraId="5DE1819D">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高炉矿槽槽上</w:t>
            </w:r>
          </w:p>
        </w:tc>
        <w:tc>
          <w:tcPr>
            <w:tcW w:w="1056" w:type="pct"/>
            <w:tcBorders>
              <w:tl2br w:val="nil"/>
              <w:tr2bl w:val="nil"/>
            </w:tcBorders>
            <w:shd w:val="clear" w:color="auto" w:fill="auto"/>
            <w:vAlign w:val="center"/>
          </w:tcPr>
          <w:p w14:paraId="307A5CCE">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9~16矿仓顶吸</w:t>
            </w:r>
          </w:p>
        </w:tc>
        <w:tc>
          <w:tcPr>
            <w:tcW w:w="2818" w:type="pct"/>
            <w:tcBorders>
              <w:tl2br w:val="nil"/>
              <w:tr2bl w:val="nil"/>
            </w:tcBorders>
            <w:shd w:val="clear" w:color="auto" w:fill="auto"/>
            <w:vAlign w:val="center"/>
          </w:tcPr>
          <w:p w14:paraId="4879AB06">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14.000m平面，设置密闭吸尘罩，接入矿槽除尘系统（槽上+碎焦筛分）</w:t>
            </w:r>
          </w:p>
        </w:tc>
      </w:tr>
      <w:tr w14:paraId="3C0F7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112416F8">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16</w:t>
            </w:r>
          </w:p>
        </w:tc>
        <w:tc>
          <w:tcPr>
            <w:tcW w:w="374" w:type="pct"/>
            <w:tcBorders>
              <w:tl2br w:val="nil"/>
              <w:tr2bl w:val="nil"/>
            </w:tcBorders>
            <w:shd w:val="clear" w:color="auto" w:fill="auto"/>
            <w:noWrap/>
            <w:vAlign w:val="center"/>
          </w:tcPr>
          <w:p w14:paraId="6F487C19">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vAlign w:val="center"/>
          </w:tcPr>
          <w:p w14:paraId="43881D43">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碎焦筛分室</w:t>
            </w:r>
          </w:p>
        </w:tc>
        <w:tc>
          <w:tcPr>
            <w:tcW w:w="1056" w:type="pct"/>
            <w:tcBorders>
              <w:tl2br w:val="nil"/>
              <w:tr2bl w:val="nil"/>
            </w:tcBorders>
            <w:shd w:val="clear" w:color="auto" w:fill="auto"/>
            <w:vAlign w:val="center"/>
          </w:tcPr>
          <w:p w14:paraId="0AF56154">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南、北碎焦上料小车卸料点</w:t>
            </w:r>
          </w:p>
        </w:tc>
        <w:tc>
          <w:tcPr>
            <w:tcW w:w="2818" w:type="pct"/>
            <w:tcBorders>
              <w:tl2br w:val="nil"/>
              <w:tr2bl w:val="nil"/>
            </w:tcBorders>
            <w:shd w:val="clear" w:color="auto" w:fill="auto"/>
            <w:noWrap/>
            <w:vAlign w:val="center"/>
          </w:tcPr>
          <w:p w14:paraId="022382FA">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三面和顶面封闭，设置密闭吸尘罩，接入矿槽除尘系统（槽上+碎焦筛分）</w:t>
            </w:r>
          </w:p>
        </w:tc>
      </w:tr>
      <w:tr w14:paraId="37246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78C9C35E">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17</w:t>
            </w:r>
          </w:p>
        </w:tc>
        <w:tc>
          <w:tcPr>
            <w:tcW w:w="374" w:type="pct"/>
            <w:tcBorders>
              <w:tl2br w:val="nil"/>
              <w:tr2bl w:val="nil"/>
            </w:tcBorders>
            <w:shd w:val="clear" w:color="auto" w:fill="auto"/>
            <w:noWrap/>
            <w:vAlign w:val="center"/>
          </w:tcPr>
          <w:p w14:paraId="5EF3B577">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vAlign w:val="center"/>
          </w:tcPr>
          <w:p w14:paraId="5FDF41D7">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碎焦筛分室</w:t>
            </w:r>
          </w:p>
        </w:tc>
        <w:tc>
          <w:tcPr>
            <w:tcW w:w="1056" w:type="pct"/>
            <w:tcBorders>
              <w:tl2br w:val="nil"/>
              <w:tr2bl w:val="nil"/>
            </w:tcBorders>
            <w:shd w:val="clear" w:color="auto" w:fill="auto"/>
            <w:vAlign w:val="center"/>
          </w:tcPr>
          <w:p w14:paraId="5CD5D1AC">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南、北碎焦筛</w:t>
            </w:r>
          </w:p>
        </w:tc>
        <w:tc>
          <w:tcPr>
            <w:tcW w:w="2818" w:type="pct"/>
            <w:tcBorders>
              <w:tl2br w:val="nil"/>
              <w:tr2bl w:val="nil"/>
            </w:tcBorders>
            <w:shd w:val="clear" w:color="auto" w:fill="auto"/>
            <w:vAlign w:val="center"/>
          </w:tcPr>
          <w:p w14:paraId="1B485014">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13.20m平面，设置密闭吸尘罩，接入矿槽除尘系统（槽上+碎焦筛分）</w:t>
            </w:r>
          </w:p>
        </w:tc>
      </w:tr>
      <w:tr w14:paraId="443BE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3A040CFF">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18</w:t>
            </w:r>
          </w:p>
        </w:tc>
        <w:tc>
          <w:tcPr>
            <w:tcW w:w="374" w:type="pct"/>
            <w:tcBorders>
              <w:tl2br w:val="nil"/>
              <w:tr2bl w:val="nil"/>
            </w:tcBorders>
            <w:shd w:val="clear" w:color="auto" w:fill="auto"/>
            <w:noWrap/>
            <w:vAlign w:val="center"/>
          </w:tcPr>
          <w:p w14:paraId="18BDD24C">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vAlign w:val="center"/>
          </w:tcPr>
          <w:p w14:paraId="37985613">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碎焦筛分室</w:t>
            </w:r>
          </w:p>
        </w:tc>
        <w:tc>
          <w:tcPr>
            <w:tcW w:w="1056" w:type="pct"/>
            <w:tcBorders>
              <w:tl2br w:val="nil"/>
              <w:tr2bl w:val="nil"/>
            </w:tcBorders>
            <w:shd w:val="clear" w:color="auto" w:fill="auto"/>
            <w:vAlign w:val="center"/>
          </w:tcPr>
          <w:p w14:paraId="2488D220">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南、北碎焦筛筛下焦丁仓仓顶</w:t>
            </w:r>
          </w:p>
        </w:tc>
        <w:tc>
          <w:tcPr>
            <w:tcW w:w="2818" w:type="pct"/>
            <w:tcBorders>
              <w:tl2br w:val="nil"/>
              <w:tr2bl w:val="nil"/>
            </w:tcBorders>
            <w:shd w:val="clear" w:color="auto" w:fill="auto"/>
            <w:vAlign w:val="center"/>
          </w:tcPr>
          <w:p w14:paraId="7B12DA72">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13.20m平面，设置密闭吸尘罩，接入矿槽除尘系统（槽上+碎焦筛分）</w:t>
            </w:r>
          </w:p>
        </w:tc>
      </w:tr>
      <w:tr w14:paraId="7FD0B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0D17E47B">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19</w:t>
            </w:r>
          </w:p>
        </w:tc>
        <w:tc>
          <w:tcPr>
            <w:tcW w:w="374" w:type="pct"/>
            <w:tcBorders>
              <w:tl2br w:val="nil"/>
              <w:tr2bl w:val="nil"/>
            </w:tcBorders>
            <w:shd w:val="clear" w:color="auto" w:fill="auto"/>
            <w:noWrap/>
            <w:vAlign w:val="center"/>
          </w:tcPr>
          <w:p w14:paraId="5ABCCDAE">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vAlign w:val="center"/>
          </w:tcPr>
          <w:p w14:paraId="62EF47A5">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碎焦筛分室</w:t>
            </w:r>
          </w:p>
        </w:tc>
        <w:tc>
          <w:tcPr>
            <w:tcW w:w="1056" w:type="pct"/>
            <w:tcBorders>
              <w:tl2br w:val="nil"/>
              <w:tr2bl w:val="nil"/>
            </w:tcBorders>
            <w:shd w:val="clear" w:color="auto" w:fill="auto"/>
            <w:vAlign w:val="center"/>
          </w:tcPr>
          <w:p w14:paraId="72971877">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南、北碎焦筛筛下粉焦仓仓顶</w:t>
            </w:r>
          </w:p>
        </w:tc>
        <w:tc>
          <w:tcPr>
            <w:tcW w:w="2818" w:type="pct"/>
            <w:tcBorders>
              <w:tl2br w:val="nil"/>
              <w:tr2bl w:val="nil"/>
            </w:tcBorders>
            <w:shd w:val="clear" w:color="auto" w:fill="auto"/>
            <w:vAlign w:val="center"/>
          </w:tcPr>
          <w:p w14:paraId="78BA66E7">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13.20m平面，设置密闭吸尘罩，接入矿槽除尘系统（槽上+碎焦筛分）</w:t>
            </w:r>
          </w:p>
        </w:tc>
      </w:tr>
      <w:tr w14:paraId="20BEA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7BBF94EC">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20</w:t>
            </w:r>
          </w:p>
        </w:tc>
        <w:tc>
          <w:tcPr>
            <w:tcW w:w="374" w:type="pct"/>
            <w:tcBorders>
              <w:tl2br w:val="nil"/>
              <w:tr2bl w:val="nil"/>
            </w:tcBorders>
            <w:shd w:val="clear" w:color="auto" w:fill="auto"/>
            <w:noWrap/>
            <w:vAlign w:val="center"/>
          </w:tcPr>
          <w:p w14:paraId="0263B72F">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vAlign w:val="center"/>
          </w:tcPr>
          <w:p w14:paraId="773983B1">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碎焦筛分室</w:t>
            </w:r>
          </w:p>
        </w:tc>
        <w:tc>
          <w:tcPr>
            <w:tcW w:w="1056" w:type="pct"/>
            <w:tcBorders>
              <w:tl2br w:val="nil"/>
              <w:tr2bl w:val="nil"/>
            </w:tcBorders>
            <w:shd w:val="clear" w:color="auto" w:fill="auto"/>
            <w:vAlign w:val="center"/>
          </w:tcPr>
          <w:p w14:paraId="4D1EA19D">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粉焦、焦丁汽车卸料点</w:t>
            </w:r>
          </w:p>
        </w:tc>
        <w:tc>
          <w:tcPr>
            <w:tcW w:w="2818" w:type="pct"/>
            <w:tcBorders>
              <w:tl2br w:val="nil"/>
              <w:tr2bl w:val="nil"/>
            </w:tcBorders>
            <w:shd w:val="clear" w:color="auto" w:fill="auto"/>
            <w:vAlign w:val="center"/>
          </w:tcPr>
          <w:p w14:paraId="1B2F2306">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0.00m平面，设置密闭吸尘罩，接入矿槽除尘系统（槽上+碎焦筛分）</w:t>
            </w:r>
          </w:p>
        </w:tc>
      </w:tr>
      <w:tr w14:paraId="23581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53A66AEE">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21</w:t>
            </w:r>
          </w:p>
        </w:tc>
        <w:tc>
          <w:tcPr>
            <w:tcW w:w="374" w:type="pct"/>
            <w:tcBorders>
              <w:tl2br w:val="nil"/>
              <w:tr2bl w:val="nil"/>
            </w:tcBorders>
            <w:shd w:val="clear" w:color="auto" w:fill="auto"/>
            <w:noWrap/>
            <w:vAlign w:val="center"/>
          </w:tcPr>
          <w:p w14:paraId="09D28369">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vAlign w:val="center"/>
          </w:tcPr>
          <w:p w14:paraId="77EA5DDA">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废钢仓</w:t>
            </w:r>
          </w:p>
        </w:tc>
        <w:tc>
          <w:tcPr>
            <w:tcW w:w="1056" w:type="pct"/>
            <w:tcBorders>
              <w:tl2br w:val="nil"/>
              <w:tr2bl w:val="nil"/>
            </w:tcBorders>
            <w:shd w:val="clear" w:color="auto" w:fill="auto"/>
            <w:vAlign w:val="center"/>
          </w:tcPr>
          <w:p w14:paraId="3F95B7A3">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废钢仓顶部除尘</w:t>
            </w:r>
          </w:p>
        </w:tc>
        <w:tc>
          <w:tcPr>
            <w:tcW w:w="2818" w:type="pct"/>
            <w:tcBorders>
              <w:tl2br w:val="nil"/>
              <w:tr2bl w:val="nil"/>
            </w:tcBorders>
            <w:shd w:val="clear" w:color="auto" w:fill="auto"/>
            <w:vAlign w:val="center"/>
          </w:tcPr>
          <w:p w14:paraId="029D6FC4">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0.00m平面，四面封闭，顶部设置密闭吸尘罩，接入矿槽除尘系统（槽上+碎焦筛分）</w:t>
            </w:r>
          </w:p>
        </w:tc>
      </w:tr>
      <w:tr w14:paraId="48FB7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66B82E1E">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22</w:t>
            </w:r>
          </w:p>
        </w:tc>
        <w:tc>
          <w:tcPr>
            <w:tcW w:w="374" w:type="pct"/>
            <w:tcBorders>
              <w:tl2br w:val="nil"/>
              <w:tr2bl w:val="nil"/>
            </w:tcBorders>
            <w:shd w:val="clear" w:color="auto" w:fill="auto"/>
            <w:noWrap/>
            <w:vAlign w:val="center"/>
          </w:tcPr>
          <w:p w14:paraId="693A31A8">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vAlign w:val="center"/>
          </w:tcPr>
          <w:p w14:paraId="0FCE77C4">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废钢仓</w:t>
            </w:r>
          </w:p>
        </w:tc>
        <w:tc>
          <w:tcPr>
            <w:tcW w:w="1056" w:type="pct"/>
            <w:tcBorders>
              <w:tl2br w:val="nil"/>
              <w:tr2bl w:val="nil"/>
            </w:tcBorders>
            <w:shd w:val="clear" w:color="auto" w:fill="auto"/>
            <w:vAlign w:val="center"/>
          </w:tcPr>
          <w:p w14:paraId="580EB1AF">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废钢仓下部</w:t>
            </w:r>
          </w:p>
        </w:tc>
        <w:tc>
          <w:tcPr>
            <w:tcW w:w="2818" w:type="pct"/>
            <w:tcBorders>
              <w:tl2br w:val="nil"/>
              <w:tr2bl w:val="nil"/>
            </w:tcBorders>
            <w:shd w:val="clear" w:color="auto" w:fill="auto"/>
            <w:vAlign w:val="center"/>
          </w:tcPr>
          <w:p w14:paraId="00F94226">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-3.000m，导料槽封闭，设置密闭吸尘罩，接入矿槽除尘系统（槽上+碎焦筛分）</w:t>
            </w:r>
          </w:p>
        </w:tc>
      </w:tr>
      <w:tr w14:paraId="1A88E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11BB59B7">
            <w:pPr>
              <w:widowControl/>
              <w:shd w:val="clear"/>
              <w:spacing w:line="240" w:lineRule="auto"/>
              <w:ind w:left="-120" w:leftChars="-50" w:right="-120" w:rightChars="-50" w:firstLine="0" w:firstLineChars="0"/>
              <w:jc w:val="center"/>
              <w:textAlignment w:val="center"/>
              <w:rPr>
                <w:rFonts w:ascii="Times New Roman" w:hAnsi="Times New Roman" w:cs="Times New Roman"/>
                <w:strike w:val="0"/>
                <w:dstrike w:val="0"/>
                <w:color w:val="auto"/>
                <w:sz w:val="21"/>
                <w:szCs w:val="21"/>
                <w:highlight w:val="none"/>
              </w:rPr>
            </w:pPr>
            <w:r>
              <w:rPr>
                <w:rFonts w:ascii="Times New Roman" w:hAnsi="Times New Roman" w:cs="Times New Roman"/>
                <w:strike w:val="0"/>
                <w:dstrike w:val="0"/>
                <w:color w:val="auto"/>
                <w:kern w:val="0"/>
                <w:sz w:val="21"/>
                <w:szCs w:val="21"/>
                <w:highlight w:val="none"/>
                <w:lang w:bidi="ar"/>
              </w:rPr>
              <w:t>23</w:t>
            </w:r>
          </w:p>
        </w:tc>
        <w:tc>
          <w:tcPr>
            <w:tcW w:w="374" w:type="pct"/>
            <w:tcBorders>
              <w:tl2br w:val="nil"/>
              <w:tr2bl w:val="nil"/>
            </w:tcBorders>
            <w:shd w:val="clear" w:color="auto" w:fill="auto"/>
            <w:noWrap/>
            <w:vAlign w:val="center"/>
          </w:tcPr>
          <w:p w14:paraId="785E4C84">
            <w:pPr>
              <w:widowControl/>
              <w:shd w:val="clear"/>
              <w:spacing w:line="240" w:lineRule="auto"/>
              <w:ind w:left="-120" w:leftChars="-50" w:right="-120" w:rightChars="-50" w:firstLine="0" w:firstLineChars="0"/>
              <w:jc w:val="center"/>
              <w:textAlignment w:val="center"/>
              <w:rPr>
                <w:rFonts w:ascii="Times New Roman" w:hAnsi="Times New Roman" w:cs="Times New Roman"/>
                <w:strike w:val="0"/>
                <w:dstrike w:val="0"/>
                <w:color w:val="auto"/>
                <w:sz w:val="21"/>
                <w:szCs w:val="21"/>
                <w:highlight w:val="none"/>
              </w:rPr>
            </w:pPr>
            <w:r>
              <w:rPr>
                <w:rFonts w:ascii="Times New Roman" w:hAnsi="Times New Roman" w:cs="Times New Roman"/>
                <w:strike w:val="0"/>
                <w:dstrike w:val="0"/>
                <w:color w:val="auto"/>
                <w:kern w:val="0"/>
                <w:sz w:val="21"/>
                <w:szCs w:val="21"/>
                <w:highlight w:val="none"/>
                <w:lang w:bidi="ar"/>
              </w:rPr>
              <w:t>高炉区域</w:t>
            </w:r>
          </w:p>
        </w:tc>
        <w:tc>
          <w:tcPr>
            <w:tcW w:w="572" w:type="pct"/>
            <w:tcBorders>
              <w:tl2br w:val="nil"/>
              <w:tr2bl w:val="nil"/>
            </w:tcBorders>
            <w:shd w:val="clear" w:color="auto" w:fill="auto"/>
            <w:vAlign w:val="center"/>
          </w:tcPr>
          <w:p w14:paraId="1595B912">
            <w:pPr>
              <w:widowControl/>
              <w:shd w:val="clear"/>
              <w:spacing w:line="240" w:lineRule="auto"/>
              <w:ind w:left="-120" w:leftChars="-50" w:right="-120" w:rightChars="-50" w:firstLine="0" w:firstLineChars="0"/>
              <w:jc w:val="center"/>
              <w:textAlignment w:val="center"/>
              <w:rPr>
                <w:rFonts w:ascii="Times New Roman" w:hAnsi="Times New Roman" w:cs="Times New Roman"/>
                <w:strike w:val="0"/>
                <w:dstrike w:val="0"/>
                <w:color w:val="auto"/>
                <w:sz w:val="21"/>
                <w:szCs w:val="21"/>
                <w:highlight w:val="none"/>
              </w:rPr>
            </w:pPr>
            <w:r>
              <w:rPr>
                <w:rFonts w:ascii="Times New Roman" w:hAnsi="Times New Roman" w:cs="Times New Roman"/>
                <w:strike w:val="0"/>
                <w:dstrike w:val="0"/>
                <w:color w:val="auto"/>
                <w:kern w:val="0"/>
                <w:sz w:val="21"/>
                <w:szCs w:val="21"/>
                <w:highlight w:val="none"/>
                <w:lang w:bidi="ar"/>
              </w:rPr>
              <w:t>槽前转运站</w:t>
            </w:r>
          </w:p>
        </w:tc>
        <w:tc>
          <w:tcPr>
            <w:tcW w:w="1056" w:type="pct"/>
            <w:tcBorders>
              <w:tl2br w:val="nil"/>
              <w:tr2bl w:val="nil"/>
            </w:tcBorders>
            <w:shd w:val="clear" w:color="auto" w:fill="auto"/>
            <w:vAlign w:val="center"/>
          </w:tcPr>
          <w:p w14:paraId="653B51A1">
            <w:pPr>
              <w:widowControl/>
              <w:shd w:val="clear"/>
              <w:spacing w:line="240" w:lineRule="auto"/>
              <w:ind w:left="-120" w:leftChars="-50" w:right="-120" w:rightChars="-50" w:firstLine="0" w:firstLineChars="0"/>
              <w:jc w:val="center"/>
              <w:textAlignment w:val="center"/>
              <w:rPr>
                <w:rFonts w:ascii="Times New Roman" w:hAnsi="Times New Roman" w:cs="Times New Roman"/>
                <w:strike w:val="0"/>
                <w:dstrike w:val="0"/>
                <w:color w:val="auto"/>
                <w:sz w:val="21"/>
                <w:szCs w:val="21"/>
                <w:highlight w:val="none"/>
              </w:rPr>
            </w:pPr>
            <w:r>
              <w:rPr>
                <w:rFonts w:ascii="Times New Roman" w:hAnsi="Times New Roman" w:cs="Times New Roman"/>
                <w:strike w:val="0"/>
                <w:dstrike w:val="0"/>
                <w:color w:val="auto"/>
                <w:kern w:val="0"/>
                <w:sz w:val="21"/>
                <w:szCs w:val="21"/>
                <w:highlight w:val="none"/>
                <w:lang w:bidi="ar"/>
              </w:rPr>
              <w:t>高-1皮带头卸料</w:t>
            </w:r>
          </w:p>
        </w:tc>
        <w:tc>
          <w:tcPr>
            <w:tcW w:w="2818" w:type="pct"/>
            <w:tcBorders>
              <w:tl2br w:val="nil"/>
              <w:tr2bl w:val="nil"/>
            </w:tcBorders>
            <w:shd w:val="clear" w:color="auto" w:fill="auto"/>
            <w:vAlign w:val="center"/>
          </w:tcPr>
          <w:p w14:paraId="58F3D05C">
            <w:pPr>
              <w:widowControl/>
              <w:shd w:val="clear"/>
              <w:spacing w:line="240" w:lineRule="auto"/>
              <w:ind w:left="-120" w:leftChars="-50" w:right="-120" w:rightChars="-50" w:firstLine="0" w:firstLineChars="0"/>
              <w:jc w:val="center"/>
              <w:textAlignment w:val="center"/>
              <w:rPr>
                <w:rFonts w:ascii="Times New Roman" w:hAnsi="Times New Roman" w:cs="Times New Roman"/>
                <w:strike w:val="0"/>
                <w:dstrike w:val="0"/>
                <w:color w:val="auto"/>
                <w:sz w:val="21"/>
                <w:szCs w:val="21"/>
                <w:highlight w:val="none"/>
              </w:rPr>
            </w:pPr>
            <w:r>
              <w:rPr>
                <w:rFonts w:ascii="Times New Roman" w:hAnsi="Times New Roman" w:cs="Times New Roman"/>
                <w:strike w:val="0"/>
                <w:dstrike w:val="0"/>
                <w:color w:val="auto"/>
                <w:kern w:val="0"/>
                <w:sz w:val="21"/>
                <w:szCs w:val="21"/>
                <w:highlight w:val="none"/>
                <w:lang w:bidi="ar"/>
              </w:rPr>
              <w:t>19.00m平面，皮带头罩封闭，设置密闭吸尘罩，接入矿槽除尘系统（槽上+碎焦筛分）</w:t>
            </w:r>
          </w:p>
        </w:tc>
      </w:tr>
      <w:tr w14:paraId="2F75A3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6A41E665">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24</w:t>
            </w:r>
          </w:p>
        </w:tc>
        <w:tc>
          <w:tcPr>
            <w:tcW w:w="374" w:type="pct"/>
            <w:tcBorders>
              <w:tl2br w:val="nil"/>
              <w:tr2bl w:val="nil"/>
            </w:tcBorders>
            <w:shd w:val="clear" w:color="auto" w:fill="auto"/>
            <w:noWrap/>
            <w:vAlign w:val="center"/>
          </w:tcPr>
          <w:p w14:paraId="13543CF1">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vAlign w:val="center"/>
          </w:tcPr>
          <w:p w14:paraId="32BB8ACC">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槽前转运站</w:t>
            </w:r>
          </w:p>
        </w:tc>
        <w:tc>
          <w:tcPr>
            <w:tcW w:w="1056" w:type="pct"/>
            <w:tcBorders>
              <w:tl2br w:val="nil"/>
              <w:tr2bl w:val="nil"/>
            </w:tcBorders>
            <w:shd w:val="clear" w:color="auto" w:fill="auto"/>
            <w:vAlign w:val="center"/>
          </w:tcPr>
          <w:p w14:paraId="4F800A25">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高-2皮带头卸料</w:t>
            </w:r>
          </w:p>
        </w:tc>
        <w:tc>
          <w:tcPr>
            <w:tcW w:w="2818" w:type="pct"/>
            <w:tcBorders>
              <w:tl2br w:val="nil"/>
              <w:tr2bl w:val="nil"/>
            </w:tcBorders>
            <w:shd w:val="clear" w:color="auto" w:fill="auto"/>
            <w:vAlign w:val="center"/>
          </w:tcPr>
          <w:p w14:paraId="0A7747CC">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19.00m平面，皮带头罩封闭，设置密闭吸尘罩，接入矿槽除尘系统（槽上+碎焦筛分）</w:t>
            </w:r>
          </w:p>
        </w:tc>
      </w:tr>
      <w:tr w14:paraId="57AFB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3C90B847">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25</w:t>
            </w:r>
          </w:p>
        </w:tc>
        <w:tc>
          <w:tcPr>
            <w:tcW w:w="374" w:type="pct"/>
            <w:tcBorders>
              <w:tl2br w:val="nil"/>
              <w:tr2bl w:val="nil"/>
            </w:tcBorders>
            <w:shd w:val="clear" w:color="auto" w:fill="auto"/>
            <w:noWrap/>
            <w:vAlign w:val="center"/>
          </w:tcPr>
          <w:p w14:paraId="39D8A088">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vAlign w:val="center"/>
          </w:tcPr>
          <w:p w14:paraId="59C1B289">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槽前转运站</w:t>
            </w:r>
          </w:p>
        </w:tc>
        <w:tc>
          <w:tcPr>
            <w:tcW w:w="1056" w:type="pct"/>
            <w:tcBorders>
              <w:tl2br w:val="nil"/>
              <w:tr2bl w:val="nil"/>
            </w:tcBorders>
            <w:shd w:val="clear" w:color="auto" w:fill="auto"/>
            <w:vAlign w:val="center"/>
          </w:tcPr>
          <w:p w14:paraId="6793E54A">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38#供料皮带头卸料</w:t>
            </w:r>
          </w:p>
        </w:tc>
        <w:tc>
          <w:tcPr>
            <w:tcW w:w="2818" w:type="pct"/>
            <w:tcBorders>
              <w:tl2br w:val="nil"/>
              <w:tr2bl w:val="nil"/>
            </w:tcBorders>
            <w:shd w:val="clear" w:color="auto" w:fill="auto"/>
            <w:vAlign w:val="center"/>
          </w:tcPr>
          <w:p w14:paraId="14D8BAB9">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19.00m平面，皮带头罩封闭，设置密闭吸尘罩，接入矿槽除尘系统（槽上+碎焦筛分）</w:t>
            </w:r>
          </w:p>
        </w:tc>
      </w:tr>
      <w:tr w14:paraId="61265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6F130407">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26</w:t>
            </w:r>
          </w:p>
        </w:tc>
        <w:tc>
          <w:tcPr>
            <w:tcW w:w="374" w:type="pct"/>
            <w:tcBorders>
              <w:tl2br w:val="nil"/>
              <w:tr2bl w:val="nil"/>
            </w:tcBorders>
            <w:shd w:val="clear" w:color="auto" w:fill="auto"/>
            <w:noWrap/>
            <w:vAlign w:val="center"/>
          </w:tcPr>
          <w:p w14:paraId="028024BC">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vAlign w:val="center"/>
          </w:tcPr>
          <w:p w14:paraId="2B8C6E4E">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槽前转运站</w:t>
            </w:r>
          </w:p>
        </w:tc>
        <w:tc>
          <w:tcPr>
            <w:tcW w:w="1056" w:type="pct"/>
            <w:tcBorders>
              <w:tl2br w:val="nil"/>
              <w:tr2bl w:val="nil"/>
            </w:tcBorders>
            <w:shd w:val="clear" w:color="auto" w:fill="auto"/>
            <w:vAlign w:val="center"/>
          </w:tcPr>
          <w:p w14:paraId="7023A0A9">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42#皮带、43#皮带、44#皮带机尾受料点后</w:t>
            </w:r>
          </w:p>
        </w:tc>
        <w:tc>
          <w:tcPr>
            <w:tcW w:w="2818" w:type="pct"/>
            <w:tcBorders>
              <w:tl2br w:val="nil"/>
              <w:tr2bl w:val="nil"/>
            </w:tcBorders>
            <w:shd w:val="clear" w:color="auto" w:fill="auto"/>
            <w:vAlign w:val="center"/>
          </w:tcPr>
          <w:p w14:paraId="616759C5">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14.00m平面，导料槽封闭，设置密闭吸尘罩，接入矿槽除尘系统（槽上+碎焦筛分）</w:t>
            </w:r>
          </w:p>
        </w:tc>
      </w:tr>
      <w:tr w14:paraId="5CA8D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0CBAAF3A">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27</w:t>
            </w:r>
          </w:p>
        </w:tc>
        <w:tc>
          <w:tcPr>
            <w:tcW w:w="374" w:type="pct"/>
            <w:tcBorders>
              <w:tl2br w:val="nil"/>
              <w:tr2bl w:val="nil"/>
            </w:tcBorders>
            <w:shd w:val="clear" w:color="auto" w:fill="auto"/>
            <w:noWrap/>
            <w:vAlign w:val="center"/>
          </w:tcPr>
          <w:p w14:paraId="42CD6FC9">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118ED89C">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noWrap/>
            <w:vAlign w:val="center"/>
          </w:tcPr>
          <w:p w14:paraId="794BE3BD">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9#-1、-2振动筛→北上料皮带（振筛本体、筛上物出料溜槽、北上料皮带落料点）</w:t>
            </w:r>
          </w:p>
        </w:tc>
        <w:tc>
          <w:tcPr>
            <w:tcW w:w="2818" w:type="pct"/>
            <w:tcBorders>
              <w:tl2br w:val="nil"/>
              <w:tr2bl w:val="nil"/>
            </w:tcBorders>
            <w:shd w:val="clear" w:color="auto" w:fill="auto"/>
            <w:noWrap/>
            <w:vAlign w:val="center"/>
          </w:tcPr>
          <w:p w14:paraId="7AA928C4">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振筛筛尾，封闭溜槽，设置密闭吸尘罩，接入地沟除尘系统（槽下+返矿转运）</w:t>
            </w:r>
          </w:p>
        </w:tc>
      </w:tr>
      <w:tr w14:paraId="24ABB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48DC3243">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28</w:t>
            </w:r>
          </w:p>
        </w:tc>
        <w:tc>
          <w:tcPr>
            <w:tcW w:w="374" w:type="pct"/>
            <w:tcBorders>
              <w:tl2br w:val="nil"/>
              <w:tr2bl w:val="nil"/>
            </w:tcBorders>
            <w:shd w:val="clear" w:color="auto" w:fill="auto"/>
            <w:noWrap/>
            <w:vAlign w:val="center"/>
          </w:tcPr>
          <w:p w14:paraId="3391C5AE">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0D6353A9">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noWrap/>
            <w:vAlign w:val="center"/>
          </w:tcPr>
          <w:p w14:paraId="741652F0">
            <w:pPr>
              <w:widowControl/>
              <w:shd w:val="clear"/>
              <w:spacing w:line="240" w:lineRule="auto"/>
              <w:ind w:left="-120" w:leftChars="-50" w:right="-120" w:rightChars="-50" w:firstLine="0" w:firstLineChars="0"/>
              <w:jc w:val="center"/>
              <w:rPr>
                <w:rFonts w:ascii="Times New Roman" w:hAnsi="Times New Roman" w:cs="Times New Roman"/>
                <w:color w:val="auto"/>
                <w:sz w:val="21"/>
                <w:szCs w:val="21"/>
                <w:highlight w:val="none"/>
              </w:rPr>
            </w:pPr>
          </w:p>
        </w:tc>
        <w:tc>
          <w:tcPr>
            <w:tcW w:w="2818" w:type="pct"/>
            <w:tcBorders>
              <w:tl2br w:val="nil"/>
              <w:tr2bl w:val="nil"/>
            </w:tcBorders>
            <w:shd w:val="clear" w:color="auto" w:fill="auto"/>
            <w:noWrap/>
            <w:vAlign w:val="center"/>
          </w:tcPr>
          <w:p w14:paraId="6D7C59DE">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北上料皮带受料点，导料槽封闭，设置密闭吸尘罩，接入地沟除尘系统（槽下+返矿转运）</w:t>
            </w:r>
          </w:p>
        </w:tc>
      </w:tr>
      <w:tr w14:paraId="66078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0DF87BFC">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29</w:t>
            </w:r>
          </w:p>
        </w:tc>
        <w:tc>
          <w:tcPr>
            <w:tcW w:w="374" w:type="pct"/>
            <w:tcBorders>
              <w:tl2br w:val="nil"/>
              <w:tr2bl w:val="nil"/>
            </w:tcBorders>
            <w:shd w:val="clear" w:color="auto" w:fill="auto"/>
            <w:noWrap/>
            <w:vAlign w:val="center"/>
          </w:tcPr>
          <w:p w14:paraId="33530323">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5146DE5A">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noWrap/>
            <w:vAlign w:val="center"/>
          </w:tcPr>
          <w:p w14:paraId="56236A19">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9#-1、-2振动筛返料→碱返皮带</w:t>
            </w:r>
          </w:p>
        </w:tc>
        <w:tc>
          <w:tcPr>
            <w:tcW w:w="2818" w:type="pct"/>
            <w:tcBorders>
              <w:tl2br w:val="nil"/>
              <w:tr2bl w:val="nil"/>
            </w:tcBorders>
            <w:shd w:val="clear" w:color="auto" w:fill="auto"/>
            <w:noWrap/>
            <w:vAlign w:val="center"/>
          </w:tcPr>
          <w:p w14:paraId="6B03EEF6">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碱返皮带受料点，导料槽封闭，设置密闭吸尘罩，接入地沟除尘系统（槽下+返矿转运）</w:t>
            </w:r>
          </w:p>
        </w:tc>
      </w:tr>
      <w:tr w14:paraId="59025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71C50154">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30</w:t>
            </w:r>
          </w:p>
        </w:tc>
        <w:tc>
          <w:tcPr>
            <w:tcW w:w="374" w:type="pct"/>
            <w:tcBorders>
              <w:tl2br w:val="nil"/>
              <w:tr2bl w:val="nil"/>
            </w:tcBorders>
            <w:shd w:val="clear" w:color="auto" w:fill="auto"/>
            <w:noWrap/>
            <w:vAlign w:val="center"/>
          </w:tcPr>
          <w:p w14:paraId="4E2AEA90">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1C99DCCF">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noWrap/>
            <w:vAlign w:val="center"/>
          </w:tcPr>
          <w:p w14:paraId="509BA3F4">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10#-1、-2振动筛→北上料皮带（振筛本体、筛上物出料溜槽、北上料皮带落料点）</w:t>
            </w:r>
          </w:p>
        </w:tc>
        <w:tc>
          <w:tcPr>
            <w:tcW w:w="2818" w:type="pct"/>
            <w:tcBorders>
              <w:tl2br w:val="nil"/>
              <w:tr2bl w:val="nil"/>
            </w:tcBorders>
            <w:shd w:val="clear" w:color="auto" w:fill="auto"/>
            <w:noWrap/>
            <w:vAlign w:val="center"/>
          </w:tcPr>
          <w:p w14:paraId="042EFFC1">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振筛筛尾，封闭溜槽，设置密闭吸尘罩，接入地沟除尘系统（槽下+返矿转运）</w:t>
            </w:r>
          </w:p>
        </w:tc>
      </w:tr>
      <w:tr w14:paraId="17A76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6F9C2F8E">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31</w:t>
            </w:r>
          </w:p>
        </w:tc>
        <w:tc>
          <w:tcPr>
            <w:tcW w:w="374" w:type="pct"/>
            <w:tcBorders>
              <w:tl2br w:val="nil"/>
              <w:tr2bl w:val="nil"/>
            </w:tcBorders>
            <w:shd w:val="clear" w:color="auto" w:fill="auto"/>
            <w:noWrap/>
            <w:vAlign w:val="center"/>
          </w:tcPr>
          <w:p w14:paraId="564FFB74">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26A0960B">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noWrap/>
            <w:vAlign w:val="center"/>
          </w:tcPr>
          <w:p w14:paraId="43933340">
            <w:pPr>
              <w:widowControl/>
              <w:shd w:val="clear"/>
              <w:spacing w:line="240" w:lineRule="auto"/>
              <w:ind w:left="-120" w:leftChars="-50" w:right="-120" w:rightChars="-50" w:firstLine="0" w:firstLineChars="0"/>
              <w:jc w:val="center"/>
              <w:rPr>
                <w:rFonts w:ascii="Times New Roman" w:hAnsi="Times New Roman" w:cs="Times New Roman"/>
                <w:color w:val="auto"/>
                <w:sz w:val="21"/>
                <w:szCs w:val="21"/>
                <w:highlight w:val="none"/>
              </w:rPr>
            </w:pPr>
          </w:p>
        </w:tc>
        <w:tc>
          <w:tcPr>
            <w:tcW w:w="2818" w:type="pct"/>
            <w:tcBorders>
              <w:tl2br w:val="nil"/>
              <w:tr2bl w:val="nil"/>
            </w:tcBorders>
            <w:shd w:val="clear" w:color="auto" w:fill="auto"/>
            <w:noWrap/>
            <w:vAlign w:val="center"/>
          </w:tcPr>
          <w:p w14:paraId="52EF1ECE">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北上料皮带受料点，导料槽封闭，设置密闭吸尘罩，接入地沟除尘系统（槽下+返矿转运）</w:t>
            </w:r>
          </w:p>
        </w:tc>
      </w:tr>
      <w:tr w14:paraId="4D3BD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4624EB87">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32</w:t>
            </w:r>
          </w:p>
        </w:tc>
        <w:tc>
          <w:tcPr>
            <w:tcW w:w="374" w:type="pct"/>
            <w:tcBorders>
              <w:tl2br w:val="nil"/>
              <w:tr2bl w:val="nil"/>
            </w:tcBorders>
            <w:shd w:val="clear" w:color="auto" w:fill="auto"/>
            <w:noWrap/>
            <w:vAlign w:val="center"/>
          </w:tcPr>
          <w:p w14:paraId="63BC0D79">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24125ED9">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noWrap/>
            <w:vAlign w:val="center"/>
          </w:tcPr>
          <w:p w14:paraId="034EFF82">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10#-1、-2振动筛返料→碱返皮带</w:t>
            </w:r>
          </w:p>
        </w:tc>
        <w:tc>
          <w:tcPr>
            <w:tcW w:w="2818" w:type="pct"/>
            <w:tcBorders>
              <w:tl2br w:val="nil"/>
              <w:tr2bl w:val="nil"/>
            </w:tcBorders>
            <w:shd w:val="clear" w:color="auto" w:fill="auto"/>
            <w:noWrap/>
            <w:vAlign w:val="center"/>
          </w:tcPr>
          <w:p w14:paraId="0768946B">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碱返皮带受料点，导料槽封闭，设置密闭吸尘罩，接入地沟除尘系统（槽下+返矿转运）</w:t>
            </w:r>
          </w:p>
        </w:tc>
      </w:tr>
      <w:tr w14:paraId="00182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4994783F">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33</w:t>
            </w:r>
          </w:p>
        </w:tc>
        <w:tc>
          <w:tcPr>
            <w:tcW w:w="374" w:type="pct"/>
            <w:tcBorders>
              <w:tl2br w:val="nil"/>
              <w:tr2bl w:val="nil"/>
            </w:tcBorders>
            <w:shd w:val="clear" w:color="auto" w:fill="auto"/>
            <w:noWrap/>
            <w:vAlign w:val="center"/>
          </w:tcPr>
          <w:p w14:paraId="7EA783C0">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14936BC6">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noWrap/>
            <w:vAlign w:val="center"/>
          </w:tcPr>
          <w:p w14:paraId="33C35E36">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15#-1、-2振动筛→南上料皮带（振筛本体、筛上物出料溜槽、北上料皮带落料点）</w:t>
            </w:r>
          </w:p>
        </w:tc>
        <w:tc>
          <w:tcPr>
            <w:tcW w:w="2818" w:type="pct"/>
            <w:tcBorders>
              <w:tl2br w:val="nil"/>
              <w:tr2bl w:val="nil"/>
            </w:tcBorders>
            <w:shd w:val="clear" w:color="auto" w:fill="auto"/>
            <w:noWrap/>
            <w:vAlign w:val="center"/>
          </w:tcPr>
          <w:p w14:paraId="0F1C73A4">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振筛筛尾，封闭溜槽，设置密闭吸尘罩，接入地沟除尘系统（槽下+返矿转运）</w:t>
            </w:r>
          </w:p>
        </w:tc>
      </w:tr>
      <w:tr w14:paraId="4520F7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575EF776">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34</w:t>
            </w:r>
          </w:p>
        </w:tc>
        <w:tc>
          <w:tcPr>
            <w:tcW w:w="374" w:type="pct"/>
            <w:tcBorders>
              <w:tl2br w:val="nil"/>
              <w:tr2bl w:val="nil"/>
            </w:tcBorders>
            <w:shd w:val="clear" w:color="auto" w:fill="auto"/>
            <w:noWrap/>
            <w:vAlign w:val="center"/>
          </w:tcPr>
          <w:p w14:paraId="2AF92E0F">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3CB1E561">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noWrap/>
            <w:vAlign w:val="center"/>
          </w:tcPr>
          <w:p w14:paraId="53631D64">
            <w:pPr>
              <w:widowControl/>
              <w:shd w:val="clear"/>
              <w:spacing w:line="240" w:lineRule="auto"/>
              <w:ind w:left="-120" w:leftChars="-50" w:right="-120" w:rightChars="-50" w:firstLine="0" w:firstLineChars="0"/>
              <w:jc w:val="center"/>
              <w:rPr>
                <w:rFonts w:ascii="Times New Roman" w:hAnsi="Times New Roman" w:cs="Times New Roman"/>
                <w:color w:val="auto"/>
                <w:sz w:val="21"/>
                <w:szCs w:val="21"/>
                <w:highlight w:val="none"/>
              </w:rPr>
            </w:pPr>
          </w:p>
        </w:tc>
        <w:tc>
          <w:tcPr>
            <w:tcW w:w="2818" w:type="pct"/>
            <w:tcBorders>
              <w:tl2br w:val="nil"/>
              <w:tr2bl w:val="nil"/>
            </w:tcBorders>
            <w:shd w:val="clear" w:color="auto" w:fill="auto"/>
            <w:noWrap/>
            <w:vAlign w:val="center"/>
          </w:tcPr>
          <w:p w14:paraId="197B2921">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北上料皮带受料点，导料槽封闭，设置密闭吸尘罩，接入地沟除尘系统（槽下+返矿转运）</w:t>
            </w:r>
          </w:p>
        </w:tc>
      </w:tr>
      <w:tr w14:paraId="5B279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7A661135">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35</w:t>
            </w:r>
          </w:p>
        </w:tc>
        <w:tc>
          <w:tcPr>
            <w:tcW w:w="374" w:type="pct"/>
            <w:tcBorders>
              <w:tl2br w:val="nil"/>
              <w:tr2bl w:val="nil"/>
            </w:tcBorders>
            <w:shd w:val="clear" w:color="auto" w:fill="auto"/>
            <w:noWrap/>
            <w:vAlign w:val="center"/>
          </w:tcPr>
          <w:p w14:paraId="2E6625C9">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5064F411">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noWrap/>
            <w:vAlign w:val="center"/>
          </w:tcPr>
          <w:p w14:paraId="3C152F78">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15#-1、-2振动筛返料→碱返皮带</w:t>
            </w:r>
          </w:p>
        </w:tc>
        <w:tc>
          <w:tcPr>
            <w:tcW w:w="2818" w:type="pct"/>
            <w:tcBorders>
              <w:tl2br w:val="nil"/>
              <w:tr2bl w:val="nil"/>
            </w:tcBorders>
            <w:shd w:val="clear" w:color="auto" w:fill="auto"/>
            <w:noWrap/>
            <w:vAlign w:val="center"/>
          </w:tcPr>
          <w:p w14:paraId="0D14DB94">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碱返皮带受料点，导料槽封闭，设置密闭吸尘罩，接入地沟除尘系统（槽下+返矿转运）</w:t>
            </w:r>
          </w:p>
        </w:tc>
      </w:tr>
      <w:tr w14:paraId="5CC36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7BC63F25">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36</w:t>
            </w:r>
          </w:p>
        </w:tc>
        <w:tc>
          <w:tcPr>
            <w:tcW w:w="374" w:type="pct"/>
            <w:tcBorders>
              <w:tl2br w:val="nil"/>
              <w:tr2bl w:val="nil"/>
            </w:tcBorders>
            <w:shd w:val="clear" w:color="auto" w:fill="auto"/>
            <w:noWrap/>
            <w:vAlign w:val="center"/>
          </w:tcPr>
          <w:p w14:paraId="33CC1FAF">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534714E8">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noWrap/>
            <w:vAlign w:val="center"/>
          </w:tcPr>
          <w:p w14:paraId="6A720881">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16#-1、-2振动筛→南上料皮带（振筛本体、筛上物出料溜槽、北上料皮带落料点）</w:t>
            </w:r>
          </w:p>
        </w:tc>
        <w:tc>
          <w:tcPr>
            <w:tcW w:w="2818" w:type="pct"/>
            <w:tcBorders>
              <w:tl2br w:val="nil"/>
              <w:tr2bl w:val="nil"/>
            </w:tcBorders>
            <w:shd w:val="clear" w:color="auto" w:fill="auto"/>
            <w:noWrap/>
            <w:vAlign w:val="center"/>
          </w:tcPr>
          <w:p w14:paraId="5468FE12">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振筛筛尾，封闭溜槽，设置密闭吸尘罩，接入地沟除尘系统（槽下+返矿转运）</w:t>
            </w:r>
          </w:p>
        </w:tc>
      </w:tr>
      <w:tr w14:paraId="03C09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0F1103EF">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37</w:t>
            </w:r>
          </w:p>
        </w:tc>
        <w:tc>
          <w:tcPr>
            <w:tcW w:w="374" w:type="pct"/>
            <w:tcBorders>
              <w:tl2br w:val="nil"/>
              <w:tr2bl w:val="nil"/>
            </w:tcBorders>
            <w:shd w:val="clear" w:color="auto" w:fill="auto"/>
            <w:noWrap/>
            <w:vAlign w:val="center"/>
          </w:tcPr>
          <w:p w14:paraId="6336C0B6">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58EADC7B">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noWrap/>
            <w:vAlign w:val="center"/>
          </w:tcPr>
          <w:p w14:paraId="1802BC8B">
            <w:pPr>
              <w:widowControl/>
              <w:shd w:val="clear"/>
              <w:spacing w:line="240" w:lineRule="auto"/>
              <w:ind w:left="-120" w:leftChars="-50" w:right="-120" w:rightChars="-50" w:firstLine="0" w:firstLineChars="0"/>
              <w:jc w:val="center"/>
              <w:rPr>
                <w:rFonts w:ascii="Times New Roman" w:hAnsi="Times New Roman" w:cs="Times New Roman"/>
                <w:color w:val="auto"/>
                <w:sz w:val="21"/>
                <w:szCs w:val="21"/>
                <w:highlight w:val="none"/>
              </w:rPr>
            </w:pPr>
          </w:p>
        </w:tc>
        <w:tc>
          <w:tcPr>
            <w:tcW w:w="2818" w:type="pct"/>
            <w:tcBorders>
              <w:tl2br w:val="nil"/>
              <w:tr2bl w:val="nil"/>
            </w:tcBorders>
            <w:shd w:val="clear" w:color="auto" w:fill="auto"/>
            <w:noWrap/>
            <w:vAlign w:val="center"/>
          </w:tcPr>
          <w:p w14:paraId="2F9F8B1B">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北上料皮带受料点，导料槽封闭，设置密闭吸尘罩，接入地沟除尘系统（槽下+返矿转运）</w:t>
            </w:r>
          </w:p>
        </w:tc>
      </w:tr>
      <w:tr w14:paraId="2C84C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6884D404">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38</w:t>
            </w:r>
          </w:p>
        </w:tc>
        <w:tc>
          <w:tcPr>
            <w:tcW w:w="374" w:type="pct"/>
            <w:tcBorders>
              <w:tl2br w:val="nil"/>
              <w:tr2bl w:val="nil"/>
            </w:tcBorders>
            <w:shd w:val="clear" w:color="auto" w:fill="auto"/>
            <w:noWrap/>
            <w:vAlign w:val="center"/>
          </w:tcPr>
          <w:p w14:paraId="4D3BE7F2">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19399416">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noWrap/>
            <w:vAlign w:val="center"/>
          </w:tcPr>
          <w:p w14:paraId="664E90B7">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16#-1、-2振动筛返料→小皮带→碱返（酸返）皮带</w:t>
            </w:r>
          </w:p>
        </w:tc>
        <w:tc>
          <w:tcPr>
            <w:tcW w:w="2818" w:type="pct"/>
            <w:tcBorders>
              <w:tl2br w:val="nil"/>
              <w:tr2bl w:val="nil"/>
            </w:tcBorders>
            <w:shd w:val="clear" w:color="auto" w:fill="auto"/>
            <w:noWrap/>
            <w:vAlign w:val="center"/>
          </w:tcPr>
          <w:p w14:paraId="4600E4C7">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碱返皮带受料点，导料槽封闭，设置密闭吸尘罩，接入地沟除尘系统（槽下+返矿转运）</w:t>
            </w:r>
          </w:p>
        </w:tc>
      </w:tr>
      <w:tr w14:paraId="0D5BC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63583E1B">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39</w:t>
            </w:r>
          </w:p>
        </w:tc>
        <w:tc>
          <w:tcPr>
            <w:tcW w:w="374" w:type="pct"/>
            <w:tcBorders>
              <w:tl2br w:val="nil"/>
              <w:tr2bl w:val="nil"/>
            </w:tcBorders>
            <w:shd w:val="clear" w:color="auto" w:fill="auto"/>
            <w:noWrap/>
            <w:vAlign w:val="center"/>
          </w:tcPr>
          <w:p w14:paraId="24801092">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0CA5B488">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noWrap/>
            <w:vAlign w:val="center"/>
          </w:tcPr>
          <w:p w14:paraId="54F9F531">
            <w:pPr>
              <w:widowControl/>
              <w:shd w:val="clear"/>
              <w:spacing w:line="240" w:lineRule="auto"/>
              <w:ind w:left="-120" w:leftChars="-50" w:right="-120" w:rightChars="-50" w:firstLine="0" w:firstLineChars="0"/>
              <w:jc w:val="center"/>
              <w:rPr>
                <w:rFonts w:ascii="Times New Roman" w:hAnsi="Times New Roman" w:cs="Times New Roman"/>
                <w:color w:val="auto"/>
                <w:sz w:val="21"/>
                <w:szCs w:val="21"/>
                <w:highlight w:val="none"/>
              </w:rPr>
            </w:pPr>
          </w:p>
        </w:tc>
        <w:tc>
          <w:tcPr>
            <w:tcW w:w="2818" w:type="pct"/>
            <w:tcBorders>
              <w:tl2br w:val="nil"/>
              <w:tr2bl w:val="nil"/>
            </w:tcBorders>
            <w:shd w:val="clear" w:color="auto" w:fill="auto"/>
            <w:noWrap/>
            <w:vAlign w:val="center"/>
          </w:tcPr>
          <w:p w14:paraId="357D806F">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小皮带受料，导料槽封闭，设置密闭吸尘罩，接入地沟除尘系统（槽下+返矿转运）</w:t>
            </w:r>
          </w:p>
        </w:tc>
      </w:tr>
      <w:tr w14:paraId="778B9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4147DE02">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40</w:t>
            </w:r>
          </w:p>
        </w:tc>
        <w:tc>
          <w:tcPr>
            <w:tcW w:w="374" w:type="pct"/>
            <w:tcBorders>
              <w:tl2br w:val="nil"/>
              <w:tr2bl w:val="nil"/>
            </w:tcBorders>
            <w:shd w:val="clear" w:color="auto" w:fill="auto"/>
            <w:noWrap/>
            <w:vAlign w:val="center"/>
          </w:tcPr>
          <w:p w14:paraId="5DFF0DB3">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53CD3036">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noWrap/>
            <w:vAlign w:val="center"/>
          </w:tcPr>
          <w:p w14:paraId="258E78E9">
            <w:pPr>
              <w:widowControl/>
              <w:shd w:val="clear"/>
              <w:spacing w:line="240" w:lineRule="auto"/>
              <w:ind w:left="-120" w:leftChars="-50" w:right="-120" w:rightChars="-50" w:firstLine="0" w:firstLineChars="0"/>
              <w:jc w:val="center"/>
              <w:rPr>
                <w:rFonts w:ascii="Times New Roman" w:hAnsi="Times New Roman" w:cs="Times New Roman"/>
                <w:color w:val="auto"/>
                <w:sz w:val="21"/>
                <w:szCs w:val="21"/>
                <w:highlight w:val="none"/>
              </w:rPr>
            </w:pPr>
          </w:p>
        </w:tc>
        <w:tc>
          <w:tcPr>
            <w:tcW w:w="2818" w:type="pct"/>
            <w:tcBorders>
              <w:tl2br w:val="nil"/>
              <w:tr2bl w:val="nil"/>
            </w:tcBorders>
            <w:shd w:val="clear" w:color="auto" w:fill="auto"/>
            <w:noWrap/>
            <w:vAlign w:val="center"/>
          </w:tcPr>
          <w:p w14:paraId="042E1D02">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小皮带头，皮带头罩封闭，设置密闭吸尘罩，接入地沟除尘系统（槽下+返矿转运）</w:t>
            </w:r>
          </w:p>
        </w:tc>
      </w:tr>
      <w:tr w14:paraId="01AAE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1EE01CB2">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41</w:t>
            </w:r>
          </w:p>
        </w:tc>
        <w:tc>
          <w:tcPr>
            <w:tcW w:w="374" w:type="pct"/>
            <w:tcBorders>
              <w:tl2br w:val="nil"/>
              <w:tr2bl w:val="nil"/>
            </w:tcBorders>
            <w:shd w:val="clear" w:color="auto" w:fill="auto"/>
            <w:noWrap/>
            <w:vAlign w:val="center"/>
          </w:tcPr>
          <w:p w14:paraId="344135C7">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6D478FBE">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noWrap/>
            <w:vAlign w:val="center"/>
          </w:tcPr>
          <w:p w14:paraId="02828724">
            <w:pPr>
              <w:widowControl/>
              <w:shd w:val="clear"/>
              <w:spacing w:line="240" w:lineRule="auto"/>
              <w:ind w:left="-120" w:leftChars="-50" w:right="-120" w:rightChars="-50" w:firstLine="0" w:firstLineChars="0"/>
              <w:jc w:val="center"/>
              <w:rPr>
                <w:rFonts w:ascii="Times New Roman" w:hAnsi="Times New Roman" w:cs="Times New Roman"/>
                <w:color w:val="auto"/>
                <w:sz w:val="21"/>
                <w:szCs w:val="21"/>
                <w:highlight w:val="none"/>
              </w:rPr>
            </w:pPr>
          </w:p>
        </w:tc>
        <w:tc>
          <w:tcPr>
            <w:tcW w:w="2818" w:type="pct"/>
            <w:tcBorders>
              <w:tl2br w:val="nil"/>
              <w:tr2bl w:val="nil"/>
            </w:tcBorders>
            <w:shd w:val="clear" w:color="auto" w:fill="auto"/>
            <w:noWrap/>
            <w:vAlign w:val="center"/>
          </w:tcPr>
          <w:p w14:paraId="17105E59">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酸返皮带受料点，导料槽封闭，设置密闭吸尘罩，接入地沟除尘系统（槽下+返矿转运）</w:t>
            </w:r>
          </w:p>
        </w:tc>
      </w:tr>
      <w:tr w14:paraId="7C65C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1C2B95BC">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42</w:t>
            </w:r>
          </w:p>
        </w:tc>
        <w:tc>
          <w:tcPr>
            <w:tcW w:w="374" w:type="pct"/>
            <w:tcBorders>
              <w:tl2br w:val="nil"/>
              <w:tr2bl w:val="nil"/>
            </w:tcBorders>
            <w:shd w:val="clear" w:color="auto" w:fill="auto"/>
            <w:noWrap/>
            <w:vAlign w:val="center"/>
          </w:tcPr>
          <w:p w14:paraId="5E8694A3">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424887C3">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noWrap/>
            <w:vAlign w:val="center"/>
          </w:tcPr>
          <w:p w14:paraId="4801A790">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11#仓下振动筛出口溜槽上部</w:t>
            </w:r>
          </w:p>
        </w:tc>
        <w:tc>
          <w:tcPr>
            <w:tcW w:w="2818" w:type="pct"/>
            <w:tcBorders>
              <w:tl2br w:val="nil"/>
              <w:tr2bl w:val="nil"/>
            </w:tcBorders>
            <w:shd w:val="clear" w:color="auto" w:fill="auto"/>
            <w:noWrap/>
            <w:vAlign w:val="center"/>
          </w:tcPr>
          <w:p w14:paraId="39BA83F7">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振筛筛尾，封闭溜槽，设置密闭吸尘罩，接入地沟除尘系统（槽下+返矿转运）</w:t>
            </w:r>
          </w:p>
        </w:tc>
      </w:tr>
      <w:tr w14:paraId="5DD4B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67408675">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43</w:t>
            </w:r>
          </w:p>
        </w:tc>
        <w:tc>
          <w:tcPr>
            <w:tcW w:w="374" w:type="pct"/>
            <w:tcBorders>
              <w:tl2br w:val="nil"/>
              <w:tr2bl w:val="nil"/>
            </w:tcBorders>
            <w:shd w:val="clear" w:color="auto" w:fill="auto"/>
            <w:noWrap/>
            <w:vAlign w:val="center"/>
          </w:tcPr>
          <w:p w14:paraId="2140D464">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7A727B79">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noWrap/>
            <w:vAlign w:val="center"/>
          </w:tcPr>
          <w:p w14:paraId="5BBA8E99">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11#仓下振动筛返料→碱返皮带及酸返皮带</w:t>
            </w:r>
          </w:p>
        </w:tc>
        <w:tc>
          <w:tcPr>
            <w:tcW w:w="2818" w:type="pct"/>
            <w:tcBorders>
              <w:tl2br w:val="nil"/>
              <w:tr2bl w:val="nil"/>
            </w:tcBorders>
            <w:shd w:val="clear" w:color="auto" w:fill="auto"/>
            <w:noWrap/>
            <w:vAlign w:val="center"/>
          </w:tcPr>
          <w:p w14:paraId="459293CF">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碱返皮带受料点，导料槽封闭，设置密闭吸尘罩，接入地沟除尘系统（槽下+返矿转运）</w:t>
            </w:r>
          </w:p>
        </w:tc>
      </w:tr>
      <w:tr w14:paraId="0225B1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56E4D831">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44</w:t>
            </w:r>
          </w:p>
        </w:tc>
        <w:tc>
          <w:tcPr>
            <w:tcW w:w="374" w:type="pct"/>
            <w:tcBorders>
              <w:tl2br w:val="nil"/>
              <w:tr2bl w:val="nil"/>
            </w:tcBorders>
            <w:shd w:val="clear" w:color="auto" w:fill="auto"/>
            <w:noWrap/>
            <w:vAlign w:val="center"/>
          </w:tcPr>
          <w:p w14:paraId="617AC359">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14CFD645">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noWrap/>
            <w:vAlign w:val="center"/>
          </w:tcPr>
          <w:p w14:paraId="09E42E66">
            <w:pPr>
              <w:widowControl/>
              <w:shd w:val="clear"/>
              <w:spacing w:line="240" w:lineRule="auto"/>
              <w:ind w:left="-120" w:leftChars="-50" w:right="-120" w:rightChars="-50" w:firstLine="0" w:firstLineChars="0"/>
              <w:jc w:val="center"/>
              <w:rPr>
                <w:rFonts w:ascii="Times New Roman" w:hAnsi="Times New Roman" w:cs="Times New Roman"/>
                <w:color w:val="auto"/>
                <w:sz w:val="21"/>
                <w:szCs w:val="21"/>
                <w:highlight w:val="none"/>
              </w:rPr>
            </w:pPr>
          </w:p>
        </w:tc>
        <w:tc>
          <w:tcPr>
            <w:tcW w:w="2818" w:type="pct"/>
            <w:tcBorders>
              <w:tl2br w:val="nil"/>
              <w:tr2bl w:val="nil"/>
            </w:tcBorders>
            <w:shd w:val="clear" w:color="auto" w:fill="auto"/>
            <w:noWrap/>
            <w:vAlign w:val="center"/>
          </w:tcPr>
          <w:p w14:paraId="70BA8B6D">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酸返皮带受料点，导料槽封闭，设置密闭吸尘罩，接入地沟除尘系统（槽下+返矿转运）</w:t>
            </w:r>
          </w:p>
        </w:tc>
      </w:tr>
      <w:tr w14:paraId="6B0FE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0DA4DD45">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45</w:t>
            </w:r>
          </w:p>
        </w:tc>
        <w:tc>
          <w:tcPr>
            <w:tcW w:w="374" w:type="pct"/>
            <w:tcBorders>
              <w:tl2br w:val="nil"/>
              <w:tr2bl w:val="nil"/>
            </w:tcBorders>
            <w:shd w:val="clear" w:color="auto" w:fill="auto"/>
            <w:noWrap/>
            <w:vAlign w:val="center"/>
          </w:tcPr>
          <w:p w14:paraId="75971D21">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0D4B72A6">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noWrap/>
            <w:vAlign w:val="center"/>
          </w:tcPr>
          <w:p w14:paraId="114F6C1A">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12#仓下振动筛出口溜槽上部</w:t>
            </w:r>
          </w:p>
        </w:tc>
        <w:tc>
          <w:tcPr>
            <w:tcW w:w="2818" w:type="pct"/>
            <w:tcBorders>
              <w:tl2br w:val="nil"/>
              <w:tr2bl w:val="nil"/>
            </w:tcBorders>
            <w:shd w:val="clear" w:color="auto" w:fill="auto"/>
            <w:noWrap/>
            <w:vAlign w:val="center"/>
          </w:tcPr>
          <w:p w14:paraId="215A2B84">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振筛筛尾，封闭溜槽，设置密闭吸尘罩，接入地沟除尘系统（槽下+返矿转运）</w:t>
            </w:r>
          </w:p>
        </w:tc>
      </w:tr>
      <w:tr w14:paraId="2D0C7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1EBA7121">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46</w:t>
            </w:r>
          </w:p>
        </w:tc>
        <w:tc>
          <w:tcPr>
            <w:tcW w:w="374" w:type="pct"/>
            <w:tcBorders>
              <w:tl2br w:val="nil"/>
              <w:tr2bl w:val="nil"/>
            </w:tcBorders>
            <w:shd w:val="clear" w:color="auto" w:fill="auto"/>
            <w:noWrap/>
            <w:vAlign w:val="center"/>
          </w:tcPr>
          <w:p w14:paraId="482CCC76">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7EE170A5">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noWrap/>
            <w:vAlign w:val="center"/>
          </w:tcPr>
          <w:p w14:paraId="1580FAFC">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12#仓下振动筛返料→碱返皮带及酸返皮带</w:t>
            </w:r>
          </w:p>
        </w:tc>
        <w:tc>
          <w:tcPr>
            <w:tcW w:w="2818" w:type="pct"/>
            <w:tcBorders>
              <w:tl2br w:val="nil"/>
              <w:tr2bl w:val="nil"/>
            </w:tcBorders>
            <w:shd w:val="clear" w:color="auto" w:fill="auto"/>
            <w:noWrap/>
            <w:vAlign w:val="center"/>
          </w:tcPr>
          <w:p w14:paraId="47F04507">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碱返皮带受料点，导料槽封闭，设置密闭吸尘罩，接入地沟除尘系统（槽下+返矿转运）</w:t>
            </w:r>
          </w:p>
        </w:tc>
      </w:tr>
      <w:tr w14:paraId="3D61E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0ACE4115">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47</w:t>
            </w:r>
          </w:p>
        </w:tc>
        <w:tc>
          <w:tcPr>
            <w:tcW w:w="374" w:type="pct"/>
            <w:tcBorders>
              <w:tl2br w:val="nil"/>
              <w:tr2bl w:val="nil"/>
            </w:tcBorders>
            <w:shd w:val="clear" w:color="auto" w:fill="auto"/>
            <w:noWrap/>
            <w:vAlign w:val="center"/>
          </w:tcPr>
          <w:p w14:paraId="25A94F81">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6CBA3237">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noWrap/>
            <w:vAlign w:val="center"/>
          </w:tcPr>
          <w:p w14:paraId="4386DD32">
            <w:pPr>
              <w:widowControl/>
              <w:shd w:val="clear"/>
              <w:spacing w:line="240" w:lineRule="auto"/>
              <w:ind w:left="-120" w:leftChars="-50" w:right="-120" w:rightChars="-50" w:firstLine="0" w:firstLineChars="0"/>
              <w:jc w:val="center"/>
              <w:rPr>
                <w:rFonts w:ascii="Times New Roman" w:hAnsi="Times New Roman" w:cs="Times New Roman"/>
                <w:color w:val="auto"/>
                <w:sz w:val="21"/>
                <w:szCs w:val="21"/>
                <w:highlight w:val="none"/>
              </w:rPr>
            </w:pPr>
          </w:p>
        </w:tc>
        <w:tc>
          <w:tcPr>
            <w:tcW w:w="2818" w:type="pct"/>
            <w:tcBorders>
              <w:tl2br w:val="nil"/>
              <w:tr2bl w:val="nil"/>
            </w:tcBorders>
            <w:shd w:val="clear" w:color="auto" w:fill="auto"/>
            <w:noWrap/>
            <w:vAlign w:val="center"/>
          </w:tcPr>
          <w:p w14:paraId="3BFC8A82">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酸返皮带受料点，导料槽封闭，设置密闭吸尘罩，接入地沟除尘系统（槽下+返矿转运）</w:t>
            </w:r>
          </w:p>
        </w:tc>
      </w:tr>
      <w:tr w14:paraId="2A8A8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5C7B2EA3">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48</w:t>
            </w:r>
          </w:p>
        </w:tc>
        <w:tc>
          <w:tcPr>
            <w:tcW w:w="374" w:type="pct"/>
            <w:tcBorders>
              <w:tl2br w:val="nil"/>
              <w:tr2bl w:val="nil"/>
            </w:tcBorders>
            <w:shd w:val="clear" w:color="auto" w:fill="auto"/>
            <w:noWrap/>
            <w:vAlign w:val="center"/>
          </w:tcPr>
          <w:p w14:paraId="6B54FA4C">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130B6D35">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noWrap/>
            <w:vAlign w:val="center"/>
          </w:tcPr>
          <w:p w14:paraId="3BBD1420">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13#仓下振动筛出口溜槽上部</w:t>
            </w:r>
          </w:p>
        </w:tc>
        <w:tc>
          <w:tcPr>
            <w:tcW w:w="2818" w:type="pct"/>
            <w:tcBorders>
              <w:tl2br w:val="nil"/>
              <w:tr2bl w:val="nil"/>
            </w:tcBorders>
            <w:shd w:val="clear" w:color="auto" w:fill="auto"/>
            <w:noWrap/>
            <w:vAlign w:val="center"/>
          </w:tcPr>
          <w:p w14:paraId="470BFEFB">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振筛筛尾，封闭溜槽，设置密闭吸尘罩，接入地沟除尘系统（槽下+返矿转运）</w:t>
            </w:r>
          </w:p>
        </w:tc>
      </w:tr>
      <w:tr w14:paraId="416E9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62AFDFAE">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49</w:t>
            </w:r>
          </w:p>
        </w:tc>
        <w:tc>
          <w:tcPr>
            <w:tcW w:w="374" w:type="pct"/>
            <w:tcBorders>
              <w:tl2br w:val="nil"/>
              <w:tr2bl w:val="nil"/>
            </w:tcBorders>
            <w:shd w:val="clear" w:color="auto" w:fill="auto"/>
            <w:noWrap/>
            <w:vAlign w:val="center"/>
          </w:tcPr>
          <w:p w14:paraId="5D3C6D7D">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10BD2C1D">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noWrap/>
            <w:vAlign w:val="center"/>
          </w:tcPr>
          <w:p w14:paraId="4C477B3C">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13#仓下振动筛返料→碱返皮带及酸返皮带</w:t>
            </w:r>
          </w:p>
        </w:tc>
        <w:tc>
          <w:tcPr>
            <w:tcW w:w="2818" w:type="pct"/>
            <w:tcBorders>
              <w:tl2br w:val="nil"/>
              <w:tr2bl w:val="nil"/>
            </w:tcBorders>
            <w:shd w:val="clear" w:color="auto" w:fill="auto"/>
            <w:noWrap/>
            <w:vAlign w:val="center"/>
          </w:tcPr>
          <w:p w14:paraId="70B23276">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碱返皮带受料点，导料槽封闭，设置密闭吸尘罩，接入地沟除尘系统（槽下+返矿转运）</w:t>
            </w:r>
          </w:p>
        </w:tc>
      </w:tr>
      <w:tr w14:paraId="72CB4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46D7C6A4">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50</w:t>
            </w:r>
          </w:p>
        </w:tc>
        <w:tc>
          <w:tcPr>
            <w:tcW w:w="374" w:type="pct"/>
            <w:tcBorders>
              <w:tl2br w:val="nil"/>
              <w:tr2bl w:val="nil"/>
            </w:tcBorders>
            <w:shd w:val="clear" w:color="auto" w:fill="auto"/>
            <w:noWrap/>
            <w:vAlign w:val="center"/>
          </w:tcPr>
          <w:p w14:paraId="00FE8BAC">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59C03F24">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noWrap/>
            <w:vAlign w:val="center"/>
          </w:tcPr>
          <w:p w14:paraId="4B8A3B3C">
            <w:pPr>
              <w:widowControl/>
              <w:shd w:val="clear"/>
              <w:spacing w:line="240" w:lineRule="auto"/>
              <w:ind w:left="-120" w:leftChars="-50" w:right="-120" w:rightChars="-50" w:firstLine="0" w:firstLineChars="0"/>
              <w:jc w:val="center"/>
              <w:rPr>
                <w:rFonts w:ascii="Times New Roman" w:hAnsi="Times New Roman" w:cs="Times New Roman"/>
                <w:color w:val="auto"/>
                <w:sz w:val="21"/>
                <w:szCs w:val="21"/>
                <w:highlight w:val="none"/>
              </w:rPr>
            </w:pPr>
          </w:p>
        </w:tc>
        <w:tc>
          <w:tcPr>
            <w:tcW w:w="2818" w:type="pct"/>
            <w:tcBorders>
              <w:tl2br w:val="nil"/>
              <w:tr2bl w:val="nil"/>
            </w:tcBorders>
            <w:shd w:val="clear" w:color="auto" w:fill="auto"/>
            <w:noWrap/>
            <w:vAlign w:val="center"/>
          </w:tcPr>
          <w:p w14:paraId="3AA4F73F">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酸返皮带受料点，导料槽封闭，设置密闭吸尘罩，接入地沟除尘系统（槽下+返矿转运）</w:t>
            </w:r>
          </w:p>
        </w:tc>
      </w:tr>
      <w:tr w14:paraId="689F6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449174FF">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51</w:t>
            </w:r>
          </w:p>
        </w:tc>
        <w:tc>
          <w:tcPr>
            <w:tcW w:w="374" w:type="pct"/>
            <w:tcBorders>
              <w:tl2br w:val="nil"/>
              <w:tr2bl w:val="nil"/>
            </w:tcBorders>
            <w:shd w:val="clear" w:color="auto" w:fill="auto"/>
            <w:noWrap/>
            <w:vAlign w:val="center"/>
          </w:tcPr>
          <w:p w14:paraId="26FD39A9">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03921F6F">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noWrap/>
            <w:vAlign w:val="center"/>
          </w:tcPr>
          <w:p w14:paraId="72EA8ABC">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14#仓下振动筛出口溜槽上部</w:t>
            </w:r>
          </w:p>
        </w:tc>
        <w:tc>
          <w:tcPr>
            <w:tcW w:w="2818" w:type="pct"/>
            <w:tcBorders>
              <w:tl2br w:val="nil"/>
              <w:tr2bl w:val="nil"/>
            </w:tcBorders>
            <w:shd w:val="clear" w:color="auto" w:fill="auto"/>
            <w:noWrap/>
            <w:vAlign w:val="center"/>
          </w:tcPr>
          <w:p w14:paraId="55ACE9BB">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振筛筛尾，封闭溜槽，设置密闭吸尘罩，接入地沟除尘系统（槽下+返矿转运）</w:t>
            </w:r>
          </w:p>
        </w:tc>
      </w:tr>
      <w:tr w14:paraId="1787C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3E5357F3">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52</w:t>
            </w:r>
          </w:p>
        </w:tc>
        <w:tc>
          <w:tcPr>
            <w:tcW w:w="374" w:type="pct"/>
            <w:tcBorders>
              <w:tl2br w:val="nil"/>
              <w:tr2bl w:val="nil"/>
            </w:tcBorders>
            <w:shd w:val="clear" w:color="auto" w:fill="auto"/>
            <w:noWrap/>
            <w:vAlign w:val="center"/>
          </w:tcPr>
          <w:p w14:paraId="3B914551">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747E887E">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noWrap/>
            <w:vAlign w:val="center"/>
          </w:tcPr>
          <w:p w14:paraId="5521F33D">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14#仓下振动筛返料→碱返皮带及酸返皮带</w:t>
            </w:r>
          </w:p>
        </w:tc>
        <w:tc>
          <w:tcPr>
            <w:tcW w:w="2818" w:type="pct"/>
            <w:tcBorders>
              <w:tl2br w:val="nil"/>
              <w:tr2bl w:val="nil"/>
            </w:tcBorders>
            <w:shd w:val="clear" w:color="auto" w:fill="auto"/>
            <w:noWrap/>
            <w:vAlign w:val="center"/>
          </w:tcPr>
          <w:p w14:paraId="6DF274AB">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碱返皮带受料点，导料槽封闭，设置密闭吸尘罩，接入地沟除尘系统（槽下+返矿转运）</w:t>
            </w:r>
          </w:p>
        </w:tc>
      </w:tr>
      <w:tr w14:paraId="3FFFD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3E31B14B">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53</w:t>
            </w:r>
          </w:p>
        </w:tc>
        <w:tc>
          <w:tcPr>
            <w:tcW w:w="374" w:type="pct"/>
            <w:tcBorders>
              <w:tl2br w:val="nil"/>
              <w:tr2bl w:val="nil"/>
            </w:tcBorders>
            <w:shd w:val="clear" w:color="auto" w:fill="auto"/>
            <w:noWrap/>
            <w:vAlign w:val="center"/>
          </w:tcPr>
          <w:p w14:paraId="021EE024">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034F0223">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noWrap/>
            <w:vAlign w:val="center"/>
          </w:tcPr>
          <w:p w14:paraId="366B503E">
            <w:pPr>
              <w:widowControl/>
              <w:shd w:val="clear"/>
              <w:spacing w:line="240" w:lineRule="auto"/>
              <w:ind w:left="-120" w:leftChars="-50" w:right="-120" w:rightChars="-50" w:firstLine="0" w:firstLineChars="0"/>
              <w:jc w:val="center"/>
              <w:rPr>
                <w:rFonts w:ascii="Times New Roman" w:hAnsi="Times New Roman" w:cs="Times New Roman"/>
                <w:color w:val="auto"/>
                <w:sz w:val="21"/>
                <w:szCs w:val="21"/>
                <w:highlight w:val="none"/>
              </w:rPr>
            </w:pPr>
          </w:p>
        </w:tc>
        <w:tc>
          <w:tcPr>
            <w:tcW w:w="2818" w:type="pct"/>
            <w:tcBorders>
              <w:tl2br w:val="nil"/>
              <w:tr2bl w:val="nil"/>
            </w:tcBorders>
            <w:shd w:val="clear" w:color="auto" w:fill="auto"/>
            <w:noWrap/>
            <w:vAlign w:val="center"/>
          </w:tcPr>
          <w:p w14:paraId="4DF0D2DB">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酸返皮带受料点，导料槽封闭，设置密闭吸尘罩，接入地沟除尘系统（槽下+返矿转运）</w:t>
            </w:r>
          </w:p>
        </w:tc>
      </w:tr>
      <w:tr w14:paraId="66C1D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0D2066CB">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54</w:t>
            </w:r>
          </w:p>
        </w:tc>
        <w:tc>
          <w:tcPr>
            <w:tcW w:w="374" w:type="pct"/>
            <w:tcBorders>
              <w:tl2br w:val="nil"/>
              <w:tr2bl w:val="nil"/>
            </w:tcBorders>
            <w:shd w:val="clear" w:color="auto" w:fill="auto"/>
            <w:noWrap/>
            <w:vAlign w:val="center"/>
          </w:tcPr>
          <w:p w14:paraId="2D6FC6AC">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5AA1BA3B">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noWrap/>
            <w:vAlign w:val="center"/>
          </w:tcPr>
          <w:p w14:paraId="311FC1AA">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北上料皮带机头</w:t>
            </w:r>
          </w:p>
        </w:tc>
        <w:tc>
          <w:tcPr>
            <w:tcW w:w="2818" w:type="pct"/>
            <w:tcBorders>
              <w:tl2br w:val="nil"/>
              <w:tr2bl w:val="nil"/>
            </w:tcBorders>
            <w:shd w:val="clear" w:color="auto" w:fill="auto"/>
            <w:noWrap/>
            <w:vAlign w:val="center"/>
          </w:tcPr>
          <w:p w14:paraId="7F886128">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北上料皮带机头，皮带头罩封闭，设置密闭吸尘罩，接入地沟除尘系统（槽下+返矿转运）</w:t>
            </w:r>
          </w:p>
        </w:tc>
      </w:tr>
      <w:tr w14:paraId="33D98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2F8873B2">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55</w:t>
            </w:r>
          </w:p>
        </w:tc>
        <w:tc>
          <w:tcPr>
            <w:tcW w:w="374" w:type="pct"/>
            <w:tcBorders>
              <w:tl2br w:val="nil"/>
              <w:tr2bl w:val="nil"/>
            </w:tcBorders>
            <w:shd w:val="clear" w:color="auto" w:fill="auto"/>
            <w:noWrap/>
            <w:vAlign w:val="center"/>
          </w:tcPr>
          <w:p w14:paraId="01724DE5">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5D7FCA05">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noWrap/>
            <w:vAlign w:val="center"/>
          </w:tcPr>
          <w:p w14:paraId="2E125F0A">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南上料皮带机头</w:t>
            </w:r>
          </w:p>
        </w:tc>
        <w:tc>
          <w:tcPr>
            <w:tcW w:w="2818" w:type="pct"/>
            <w:tcBorders>
              <w:tl2br w:val="nil"/>
              <w:tr2bl w:val="nil"/>
            </w:tcBorders>
            <w:shd w:val="clear" w:color="auto" w:fill="auto"/>
            <w:noWrap/>
            <w:vAlign w:val="center"/>
          </w:tcPr>
          <w:p w14:paraId="7C3CACB3">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南上料皮带机头，皮带头罩封闭，设置密闭吸尘罩，接入地沟除尘系统（槽下+返矿转运）</w:t>
            </w:r>
          </w:p>
        </w:tc>
      </w:tr>
      <w:tr w14:paraId="1C617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586865A3">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56</w:t>
            </w:r>
          </w:p>
        </w:tc>
        <w:tc>
          <w:tcPr>
            <w:tcW w:w="374" w:type="pct"/>
            <w:tcBorders>
              <w:tl2br w:val="nil"/>
              <w:tr2bl w:val="nil"/>
            </w:tcBorders>
            <w:shd w:val="clear" w:color="auto" w:fill="auto"/>
            <w:noWrap/>
            <w:vAlign w:val="center"/>
          </w:tcPr>
          <w:p w14:paraId="64BDE124">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7AF284F7">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noWrap/>
            <w:vAlign w:val="center"/>
          </w:tcPr>
          <w:p w14:paraId="2050FC00">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碎铁上料</w:t>
            </w:r>
          </w:p>
        </w:tc>
        <w:tc>
          <w:tcPr>
            <w:tcW w:w="2818" w:type="pct"/>
            <w:tcBorders>
              <w:tl2br w:val="nil"/>
              <w:tr2bl w:val="nil"/>
            </w:tcBorders>
            <w:shd w:val="clear" w:color="auto" w:fill="auto"/>
            <w:noWrap/>
            <w:vAlign w:val="center"/>
          </w:tcPr>
          <w:p w14:paraId="777164BE">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碎铁上料皮带头，皮带头罩封闭，设置密闭吸尘罩，接入地沟除尘系统（槽下+返矿转运）</w:t>
            </w:r>
          </w:p>
        </w:tc>
      </w:tr>
      <w:tr w14:paraId="634CD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1FEAE95B">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57</w:t>
            </w:r>
          </w:p>
        </w:tc>
        <w:tc>
          <w:tcPr>
            <w:tcW w:w="374" w:type="pct"/>
            <w:tcBorders>
              <w:tl2br w:val="nil"/>
              <w:tr2bl w:val="nil"/>
            </w:tcBorders>
            <w:shd w:val="clear" w:color="auto" w:fill="auto"/>
            <w:noWrap/>
            <w:vAlign w:val="center"/>
          </w:tcPr>
          <w:p w14:paraId="7481EB42">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011BF64B">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noWrap/>
            <w:vAlign w:val="center"/>
          </w:tcPr>
          <w:p w14:paraId="412F6884">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南焦筛（振筛本体、振筛出料溜槽、振筛筛下碎焦料斗）</w:t>
            </w:r>
          </w:p>
        </w:tc>
        <w:tc>
          <w:tcPr>
            <w:tcW w:w="2818" w:type="pct"/>
            <w:tcBorders>
              <w:tl2br w:val="nil"/>
              <w:tr2bl w:val="nil"/>
            </w:tcBorders>
            <w:shd w:val="clear" w:color="auto" w:fill="auto"/>
            <w:noWrap/>
            <w:vAlign w:val="center"/>
          </w:tcPr>
          <w:p w14:paraId="1E894421">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振筛筛尾，封闭溜槽，设置密闭吸尘罩，接入地沟除尘系统（槽下+返矿转运）</w:t>
            </w:r>
          </w:p>
        </w:tc>
      </w:tr>
      <w:tr w14:paraId="50462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04621803">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58</w:t>
            </w:r>
          </w:p>
        </w:tc>
        <w:tc>
          <w:tcPr>
            <w:tcW w:w="374" w:type="pct"/>
            <w:tcBorders>
              <w:tl2br w:val="nil"/>
              <w:tr2bl w:val="nil"/>
            </w:tcBorders>
            <w:shd w:val="clear" w:color="auto" w:fill="auto"/>
            <w:noWrap/>
            <w:vAlign w:val="center"/>
          </w:tcPr>
          <w:p w14:paraId="1E90E688">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5AB2058D">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高炉矿槽槽下地沟</w:t>
            </w:r>
          </w:p>
        </w:tc>
        <w:tc>
          <w:tcPr>
            <w:tcW w:w="1056" w:type="pct"/>
            <w:tcBorders>
              <w:tl2br w:val="nil"/>
              <w:tr2bl w:val="nil"/>
            </w:tcBorders>
            <w:shd w:val="clear" w:color="auto" w:fill="auto"/>
            <w:vAlign w:val="center"/>
          </w:tcPr>
          <w:p w14:paraId="069EAEA3">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料坑内矿石称量斗</w:t>
            </w:r>
          </w:p>
        </w:tc>
        <w:tc>
          <w:tcPr>
            <w:tcW w:w="2818" w:type="pct"/>
            <w:tcBorders>
              <w:tl2br w:val="nil"/>
              <w:tr2bl w:val="nil"/>
            </w:tcBorders>
            <w:shd w:val="clear" w:color="auto" w:fill="auto"/>
            <w:vAlign w:val="center"/>
          </w:tcPr>
          <w:p w14:paraId="22F2A892">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料坑内矿石称量斗顶部，设置密闭吸尘罩，接入地沟除尘系统（槽下+返矿转运）</w:t>
            </w:r>
          </w:p>
        </w:tc>
      </w:tr>
      <w:tr w14:paraId="3C7C1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49849DA4">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59</w:t>
            </w:r>
          </w:p>
        </w:tc>
        <w:tc>
          <w:tcPr>
            <w:tcW w:w="374" w:type="pct"/>
            <w:tcBorders>
              <w:tl2br w:val="nil"/>
              <w:tr2bl w:val="nil"/>
            </w:tcBorders>
            <w:shd w:val="clear" w:color="auto" w:fill="auto"/>
            <w:noWrap/>
            <w:vAlign w:val="center"/>
          </w:tcPr>
          <w:p w14:paraId="60845955">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570E790A">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noWrap/>
            <w:vAlign w:val="center"/>
          </w:tcPr>
          <w:p w14:paraId="2AF35557">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北焦筛（振筛本体、振筛出料溜槽、振筛筛下碎焦料斗）</w:t>
            </w:r>
          </w:p>
        </w:tc>
        <w:tc>
          <w:tcPr>
            <w:tcW w:w="2818" w:type="pct"/>
            <w:tcBorders>
              <w:tl2br w:val="nil"/>
              <w:tr2bl w:val="nil"/>
            </w:tcBorders>
            <w:shd w:val="clear" w:color="auto" w:fill="auto"/>
            <w:noWrap/>
            <w:vAlign w:val="center"/>
          </w:tcPr>
          <w:p w14:paraId="6DE1F5AD">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振筛筛尾，封闭溜槽，设置密闭吸尘罩，接入地沟除尘系统（槽下+返矿转运）</w:t>
            </w:r>
          </w:p>
        </w:tc>
      </w:tr>
      <w:tr w14:paraId="55B04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42430348">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60</w:t>
            </w:r>
          </w:p>
        </w:tc>
        <w:tc>
          <w:tcPr>
            <w:tcW w:w="374" w:type="pct"/>
            <w:tcBorders>
              <w:tl2br w:val="nil"/>
              <w:tr2bl w:val="nil"/>
            </w:tcBorders>
            <w:shd w:val="clear" w:color="auto" w:fill="auto"/>
            <w:noWrap/>
            <w:vAlign w:val="center"/>
          </w:tcPr>
          <w:p w14:paraId="5289F445">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14AD550B">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高炉矿槽槽下地沟</w:t>
            </w:r>
          </w:p>
        </w:tc>
        <w:tc>
          <w:tcPr>
            <w:tcW w:w="1056" w:type="pct"/>
            <w:tcBorders>
              <w:tl2br w:val="nil"/>
              <w:tr2bl w:val="nil"/>
            </w:tcBorders>
            <w:shd w:val="clear" w:color="auto" w:fill="auto"/>
            <w:noWrap/>
            <w:vAlign w:val="center"/>
          </w:tcPr>
          <w:p w14:paraId="62C902CC">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料坑内矿石料坑顶部卸料点</w:t>
            </w:r>
          </w:p>
        </w:tc>
        <w:tc>
          <w:tcPr>
            <w:tcW w:w="2818" w:type="pct"/>
            <w:tcBorders>
              <w:tl2br w:val="nil"/>
              <w:tr2bl w:val="nil"/>
            </w:tcBorders>
            <w:shd w:val="clear" w:color="auto" w:fill="auto"/>
            <w:noWrap/>
            <w:vAlign w:val="center"/>
          </w:tcPr>
          <w:p w14:paraId="38193DC2">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料坑内矿石料坑顶部卸料点，顶部设置吸尘罩，接入地沟除尘系统（槽下+返矿转运）</w:t>
            </w:r>
          </w:p>
        </w:tc>
      </w:tr>
      <w:tr w14:paraId="6DFA7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77" w:type="pct"/>
            <w:tcBorders>
              <w:tl2br w:val="nil"/>
              <w:tr2bl w:val="nil"/>
            </w:tcBorders>
            <w:shd w:val="clear" w:color="auto" w:fill="auto"/>
            <w:vAlign w:val="center"/>
          </w:tcPr>
          <w:p w14:paraId="05F55915">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61</w:t>
            </w:r>
          </w:p>
        </w:tc>
        <w:tc>
          <w:tcPr>
            <w:tcW w:w="374" w:type="pct"/>
            <w:tcBorders>
              <w:tl2br w:val="nil"/>
              <w:tr2bl w:val="nil"/>
            </w:tcBorders>
            <w:shd w:val="clear" w:color="auto" w:fill="auto"/>
            <w:noWrap/>
            <w:vAlign w:val="center"/>
          </w:tcPr>
          <w:p w14:paraId="1AECB3F6">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135C9AB2">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高炉矿槽槽下地沟</w:t>
            </w:r>
          </w:p>
        </w:tc>
        <w:tc>
          <w:tcPr>
            <w:tcW w:w="1056" w:type="pct"/>
            <w:tcBorders>
              <w:tl2br w:val="nil"/>
              <w:tr2bl w:val="nil"/>
            </w:tcBorders>
            <w:shd w:val="clear" w:color="auto" w:fill="auto"/>
            <w:vAlign w:val="center"/>
          </w:tcPr>
          <w:p w14:paraId="4B49BE56">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料坑内南焦、北焦、矿石称量斗闸门卸料点</w:t>
            </w:r>
          </w:p>
        </w:tc>
        <w:tc>
          <w:tcPr>
            <w:tcW w:w="2818" w:type="pct"/>
            <w:tcBorders>
              <w:tl2br w:val="nil"/>
              <w:tr2bl w:val="nil"/>
            </w:tcBorders>
            <w:shd w:val="clear" w:color="auto" w:fill="auto"/>
            <w:vAlign w:val="center"/>
          </w:tcPr>
          <w:p w14:paraId="4D3B9818">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料坑内南焦、北焦、矿石称量斗闸门卸料点，顶部设置吸尘罩，接入地沟除尘系统（槽下+返矿转运）</w:t>
            </w:r>
          </w:p>
        </w:tc>
      </w:tr>
      <w:tr w14:paraId="1E641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77" w:type="pct"/>
            <w:tcBorders>
              <w:tl2br w:val="nil"/>
              <w:tr2bl w:val="nil"/>
            </w:tcBorders>
            <w:shd w:val="clear" w:color="auto" w:fill="auto"/>
            <w:vAlign w:val="center"/>
          </w:tcPr>
          <w:p w14:paraId="453852ED">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62</w:t>
            </w:r>
          </w:p>
        </w:tc>
        <w:tc>
          <w:tcPr>
            <w:tcW w:w="374" w:type="pct"/>
            <w:tcBorders>
              <w:tl2br w:val="nil"/>
              <w:tr2bl w:val="nil"/>
            </w:tcBorders>
            <w:shd w:val="clear" w:color="auto" w:fill="auto"/>
            <w:noWrap/>
            <w:vAlign w:val="center"/>
          </w:tcPr>
          <w:p w14:paraId="505A4999">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7DFB5159">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高炉矿槽槽下地沟</w:t>
            </w:r>
          </w:p>
        </w:tc>
        <w:tc>
          <w:tcPr>
            <w:tcW w:w="1056" w:type="pct"/>
            <w:tcBorders>
              <w:tl2br w:val="nil"/>
              <w:tr2bl w:val="nil"/>
            </w:tcBorders>
            <w:shd w:val="clear" w:color="auto" w:fill="auto"/>
            <w:vAlign w:val="center"/>
          </w:tcPr>
          <w:p w14:paraId="45251AF1">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料坑内南焦、北焦返焦料斗闸门卸料点上部侧面</w:t>
            </w:r>
          </w:p>
        </w:tc>
        <w:tc>
          <w:tcPr>
            <w:tcW w:w="2818" w:type="pct"/>
            <w:tcBorders>
              <w:tl2br w:val="nil"/>
              <w:tr2bl w:val="nil"/>
            </w:tcBorders>
            <w:shd w:val="clear" w:color="auto" w:fill="auto"/>
            <w:vAlign w:val="center"/>
          </w:tcPr>
          <w:p w14:paraId="66EB7635">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料坑内南焦、北焦、称量斗闸门卸料点上部侧面，顶部设置吸尘罩，接入地沟除尘系统（槽下+返矿转运）</w:t>
            </w:r>
          </w:p>
        </w:tc>
      </w:tr>
      <w:tr w14:paraId="26D04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77" w:type="pct"/>
            <w:tcBorders>
              <w:tl2br w:val="nil"/>
              <w:tr2bl w:val="nil"/>
            </w:tcBorders>
            <w:shd w:val="clear" w:color="auto" w:fill="auto"/>
            <w:vAlign w:val="center"/>
          </w:tcPr>
          <w:p w14:paraId="76DF51CF">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63</w:t>
            </w:r>
          </w:p>
        </w:tc>
        <w:tc>
          <w:tcPr>
            <w:tcW w:w="374" w:type="pct"/>
            <w:tcBorders>
              <w:tl2br w:val="nil"/>
              <w:tr2bl w:val="nil"/>
            </w:tcBorders>
            <w:shd w:val="clear" w:color="auto" w:fill="auto"/>
            <w:noWrap/>
            <w:vAlign w:val="center"/>
          </w:tcPr>
          <w:p w14:paraId="4CBA30B3">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0D0FC816">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高炉矿槽槽下地沟</w:t>
            </w:r>
          </w:p>
        </w:tc>
        <w:tc>
          <w:tcPr>
            <w:tcW w:w="1056" w:type="pct"/>
            <w:tcBorders>
              <w:tl2br w:val="nil"/>
              <w:tr2bl w:val="nil"/>
            </w:tcBorders>
            <w:shd w:val="clear" w:color="auto" w:fill="auto"/>
            <w:vAlign w:val="center"/>
          </w:tcPr>
          <w:p w14:paraId="6A30197D">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料坑内南焦、北焦返焦料斗卸料点上部楼板顶部</w:t>
            </w:r>
          </w:p>
        </w:tc>
        <w:tc>
          <w:tcPr>
            <w:tcW w:w="2818" w:type="pct"/>
            <w:tcBorders>
              <w:tl2br w:val="nil"/>
              <w:tr2bl w:val="nil"/>
            </w:tcBorders>
            <w:shd w:val="clear" w:color="auto" w:fill="auto"/>
            <w:vAlign w:val="center"/>
          </w:tcPr>
          <w:p w14:paraId="42572954">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料坑内南焦、北焦、称量斗闸门卸料点上部楼板顶部，顶部设置吸尘罩，接入地沟除尘系统（槽下+返矿转运）</w:t>
            </w:r>
          </w:p>
        </w:tc>
      </w:tr>
      <w:tr w14:paraId="13779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27A7C31C">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64</w:t>
            </w:r>
          </w:p>
        </w:tc>
        <w:tc>
          <w:tcPr>
            <w:tcW w:w="374" w:type="pct"/>
            <w:tcBorders>
              <w:tl2br w:val="nil"/>
              <w:tr2bl w:val="nil"/>
            </w:tcBorders>
            <w:shd w:val="clear" w:color="auto" w:fill="auto"/>
            <w:noWrap/>
            <w:vAlign w:val="center"/>
          </w:tcPr>
          <w:p w14:paraId="0B229A47">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0FD859A2">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vAlign w:val="center"/>
          </w:tcPr>
          <w:p w14:paraId="18DBB693">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42#、43#皮带机头缓冲仓→酸返皮带落料点</w:t>
            </w:r>
          </w:p>
        </w:tc>
        <w:tc>
          <w:tcPr>
            <w:tcW w:w="2818" w:type="pct"/>
            <w:tcBorders>
              <w:tl2br w:val="nil"/>
              <w:tr2bl w:val="nil"/>
            </w:tcBorders>
            <w:shd w:val="clear" w:color="auto" w:fill="auto"/>
            <w:vAlign w:val="center"/>
          </w:tcPr>
          <w:p w14:paraId="06969E23">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酸返皮带受料点，导料槽封闭，设置密闭吸尘罩，接入地沟除尘系统（槽下+返矿转运）</w:t>
            </w:r>
          </w:p>
        </w:tc>
      </w:tr>
      <w:tr w14:paraId="12E47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6E5CC178">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65</w:t>
            </w:r>
          </w:p>
        </w:tc>
        <w:tc>
          <w:tcPr>
            <w:tcW w:w="374" w:type="pct"/>
            <w:tcBorders>
              <w:tl2br w:val="nil"/>
              <w:tr2bl w:val="nil"/>
            </w:tcBorders>
            <w:shd w:val="clear" w:color="auto" w:fill="auto"/>
            <w:noWrap/>
            <w:vAlign w:val="center"/>
          </w:tcPr>
          <w:p w14:paraId="11C03BDB">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4A2DC3CB">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vAlign w:val="center"/>
          </w:tcPr>
          <w:p w14:paraId="3AAD8EFC">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42#、43#皮带机头缓冲仓→碱返皮带落料点</w:t>
            </w:r>
          </w:p>
        </w:tc>
        <w:tc>
          <w:tcPr>
            <w:tcW w:w="2818" w:type="pct"/>
            <w:tcBorders>
              <w:tl2br w:val="nil"/>
              <w:tr2bl w:val="nil"/>
            </w:tcBorders>
            <w:shd w:val="clear" w:color="auto" w:fill="auto"/>
            <w:vAlign w:val="center"/>
          </w:tcPr>
          <w:p w14:paraId="318BF813">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碱返皮带受料点，导料槽封闭，设置密闭吸尘罩，接入地沟除尘系统（槽下+返矿转运）</w:t>
            </w:r>
          </w:p>
        </w:tc>
      </w:tr>
      <w:tr w14:paraId="4D15D6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3ECCAFC6">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66</w:t>
            </w:r>
          </w:p>
        </w:tc>
        <w:tc>
          <w:tcPr>
            <w:tcW w:w="374" w:type="pct"/>
            <w:tcBorders>
              <w:tl2br w:val="nil"/>
              <w:tr2bl w:val="nil"/>
            </w:tcBorders>
            <w:shd w:val="clear" w:color="auto" w:fill="auto"/>
            <w:noWrap/>
            <w:vAlign w:val="center"/>
          </w:tcPr>
          <w:p w14:paraId="73BE37B7">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2094410D">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vAlign w:val="center"/>
          </w:tcPr>
          <w:p w14:paraId="4218C15E">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42#、43#皮带机头缓冲仓顶</w:t>
            </w:r>
          </w:p>
        </w:tc>
        <w:tc>
          <w:tcPr>
            <w:tcW w:w="2818" w:type="pct"/>
            <w:tcBorders>
              <w:tl2br w:val="nil"/>
              <w:tr2bl w:val="nil"/>
            </w:tcBorders>
            <w:shd w:val="clear" w:color="auto" w:fill="auto"/>
            <w:vAlign w:val="center"/>
          </w:tcPr>
          <w:p w14:paraId="49999860">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缓冲仓顶，设置密闭吸尘罩，接入地沟除尘系统（槽下+返矿转运）</w:t>
            </w:r>
          </w:p>
        </w:tc>
      </w:tr>
      <w:tr w14:paraId="624D9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669F8B17">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67</w:t>
            </w:r>
          </w:p>
        </w:tc>
        <w:tc>
          <w:tcPr>
            <w:tcW w:w="374" w:type="pct"/>
            <w:tcBorders>
              <w:tl2br w:val="nil"/>
              <w:tr2bl w:val="nil"/>
            </w:tcBorders>
            <w:shd w:val="clear" w:color="auto" w:fill="auto"/>
            <w:noWrap/>
            <w:vAlign w:val="center"/>
          </w:tcPr>
          <w:p w14:paraId="7A192ADC">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00FA8F56">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vAlign w:val="center"/>
          </w:tcPr>
          <w:p w14:paraId="7688DE7A">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返焦缓冲仓</w:t>
            </w:r>
          </w:p>
        </w:tc>
        <w:tc>
          <w:tcPr>
            <w:tcW w:w="2818" w:type="pct"/>
            <w:tcBorders>
              <w:tl2br w:val="nil"/>
              <w:tr2bl w:val="nil"/>
            </w:tcBorders>
            <w:shd w:val="clear" w:color="auto" w:fill="auto"/>
            <w:vAlign w:val="center"/>
          </w:tcPr>
          <w:p w14:paraId="1F526CF6">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仓下汽车受料，设置吸尘罩，接入地沟除尘系统（槽下+返矿转运）</w:t>
            </w:r>
          </w:p>
        </w:tc>
      </w:tr>
      <w:tr w14:paraId="08FD4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36148DE4">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68</w:t>
            </w:r>
          </w:p>
        </w:tc>
        <w:tc>
          <w:tcPr>
            <w:tcW w:w="374" w:type="pct"/>
            <w:tcBorders>
              <w:tl2br w:val="nil"/>
              <w:tr2bl w:val="nil"/>
            </w:tcBorders>
            <w:shd w:val="clear" w:color="auto" w:fill="auto"/>
            <w:noWrap/>
            <w:vAlign w:val="center"/>
          </w:tcPr>
          <w:p w14:paraId="24A79D7E">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2597FC4D">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vAlign w:val="center"/>
          </w:tcPr>
          <w:p w14:paraId="5124E50F">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酸返皮带头轮罩上部</w:t>
            </w:r>
          </w:p>
        </w:tc>
        <w:tc>
          <w:tcPr>
            <w:tcW w:w="2818" w:type="pct"/>
            <w:tcBorders>
              <w:tl2br w:val="nil"/>
              <w:tr2bl w:val="nil"/>
            </w:tcBorders>
            <w:shd w:val="clear" w:color="auto" w:fill="auto"/>
            <w:vAlign w:val="center"/>
          </w:tcPr>
          <w:p w14:paraId="02DD6633">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酸返皮带头轮罩上部，皮带头罩封闭，设置密闭吸尘罩，接入地沟除尘系统（槽下+返矿转运）</w:t>
            </w:r>
          </w:p>
        </w:tc>
      </w:tr>
      <w:tr w14:paraId="32D9CB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0CC96B57">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69</w:t>
            </w:r>
          </w:p>
        </w:tc>
        <w:tc>
          <w:tcPr>
            <w:tcW w:w="374" w:type="pct"/>
            <w:tcBorders>
              <w:tl2br w:val="nil"/>
              <w:tr2bl w:val="nil"/>
            </w:tcBorders>
            <w:shd w:val="clear" w:color="auto" w:fill="auto"/>
            <w:noWrap/>
            <w:vAlign w:val="center"/>
          </w:tcPr>
          <w:p w14:paraId="23B3CA13">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2EAFEBF3">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vAlign w:val="center"/>
          </w:tcPr>
          <w:p w14:paraId="3B064536">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碱返皮带头轮罩上部</w:t>
            </w:r>
          </w:p>
        </w:tc>
        <w:tc>
          <w:tcPr>
            <w:tcW w:w="2818" w:type="pct"/>
            <w:tcBorders>
              <w:tl2br w:val="nil"/>
              <w:tr2bl w:val="nil"/>
            </w:tcBorders>
            <w:shd w:val="clear" w:color="auto" w:fill="auto"/>
            <w:vAlign w:val="center"/>
          </w:tcPr>
          <w:p w14:paraId="19356FE7">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碱返皮带头轮罩上部，皮带头罩封闭，设置密闭吸尘罩，接入地沟除尘系统（槽下+返矿转运）</w:t>
            </w:r>
          </w:p>
        </w:tc>
      </w:tr>
      <w:tr w14:paraId="02D9E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2AAE4AFA">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70</w:t>
            </w:r>
          </w:p>
        </w:tc>
        <w:tc>
          <w:tcPr>
            <w:tcW w:w="374" w:type="pct"/>
            <w:tcBorders>
              <w:tl2br w:val="nil"/>
              <w:tr2bl w:val="nil"/>
            </w:tcBorders>
            <w:shd w:val="clear" w:color="auto" w:fill="auto"/>
            <w:noWrap/>
            <w:vAlign w:val="center"/>
          </w:tcPr>
          <w:p w14:paraId="07F991E2">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701AE1DE">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vAlign w:val="center"/>
          </w:tcPr>
          <w:p w14:paraId="7D5F800F">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酸返皮带→酸返垂直皮带</w:t>
            </w:r>
          </w:p>
        </w:tc>
        <w:tc>
          <w:tcPr>
            <w:tcW w:w="2818" w:type="pct"/>
            <w:tcBorders>
              <w:tl2br w:val="nil"/>
              <w:tr2bl w:val="nil"/>
            </w:tcBorders>
            <w:shd w:val="clear" w:color="auto" w:fill="auto"/>
            <w:vAlign w:val="center"/>
          </w:tcPr>
          <w:p w14:paraId="253FEC86">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酸返垂直皮带受料，导料槽封闭，设置密闭吸尘罩，接入地沟除尘系统（槽下+返矿转运）</w:t>
            </w:r>
          </w:p>
        </w:tc>
      </w:tr>
      <w:tr w14:paraId="55398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6CA5D31D">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71</w:t>
            </w:r>
          </w:p>
        </w:tc>
        <w:tc>
          <w:tcPr>
            <w:tcW w:w="374" w:type="pct"/>
            <w:tcBorders>
              <w:tl2br w:val="nil"/>
              <w:tr2bl w:val="nil"/>
            </w:tcBorders>
            <w:shd w:val="clear" w:color="auto" w:fill="auto"/>
            <w:noWrap/>
            <w:vAlign w:val="center"/>
          </w:tcPr>
          <w:p w14:paraId="63E26DBA">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noWrap/>
            <w:vAlign w:val="center"/>
          </w:tcPr>
          <w:p w14:paraId="57E89239">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高炉矿槽槽下</w:t>
            </w:r>
          </w:p>
        </w:tc>
        <w:tc>
          <w:tcPr>
            <w:tcW w:w="1056" w:type="pct"/>
            <w:tcBorders>
              <w:tl2br w:val="nil"/>
              <w:tr2bl w:val="nil"/>
            </w:tcBorders>
            <w:shd w:val="clear" w:color="auto" w:fill="auto"/>
            <w:vAlign w:val="center"/>
          </w:tcPr>
          <w:p w14:paraId="0560F94A">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碱返皮带→碱返垂直皮带</w:t>
            </w:r>
          </w:p>
        </w:tc>
        <w:tc>
          <w:tcPr>
            <w:tcW w:w="2818" w:type="pct"/>
            <w:tcBorders>
              <w:tl2br w:val="nil"/>
              <w:tr2bl w:val="nil"/>
            </w:tcBorders>
            <w:shd w:val="clear" w:color="auto" w:fill="auto"/>
            <w:vAlign w:val="center"/>
          </w:tcPr>
          <w:p w14:paraId="1431382B">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碱返垂直皮带受料，导料槽封闭，设置密闭吸尘罩，接入地沟除尘系统（槽下+返矿转运）</w:t>
            </w:r>
          </w:p>
        </w:tc>
      </w:tr>
      <w:tr w14:paraId="76680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0BD468F3">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72</w:t>
            </w:r>
          </w:p>
        </w:tc>
        <w:tc>
          <w:tcPr>
            <w:tcW w:w="374" w:type="pct"/>
            <w:tcBorders>
              <w:tl2br w:val="nil"/>
              <w:tr2bl w:val="nil"/>
            </w:tcBorders>
            <w:shd w:val="clear" w:color="auto" w:fill="auto"/>
            <w:noWrap/>
            <w:vAlign w:val="center"/>
          </w:tcPr>
          <w:p w14:paraId="4E854070">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vAlign w:val="center"/>
          </w:tcPr>
          <w:p w14:paraId="6BC7D57D">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新建酸碱返仓</w:t>
            </w:r>
          </w:p>
        </w:tc>
        <w:tc>
          <w:tcPr>
            <w:tcW w:w="1056" w:type="pct"/>
            <w:tcBorders>
              <w:tl2br w:val="nil"/>
              <w:tr2bl w:val="nil"/>
            </w:tcBorders>
            <w:shd w:val="clear" w:color="auto" w:fill="auto"/>
            <w:vAlign w:val="center"/>
          </w:tcPr>
          <w:p w14:paraId="0022C27D">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酸返垂直皮带头轮罩上部</w:t>
            </w:r>
          </w:p>
        </w:tc>
        <w:tc>
          <w:tcPr>
            <w:tcW w:w="2818" w:type="pct"/>
            <w:tcBorders>
              <w:tl2br w:val="nil"/>
              <w:tr2bl w:val="nil"/>
            </w:tcBorders>
            <w:shd w:val="clear" w:color="auto" w:fill="auto"/>
            <w:vAlign w:val="center"/>
          </w:tcPr>
          <w:p w14:paraId="0A418208">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皮带头轮罩上部，皮带头罩封闭，设置密闭吸尘罩，接入地沟除尘系统（槽下+返矿转运）</w:t>
            </w:r>
          </w:p>
        </w:tc>
      </w:tr>
      <w:tr w14:paraId="3ADBC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vAlign w:val="center"/>
          </w:tcPr>
          <w:p w14:paraId="7C1B88E3">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74</w:t>
            </w:r>
          </w:p>
        </w:tc>
        <w:tc>
          <w:tcPr>
            <w:tcW w:w="374" w:type="pct"/>
            <w:tcBorders>
              <w:tl2br w:val="nil"/>
              <w:tr2bl w:val="nil"/>
            </w:tcBorders>
            <w:shd w:val="clear" w:color="auto" w:fill="auto"/>
            <w:noWrap/>
            <w:vAlign w:val="center"/>
          </w:tcPr>
          <w:p w14:paraId="44DF4075">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高炉区域</w:t>
            </w:r>
          </w:p>
        </w:tc>
        <w:tc>
          <w:tcPr>
            <w:tcW w:w="572" w:type="pct"/>
            <w:tcBorders>
              <w:tl2br w:val="nil"/>
              <w:tr2bl w:val="nil"/>
            </w:tcBorders>
            <w:shd w:val="clear" w:color="auto" w:fill="auto"/>
            <w:vAlign w:val="center"/>
          </w:tcPr>
          <w:p w14:paraId="08208359">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新建酸碱返仓</w:t>
            </w:r>
          </w:p>
        </w:tc>
        <w:tc>
          <w:tcPr>
            <w:tcW w:w="1056" w:type="pct"/>
            <w:tcBorders>
              <w:tl2br w:val="nil"/>
              <w:tr2bl w:val="nil"/>
            </w:tcBorders>
            <w:shd w:val="clear" w:color="auto" w:fill="auto"/>
            <w:vAlign w:val="center"/>
          </w:tcPr>
          <w:p w14:paraId="27843961">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碱返垂直皮带头轮罩上部</w:t>
            </w:r>
          </w:p>
        </w:tc>
        <w:tc>
          <w:tcPr>
            <w:tcW w:w="2818" w:type="pct"/>
            <w:tcBorders>
              <w:tl2br w:val="nil"/>
              <w:tr2bl w:val="nil"/>
            </w:tcBorders>
            <w:shd w:val="clear" w:color="auto" w:fill="auto"/>
            <w:vAlign w:val="center"/>
          </w:tcPr>
          <w:p w14:paraId="70F32131">
            <w:pPr>
              <w:widowControl/>
              <w:shd w:val="clear"/>
              <w:spacing w:line="240" w:lineRule="auto"/>
              <w:ind w:left="-120" w:leftChars="-50" w:right="-120" w:rightChars="-50"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皮带头轮罩上部，皮带头罩封闭，设置密闭吸尘罩，接入地沟除尘系统（槽下+返矿转运）</w:t>
            </w:r>
          </w:p>
        </w:tc>
      </w:tr>
    </w:tbl>
    <w:p w14:paraId="31A20C5B">
      <w:pPr>
        <w:shd w:val="clear"/>
        <w:spacing w:after="120" w:line="240" w:lineRule="auto"/>
        <w:ind w:firstLine="280" w:firstLineChars="100"/>
        <w:rPr>
          <w:rFonts w:ascii="Times New Roman" w:hAnsi="Times New Roman" w:cs="Times New Roman"/>
          <w:color w:val="auto"/>
          <w:sz w:val="28"/>
          <w:highlight w:val="none"/>
        </w:rPr>
      </w:pPr>
    </w:p>
    <w:p w14:paraId="64E5BE8F">
      <w:pPr>
        <w:shd w:val="clear"/>
        <w:rPr>
          <w:color w:val="auto"/>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3BEE64EF">
      <w:pPr>
        <w:keepNext/>
        <w:keepLines/>
        <w:numPr>
          <w:ilvl w:val="2"/>
          <w:numId w:val="0"/>
        </w:numPr>
        <w:shd w:val="clear"/>
        <w:adjustRightInd w:val="0"/>
        <w:spacing w:before="120"/>
        <w:textAlignment w:val="baseline"/>
        <w:outlineLvl w:val="2"/>
        <w:rPr>
          <w:rFonts w:ascii="Times New Roman" w:hAnsi="Times New Roman" w:cs="Times New Roman"/>
          <w:bCs/>
          <w:color w:val="auto"/>
          <w:highlight w:val="none"/>
        </w:rPr>
      </w:pPr>
      <w:r>
        <w:rPr>
          <w:rFonts w:ascii="Times New Roman" w:hAnsi="Times New Roman" w:cs="Times New Roman"/>
          <w:bCs/>
          <w:color w:val="auto"/>
          <w:highlight w:val="none"/>
        </w:rPr>
        <w:t>1</w:t>
      </w:r>
      <w:r>
        <w:rPr>
          <w:rFonts w:hint="eastAsia" w:ascii="Times New Roman" w:hAnsi="Times New Roman" w:cs="Times New Roman"/>
          <w:bCs/>
          <w:color w:val="auto"/>
          <w:highlight w:val="none"/>
        </w:rPr>
        <w:t>5</w:t>
      </w:r>
      <w:r>
        <w:rPr>
          <w:rFonts w:ascii="Times New Roman" w:hAnsi="Times New Roman" w:cs="Times New Roman"/>
          <w:bCs/>
          <w:color w:val="auto"/>
          <w:highlight w:val="none"/>
        </w:rPr>
        <w:t>.3.2</w:t>
      </w:r>
      <w:r>
        <w:rPr>
          <w:rFonts w:hint="eastAsia" w:ascii="Times New Roman" w:hAnsi="Times New Roman" w:cs="Times New Roman"/>
          <w:bCs/>
          <w:color w:val="auto"/>
          <w:highlight w:val="none"/>
        </w:rPr>
        <w:t>废水</w:t>
      </w:r>
      <w:bookmarkEnd w:id="1686"/>
    </w:p>
    <w:p w14:paraId="3A1C561B">
      <w:pPr>
        <w:shd w:val="clear"/>
        <w:autoSpaceDE w:val="0"/>
        <w:autoSpaceDN w:val="0"/>
        <w:rPr>
          <w:rFonts w:ascii="Times New Roman" w:hAnsi="Times New Roman" w:cs="Times New Roman"/>
          <w:bCs/>
          <w:color w:val="auto"/>
          <w:kern w:val="0"/>
          <w:szCs w:val="22"/>
          <w:highlight w:val="none"/>
          <w:lang w:bidi="zh-CN"/>
        </w:rPr>
      </w:pPr>
      <w:bookmarkStart w:id="1687" w:name="_Toc12808"/>
      <w:r>
        <w:rPr>
          <w:rFonts w:hint="eastAsia" w:ascii="Times New Roman" w:hAnsi="Times New Roman" w:cs="Times New Roman"/>
          <w:bCs/>
          <w:color w:val="auto"/>
          <w:kern w:val="0"/>
          <w:szCs w:val="22"/>
          <w:highlight w:val="none"/>
          <w:lang w:bidi="zh-CN"/>
        </w:rPr>
        <w:t>（1）软水密闭循环冷却水</w:t>
      </w:r>
    </w:p>
    <w:p w14:paraId="01642297">
      <w:pPr>
        <w:shd w:val="clear"/>
        <w:autoSpaceDE w:val="0"/>
        <w:autoSpaceDN w:val="0"/>
        <w:rPr>
          <w:rFonts w:ascii="Times New Roman" w:hAnsi="Times New Roman" w:cs="Times New Roman"/>
          <w:bCs/>
          <w:color w:val="auto"/>
          <w:kern w:val="0"/>
          <w:szCs w:val="22"/>
          <w:highlight w:val="none"/>
          <w:lang w:bidi="zh-CN"/>
        </w:rPr>
      </w:pPr>
      <w:r>
        <w:rPr>
          <w:rFonts w:hint="eastAsia" w:ascii="Times New Roman" w:hAnsi="Times New Roman" w:cs="Times New Roman"/>
          <w:bCs/>
          <w:color w:val="auto"/>
          <w:kern w:val="0"/>
          <w:szCs w:val="22"/>
          <w:highlight w:val="none"/>
          <w:lang w:bidi="zh-CN"/>
        </w:rPr>
        <w:t>高炉炉体采用联合软水密闭循环系统冷却，使用后的水回到软水泵房，经过二次冷却，再循环使用。</w:t>
      </w:r>
    </w:p>
    <w:p w14:paraId="40657962">
      <w:pPr>
        <w:shd w:val="clear"/>
        <w:autoSpaceDE w:val="0"/>
        <w:autoSpaceDN w:val="0"/>
        <w:rPr>
          <w:rFonts w:ascii="Times New Roman" w:hAnsi="Times New Roman" w:cs="Times New Roman"/>
          <w:bCs/>
          <w:color w:val="auto"/>
          <w:kern w:val="0"/>
          <w:szCs w:val="22"/>
          <w:highlight w:val="none"/>
          <w:lang w:bidi="zh-CN"/>
        </w:rPr>
      </w:pPr>
      <w:r>
        <w:rPr>
          <w:rFonts w:hint="eastAsia" w:ascii="Times New Roman" w:hAnsi="Times New Roman" w:cs="Times New Roman"/>
          <w:bCs/>
          <w:color w:val="auto"/>
          <w:kern w:val="0"/>
          <w:szCs w:val="22"/>
          <w:highlight w:val="none"/>
          <w:lang w:bidi="zh-CN"/>
        </w:rPr>
        <w:t>（2）净环水</w:t>
      </w:r>
    </w:p>
    <w:p w14:paraId="7120DB7B">
      <w:pPr>
        <w:shd w:val="clear"/>
        <w:autoSpaceDE w:val="0"/>
        <w:autoSpaceDN w:val="0"/>
        <w:rPr>
          <w:rFonts w:ascii="Times New Roman" w:hAnsi="Times New Roman" w:cs="Times New Roman"/>
          <w:bCs/>
          <w:color w:val="auto"/>
          <w:kern w:val="0"/>
          <w:szCs w:val="22"/>
          <w:highlight w:val="none"/>
          <w:lang w:bidi="zh-CN"/>
        </w:rPr>
      </w:pPr>
      <w:r>
        <w:rPr>
          <w:rFonts w:hint="eastAsia" w:ascii="Times New Roman" w:hAnsi="Times New Roman" w:cs="Times New Roman"/>
          <w:bCs/>
          <w:color w:val="auto"/>
          <w:kern w:val="0"/>
          <w:szCs w:val="22"/>
          <w:highlight w:val="none"/>
          <w:lang w:bidi="zh-CN"/>
        </w:rPr>
        <w:t>净环水排水排往现有的全厂生产废水排水管网，送至酒钢全厂生产废水处理站统一处理后，再循环使用。</w:t>
      </w:r>
    </w:p>
    <w:p w14:paraId="763CA517">
      <w:pPr>
        <w:shd w:val="clear"/>
        <w:autoSpaceDE w:val="0"/>
        <w:autoSpaceDN w:val="0"/>
        <w:rPr>
          <w:rFonts w:ascii="Times New Roman" w:hAnsi="Times New Roman" w:cs="Times New Roman"/>
          <w:bCs/>
          <w:color w:val="auto"/>
          <w:kern w:val="0"/>
          <w:szCs w:val="22"/>
          <w:highlight w:val="none"/>
          <w:lang w:bidi="zh-CN"/>
        </w:rPr>
      </w:pPr>
      <w:r>
        <w:rPr>
          <w:rFonts w:hint="eastAsia" w:ascii="Times New Roman" w:hAnsi="Times New Roman" w:cs="Times New Roman"/>
          <w:bCs/>
          <w:color w:val="auto"/>
          <w:kern w:val="0"/>
          <w:szCs w:val="22"/>
          <w:highlight w:val="none"/>
          <w:lang w:bidi="zh-CN"/>
        </w:rPr>
        <w:t>（3）高炉冲渣水</w:t>
      </w:r>
    </w:p>
    <w:p w14:paraId="36540B98">
      <w:pPr>
        <w:shd w:val="clear"/>
        <w:autoSpaceDE w:val="0"/>
        <w:autoSpaceDN w:val="0"/>
        <w:rPr>
          <w:rFonts w:ascii="Times New Roman" w:hAnsi="Times New Roman" w:cs="Times New Roman"/>
          <w:bCs/>
          <w:color w:val="auto"/>
          <w:kern w:val="0"/>
          <w:szCs w:val="22"/>
          <w:highlight w:val="none"/>
          <w:lang w:bidi="zh-CN"/>
        </w:rPr>
      </w:pPr>
      <w:r>
        <w:rPr>
          <w:rFonts w:hint="eastAsia" w:ascii="Times New Roman" w:hAnsi="Times New Roman" w:cs="Times New Roman"/>
          <w:bCs/>
          <w:color w:val="auto"/>
          <w:kern w:val="0"/>
          <w:szCs w:val="22"/>
          <w:highlight w:val="none"/>
          <w:lang w:bidi="zh-CN"/>
        </w:rPr>
        <w:t>高炉冲渣水由粒化泵组供给粒化装置，粒化后的水自流入转鼓，经转鼓过滤后进入热水槽；热水槽内粒化水循环使用，生产过程无污水排出。</w:t>
      </w:r>
    </w:p>
    <w:p w14:paraId="2BE88943">
      <w:pPr>
        <w:shd w:val="clear"/>
        <w:autoSpaceDE w:val="0"/>
        <w:autoSpaceDN w:val="0"/>
        <w:rPr>
          <w:rFonts w:ascii="Times New Roman" w:hAnsi="Times New Roman" w:cs="Times New Roman"/>
          <w:bCs/>
          <w:color w:val="auto"/>
          <w:kern w:val="0"/>
          <w:szCs w:val="22"/>
          <w:highlight w:val="none"/>
          <w:lang w:bidi="zh-CN"/>
        </w:rPr>
      </w:pPr>
      <w:r>
        <w:rPr>
          <w:rFonts w:hint="eastAsia" w:ascii="Times New Roman" w:hAnsi="Times New Roman" w:cs="Times New Roman"/>
          <w:bCs/>
          <w:color w:val="auto"/>
          <w:kern w:val="0"/>
          <w:szCs w:val="22"/>
          <w:highlight w:val="none"/>
          <w:lang w:bidi="zh-CN"/>
        </w:rPr>
        <w:t>（4）生活污水</w:t>
      </w:r>
    </w:p>
    <w:p w14:paraId="273DFC9B">
      <w:pPr>
        <w:shd w:val="clear"/>
        <w:autoSpaceDE w:val="0"/>
        <w:autoSpaceDN w:val="0"/>
        <w:rPr>
          <w:rFonts w:ascii="Times New Roman" w:hAnsi="Times New Roman" w:cs="Times New Roman"/>
          <w:bCs/>
          <w:color w:val="auto"/>
          <w:kern w:val="0"/>
          <w:szCs w:val="22"/>
          <w:highlight w:val="none"/>
          <w:lang w:bidi="zh-CN"/>
        </w:rPr>
      </w:pPr>
      <w:r>
        <w:rPr>
          <w:rFonts w:hint="eastAsia" w:ascii="Times New Roman" w:hAnsi="Times New Roman" w:cs="Times New Roman"/>
          <w:bCs/>
          <w:color w:val="auto"/>
          <w:kern w:val="0"/>
          <w:szCs w:val="22"/>
          <w:highlight w:val="none"/>
          <w:lang w:bidi="zh-CN"/>
        </w:rPr>
        <w:t>本项目生活卫生设施产生生活污水，主要含COD约350mg/L，BOD</w:t>
      </w:r>
      <w:r>
        <w:rPr>
          <w:rFonts w:hint="eastAsia" w:ascii="Times New Roman" w:hAnsi="Times New Roman" w:cs="Times New Roman"/>
          <w:bCs/>
          <w:color w:val="auto"/>
          <w:kern w:val="0"/>
          <w:szCs w:val="22"/>
          <w:highlight w:val="none"/>
          <w:vertAlign w:val="subscript"/>
          <w:lang w:bidi="zh-CN"/>
        </w:rPr>
        <w:t>5</w:t>
      </w:r>
      <w:r>
        <w:rPr>
          <w:rFonts w:hint="eastAsia" w:ascii="Times New Roman" w:hAnsi="Times New Roman" w:cs="Times New Roman"/>
          <w:bCs/>
          <w:color w:val="auto"/>
          <w:kern w:val="0"/>
          <w:szCs w:val="22"/>
          <w:highlight w:val="none"/>
          <w:lang w:bidi="zh-CN"/>
        </w:rPr>
        <w:t>约250mg/L，SS约300mg/L，氨氮40mg/L，经化粪池处理后，排入厂区生活污水管，送至酒钢污水处理厂统一处理。</w:t>
      </w:r>
    </w:p>
    <w:p w14:paraId="57CE0EEE">
      <w:pPr>
        <w:shd w:val="clear"/>
        <w:autoSpaceDE w:val="0"/>
        <w:autoSpaceDN w:val="0"/>
        <w:rPr>
          <w:rFonts w:ascii="Times New Roman" w:hAnsi="Times New Roman" w:cs="Times New Roman"/>
          <w:bCs/>
          <w:color w:val="auto"/>
          <w:kern w:val="0"/>
          <w:szCs w:val="22"/>
          <w:highlight w:val="none"/>
          <w:lang w:bidi="zh-CN"/>
        </w:rPr>
      </w:pPr>
      <w:r>
        <w:rPr>
          <w:rFonts w:hint="eastAsia" w:ascii="Times New Roman" w:hAnsi="Times New Roman" w:cs="Times New Roman"/>
          <w:bCs/>
          <w:color w:val="auto"/>
          <w:kern w:val="0"/>
          <w:szCs w:val="22"/>
          <w:highlight w:val="none"/>
          <w:lang w:bidi="zh-CN"/>
        </w:rPr>
        <w:t>（5）其他</w:t>
      </w:r>
    </w:p>
    <w:p w14:paraId="12F3738F">
      <w:pPr>
        <w:shd w:val="clear"/>
        <w:autoSpaceDE w:val="0"/>
        <w:autoSpaceDN w:val="0"/>
        <w:rPr>
          <w:rFonts w:ascii="Times New Roman" w:hAnsi="Times New Roman" w:cs="Times New Roman"/>
          <w:bCs/>
          <w:color w:val="auto"/>
          <w:kern w:val="0"/>
          <w:szCs w:val="22"/>
          <w:highlight w:val="none"/>
          <w:lang w:bidi="zh-CN"/>
        </w:rPr>
      </w:pPr>
      <w:r>
        <w:rPr>
          <w:rFonts w:hint="eastAsia" w:ascii="Times New Roman" w:hAnsi="Times New Roman" w:cs="Times New Roman"/>
          <w:bCs/>
          <w:color w:val="auto"/>
          <w:kern w:val="0"/>
          <w:szCs w:val="22"/>
          <w:highlight w:val="none"/>
          <w:lang w:bidi="zh-CN"/>
        </w:rPr>
        <w:t>高炉煤气管道及焦炉煤气管道产生含酚、氰废水，间断排出，用收集池收集后由抽水车定期送往宏翔能源有限公司酚氰废水处理系统集中处理。收集池底部及井壁均设防渗处理。</w:t>
      </w:r>
    </w:p>
    <w:p w14:paraId="188B1D42">
      <w:pPr>
        <w:shd w:val="clear"/>
        <w:autoSpaceDE w:val="0"/>
        <w:autoSpaceDN w:val="0"/>
        <w:rPr>
          <w:rFonts w:ascii="Times New Roman" w:hAnsi="Times New Roman" w:cs="Times New Roman"/>
          <w:bCs/>
          <w:color w:val="auto"/>
          <w:kern w:val="0"/>
          <w:szCs w:val="22"/>
          <w:highlight w:val="none"/>
          <w:lang w:bidi="zh-CN"/>
        </w:rPr>
      </w:pPr>
      <w:r>
        <w:rPr>
          <w:rFonts w:hint="eastAsia" w:ascii="Times New Roman" w:hAnsi="Times New Roman" w:cs="Times New Roman"/>
          <w:bCs/>
          <w:color w:val="auto"/>
          <w:kern w:val="0"/>
          <w:szCs w:val="22"/>
          <w:highlight w:val="none"/>
          <w:lang w:bidi="zh-CN"/>
        </w:rPr>
        <w:t>高炉区域各循环水系统的溢流水，收集后排入全厂生产废水排水管网，送至酒钢全厂生产废水处理站统一处理。</w:t>
      </w:r>
    </w:p>
    <w:p w14:paraId="24140F19">
      <w:pPr>
        <w:keepNext/>
        <w:keepLines/>
        <w:numPr>
          <w:ilvl w:val="2"/>
          <w:numId w:val="0"/>
        </w:numPr>
        <w:shd w:val="clear"/>
        <w:adjustRightInd w:val="0"/>
        <w:spacing w:before="120"/>
        <w:textAlignment w:val="baseline"/>
        <w:outlineLvl w:val="2"/>
        <w:rPr>
          <w:rFonts w:ascii="Times New Roman" w:hAnsi="Times New Roman" w:cs="Times New Roman"/>
          <w:bCs/>
          <w:color w:val="auto"/>
          <w:highlight w:val="none"/>
        </w:rPr>
      </w:pPr>
      <w:r>
        <w:rPr>
          <w:rFonts w:ascii="Times New Roman" w:hAnsi="Times New Roman" w:cs="Times New Roman"/>
          <w:bCs/>
          <w:color w:val="auto"/>
          <w:highlight w:val="none"/>
        </w:rPr>
        <w:t>1</w:t>
      </w:r>
      <w:r>
        <w:rPr>
          <w:rFonts w:hint="eastAsia" w:ascii="Times New Roman" w:hAnsi="Times New Roman" w:cs="Times New Roman"/>
          <w:bCs/>
          <w:color w:val="auto"/>
          <w:highlight w:val="none"/>
        </w:rPr>
        <w:t>5</w:t>
      </w:r>
      <w:r>
        <w:rPr>
          <w:rFonts w:ascii="Times New Roman" w:hAnsi="Times New Roman" w:cs="Times New Roman"/>
          <w:bCs/>
          <w:color w:val="auto"/>
          <w:highlight w:val="none"/>
        </w:rPr>
        <w:t>.3.3</w:t>
      </w:r>
      <w:r>
        <w:rPr>
          <w:rFonts w:hint="eastAsia" w:ascii="Times New Roman" w:hAnsi="Times New Roman" w:cs="Times New Roman"/>
          <w:bCs/>
          <w:color w:val="auto"/>
          <w:highlight w:val="none"/>
        </w:rPr>
        <w:t>固体废物</w:t>
      </w:r>
    </w:p>
    <w:p w14:paraId="75BF49C4">
      <w:pPr>
        <w:shd w:val="clear"/>
        <w:autoSpaceDE w:val="0"/>
        <w:autoSpaceDN w:val="0"/>
        <w:rPr>
          <w:rFonts w:ascii="Times New Roman" w:hAnsi="Times New Roman" w:cs="Times New Roman"/>
          <w:bCs/>
          <w:color w:val="auto"/>
          <w:kern w:val="0"/>
          <w:szCs w:val="22"/>
          <w:highlight w:val="none"/>
          <w:lang w:bidi="zh-CN"/>
        </w:rPr>
      </w:pPr>
      <w:r>
        <w:rPr>
          <w:rFonts w:hint="eastAsia" w:ascii="Times New Roman" w:hAnsi="Times New Roman" w:cs="Times New Roman"/>
          <w:bCs/>
          <w:color w:val="auto"/>
          <w:kern w:val="0"/>
          <w:szCs w:val="22"/>
          <w:highlight w:val="none"/>
          <w:lang w:bidi="zh-CN"/>
        </w:rPr>
        <w:t>（1）一般固体废物</w:t>
      </w:r>
    </w:p>
    <w:p w14:paraId="0309A6F3">
      <w:pPr>
        <w:shd w:val="clear"/>
        <w:autoSpaceDE w:val="0"/>
        <w:autoSpaceDN w:val="0"/>
        <w:rPr>
          <w:rFonts w:ascii="Times New Roman" w:hAnsi="Times New Roman" w:cs="Times New Roman"/>
          <w:bCs/>
          <w:color w:val="auto"/>
          <w:kern w:val="0"/>
          <w:szCs w:val="22"/>
          <w:highlight w:val="none"/>
          <w:lang w:bidi="zh-CN"/>
        </w:rPr>
      </w:pPr>
      <w:r>
        <w:rPr>
          <w:rFonts w:ascii="Times New Roman" w:hAnsi="Times New Roman" w:cs="Times New Roman"/>
          <w:bCs/>
          <w:color w:val="auto"/>
          <w:kern w:val="0"/>
          <w:szCs w:val="22"/>
          <w:highlight w:val="none"/>
          <w:lang w:bidi="zh-CN"/>
        </w:rPr>
        <w:t>高炉水渣（一般工业固废Ⅰ类）由汽车外运，外售用作生产水泥掺合料；</w:t>
      </w:r>
    </w:p>
    <w:p w14:paraId="6504D62E">
      <w:pPr>
        <w:shd w:val="clear"/>
        <w:autoSpaceDE w:val="0"/>
        <w:autoSpaceDN w:val="0"/>
        <w:rPr>
          <w:rFonts w:ascii="Times New Roman" w:hAnsi="Times New Roman" w:cs="Times New Roman"/>
          <w:bCs/>
          <w:color w:val="auto"/>
          <w:kern w:val="0"/>
          <w:szCs w:val="22"/>
          <w:highlight w:val="none"/>
          <w:lang w:bidi="zh-CN"/>
        </w:rPr>
      </w:pPr>
      <w:r>
        <w:rPr>
          <w:rFonts w:ascii="Times New Roman" w:hAnsi="Times New Roman" w:cs="Times New Roman"/>
          <w:bCs/>
          <w:color w:val="auto"/>
          <w:kern w:val="0"/>
          <w:szCs w:val="22"/>
          <w:highlight w:val="none"/>
          <w:lang w:bidi="zh-CN"/>
        </w:rPr>
        <w:t>粗煤气重力除尘灰（一般工业固废Ⅰ类）采用吸引压送密闭罐车外运至烧结工序进行综合利用；</w:t>
      </w:r>
    </w:p>
    <w:p w14:paraId="45557235">
      <w:pPr>
        <w:shd w:val="clear"/>
        <w:autoSpaceDE w:val="0"/>
        <w:autoSpaceDN w:val="0"/>
        <w:rPr>
          <w:rFonts w:ascii="Times New Roman" w:hAnsi="Times New Roman" w:cs="Times New Roman"/>
          <w:bCs/>
          <w:color w:val="auto"/>
          <w:kern w:val="0"/>
          <w:szCs w:val="22"/>
          <w:highlight w:val="none"/>
          <w:lang w:bidi="zh-CN"/>
        </w:rPr>
      </w:pPr>
      <w:r>
        <w:rPr>
          <w:rFonts w:ascii="Times New Roman" w:hAnsi="Times New Roman" w:cs="Times New Roman"/>
          <w:bCs/>
          <w:color w:val="auto"/>
          <w:kern w:val="0"/>
          <w:szCs w:val="22"/>
          <w:highlight w:val="none"/>
          <w:lang w:bidi="zh-CN"/>
        </w:rPr>
        <w:t>干法煤气布袋除尘灰（一般工业固废Ⅰ类）通过气力输灰装置输送至大灰仓储存，然后通过</w:t>
      </w:r>
      <w:r>
        <w:rPr>
          <w:rFonts w:hint="eastAsia" w:ascii="Times New Roman" w:hAnsi="Times New Roman" w:cs="Times New Roman"/>
          <w:bCs/>
          <w:color w:val="auto"/>
          <w:kern w:val="0"/>
          <w:szCs w:val="22"/>
          <w:highlight w:val="none"/>
          <w:lang w:bidi="zh-CN"/>
        </w:rPr>
        <w:t>双轴</w:t>
      </w:r>
      <w:r>
        <w:rPr>
          <w:rFonts w:ascii="Times New Roman" w:hAnsi="Times New Roman" w:cs="Times New Roman"/>
          <w:bCs/>
          <w:color w:val="auto"/>
          <w:kern w:val="0"/>
          <w:szCs w:val="22"/>
          <w:highlight w:val="none"/>
          <w:lang w:bidi="zh-CN"/>
        </w:rPr>
        <w:t>加湿搅拌机加湿卸灰，采用运灰车送至酒钢集团润源公司处理利用；</w:t>
      </w:r>
    </w:p>
    <w:p w14:paraId="093CFB5B">
      <w:pPr>
        <w:shd w:val="clear"/>
        <w:autoSpaceDE w:val="0"/>
        <w:autoSpaceDN w:val="0"/>
        <w:rPr>
          <w:rFonts w:ascii="Times New Roman" w:hAnsi="Times New Roman" w:cs="Times New Roman"/>
          <w:bCs/>
          <w:color w:val="auto"/>
          <w:kern w:val="0"/>
          <w:szCs w:val="22"/>
          <w:highlight w:val="none"/>
          <w:lang w:bidi="zh-CN"/>
        </w:rPr>
      </w:pPr>
      <w:r>
        <w:rPr>
          <w:rFonts w:ascii="Times New Roman" w:hAnsi="Times New Roman" w:cs="Times New Roman"/>
          <w:bCs/>
          <w:color w:val="auto"/>
          <w:kern w:val="0"/>
          <w:szCs w:val="22"/>
          <w:highlight w:val="none"/>
          <w:lang w:bidi="zh-CN"/>
        </w:rPr>
        <w:t>环境除尘灰（一般工业固废Ⅰ类）采用吸排罐车外运烧结工序进行综合利用；</w:t>
      </w:r>
    </w:p>
    <w:p w14:paraId="68449D6D">
      <w:pPr>
        <w:shd w:val="clear"/>
        <w:autoSpaceDE w:val="0"/>
        <w:autoSpaceDN w:val="0"/>
        <w:rPr>
          <w:rFonts w:ascii="Times New Roman" w:hAnsi="Times New Roman" w:cs="Times New Roman"/>
          <w:bCs/>
          <w:color w:val="auto"/>
          <w:kern w:val="0"/>
          <w:szCs w:val="22"/>
          <w:highlight w:val="none"/>
          <w:lang w:bidi="zh-CN"/>
        </w:rPr>
      </w:pPr>
      <w:r>
        <w:rPr>
          <w:rFonts w:ascii="Times New Roman" w:hAnsi="Times New Roman" w:cs="Times New Roman"/>
          <w:bCs/>
          <w:color w:val="auto"/>
          <w:kern w:val="0"/>
          <w:szCs w:val="22"/>
          <w:highlight w:val="none"/>
          <w:lang w:bidi="zh-CN"/>
        </w:rPr>
        <w:t>废耐火材料（一般工业固废Ⅰ类）由耐火材料公司回收利用。</w:t>
      </w:r>
    </w:p>
    <w:p w14:paraId="4CA7621B">
      <w:pPr>
        <w:shd w:val="clear"/>
        <w:autoSpaceDE w:val="0"/>
        <w:autoSpaceDN w:val="0"/>
        <w:rPr>
          <w:rFonts w:ascii="Times New Roman" w:hAnsi="Times New Roman" w:cs="Times New Roman"/>
          <w:bCs/>
          <w:color w:val="auto"/>
          <w:kern w:val="0"/>
          <w:szCs w:val="22"/>
          <w:highlight w:val="none"/>
          <w:lang w:bidi="zh-CN"/>
        </w:rPr>
      </w:pPr>
      <w:r>
        <w:rPr>
          <w:rFonts w:hint="eastAsia" w:ascii="Times New Roman" w:hAnsi="Times New Roman" w:cs="Times New Roman"/>
          <w:bCs/>
          <w:color w:val="auto"/>
          <w:kern w:val="0"/>
          <w:szCs w:val="22"/>
          <w:highlight w:val="none"/>
          <w:lang w:bidi="zh-CN"/>
        </w:rPr>
        <w:t>生活垃圾酒钢集团润源公司处理。</w:t>
      </w:r>
    </w:p>
    <w:p w14:paraId="3F6EF478">
      <w:pPr>
        <w:shd w:val="clear"/>
        <w:autoSpaceDE w:val="0"/>
        <w:autoSpaceDN w:val="0"/>
        <w:rPr>
          <w:rFonts w:ascii="Times New Roman" w:hAnsi="Times New Roman" w:cs="Times New Roman"/>
          <w:bCs/>
          <w:color w:val="auto"/>
          <w:kern w:val="0"/>
          <w:szCs w:val="22"/>
          <w:highlight w:val="none"/>
          <w:lang w:bidi="zh-CN"/>
        </w:rPr>
      </w:pPr>
      <w:r>
        <w:rPr>
          <w:rFonts w:hint="eastAsia" w:ascii="Times New Roman" w:hAnsi="Times New Roman" w:cs="Times New Roman"/>
          <w:bCs/>
          <w:color w:val="auto"/>
          <w:kern w:val="0"/>
          <w:szCs w:val="22"/>
          <w:highlight w:val="none"/>
          <w:lang w:bidi="zh-CN"/>
        </w:rPr>
        <w:t>（2）危险废物</w:t>
      </w:r>
    </w:p>
    <w:p w14:paraId="6F3FF22D">
      <w:pPr>
        <w:shd w:val="clear"/>
        <w:autoSpaceDE w:val="0"/>
        <w:autoSpaceDN w:val="0"/>
        <w:rPr>
          <w:rFonts w:ascii="Times New Roman" w:hAnsi="Times New Roman" w:cs="Times New Roman"/>
          <w:bCs/>
          <w:color w:val="auto"/>
          <w:kern w:val="0"/>
          <w:szCs w:val="22"/>
          <w:highlight w:val="none"/>
          <w:lang w:bidi="zh-CN"/>
        </w:rPr>
      </w:pPr>
      <w:r>
        <w:rPr>
          <w:rFonts w:ascii="Times New Roman" w:hAnsi="Times New Roman" w:cs="Times New Roman"/>
          <w:bCs/>
          <w:color w:val="auto"/>
          <w:kern w:val="0"/>
          <w:szCs w:val="22"/>
          <w:highlight w:val="none"/>
          <w:lang w:bidi="zh-CN"/>
        </w:rPr>
        <w:t>废油脂</w:t>
      </w:r>
      <w:r>
        <w:rPr>
          <w:rFonts w:hint="eastAsia" w:ascii="Times New Roman" w:hAnsi="Times New Roman" w:cs="Times New Roman"/>
          <w:bCs/>
          <w:color w:val="auto"/>
          <w:kern w:val="0"/>
          <w:szCs w:val="22"/>
          <w:highlight w:val="none"/>
          <w:lang w:bidi="zh-CN"/>
        </w:rPr>
        <w:t>在炼铁厂废油贮存点暂存，然后入公司危废贮存库，最后委托有资质的公司处置。</w:t>
      </w:r>
    </w:p>
    <w:p w14:paraId="3970AB5E">
      <w:pPr>
        <w:keepNext/>
        <w:keepLines/>
        <w:numPr>
          <w:ilvl w:val="2"/>
          <w:numId w:val="0"/>
        </w:numPr>
        <w:shd w:val="clear"/>
        <w:adjustRightInd w:val="0"/>
        <w:spacing w:before="120"/>
        <w:textAlignment w:val="baseline"/>
        <w:outlineLvl w:val="2"/>
        <w:rPr>
          <w:rFonts w:ascii="Times New Roman" w:hAnsi="Times New Roman" w:cs="Times New Roman"/>
          <w:bCs/>
          <w:color w:val="auto"/>
          <w:highlight w:val="none"/>
        </w:rPr>
      </w:pPr>
      <w:r>
        <w:rPr>
          <w:rFonts w:ascii="Times New Roman" w:hAnsi="Times New Roman" w:cs="Times New Roman"/>
          <w:bCs/>
          <w:color w:val="auto"/>
          <w:highlight w:val="none"/>
        </w:rPr>
        <w:t>1</w:t>
      </w:r>
      <w:r>
        <w:rPr>
          <w:rFonts w:hint="eastAsia" w:ascii="Times New Roman" w:hAnsi="Times New Roman" w:cs="Times New Roman"/>
          <w:bCs/>
          <w:color w:val="auto"/>
          <w:highlight w:val="none"/>
        </w:rPr>
        <w:t>5</w:t>
      </w:r>
      <w:r>
        <w:rPr>
          <w:rFonts w:ascii="Times New Roman" w:hAnsi="Times New Roman" w:cs="Times New Roman"/>
          <w:bCs/>
          <w:color w:val="auto"/>
          <w:highlight w:val="none"/>
        </w:rPr>
        <w:t>.3.4</w:t>
      </w:r>
      <w:r>
        <w:rPr>
          <w:rFonts w:hint="eastAsia" w:ascii="Times New Roman" w:hAnsi="Times New Roman" w:cs="Times New Roman"/>
          <w:bCs/>
          <w:color w:val="auto"/>
          <w:highlight w:val="none"/>
        </w:rPr>
        <w:t>噪声</w:t>
      </w:r>
      <w:bookmarkEnd w:id="1687"/>
    </w:p>
    <w:p w14:paraId="0686C298">
      <w:pPr>
        <w:shd w:val="clear"/>
        <w:rPr>
          <w:rFonts w:ascii="Times New Roman" w:hAnsi="Times New Roman" w:cs="Times New Roman"/>
          <w:bCs/>
          <w:color w:val="auto"/>
          <w:highlight w:val="none"/>
        </w:rPr>
      </w:pPr>
      <w:bookmarkStart w:id="1688" w:name="_Toc24706"/>
      <w:bookmarkStart w:id="1689" w:name="_Toc18807"/>
      <w:bookmarkStart w:id="1690" w:name="_Toc16280"/>
      <w:bookmarkStart w:id="1691" w:name="_Toc12225"/>
      <w:r>
        <w:rPr>
          <w:rFonts w:ascii="Times New Roman" w:hAnsi="Times New Roman" w:cs="Times New Roman"/>
          <w:bCs/>
          <w:color w:val="auto"/>
          <w:highlight w:val="none"/>
        </w:rPr>
        <w:t>根据本项目噪声的特点，本项目将从以下几方面控制噪声污染：</w:t>
      </w:r>
    </w:p>
    <w:p w14:paraId="5E3E5EBA">
      <w:pPr>
        <w:shd w:val="clear"/>
        <w:rPr>
          <w:rFonts w:ascii="Times New Roman" w:hAnsi="Times New Roman" w:cs="Times New Roman"/>
          <w:bCs/>
          <w:color w:val="auto"/>
          <w:highlight w:val="none"/>
        </w:rPr>
      </w:pPr>
      <w:r>
        <w:rPr>
          <w:rFonts w:ascii="Times New Roman" w:hAnsi="Times New Roman" w:cs="Times New Roman"/>
          <w:bCs/>
          <w:color w:val="auto"/>
          <w:highlight w:val="none"/>
        </w:rPr>
        <w:t>本项目对噪声的控制从设备选型上尽量选择噪声低的设备，设备安装防震垫、外包隔声材料，采取基础减震，风机出口加装消声器，</w:t>
      </w:r>
      <w:r>
        <w:rPr>
          <w:rFonts w:hint="eastAsia" w:ascii="Times New Roman" w:hAnsi="Times New Roman" w:cs="Times New Roman"/>
          <w:bCs/>
          <w:color w:val="auto"/>
          <w:highlight w:val="none"/>
        </w:rPr>
        <w:t>以及采用隔声罩、建筑隔声等方式，</w:t>
      </w:r>
      <w:r>
        <w:rPr>
          <w:rFonts w:ascii="Times New Roman" w:hAnsi="Times New Roman" w:cs="Times New Roman"/>
          <w:bCs/>
          <w:color w:val="auto"/>
          <w:highlight w:val="none"/>
        </w:rPr>
        <w:t>降低设备噪声。</w:t>
      </w:r>
    </w:p>
    <w:p w14:paraId="49A0D5E4">
      <w:pPr>
        <w:shd w:val="clear"/>
        <w:rPr>
          <w:rFonts w:ascii="Times New Roman" w:hAnsi="Times New Roman" w:cs="Times New Roman"/>
          <w:bCs/>
          <w:color w:val="auto"/>
          <w:highlight w:val="none"/>
        </w:rPr>
      </w:pPr>
      <w:r>
        <w:rPr>
          <w:rFonts w:ascii="Times New Roman" w:hAnsi="Times New Roman" w:cs="Times New Roman"/>
          <w:bCs/>
          <w:color w:val="auto"/>
          <w:highlight w:val="none"/>
        </w:rPr>
        <w:t>在总图布置时考虑地形、声源方向性和车间噪声强弱、绿化等因素，进行合理布局以求进一步降低厂界噪声。</w:t>
      </w:r>
    </w:p>
    <w:p w14:paraId="0E12A926">
      <w:pPr>
        <w:shd w:val="clear"/>
        <w:wordWrap w:val="0"/>
        <w:rPr>
          <w:rFonts w:ascii="Times New Roman" w:hAnsi="Times New Roman" w:cs="Times New Roman"/>
          <w:bCs/>
          <w:color w:val="auto"/>
          <w:highlight w:val="none"/>
        </w:rPr>
      </w:pPr>
      <w:r>
        <w:rPr>
          <w:rFonts w:ascii="Times New Roman" w:hAnsi="Times New Roman" w:cs="Times New Roman"/>
          <w:bCs/>
          <w:color w:val="auto"/>
          <w:highlight w:val="none"/>
        </w:rPr>
        <w:t>经采取以上措施后，主要声源得到有效的控制，减轻了噪声对环境的影响，厂区噪声满足《工业企业厂界噪声排放标准》要求。</w:t>
      </w:r>
    </w:p>
    <w:p w14:paraId="0ADDAF33">
      <w:pPr>
        <w:shd w:val="clear"/>
        <w:ind w:firstLine="0" w:firstLineChars="0"/>
        <w:outlineLvl w:val="1"/>
        <w:rPr>
          <w:rFonts w:cs="Times New Roman"/>
          <w:b/>
          <w:color w:val="auto"/>
          <w:sz w:val="28"/>
          <w:szCs w:val="28"/>
          <w:highlight w:val="none"/>
        </w:rPr>
      </w:pPr>
      <w:bookmarkStart w:id="1692" w:name="_Toc2058"/>
      <w:bookmarkStart w:id="1693" w:name="_Toc12461"/>
      <w:r>
        <w:rPr>
          <w:rFonts w:hint="eastAsia" w:cs="Times New Roman"/>
          <w:b/>
          <w:color w:val="auto"/>
          <w:sz w:val="28"/>
          <w:szCs w:val="28"/>
          <w:highlight w:val="none"/>
        </w:rPr>
        <w:t>15.4环境监测与管理</w:t>
      </w:r>
      <w:bookmarkEnd w:id="1688"/>
      <w:bookmarkEnd w:id="1689"/>
      <w:bookmarkEnd w:id="1690"/>
      <w:bookmarkEnd w:id="1691"/>
      <w:bookmarkEnd w:id="1692"/>
      <w:bookmarkEnd w:id="1693"/>
    </w:p>
    <w:p w14:paraId="44A7DAF7">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本项目环保管理依托公司现有环保管理机构。</w:t>
      </w:r>
    </w:p>
    <w:p w14:paraId="4B74CAAA">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本工程设置全厂污染物排放管、控、治一体化监控平台，全面加强自动监控、过程监控和视频监控设施建设。</w:t>
      </w:r>
    </w:p>
    <w:p w14:paraId="65746FB2">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高炉矿槽、高炉出铁场安装自动监控设施设置分布式控制系统(DCS)</w:t>
      </w:r>
      <w:r>
        <w:rPr>
          <w:rFonts w:hint="eastAsia" w:ascii="Times New Roman" w:hAnsi="Times New Roman" w:cs="Times New Roman"/>
          <w:color w:val="auto"/>
          <w:kern w:val="0"/>
          <w:szCs w:val="22"/>
          <w:highlight w:val="none"/>
          <w:lang w:bidi="zh-CN"/>
        </w:rPr>
        <w:t>，</w:t>
      </w:r>
      <w:r>
        <w:rPr>
          <w:rFonts w:ascii="Times New Roman" w:hAnsi="Times New Roman" w:cs="Times New Roman"/>
          <w:color w:val="auto"/>
          <w:kern w:val="0"/>
          <w:szCs w:val="22"/>
          <w:highlight w:val="none"/>
          <w:lang w:bidi="zh-CN"/>
        </w:rPr>
        <w:t>废气治理设施DCS记录企业环保设施运行状况及相关生产过程主要参数。</w:t>
      </w:r>
      <w:r>
        <w:rPr>
          <w:rFonts w:hint="eastAsia" w:ascii="Times New Roman" w:hAnsi="Times New Roman" w:cs="Times New Roman"/>
          <w:color w:val="auto"/>
          <w:kern w:val="0"/>
          <w:szCs w:val="22"/>
          <w:highlight w:val="none"/>
          <w:lang w:bidi="zh-CN"/>
        </w:rPr>
        <w:t>铁场除尘、矿槽除尘、地沟除尘系统设置CEMS在线监测。</w:t>
      </w:r>
      <w:r>
        <w:rPr>
          <w:rFonts w:ascii="Times New Roman" w:hAnsi="Times New Roman" w:cs="Times New Roman"/>
          <w:color w:val="auto"/>
          <w:kern w:val="0"/>
          <w:szCs w:val="22"/>
          <w:highlight w:val="none"/>
          <w:lang w:bidi="zh-CN"/>
        </w:rPr>
        <w:t>将各废气治理设施所有运行参数、CEMS在线监测数据、以及反映生产负荷和设备启停的主要生产工艺参数集中管理，历史数据保存一年以上。</w:t>
      </w:r>
    </w:p>
    <w:p w14:paraId="2766CC1E">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现场手工采样点位及烟气排放连续监测系统(CEMS)安装点位符合《固定污染源排气中颗粒物测定与气态污染物采样方法》(GB/T16157-1996)、《固定源废气监测技术规范》(HJ/T397-2007)</w:t>
      </w:r>
      <w:r>
        <w:rPr>
          <w:rFonts w:hint="eastAsia" w:ascii="Times New Roman" w:hAnsi="Times New Roman" w:cs="Times New Roman"/>
          <w:color w:val="auto"/>
          <w:kern w:val="0"/>
          <w:szCs w:val="22"/>
          <w:highlight w:val="none"/>
          <w:lang w:bidi="zh-CN"/>
        </w:rPr>
        <w:t>、</w:t>
      </w:r>
      <w:r>
        <w:rPr>
          <w:rFonts w:hint="eastAsia" w:ascii="Times New Roman" w:hAnsi="Times New Roman" w:cs="Times New Roman"/>
          <w:color w:val="auto"/>
          <w:kern w:val="0"/>
          <w:highlight w:val="none"/>
          <w:lang w:val="zh-CN" w:bidi="zh-CN"/>
        </w:rPr>
        <w:t>《固定污染源烟气（SO</w:t>
      </w:r>
      <w:r>
        <w:rPr>
          <w:rFonts w:hint="eastAsia" w:ascii="Times New Roman" w:hAnsi="Times New Roman" w:cs="Times New Roman"/>
          <w:color w:val="auto"/>
          <w:kern w:val="0"/>
          <w:highlight w:val="none"/>
          <w:vertAlign w:val="subscript"/>
          <w:lang w:val="zh-CN" w:bidi="zh-CN"/>
        </w:rPr>
        <w:t>2</w:t>
      </w:r>
      <w:r>
        <w:rPr>
          <w:rFonts w:hint="eastAsia" w:ascii="Times New Roman" w:hAnsi="Times New Roman" w:cs="Times New Roman"/>
          <w:color w:val="auto"/>
          <w:kern w:val="0"/>
          <w:highlight w:val="none"/>
          <w:lang w:val="zh-CN" w:bidi="zh-CN"/>
        </w:rPr>
        <w:t>、NO</w:t>
      </w:r>
      <w:r>
        <w:rPr>
          <w:rFonts w:hint="eastAsia" w:ascii="Times New Roman" w:hAnsi="Times New Roman" w:cs="Times New Roman"/>
          <w:color w:val="auto"/>
          <w:kern w:val="0"/>
          <w:highlight w:val="none"/>
          <w:vertAlign w:val="subscript"/>
          <w:lang w:val="zh-CN" w:bidi="zh-CN"/>
        </w:rPr>
        <w:t>X</w:t>
      </w:r>
      <w:r>
        <w:rPr>
          <w:rFonts w:hint="eastAsia" w:ascii="Times New Roman" w:hAnsi="Times New Roman" w:cs="Times New Roman"/>
          <w:color w:val="auto"/>
          <w:kern w:val="0"/>
          <w:highlight w:val="none"/>
          <w:lang w:val="zh-CN" w:bidi="zh-CN"/>
        </w:rPr>
        <w:t>、颗粒物）排放连续监测技术规范》（HJ 75-2017）、《固定污染源烟气（SO</w:t>
      </w:r>
      <w:r>
        <w:rPr>
          <w:rFonts w:hint="eastAsia" w:ascii="Times New Roman" w:hAnsi="Times New Roman" w:cs="Times New Roman"/>
          <w:color w:val="auto"/>
          <w:kern w:val="0"/>
          <w:highlight w:val="none"/>
          <w:vertAlign w:val="subscript"/>
          <w:lang w:val="zh-CN" w:bidi="zh-CN"/>
        </w:rPr>
        <w:t>2</w:t>
      </w:r>
      <w:r>
        <w:rPr>
          <w:rFonts w:hint="eastAsia" w:ascii="Times New Roman" w:hAnsi="Times New Roman" w:cs="Times New Roman"/>
          <w:color w:val="auto"/>
          <w:kern w:val="0"/>
          <w:highlight w:val="none"/>
          <w:lang w:val="zh-CN" w:bidi="zh-CN"/>
        </w:rPr>
        <w:t>、NO</w:t>
      </w:r>
      <w:r>
        <w:rPr>
          <w:rFonts w:hint="eastAsia" w:ascii="Times New Roman" w:hAnsi="Times New Roman" w:cs="Times New Roman"/>
          <w:color w:val="auto"/>
          <w:kern w:val="0"/>
          <w:highlight w:val="none"/>
          <w:vertAlign w:val="subscript"/>
          <w:lang w:val="zh-CN" w:bidi="zh-CN"/>
        </w:rPr>
        <w:t>X</w:t>
      </w:r>
      <w:r>
        <w:rPr>
          <w:rFonts w:hint="eastAsia" w:ascii="Times New Roman" w:hAnsi="Times New Roman" w:cs="Times New Roman"/>
          <w:color w:val="auto"/>
          <w:kern w:val="0"/>
          <w:highlight w:val="none"/>
          <w:lang w:val="zh-CN" w:bidi="zh-CN"/>
        </w:rPr>
        <w:t>、颗粒物）排放连续监测系统技术要求及检测方法》（HJ 76-2017）、</w:t>
      </w:r>
      <w:r>
        <w:rPr>
          <w:rFonts w:hint="eastAsia" w:ascii="Times New Roman" w:hAnsi="Times New Roman" w:cs="Times New Roman"/>
          <w:color w:val="auto"/>
          <w:kern w:val="0"/>
          <w:highlight w:val="none"/>
          <w:lang w:bidi="zh-CN"/>
        </w:rPr>
        <w:t>《固定污染源废气低浓度颗粒物的测定 重里法》(HJ836-2017)</w:t>
      </w:r>
      <w:r>
        <w:rPr>
          <w:rFonts w:ascii="Times New Roman" w:hAnsi="Times New Roman" w:cs="Times New Roman"/>
          <w:color w:val="auto"/>
          <w:kern w:val="0"/>
          <w:szCs w:val="22"/>
          <w:highlight w:val="none"/>
          <w:lang w:bidi="zh-CN"/>
        </w:rPr>
        <w:t>等相关环境监测标准和技术规范以及排放标准的规定。</w:t>
      </w:r>
    </w:p>
    <w:p w14:paraId="14680AC9">
      <w:pPr>
        <w:keepNext/>
        <w:keepLines/>
        <w:numPr>
          <w:ilvl w:val="2"/>
          <w:numId w:val="0"/>
        </w:numPr>
        <w:shd w:val="clear"/>
        <w:adjustRightInd w:val="0"/>
        <w:textAlignment w:val="baseline"/>
        <w:outlineLvl w:val="2"/>
        <w:rPr>
          <w:rFonts w:ascii="Times New Roman" w:hAnsi="Times New Roman" w:cs="Times New Roman"/>
          <w:bCs/>
          <w:color w:val="auto"/>
          <w:highlight w:val="none"/>
        </w:rPr>
      </w:pPr>
      <w:r>
        <w:rPr>
          <w:rFonts w:hint="eastAsia" w:ascii="Times New Roman" w:hAnsi="Times New Roman" w:cs="Times New Roman"/>
          <w:bCs/>
          <w:color w:val="auto"/>
          <w:highlight w:val="none"/>
        </w:rPr>
        <w:t>15.4.1有组织排放口建设要求</w:t>
      </w:r>
    </w:p>
    <w:p w14:paraId="72F1BB9E">
      <w:pPr>
        <w:shd w:val="clear"/>
        <w:jc w:val="both"/>
        <w:rPr>
          <w:rFonts w:ascii="Times New Roman" w:hAnsi="Times New Roman" w:cs="Times New Roman"/>
          <w:color w:val="auto"/>
          <w:highlight w:val="none"/>
        </w:rPr>
      </w:pPr>
      <w:r>
        <w:rPr>
          <w:rFonts w:ascii="Times New Roman" w:hAnsi="Times New Roman" w:cs="Times New Roman"/>
          <w:color w:val="auto"/>
          <w:highlight w:val="none"/>
        </w:rPr>
        <w:t>有排放口建设应满足《固定污染源废气排放口监测点位设置技术规范（T CAEPI46-2022）》《固定污染源排放口监测点位设置技术指南（征求意见稿）》《固定污染源烟气（SO</w:t>
      </w:r>
      <w:r>
        <w:rPr>
          <w:rFonts w:ascii="Times New Roman" w:hAnsi="Times New Roman" w:cs="Times New Roman"/>
          <w:color w:val="auto"/>
          <w:highlight w:val="none"/>
          <w:vertAlign w:val="subscript"/>
        </w:rPr>
        <w:t>2</w:t>
      </w:r>
      <w:r>
        <w:rPr>
          <w:rFonts w:ascii="Times New Roman" w:hAnsi="Times New Roman" w:cs="Times New Roman"/>
          <w:color w:val="auto"/>
          <w:highlight w:val="none"/>
        </w:rPr>
        <w:t>、NO</w:t>
      </w:r>
      <w:r>
        <w:rPr>
          <w:rFonts w:ascii="Times New Roman" w:hAnsi="Times New Roman" w:cs="Times New Roman"/>
          <w:color w:val="auto"/>
          <w:highlight w:val="none"/>
          <w:vertAlign w:val="subscript"/>
        </w:rPr>
        <w:t>X</w:t>
      </w:r>
      <w:r>
        <w:rPr>
          <w:rFonts w:ascii="Times New Roman" w:hAnsi="Times New Roman" w:cs="Times New Roman"/>
          <w:color w:val="auto"/>
          <w:highlight w:val="none"/>
        </w:rPr>
        <w:t>、颗粒物）排放连续监测技术规范（HJ 75-2017)》等法规中相关要求。具体要求如下：</w:t>
      </w:r>
    </w:p>
    <w:p w14:paraId="6906303A">
      <w:pPr>
        <w:shd w:val="clear"/>
        <w:jc w:val="both"/>
        <w:rPr>
          <w:rFonts w:ascii="Times New Roman" w:hAnsi="Times New Roman" w:cs="Times New Roman"/>
          <w:color w:val="auto"/>
          <w:highlight w:val="none"/>
        </w:rPr>
      </w:pPr>
      <w:r>
        <w:rPr>
          <w:rFonts w:ascii="Times New Roman" w:hAnsi="Times New Roman" w:cs="Times New Roman"/>
          <w:color w:val="auto"/>
          <w:highlight w:val="none"/>
        </w:rPr>
        <w:t>1.排气筒高度应高出周围半径200m范围最高建筑物3m以上。</w:t>
      </w:r>
    </w:p>
    <w:p w14:paraId="1C390B8E">
      <w:pPr>
        <w:widowControl/>
        <w:shd w:val="clear"/>
        <w:jc w:val="both"/>
        <w:rPr>
          <w:rFonts w:ascii="Times New Roman" w:hAnsi="Times New Roman" w:cs="Times New Roman"/>
          <w:color w:val="auto"/>
          <w:highlight w:val="none"/>
        </w:rPr>
      </w:pPr>
      <w:r>
        <w:rPr>
          <w:rFonts w:ascii="Times New Roman" w:hAnsi="Times New Roman" w:cs="Times New Roman"/>
          <w:color w:val="auto"/>
          <w:highlight w:val="none"/>
        </w:rPr>
        <w:t>2.排放口在线监测设备安装位置满足“前四后二”，</w:t>
      </w:r>
      <w:r>
        <w:rPr>
          <w:rFonts w:ascii="Times New Roman" w:hAnsi="Times New Roman" w:cs="Times New Roman"/>
          <w:color w:val="auto"/>
          <w:kern w:val="0"/>
          <w:highlight w:val="none"/>
          <w:lang w:bidi="ar"/>
        </w:rPr>
        <w:t>监测断面流速宜≥5m/s，自动监测断面应设置在手工监测断面上游约0.5m处</w:t>
      </w:r>
      <w:r>
        <w:rPr>
          <w:rFonts w:ascii="Times New Roman" w:hAnsi="Times New Roman" w:cs="Times New Roman"/>
          <w:color w:val="auto"/>
          <w:highlight w:val="none"/>
        </w:rPr>
        <w:t>。</w:t>
      </w:r>
    </w:p>
    <w:p w14:paraId="0456FDC9">
      <w:pPr>
        <w:shd w:val="clear"/>
        <w:jc w:val="both"/>
        <w:rPr>
          <w:rFonts w:ascii="Times New Roman" w:hAnsi="Times New Roman" w:cs="Times New Roman"/>
          <w:color w:val="auto"/>
          <w:highlight w:val="none"/>
        </w:rPr>
      </w:pPr>
      <w:r>
        <w:rPr>
          <w:rFonts w:ascii="Times New Roman" w:hAnsi="Times New Roman" w:cs="Times New Roman"/>
          <w:color w:val="auto"/>
          <w:highlight w:val="none"/>
        </w:rPr>
        <w:t>3.监测平台宜设置在监测孔的正下方1.2m～1.3m处，应永久、安全、便于采样及测试；监测平台长度≥2m，宽度≥2m或采样探杆长度外延1m；监测平台地面应采用厚度不小于4mm的花纹钢板，监测平台及通道的载荷应不小于3 kN/m</w:t>
      </w:r>
      <w:r>
        <w:rPr>
          <w:rFonts w:ascii="Times New Roman" w:hAnsi="Times New Roman" w:cs="Times New Roman"/>
          <w:color w:val="auto"/>
          <w:highlight w:val="none"/>
          <w:vertAlign w:val="superscript"/>
        </w:rPr>
        <w:t>2</w:t>
      </w:r>
      <w:r>
        <w:rPr>
          <w:rFonts w:ascii="Times New Roman" w:hAnsi="Times New Roman" w:cs="Times New Roman"/>
          <w:color w:val="auto"/>
          <w:highlight w:val="none"/>
        </w:rPr>
        <w:t>；护栏的高度应不低于1.2m，其设计载荷及制造安装应符合GB4053.3相关要求。护栏的踢脚板应采用不小于100mm×2mm的钢板制作，其顶部在平台面之上高度应不小于100mm，底部距平台面应不大于10mm；监测平台的工作区域内应设置220V防水交流配电箱，内设漏电保护器、不少于2个16A插座及2个10A插座，保证监测设备所需电力。监测平台应设置照明设施，相关要求按照GB/T 26189执行。污染源现场有特殊要求的（如防爆等），从其规定；监测平台应安装摄像头，具体应满足《关于加强技术防控提升排污单位自行监测质量的通知（环办监测函〔2024〕214号）》中相关要求。监测平台附近若存在可能造成人体机械伤害、灼烫、腐蚀、触电等危险源的，应在平台相应位置设置防护装置。监测平台上方有坠落物体隐患时，应在监测平台上方3m高处设置顶棚等防护装置。防护装置的设计与制造应符合GB/T 8196相关要求。</w:t>
      </w:r>
    </w:p>
    <w:p w14:paraId="1EBB8E3F">
      <w:pPr>
        <w:shd w:val="clear"/>
        <w:jc w:val="both"/>
        <w:rPr>
          <w:rFonts w:ascii="Times New Roman" w:hAnsi="Times New Roman" w:cs="Times New Roman"/>
          <w:color w:val="auto"/>
          <w:highlight w:val="none"/>
        </w:rPr>
      </w:pPr>
      <w:r>
        <w:rPr>
          <w:rFonts w:ascii="Times New Roman" w:hAnsi="Times New Roman" w:cs="Times New Roman"/>
          <w:color w:val="auto"/>
          <w:kern w:val="0"/>
          <w:highlight w:val="none"/>
          <w:lang w:bidi="ar"/>
        </w:rPr>
        <w:t>4.圆形竖直排气筒/烟道直径D≤1 m时，至少设置1个手工监测孔；1m＜D≤3.5m时，至少设置相互垂直的2个手工监测孔；D＞3.5m时，至少设置相互垂直的4个手工监测孔。圆形水平排气筒/烟道直径D≤3.5m时，至少在侧面水平位置设置1个手工监测孔；D＞3.5m时，至少在两侧水平对称的位置设置2个手工监测孔。</w:t>
      </w:r>
      <w:r>
        <w:rPr>
          <w:rFonts w:ascii="Times New Roman" w:hAnsi="Times New Roman" w:cs="Times New Roman"/>
          <w:color w:val="auto"/>
          <w:highlight w:val="none"/>
        </w:rPr>
        <w:t>手工监测孔内径在90mm～120mm之间，手工监测孔外沿距离排气筒不大于50mm。</w:t>
      </w:r>
    </w:p>
    <w:p w14:paraId="747E2B3A">
      <w:pPr>
        <w:shd w:val="clear"/>
        <w:jc w:val="both"/>
        <w:rPr>
          <w:rFonts w:ascii="Times New Roman" w:hAnsi="Times New Roman" w:cs="Times New Roman"/>
          <w:color w:val="auto"/>
          <w:highlight w:val="none"/>
        </w:rPr>
      </w:pPr>
      <w:r>
        <w:rPr>
          <w:rFonts w:ascii="Times New Roman" w:hAnsi="Times New Roman" w:cs="Times New Roman"/>
          <w:color w:val="auto"/>
          <w:highlight w:val="none"/>
        </w:rPr>
        <w:t>5.监测平台应安装钢斜梯、转梯或升降梯到达监测平台，不得仅设置钢直梯。梯架无障碍宽度应不小于0.9m，倾角应不超过37°，竖直方向净高宜不低于2m。每段钢斜梯或转梯的最大垂直高度不超过10m，否则应设置缓冲平台。</w:t>
      </w:r>
    </w:p>
    <w:p w14:paraId="6A99F716">
      <w:pPr>
        <w:shd w:val="clear"/>
        <w:jc w:val="both"/>
        <w:rPr>
          <w:rFonts w:ascii="Times New Roman" w:hAnsi="Times New Roman" w:cs="Times New Roman"/>
          <w:color w:val="auto"/>
          <w:highlight w:val="none"/>
        </w:rPr>
      </w:pPr>
      <w:r>
        <w:rPr>
          <w:rFonts w:ascii="Times New Roman" w:hAnsi="Times New Roman" w:cs="Times New Roman"/>
          <w:color w:val="auto"/>
          <w:highlight w:val="none"/>
        </w:rPr>
        <w:t>6.应在距排放口或监测点位较近且醒目处设置环境保护图形标志和监测点位标志牌，标志牌上的二维码信息应符合有关要求，具体应满足《排污单位污染物排放口二维码标识技术规范（HJ 1297—2023）》中相关要求。</w:t>
      </w:r>
    </w:p>
    <w:p w14:paraId="54AA649B">
      <w:pPr>
        <w:keepNext/>
        <w:keepLines/>
        <w:numPr>
          <w:ilvl w:val="2"/>
          <w:numId w:val="0"/>
        </w:numPr>
        <w:shd w:val="clear"/>
        <w:adjustRightInd w:val="0"/>
        <w:textAlignment w:val="baseline"/>
        <w:outlineLvl w:val="2"/>
        <w:rPr>
          <w:rFonts w:ascii="Times New Roman" w:hAnsi="Times New Roman" w:cs="Times New Roman"/>
          <w:bCs/>
          <w:color w:val="auto"/>
          <w:kern w:val="0"/>
          <w:highlight w:val="none"/>
        </w:rPr>
      </w:pPr>
      <w:r>
        <w:rPr>
          <w:rFonts w:hint="eastAsia" w:ascii="Times New Roman" w:hAnsi="Times New Roman" w:cs="Times New Roman"/>
          <w:bCs/>
          <w:color w:val="auto"/>
          <w:kern w:val="0"/>
          <w:highlight w:val="none"/>
        </w:rPr>
        <w:t>15.4.2在线监测站房建设要求</w:t>
      </w:r>
    </w:p>
    <w:p w14:paraId="23C5639E">
      <w:pPr>
        <w:shd w:val="clear"/>
        <w:jc w:val="both"/>
        <w:rPr>
          <w:rFonts w:ascii="Times New Roman" w:hAnsi="Times New Roman" w:cs="Times New Roman"/>
          <w:color w:val="auto"/>
          <w:highlight w:val="none"/>
        </w:rPr>
      </w:pPr>
      <w:r>
        <w:rPr>
          <w:rFonts w:ascii="Times New Roman" w:hAnsi="Times New Roman" w:cs="Times New Roman"/>
          <w:color w:val="auto"/>
          <w:highlight w:val="none"/>
        </w:rPr>
        <w:t>在线站房建设及数据传输应满足《固定污染源烟气（SO</w:t>
      </w:r>
      <w:r>
        <w:rPr>
          <w:rFonts w:ascii="Times New Roman" w:hAnsi="Times New Roman" w:cs="Times New Roman"/>
          <w:color w:val="auto"/>
          <w:highlight w:val="none"/>
          <w:vertAlign w:val="subscript"/>
        </w:rPr>
        <w:t>2</w:t>
      </w:r>
      <w:r>
        <w:rPr>
          <w:rFonts w:ascii="Times New Roman" w:hAnsi="Times New Roman" w:cs="Times New Roman"/>
          <w:color w:val="auto"/>
          <w:highlight w:val="none"/>
        </w:rPr>
        <w:t>、NO</w:t>
      </w:r>
      <w:r>
        <w:rPr>
          <w:rFonts w:ascii="Times New Roman" w:hAnsi="Times New Roman" w:cs="Times New Roman"/>
          <w:color w:val="auto"/>
          <w:highlight w:val="none"/>
          <w:vertAlign w:val="subscript"/>
        </w:rPr>
        <w:t>X</w:t>
      </w:r>
      <w:r>
        <w:rPr>
          <w:rFonts w:ascii="Times New Roman" w:hAnsi="Times New Roman" w:cs="Times New Roman"/>
          <w:color w:val="auto"/>
          <w:highlight w:val="none"/>
        </w:rPr>
        <w:t>、颗粒物）排放连续监测技术规范（HJ 75-2017)》《固定污染源自动监控（监测）系统现场端建设技术规范（TCAEPI 11-2017）》《关于做好重点单位自动监控安装联网相关工作的通知（环办执法函〔2021〕484号）》等法规中相关要求具体要求如下：</w:t>
      </w:r>
    </w:p>
    <w:p w14:paraId="38C26C2F">
      <w:pPr>
        <w:shd w:val="clear"/>
        <w:jc w:val="both"/>
        <w:rPr>
          <w:rFonts w:ascii="Times New Roman" w:hAnsi="Times New Roman" w:cs="Times New Roman"/>
          <w:color w:val="auto"/>
          <w:highlight w:val="none"/>
        </w:rPr>
      </w:pPr>
      <w:r>
        <w:rPr>
          <w:rFonts w:ascii="Times New Roman" w:hAnsi="Times New Roman" w:cs="Times New Roman"/>
          <w:color w:val="auto"/>
          <w:highlight w:val="none"/>
        </w:rPr>
        <w:t>1.在线站房放置1台仪器时</w:t>
      </w:r>
      <w:r>
        <w:rPr>
          <w:rFonts w:hint="eastAsia" w:ascii="Times New Roman" w:hAnsi="Times New Roman" w:cs="Times New Roman"/>
          <w:color w:val="auto"/>
          <w:highlight w:val="none"/>
          <w:lang w:eastAsia="zh-CN"/>
        </w:rPr>
        <w:t>使用</w:t>
      </w:r>
      <w:r>
        <w:rPr>
          <w:rFonts w:ascii="Times New Roman" w:hAnsi="Times New Roman" w:cs="Times New Roman"/>
          <w:color w:val="auto"/>
          <w:highlight w:val="none"/>
        </w:rPr>
        <w:t>面积不小于12m</w:t>
      </w:r>
      <w:r>
        <w:rPr>
          <w:rFonts w:ascii="Times New Roman" w:hAnsi="Times New Roman" w:cs="Times New Roman"/>
          <w:color w:val="auto"/>
          <w:highlight w:val="none"/>
          <w:vertAlign w:val="superscript"/>
        </w:rPr>
        <w:t>2</w:t>
      </w:r>
      <w:r>
        <w:rPr>
          <w:rFonts w:ascii="Times New Roman" w:hAnsi="Times New Roman" w:cs="Times New Roman"/>
          <w:color w:val="auto"/>
          <w:highlight w:val="none"/>
        </w:rPr>
        <w:t>，每增加一台仪器增加不小于3m</w:t>
      </w:r>
      <w:r>
        <w:rPr>
          <w:rFonts w:ascii="Times New Roman" w:hAnsi="Times New Roman" w:cs="Times New Roman"/>
          <w:color w:val="auto"/>
          <w:highlight w:val="none"/>
          <w:vertAlign w:val="superscript"/>
        </w:rPr>
        <w:t>2</w:t>
      </w:r>
      <w:r>
        <w:rPr>
          <w:rFonts w:ascii="Times New Roman" w:hAnsi="Times New Roman" w:cs="Times New Roman"/>
          <w:color w:val="auto"/>
          <w:highlight w:val="none"/>
        </w:rPr>
        <w:t>。</w:t>
      </w:r>
    </w:p>
    <w:p w14:paraId="112C43A6">
      <w:pPr>
        <w:widowControl/>
        <w:shd w:val="clear"/>
        <w:jc w:val="both"/>
        <w:rPr>
          <w:rFonts w:ascii="Times New Roman" w:hAnsi="Times New Roman" w:cs="Times New Roman"/>
          <w:color w:val="auto"/>
          <w:highlight w:val="none"/>
        </w:rPr>
      </w:pPr>
      <w:r>
        <w:rPr>
          <w:rFonts w:ascii="Times New Roman" w:hAnsi="Times New Roman" w:cs="Times New Roman"/>
          <w:color w:val="auto"/>
          <w:highlight w:val="none"/>
        </w:rPr>
        <w:t>2.在线站房内配电功率能够满足仪表实际要求，至少预留三孔插座5个、稳压电源1个、UPS电源一个（电源容量应不小于10kW）。站房内应设置配电箱，对机柜、工控机等进行单独供电。</w:t>
      </w:r>
    </w:p>
    <w:p w14:paraId="5CBBFBCC">
      <w:pPr>
        <w:shd w:val="clear"/>
        <w:jc w:val="both"/>
        <w:rPr>
          <w:rFonts w:ascii="Times New Roman" w:hAnsi="Times New Roman" w:cs="Times New Roman"/>
          <w:color w:val="auto"/>
          <w:highlight w:val="none"/>
        </w:rPr>
      </w:pPr>
      <w:r>
        <w:rPr>
          <w:rFonts w:ascii="Times New Roman" w:hAnsi="Times New Roman" w:cs="Times New Roman"/>
          <w:color w:val="auto"/>
          <w:highlight w:val="none"/>
        </w:rPr>
        <w:t>3.在线站房配置柜式空调，排量不小于1.5P，且具备来电自启功能，室内温度应保持在18～28℃。</w:t>
      </w:r>
    </w:p>
    <w:p w14:paraId="7790B297">
      <w:pPr>
        <w:shd w:val="clear"/>
        <w:jc w:val="both"/>
        <w:rPr>
          <w:rFonts w:ascii="Times New Roman" w:hAnsi="Times New Roman" w:cs="Times New Roman"/>
          <w:color w:val="auto"/>
          <w:highlight w:val="none"/>
        </w:rPr>
      </w:pPr>
      <w:r>
        <w:rPr>
          <w:rFonts w:ascii="Times New Roman" w:hAnsi="Times New Roman" w:cs="Times New Roman"/>
          <w:color w:val="auto"/>
          <w:highlight w:val="none"/>
        </w:rPr>
        <w:t>4.在线监测站房应有对开窗户与排风扇，保障室内采光与通风，监测站房应设有文件柜，存放在线监测设备基本信息文件、设备运行记录等。</w:t>
      </w:r>
    </w:p>
    <w:p w14:paraId="2642DD8F">
      <w:pPr>
        <w:shd w:val="clear"/>
        <w:jc w:val="both"/>
        <w:rPr>
          <w:rFonts w:ascii="Times New Roman" w:hAnsi="Times New Roman" w:cs="Times New Roman"/>
          <w:color w:val="auto"/>
          <w:highlight w:val="none"/>
        </w:rPr>
      </w:pPr>
      <w:r>
        <w:rPr>
          <w:rFonts w:ascii="Times New Roman" w:hAnsi="Times New Roman" w:cs="Times New Roman"/>
          <w:color w:val="auto"/>
          <w:highlight w:val="none"/>
        </w:rPr>
        <w:t>5.在线站房内应有专门的放置和固定标准气体高压气瓶的区域，分别配置高、中、低浓度的有证标准气体且在有效期内，并设置安装标准气体高压气瓶的固定装置。</w:t>
      </w:r>
    </w:p>
    <w:p w14:paraId="14A91C27">
      <w:pPr>
        <w:shd w:val="clear"/>
        <w:jc w:val="both"/>
        <w:rPr>
          <w:rFonts w:ascii="Times New Roman" w:hAnsi="Times New Roman" w:cs="Times New Roman"/>
          <w:color w:val="auto"/>
          <w:highlight w:val="none"/>
        </w:rPr>
      </w:pPr>
      <w:r>
        <w:rPr>
          <w:rFonts w:ascii="Times New Roman" w:hAnsi="Times New Roman" w:cs="Times New Roman"/>
          <w:color w:val="auto"/>
          <w:highlight w:val="none"/>
        </w:rPr>
        <w:t>6.在线站房应划分功能区域，按规范进行地面标识；进入站房内的管路或线路应标明相应的用途。</w:t>
      </w:r>
    </w:p>
    <w:p w14:paraId="4DC6EA8C">
      <w:pPr>
        <w:shd w:val="clear"/>
        <w:jc w:val="both"/>
        <w:rPr>
          <w:rFonts w:ascii="Times New Roman" w:hAnsi="Times New Roman" w:cs="Times New Roman"/>
          <w:color w:val="auto"/>
          <w:highlight w:val="none"/>
        </w:rPr>
      </w:pPr>
      <w:r>
        <w:rPr>
          <w:rFonts w:ascii="Times New Roman" w:hAnsi="Times New Roman" w:cs="Times New Roman"/>
          <w:color w:val="auto"/>
          <w:highlight w:val="none"/>
        </w:rPr>
        <w:t>7.在线站房内应配有干粉灭火器，以备电器或化学品燃烧灭火使用，灭火装置应位于站房门口左右位置。</w:t>
      </w:r>
    </w:p>
    <w:p w14:paraId="0514DE30">
      <w:pPr>
        <w:shd w:val="clear"/>
        <w:jc w:val="both"/>
        <w:rPr>
          <w:rFonts w:ascii="Times New Roman" w:hAnsi="Times New Roman" w:cs="Times New Roman"/>
          <w:color w:val="auto"/>
          <w:highlight w:val="none"/>
        </w:rPr>
      </w:pPr>
      <w:r>
        <w:rPr>
          <w:rFonts w:ascii="Times New Roman" w:hAnsi="Times New Roman" w:cs="Times New Roman"/>
          <w:color w:val="auto"/>
          <w:highlight w:val="none"/>
        </w:rPr>
        <w:t>8.在线站房与采样点之间距离应尽可能近，原则上不超过70米。</w:t>
      </w:r>
    </w:p>
    <w:p w14:paraId="0F871791">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highlight w:val="none"/>
        </w:rPr>
        <w:t>9.在线站房应安装门禁系统和监控探头，门禁系统要求与中控室联网，监控探头的视角不得有遮挡，能清晰监控进出站房人员的情况，以及运维人员操作自动监控设备的情况，具体应满足《关于加强技术防控提升排污单位自行监测质量的通知（环办监测函〔2024〕214号）》中相关要求。</w:t>
      </w:r>
    </w:p>
    <w:p w14:paraId="5CB68633">
      <w:pPr>
        <w:keepNext/>
        <w:keepLines/>
        <w:numPr>
          <w:ilvl w:val="1"/>
          <w:numId w:val="0"/>
        </w:numPr>
        <w:shd w:val="clear"/>
        <w:adjustRightInd w:val="0"/>
        <w:textAlignment w:val="baseline"/>
        <w:outlineLvl w:val="1"/>
        <w:rPr>
          <w:rFonts w:ascii="Times New Roman" w:hAnsi="Times New Roman" w:cs="Times New Roman"/>
          <w:b/>
          <w:color w:val="auto"/>
          <w:kern w:val="0"/>
          <w:highlight w:val="none"/>
        </w:rPr>
      </w:pPr>
      <w:bookmarkStart w:id="1694" w:name="_Toc8711"/>
      <w:bookmarkStart w:id="1695" w:name="_Toc30609"/>
      <w:bookmarkStart w:id="1696" w:name="_Toc5932"/>
      <w:bookmarkStart w:id="1697" w:name="_Toc23052"/>
      <w:bookmarkStart w:id="1698" w:name="_Toc11439"/>
      <w:bookmarkStart w:id="1699" w:name="_Toc6962"/>
      <w:r>
        <w:rPr>
          <w:rFonts w:hint="eastAsia" w:ascii="Times New Roman" w:hAnsi="Times New Roman" w:cs="Times New Roman"/>
          <w:b/>
          <w:color w:val="auto"/>
          <w:kern w:val="0"/>
          <w:highlight w:val="none"/>
          <w:shd w:val="clear" w:color="auto"/>
        </w:rPr>
        <w:t xml:space="preserve">15.5 </w:t>
      </w:r>
      <w:r>
        <w:rPr>
          <w:rFonts w:hint="eastAsia" w:ascii="Times New Roman" w:hAnsi="Times New Roman" w:cs="Times New Roman"/>
          <w:b/>
          <w:color w:val="auto"/>
          <w:kern w:val="0"/>
          <w:highlight w:val="none"/>
        </w:rPr>
        <w:t>环境影响分析</w:t>
      </w:r>
      <w:bookmarkEnd w:id="1694"/>
      <w:bookmarkEnd w:id="1695"/>
    </w:p>
    <w:p w14:paraId="7DC31961">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本项目为改扩建项目，项目建成投产后，污染物排放满足《炼铁工业大气污染物排放标准》（GB28663-2012）及《关于推进实施钢铁行业超低排放的意见》（环大气[2019]35号）标准限值要求。本项目生产废水排至全厂废水处理系统统一处理，不外排。本项目主要噪声源采取减振、隔声、消声等措施，生产区厂界噪声能够满足《工业企业厂界噪声排放标准》要求。本项目产生的一般固体废弃物包括高炉水渣、粗煤气重力除尘灰、干法煤气布袋除尘灰、环境除尘灰、除尘器收集粉尘及废耐火材料，均回收综合利用；废油脂委托有资质的单位处理。项目产生的固体废物均得到妥善处置。</w:t>
      </w:r>
    </w:p>
    <w:p w14:paraId="1C92C599">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本项目环保措施切实可靠，能够满足环境保护的要求。</w:t>
      </w:r>
    </w:p>
    <w:p w14:paraId="25588EE9">
      <w:pPr>
        <w:shd w:val="clear"/>
        <w:rPr>
          <w:rFonts w:ascii="Times New Roman" w:hAnsi="Times New Roman" w:cs="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18A30191">
      <w:pPr>
        <w:shd w:val="clear"/>
        <w:snapToGrid w:val="0"/>
        <w:ind w:firstLine="0" w:firstLineChars="0"/>
        <w:jc w:val="center"/>
        <w:outlineLvl w:val="0"/>
        <w:rPr>
          <w:rFonts w:ascii="Times New Roman" w:hAnsi="Times New Roman" w:cs="Times New Roman"/>
          <w:b/>
          <w:color w:val="auto"/>
          <w:kern w:val="0"/>
          <w:sz w:val="30"/>
          <w:szCs w:val="28"/>
          <w:highlight w:val="none"/>
        </w:rPr>
      </w:pPr>
      <w:bookmarkStart w:id="1700" w:name="_Toc17711"/>
      <w:bookmarkStart w:id="1701" w:name="_Toc32035"/>
      <w:r>
        <w:rPr>
          <w:rFonts w:hint="eastAsia" w:ascii="Times New Roman" w:hAnsi="Times New Roman" w:cs="Times New Roman"/>
          <w:b/>
          <w:color w:val="auto"/>
          <w:kern w:val="0"/>
          <w:sz w:val="30"/>
          <w:szCs w:val="28"/>
          <w:highlight w:val="none"/>
        </w:rPr>
        <w:t>16 劳动安全</w:t>
      </w:r>
      <w:bookmarkEnd w:id="1696"/>
      <w:bookmarkEnd w:id="1697"/>
      <w:bookmarkEnd w:id="1698"/>
      <w:bookmarkEnd w:id="1699"/>
      <w:bookmarkEnd w:id="1700"/>
      <w:bookmarkEnd w:id="1701"/>
    </w:p>
    <w:p w14:paraId="7772B932">
      <w:pPr>
        <w:shd w:val="clear"/>
        <w:ind w:firstLine="0" w:firstLineChars="0"/>
        <w:outlineLvl w:val="1"/>
        <w:rPr>
          <w:rFonts w:cs="Times New Roman"/>
          <w:b/>
          <w:color w:val="auto"/>
          <w:sz w:val="28"/>
          <w:szCs w:val="28"/>
          <w:highlight w:val="none"/>
        </w:rPr>
      </w:pPr>
      <w:bookmarkStart w:id="1702" w:name="_Toc19870"/>
      <w:bookmarkStart w:id="1703" w:name="_Toc696"/>
      <w:bookmarkStart w:id="1704" w:name="_Toc2730"/>
      <w:bookmarkStart w:id="1705" w:name="_Toc15367"/>
      <w:bookmarkStart w:id="1706" w:name="_Toc30451"/>
      <w:bookmarkStart w:id="1707" w:name="_Toc32329"/>
      <w:r>
        <w:rPr>
          <w:rFonts w:hint="eastAsia" w:cs="Times New Roman"/>
          <w:b/>
          <w:color w:val="auto"/>
          <w:sz w:val="28"/>
          <w:szCs w:val="28"/>
          <w:highlight w:val="none"/>
        </w:rPr>
        <w:t>16.1 设计依据</w:t>
      </w:r>
      <w:bookmarkEnd w:id="1702"/>
      <w:bookmarkEnd w:id="1703"/>
      <w:bookmarkEnd w:id="1704"/>
      <w:bookmarkEnd w:id="1705"/>
      <w:bookmarkEnd w:id="1706"/>
      <w:bookmarkEnd w:id="1707"/>
    </w:p>
    <w:p w14:paraId="5168DABA">
      <w:pPr>
        <w:shd w:val="clear"/>
        <w:autoSpaceDE w:val="0"/>
        <w:autoSpaceDN w:val="0"/>
        <w:rPr>
          <w:rFonts w:ascii="Times New Roman" w:hAnsi="Times New Roman" w:cs="Times New Roman"/>
          <w:color w:val="auto"/>
          <w:kern w:val="0"/>
          <w:szCs w:val="22"/>
          <w:highlight w:val="none"/>
          <w:lang w:bidi="zh-CN"/>
        </w:rPr>
      </w:pPr>
      <w:bookmarkStart w:id="1708" w:name="_Toc21920"/>
      <w:bookmarkStart w:id="1709" w:name="_Toc28259"/>
      <w:bookmarkStart w:id="1710" w:name="_Toc32326"/>
      <w:bookmarkStart w:id="1711" w:name="_Toc26759"/>
      <w:r>
        <w:rPr>
          <w:rFonts w:hint="eastAsia" w:ascii="Times New Roman" w:hAnsi="Times New Roman" w:cs="Times New Roman"/>
          <w:color w:val="auto"/>
          <w:kern w:val="0"/>
          <w:szCs w:val="22"/>
          <w:highlight w:val="none"/>
          <w:lang w:bidi="zh-CN"/>
        </w:rPr>
        <w:t>《中华人民共和国安全生产法》（2021年6月10日修订）；</w:t>
      </w:r>
    </w:p>
    <w:p w14:paraId="6028CAA2">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《中华人民共和国消防法》（2021年4月29日修订）；</w:t>
      </w:r>
    </w:p>
    <w:p w14:paraId="3AC5818B">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《中华人民共和国防震减灾法》（2018年12月17日修订，2019年5月1日施行）；</w:t>
      </w:r>
    </w:p>
    <w:p w14:paraId="69045310">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《中华人民共和国特种设备安全法》（2013年6月29日通过， 2014年1月1日施行）；</w:t>
      </w:r>
    </w:p>
    <w:p w14:paraId="59D6827E">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《中华人民共和国防洪法》（2016年7月2日修订）；</w:t>
      </w:r>
    </w:p>
    <w:p w14:paraId="2162E0D8">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《中华人民共和国电力法》（2018年12月19日修订）；</w:t>
      </w:r>
    </w:p>
    <w:p w14:paraId="36CC65C8">
      <w:pPr>
        <w:shd w:val="clear"/>
        <w:autoSpaceDE w:val="0"/>
        <w:autoSpaceDN w:val="0"/>
        <w:rPr>
          <w:rFonts w:ascii="Times New Roman" w:hAnsi="Times New Roman" w:cs="Times New Roman"/>
          <w:color w:val="auto"/>
          <w:highlight w:val="none"/>
          <w:lang w:bidi="zh-CN"/>
        </w:rPr>
      </w:pPr>
      <w:r>
        <w:rPr>
          <w:rFonts w:hint="eastAsia" w:ascii="Times New Roman" w:hAnsi="Times New Roman" w:cs="Times New Roman"/>
          <w:color w:val="auto"/>
          <w:highlight w:val="none"/>
          <w:lang w:bidi="zh-CN"/>
        </w:rPr>
        <w:t>《工贸企业重大事故隐患判定标准》（应急管理部10号令）；</w:t>
      </w:r>
    </w:p>
    <w:p w14:paraId="5B8ABD7E">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highlight w:val="none"/>
          <w:lang w:bidi="zh-CN"/>
        </w:rPr>
        <w:t>《甘肃省安全生产治本攻坚三年行动实施方案（2024-2026年）》；</w:t>
      </w:r>
    </w:p>
    <w:p w14:paraId="79B34D15">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《工业企业总平面设计规范》(GB50187-2012) ；</w:t>
      </w:r>
    </w:p>
    <w:p w14:paraId="2DBAC83E">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《电业安全工作规程热力和机械部分》(GB26164.1-2010)；</w:t>
      </w:r>
    </w:p>
    <w:p w14:paraId="548C37E5">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《国务院关于进一步加强安全生产工作的通知》（国发〔2010〕23号）；</w:t>
      </w:r>
    </w:p>
    <w:p w14:paraId="3FC80DD8">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《关于修订&lt;特种设备目录&gt;的公告》（国家质检总局2014年第114号）；</w:t>
      </w:r>
    </w:p>
    <w:p w14:paraId="15833F32">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《企业安全生产标准化基本规范》（GB/T 33000-2016）；</w:t>
      </w:r>
    </w:p>
    <w:p w14:paraId="6B396C29">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《钢铁企业总图运输设计规范》(GB50603-2010) ；</w:t>
      </w:r>
    </w:p>
    <w:p w14:paraId="3A4BE9DE">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《石油化工可燃气体和有毒气体检测报警设计标准》（GB/T50493-2019）；</w:t>
      </w:r>
    </w:p>
    <w:p w14:paraId="470BEADB">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《带式输送机安全规范》（</w:t>
      </w:r>
      <w:r>
        <w:rPr>
          <w:color w:val="auto"/>
          <w:highlight w:val="none"/>
        </w:rPr>
        <w:fldChar w:fldCharType="begin"/>
      </w:r>
      <w:r>
        <w:rPr>
          <w:color w:val="auto"/>
          <w:highlight w:val="none"/>
        </w:rPr>
        <w:instrText xml:space="preserve"> HYPERLINK "http://mp.weixin.qq.com/s?src=11&amp;timestamp=1647831545&amp;ver=3689&amp;signature=1FDKSJcsM1ygCBMFf4P7wmwDAxs1*cMHUsyAtP*wwG49mOjW1K4YquNhOc6FDdO-7aZKVVQQJyrY73CBFp9We1LcLFTOQRcKVZ*VH62ZsSB3JnEH*xz--Y2N7v4Xy5tP&amp;new=1" \t "_blank" </w:instrText>
      </w:r>
      <w:r>
        <w:rPr>
          <w:color w:val="auto"/>
          <w:highlight w:val="none"/>
        </w:rPr>
        <w:fldChar w:fldCharType="separate"/>
      </w:r>
      <w:r>
        <w:rPr>
          <w:rFonts w:hint="eastAsia" w:ascii="Times New Roman" w:hAnsi="Times New Roman" w:cs="Times New Roman"/>
          <w:color w:val="auto"/>
          <w:kern w:val="0"/>
          <w:szCs w:val="22"/>
          <w:highlight w:val="none"/>
          <w:lang w:bidi="zh-CN"/>
        </w:rPr>
        <w:t>GB14784-2013</w:t>
      </w:r>
      <w:r>
        <w:rPr>
          <w:rFonts w:hint="eastAsia" w:ascii="Times New Roman" w:hAnsi="Times New Roman" w:cs="Times New Roman"/>
          <w:color w:val="auto"/>
          <w:kern w:val="0"/>
          <w:szCs w:val="22"/>
          <w:highlight w:val="none"/>
          <w:lang w:bidi="zh-CN"/>
        </w:rPr>
        <w:fldChar w:fldCharType="end"/>
      </w:r>
      <w:r>
        <w:rPr>
          <w:rFonts w:hint="eastAsia" w:ascii="Times New Roman" w:hAnsi="Times New Roman" w:cs="Times New Roman"/>
          <w:color w:val="auto"/>
          <w:kern w:val="0"/>
          <w:szCs w:val="22"/>
          <w:highlight w:val="none"/>
          <w:lang w:bidi="zh-CN"/>
        </w:rPr>
        <w:t>）；</w:t>
      </w:r>
    </w:p>
    <w:p w14:paraId="03755CE0">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《高炉炼铁工程设计规范》（GB50427-2015）；</w:t>
      </w:r>
    </w:p>
    <w:p w14:paraId="71C69FA3">
      <w:pPr>
        <w:shd w:val="clear"/>
        <w:autoSpaceDE w:val="0"/>
        <w:autoSpaceDN w:val="0"/>
        <w:rPr>
          <w:rFonts w:ascii="Times New Roman" w:hAnsi="Times New Roman" w:cs="Times New Roman"/>
          <w:color w:val="auto"/>
          <w:kern w:val="0"/>
          <w:szCs w:val="22"/>
          <w:highlight w:val="none"/>
          <w:lang w:bidi="zh-CN"/>
        </w:rPr>
      </w:pPr>
      <w:r>
        <w:rPr>
          <w:color w:val="auto"/>
          <w:highlight w:val="none"/>
        </w:rPr>
        <w:fldChar w:fldCharType="begin"/>
      </w:r>
      <w:r>
        <w:rPr>
          <w:color w:val="auto"/>
          <w:highlight w:val="none"/>
        </w:rPr>
        <w:instrText xml:space="preserve"> HYPERLINK "http://mp.weixin.qq.com/s?src=11&amp;timestamp=1647831818&amp;ver=3689&amp;signature=Fj*SI33Q5GccpgFpgCYlr-2IPA28UxRMgvm7whljaAPmmIbHq6eVNO*g4Hl8l81J69kZXwFqpWsy9mB3CjYZYilz3kb4TxhbsevsE9zDN94HPnx*nEemLiDg*5khde0-&amp;new=1" \t "_blank" </w:instrText>
      </w:r>
      <w:r>
        <w:rPr>
          <w:color w:val="auto"/>
          <w:highlight w:val="none"/>
        </w:rPr>
        <w:fldChar w:fldCharType="separate"/>
      </w:r>
      <w:r>
        <w:rPr>
          <w:rFonts w:hint="eastAsia" w:ascii="Times New Roman" w:hAnsi="Times New Roman" w:cs="Times New Roman"/>
          <w:color w:val="auto"/>
          <w:kern w:val="0"/>
          <w:szCs w:val="22"/>
          <w:highlight w:val="none"/>
          <w:lang w:bidi="zh-CN"/>
        </w:rPr>
        <w:t>《煤气排水器安全技术规程》</w:t>
      </w:r>
      <w:r>
        <w:rPr>
          <w:rFonts w:hint="eastAsia" w:ascii="Times New Roman" w:hAnsi="Times New Roman" w:cs="Times New Roman"/>
          <w:color w:val="auto"/>
          <w:kern w:val="0"/>
          <w:szCs w:val="22"/>
          <w:highlight w:val="none"/>
          <w:lang w:bidi="zh-CN"/>
        </w:rPr>
        <w:fldChar w:fldCharType="end"/>
      </w:r>
      <w:r>
        <w:rPr>
          <w:rFonts w:hint="eastAsia" w:ascii="Times New Roman" w:hAnsi="Times New Roman" w:cs="Times New Roman"/>
          <w:color w:val="auto"/>
          <w:kern w:val="0"/>
          <w:szCs w:val="22"/>
          <w:highlight w:val="none"/>
          <w:lang w:bidi="zh-CN"/>
        </w:rPr>
        <w:t>（AQ7012-2018）；</w:t>
      </w:r>
    </w:p>
    <w:p w14:paraId="58B98311">
      <w:pPr>
        <w:shd w:val="clear"/>
        <w:autoSpaceDE w:val="0"/>
        <w:autoSpaceDN w:val="0"/>
        <w:rPr>
          <w:rFonts w:ascii="Times New Roman" w:hAnsi="Times New Roman" w:cs="Times New Roman"/>
          <w:color w:val="auto"/>
          <w:kern w:val="0"/>
          <w:szCs w:val="22"/>
          <w:highlight w:val="none"/>
          <w:lang w:bidi="zh-CN"/>
        </w:rPr>
      </w:pPr>
      <w:r>
        <w:rPr>
          <w:color w:val="auto"/>
          <w:highlight w:val="none"/>
        </w:rPr>
        <w:fldChar w:fldCharType="begin"/>
      </w:r>
      <w:r>
        <w:rPr>
          <w:color w:val="auto"/>
          <w:highlight w:val="none"/>
        </w:rPr>
        <w:instrText xml:space="preserve"> HYPERLINK "http://mp.weixin.qq.com/s?src=11&amp;timestamp=1647832015&amp;ver=3689&amp;signature=MDpZWK-9DJAUoUzSNSoraguCCKBNd8Kkko8YQqGJb70EnhdMP-bN9AcTo9pVqsL0xvy01yyYDO9oQmYYc5Ob1lGU48jw1iBUp8hGX2LgDO-NIn8iYdVBL0fckh0JVxzP&amp;new=1" \t "_blank" </w:instrText>
      </w:r>
      <w:r>
        <w:rPr>
          <w:color w:val="auto"/>
          <w:highlight w:val="none"/>
        </w:rPr>
        <w:fldChar w:fldCharType="separate"/>
      </w:r>
      <w:r>
        <w:rPr>
          <w:rFonts w:hint="eastAsia" w:ascii="Times New Roman" w:hAnsi="Times New Roman" w:cs="Times New Roman"/>
          <w:color w:val="auto"/>
          <w:kern w:val="0"/>
          <w:szCs w:val="22"/>
          <w:highlight w:val="none"/>
          <w:lang w:bidi="zh-CN"/>
        </w:rPr>
        <w:t>《爆炸危险环境电力装置设计规范》(GB50058-2014)</w:t>
      </w:r>
      <w:r>
        <w:rPr>
          <w:rFonts w:hint="eastAsia" w:ascii="Times New Roman" w:hAnsi="Times New Roman" w:cs="Times New Roman"/>
          <w:color w:val="auto"/>
          <w:kern w:val="0"/>
          <w:szCs w:val="22"/>
          <w:highlight w:val="none"/>
          <w:lang w:bidi="zh-CN"/>
        </w:rPr>
        <w:fldChar w:fldCharType="end"/>
      </w:r>
      <w:r>
        <w:rPr>
          <w:rFonts w:hint="eastAsia" w:ascii="Times New Roman" w:hAnsi="Times New Roman" w:cs="Times New Roman"/>
          <w:color w:val="auto"/>
          <w:kern w:val="0"/>
          <w:szCs w:val="22"/>
          <w:highlight w:val="none"/>
          <w:lang w:bidi="zh-CN"/>
        </w:rPr>
        <w:t>；</w:t>
      </w:r>
    </w:p>
    <w:p w14:paraId="02DA91FC">
      <w:pPr>
        <w:shd w:val="clear"/>
        <w:autoSpaceDE w:val="0"/>
        <w:autoSpaceDN w:val="0"/>
        <w:rPr>
          <w:rFonts w:ascii="Times New Roman" w:hAnsi="Times New Roman" w:cs="Times New Roman"/>
          <w:color w:val="auto"/>
          <w:kern w:val="0"/>
          <w:szCs w:val="22"/>
          <w:highlight w:val="none"/>
          <w:lang w:bidi="zh-CN"/>
        </w:rPr>
      </w:pPr>
      <w:r>
        <w:rPr>
          <w:color w:val="auto"/>
          <w:highlight w:val="none"/>
        </w:rPr>
        <w:fldChar w:fldCharType="begin"/>
      </w:r>
      <w:r>
        <w:rPr>
          <w:color w:val="auto"/>
          <w:highlight w:val="none"/>
        </w:rPr>
        <w:instrText xml:space="preserve"> HYPERLINK "https://www.sogou.com/link?url=hedJjaC291PnHBoXgtElYIx-LcwqAUKxdjshpwq4m-TF9mOM3vNiDZmshriYgohOCNtIkt6bpcn88c9it8wwTQ.." \t "_blank" </w:instrText>
      </w:r>
      <w:r>
        <w:rPr>
          <w:color w:val="auto"/>
          <w:highlight w:val="none"/>
        </w:rPr>
        <w:fldChar w:fldCharType="separate"/>
      </w:r>
      <w:r>
        <w:rPr>
          <w:rFonts w:hint="eastAsia" w:ascii="Times New Roman" w:hAnsi="Times New Roman" w:cs="Times New Roman"/>
          <w:color w:val="auto"/>
          <w:kern w:val="0"/>
          <w:szCs w:val="22"/>
          <w:highlight w:val="none"/>
          <w:lang w:bidi="zh-CN"/>
        </w:rPr>
        <w:t>《钢铁企业煤气储存和输配系统设计规范》</w:t>
      </w:r>
      <w:r>
        <w:rPr>
          <w:rFonts w:hint="eastAsia" w:ascii="Times New Roman" w:hAnsi="Times New Roman" w:cs="Times New Roman"/>
          <w:color w:val="auto"/>
          <w:kern w:val="0"/>
          <w:szCs w:val="22"/>
          <w:highlight w:val="none"/>
          <w:lang w:bidi="zh-CN"/>
        </w:rPr>
        <w:fldChar w:fldCharType="end"/>
      </w:r>
      <w:r>
        <w:rPr>
          <w:rFonts w:hint="eastAsia" w:ascii="Times New Roman" w:hAnsi="Times New Roman" w:cs="Times New Roman"/>
          <w:color w:val="auto"/>
          <w:kern w:val="0"/>
          <w:szCs w:val="22"/>
          <w:highlight w:val="none"/>
          <w:lang w:bidi="zh-CN"/>
        </w:rPr>
        <w:t>（GB 51128-2015）；</w:t>
      </w:r>
    </w:p>
    <w:p w14:paraId="46F56687">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《高炉喷吹烟煤系统防爆安全规程》（GB 16543-2008）；</w:t>
      </w:r>
    </w:p>
    <w:p w14:paraId="2E5947BE">
      <w:pPr>
        <w:shd w:val="clear"/>
        <w:autoSpaceDE w:val="0"/>
        <w:autoSpaceDN w:val="0"/>
        <w:rPr>
          <w:rFonts w:ascii="Times New Roman" w:hAnsi="Times New Roman" w:cs="Times New Roman"/>
          <w:color w:val="auto"/>
          <w:kern w:val="0"/>
          <w:szCs w:val="22"/>
          <w:highlight w:val="none"/>
          <w:lang w:bidi="zh-CN"/>
        </w:rPr>
      </w:pPr>
      <w:r>
        <w:rPr>
          <w:color w:val="auto"/>
          <w:highlight w:val="none"/>
        </w:rPr>
        <w:fldChar w:fldCharType="begin"/>
      </w:r>
      <w:r>
        <w:rPr>
          <w:color w:val="auto"/>
          <w:highlight w:val="none"/>
        </w:rPr>
        <w:instrText xml:space="preserve"> HYPERLINK "http://mp.weixin.qq.com/s?src=11&amp;timestamp=1647832143&amp;ver=3689&amp;signature=2A6pPYd32Jfd8PBTnXE0xfd90WiCkaZEEbGsBLrQnkkbuA*wG4U3a0QY1kzZiTbiMtXziJhcTIDyBUgmParYjLdXRHJWBPly-Y2cJbPs4To9Q6xTR3h31ici0of4JdLj&amp;new=1" \t "_blank" </w:instrText>
      </w:r>
      <w:r>
        <w:rPr>
          <w:color w:val="auto"/>
          <w:highlight w:val="none"/>
        </w:rPr>
        <w:fldChar w:fldCharType="separate"/>
      </w:r>
      <w:r>
        <w:rPr>
          <w:rFonts w:hint="eastAsia" w:ascii="Times New Roman" w:hAnsi="Times New Roman" w:cs="Times New Roman"/>
          <w:color w:val="auto"/>
          <w:kern w:val="0"/>
          <w:szCs w:val="22"/>
          <w:highlight w:val="none"/>
          <w:lang w:bidi="zh-CN"/>
        </w:rPr>
        <w:t>《高炉喷吹粉煤工程设计规范》</w:t>
      </w:r>
      <w:r>
        <w:rPr>
          <w:rFonts w:hint="eastAsia" w:ascii="Times New Roman" w:hAnsi="Times New Roman" w:cs="Times New Roman"/>
          <w:color w:val="auto"/>
          <w:kern w:val="0"/>
          <w:szCs w:val="22"/>
          <w:highlight w:val="none"/>
          <w:lang w:bidi="zh-CN"/>
        </w:rPr>
        <w:fldChar w:fldCharType="end"/>
      </w:r>
      <w:r>
        <w:rPr>
          <w:rFonts w:hint="eastAsia" w:ascii="Times New Roman" w:hAnsi="Times New Roman" w:cs="Times New Roman"/>
          <w:color w:val="auto"/>
          <w:kern w:val="0"/>
          <w:szCs w:val="22"/>
          <w:highlight w:val="none"/>
          <w:lang w:bidi="zh-CN"/>
        </w:rPr>
        <w:t>（GB50607-2010）；</w:t>
      </w:r>
    </w:p>
    <w:p w14:paraId="275F3F0F">
      <w:pPr>
        <w:shd w:val="clear"/>
        <w:autoSpaceDE w:val="0"/>
        <w:autoSpaceDN w:val="0"/>
        <w:rPr>
          <w:rFonts w:ascii="Times New Roman" w:hAnsi="Times New Roman" w:cs="Times New Roman"/>
          <w:color w:val="auto"/>
          <w:kern w:val="0"/>
          <w:szCs w:val="22"/>
          <w:highlight w:val="none"/>
          <w:lang w:bidi="zh-CN"/>
        </w:rPr>
      </w:pPr>
      <w:r>
        <w:rPr>
          <w:color w:val="auto"/>
          <w:highlight w:val="none"/>
        </w:rPr>
        <w:fldChar w:fldCharType="begin"/>
      </w:r>
      <w:r>
        <w:rPr>
          <w:color w:val="auto"/>
          <w:highlight w:val="none"/>
        </w:rPr>
        <w:instrText xml:space="preserve"> HYPERLINK "http://mp.weixin.qq.com/s?src=11&amp;timestamp=1647832253&amp;ver=3689&amp;signature=a8aJ50JLu6-Zux7XaW6eEW0RRRX94Y5OOGVmBCr5nwUU6hAN9LN94U6CJBGNmCwpKa-3RgXzT23eihJhXmVyl6n6nRqsKF56srQ1MXqiKxGSqf49-5mMBAKvHZIjd-fH&amp;new=1" \t "_blank" </w:instrText>
      </w:r>
      <w:r>
        <w:rPr>
          <w:color w:val="auto"/>
          <w:highlight w:val="none"/>
        </w:rPr>
        <w:fldChar w:fldCharType="separate"/>
      </w:r>
      <w:r>
        <w:rPr>
          <w:rFonts w:hint="eastAsia" w:ascii="Times New Roman" w:hAnsi="Times New Roman" w:cs="Times New Roman"/>
          <w:color w:val="auto"/>
          <w:kern w:val="0"/>
          <w:szCs w:val="22"/>
          <w:highlight w:val="none"/>
          <w:lang w:bidi="zh-CN"/>
        </w:rPr>
        <w:t>《工业企业煤气安全规程》(GB6222-2005)</w:t>
      </w:r>
      <w:r>
        <w:rPr>
          <w:rFonts w:hint="eastAsia" w:ascii="Times New Roman" w:hAnsi="Times New Roman" w:cs="Times New Roman"/>
          <w:color w:val="auto"/>
          <w:kern w:val="0"/>
          <w:szCs w:val="22"/>
          <w:highlight w:val="none"/>
          <w:lang w:bidi="zh-CN"/>
        </w:rPr>
        <w:fldChar w:fldCharType="end"/>
      </w:r>
      <w:r>
        <w:rPr>
          <w:rFonts w:hint="eastAsia" w:ascii="Times New Roman" w:hAnsi="Times New Roman" w:cs="Times New Roman"/>
          <w:color w:val="auto"/>
          <w:kern w:val="0"/>
          <w:szCs w:val="22"/>
          <w:highlight w:val="none"/>
          <w:lang w:bidi="zh-CN"/>
        </w:rPr>
        <w:t>；</w:t>
      </w:r>
    </w:p>
    <w:p w14:paraId="1D30DC1D">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《固定式钢梯及平台安全要求第1部分：钢直梯》（GB4053.1-2009）；</w:t>
      </w:r>
    </w:p>
    <w:p w14:paraId="1D347B63">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《固定式钢梯及平台安全要求第2部分：钢斜梯》（GB4053.2-2009）；</w:t>
      </w:r>
    </w:p>
    <w:p w14:paraId="71CC78EB">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《固定式钢梯及平台安全要求第3部分：工业防护栏杆及钢平台》（GB4053.3-2009）；</w:t>
      </w:r>
    </w:p>
    <w:p w14:paraId="4800F074">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《建筑抗震设计规范（2016版）》（GB50011-2010）；</w:t>
      </w:r>
    </w:p>
    <w:p w14:paraId="773CC9DB">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《构筑物抗震设计规范》(GB50189-2012)；</w:t>
      </w:r>
    </w:p>
    <w:p w14:paraId="336F1B0A">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《建筑物防雷设计规范》(GB50057-2010)；</w:t>
      </w:r>
      <w:r>
        <w:rPr>
          <w:rFonts w:hint="eastAsia" w:ascii="Times New Roman" w:hAnsi="Times New Roman" w:cs="Times New Roman"/>
          <w:color w:val="auto"/>
          <w:kern w:val="0"/>
          <w:szCs w:val="22"/>
          <w:highlight w:val="none"/>
          <w:lang w:bidi="zh-CN"/>
        </w:rPr>
        <w:tab/>
      </w:r>
    </w:p>
    <w:p w14:paraId="11EA5754">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《建筑设计防火规范（2018年版）》(GB50016-2014)；</w:t>
      </w:r>
    </w:p>
    <w:p w14:paraId="5E9A8469">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《建筑防火通用规范》（GB 55037-2022）；</w:t>
      </w:r>
    </w:p>
    <w:p w14:paraId="41EFBC45">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《建筑灭火器配置设计规范》（GB 50140-2005）；</w:t>
      </w:r>
    </w:p>
    <w:p w14:paraId="50FAC38A">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《工业建筑供暖通风与空气调节设计规范》（GB 50019-2015）；</w:t>
      </w:r>
    </w:p>
    <w:p w14:paraId="367B4587">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《建筑采光设计标准》(GB50033-2013)；</w:t>
      </w:r>
    </w:p>
    <w:p w14:paraId="601E37F0">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《建筑照明设计标准》（GB/T 50034-2024）；</w:t>
      </w:r>
    </w:p>
    <w:p w14:paraId="4AFED0B3">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 xml:space="preserve">《危险化学品重大危险源辨识》(GB18218-2018)； </w:t>
      </w:r>
    </w:p>
    <w:p w14:paraId="158A4FDA">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《炼铁安全规程》（AQ2002-2018）；</w:t>
      </w:r>
    </w:p>
    <w:p w14:paraId="7DCCF07F">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《钢铁冶金企业设计防火标准》（GB 50414-2018）；</w:t>
      </w:r>
    </w:p>
    <w:p w14:paraId="02FEF140">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《火灾自动报警系统设计规范》（GB50116-2013）；</w:t>
      </w:r>
    </w:p>
    <w:p w14:paraId="675F48BB">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《图形符号安全色和安全标志第5部分:安全标志使用原则与要求》（GB/T 2893.5-2020）；</w:t>
      </w:r>
    </w:p>
    <w:p w14:paraId="52063CC1">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《甘肃省安全生产委员会关于加强企业本质安全体系建设的指导意见》（甘安委发[2019]4号）。</w:t>
      </w:r>
    </w:p>
    <w:p w14:paraId="67D18A49">
      <w:pPr>
        <w:shd w:val="clear"/>
        <w:ind w:firstLine="0" w:firstLineChars="0"/>
        <w:outlineLvl w:val="1"/>
        <w:rPr>
          <w:rFonts w:cs="Times New Roman"/>
          <w:b/>
          <w:color w:val="auto"/>
          <w:sz w:val="28"/>
          <w:szCs w:val="28"/>
          <w:highlight w:val="none"/>
        </w:rPr>
      </w:pPr>
      <w:bookmarkStart w:id="1712" w:name="_Toc30548"/>
      <w:bookmarkStart w:id="1713" w:name="_Toc2313"/>
      <w:r>
        <w:rPr>
          <w:rFonts w:hint="eastAsia" w:cs="Times New Roman"/>
          <w:b/>
          <w:color w:val="auto"/>
          <w:sz w:val="28"/>
          <w:szCs w:val="28"/>
          <w:highlight w:val="none"/>
        </w:rPr>
        <w:t>16.2 生产过程中可能存在的安全危险因素</w:t>
      </w:r>
      <w:bookmarkEnd w:id="1708"/>
      <w:bookmarkEnd w:id="1709"/>
      <w:bookmarkEnd w:id="1710"/>
      <w:bookmarkEnd w:id="1711"/>
      <w:bookmarkEnd w:id="1712"/>
      <w:bookmarkEnd w:id="1713"/>
    </w:p>
    <w:p w14:paraId="64B38D38">
      <w:pPr>
        <w:shd w:val="clear"/>
        <w:autoSpaceDE w:val="0"/>
        <w:autoSpaceDN w:val="0"/>
        <w:rPr>
          <w:rFonts w:ascii="Times New Roman" w:hAnsi="Times New Roman" w:cs="Times New Roman"/>
          <w:color w:val="auto"/>
          <w:kern w:val="0"/>
          <w:szCs w:val="22"/>
          <w:highlight w:val="none"/>
          <w:lang w:bidi="zh-CN"/>
        </w:rPr>
      </w:pPr>
      <w:bookmarkStart w:id="1714" w:name="_Toc21656"/>
      <w:bookmarkStart w:id="1715" w:name="_Toc70093535"/>
      <w:bookmarkStart w:id="1716" w:name="_Toc11937"/>
      <w:bookmarkStart w:id="1717" w:name="_Toc14456"/>
      <w:bookmarkStart w:id="1718" w:name="_Toc7454"/>
      <w:bookmarkStart w:id="1719" w:name="_Toc2497"/>
      <w:r>
        <w:rPr>
          <w:rFonts w:ascii="Times New Roman" w:hAnsi="Times New Roman" w:cs="Times New Roman"/>
          <w:color w:val="auto"/>
          <w:kern w:val="0"/>
          <w:szCs w:val="22"/>
          <w:highlight w:val="none"/>
          <w:lang w:bidi="zh-CN"/>
        </w:rPr>
        <w:t>工程主要危险、危害因素分为两类：一类是自然灾害，有雷击、地震、</w:t>
      </w:r>
      <w:r>
        <w:rPr>
          <w:rFonts w:hint="eastAsia" w:ascii="Times New Roman" w:hAnsi="Times New Roman" w:cs="Times New Roman"/>
          <w:color w:val="auto"/>
          <w:kern w:val="0"/>
          <w:szCs w:val="22"/>
          <w:highlight w:val="none"/>
          <w:lang w:bidi="zh-CN"/>
        </w:rPr>
        <w:t>寒冻暑热</w:t>
      </w:r>
      <w:r>
        <w:rPr>
          <w:rFonts w:ascii="Times New Roman" w:hAnsi="Times New Roman" w:cs="Times New Roman"/>
          <w:color w:val="auto"/>
          <w:kern w:val="0"/>
          <w:szCs w:val="22"/>
          <w:highlight w:val="none"/>
          <w:lang w:bidi="zh-CN"/>
        </w:rPr>
        <w:t>、洪水等；另一类是生产工艺过程存在的危险或可能导致的危害，工艺生产过程中可能产生的危险、有害因素主要有：火灾爆炸、中毒窒息、灼烫、机械伤害和高空坠落、电气伤害</w:t>
      </w:r>
      <w:r>
        <w:rPr>
          <w:rFonts w:hint="eastAsia" w:ascii="Times New Roman" w:hAnsi="Times New Roman" w:cs="Times New Roman"/>
          <w:color w:val="auto"/>
          <w:kern w:val="0"/>
          <w:szCs w:val="22"/>
          <w:highlight w:val="none"/>
          <w:lang w:bidi="zh-CN"/>
        </w:rPr>
        <w:t>、</w:t>
      </w:r>
      <w:r>
        <w:rPr>
          <w:rFonts w:ascii="Times New Roman" w:hAnsi="Times New Roman" w:cs="Times New Roman"/>
          <w:color w:val="auto"/>
          <w:kern w:val="0"/>
          <w:szCs w:val="22"/>
          <w:highlight w:val="none"/>
          <w:lang w:bidi="zh-CN"/>
        </w:rPr>
        <w:t>坍塌</w:t>
      </w:r>
      <w:r>
        <w:rPr>
          <w:rFonts w:hint="eastAsia" w:ascii="Times New Roman" w:hAnsi="Times New Roman" w:cs="Times New Roman"/>
          <w:color w:val="auto"/>
          <w:kern w:val="0"/>
          <w:szCs w:val="22"/>
          <w:highlight w:val="none"/>
          <w:lang w:bidi="zh-CN"/>
        </w:rPr>
        <w:t>、车辆伤害和起重伤害</w:t>
      </w:r>
      <w:r>
        <w:rPr>
          <w:rFonts w:ascii="Times New Roman" w:hAnsi="Times New Roman" w:cs="Times New Roman"/>
          <w:color w:val="auto"/>
          <w:kern w:val="0"/>
          <w:szCs w:val="22"/>
          <w:highlight w:val="none"/>
          <w:lang w:bidi="zh-CN"/>
        </w:rPr>
        <w:t>等。</w:t>
      </w:r>
    </w:p>
    <w:p w14:paraId="491F806F">
      <w:pPr>
        <w:keepNext/>
        <w:keepLines/>
        <w:numPr>
          <w:ilvl w:val="2"/>
          <w:numId w:val="0"/>
        </w:numPr>
        <w:shd w:val="clear"/>
        <w:adjustRightInd w:val="0"/>
        <w:spacing w:before="120"/>
        <w:textAlignment w:val="baseline"/>
        <w:outlineLvl w:val="2"/>
        <w:rPr>
          <w:rFonts w:ascii="Times New Roman" w:hAnsi="Times New Roman" w:cs="Times New Roman"/>
          <w:bCs/>
          <w:color w:val="auto"/>
          <w:highlight w:val="none"/>
        </w:rPr>
      </w:pPr>
      <w:r>
        <w:rPr>
          <w:rFonts w:hint="eastAsia" w:ascii="Times New Roman" w:hAnsi="Times New Roman" w:cs="Times New Roman"/>
          <w:bCs/>
          <w:color w:val="auto"/>
          <w:highlight w:val="none"/>
        </w:rPr>
        <w:t>16</w:t>
      </w:r>
      <w:r>
        <w:rPr>
          <w:rFonts w:ascii="Times New Roman" w:hAnsi="Times New Roman" w:cs="Times New Roman"/>
          <w:bCs/>
          <w:color w:val="auto"/>
          <w:highlight w:val="none"/>
        </w:rPr>
        <w:t>.2.1</w:t>
      </w:r>
      <w:r>
        <w:rPr>
          <w:rFonts w:hint="eastAsia" w:ascii="Times New Roman" w:hAnsi="Times New Roman" w:cs="Times New Roman"/>
          <w:bCs/>
          <w:color w:val="auto"/>
          <w:highlight w:val="none"/>
        </w:rPr>
        <w:t>自然因素</w:t>
      </w:r>
    </w:p>
    <w:p w14:paraId="18C3711C">
      <w:pPr>
        <w:shd w:val="clear"/>
        <w:autoSpaceDE w:val="0"/>
        <w:autoSpaceDN w:val="0"/>
        <w:rPr>
          <w:rFonts w:ascii="Times New Roman" w:hAnsi="Times New Roman" w:cs="Times New Roman"/>
          <w:bCs/>
          <w:color w:val="auto"/>
          <w:kern w:val="0"/>
          <w:szCs w:val="22"/>
          <w:highlight w:val="none"/>
          <w:lang w:bidi="zh-CN"/>
        </w:rPr>
      </w:pPr>
      <w:r>
        <w:rPr>
          <w:rFonts w:hint="eastAsia" w:ascii="Times New Roman" w:hAnsi="Times New Roman" w:cs="Times New Roman"/>
          <w:bCs/>
          <w:color w:val="auto"/>
          <w:kern w:val="0"/>
          <w:szCs w:val="22"/>
          <w:highlight w:val="none"/>
          <w:lang w:bidi="zh-CN"/>
        </w:rPr>
        <w:t>雷电、地震、寒冻暑热、暴雨洪水等不利因素。</w:t>
      </w:r>
    </w:p>
    <w:p w14:paraId="262D58AD">
      <w:pPr>
        <w:keepNext/>
        <w:keepLines/>
        <w:numPr>
          <w:ilvl w:val="2"/>
          <w:numId w:val="0"/>
        </w:numPr>
        <w:shd w:val="clear"/>
        <w:adjustRightInd w:val="0"/>
        <w:spacing w:before="120"/>
        <w:textAlignment w:val="baseline"/>
        <w:outlineLvl w:val="2"/>
        <w:rPr>
          <w:rFonts w:ascii="Times New Roman" w:hAnsi="Times New Roman" w:cs="Times New Roman"/>
          <w:bCs/>
          <w:color w:val="auto"/>
          <w:highlight w:val="none"/>
        </w:rPr>
      </w:pPr>
      <w:bookmarkStart w:id="1720" w:name="_Toc70634186"/>
      <w:bookmarkStart w:id="1721" w:name="_Toc70094111"/>
      <w:bookmarkStart w:id="1722" w:name="_Toc71067773"/>
      <w:bookmarkStart w:id="1723" w:name="_Toc11085"/>
      <w:bookmarkStart w:id="1724" w:name="_Toc70093534"/>
      <w:r>
        <w:rPr>
          <w:rFonts w:hint="eastAsia" w:ascii="Times New Roman" w:hAnsi="Times New Roman" w:cs="Times New Roman"/>
          <w:bCs/>
          <w:color w:val="auto"/>
          <w:highlight w:val="none"/>
        </w:rPr>
        <w:t>16</w:t>
      </w:r>
      <w:r>
        <w:rPr>
          <w:rFonts w:ascii="Times New Roman" w:hAnsi="Times New Roman" w:cs="Times New Roman"/>
          <w:bCs/>
          <w:color w:val="auto"/>
          <w:highlight w:val="none"/>
        </w:rPr>
        <w:t>.2.2生产过程中的危险有害因素</w:t>
      </w:r>
      <w:bookmarkEnd w:id="1720"/>
      <w:bookmarkEnd w:id="1721"/>
      <w:bookmarkEnd w:id="1722"/>
      <w:bookmarkEnd w:id="1723"/>
      <w:bookmarkEnd w:id="1724"/>
    </w:p>
    <w:p w14:paraId="4C7CD023">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（1）火灾、爆炸</w:t>
      </w:r>
    </w:p>
    <w:p w14:paraId="3787388A">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煤气中CO含量较高，具燃爆性，空气中煤气浓度超标，并处在爆炸浓度极限范围内时，如遇明火或火花，可能发生火灾爆炸事故。</w:t>
      </w:r>
    </w:p>
    <w:p w14:paraId="6599A667">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若煤气管道出现负压混入空气达到爆炸极限；管道故障造成煤气泄漏；在维修、维护设备、管道、阀门、防爆膜、盲板等时置换、吹扫不彻底都能引发火灾、爆炸。</w:t>
      </w:r>
    </w:p>
    <w:p w14:paraId="68BD9817">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变配电设施操作不当或管理不善，可能导致电气设备、设施发生短路、过载、接触不良，遇有外来火源都会引发电气火灾，尤其是电缆火灾；电气设施避雷、保护接地、静电接地若不健全，接地线接地电阻如果超标，发生雷击、漏电、静电时，存在过电流烧毁设备、人员触电并引发火灾的危险；系统中的防雷设施不符合规范要求或失效，有遭受雷击引起火灾爆炸的危险。</w:t>
      </w:r>
    </w:p>
    <w:p w14:paraId="28745B69">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热风炉等及蒸汽管道等属于高温高压操作，设备故障或操作不当可能发生爆炸。</w:t>
      </w:r>
    </w:p>
    <w:p w14:paraId="230A7C3E">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高炉炉体、压缩空气储罐、喷煤系统的喷吹罐、分配器以及软水密闭循环冷却的膨胀罐等均属于压力容器，压力容器管理不善有发生物理性爆炸的危险；压力容器由无资质单位生产存在缺陷，使用过程中产生损坏，未定期检验、测厚、防腐；未安装压力表、安全阀或失效等等，都有发生爆炸的危险。</w:t>
      </w:r>
    </w:p>
    <w:p w14:paraId="349C0EAB">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（2）中毒窒息</w:t>
      </w:r>
    </w:p>
    <w:p w14:paraId="3483E11B">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若在生产、使用过程中发生煤气泄漏可能造成作业人员中毒和窒息。</w:t>
      </w:r>
    </w:p>
    <w:p w14:paraId="5B304C4A">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煤气管道操作、检修现场未配备有毒气体检测报警或检测报警器失灵，可能造成人员中毒、窒息。</w:t>
      </w:r>
    </w:p>
    <w:p w14:paraId="24368B76">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放散管高度不够，煤气需要放散时，因为煤气在凹处聚集，若人处在聚集区内，极易发生中毒等意外事故。</w:t>
      </w:r>
    </w:p>
    <w:p w14:paraId="1917F795">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（3）灼烫</w:t>
      </w:r>
    </w:p>
    <w:p w14:paraId="2703BDF3">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热风炉等及蒸汽管道等属于高温高压操作，设备故障或操作不当可能发生烫伤。</w:t>
      </w:r>
    </w:p>
    <w:p w14:paraId="2582BDC8">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本项目存在铁水，在操作过程中发生铁水飞溅可能会造成灼烫。</w:t>
      </w:r>
    </w:p>
    <w:p w14:paraId="70628A45">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（4）机械伤害</w:t>
      </w:r>
    </w:p>
    <w:p w14:paraId="26B5EC4E">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各生产设备操作不当可能发生设备事故和机械伤害；风机等转动设备运转时，如果裸露运动部分没有安装安全防护装置或防护装置失效，将可能对人身造成机械伤害事故。</w:t>
      </w:r>
    </w:p>
    <w:p w14:paraId="3AB82B27">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（5）高空坠落</w:t>
      </w:r>
    </w:p>
    <w:p w14:paraId="4AAAC02E">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在高处作业特别是检修作业时操作不当、登高作业时违反规定（如：未系安全带）、防护栏失效、平台楼梯不符合相关规定等会发生高处坠落事故。</w:t>
      </w:r>
    </w:p>
    <w:p w14:paraId="1BD6F6F4">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（6）电气伤害</w:t>
      </w:r>
    </w:p>
    <w:p w14:paraId="3BCFA21D">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电气设备不合格，或电气设备缺少屏护，安全距离不足，或检修违反电气安全操作规程，带电作业时，防护用具绝缘失效、没有按规定佩戴防护用具、违反安全操作规程或者没有保持足够的安全距离，都有可能发生高压触电危险。</w:t>
      </w:r>
    </w:p>
    <w:p w14:paraId="5EDF025B">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主电源、各种变压器，各种以电力为能源的动力、照明装置、控制电器设备、电缆电线等，因故障、误操作、过负荷、老化失修、雷击等原因，不仅本身有可能发生火灾爆炸的危险，而且可能直接造成人身触电、设备损坏、仪表失灵、系统破坏等危险。</w:t>
      </w:r>
    </w:p>
    <w:p w14:paraId="1D690973">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（7）坍塌</w:t>
      </w:r>
    </w:p>
    <w:p w14:paraId="0F08D253">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由于建、构筑物过负荷、地震、强风等因素导致建、构筑物、操作平台、管道等坍塌，造成人身伤亡事故。</w:t>
      </w:r>
    </w:p>
    <w:p w14:paraId="086BDB81">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（8）车辆伤害</w:t>
      </w:r>
    </w:p>
    <w:p w14:paraId="1A533727">
      <w:pPr>
        <w:shd w:val="clear"/>
        <w:autoSpaceDE w:val="0"/>
        <w:autoSpaceDN w:val="0"/>
        <w:ind w:left="480" w:leftChars="200" w:firstLine="0" w:firstLineChars="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生产过程中</w:t>
      </w:r>
      <w:r>
        <w:rPr>
          <w:rFonts w:ascii="Times New Roman" w:hAnsi="Times New Roman" w:cs="Times New Roman"/>
          <w:color w:val="auto"/>
          <w:kern w:val="0"/>
          <w:szCs w:val="22"/>
          <w:highlight w:val="none"/>
          <w:lang w:bidi="zh-CN"/>
        </w:rPr>
        <w:t>运输设备</w:t>
      </w:r>
      <w:r>
        <w:rPr>
          <w:rFonts w:hint="eastAsia" w:ascii="Times New Roman" w:hAnsi="Times New Roman" w:cs="Times New Roman"/>
          <w:color w:val="auto"/>
          <w:kern w:val="0"/>
          <w:szCs w:val="22"/>
          <w:highlight w:val="none"/>
          <w:lang w:bidi="zh-CN"/>
        </w:rPr>
        <w:t>可能会</w:t>
      </w:r>
      <w:r>
        <w:rPr>
          <w:rFonts w:ascii="Times New Roman" w:hAnsi="Times New Roman" w:cs="Times New Roman"/>
          <w:color w:val="auto"/>
          <w:kern w:val="0"/>
          <w:szCs w:val="22"/>
          <w:highlight w:val="none"/>
          <w:lang w:bidi="zh-CN"/>
        </w:rPr>
        <w:t>造成的车辆伤害</w:t>
      </w:r>
      <w:r>
        <w:rPr>
          <w:rFonts w:hint="eastAsia" w:ascii="Times New Roman" w:hAnsi="Times New Roman" w:cs="Times New Roman"/>
          <w:color w:val="auto"/>
          <w:kern w:val="0"/>
          <w:szCs w:val="22"/>
          <w:highlight w:val="none"/>
          <w:lang w:bidi="zh-CN"/>
        </w:rPr>
        <w:t>。</w:t>
      </w:r>
    </w:p>
    <w:p w14:paraId="767C8C6B">
      <w:pPr>
        <w:shd w:val="clear"/>
        <w:autoSpaceDE w:val="0"/>
        <w:autoSpaceDN w:val="0"/>
        <w:ind w:left="480" w:leftChars="200" w:firstLine="0" w:firstLineChars="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（9）起重伤害</w:t>
      </w:r>
    </w:p>
    <w:p w14:paraId="1A609BD9">
      <w:pPr>
        <w:shd w:val="clear"/>
        <w:autoSpaceDE w:val="0"/>
        <w:autoSpaceDN w:val="0"/>
        <w:ind w:left="480" w:leftChars="200" w:firstLine="0" w:firstLineChars="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在起重作业中发生的各种意外伤害</w:t>
      </w:r>
      <w:r>
        <w:rPr>
          <w:rFonts w:hint="eastAsia" w:ascii="Times New Roman" w:hAnsi="Times New Roman" w:cs="Times New Roman"/>
          <w:color w:val="auto"/>
          <w:kern w:val="0"/>
          <w:szCs w:val="22"/>
          <w:highlight w:val="none"/>
          <w:lang w:bidi="zh-CN"/>
        </w:rPr>
        <w:t>。</w:t>
      </w:r>
    </w:p>
    <w:p w14:paraId="35002436">
      <w:pPr>
        <w:shd w:val="clear"/>
        <w:ind w:firstLine="0" w:firstLineChars="0"/>
        <w:outlineLvl w:val="1"/>
        <w:rPr>
          <w:rFonts w:cs="Times New Roman"/>
          <w:b/>
          <w:color w:val="auto"/>
          <w:sz w:val="28"/>
          <w:szCs w:val="28"/>
          <w:highlight w:val="none"/>
        </w:rPr>
      </w:pPr>
      <w:bookmarkStart w:id="1725" w:name="_Toc6479"/>
      <w:bookmarkStart w:id="1726" w:name="_Toc25035"/>
      <w:r>
        <w:rPr>
          <w:rFonts w:hint="eastAsia" w:cs="Times New Roman"/>
          <w:b/>
          <w:color w:val="auto"/>
          <w:sz w:val="28"/>
          <w:szCs w:val="28"/>
          <w:highlight w:val="none"/>
        </w:rPr>
        <w:t>16.3 设计采取的主要防范措施</w:t>
      </w:r>
      <w:bookmarkEnd w:id="1714"/>
      <w:bookmarkEnd w:id="1715"/>
      <w:bookmarkEnd w:id="1716"/>
      <w:bookmarkEnd w:id="1717"/>
      <w:bookmarkEnd w:id="1718"/>
      <w:bookmarkEnd w:id="1719"/>
      <w:bookmarkEnd w:id="1725"/>
      <w:bookmarkEnd w:id="1726"/>
    </w:p>
    <w:p w14:paraId="208A67D0">
      <w:pPr>
        <w:keepNext/>
        <w:keepLines/>
        <w:numPr>
          <w:ilvl w:val="2"/>
          <w:numId w:val="0"/>
        </w:numPr>
        <w:shd w:val="clear"/>
        <w:adjustRightInd w:val="0"/>
        <w:spacing w:before="120"/>
        <w:textAlignment w:val="baseline"/>
        <w:outlineLvl w:val="2"/>
        <w:rPr>
          <w:rFonts w:ascii="Times New Roman" w:hAnsi="Times New Roman" w:cs="Times New Roman"/>
          <w:bCs/>
          <w:color w:val="auto"/>
          <w:highlight w:val="none"/>
        </w:rPr>
      </w:pPr>
      <w:bookmarkStart w:id="1727" w:name="_Toc8323"/>
      <w:bookmarkStart w:id="1728" w:name="_Toc70634188"/>
      <w:bookmarkStart w:id="1729" w:name="_Toc71067775"/>
      <w:bookmarkStart w:id="1730" w:name="_Toc70093536"/>
      <w:bookmarkStart w:id="1731" w:name="_Toc70094113"/>
      <w:bookmarkStart w:id="1732" w:name="_Toc1533"/>
      <w:bookmarkStart w:id="1733" w:name="_Toc28868"/>
      <w:bookmarkStart w:id="1734" w:name="_Toc29193"/>
      <w:bookmarkStart w:id="1735" w:name="_Toc70093538"/>
      <w:bookmarkStart w:id="1736" w:name="_Toc29283"/>
      <w:bookmarkStart w:id="1737" w:name="_Toc18608"/>
      <w:r>
        <w:rPr>
          <w:rFonts w:hint="eastAsia" w:ascii="Times New Roman" w:hAnsi="Times New Roman" w:cs="Times New Roman"/>
          <w:bCs/>
          <w:color w:val="auto"/>
          <w:highlight w:val="none"/>
        </w:rPr>
        <w:t>16.3.1 自然灾害及其预防措施</w:t>
      </w:r>
      <w:bookmarkEnd w:id="1727"/>
      <w:bookmarkEnd w:id="1728"/>
      <w:bookmarkEnd w:id="1729"/>
      <w:bookmarkEnd w:id="1730"/>
      <w:bookmarkEnd w:id="1731"/>
    </w:p>
    <w:p w14:paraId="03C471A4">
      <w:pPr>
        <w:shd w:val="clear"/>
        <w:autoSpaceDE w:val="0"/>
        <w:autoSpaceDN w:val="0"/>
        <w:rPr>
          <w:rFonts w:ascii="Times New Roman" w:hAnsi="Times New Roman" w:cs="Times New Roman"/>
          <w:color w:val="auto"/>
          <w:kern w:val="0"/>
          <w:szCs w:val="22"/>
          <w:highlight w:val="none"/>
          <w:lang w:val="zh-CN" w:bidi="zh-CN"/>
        </w:rPr>
      </w:pPr>
      <w:r>
        <w:rPr>
          <w:rFonts w:hint="eastAsia" w:ascii="Times New Roman" w:hAnsi="Times New Roman" w:cs="Times New Roman"/>
          <w:color w:val="auto"/>
          <w:kern w:val="0"/>
          <w:szCs w:val="22"/>
          <w:highlight w:val="none"/>
          <w:lang w:val="zh-CN" w:bidi="zh-CN"/>
        </w:rPr>
        <w:t>（1）</w:t>
      </w:r>
      <w:r>
        <w:rPr>
          <w:rFonts w:hint="eastAsia" w:ascii="Times New Roman" w:hAnsi="Times New Roman" w:cs="Times New Roman"/>
          <w:color w:val="auto"/>
          <w:kern w:val="0"/>
          <w:szCs w:val="22"/>
          <w:highlight w:val="none"/>
          <w:lang w:bidi="zh-CN"/>
        </w:rPr>
        <w:t>防</w:t>
      </w:r>
      <w:r>
        <w:rPr>
          <w:rFonts w:hint="eastAsia" w:ascii="Times New Roman" w:hAnsi="Times New Roman" w:cs="Times New Roman"/>
          <w:color w:val="auto"/>
          <w:kern w:val="0"/>
          <w:szCs w:val="22"/>
          <w:highlight w:val="none"/>
          <w:lang w:val="zh-CN" w:bidi="zh-CN"/>
        </w:rPr>
        <w:t>雷电</w:t>
      </w:r>
    </w:p>
    <w:p w14:paraId="77D29DF4">
      <w:pPr>
        <w:shd w:val="clear"/>
        <w:autoSpaceDE w:val="0"/>
        <w:autoSpaceDN w:val="0"/>
        <w:rPr>
          <w:rFonts w:ascii="Times New Roman" w:hAnsi="Times New Roman" w:cs="Times New Roman"/>
          <w:color w:val="auto"/>
          <w:kern w:val="0"/>
          <w:szCs w:val="22"/>
          <w:highlight w:val="none"/>
          <w:lang w:val="zh-CN" w:bidi="zh-CN"/>
        </w:rPr>
      </w:pPr>
      <w:r>
        <w:rPr>
          <w:rFonts w:hint="eastAsia" w:ascii="Times New Roman" w:hAnsi="Times New Roman" w:cs="Times New Roman"/>
          <w:color w:val="auto"/>
          <w:kern w:val="0"/>
          <w:szCs w:val="22"/>
          <w:highlight w:val="none"/>
          <w:lang w:val="zh-CN" w:bidi="zh-CN"/>
        </w:rPr>
        <w:t>新建动力管线、电缆管线、烟囱、煤气管道、水处理管线、电气设施、计算机等设有防雷防静电安全接地措施，所有正常不带电的电气设备金属外壳均接地保护。</w:t>
      </w:r>
    </w:p>
    <w:p w14:paraId="5E5477C0">
      <w:pPr>
        <w:shd w:val="clear"/>
        <w:autoSpaceDE w:val="0"/>
        <w:autoSpaceDN w:val="0"/>
        <w:rPr>
          <w:rFonts w:ascii="Times New Roman" w:hAnsi="Times New Roman" w:cs="Times New Roman"/>
          <w:color w:val="auto"/>
          <w:kern w:val="0"/>
          <w:szCs w:val="22"/>
          <w:highlight w:val="none"/>
          <w:lang w:val="zh-CN" w:bidi="zh-CN"/>
        </w:rPr>
      </w:pPr>
      <w:r>
        <w:rPr>
          <w:rFonts w:hint="eastAsia" w:ascii="Times New Roman" w:hAnsi="Times New Roman" w:cs="Times New Roman"/>
          <w:color w:val="auto"/>
          <w:kern w:val="0"/>
          <w:szCs w:val="22"/>
          <w:highlight w:val="none"/>
          <w:lang w:val="zh-CN" w:bidi="zh-CN"/>
        </w:rPr>
        <w:t>（</w:t>
      </w:r>
      <w:r>
        <w:rPr>
          <w:rFonts w:hint="eastAsia" w:ascii="Times New Roman" w:hAnsi="Times New Roman" w:cs="Times New Roman"/>
          <w:color w:val="auto"/>
          <w:kern w:val="0"/>
          <w:szCs w:val="22"/>
          <w:highlight w:val="none"/>
          <w:lang w:bidi="zh-CN"/>
        </w:rPr>
        <w:t>2</w:t>
      </w:r>
      <w:r>
        <w:rPr>
          <w:rFonts w:hint="eastAsia" w:ascii="Times New Roman" w:hAnsi="Times New Roman" w:cs="Times New Roman"/>
          <w:color w:val="auto"/>
          <w:kern w:val="0"/>
          <w:szCs w:val="22"/>
          <w:highlight w:val="none"/>
          <w:lang w:val="zh-CN" w:bidi="zh-CN"/>
        </w:rPr>
        <w:t>）抗震</w:t>
      </w:r>
    </w:p>
    <w:p w14:paraId="4FD4F653">
      <w:pPr>
        <w:shd w:val="clear"/>
        <w:autoSpaceDE w:val="0"/>
        <w:autoSpaceDN w:val="0"/>
        <w:rPr>
          <w:rFonts w:ascii="Times New Roman" w:hAnsi="Times New Roman" w:cs="Times New Roman"/>
          <w:color w:val="auto"/>
          <w:kern w:val="0"/>
          <w:szCs w:val="22"/>
          <w:highlight w:val="none"/>
          <w:lang w:val="zh-CN" w:bidi="zh-CN"/>
        </w:rPr>
      </w:pPr>
      <w:r>
        <w:rPr>
          <w:rFonts w:hint="eastAsia" w:ascii="Times New Roman" w:hAnsi="Times New Roman" w:cs="Times New Roman"/>
          <w:color w:val="auto"/>
          <w:kern w:val="0"/>
          <w:szCs w:val="22"/>
          <w:highlight w:val="none"/>
          <w:lang w:val="zh-CN" w:bidi="zh-CN"/>
        </w:rPr>
        <w:t>本项目区域的地震基本烈度为</w:t>
      </w:r>
      <w:r>
        <w:rPr>
          <w:rFonts w:hint="eastAsia" w:ascii="Times New Roman" w:hAnsi="Times New Roman" w:cs="Times New Roman"/>
          <w:color w:val="auto"/>
          <w:kern w:val="0"/>
          <w:szCs w:val="22"/>
          <w:highlight w:val="none"/>
          <w:lang w:bidi="zh-CN"/>
        </w:rPr>
        <w:t>8</w:t>
      </w:r>
      <w:r>
        <w:rPr>
          <w:rFonts w:hint="eastAsia" w:ascii="Times New Roman" w:hAnsi="Times New Roman" w:cs="Times New Roman"/>
          <w:color w:val="auto"/>
          <w:kern w:val="0"/>
          <w:szCs w:val="22"/>
          <w:highlight w:val="none"/>
          <w:lang w:val="zh-CN" w:bidi="zh-CN"/>
        </w:rPr>
        <w:t>度，本工程主厂房和配套的公辅设施等所有建、构筑物均按地震烈</w:t>
      </w:r>
      <w:r>
        <w:rPr>
          <w:rFonts w:hint="eastAsia" w:ascii="Times New Roman" w:hAnsi="Times New Roman" w:cs="Times New Roman"/>
          <w:color w:val="auto"/>
          <w:kern w:val="0"/>
          <w:szCs w:val="22"/>
          <w:highlight w:val="none"/>
          <w:lang w:bidi="zh-CN"/>
        </w:rPr>
        <w:t>8</w:t>
      </w:r>
      <w:r>
        <w:rPr>
          <w:rFonts w:hint="eastAsia" w:ascii="Times New Roman" w:hAnsi="Times New Roman" w:cs="Times New Roman"/>
          <w:color w:val="auto"/>
          <w:kern w:val="0"/>
          <w:szCs w:val="22"/>
          <w:highlight w:val="none"/>
          <w:lang w:val="zh-CN" w:bidi="zh-CN"/>
        </w:rPr>
        <w:t>度进行设防，所有电气设备均按有关规范采取抗震加固措施，电气设施按抗震</w:t>
      </w:r>
      <w:r>
        <w:rPr>
          <w:rFonts w:hint="eastAsia" w:ascii="Times New Roman" w:hAnsi="Times New Roman" w:cs="Times New Roman"/>
          <w:color w:val="auto"/>
          <w:kern w:val="0"/>
          <w:szCs w:val="22"/>
          <w:highlight w:val="none"/>
          <w:lang w:bidi="zh-CN"/>
        </w:rPr>
        <w:t>8</w:t>
      </w:r>
      <w:r>
        <w:rPr>
          <w:rFonts w:hint="eastAsia" w:ascii="Times New Roman" w:hAnsi="Times New Roman" w:cs="Times New Roman"/>
          <w:color w:val="auto"/>
          <w:kern w:val="0"/>
          <w:szCs w:val="22"/>
          <w:highlight w:val="none"/>
          <w:lang w:val="zh-CN" w:bidi="zh-CN"/>
        </w:rPr>
        <w:t>度考虑。</w:t>
      </w:r>
    </w:p>
    <w:p w14:paraId="42C869B0">
      <w:pPr>
        <w:shd w:val="clear"/>
        <w:autoSpaceDE w:val="0"/>
        <w:autoSpaceDN w:val="0"/>
        <w:rPr>
          <w:rFonts w:ascii="Times New Roman" w:hAnsi="Times New Roman" w:cs="Times New Roman"/>
          <w:color w:val="auto"/>
          <w:kern w:val="0"/>
          <w:szCs w:val="22"/>
          <w:highlight w:val="none"/>
          <w:lang w:val="zh-CN" w:bidi="zh-CN"/>
        </w:rPr>
      </w:pPr>
      <w:r>
        <w:rPr>
          <w:rFonts w:hint="eastAsia" w:ascii="Times New Roman" w:hAnsi="Times New Roman" w:cs="Times New Roman"/>
          <w:color w:val="auto"/>
          <w:kern w:val="0"/>
          <w:szCs w:val="22"/>
          <w:highlight w:val="none"/>
          <w:lang w:val="zh-CN" w:bidi="zh-CN"/>
        </w:rPr>
        <w:t>（3）防洪涝：</w:t>
      </w:r>
    </w:p>
    <w:p w14:paraId="7A8D4A0A">
      <w:pPr>
        <w:shd w:val="clear"/>
        <w:autoSpaceDE w:val="0"/>
        <w:autoSpaceDN w:val="0"/>
        <w:rPr>
          <w:rFonts w:ascii="Times New Roman" w:hAnsi="Times New Roman" w:cs="Times New Roman"/>
          <w:color w:val="auto"/>
          <w:kern w:val="0"/>
          <w:szCs w:val="22"/>
          <w:highlight w:val="none"/>
          <w:lang w:val="zh-CN" w:bidi="zh-CN"/>
        </w:rPr>
      </w:pPr>
      <w:r>
        <w:rPr>
          <w:rFonts w:hint="eastAsia" w:ascii="Times New Roman" w:hAnsi="Times New Roman" w:cs="Times New Roman"/>
          <w:color w:val="auto"/>
          <w:kern w:val="0"/>
          <w:szCs w:val="22"/>
          <w:highlight w:val="none"/>
          <w:lang w:val="zh-CN" w:bidi="zh-CN"/>
        </w:rPr>
        <w:t>为防止暴雨或其它原因造成室外暂时积水侵入室内，建筑物室内地坪标高高于历史最高水文标高。</w:t>
      </w:r>
    </w:p>
    <w:p w14:paraId="148F01DA">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val="zh-CN" w:bidi="zh-CN"/>
        </w:rPr>
        <w:t>（4）防寒冻</w:t>
      </w:r>
      <w:r>
        <w:rPr>
          <w:rFonts w:hint="eastAsia" w:ascii="Times New Roman" w:hAnsi="Times New Roman" w:cs="Times New Roman"/>
          <w:color w:val="auto"/>
          <w:kern w:val="0"/>
          <w:szCs w:val="22"/>
          <w:highlight w:val="none"/>
          <w:lang w:bidi="zh-CN"/>
        </w:rPr>
        <w:t>暑热</w:t>
      </w:r>
    </w:p>
    <w:p w14:paraId="174EF180">
      <w:pPr>
        <w:shd w:val="clear"/>
        <w:autoSpaceDE w:val="0"/>
        <w:autoSpaceDN w:val="0"/>
        <w:rPr>
          <w:rFonts w:ascii="Times New Roman" w:hAnsi="Times New Roman" w:cs="Times New Roman"/>
          <w:color w:val="auto"/>
          <w:kern w:val="0"/>
          <w:szCs w:val="22"/>
          <w:highlight w:val="none"/>
          <w:lang w:val="zh-CN" w:bidi="zh-CN"/>
        </w:rPr>
      </w:pPr>
      <w:r>
        <w:rPr>
          <w:rFonts w:ascii="Times New Roman" w:hAnsi="Times New Roman" w:cs="Times New Roman"/>
          <w:color w:val="auto"/>
          <w:kern w:val="0"/>
          <w:szCs w:val="22"/>
          <w:highlight w:val="none"/>
          <w:lang w:val="zh-CN" w:bidi="zh-CN"/>
        </w:rPr>
        <w:t>管道考虑保温措施，外加保温层。新建办公室、值班室、休息室、会议室等房间设置采暖设施，采暖温度为18~20℃；水泵房等区域设置值班采暖，采暖温度为5℃。利旧办公室、值班室、休息室、会议室等房间的采暖设施不变。</w:t>
      </w:r>
    </w:p>
    <w:p w14:paraId="0D6F1D31">
      <w:pPr>
        <w:shd w:val="clear"/>
        <w:autoSpaceDE w:val="0"/>
        <w:autoSpaceDN w:val="0"/>
        <w:rPr>
          <w:rFonts w:ascii="Times New Roman" w:hAnsi="Times New Roman" w:cs="Times New Roman"/>
          <w:color w:val="auto"/>
          <w:kern w:val="0"/>
          <w:szCs w:val="22"/>
          <w:highlight w:val="none"/>
          <w:lang w:val="zh-CN" w:bidi="zh-CN"/>
        </w:rPr>
      </w:pPr>
      <w:r>
        <w:rPr>
          <w:rFonts w:hint="eastAsia" w:ascii="Times New Roman" w:hAnsi="Times New Roman" w:cs="Times New Roman"/>
          <w:color w:val="auto"/>
          <w:kern w:val="0"/>
          <w:szCs w:val="22"/>
          <w:highlight w:val="none"/>
          <w:lang w:val="zh-CN" w:bidi="zh-CN"/>
        </w:rPr>
        <w:t>建筑物尽量采用南北朝向，并组织好自然通风。</w:t>
      </w:r>
    </w:p>
    <w:p w14:paraId="7686F186">
      <w:pPr>
        <w:keepNext/>
        <w:keepLines/>
        <w:numPr>
          <w:ilvl w:val="2"/>
          <w:numId w:val="0"/>
        </w:numPr>
        <w:shd w:val="clear"/>
        <w:adjustRightInd w:val="0"/>
        <w:spacing w:before="120"/>
        <w:textAlignment w:val="baseline"/>
        <w:outlineLvl w:val="2"/>
        <w:rPr>
          <w:rFonts w:ascii="Times New Roman" w:hAnsi="Times New Roman" w:cs="Times New Roman"/>
          <w:bCs/>
          <w:color w:val="auto"/>
          <w:highlight w:val="none"/>
        </w:rPr>
      </w:pPr>
      <w:bookmarkStart w:id="1738" w:name="_Toc70093537"/>
      <w:bookmarkStart w:id="1739" w:name="_Toc70634189"/>
      <w:bookmarkStart w:id="1740" w:name="_Toc70094114"/>
      <w:bookmarkStart w:id="1741" w:name="_Toc71067776"/>
      <w:bookmarkStart w:id="1742" w:name="_Toc13669"/>
      <w:r>
        <w:rPr>
          <w:rFonts w:hint="eastAsia" w:ascii="Times New Roman" w:hAnsi="Times New Roman" w:cs="Times New Roman"/>
          <w:bCs/>
          <w:color w:val="auto"/>
          <w:highlight w:val="none"/>
        </w:rPr>
        <w:t>16.3.2 生产过程中的危险有害因素防范措施</w:t>
      </w:r>
      <w:bookmarkEnd w:id="1738"/>
      <w:bookmarkEnd w:id="1739"/>
      <w:bookmarkEnd w:id="1740"/>
      <w:bookmarkEnd w:id="1741"/>
      <w:bookmarkEnd w:id="1742"/>
    </w:p>
    <w:p w14:paraId="633E64BD">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（1）防火防爆</w:t>
      </w:r>
    </w:p>
    <w:p w14:paraId="719C3BF5">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高炉煤气比空气密度大，高炉煤气属于乙类火灾危险的介质。</w:t>
      </w:r>
    </w:p>
    <w:p w14:paraId="50338E4E">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煤气管道上放散口、盲板阀、煤气管道排水器为爆炸性气体的主要释放源。高炉煤气以释放源为中心，地坪上7.5m高度和15m半径以内范围，释放源顶部7.5m高度和7.5m半径以内范围为防爆2区；释放源15m半径范围内的地坪下的坑、沟为防爆1区。</w:t>
      </w:r>
    </w:p>
    <w:p w14:paraId="6C41522F">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本设计新建构筑物与周围建构筑物之间的距离符合设计规范规定和要求。</w:t>
      </w:r>
    </w:p>
    <w:p w14:paraId="623B59A7">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厂区设有环形消防通道，按规定配置消火栓。在有火灾爆炸危险的场所，设置火灾自动报警系统，并且相关设备的电气设施均为防爆型。所有压力容器以及压力管道等设计符合现行压力容器安全技术监察规程。</w:t>
      </w:r>
    </w:p>
    <w:p w14:paraId="7D9DCC88">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煤气布袋除尘器与周围建筑保持至少5米间距。</w:t>
      </w:r>
    </w:p>
    <w:p w14:paraId="7A67C5F3">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TRT厂房内设置了气路、油路、水路、电气、声光报警和连锁。</w:t>
      </w:r>
    </w:p>
    <w:p w14:paraId="53767048">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喷煤系统采用惰性气氛的保护措施。袋式除尘器采用消静电针刺毡滤料及设置泄爆门等安全措施。喷吹罐充压、流化、助吹全部采用氮气。用氮气惰化保护。喷吹系统的温度、压力超标时，有报警显示，紧急时可自动停机。煤粉仓用氮气保持微负压，仓壁上设多点温度计监测温度并报警。管道堵塞和断煤时，有报警显示，可自动和手动吹扫。设备全部设有防静电措施。</w:t>
      </w:r>
    </w:p>
    <w:p w14:paraId="58F7966F">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炉基周围、熔融金属管和浇包吊运区域、熔融金属罐车运行区域，应保持清洁干燥，不应积水和堆积废料。炉基水槽应保持畅通。以防铁水遇水爆炸伤人。</w:t>
      </w:r>
    </w:p>
    <w:p w14:paraId="618A4465">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动力电缆选用阻燃型铜芯电力电缆；控制电缆选用阻燃型铜芯控制电缆。电缆敷设完毕后，电缆沟进入电气室的入口处、配电室楼板和墙上的电缆贯穿孔洞等均需采取安装防火门或用防火堵料严密封堵等防火措施因2号高炉改造项目施工造成的炼铁开关站消防设施破坏的，在项目施工时进行修复；对新增低压电缆、通信线路，按照规范要求粉刷防火涂料，并在电缆沟道内设置防火墙。</w:t>
      </w:r>
    </w:p>
    <w:p w14:paraId="5BF35D78">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仪表设备在选型时，应遵循《酒钢（集团）自动化仪表配置及验收标准》，并根据现场的环境情况，选择防爆类型的仪表设备，以保证各工艺过程安全、正常生产的顺利进行。</w:t>
      </w:r>
    </w:p>
    <w:p w14:paraId="1054FA6F">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压力容器的设计制造及其主要附件、仪表的配置严格按照《压力容器安全技术监察规程》（TSG 21-2016）的规定进行。</w:t>
      </w:r>
    </w:p>
    <w:p w14:paraId="5CB54AF1">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压力容器定期检验、检修，安装压力表、安全阀等安全附件。建立压力容器装置巡检制度，并且对压力容器本体及其安全附件、装卸附件、安全保护装置、测量调控装置、附属仪器仪表进行经常性维护保养。对发现的异常情况及时处理并且记录，保证在用压力容器始终处于正常使用状态。</w:t>
      </w:r>
    </w:p>
    <w:p w14:paraId="17A3CF12">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本项目粗煤气、热风炉、煤气干法除尘、调压阀组、高炉喷煤、</w:t>
      </w:r>
      <w:r>
        <w:rPr>
          <w:rFonts w:hint="eastAsia" w:ascii="Times New Roman" w:hAnsi="Times New Roman" w:cs="Times New Roman"/>
          <w:color w:val="auto"/>
          <w:kern w:val="0"/>
          <w:szCs w:val="22"/>
          <w:highlight w:val="none"/>
          <w:lang w:val="en-US" w:bidi="zh-CN"/>
        </w:rPr>
        <w:t>TRT</w:t>
      </w:r>
      <w:r>
        <w:rPr>
          <w:rFonts w:hint="eastAsia" w:ascii="Times New Roman" w:hAnsi="Times New Roman" w:cs="Times New Roman"/>
          <w:color w:val="auto"/>
          <w:kern w:val="0"/>
          <w:szCs w:val="22"/>
          <w:highlight w:val="none"/>
          <w:lang w:bidi="zh-CN"/>
        </w:rPr>
        <w:t>、均属于爆炸危险区域，上述区域电气按防爆要求进行设计，防爆区域内的机旁操作箱、检修电源箱、照明灯具等电气设备均采用防爆型，电气按防爆要求施工。</w:t>
      </w:r>
    </w:p>
    <w:p w14:paraId="53521986">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（2）防煤气中毒和氮气窒息</w:t>
      </w:r>
    </w:p>
    <w:p w14:paraId="714BBCCC">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项目可能产生煤气、氮气泄露的生产区域设有CO检测报警或氧含量检测报警装置。</w:t>
      </w:r>
    </w:p>
    <w:p w14:paraId="463159BE">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煤气危险区域，包括高炉风口（及以上）平台、热风炉操作平台、TRT、除尘器卸灰平台等易产生煤气泄漏而人员作业频率较高的区域，设固定式一氧化碳监测报警装置。</w:t>
      </w:r>
    </w:p>
    <w:p w14:paraId="459F4EA9">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定期巡回检查，及时发现泄漏点，并进行现场处理。</w:t>
      </w:r>
    </w:p>
    <w:p w14:paraId="78E4FBAF">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为巡检人员配置便携式燃气检测仪和氧含量监测仪和相应的防护用品。</w:t>
      </w:r>
    </w:p>
    <w:p w14:paraId="67F38C1E">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避免超温、超压操作，避免设备管线受到外力撞击，做好设备、管线的防腐保温工作，延长设备、管线使用寿命，减少泄漏概率。</w:t>
      </w:r>
    </w:p>
    <w:p w14:paraId="1A07FC7F">
      <w:pPr>
        <w:shd w:val="clear"/>
        <w:autoSpaceDE w:val="0"/>
        <w:autoSpaceDN w:val="0"/>
        <w:spacing w:line="360" w:lineRule="auto"/>
        <w:ind w:firstLine="480" w:firstLineChars="200"/>
        <w:rPr>
          <w:rFonts w:hint="eastAsia" w:ascii="Times New Roman" w:hAnsi="Times New Roman" w:eastAsia="宋体" w:cs="Times New Roman"/>
          <w:color w:val="auto"/>
          <w:kern w:val="0"/>
          <w:szCs w:val="22"/>
          <w:highlight w:val="none"/>
          <w:lang w:val="en-US" w:bidi="zh-CN"/>
        </w:rPr>
      </w:pPr>
      <w:r>
        <w:rPr>
          <w:rFonts w:hint="eastAsia" w:ascii="Times New Roman" w:hAnsi="Times New Roman" w:eastAsia="宋体" w:cs="Times New Roman"/>
          <w:color w:val="auto"/>
          <w:kern w:val="0"/>
          <w:szCs w:val="22"/>
          <w:highlight w:val="none"/>
          <w:lang w:val="en-US" w:bidi="zh-CN"/>
        </w:rPr>
        <w:t>为了</w:t>
      </w:r>
      <w:r>
        <w:rPr>
          <w:rFonts w:hint="eastAsia" w:ascii="Times New Roman" w:hAnsi="Times New Roman" w:eastAsia="宋体" w:cs="Times New Roman"/>
          <w:color w:val="auto"/>
          <w:kern w:val="0"/>
          <w:szCs w:val="22"/>
          <w:highlight w:val="none"/>
          <w:lang w:val="en-US" w:eastAsia="zh-CN" w:bidi="zh-CN"/>
        </w:rPr>
        <w:t>保障本工程</w:t>
      </w:r>
      <w:r>
        <w:rPr>
          <w:rFonts w:hint="eastAsia" w:ascii="Times New Roman" w:hAnsi="Times New Roman" w:eastAsia="宋体" w:cs="Times New Roman"/>
          <w:color w:val="auto"/>
          <w:kern w:val="0"/>
          <w:szCs w:val="22"/>
          <w:highlight w:val="none"/>
          <w:lang w:val="en-US" w:bidi="zh-CN"/>
        </w:rPr>
        <w:t>附近的生产和人身安全，在相关煤气易泄漏区域设置CO有毒气体检测报警装置。</w:t>
      </w:r>
    </w:p>
    <w:p w14:paraId="7C4E76CA">
      <w:pPr>
        <w:shd w:val="clear"/>
        <w:autoSpaceDE/>
        <w:autoSpaceDN/>
        <w:spacing w:line="360" w:lineRule="auto"/>
        <w:ind w:firstLine="480" w:firstLineChars="200"/>
        <w:jc w:val="center"/>
        <w:rPr>
          <w:rFonts w:hint="default" w:ascii="Times New Roman" w:hAnsi="Times New Roman" w:eastAsia="黑体" w:cs="Times New Roman"/>
          <w:color w:val="auto"/>
          <w:kern w:val="2"/>
          <w:sz w:val="24"/>
          <w:szCs w:val="32"/>
          <w:highlight w:val="none"/>
          <w:lang w:val="en-US" w:eastAsia="zh-CN" w:bidi="ar-SA"/>
        </w:rPr>
      </w:pPr>
      <w:r>
        <w:rPr>
          <w:rFonts w:hint="default" w:ascii="Times New Roman" w:hAnsi="Times New Roman" w:eastAsia="黑体" w:cs="Times New Roman"/>
          <w:color w:val="auto"/>
          <w:kern w:val="2"/>
          <w:sz w:val="24"/>
          <w:szCs w:val="32"/>
          <w:highlight w:val="none"/>
          <w:lang w:val="en-US" w:eastAsia="zh-CN" w:bidi="ar-SA"/>
        </w:rPr>
        <w:t>表16.3-1  2#高炉气体检测报警</w:t>
      </w:r>
    </w:p>
    <w:p w14:paraId="7EB838CB">
      <w:pPr>
        <w:pStyle w:val="73"/>
        <w:shd w:val="clear"/>
        <w:rPr>
          <w:rFonts w:hint="default"/>
          <w:color w:val="auto"/>
          <w:highlight w:val="none"/>
          <w:lang w:val="en-US"/>
        </w:rPr>
      </w:pPr>
    </w:p>
    <w:tbl>
      <w:tblPr>
        <w:tblStyle w:val="60"/>
        <w:tblW w:w="45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4060"/>
        <w:gridCol w:w="1669"/>
        <w:gridCol w:w="1346"/>
      </w:tblGrid>
      <w:tr w14:paraId="5EA11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blHeader/>
          <w:jc w:val="center"/>
        </w:trPr>
        <w:tc>
          <w:tcPr>
            <w:tcW w:w="723" w:type="dxa"/>
            <w:noWrap w:val="0"/>
            <w:vAlign w:val="center"/>
          </w:tcPr>
          <w:p w14:paraId="6D0E3084">
            <w:pPr>
              <w:shd w:val="clear"/>
              <w:adjustRightInd w:val="0"/>
              <w:spacing w:line="240" w:lineRule="auto"/>
              <w:ind w:firstLine="0" w:firstLineChars="0"/>
              <w:rPr>
                <w:color w:val="auto"/>
                <w:highlight w:val="none"/>
                <w:lang w:val="ru-RU"/>
              </w:rPr>
            </w:pPr>
            <w:r>
              <w:rPr>
                <w:rFonts w:hint="eastAsia"/>
                <w:color w:val="auto"/>
                <w:highlight w:val="none"/>
              </w:rPr>
              <w:t>序号</w:t>
            </w:r>
          </w:p>
        </w:tc>
        <w:tc>
          <w:tcPr>
            <w:tcW w:w="4060" w:type="dxa"/>
            <w:noWrap w:val="0"/>
            <w:vAlign w:val="center"/>
          </w:tcPr>
          <w:p w14:paraId="4E7E206E">
            <w:pPr>
              <w:shd w:val="clear"/>
              <w:adjustRightInd w:val="0"/>
              <w:spacing w:line="240" w:lineRule="auto"/>
              <w:ind w:firstLine="0" w:firstLineChars="0"/>
              <w:rPr>
                <w:color w:val="auto"/>
                <w:highlight w:val="none"/>
              </w:rPr>
            </w:pPr>
            <w:r>
              <w:rPr>
                <w:rFonts w:hint="eastAsia" w:ascii="Times New Roman" w:hAnsi="Times New Roman" w:cs="Times New Roman"/>
                <w:color w:val="auto"/>
                <w:highlight w:val="none"/>
              </w:rPr>
              <w:t>位置</w:t>
            </w:r>
          </w:p>
        </w:tc>
        <w:tc>
          <w:tcPr>
            <w:tcW w:w="1669" w:type="dxa"/>
            <w:noWrap w:val="0"/>
            <w:vAlign w:val="center"/>
          </w:tcPr>
          <w:p w14:paraId="4BD32668">
            <w:pPr>
              <w:shd w:val="clear"/>
              <w:adjustRightInd w:val="0"/>
              <w:spacing w:line="240" w:lineRule="auto"/>
              <w:rPr>
                <w:color w:val="auto"/>
                <w:highlight w:val="none"/>
              </w:rPr>
            </w:pPr>
            <w:r>
              <w:rPr>
                <w:rFonts w:hint="eastAsia"/>
                <w:color w:val="auto"/>
                <w:highlight w:val="none"/>
              </w:rPr>
              <w:t>数量</w:t>
            </w:r>
          </w:p>
        </w:tc>
        <w:tc>
          <w:tcPr>
            <w:tcW w:w="1346" w:type="dxa"/>
            <w:noWrap w:val="0"/>
            <w:vAlign w:val="center"/>
          </w:tcPr>
          <w:p w14:paraId="60644FDD">
            <w:pPr>
              <w:shd w:val="clear"/>
              <w:adjustRightInd w:val="0"/>
              <w:spacing w:line="240" w:lineRule="auto"/>
              <w:rPr>
                <w:color w:val="auto"/>
                <w:highlight w:val="none"/>
                <w:lang w:val="ru-RU"/>
              </w:rPr>
            </w:pPr>
            <w:r>
              <w:rPr>
                <w:rFonts w:hint="eastAsia"/>
                <w:color w:val="auto"/>
                <w:highlight w:val="none"/>
                <w:lang w:val="ru-RU"/>
              </w:rPr>
              <w:t>备注</w:t>
            </w:r>
          </w:p>
        </w:tc>
      </w:tr>
      <w:tr w14:paraId="0A7B4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23" w:type="dxa"/>
            <w:noWrap w:val="0"/>
            <w:vAlign w:val="center"/>
          </w:tcPr>
          <w:p w14:paraId="40BE6C5F">
            <w:pPr>
              <w:shd w:val="clear"/>
              <w:adjustRightInd w:val="0"/>
              <w:spacing w:line="240" w:lineRule="auto"/>
              <w:ind w:firstLine="0" w:firstLineChars="0"/>
              <w:jc w:val="both"/>
              <w:rPr>
                <w:rFonts w:ascii="Times New Roman" w:hAnsi="Times New Roman" w:cs="Times New Roman"/>
                <w:color w:val="auto"/>
                <w:highlight w:val="none"/>
                <w:lang w:val="ru-RU"/>
              </w:rPr>
            </w:pPr>
            <w:r>
              <w:rPr>
                <w:rFonts w:hint="eastAsia" w:ascii="Times New Roman" w:hAnsi="Times New Roman" w:cs="Times New Roman"/>
                <w:color w:val="auto"/>
                <w:highlight w:val="none"/>
              </w:rPr>
              <w:t>1</w:t>
            </w:r>
          </w:p>
        </w:tc>
        <w:tc>
          <w:tcPr>
            <w:tcW w:w="4060" w:type="dxa"/>
            <w:noWrap w:val="0"/>
            <w:vAlign w:val="center"/>
          </w:tcPr>
          <w:p w14:paraId="680EB49C">
            <w:pPr>
              <w:shd w:val="clear"/>
              <w:adjustRightInd w:val="0"/>
              <w:spacing w:line="240" w:lineRule="auto"/>
              <w:ind w:firstLine="0" w:firstLineChars="0"/>
              <w:jc w:val="both"/>
              <w:rPr>
                <w:color w:val="auto"/>
                <w:highlight w:val="none"/>
              </w:rPr>
            </w:pPr>
            <w:r>
              <w:rPr>
                <w:rFonts w:hint="eastAsia"/>
                <w:color w:val="auto"/>
                <w:highlight w:val="none"/>
              </w:rPr>
              <w:t>进、出口烟囱CEMS平台</w:t>
            </w:r>
          </w:p>
        </w:tc>
        <w:tc>
          <w:tcPr>
            <w:tcW w:w="1669" w:type="dxa"/>
            <w:noWrap w:val="0"/>
            <w:vAlign w:val="center"/>
          </w:tcPr>
          <w:p w14:paraId="5F2140A1">
            <w:pPr>
              <w:shd w:val="clear"/>
              <w:adjustRightInd w:val="0"/>
              <w:spacing w:line="240" w:lineRule="auto"/>
              <w:rPr>
                <w:color w:val="auto"/>
                <w:highlight w:val="none"/>
              </w:rPr>
            </w:pPr>
            <w:r>
              <w:rPr>
                <w:rFonts w:hint="eastAsia"/>
                <w:color w:val="auto"/>
                <w:highlight w:val="none"/>
                <w:lang w:val="en-US" w:eastAsia="zh-CN"/>
              </w:rPr>
              <w:t>4</w:t>
            </w:r>
            <w:r>
              <w:rPr>
                <w:rFonts w:hint="eastAsia"/>
                <w:color w:val="auto"/>
                <w:highlight w:val="none"/>
              </w:rPr>
              <w:t>台</w:t>
            </w:r>
          </w:p>
        </w:tc>
        <w:tc>
          <w:tcPr>
            <w:tcW w:w="1346" w:type="dxa"/>
            <w:noWrap w:val="0"/>
            <w:vAlign w:val="center"/>
          </w:tcPr>
          <w:p w14:paraId="5A90F94F">
            <w:pPr>
              <w:shd w:val="clear"/>
              <w:adjustRightInd w:val="0"/>
              <w:spacing w:line="240" w:lineRule="auto"/>
              <w:jc w:val="center"/>
              <w:rPr>
                <w:color w:val="auto"/>
                <w:highlight w:val="none"/>
                <w:lang w:val="ru-RU"/>
              </w:rPr>
            </w:pPr>
          </w:p>
        </w:tc>
      </w:tr>
      <w:tr w14:paraId="1777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23" w:type="dxa"/>
            <w:noWrap w:val="0"/>
            <w:vAlign w:val="center"/>
          </w:tcPr>
          <w:p w14:paraId="52ADDB88">
            <w:pPr>
              <w:shd w:val="clear"/>
              <w:adjustRightInd w:val="0"/>
              <w:spacing w:line="240" w:lineRule="auto"/>
              <w:ind w:firstLine="0" w:firstLineChars="0"/>
              <w:jc w:val="both"/>
              <w:rPr>
                <w:rFonts w:ascii="Times New Roman" w:hAnsi="Times New Roman" w:cs="Times New Roman"/>
                <w:color w:val="auto"/>
                <w:highlight w:val="none"/>
              </w:rPr>
            </w:pPr>
            <w:r>
              <w:rPr>
                <w:rFonts w:hint="eastAsia" w:ascii="Times New Roman" w:hAnsi="Times New Roman" w:cs="Times New Roman"/>
                <w:color w:val="auto"/>
                <w:highlight w:val="none"/>
              </w:rPr>
              <w:t>10</w:t>
            </w:r>
          </w:p>
        </w:tc>
        <w:tc>
          <w:tcPr>
            <w:tcW w:w="4060" w:type="dxa"/>
            <w:noWrap w:val="0"/>
            <w:vAlign w:val="center"/>
          </w:tcPr>
          <w:p w14:paraId="72BDA302">
            <w:pPr>
              <w:shd w:val="clear"/>
              <w:adjustRightInd w:val="0"/>
              <w:spacing w:line="240" w:lineRule="auto"/>
              <w:ind w:firstLine="0" w:firstLineChars="0"/>
              <w:jc w:val="both"/>
              <w:rPr>
                <w:rFonts w:hint="eastAsia" w:eastAsia="宋体"/>
                <w:color w:val="auto"/>
                <w:highlight w:val="none"/>
                <w:lang w:val="en-US" w:eastAsia="zh-CN"/>
              </w:rPr>
            </w:pPr>
            <w:r>
              <w:rPr>
                <w:rFonts w:hint="eastAsia"/>
                <w:color w:val="auto"/>
                <w:highlight w:val="none"/>
              </w:rPr>
              <w:t>CEMS小</w:t>
            </w:r>
            <w:r>
              <w:rPr>
                <w:rFonts w:hint="eastAsia"/>
                <w:color w:val="auto"/>
                <w:highlight w:val="none"/>
                <w:lang w:val="en-US" w:eastAsia="zh-CN"/>
              </w:rPr>
              <w:t>房</w:t>
            </w:r>
          </w:p>
        </w:tc>
        <w:tc>
          <w:tcPr>
            <w:tcW w:w="1669" w:type="dxa"/>
            <w:noWrap w:val="0"/>
            <w:vAlign w:val="center"/>
          </w:tcPr>
          <w:p w14:paraId="7301C848">
            <w:pPr>
              <w:shd w:val="clear"/>
              <w:adjustRightInd w:val="0"/>
              <w:spacing w:line="240" w:lineRule="auto"/>
              <w:rPr>
                <w:color w:val="auto"/>
                <w:highlight w:val="none"/>
              </w:rPr>
            </w:pPr>
            <w:r>
              <w:rPr>
                <w:rFonts w:hint="eastAsia"/>
                <w:color w:val="auto"/>
                <w:highlight w:val="none"/>
                <w:lang w:val="en-US" w:eastAsia="zh-CN"/>
              </w:rPr>
              <w:t>4</w:t>
            </w:r>
            <w:r>
              <w:rPr>
                <w:rFonts w:hint="eastAsia"/>
                <w:color w:val="auto"/>
                <w:highlight w:val="none"/>
              </w:rPr>
              <w:t>台</w:t>
            </w:r>
          </w:p>
        </w:tc>
        <w:tc>
          <w:tcPr>
            <w:tcW w:w="1346" w:type="dxa"/>
            <w:noWrap w:val="0"/>
            <w:vAlign w:val="center"/>
          </w:tcPr>
          <w:p w14:paraId="307AA6A2">
            <w:pPr>
              <w:shd w:val="clear"/>
              <w:adjustRightInd w:val="0"/>
              <w:spacing w:line="240" w:lineRule="auto"/>
              <w:jc w:val="center"/>
              <w:rPr>
                <w:color w:val="auto"/>
                <w:highlight w:val="none"/>
              </w:rPr>
            </w:pPr>
          </w:p>
        </w:tc>
      </w:tr>
      <w:tr w14:paraId="6C402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23" w:type="dxa"/>
            <w:noWrap w:val="0"/>
            <w:vAlign w:val="center"/>
          </w:tcPr>
          <w:p w14:paraId="0CD4CB68">
            <w:pPr>
              <w:shd w:val="clear"/>
              <w:adjustRightInd w:val="0"/>
              <w:spacing w:line="240" w:lineRule="auto"/>
              <w:ind w:firstLine="0" w:firstLineChars="0"/>
              <w:jc w:val="both"/>
              <w:rPr>
                <w:rFonts w:ascii="Times New Roman" w:hAnsi="Times New Roman" w:cs="Times New Roman"/>
                <w:color w:val="auto"/>
                <w:highlight w:val="none"/>
              </w:rPr>
            </w:pPr>
            <w:r>
              <w:rPr>
                <w:rFonts w:hint="eastAsia" w:ascii="Times New Roman" w:hAnsi="Times New Roman" w:cs="Times New Roman"/>
                <w:color w:val="auto"/>
                <w:highlight w:val="none"/>
              </w:rPr>
              <w:t>11</w:t>
            </w:r>
          </w:p>
        </w:tc>
        <w:tc>
          <w:tcPr>
            <w:tcW w:w="4060" w:type="dxa"/>
            <w:noWrap w:val="0"/>
            <w:vAlign w:val="center"/>
          </w:tcPr>
          <w:p w14:paraId="79B76906">
            <w:pPr>
              <w:shd w:val="clear"/>
              <w:adjustRightInd w:val="0"/>
              <w:spacing w:line="240" w:lineRule="auto"/>
              <w:ind w:firstLine="0" w:firstLineChars="0"/>
              <w:jc w:val="both"/>
              <w:rPr>
                <w:color w:val="auto"/>
                <w:highlight w:val="none"/>
              </w:rPr>
            </w:pPr>
            <w:r>
              <w:rPr>
                <w:rFonts w:hint="eastAsia" w:ascii="Times New Roman" w:hAnsi="Times New Roman" w:cs="Times New Roman"/>
                <w:color w:val="auto"/>
                <w:highlight w:val="none"/>
              </w:rPr>
              <w:t>热风炉+32.605煤气阀门平台</w:t>
            </w:r>
          </w:p>
        </w:tc>
        <w:tc>
          <w:tcPr>
            <w:tcW w:w="1669" w:type="dxa"/>
            <w:noWrap w:val="0"/>
            <w:vAlign w:val="center"/>
          </w:tcPr>
          <w:p w14:paraId="53BDA703">
            <w:pPr>
              <w:shd w:val="clear"/>
              <w:adjustRightInd w:val="0"/>
              <w:spacing w:line="240" w:lineRule="auto"/>
              <w:rPr>
                <w:color w:val="auto"/>
                <w:highlight w:val="none"/>
              </w:rPr>
            </w:pPr>
            <w:r>
              <w:rPr>
                <w:rFonts w:hint="eastAsia"/>
                <w:color w:val="auto"/>
                <w:highlight w:val="none"/>
              </w:rPr>
              <w:t>1台</w:t>
            </w:r>
          </w:p>
        </w:tc>
        <w:tc>
          <w:tcPr>
            <w:tcW w:w="1346" w:type="dxa"/>
            <w:noWrap w:val="0"/>
            <w:vAlign w:val="center"/>
          </w:tcPr>
          <w:p w14:paraId="3322F793">
            <w:pPr>
              <w:shd w:val="clear"/>
              <w:adjustRightInd w:val="0"/>
              <w:spacing w:line="240" w:lineRule="auto"/>
              <w:jc w:val="center"/>
              <w:rPr>
                <w:color w:val="auto"/>
                <w:highlight w:val="none"/>
              </w:rPr>
            </w:pPr>
          </w:p>
        </w:tc>
      </w:tr>
      <w:tr w14:paraId="0E5DD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23" w:type="dxa"/>
            <w:noWrap w:val="0"/>
            <w:vAlign w:val="center"/>
          </w:tcPr>
          <w:p w14:paraId="0DB9F147">
            <w:pPr>
              <w:shd w:val="clear"/>
              <w:adjustRightInd w:val="0"/>
              <w:spacing w:line="240" w:lineRule="auto"/>
              <w:ind w:firstLine="0" w:firstLineChars="0"/>
              <w:jc w:val="both"/>
              <w:rPr>
                <w:rFonts w:ascii="Times New Roman" w:hAnsi="Times New Roman" w:cs="Times New Roman"/>
                <w:color w:val="auto"/>
                <w:highlight w:val="none"/>
              </w:rPr>
            </w:pPr>
            <w:r>
              <w:rPr>
                <w:rFonts w:hint="eastAsia" w:ascii="Times New Roman" w:hAnsi="Times New Roman" w:cs="Times New Roman"/>
                <w:color w:val="auto"/>
                <w:highlight w:val="none"/>
              </w:rPr>
              <w:t>12</w:t>
            </w:r>
          </w:p>
        </w:tc>
        <w:tc>
          <w:tcPr>
            <w:tcW w:w="4060" w:type="dxa"/>
            <w:noWrap w:val="0"/>
            <w:vAlign w:val="center"/>
          </w:tcPr>
          <w:p w14:paraId="4C1C9660">
            <w:pPr>
              <w:shd w:val="clear"/>
              <w:adjustRightInd w:val="0"/>
              <w:spacing w:line="240" w:lineRule="auto"/>
              <w:ind w:firstLine="0" w:firstLineChars="0"/>
              <w:jc w:val="both"/>
              <w:rPr>
                <w:color w:val="auto"/>
                <w:highlight w:val="none"/>
              </w:rPr>
            </w:pPr>
            <w:r>
              <w:rPr>
                <w:rFonts w:hint="eastAsia" w:ascii="Times New Roman" w:hAnsi="Times New Roman" w:cs="Times New Roman"/>
                <w:color w:val="auto"/>
                <w:highlight w:val="none"/>
              </w:rPr>
              <w:t>高炉粗煤气系统新增仓泵卸灰处</w:t>
            </w:r>
          </w:p>
        </w:tc>
        <w:tc>
          <w:tcPr>
            <w:tcW w:w="1669" w:type="dxa"/>
            <w:noWrap w:val="0"/>
            <w:vAlign w:val="center"/>
          </w:tcPr>
          <w:p w14:paraId="0C5651AA">
            <w:pPr>
              <w:shd w:val="clear"/>
              <w:adjustRightInd w:val="0"/>
              <w:spacing w:line="240" w:lineRule="auto"/>
              <w:rPr>
                <w:color w:val="auto"/>
                <w:highlight w:val="none"/>
              </w:rPr>
            </w:pPr>
            <w:r>
              <w:rPr>
                <w:rFonts w:hint="eastAsia"/>
                <w:color w:val="auto"/>
                <w:highlight w:val="none"/>
              </w:rPr>
              <w:t>4台</w:t>
            </w:r>
          </w:p>
        </w:tc>
        <w:tc>
          <w:tcPr>
            <w:tcW w:w="1346" w:type="dxa"/>
            <w:noWrap w:val="0"/>
            <w:vAlign w:val="center"/>
          </w:tcPr>
          <w:p w14:paraId="727915B3">
            <w:pPr>
              <w:shd w:val="clear"/>
              <w:adjustRightInd w:val="0"/>
              <w:spacing w:line="240" w:lineRule="auto"/>
              <w:jc w:val="center"/>
              <w:rPr>
                <w:color w:val="auto"/>
                <w:highlight w:val="none"/>
              </w:rPr>
            </w:pPr>
          </w:p>
        </w:tc>
      </w:tr>
      <w:tr w14:paraId="5F3E7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23" w:type="dxa"/>
            <w:noWrap w:val="0"/>
            <w:vAlign w:val="center"/>
          </w:tcPr>
          <w:p w14:paraId="080A0E76">
            <w:pPr>
              <w:shd w:val="clear"/>
              <w:adjustRightInd w:val="0"/>
              <w:spacing w:line="240" w:lineRule="auto"/>
              <w:ind w:firstLine="0" w:firstLineChars="0"/>
              <w:jc w:val="both"/>
              <w:rPr>
                <w:rFonts w:ascii="Times New Roman" w:hAnsi="Times New Roman" w:cs="Times New Roman"/>
                <w:color w:val="auto"/>
                <w:highlight w:val="none"/>
              </w:rPr>
            </w:pPr>
            <w:r>
              <w:rPr>
                <w:rFonts w:hint="eastAsia" w:ascii="Times New Roman" w:hAnsi="Times New Roman" w:cs="Times New Roman"/>
                <w:color w:val="auto"/>
                <w:highlight w:val="none"/>
              </w:rPr>
              <w:t>13</w:t>
            </w:r>
          </w:p>
        </w:tc>
        <w:tc>
          <w:tcPr>
            <w:tcW w:w="4060" w:type="dxa"/>
            <w:noWrap w:val="0"/>
            <w:vAlign w:val="center"/>
          </w:tcPr>
          <w:p w14:paraId="0BB028C4">
            <w:pPr>
              <w:shd w:val="clear"/>
              <w:adjustRightInd w:val="0"/>
              <w:spacing w:line="240" w:lineRule="auto"/>
              <w:ind w:firstLine="0" w:firstLineChars="0"/>
              <w:jc w:val="both"/>
              <w:rPr>
                <w:color w:val="auto"/>
                <w:highlight w:val="none"/>
              </w:rPr>
            </w:pPr>
            <w:r>
              <w:rPr>
                <w:rFonts w:hint="eastAsia" w:ascii="Times New Roman" w:hAnsi="Times New Roman" w:cs="Times New Roman"/>
                <w:color w:val="auto"/>
                <w:highlight w:val="none"/>
              </w:rPr>
              <w:t>高炉粗煤气系统新增灰仓卸灰处</w:t>
            </w:r>
          </w:p>
        </w:tc>
        <w:tc>
          <w:tcPr>
            <w:tcW w:w="1669" w:type="dxa"/>
            <w:noWrap w:val="0"/>
            <w:vAlign w:val="center"/>
          </w:tcPr>
          <w:p w14:paraId="7D8831C5">
            <w:pPr>
              <w:shd w:val="clear"/>
              <w:adjustRightInd w:val="0"/>
              <w:spacing w:line="240" w:lineRule="auto"/>
              <w:rPr>
                <w:color w:val="auto"/>
                <w:highlight w:val="none"/>
              </w:rPr>
            </w:pPr>
            <w:r>
              <w:rPr>
                <w:rFonts w:hint="eastAsia"/>
                <w:color w:val="auto"/>
                <w:highlight w:val="none"/>
              </w:rPr>
              <w:t>2台</w:t>
            </w:r>
          </w:p>
        </w:tc>
        <w:tc>
          <w:tcPr>
            <w:tcW w:w="1346" w:type="dxa"/>
            <w:noWrap w:val="0"/>
            <w:vAlign w:val="center"/>
          </w:tcPr>
          <w:p w14:paraId="06C3CA6A">
            <w:pPr>
              <w:shd w:val="clear"/>
              <w:adjustRightInd w:val="0"/>
              <w:spacing w:line="240" w:lineRule="auto"/>
              <w:jc w:val="center"/>
              <w:rPr>
                <w:color w:val="auto"/>
                <w:highlight w:val="none"/>
              </w:rPr>
            </w:pPr>
          </w:p>
        </w:tc>
      </w:tr>
      <w:tr w14:paraId="1D5A9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23" w:type="dxa"/>
            <w:noWrap w:val="0"/>
            <w:vAlign w:val="center"/>
          </w:tcPr>
          <w:p w14:paraId="44C5561E">
            <w:pPr>
              <w:shd w:val="clear"/>
              <w:adjustRightInd w:val="0"/>
              <w:spacing w:line="240" w:lineRule="auto"/>
              <w:ind w:firstLine="0" w:firstLineChars="0"/>
              <w:jc w:val="both"/>
              <w:rPr>
                <w:rFonts w:ascii="Times New Roman" w:hAnsi="Times New Roman" w:cs="Times New Roman"/>
                <w:color w:val="auto"/>
                <w:highlight w:val="none"/>
              </w:rPr>
            </w:pPr>
            <w:r>
              <w:rPr>
                <w:rFonts w:hint="eastAsia" w:ascii="Times New Roman" w:hAnsi="Times New Roman" w:cs="Times New Roman"/>
                <w:color w:val="auto"/>
                <w:highlight w:val="none"/>
              </w:rPr>
              <w:t>14</w:t>
            </w:r>
          </w:p>
        </w:tc>
        <w:tc>
          <w:tcPr>
            <w:tcW w:w="4060" w:type="dxa"/>
            <w:noWrap w:val="0"/>
            <w:vAlign w:val="center"/>
          </w:tcPr>
          <w:p w14:paraId="20A75552">
            <w:pPr>
              <w:shd w:val="clear"/>
              <w:adjustRightInd w:val="0"/>
              <w:spacing w:line="240" w:lineRule="auto"/>
              <w:ind w:firstLine="0" w:firstLineChars="0"/>
              <w:jc w:val="both"/>
              <w:rPr>
                <w:rFonts w:hint="default" w:eastAsia="宋体"/>
                <w:color w:val="auto"/>
                <w:highlight w:val="none"/>
                <w:lang w:val="en-US" w:eastAsia="zh-CN"/>
              </w:rPr>
            </w:pPr>
            <w:r>
              <w:rPr>
                <w:rFonts w:hint="eastAsia"/>
                <w:color w:val="auto"/>
                <w:highlight w:val="none"/>
                <w:lang w:val="en-US" w:eastAsia="zh-CN"/>
              </w:rPr>
              <w:t>煤气分析仪小房</w:t>
            </w:r>
          </w:p>
        </w:tc>
        <w:tc>
          <w:tcPr>
            <w:tcW w:w="1669" w:type="dxa"/>
            <w:noWrap w:val="0"/>
            <w:vAlign w:val="center"/>
          </w:tcPr>
          <w:p w14:paraId="7AE300ED">
            <w:pPr>
              <w:shd w:val="clear"/>
              <w:adjustRightInd w:val="0"/>
              <w:spacing w:line="240" w:lineRule="auto"/>
              <w:rPr>
                <w:color w:val="auto"/>
                <w:highlight w:val="none"/>
              </w:rPr>
            </w:pPr>
            <w:r>
              <w:rPr>
                <w:rFonts w:hint="eastAsia"/>
                <w:color w:val="auto"/>
                <w:highlight w:val="none"/>
                <w:lang w:val="en-US" w:eastAsia="zh-CN"/>
              </w:rPr>
              <w:t>1</w:t>
            </w:r>
            <w:r>
              <w:rPr>
                <w:rFonts w:hint="eastAsia"/>
                <w:color w:val="auto"/>
                <w:highlight w:val="none"/>
              </w:rPr>
              <w:t>台</w:t>
            </w:r>
          </w:p>
        </w:tc>
        <w:tc>
          <w:tcPr>
            <w:tcW w:w="1346" w:type="dxa"/>
            <w:noWrap w:val="0"/>
            <w:vAlign w:val="center"/>
          </w:tcPr>
          <w:p w14:paraId="2F10E1A7">
            <w:pPr>
              <w:shd w:val="clear"/>
              <w:adjustRightInd w:val="0"/>
              <w:spacing w:line="240" w:lineRule="auto"/>
              <w:jc w:val="center"/>
              <w:rPr>
                <w:color w:val="auto"/>
                <w:highlight w:val="none"/>
              </w:rPr>
            </w:pPr>
          </w:p>
        </w:tc>
      </w:tr>
      <w:tr w14:paraId="0D19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23" w:type="dxa"/>
            <w:noWrap w:val="0"/>
            <w:vAlign w:val="center"/>
          </w:tcPr>
          <w:p w14:paraId="1C6BA105">
            <w:pPr>
              <w:shd w:val="clear"/>
              <w:adjustRightInd w:val="0"/>
              <w:spacing w:line="240" w:lineRule="auto"/>
              <w:ind w:firstLine="0" w:firstLineChars="0"/>
              <w:jc w:val="both"/>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15</w:t>
            </w:r>
          </w:p>
        </w:tc>
        <w:tc>
          <w:tcPr>
            <w:tcW w:w="4060" w:type="dxa"/>
            <w:noWrap w:val="0"/>
            <w:vAlign w:val="center"/>
          </w:tcPr>
          <w:p w14:paraId="1564F153">
            <w:pPr>
              <w:shd w:val="clear"/>
              <w:adjustRightInd w:val="0"/>
              <w:spacing w:line="240" w:lineRule="auto"/>
              <w:ind w:firstLine="0" w:firstLineChars="0"/>
              <w:jc w:val="both"/>
              <w:rPr>
                <w:rFonts w:hint="default" w:eastAsia="宋体"/>
                <w:color w:val="auto"/>
                <w:highlight w:val="none"/>
                <w:lang w:val="en-US" w:eastAsia="zh-CN"/>
              </w:rPr>
            </w:pPr>
            <w:r>
              <w:rPr>
                <w:rFonts w:hint="eastAsia"/>
                <w:color w:val="auto"/>
                <w:highlight w:val="none"/>
                <w:lang w:val="en-US" w:eastAsia="zh-CN"/>
              </w:rPr>
              <w:t>均压煤气回收筒体区域</w:t>
            </w:r>
          </w:p>
        </w:tc>
        <w:tc>
          <w:tcPr>
            <w:tcW w:w="1669" w:type="dxa"/>
            <w:noWrap w:val="0"/>
            <w:vAlign w:val="center"/>
          </w:tcPr>
          <w:p w14:paraId="70727D4C">
            <w:pPr>
              <w:shd w:val="clear"/>
              <w:adjustRightInd w:val="0"/>
              <w:spacing w:line="240" w:lineRule="auto"/>
              <w:rPr>
                <w:rFonts w:hint="default" w:eastAsia="宋体"/>
                <w:color w:val="auto"/>
                <w:highlight w:val="none"/>
                <w:lang w:val="en-US" w:eastAsia="zh-CN"/>
              </w:rPr>
            </w:pPr>
            <w:r>
              <w:rPr>
                <w:rFonts w:hint="eastAsia"/>
                <w:color w:val="auto"/>
                <w:highlight w:val="none"/>
                <w:lang w:val="en-US" w:eastAsia="zh-CN"/>
              </w:rPr>
              <w:t>4台</w:t>
            </w:r>
          </w:p>
        </w:tc>
        <w:tc>
          <w:tcPr>
            <w:tcW w:w="1346" w:type="dxa"/>
            <w:noWrap w:val="0"/>
            <w:vAlign w:val="center"/>
          </w:tcPr>
          <w:p w14:paraId="6888BBBB">
            <w:pPr>
              <w:shd w:val="clear"/>
              <w:adjustRightInd w:val="0"/>
              <w:spacing w:line="240" w:lineRule="auto"/>
              <w:jc w:val="center"/>
              <w:rPr>
                <w:color w:val="auto"/>
                <w:highlight w:val="none"/>
              </w:rPr>
            </w:pPr>
          </w:p>
        </w:tc>
      </w:tr>
      <w:tr w14:paraId="4970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23" w:type="dxa"/>
            <w:noWrap w:val="0"/>
            <w:vAlign w:val="center"/>
          </w:tcPr>
          <w:p w14:paraId="7F2ECB43">
            <w:pPr>
              <w:shd w:val="clear"/>
              <w:adjustRightInd w:val="0"/>
              <w:spacing w:line="240" w:lineRule="auto"/>
              <w:ind w:firstLine="0" w:firstLineChars="0"/>
              <w:jc w:val="both"/>
              <w:rPr>
                <w:rFonts w:ascii="Times New Roman" w:hAnsi="Times New Roman" w:cs="Times New Roman"/>
                <w:color w:val="auto"/>
                <w:highlight w:val="none"/>
              </w:rPr>
            </w:pPr>
          </w:p>
        </w:tc>
        <w:tc>
          <w:tcPr>
            <w:tcW w:w="4060" w:type="dxa"/>
            <w:noWrap w:val="0"/>
            <w:vAlign w:val="center"/>
          </w:tcPr>
          <w:p w14:paraId="38064025">
            <w:pPr>
              <w:shd w:val="clear"/>
              <w:adjustRightInd w:val="0"/>
              <w:spacing w:line="240" w:lineRule="auto"/>
              <w:ind w:firstLine="0" w:firstLineChars="0"/>
              <w:jc w:val="both"/>
              <w:rPr>
                <w:color w:val="auto"/>
                <w:highlight w:val="none"/>
              </w:rPr>
            </w:pPr>
            <w:r>
              <w:rPr>
                <w:rFonts w:hint="eastAsia"/>
                <w:color w:val="auto"/>
                <w:highlight w:val="none"/>
              </w:rPr>
              <w:t>合计</w:t>
            </w:r>
          </w:p>
        </w:tc>
        <w:tc>
          <w:tcPr>
            <w:tcW w:w="1669" w:type="dxa"/>
            <w:noWrap w:val="0"/>
            <w:vAlign w:val="center"/>
          </w:tcPr>
          <w:p w14:paraId="1527C50D">
            <w:pPr>
              <w:shd w:val="clear"/>
              <w:adjustRightInd w:val="0"/>
              <w:spacing w:line="240" w:lineRule="auto"/>
              <w:rPr>
                <w:color w:val="auto"/>
                <w:highlight w:val="none"/>
              </w:rPr>
            </w:pPr>
            <w:r>
              <w:rPr>
                <w:rFonts w:hint="eastAsia"/>
                <w:color w:val="auto"/>
                <w:highlight w:val="none"/>
                <w:lang w:val="en-US" w:eastAsia="zh-CN"/>
              </w:rPr>
              <w:t>23</w:t>
            </w:r>
            <w:r>
              <w:rPr>
                <w:rFonts w:hint="eastAsia"/>
                <w:color w:val="auto"/>
                <w:highlight w:val="none"/>
              </w:rPr>
              <w:t>台</w:t>
            </w:r>
          </w:p>
        </w:tc>
        <w:tc>
          <w:tcPr>
            <w:tcW w:w="1346" w:type="dxa"/>
            <w:noWrap w:val="0"/>
            <w:vAlign w:val="center"/>
          </w:tcPr>
          <w:p w14:paraId="2A59E49D">
            <w:pPr>
              <w:shd w:val="clear"/>
              <w:adjustRightInd w:val="0"/>
              <w:spacing w:line="240" w:lineRule="auto"/>
              <w:jc w:val="center"/>
              <w:rPr>
                <w:color w:val="auto"/>
                <w:highlight w:val="none"/>
              </w:rPr>
            </w:pPr>
          </w:p>
        </w:tc>
      </w:tr>
    </w:tbl>
    <w:p w14:paraId="16E21002">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（3）防灼烫</w:t>
      </w:r>
    </w:p>
    <w:p w14:paraId="1B972810">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靠近热源的操作室的观察窗采用耐高温钢化玻璃；炉旁操作室有侧面保护板来隔热。靠近热源时，按规定佩戴阻燃防护服、隔热阻燃鞋等安全防护用品，处理高温熔融金属佩戴深色护目镜和防护面罩。</w:t>
      </w:r>
    </w:p>
    <w:p w14:paraId="48D9ED96">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（4）防机械伤害</w:t>
      </w:r>
    </w:p>
    <w:p w14:paraId="294A248C">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带式输送机开车前系统设声光报警，跑偏开关、事故拉绳开关等。</w:t>
      </w:r>
    </w:p>
    <w:p w14:paraId="3D11D648">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设备外露的传动部分均设有安全罩或隔离栏杆。</w:t>
      </w:r>
    </w:p>
    <w:p w14:paraId="4D98291A">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设有必要的联锁装置，以防止误操作时引起设备事故。</w:t>
      </w:r>
    </w:p>
    <w:p w14:paraId="22EEEAB1">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在不确认工件是否拧紧情况下，不要搬运和操作机械手，以防工件滑落。机械手操作工人正确穿戴好个人防护用品，操作前对机械设备进行安全检查，设备运转时严禁用手调整，也不得用手测量零件或润滑清扫杂物等。若必须进行时，应首先关停机械设备。</w:t>
      </w:r>
    </w:p>
    <w:p w14:paraId="319DE2A4">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（5）防高处坠落</w:t>
      </w:r>
    </w:p>
    <w:p w14:paraId="7C80FFFC">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设置检修平台。</w:t>
      </w:r>
    </w:p>
    <w:p w14:paraId="58B6552A">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各操作平台、操作线上设横跨过桥、栏杆。</w:t>
      </w:r>
    </w:p>
    <w:p w14:paraId="58C4A484">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所有人孔、安装孔、地坑等均设栏杆或盖板车间。</w:t>
      </w:r>
    </w:p>
    <w:p w14:paraId="2838C358">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设参观平台，凡离地面1.2m以上需经常操作检修处，设带护栏的走道或平台。</w:t>
      </w:r>
    </w:p>
    <w:p w14:paraId="67C97CB3">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平台、通道、走台、走梯均设安全防护栏杆。</w:t>
      </w:r>
    </w:p>
    <w:p w14:paraId="2B8FB3AD">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天桥、通道和斜梯踏步板均采取防滑措施和防积水措施。</w:t>
      </w:r>
    </w:p>
    <w:p w14:paraId="2EA9ACC7">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车间内危险区域或部位设警示标志。</w:t>
      </w:r>
    </w:p>
    <w:p w14:paraId="696458BC">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（6）防电气伤害</w:t>
      </w:r>
    </w:p>
    <w:p w14:paraId="34E6C789">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厂内电气设备的金属外壳、底座、传动装置、金属电线管、配电盘以及配电装置的金属构件、遮栏和电缆线的金属外包皮等，均采用保护接地或接零。</w:t>
      </w:r>
    </w:p>
    <w:p w14:paraId="4A5CA04A">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接零系统有重复接地，对电气设备安全要求较高的场所，在零线或设备接零处采用网络埋设的重复接地。</w:t>
      </w:r>
    </w:p>
    <w:p w14:paraId="0CC8817C">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制粉供电设二路电源并设UPS电源，煤粉喷吹的控制系统设有UPS电源，保证停电时阀门向安全方向动作。各条生产线上经常操作维修等处设低压安全照明。</w:t>
      </w:r>
    </w:p>
    <w:p w14:paraId="0732BE7E">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电气室、控制室等设事故照明，安全疏散口和通道等设疏散照明。</w:t>
      </w:r>
    </w:p>
    <w:p w14:paraId="046C0F87">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高压配电室设置事故通风设施，以满足事故时的通风要求。</w:t>
      </w:r>
    </w:p>
    <w:p w14:paraId="28004D7B">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（7）防坍塌</w:t>
      </w:r>
    </w:p>
    <w:p w14:paraId="063148A4">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本设计中对利旧改造的矿焦槽、出铁场平台、卷扬机室、斜桥等构建筑物进行全面检测鉴定（包括抗震鉴定），根据检测鉴定结果进行加固改造。矿焦槽加固施工完成后，委托第三方检测鉴定单位进行鉴定，确保加固后满足安全生产要求。</w:t>
      </w:r>
    </w:p>
    <w:p w14:paraId="2157BCD3">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未改造直接利旧的建构筑物，根据现场混凝土疏松、脱落，钢筋外露，钢结构锈蚀等结构缺陷进行检测鉴定，根据检测鉴定结果进行加固。</w:t>
      </w:r>
    </w:p>
    <w:p w14:paraId="78B0855C">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（8）防车辆伤害</w:t>
      </w:r>
    </w:p>
    <w:p w14:paraId="0BE06379">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按规范要求设有道口指示、道路交通信号、交通标志、标线及道路运输通讯设施等设施。</w:t>
      </w:r>
    </w:p>
    <w:p w14:paraId="7B7B8D94">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机动车在保证安全的情况下，在无限速标志的厂内主干道行驶时，不得超过30km/h，其它道路不得超过20km/h。</w:t>
      </w:r>
    </w:p>
    <w:p w14:paraId="390662A2">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恶劣天气能见度在5m以内或道路最大纵坡在6%以上，能见度在10m以内时，停止行驶。执行任务的消防车、工程抢险车、救护车，在保护安全的情况下，不受规定速度限制。</w:t>
      </w:r>
    </w:p>
    <w:p w14:paraId="26AC619E">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严禁在以下地方停放车辆：距交叉路口、平交道口、转弯处、桥梁、危险地段、地中衡和厂房、仓库、坡度大于5%的路段;道路一侧有障碍物时，对面一侧与障碍物长度相等的地段两端各20m以内。</w:t>
      </w:r>
    </w:p>
    <w:p w14:paraId="695176E0">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装载货物必须均衡平衡、捆扎牢固，车厢侧板、后栏板要关好拴牢。</w:t>
      </w:r>
    </w:p>
    <w:p w14:paraId="30EBAC47">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限于厂内行驶的机动车，不得用于载人，并指定专人负责车上安全。</w:t>
      </w:r>
    </w:p>
    <w:p w14:paraId="5FE43655">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（9）防起重伤害</w:t>
      </w:r>
    </w:p>
    <w:p w14:paraId="6A61168B">
      <w:pPr>
        <w:shd w:val="clear"/>
        <w:wordWrap w:val="0"/>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起重安全作业遵守《起重机械安全规程》的有关规定。起重机械在投入使用前和使用后的30日内去当地技术监督部门登记。</w:t>
      </w:r>
    </w:p>
    <w:p w14:paraId="6D0F6A4A">
      <w:pPr>
        <w:shd w:val="clear"/>
        <w:wordWrap w:val="0"/>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起重机的运行机构，设置有行程限位开关和缓冲器。</w:t>
      </w:r>
    </w:p>
    <w:p w14:paraId="3C0820D8">
      <w:pPr>
        <w:shd w:val="clear"/>
        <w:wordWrap w:val="0"/>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起重机械出现故障或者发生异常情况，使用单位当停止使用，对其全面检查，消除故障和事故隐患后，方可重新投入使用。</w:t>
      </w:r>
    </w:p>
    <w:p w14:paraId="60DED0F3">
      <w:pPr>
        <w:shd w:val="clear"/>
        <w:wordWrap w:val="0"/>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起重机械的作业人员及其相关管理人员，当按照国家有关规定经特种设备安全监督管理部门考核合格，取得国家统一格式的特种作业人员证书，方可从事相应的作业或者管理工作。</w:t>
      </w:r>
    </w:p>
    <w:p w14:paraId="1A784F2B">
      <w:pPr>
        <w:shd w:val="clear"/>
        <w:wordWrap w:val="0"/>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起重机械出现故障或者发生异常情况停止使用，对其全面检查，消除故障和事故隐患后，方可重新投入使用。</w:t>
      </w:r>
    </w:p>
    <w:p w14:paraId="3BCCE242">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（10）其他</w:t>
      </w:r>
    </w:p>
    <w:p w14:paraId="2BDFEB41">
      <w:pPr>
        <w:shd w:val="clear"/>
        <w:wordWrap w:val="0"/>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凡禁止跨越、禁止穿行、禁止烟火的区域设置红色禁止标志。</w:t>
      </w:r>
    </w:p>
    <w:p w14:paraId="170AFE45">
      <w:pPr>
        <w:shd w:val="clear"/>
        <w:wordWrap w:val="0"/>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凡易发生触电伤人、机械伤害、超过55°钢斜梯等处均设置黄色警告标志。</w:t>
      </w:r>
    </w:p>
    <w:p w14:paraId="013DB246">
      <w:pPr>
        <w:shd w:val="clear"/>
        <w:wordWrap w:val="0"/>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依照国家规定对危险区域或部位设安全警示标志，按标准对压缩空气管线涂颜色保护漆。</w:t>
      </w:r>
    </w:p>
    <w:p w14:paraId="0B9A2801">
      <w:pPr>
        <w:shd w:val="clear"/>
        <w:wordWrap w:val="0"/>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各种消防安全标志牌严格按</w:t>
      </w:r>
      <w:r>
        <w:rPr>
          <w:rFonts w:hint="eastAsia" w:ascii="Times New Roman" w:hAnsi="Times New Roman" w:cs="Times New Roman"/>
          <w:color w:val="auto"/>
          <w:kern w:val="0"/>
          <w:szCs w:val="22"/>
          <w:highlight w:val="none"/>
          <w:lang w:bidi="zh-CN"/>
        </w:rPr>
        <w:t>标准要求</w:t>
      </w:r>
      <w:r>
        <w:rPr>
          <w:rFonts w:ascii="Times New Roman" w:hAnsi="Times New Roman" w:cs="Times New Roman"/>
          <w:color w:val="auto"/>
          <w:kern w:val="0"/>
          <w:szCs w:val="22"/>
          <w:highlight w:val="none"/>
          <w:lang w:bidi="zh-CN"/>
        </w:rPr>
        <w:t>设置。</w:t>
      </w:r>
    </w:p>
    <w:p w14:paraId="5B527F5F">
      <w:pPr>
        <w:keepNext/>
        <w:keepLines/>
        <w:numPr>
          <w:ilvl w:val="2"/>
          <w:numId w:val="0"/>
        </w:numPr>
        <w:shd w:val="clear"/>
        <w:adjustRightInd w:val="0"/>
        <w:spacing w:before="120"/>
        <w:textAlignment w:val="baseline"/>
        <w:outlineLvl w:val="2"/>
        <w:rPr>
          <w:rFonts w:ascii="Times New Roman" w:hAnsi="Times New Roman" w:cs="Times New Roman"/>
          <w:bCs/>
          <w:color w:val="auto"/>
          <w:highlight w:val="none"/>
        </w:rPr>
      </w:pPr>
      <w:r>
        <w:rPr>
          <w:rFonts w:hint="eastAsia" w:ascii="Times New Roman" w:hAnsi="Times New Roman" w:cs="Times New Roman"/>
          <w:bCs/>
          <w:color w:val="auto"/>
          <w:highlight w:val="none"/>
        </w:rPr>
        <w:t>16.3.3 主要安全设施一览表</w:t>
      </w:r>
    </w:p>
    <w:p w14:paraId="57564921">
      <w:pPr>
        <w:shd w:val="clear"/>
        <w:spacing w:line="240" w:lineRule="auto"/>
        <w:jc w:val="both"/>
        <w:rPr>
          <w:rFonts w:ascii="Times New Roman" w:hAnsi="Times New Roman" w:cs="Times New Roman"/>
          <w:color w:val="auto"/>
          <w:szCs w:val="22"/>
          <w:highlight w:val="none"/>
        </w:rPr>
      </w:pPr>
      <w:r>
        <w:rPr>
          <w:rFonts w:hint="eastAsia" w:ascii="Times New Roman" w:hAnsi="Times New Roman" w:cs="Times New Roman"/>
          <w:color w:val="auto"/>
          <w:szCs w:val="22"/>
          <w:highlight w:val="none"/>
        </w:rPr>
        <w:t>本项目设计的主要安全设施如下表。</w:t>
      </w:r>
    </w:p>
    <w:p w14:paraId="4A3A6229">
      <w:pPr>
        <w:shd w:val="clear"/>
        <w:ind w:firstLine="0" w:firstLineChars="0"/>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表16.3-2  安全设施一览表</w:t>
      </w:r>
    </w:p>
    <w:tbl>
      <w:tblPr>
        <w:tblStyle w:val="6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1810"/>
        <w:gridCol w:w="5911"/>
      </w:tblGrid>
      <w:tr w14:paraId="576F9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14:paraId="07CF7B8D">
            <w:pPr>
              <w:shd w:val="clear"/>
              <w:spacing w:line="240" w:lineRule="auto"/>
              <w:ind w:left="-120" w:leftChars="-50" w:right="-120" w:rightChars="-50"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分类</w:t>
            </w:r>
          </w:p>
        </w:tc>
        <w:tc>
          <w:tcPr>
            <w:tcW w:w="1843" w:type="dxa"/>
            <w:shd w:val="clear" w:color="auto" w:fill="auto"/>
            <w:vAlign w:val="center"/>
          </w:tcPr>
          <w:p w14:paraId="57CEF399">
            <w:pPr>
              <w:shd w:val="clear"/>
              <w:spacing w:line="240" w:lineRule="auto"/>
              <w:ind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分项</w:t>
            </w:r>
          </w:p>
        </w:tc>
        <w:tc>
          <w:tcPr>
            <w:tcW w:w="6060" w:type="dxa"/>
            <w:shd w:val="clear" w:color="auto" w:fill="auto"/>
            <w:vAlign w:val="center"/>
          </w:tcPr>
          <w:p w14:paraId="3B49F4F8">
            <w:pPr>
              <w:shd w:val="clear"/>
              <w:spacing w:line="240" w:lineRule="auto"/>
              <w:ind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主要设施名称</w:t>
            </w:r>
          </w:p>
        </w:tc>
      </w:tr>
      <w:tr w14:paraId="56E62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shd w:val="clear" w:color="auto" w:fill="auto"/>
            <w:vAlign w:val="center"/>
          </w:tcPr>
          <w:p w14:paraId="4C3FC223">
            <w:pPr>
              <w:shd w:val="clear"/>
              <w:spacing w:line="240" w:lineRule="auto"/>
              <w:ind w:left="-120" w:leftChars="-50" w:right="-120" w:rightChars="-50"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预防事故设施</w:t>
            </w:r>
          </w:p>
        </w:tc>
        <w:tc>
          <w:tcPr>
            <w:tcW w:w="1843" w:type="dxa"/>
            <w:shd w:val="clear" w:color="auto" w:fill="auto"/>
            <w:vAlign w:val="center"/>
          </w:tcPr>
          <w:p w14:paraId="1086B20D">
            <w:pPr>
              <w:shd w:val="clear"/>
              <w:spacing w:line="240" w:lineRule="auto"/>
              <w:ind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检测、报警设施</w:t>
            </w:r>
          </w:p>
        </w:tc>
        <w:tc>
          <w:tcPr>
            <w:tcW w:w="6060" w:type="dxa"/>
            <w:shd w:val="clear" w:color="auto" w:fill="auto"/>
            <w:vAlign w:val="center"/>
          </w:tcPr>
          <w:p w14:paraId="24045D83">
            <w:pPr>
              <w:shd w:val="clear"/>
              <w:spacing w:line="240"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热电偶和热电阻</w:t>
            </w:r>
            <w:r>
              <w:rPr>
                <w:rFonts w:hint="eastAsia" w:ascii="Times New Roman" w:hAnsi="Times New Roman" w:cs="Times New Roman"/>
                <w:color w:val="auto"/>
                <w:sz w:val="21"/>
                <w:szCs w:val="21"/>
                <w:highlight w:val="none"/>
              </w:rPr>
              <w:t>、电磁</w:t>
            </w:r>
            <w:r>
              <w:rPr>
                <w:rFonts w:ascii="Times New Roman" w:hAnsi="Times New Roman" w:cs="Times New Roman"/>
                <w:color w:val="auto"/>
                <w:sz w:val="21"/>
                <w:szCs w:val="21"/>
                <w:highlight w:val="none"/>
              </w:rPr>
              <w:t>流量计</w:t>
            </w:r>
            <w:r>
              <w:rPr>
                <w:rFonts w:hint="eastAsia" w:ascii="Times New Roman" w:hAnsi="Times New Roman" w:cs="Times New Roman"/>
                <w:color w:val="auto"/>
                <w:sz w:val="21"/>
                <w:szCs w:val="21"/>
                <w:highlight w:val="none"/>
              </w:rPr>
              <w:t>、</w:t>
            </w:r>
            <w:r>
              <w:rPr>
                <w:rFonts w:ascii="Times New Roman" w:hAnsi="Times New Roman" w:cs="Times New Roman"/>
                <w:color w:val="auto"/>
                <w:sz w:val="21"/>
                <w:szCs w:val="21"/>
                <w:highlight w:val="none"/>
              </w:rPr>
              <w:t>固定式有毒有害气体报警仪</w:t>
            </w:r>
            <w:r>
              <w:rPr>
                <w:rFonts w:hint="eastAsia" w:ascii="Times New Roman" w:hAnsi="Times New Roman" w:cs="Times New Roman"/>
                <w:color w:val="auto"/>
                <w:sz w:val="21"/>
                <w:szCs w:val="21"/>
                <w:highlight w:val="none"/>
              </w:rPr>
              <w:t>、</w:t>
            </w:r>
            <w:r>
              <w:rPr>
                <w:rFonts w:ascii="Times New Roman" w:hAnsi="Times New Roman" w:cs="Times New Roman"/>
                <w:color w:val="auto"/>
                <w:sz w:val="21"/>
                <w:szCs w:val="21"/>
                <w:highlight w:val="none"/>
              </w:rPr>
              <w:t>连续式煤气在线分析仪</w:t>
            </w:r>
            <w:r>
              <w:rPr>
                <w:rFonts w:hint="eastAsia" w:ascii="Times New Roman" w:hAnsi="Times New Roman" w:cs="Times New Roman"/>
                <w:color w:val="auto"/>
                <w:sz w:val="21"/>
                <w:szCs w:val="21"/>
                <w:highlight w:val="none"/>
              </w:rPr>
              <w:t>、回油过滤器压差检测报警装置、感烟探测器、感温探测器等。</w:t>
            </w:r>
          </w:p>
        </w:tc>
      </w:tr>
      <w:tr w14:paraId="51EE3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shd w:val="clear" w:color="auto" w:fill="auto"/>
            <w:vAlign w:val="center"/>
          </w:tcPr>
          <w:p w14:paraId="0F5C2A67">
            <w:pPr>
              <w:shd w:val="clear"/>
              <w:spacing w:line="240" w:lineRule="auto"/>
              <w:ind w:left="-120" w:leftChars="-50" w:right="-120" w:rightChars="-50" w:firstLine="0" w:firstLineChars="0"/>
              <w:jc w:val="center"/>
              <w:rPr>
                <w:rFonts w:ascii="Times New Roman" w:hAnsi="Times New Roman" w:cs="Times New Roman"/>
                <w:color w:val="auto"/>
                <w:sz w:val="21"/>
                <w:szCs w:val="21"/>
                <w:highlight w:val="none"/>
              </w:rPr>
            </w:pPr>
          </w:p>
        </w:tc>
        <w:tc>
          <w:tcPr>
            <w:tcW w:w="1843" w:type="dxa"/>
            <w:shd w:val="clear" w:color="auto" w:fill="auto"/>
            <w:vAlign w:val="center"/>
          </w:tcPr>
          <w:p w14:paraId="21F33001">
            <w:pPr>
              <w:shd w:val="clear"/>
              <w:spacing w:line="240" w:lineRule="auto"/>
              <w:ind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设备安全防护设施</w:t>
            </w:r>
          </w:p>
        </w:tc>
        <w:tc>
          <w:tcPr>
            <w:tcW w:w="6060" w:type="dxa"/>
            <w:shd w:val="clear" w:color="auto" w:fill="auto"/>
            <w:vAlign w:val="center"/>
          </w:tcPr>
          <w:p w14:paraId="1932D82E">
            <w:pPr>
              <w:shd w:val="clear"/>
              <w:spacing w:line="240" w:lineRule="auto"/>
              <w:ind w:firstLine="0" w:firstLineChars="0"/>
              <w:jc w:val="both"/>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各种</w:t>
            </w:r>
            <w:r>
              <w:rPr>
                <w:rFonts w:ascii="Times New Roman" w:hAnsi="Times New Roman" w:cs="Times New Roman"/>
                <w:color w:val="auto"/>
                <w:sz w:val="21"/>
                <w:szCs w:val="21"/>
                <w:highlight w:val="none"/>
              </w:rPr>
              <w:t>气体</w:t>
            </w:r>
            <w:r>
              <w:rPr>
                <w:rFonts w:hint="eastAsia" w:ascii="Times New Roman" w:hAnsi="Times New Roman" w:cs="Times New Roman"/>
                <w:color w:val="auto"/>
                <w:sz w:val="21"/>
                <w:szCs w:val="21"/>
                <w:highlight w:val="none"/>
              </w:rPr>
              <w:t>密封器、机械</w:t>
            </w:r>
            <w:r>
              <w:rPr>
                <w:rFonts w:ascii="Times New Roman" w:hAnsi="Times New Roman" w:cs="Times New Roman"/>
                <w:color w:val="auto"/>
                <w:sz w:val="21"/>
                <w:szCs w:val="21"/>
                <w:highlight w:val="none"/>
              </w:rPr>
              <w:t>密封</w:t>
            </w:r>
            <w:r>
              <w:rPr>
                <w:rFonts w:hint="eastAsia" w:ascii="Times New Roman" w:hAnsi="Times New Roman" w:cs="Times New Roman"/>
                <w:color w:val="auto"/>
                <w:sz w:val="21"/>
                <w:szCs w:val="21"/>
                <w:highlight w:val="none"/>
              </w:rPr>
              <w:t>、电机</w:t>
            </w:r>
            <w:r>
              <w:rPr>
                <w:rFonts w:ascii="Times New Roman" w:hAnsi="Times New Roman" w:cs="Times New Roman"/>
                <w:color w:val="auto"/>
                <w:sz w:val="21"/>
                <w:szCs w:val="21"/>
                <w:highlight w:val="none"/>
              </w:rPr>
              <w:t>油封</w:t>
            </w:r>
            <w:r>
              <w:rPr>
                <w:rFonts w:hint="eastAsia" w:ascii="Times New Roman" w:hAnsi="Times New Roman" w:cs="Times New Roman"/>
                <w:color w:val="auto"/>
                <w:sz w:val="21"/>
                <w:szCs w:val="21"/>
                <w:highlight w:val="none"/>
              </w:rPr>
              <w:t>、各种</w:t>
            </w:r>
            <w:r>
              <w:rPr>
                <w:rFonts w:ascii="Times New Roman" w:hAnsi="Times New Roman" w:cs="Times New Roman"/>
                <w:color w:val="auto"/>
                <w:sz w:val="21"/>
                <w:szCs w:val="21"/>
                <w:highlight w:val="none"/>
              </w:rPr>
              <w:t>油密封</w:t>
            </w:r>
            <w:r>
              <w:rPr>
                <w:rFonts w:hint="eastAsia" w:ascii="Times New Roman" w:hAnsi="Times New Roman" w:cs="Times New Roman"/>
                <w:color w:val="auto"/>
                <w:sz w:val="21"/>
                <w:szCs w:val="21"/>
                <w:highlight w:val="none"/>
              </w:rPr>
              <w:t>器、防</w:t>
            </w:r>
            <w:r>
              <w:rPr>
                <w:rFonts w:ascii="Times New Roman" w:hAnsi="Times New Roman" w:cs="Times New Roman"/>
                <w:color w:val="auto"/>
                <w:sz w:val="21"/>
                <w:szCs w:val="21"/>
                <w:highlight w:val="none"/>
              </w:rPr>
              <w:t>喘振装置</w:t>
            </w:r>
            <w:r>
              <w:rPr>
                <w:rFonts w:hint="eastAsia" w:ascii="Times New Roman" w:hAnsi="Times New Roman" w:cs="Times New Roman"/>
                <w:color w:val="auto"/>
                <w:sz w:val="21"/>
                <w:szCs w:val="21"/>
                <w:highlight w:val="none"/>
              </w:rPr>
              <w:t>、压力表、水</w:t>
            </w:r>
            <w:r>
              <w:rPr>
                <w:rFonts w:ascii="Times New Roman" w:hAnsi="Times New Roman" w:cs="Times New Roman"/>
                <w:color w:val="auto"/>
                <w:sz w:val="21"/>
                <w:szCs w:val="21"/>
                <w:highlight w:val="none"/>
              </w:rPr>
              <w:t>冷却器</w:t>
            </w:r>
            <w:r>
              <w:rPr>
                <w:rFonts w:hint="eastAsia" w:ascii="Times New Roman" w:hAnsi="Times New Roman" w:cs="Times New Roman"/>
                <w:color w:val="auto"/>
                <w:sz w:val="21"/>
                <w:szCs w:val="21"/>
                <w:highlight w:val="none"/>
              </w:rPr>
              <w:t>、油箱加热</w:t>
            </w:r>
            <w:r>
              <w:rPr>
                <w:rFonts w:ascii="Times New Roman" w:hAnsi="Times New Roman" w:cs="Times New Roman"/>
                <w:color w:val="auto"/>
                <w:sz w:val="21"/>
                <w:szCs w:val="21"/>
                <w:highlight w:val="none"/>
              </w:rPr>
              <w:t>器</w:t>
            </w:r>
            <w:r>
              <w:rPr>
                <w:rFonts w:hint="eastAsia" w:ascii="Times New Roman" w:hAnsi="Times New Roman" w:cs="Times New Roman"/>
                <w:color w:val="auto"/>
                <w:sz w:val="21"/>
                <w:szCs w:val="21"/>
                <w:highlight w:val="none"/>
              </w:rPr>
              <w:t>、机械通风</w:t>
            </w:r>
            <w:r>
              <w:rPr>
                <w:rFonts w:ascii="Times New Roman" w:hAnsi="Times New Roman" w:cs="Times New Roman"/>
                <w:color w:val="auto"/>
                <w:sz w:val="21"/>
                <w:szCs w:val="21"/>
                <w:highlight w:val="none"/>
              </w:rPr>
              <w:t>风机</w:t>
            </w:r>
            <w:r>
              <w:rPr>
                <w:rFonts w:hint="eastAsia" w:ascii="Times New Roman" w:hAnsi="Times New Roman" w:cs="Times New Roman"/>
                <w:color w:val="auto"/>
                <w:sz w:val="21"/>
                <w:szCs w:val="21"/>
                <w:highlight w:val="none"/>
              </w:rPr>
              <w:t>防护罩等。</w:t>
            </w:r>
          </w:p>
        </w:tc>
      </w:tr>
      <w:tr w14:paraId="6042B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shd w:val="clear" w:color="auto" w:fill="auto"/>
            <w:vAlign w:val="center"/>
          </w:tcPr>
          <w:p w14:paraId="48145EEB">
            <w:pPr>
              <w:shd w:val="clear"/>
              <w:spacing w:line="240" w:lineRule="auto"/>
              <w:ind w:left="-120" w:leftChars="-50" w:right="-120" w:rightChars="-50" w:firstLine="0" w:firstLineChars="0"/>
              <w:jc w:val="center"/>
              <w:rPr>
                <w:rFonts w:ascii="Times New Roman" w:hAnsi="Times New Roman" w:cs="Times New Roman"/>
                <w:color w:val="auto"/>
                <w:sz w:val="21"/>
                <w:szCs w:val="21"/>
                <w:highlight w:val="none"/>
              </w:rPr>
            </w:pPr>
          </w:p>
        </w:tc>
        <w:tc>
          <w:tcPr>
            <w:tcW w:w="1843" w:type="dxa"/>
            <w:shd w:val="clear" w:color="auto" w:fill="auto"/>
            <w:vAlign w:val="center"/>
          </w:tcPr>
          <w:p w14:paraId="3EB7D618">
            <w:pPr>
              <w:shd w:val="clear"/>
              <w:spacing w:line="240" w:lineRule="auto"/>
              <w:ind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防爆设施</w:t>
            </w:r>
          </w:p>
        </w:tc>
        <w:tc>
          <w:tcPr>
            <w:tcW w:w="6060" w:type="dxa"/>
            <w:shd w:val="clear" w:color="auto" w:fill="auto"/>
            <w:vAlign w:val="center"/>
          </w:tcPr>
          <w:p w14:paraId="68C29B5D">
            <w:pPr>
              <w:shd w:val="clear"/>
              <w:spacing w:line="240" w:lineRule="auto"/>
              <w:ind w:firstLine="0" w:firstLineChars="0"/>
              <w:jc w:val="both"/>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防爆装置、防爆仪表、防爆气体探测器、防爆</w:t>
            </w:r>
            <w:r>
              <w:rPr>
                <w:rFonts w:ascii="Times New Roman" w:hAnsi="Times New Roman" w:cs="Times New Roman"/>
                <w:color w:val="auto"/>
                <w:sz w:val="21"/>
                <w:szCs w:val="21"/>
                <w:highlight w:val="none"/>
              </w:rPr>
              <w:t>机械通风设备</w:t>
            </w:r>
            <w:r>
              <w:rPr>
                <w:rFonts w:hint="eastAsia" w:ascii="Times New Roman" w:hAnsi="Times New Roman" w:cs="Times New Roman"/>
                <w:color w:val="auto"/>
                <w:sz w:val="21"/>
                <w:szCs w:val="21"/>
                <w:highlight w:val="none"/>
              </w:rPr>
              <w:t>等。</w:t>
            </w:r>
          </w:p>
        </w:tc>
      </w:tr>
      <w:tr w14:paraId="77F19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shd w:val="clear" w:color="auto" w:fill="auto"/>
            <w:vAlign w:val="center"/>
          </w:tcPr>
          <w:p w14:paraId="7ADA9C09">
            <w:pPr>
              <w:shd w:val="clear"/>
              <w:spacing w:line="240" w:lineRule="auto"/>
              <w:ind w:left="-120" w:leftChars="-50" w:right="-120" w:rightChars="-50" w:firstLine="0" w:firstLineChars="0"/>
              <w:jc w:val="center"/>
              <w:rPr>
                <w:rFonts w:ascii="Calibri" w:hAnsi="Calibri" w:cs="Times New Roman"/>
                <w:color w:val="auto"/>
                <w:sz w:val="21"/>
                <w:szCs w:val="21"/>
                <w:highlight w:val="none"/>
              </w:rPr>
            </w:pPr>
          </w:p>
        </w:tc>
        <w:tc>
          <w:tcPr>
            <w:tcW w:w="1843" w:type="dxa"/>
            <w:shd w:val="clear" w:color="auto" w:fill="auto"/>
            <w:vAlign w:val="center"/>
          </w:tcPr>
          <w:p w14:paraId="5028EE2E">
            <w:pPr>
              <w:shd w:val="clear"/>
              <w:spacing w:line="240" w:lineRule="auto"/>
              <w:ind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作业场所防护设施</w:t>
            </w:r>
          </w:p>
        </w:tc>
        <w:tc>
          <w:tcPr>
            <w:tcW w:w="6060" w:type="dxa"/>
            <w:shd w:val="clear" w:color="auto" w:fill="auto"/>
            <w:vAlign w:val="center"/>
          </w:tcPr>
          <w:p w14:paraId="2781631C">
            <w:pPr>
              <w:shd w:val="clear"/>
              <w:spacing w:line="240" w:lineRule="auto"/>
              <w:ind w:firstLine="0" w:firstLineChars="0"/>
              <w:jc w:val="both"/>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栏杆</w:t>
            </w:r>
            <w:r>
              <w:rPr>
                <w:rFonts w:ascii="Times New Roman" w:hAnsi="Times New Roman" w:cs="Times New Roman"/>
                <w:color w:val="auto"/>
                <w:sz w:val="21"/>
                <w:szCs w:val="21"/>
                <w:highlight w:val="none"/>
              </w:rPr>
              <w:t>、盖板等</w:t>
            </w:r>
            <w:r>
              <w:rPr>
                <w:rFonts w:hint="eastAsia" w:ascii="Times New Roman" w:hAnsi="Times New Roman" w:cs="Times New Roman"/>
                <w:color w:val="auto"/>
                <w:sz w:val="21"/>
                <w:szCs w:val="21"/>
                <w:highlight w:val="none"/>
              </w:rPr>
              <w:t>。</w:t>
            </w:r>
          </w:p>
        </w:tc>
      </w:tr>
      <w:tr w14:paraId="12BCD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shd w:val="clear" w:color="auto" w:fill="auto"/>
            <w:vAlign w:val="center"/>
          </w:tcPr>
          <w:p w14:paraId="3E768345">
            <w:pPr>
              <w:shd w:val="clear"/>
              <w:spacing w:line="240" w:lineRule="auto"/>
              <w:ind w:left="-120" w:leftChars="-50" w:right="-120" w:rightChars="-50" w:firstLine="0" w:firstLineChars="0"/>
              <w:jc w:val="center"/>
              <w:rPr>
                <w:rFonts w:ascii="Calibri" w:hAnsi="Calibri" w:cs="Times New Roman"/>
                <w:color w:val="auto"/>
                <w:sz w:val="21"/>
                <w:szCs w:val="21"/>
                <w:highlight w:val="none"/>
              </w:rPr>
            </w:pPr>
          </w:p>
        </w:tc>
        <w:tc>
          <w:tcPr>
            <w:tcW w:w="1843" w:type="dxa"/>
            <w:shd w:val="clear" w:color="auto" w:fill="auto"/>
            <w:vAlign w:val="center"/>
          </w:tcPr>
          <w:p w14:paraId="229F5079">
            <w:pPr>
              <w:shd w:val="clear"/>
              <w:spacing w:line="240" w:lineRule="auto"/>
              <w:ind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安全警示标志</w:t>
            </w:r>
          </w:p>
        </w:tc>
        <w:tc>
          <w:tcPr>
            <w:tcW w:w="6060" w:type="dxa"/>
            <w:shd w:val="clear" w:color="auto" w:fill="auto"/>
            <w:vAlign w:val="center"/>
          </w:tcPr>
          <w:p w14:paraId="4E4EC4CB">
            <w:pPr>
              <w:shd w:val="clear"/>
              <w:spacing w:line="240" w:lineRule="auto"/>
              <w:ind w:firstLine="0" w:firstLineChars="0"/>
              <w:jc w:val="both"/>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安全</w:t>
            </w:r>
            <w:r>
              <w:rPr>
                <w:rFonts w:ascii="Times New Roman" w:hAnsi="Times New Roman" w:cs="Times New Roman"/>
                <w:color w:val="auto"/>
                <w:sz w:val="21"/>
                <w:szCs w:val="21"/>
                <w:highlight w:val="none"/>
              </w:rPr>
              <w:t>警示牌</w:t>
            </w:r>
            <w:r>
              <w:rPr>
                <w:rFonts w:hint="eastAsia" w:ascii="Times New Roman" w:hAnsi="Times New Roman" w:cs="Times New Roman"/>
                <w:color w:val="auto"/>
                <w:sz w:val="21"/>
                <w:szCs w:val="21"/>
                <w:highlight w:val="none"/>
              </w:rPr>
              <w:t>等。</w:t>
            </w:r>
          </w:p>
        </w:tc>
      </w:tr>
      <w:tr w14:paraId="26559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shd w:val="clear" w:color="auto" w:fill="auto"/>
            <w:vAlign w:val="center"/>
          </w:tcPr>
          <w:p w14:paraId="415A63C9">
            <w:pPr>
              <w:shd w:val="clear"/>
              <w:spacing w:line="240" w:lineRule="auto"/>
              <w:ind w:left="-120" w:leftChars="-50" w:right="-120" w:rightChars="-50"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控制事故设施</w:t>
            </w:r>
          </w:p>
        </w:tc>
        <w:tc>
          <w:tcPr>
            <w:tcW w:w="1843" w:type="dxa"/>
            <w:shd w:val="clear" w:color="auto" w:fill="auto"/>
            <w:vAlign w:val="center"/>
          </w:tcPr>
          <w:p w14:paraId="2DDEF274">
            <w:pPr>
              <w:shd w:val="clear"/>
              <w:spacing w:line="240" w:lineRule="auto"/>
              <w:ind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泄压和止逆设施</w:t>
            </w:r>
          </w:p>
        </w:tc>
        <w:tc>
          <w:tcPr>
            <w:tcW w:w="6060" w:type="dxa"/>
            <w:shd w:val="clear" w:color="auto" w:fill="auto"/>
            <w:vAlign w:val="center"/>
          </w:tcPr>
          <w:p w14:paraId="33D3196B">
            <w:pPr>
              <w:shd w:val="clear"/>
              <w:spacing w:line="240" w:lineRule="auto"/>
              <w:ind w:firstLine="0" w:firstLineChars="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截止阀</w:t>
            </w:r>
            <w:r>
              <w:rPr>
                <w:rFonts w:hint="eastAsia" w:ascii="Times New Roman" w:hAnsi="Times New Roman" w:cs="Times New Roman"/>
                <w:color w:val="auto"/>
                <w:sz w:val="21"/>
                <w:szCs w:val="21"/>
                <w:highlight w:val="none"/>
              </w:rPr>
              <w:t>、止回阀、</w:t>
            </w:r>
            <w:r>
              <w:rPr>
                <w:rFonts w:ascii="Times New Roman" w:hAnsi="Times New Roman" w:cs="Times New Roman"/>
                <w:color w:val="auto"/>
                <w:sz w:val="21"/>
                <w:szCs w:val="21"/>
                <w:highlight w:val="none"/>
              </w:rPr>
              <w:t>安全阀</w:t>
            </w:r>
            <w:r>
              <w:rPr>
                <w:rFonts w:hint="eastAsia" w:ascii="Times New Roman" w:hAnsi="Times New Roman" w:cs="Times New Roman"/>
                <w:color w:val="auto"/>
                <w:sz w:val="21"/>
                <w:szCs w:val="21"/>
                <w:highlight w:val="none"/>
              </w:rPr>
              <w:t>、</w:t>
            </w:r>
            <w:r>
              <w:rPr>
                <w:rFonts w:ascii="Times New Roman" w:hAnsi="Times New Roman" w:cs="Times New Roman"/>
                <w:color w:val="auto"/>
                <w:sz w:val="21"/>
                <w:szCs w:val="21"/>
                <w:highlight w:val="none"/>
              </w:rPr>
              <w:t>气动调节阀</w:t>
            </w:r>
            <w:r>
              <w:rPr>
                <w:rFonts w:hint="eastAsia" w:ascii="Times New Roman" w:hAnsi="Times New Roman" w:cs="Times New Roman"/>
                <w:color w:val="auto"/>
                <w:sz w:val="21"/>
                <w:szCs w:val="21"/>
                <w:highlight w:val="none"/>
              </w:rPr>
              <w:t>、放散阀、放散管等。</w:t>
            </w:r>
          </w:p>
        </w:tc>
      </w:tr>
      <w:tr w14:paraId="7247E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shd w:val="clear" w:color="auto" w:fill="auto"/>
            <w:vAlign w:val="center"/>
          </w:tcPr>
          <w:p w14:paraId="7A5F7997">
            <w:pPr>
              <w:shd w:val="clear"/>
              <w:spacing w:line="240" w:lineRule="auto"/>
              <w:ind w:left="-120" w:leftChars="-50" w:right="-120" w:rightChars="-50" w:firstLine="0" w:firstLineChars="0"/>
              <w:jc w:val="center"/>
              <w:rPr>
                <w:rFonts w:ascii="Times New Roman" w:hAnsi="Times New Roman" w:cs="Times New Roman"/>
                <w:color w:val="auto"/>
                <w:sz w:val="21"/>
                <w:szCs w:val="21"/>
                <w:highlight w:val="none"/>
              </w:rPr>
            </w:pPr>
          </w:p>
        </w:tc>
        <w:tc>
          <w:tcPr>
            <w:tcW w:w="1843" w:type="dxa"/>
            <w:shd w:val="clear" w:color="auto" w:fill="auto"/>
            <w:vAlign w:val="center"/>
          </w:tcPr>
          <w:p w14:paraId="669F8603">
            <w:pPr>
              <w:shd w:val="clear"/>
              <w:spacing w:line="240" w:lineRule="auto"/>
              <w:ind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紧急处理设施</w:t>
            </w:r>
          </w:p>
        </w:tc>
        <w:tc>
          <w:tcPr>
            <w:tcW w:w="6060" w:type="dxa"/>
            <w:shd w:val="clear" w:color="auto" w:fill="auto"/>
            <w:vAlign w:val="center"/>
          </w:tcPr>
          <w:p w14:paraId="4E1B364A">
            <w:pPr>
              <w:shd w:val="clear"/>
              <w:spacing w:line="240" w:lineRule="auto"/>
              <w:ind w:firstLine="0" w:firstLineChars="0"/>
              <w:jc w:val="both"/>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紧急</w:t>
            </w:r>
            <w:r>
              <w:rPr>
                <w:rFonts w:ascii="Times New Roman" w:hAnsi="Times New Roman" w:cs="Times New Roman"/>
                <w:color w:val="auto"/>
                <w:sz w:val="21"/>
                <w:szCs w:val="21"/>
                <w:highlight w:val="none"/>
              </w:rPr>
              <w:t>切断阀</w:t>
            </w:r>
            <w:r>
              <w:rPr>
                <w:rFonts w:hint="eastAsia" w:ascii="Times New Roman" w:hAnsi="Times New Roman" w:cs="Times New Roman"/>
                <w:color w:val="auto"/>
                <w:sz w:val="21"/>
                <w:szCs w:val="21"/>
                <w:highlight w:val="none"/>
              </w:rPr>
              <w:t>、紧急</w:t>
            </w:r>
            <w:r>
              <w:rPr>
                <w:rFonts w:ascii="Times New Roman" w:hAnsi="Times New Roman" w:cs="Times New Roman"/>
                <w:color w:val="auto"/>
                <w:sz w:val="21"/>
                <w:szCs w:val="21"/>
                <w:highlight w:val="none"/>
              </w:rPr>
              <w:t>泄放装置</w:t>
            </w:r>
            <w:r>
              <w:rPr>
                <w:rFonts w:hint="eastAsia" w:ascii="Times New Roman" w:hAnsi="Times New Roman" w:cs="Times New Roman"/>
                <w:color w:val="auto"/>
                <w:sz w:val="21"/>
                <w:szCs w:val="21"/>
                <w:highlight w:val="none"/>
              </w:rPr>
              <w:t>等。</w:t>
            </w:r>
          </w:p>
        </w:tc>
      </w:tr>
      <w:tr w14:paraId="633AF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shd w:val="clear" w:color="auto" w:fill="auto"/>
            <w:vAlign w:val="center"/>
          </w:tcPr>
          <w:p w14:paraId="6AA0342C">
            <w:pPr>
              <w:shd w:val="clear"/>
              <w:spacing w:line="240" w:lineRule="auto"/>
              <w:ind w:left="-120" w:leftChars="-50" w:right="-120" w:rightChars="-50"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减少与消除事故影响设施</w:t>
            </w:r>
          </w:p>
        </w:tc>
        <w:tc>
          <w:tcPr>
            <w:tcW w:w="1843" w:type="dxa"/>
            <w:shd w:val="clear" w:color="auto" w:fill="auto"/>
            <w:vAlign w:val="center"/>
          </w:tcPr>
          <w:p w14:paraId="3BF359E3">
            <w:pPr>
              <w:shd w:val="clear"/>
              <w:spacing w:line="240" w:lineRule="auto"/>
              <w:ind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防止火灾蔓延设施、灭火设施</w:t>
            </w:r>
          </w:p>
        </w:tc>
        <w:tc>
          <w:tcPr>
            <w:tcW w:w="6060" w:type="dxa"/>
            <w:shd w:val="clear" w:color="auto" w:fill="auto"/>
            <w:vAlign w:val="center"/>
          </w:tcPr>
          <w:p w14:paraId="03A587F5">
            <w:pPr>
              <w:shd w:val="clear"/>
              <w:spacing w:line="240" w:lineRule="auto"/>
              <w:ind w:firstLine="0" w:firstLineChars="0"/>
              <w:jc w:val="both"/>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防火门、</w:t>
            </w:r>
            <w:r>
              <w:rPr>
                <w:rFonts w:ascii="Times New Roman" w:hAnsi="Times New Roman" w:cs="Times New Roman"/>
                <w:color w:val="auto"/>
                <w:sz w:val="21"/>
                <w:szCs w:val="21"/>
                <w:highlight w:val="none"/>
              </w:rPr>
              <w:t>防火墙</w:t>
            </w:r>
            <w:r>
              <w:rPr>
                <w:rFonts w:hint="eastAsia" w:ascii="Times New Roman" w:hAnsi="Times New Roman" w:cs="Times New Roman"/>
                <w:color w:val="auto"/>
                <w:sz w:val="21"/>
                <w:szCs w:val="21"/>
                <w:highlight w:val="none"/>
              </w:rPr>
              <w:t>、生产</w:t>
            </w:r>
            <w:r>
              <w:rPr>
                <w:rFonts w:ascii="Times New Roman" w:hAnsi="Times New Roman" w:cs="Times New Roman"/>
                <w:color w:val="auto"/>
                <w:sz w:val="21"/>
                <w:szCs w:val="21"/>
                <w:highlight w:val="none"/>
              </w:rPr>
              <w:t>消防给水管、</w:t>
            </w:r>
            <w:r>
              <w:rPr>
                <w:rFonts w:hint="eastAsia" w:ascii="Times New Roman" w:hAnsi="Times New Roman" w:cs="Times New Roman"/>
                <w:color w:val="auto"/>
                <w:sz w:val="21"/>
                <w:szCs w:val="21"/>
                <w:highlight w:val="none"/>
              </w:rPr>
              <w:t>消火栓、室内消火栓、灭火器。</w:t>
            </w:r>
          </w:p>
        </w:tc>
      </w:tr>
      <w:tr w14:paraId="06CE8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17" w:type="dxa"/>
            <w:vMerge w:val="continue"/>
            <w:shd w:val="clear" w:color="auto" w:fill="auto"/>
            <w:vAlign w:val="center"/>
          </w:tcPr>
          <w:p w14:paraId="1C66FB22">
            <w:pPr>
              <w:shd w:val="clear"/>
              <w:spacing w:line="240" w:lineRule="auto"/>
              <w:ind w:left="-120" w:leftChars="-50" w:right="-120" w:rightChars="-50" w:firstLine="0" w:firstLineChars="0"/>
              <w:jc w:val="center"/>
              <w:rPr>
                <w:rFonts w:ascii="Times New Roman" w:hAnsi="Times New Roman" w:cs="Times New Roman"/>
                <w:color w:val="auto"/>
                <w:sz w:val="21"/>
                <w:szCs w:val="21"/>
                <w:highlight w:val="none"/>
              </w:rPr>
            </w:pPr>
          </w:p>
        </w:tc>
        <w:tc>
          <w:tcPr>
            <w:tcW w:w="1843" w:type="dxa"/>
            <w:shd w:val="clear" w:color="auto" w:fill="auto"/>
            <w:vAlign w:val="center"/>
          </w:tcPr>
          <w:p w14:paraId="572357D0">
            <w:pPr>
              <w:shd w:val="clear"/>
              <w:spacing w:line="240" w:lineRule="auto"/>
              <w:ind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紧急个体处置设施</w:t>
            </w:r>
          </w:p>
        </w:tc>
        <w:tc>
          <w:tcPr>
            <w:tcW w:w="6060" w:type="dxa"/>
            <w:shd w:val="clear" w:color="auto" w:fill="auto"/>
            <w:vAlign w:val="center"/>
          </w:tcPr>
          <w:p w14:paraId="5CE6BA7C">
            <w:pPr>
              <w:shd w:val="clear"/>
              <w:spacing w:line="240" w:lineRule="auto"/>
              <w:ind w:firstLine="0" w:firstLineChars="0"/>
              <w:jc w:val="both"/>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应急救援器材、正压式空气呼吸器、防尘毒面具、便携式氧气检测仪、便携式可燃气体检测仪、照明灯、无线对讲机、急救箱、急救担架等。</w:t>
            </w:r>
          </w:p>
        </w:tc>
      </w:tr>
    </w:tbl>
    <w:p w14:paraId="001D3922">
      <w:pPr>
        <w:shd w:val="clear"/>
        <w:ind w:firstLine="0" w:firstLineChars="0"/>
        <w:outlineLvl w:val="1"/>
        <w:rPr>
          <w:rFonts w:cs="Times New Roman"/>
          <w:b/>
          <w:color w:val="auto"/>
          <w:sz w:val="28"/>
          <w:szCs w:val="28"/>
          <w:highlight w:val="none"/>
        </w:rPr>
      </w:pPr>
      <w:bookmarkStart w:id="1743" w:name="_Toc7898"/>
      <w:bookmarkStart w:id="1744" w:name="_Toc118"/>
      <w:r>
        <w:rPr>
          <w:rFonts w:hint="eastAsia" w:cs="Times New Roman"/>
          <w:b/>
          <w:color w:val="auto"/>
          <w:sz w:val="28"/>
          <w:szCs w:val="28"/>
          <w:highlight w:val="none"/>
        </w:rPr>
        <w:t>16.4 安全管理机构设置</w:t>
      </w:r>
      <w:bookmarkEnd w:id="1732"/>
      <w:bookmarkEnd w:id="1733"/>
      <w:bookmarkEnd w:id="1734"/>
      <w:bookmarkEnd w:id="1735"/>
      <w:bookmarkEnd w:id="1736"/>
      <w:bookmarkEnd w:id="1737"/>
      <w:bookmarkEnd w:id="1743"/>
      <w:bookmarkEnd w:id="1744"/>
    </w:p>
    <w:p w14:paraId="4E665A6E">
      <w:pPr>
        <w:shd w:val="clear"/>
        <w:wordWrap w:val="0"/>
        <w:rPr>
          <w:rFonts w:ascii="Times New Roman" w:hAnsi="Times New Roman" w:cs="Times New Roman"/>
          <w:color w:val="auto"/>
          <w:highlight w:val="none"/>
        </w:rPr>
      </w:pPr>
      <w:bookmarkStart w:id="1745" w:name="_Toc6238"/>
      <w:bookmarkStart w:id="1746" w:name="_Toc23418"/>
      <w:bookmarkStart w:id="1747" w:name="_Toc70093539"/>
      <w:bookmarkStart w:id="1748" w:name="_Toc8959"/>
      <w:bookmarkStart w:id="1749" w:name="_Toc7889"/>
      <w:bookmarkStart w:id="1750" w:name="_Toc32308"/>
      <w:r>
        <w:rPr>
          <w:rFonts w:ascii="Times New Roman" w:hAnsi="Times New Roman" w:cs="Times New Roman"/>
          <w:color w:val="auto"/>
          <w:highlight w:val="none"/>
        </w:rPr>
        <w:t>本项目劳动安全</w:t>
      </w:r>
      <w:r>
        <w:rPr>
          <w:rFonts w:hint="eastAsia" w:ascii="Times New Roman" w:hAnsi="Times New Roman" w:cs="Times New Roman"/>
          <w:color w:val="auto"/>
          <w:highlight w:val="none"/>
        </w:rPr>
        <w:t>管理依托酒钢现有</w:t>
      </w:r>
      <w:r>
        <w:rPr>
          <w:rFonts w:ascii="Times New Roman" w:hAnsi="Times New Roman" w:cs="Times New Roman"/>
          <w:color w:val="auto"/>
          <w:highlight w:val="none"/>
        </w:rPr>
        <w:t>劳动安全防护机构，并配备相应的专职与兼职安全设施维修、保养、日常监测检验人员与监督管理人员，负责全厂的劳动安全管理工作，以满足本项目安全管理的需要。</w:t>
      </w:r>
    </w:p>
    <w:p w14:paraId="09688E80">
      <w:pPr>
        <w:shd w:val="clear"/>
        <w:ind w:firstLine="0" w:firstLineChars="0"/>
        <w:outlineLvl w:val="1"/>
        <w:rPr>
          <w:rFonts w:cs="Times New Roman"/>
          <w:b/>
          <w:color w:val="auto"/>
          <w:sz w:val="28"/>
          <w:szCs w:val="28"/>
          <w:highlight w:val="none"/>
        </w:rPr>
      </w:pPr>
      <w:bookmarkStart w:id="1751" w:name="_Toc31730"/>
      <w:bookmarkStart w:id="1752" w:name="_Toc12628"/>
      <w:r>
        <w:rPr>
          <w:rFonts w:hint="eastAsia" w:cs="Times New Roman"/>
          <w:b/>
          <w:color w:val="auto"/>
          <w:sz w:val="28"/>
          <w:szCs w:val="28"/>
          <w:highlight w:val="none"/>
        </w:rPr>
        <w:t>16.5 安全措施效果分析</w:t>
      </w:r>
      <w:bookmarkEnd w:id="1745"/>
      <w:bookmarkEnd w:id="1746"/>
      <w:bookmarkEnd w:id="1747"/>
      <w:bookmarkEnd w:id="1748"/>
      <w:bookmarkEnd w:id="1749"/>
      <w:bookmarkEnd w:id="1750"/>
      <w:bookmarkEnd w:id="1751"/>
      <w:bookmarkEnd w:id="1752"/>
    </w:p>
    <w:p w14:paraId="1367420E">
      <w:pPr>
        <w:shd w:val="clear"/>
        <w:wordWrap w:val="0"/>
        <w:autoSpaceDE w:val="0"/>
        <w:autoSpaceDN w:val="0"/>
        <w:rPr>
          <w:rFonts w:ascii="Times New Roman" w:hAnsi="Times New Roman" w:cs="Times New Roman"/>
          <w:color w:val="auto"/>
          <w:highlight w:val="none"/>
        </w:rPr>
      </w:pPr>
      <w:r>
        <w:rPr>
          <w:rFonts w:hint="eastAsia" w:ascii="Times New Roman" w:hAnsi="Times New Roman" w:cs="Times New Roman"/>
          <w:color w:val="auto"/>
          <w:highlight w:val="none"/>
        </w:rPr>
        <w:t>本项目通过采取上述防火防爆、防灼烫、防机械伤害、防电气伤害等措施，同时在可能发生煤气泄漏、积聚的场所和部位设置固定式一氧化碳浓度监测报警装置，依据《工贸行业重大事故隐患判定标准》（应急管理部10号令），排除重大事故隐患。同时按照《甘肃省安全生产治本攻坚三年行动实施方案（2024-2026年）》的相关要求，开展公司主要负责人安全教育培训，将重大事故隐患排查整治有关要求作为培训的重要内容，加强公司全员安全生产宣传教育，强化安全科普宣传，项目符合《甘肃省安全生产治本攻坚三年行动实施方案（2024-2026年）》的相关要求。经采取上述措施后，可以提升项目本质安全水平。</w:t>
      </w:r>
    </w:p>
    <w:p w14:paraId="4D3311B7">
      <w:pPr>
        <w:shd w:val="clear"/>
        <w:wordWrap w:val="0"/>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highlight w:val="none"/>
        </w:rPr>
        <w:t>本项目劳动安全设施完善，经采取措施后，符合国家有关要求。一般情况下可基本避免火灾、爆炸等危险事故的发生，一旦出现事</w:t>
      </w:r>
      <w:r>
        <w:rPr>
          <w:rFonts w:hint="eastAsia" w:ascii="Times New Roman" w:hAnsi="Times New Roman" w:cs="Times New Roman"/>
          <w:color w:val="auto"/>
          <w:highlight w:val="none"/>
        </w:rPr>
        <w:t>故</w:t>
      </w:r>
      <w:r>
        <w:rPr>
          <w:rFonts w:ascii="Times New Roman" w:hAnsi="Times New Roman" w:cs="Times New Roman"/>
          <w:color w:val="auto"/>
          <w:highlight w:val="none"/>
        </w:rPr>
        <w:t>，即可采取相应的备用和应急措施，将事故造成的损失减到最低限度。</w:t>
      </w:r>
    </w:p>
    <w:p w14:paraId="10A7D404">
      <w:pPr>
        <w:shd w:val="clear"/>
        <w:wordWrap w:val="0"/>
        <w:rPr>
          <w:rFonts w:ascii="Times New Roman" w:hAnsi="Times New Roman" w:cs="Times New Roman"/>
          <w:color w:val="auto"/>
          <w:highlight w:val="none"/>
        </w:rPr>
      </w:pPr>
    </w:p>
    <w:p w14:paraId="2D180830">
      <w:pPr>
        <w:shd w:val="clear"/>
        <w:rPr>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708" w:num="1"/>
          <w:docGrid w:type="lines" w:linePitch="312" w:charSpace="0"/>
        </w:sectPr>
      </w:pPr>
    </w:p>
    <w:p w14:paraId="73A6E654">
      <w:pPr>
        <w:shd w:val="clear"/>
        <w:snapToGrid w:val="0"/>
        <w:ind w:firstLine="0" w:firstLineChars="0"/>
        <w:jc w:val="center"/>
        <w:outlineLvl w:val="0"/>
        <w:rPr>
          <w:rFonts w:ascii="Times New Roman" w:hAnsi="Times New Roman" w:cs="Times New Roman"/>
          <w:b/>
          <w:color w:val="auto"/>
          <w:kern w:val="0"/>
          <w:sz w:val="30"/>
          <w:szCs w:val="28"/>
          <w:highlight w:val="none"/>
        </w:rPr>
      </w:pPr>
      <w:bookmarkStart w:id="1753" w:name="_Toc26316"/>
      <w:bookmarkStart w:id="1754" w:name="_Toc10882"/>
      <w:bookmarkStart w:id="1755" w:name="_Toc32256"/>
      <w:bookmarkStart w:id="1756" w:name="_Toc20410"/>
      <w:bookmarkStart w:id="1757" w:name="_Toc28149"/>
      <w:bookmarkStart w:id="1758" w:name="_Toc30138"/>
      <w:r>
        <w:rPr>
          <w:rFonts w:hint="eastAsia" w:ascii="Times New Roman" w:hAnsi="Times New Roman" w:cs="Times New Roman"/>
          <w:b/>
          <w:color w:val="auto"/>
          <w:kern w:val="0"/>
          <w:sz w:val="30"/>
          <w:szCs w:val="28"/>
          <w:highlight w:val="none"/>
        </w:rPr>
        <w:t>17 职业卫生</w:t>
      </w:r>
      <w:bookmarkEnd w:id="1753"/>
      <w:bookmarkEnd w:id="1754"/>
      <w:bookmarkEnd w:id="1755"/>
      <w:bookmarkEnd w:id="1756"/>
      <w:bookmarkEnd w:id="1757"/>
      <w:bookmarkEnd w:id="1758"/>
    </w:p>
    <w:p w14:paraId="3DAE6FAA">
      <w:pPr>
        <w:shd w:val="clear"/>
        <w:ind w:firstLine="0" w:firstLineChars="0"/>
        <w:outlineLvl w:val="1"/>
        <w:rPr>
          <w:rFonts w:cs="Times New Roman"/>
          <w:b/>
          <w:color w:val="auto"/>
          <w:sz w:val="28"/>
          <w:szCs w:val="28"/>
          <w:highlight w:val="none"/>
        </w:rPr>
      </w:pPr>
      <w:bookmarkStart w:id="1759" w:name="_Toc18514"/>
      <w:bookmarkStart w:id="1760" w:name="_Toc862"/>
      <w:bookmarkStart w:id="1761" w:name="_Toc3354"/>
      <w:bookmarkStart w:id="1762" w:name="_Toc5373"/>
      <w:bookmarkStart w:id="1763" w:name="_Toc27066"/>
      <w:bookmarkStart w:id="1764" w:name="_Toc18463"/>
      <w:r>
        <w:rPr>
          <w:rFonts w:hint="eastAsia" w:cs="Times New Roman"/>
          <w:b/>
          <w:color w:val="auto"/>
          <w:sz w:val="28"/>
          <w:szCs w:val="28"/>
          <w:highlight w:val="none"/>
        </w:rPr>
        <w:t>17.1 编制依据</w:t>
      </w:r>
      <w:bookmarkEnd w:id="1759"/>
      <w:bookmarkEnd w:id="1760"/>
      <w:bookmarkEnd w:id="1761"/>
      <w:bookmarkEnd w:id="1762"/>
      <w:bookmarkEnd w:id="1763"/>
      <w:bookmarkEnd w:id="1764"/>
    </w:p>
    <w:p w14:paraId="26DB18AF">
      <w:pPr>
        <w:shd w:val="clear"/>
        <w:rPr>
          <w:rFonts w:ascii="Times New Roman" w:hAnsi="Times New Roman" w:cs="Times New Roman"/>
          <w:color w:val="auto"/>
          <w:highlight w:val="none"/>
        </w:rPr>
      </w:pPr>
      <w:bookmarkStart w:id="1765" w:name="_Toc17002"/>
      <w:bookmarkStart w:id="1766" w:name="_Toc3312"/>
      <w:bookmarkStart w:id="1767" w:name="_Toc29643"/>
      <w:bookmarkStart w:id="1768" w:name="_Toc8555"/>
      <w:r>
        <w:rPr>
          <w:rFonts w:ascii="Times New Roman" w:hAnsi="Times New Roman" w:cs="Times New Roman"/>
          <w:color w:val="auto"/>
          <w:highlight w:val="none"/>
        </w:rPr>
        <w:t>《中华人民共和国职业病防治法》（2018年12月29日修订）</w:t>
      </w:r>
    </w:p>
    <w:p w14:paraId="2D306A93">
      <w:pPr>
        <w:shd w:val="clear"/>
        <w:rPr>
          <w:rFonts w:ascii="Times New Roman" w:hAnsi="Times New Roman" w:cs="Times New Roman"/>
          <w:color w:val="auto"/>
          <w:highlight w:val="none"/>
        </w:rPr>
      </w:pPr>
      <w:r>
        <w:rPr>
          <w:rFonts w:ascii="Times New Roman" w:hAnsi="Times New Roman" w:cs="Times New Roman"/>
          <w:color w:val="auto"/>
          <w:highlight w:val="none"/>
        </w:rPr>
        <w:t>《建设项目职业病防护设施三同时监督管理办法》（2017年5月1日起实施）</w:t>
      </w:r>
    </w:p>
    <w:p w14:paraId="4D4ECE1F">
      <w:pPr>
        <w:shd w:val="clear"/>
        <w:rPr>
          <w:rFonts w:ascii="Times New Roman" w:hAnsi="Times New Roman" w:cs="Times New Roman"/>
          <w:color w:val="auto"/>
          <w:highlight w:val="none"/>
        </w:rPr>
      </w:pPr>
      <w:r>
        <w:rPr>
          <w:rFonts w:ascii="Times New Roman" w:hAnsi="Times New Roman" w:cs="Times New Roman"/>
          <w:color w:val="auto"/>
          <w:highlight w:val="none"/>
        </w:rPr>
        <w:t>《生产设备安全卫生设计总则》（GB 5083-202</w:t>
      </w:r>
      <w:r>
        <w:rPr>
          <w:rFonts w:hint="eastAsia" w:ascii="Times New Roman" w:hAnsi="Times New Roman" w:cs="Times New Roman"/>
          <w:color w:val="auto"/>
          <w:highlight w:val="none"/>
        </w:rPr>
        <w:t>3</w:t>
      </w:r>
      <w:r>
        <w:rPr>
          <w:rFonts w:ascii="Times New Roman" w:hAnsi="Times New Roman" w:cs="Times New Roman"/>
          <w:color w:val="auto"/>
          <w:highlight w:val="none"/>
        </w:rPr>
        <w:t>）</w:t>
      </w:r>
    </w:p>
    <w:p w14:paraId="201DA8A9">
      <w:pPr>
        <w:shd w:val="clear"/>
        <w:rPr>
          <w:rFonts w:ascii="Times New Roman" w:hAnsi="Times New Roman" w:cs="Times New Roman"/>
          <w:color w:val="auto"/>
          <w:highlight w:val="none"/>
        </w:rPr>
      </w:pPr>
      <w:r>
        <w:rPr>
          <w:rFonts w:ascii="Times New Roman" w:hAnsi="Times New Roman" w:cs="Times New Roman"/>
          <w:color w:val="auto"/>
          <w:highlight w:val="none"/>
        </w:rPr>
        <w:t>《工业企业噪声控制设计规范》（GB/T 50087-2013）</w:t>
      </w:r>
    </w:p>
    <w:p w14:paraId="180661C6">
      <w:pPr>
        <w:shd w:val="clear"/>
        <w:rPr>
          <w:rFonts w:ascii="Times New Roman" w:hAnsi="Times New Roman" w:cs="Times New Roman"/>
          <w:color w:val="auto"/>
          <w:highlight w:val="none"/>
        </w:rPr>
      </w:pPr>
      <w:r>
        <w:rPr>
          <w:rFonts w:ascii="Times New Roman" w:hAnsi="Times New Roman" w:cs="Times New Roman"/>
          <w:color w:val="auto"/>
          <w:highlight w:val="none"/>
        </w:rPr>
        <w:t>《工业企业设计卫生标准》（GBZ 1-2010）</w:t>
      </w:r>
    </w:p>
    <w:p w14:paraId="6C7F5D9E">
      <w:pPr>
        <w:pStyle w:val="26"/>
        <w:shd w:val="clear"/>
        <w:rPr>
          <w:color w:val="auto"/>
          <w:sz w:val="24"/>
          <w:szCs w:val="24"/>
          <w:highlight w:val="none"/>
        </w:rPr>
      </w:pPr>
      <w:r>
        <w:rPr>
          <w:color w:val="auto"/>
          <w:sz w:val="24"/>
          <w:szCs w:val="24"/>
          <w:highlight w:val="none"/>
        </w:rPr>
        <w:t>《工作场所有害因素职业接触限值</w:t>
      </w:r>
      <w:r>
        <w:rPr>
          <w:rFonts w:hint="eastAsia"/>
          <w:color w:val="auto"/>
          <w:sz w:val="24"/>
          <w:szCs w:val="24"/>
          <w:highlight w:val="none"/>
          <w:lang w:eastAsia="zh-CN"/>
        </w:rPr>
        <w:t xml:space="preserve"> </w:t>
      </w:r>
      <w:r>
        <w:rPr>
          <w:color w:val="auto"/>
          <w:sz w:val="24"/>
          <w:szCs w:val="24"/>
          <w:highlight w:val="none"/>
        </w:rPr>
        <w:t>第1部分：化学有害因素》及第1、2号修改单</w:t>
      </w:r>
      <w:r>
        <w:rPr>
          <w:rFonts w:hint="eastAsia"/>
          <w:color w:val="auto"/>
          <w:sz w:val="24"/>
          <w:szCs w:val="24"/>
          <w:highlight w:val="none"/>
        </w:rPr>
        <w:t>（</w:t>
      </w:r>
      <w:r>
        <w:rPr>
          <w:color w:val="auto"/>
          <w:sz w:val="24"/>
          <w:szCs w:val="24"/>
          <w:highlight w:val="none"/>
        </w:rPr>
        <w:t>GBZ2.1-2019/XG1-2022/XG1-2024</w:t>
      </w:r>
      <w:r>
        <w:rPr>
          <w:rFonts w:hint="eastAsia"/>
          <w:color w:val="auto"/>
          <w:sz w:val="24"/>
          <w:szCs w:val="24"/>
          <w:highlight w:val="none"/>
        </w:rPr>
        <w:t>）</w:t>
      </w:r>
    </w:p>
    <w:p w14:paraId="700B5CCD">
      <w:pPr>
        <w:shd w:val="clear"/>
        <w:rPr>
          <w:rFonts w:ascii="Times New Roman" w:hAnsi="Times New Roman" w:cs="Times New Roman"/>
          <w:color w:val="auto"/>
          <w:highlight w:val="none"/>
        </w:rPr>
      </w:pPr>
      <w:r>
        <w:rPr>
          <w:rFonts w:ascii="Times New Roman" w:hAnsi="Times New Roman" w:cs="Times New Roman"/>
          <w:color w:val="auto"/>
          <w:highlight w:val="none"/>
        </w:rPr>
        <w:t>《工作场所有害因素职业接触限值第2部分：物理因素》</w:t>
      </w:r>
      <w:r>
        <w:rPr>
          <w:rFonts w:hint="eastAsia" w:ascii="Times New Roman" w:hAnsi="Times New Roman" w:cs="Times New Roman"/>
          <w:color w:val="auto"/>
          <w:highlight w:val="none"/>
        </w:rPr>
        <w:t>（</w:t>
      </w:r>
      <w:r>
        <w:rPr>
          <w:rFonts w:ascii="Times New Roman" w:hAnsi="Times New Roman" w:cs="Times New Roman"/>
          <w:color w:val="auto"/>
          <w:highlight w:val="none"/>
        </w:rPr>
        <w:t>GBZ2.2-2007</w:t>
      </w:r>
      <w:r>
        <w:rPr>
          <w:rFonts w:hint="eastAsia" w:ascii="Times New Roman" w:hAnsi="Times New Roman" w:cs="Times New Roman"/>
          <w:color w:val="auto"/>
          <w:highlight w:val="none"/>
        </w:rPr>
        <w:t>）</w:t>
      </w:r>
    </w:p>
    <w:p w14:paraId="08348C17">
      <w:pPr>
        <w:shd w:val="clear"/>
        <w:rPr>
          <w:rFonts w:ascii="Times New Roman" w:hAnsi="Times New Roman" w:cs="Times New Roman"/>
          <w:color w:val="auto"/>
          <w:highlight w:val="none"/>
        </w:rPr>
      </w:pPr>
      <w:r>
        <w:rPr>
          <w:rFonts w:ascii="Times New Roman" w:hAnsi="Times New Roman" w:cs="Times New Roman"/>
          <w:color w:val="auto"/>
          <w:highlight w:val="none"/>
        </w:rPr>
        <w:t>《建筑照明设计标准》（GB/T 50034-20</w:t>
      </w:r>
      <w:r>
        <w:rPr>
          <w:rFonts w:hint="eastAsia" w:ascii="Times New Roman" w:hAnsi="Times New Roman" w:cs="Times New Roman"/>
          <w:color w:val="auto"/>
          <w:highlight w:val="none"/>
        </w:rPr>
        <w:t>24</w:t>
      </w:r>
      <w:r>
        <w:rPr>
          <w:rFonts w:ascii="Times New Roman" w:hAnsi="Times New Roman" w:cs="Times New Roman"/>
          <w:color w:val="auto"/>
          <w:highlight w:val="none"/>
        </w:rPr>
        <w:t>）</w:t>
      </w:r>
    </w:p>
    <w:p w14:paraId="287430CE">
      <w:pPr>
        <w:shd w:val="clear"/>
        <w:rPr>
          <w:rFonts w:ascii="Times New Roman" w:hAnsi="Times New Roman" w:cs="Times New Roman"/>
          <w:color w:val="auto"/>
          <w:highlight w:val="none"/>
        </w:rPr>
      </w:pPr>
      <w:r>
        <w:rPr>
          <w:rFonts w:ascii="Times New Roman" w:hAnsi="Times New Roman" w:cs="Times New Roman"/>
          <w:color w:val="auto"/>
          <w:highlight w:val="none"/>
        </w:rPr>
        <w:t>《建筑采光设计标准》（GB 50033-2013）</w:t>
      </w:r>
    </w:p>
    <w:p w14:paraId="394BA8FC">
      <w:pPr>
        <w:shd w:val="clear"/>
        <w:rPr>
          <w:rFonts w:ascii="Times New Roman" w:hAnsi="Times New Roman" w:cs="Times New Roman"/>
          <w:color w:val="auto"/>
          <w:highlight w:val="none"/>
        </w:rPr>
      </w:pPr>
      <w:r>
        <w:rPr>
          <w:rFonts w:ascii="Times New Roman" w:hAnsi="Times New Roman" w:cs="Times New Roman"/>
          <w:color w:val="auto"/>
          <w:highlight w:val="none"/>
        </w:rPr>
        <w:t>《工业建筑供暖通风与空气调节设计规范》（GB 50019-2015）</w:t>
      </w:r>
    </w:p>
    <w:p w14:paraId="0AD1E950">
      <w:pPr>
        <w:shd w:val="clear"/>
        <w:rPr>
          <w:rFonts w:ascii="Times New Roman" w:hAnsi="Times New Roman" w:cs="Times New Roman"/>
          <w:color w:val="auto"/>
          <w:highlight w:val="none"/>
        </w:rPr>
      </w:pPr>
      <w:r>
        <w:rPr>
          <w:rFonts w:ascii="Times New Roman" w:hAnsi="Times New Roman" w:cs="Times New Roman"/>
          <w:color w:val="auto"/>
          <w:highlight w:val="none"/>
        </w:rPr>
        <w:t>《工</w:t>
      </w:r>
      <w:r>
        <w:rPr>
          <w:rFonts w:hint="eastAsia" w:ascii="Times New Roman" w:hAnsi="Times New Roman" w:cs="Times New Roman"/>
          <w:color w:val="auto"/>
          <w:highlight w:val="none"/>
        </w:rPr>
        <w:t>作</w:t>
      </w:r>
      <w:r>
        <w:rPr>
          <w:rFonts w:ascii="Times New Roman" w:hAnsi="Times New Roman" w:cs="Times New Roman"/>
          <w:color w:val="auto"/>
          <w:highlight w:val="none"/>
        </w:rPr>
        <w:t>场所职业病危害警示标识》（GBZ 158-2003）</w:t>
      </w:r>
    </w:p>
    <w:p w14:paraId="23619F25">
      <w:pPr>
        <w:shd w:val="clear"/>
        <w:ind w:firstLine="0" w:firstLineChars="0"/>
        <w:outlineLvl w:val="1"/>
        <w:rPr>
          <w:rFonts w:cs="Times New Roman"/>
          <w:b/>
          <w:color w:val="auto"/>
          <w:sz w:val="28"/>
          <w:szCs w:val="28"/>
          <w:highlight w:val="none"/>
        </w:rPr>
      </w:pPr>
      <w:bookmarkStart w:id="1769" w:name="_Toc17266"/>
      <w:bookmarkStart w:id="1770" w:name="_Toc2577"/>
      <w:r>
        <w:rPr>
          <w:rFonts w:hint="eastAsia" w:cs="Times New Roman"/>
          <w:b/>
          <w:color w:val="auto"/>
          <w:sz w:val="28"/>
          <w:szCs w:val="28"/>
          <w:highlight w:val="none"/>
        </w:rPr>
        <w:t>17.2 存在的主要危险因素</w:t>
      </w:r>
      <w:bookmarkEnd w:id="1765"/>
      <w:bookmarkEnd w:id="1766"/>
      <w:bookmarkEnd w:id="1767"/>
      <w:bookmarkEnd w:id="1768"/>
      <w:bookmarkEnd w:id="1769"/>
      <w:bookmarkEnd w:id="1770"/>
    </w:p>
    <w:p w14:paraId="391B15EC">
      <w:pPr>
        <w:shd w:val="clear"/>
        <w:autoSpaceDE w:val="0"/>
        <w:autoSpaceDN w:val="0"/>
        <w:rPr>
          <w:rFonts w:ascii="Times New Roman" w:hAnsi="Times New Roman" w:cs="Times New Roman"/>
          <w:color w:val="auto"/>
          <w:kern w:val="0"/>
          <w:szCs w:val="22"/>
          <w:highlight w:val="none"/>
          <w:lang w:bidi="zh-CN"/>
        </w:rPr>
      </w:pPr>
      <w:bookmarkStart w:id="1771" w:name="_Toc19894"/>
      <w:bookmarkStart w:id="1772" w:name="_Toc18357"/>
      <w:bookmarkStart w:id="1773" w:name="_Toc26773"/>
      <w:bookmarkStart w:id="1774" w:name="_Toc600"/>
      <w:r>
        <w:rPr>
          <w:rFonts w:ascii="Times New Roman" w:hAnsi="Times New Roman" w:cs="Times New Roman"/>
          <w:color w:val="auto"/>
          <w:kern w:val="0"/>
          <w:szCs w:val="22"/>
          <w:highlight w:val="none"/>
          <w:lang w:bidi="zh-CN"/>
        </w:rPr>
        <w:t>（1）化学毒物类</w:t>
      </w:r>
    </w:p>
    <w:p w14:paraId="3B38EAD0">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本项目涉及化学毒物类主要是煤气，急性毒物一氧化碳、氮氧化物、硫化氢等，窒息性物质压缩氮气、硫化氢等。</w:t>
      </w:r>
    </w:p>
    <w:p w14:paraId="6CBAC965">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（2）粉尘类</w:t>
      </w:r>
    </w:p>
    <w:p w14:paraId="2FC7FBCF">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本项目存在原燃料运输系统含尘废气、矿焦槽粉尘，高炉出铁场烟尘粉仓的外逸含尘气体。</w:t>
      </w:r>
    </w:p>
    <w:p w14:paraId="43AB5B14">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（3）噪声类</w:t>
      </w:r>
    </w:p>
    <w:p w14:paraId="7DA55DDC">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本项目存在各种风机、泵类和阀门运行噪声、振动筛噪声、鼓风机站噪声等。</w:t>
      </w:r>
    </w:p>
    <w:p w14:paraId="5AE2E357">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（4）高温</w:t>
      </w:r>
    </w:p>
    <w:p w14:paraId="0B6AEF92">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当工作场所的高温辐射强度</w:t>
      </w:r>
      <w:r>
        <w:rPr>
          <w:rFonts w:hint="eastAsia" w:ascii="Times New Roman" w:hAnsi="Times New Roman" w:cs="Times New Roman"/>
          <w:color w:val="auto"/>
          <w:kern w:val="0"/>
          <w:szCs w:val="22"/>
          <w:highlight w:val="none"/>
          <w:lang w:bidi="zh-CN"/>
        </w:rPr>
        <w:t>过大</w:t>
      </w:r>
      <w:r>
        <w:rPr>
          <w:rFonts w:ascii="Times New Roman" w:hAnsi="Times New Roman" w:cs="Times New Roman"/>
          <w:color w:val="auto"/>
          <w:kern w:val="0"/>
          <w:szCs w:val="22"/>
          <w:highlight w:val="none"/>
          <w:lang w:bidi="zh-CN"/>
        </w:rPr>
        <w:t>时，可使人体过热，产生一系列生理功能变化。</w:t>
      </w:r>
    </w:p>
    <w:p w14:paraId="169517FF">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（5）受限空间</w:t>
      </w:r>
    </w:p>
    <w:p w14:paraId="63F35916">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受限空间进出口狭窄有限，自然通风不良，易造成有毒有害、易燃易爆物质集聚或氧含量不足。</w:t>
      </w:r>
    </w:p>
    <w:p w14:paraId="2831AAC8">
      <w:pPr>
        <w:shd w:val="clear"/>
        <w:ind w:firstLine="0" w:firstLineChars="0"/>
        <w:outlineLvl w:val="1"/>
        <w:rPr>
          <w:rFonts w:cs="Times New Roman"/>
          <w:b/>
          <w:color w:val="auto"/>
          <w:sz w:val="28"/>
          <w:szCs w:val="28"/>
          <w:highlight w:val="none"/>
        </w:rPr>
      </w:pPr>
      <w:bookmarkStart w:id="1775" w:name="_Toc26308"/>
      <w:bookmarkStart w:id="1776" w:name="_Toc18407"/>
      <w:r>
        <w:rPr>
          <w:rFonts w:hint="eastAsia" w:cs="Times New Roman"/>
          <w:b/>
          <w:color w:val="auto"/>
          <w:sz w:val="28"/>
          <w:szCs w:val="28"/>
          <w:highlight w:val="none"/>
        </w:rPr>
        <w:t>17.3 职业病防护措施</w:t>
      </w:r>
      <w:bookmarkEnd w:id="1771"/>
      <w:bookmarkEnd w:id="1772"/>
      <w:bookmarkEnd w:id="1773"/>
      <w:bookmarkEnd w:id="1774"/>
      <w:bookmarkEnd w:id="1775"/>
      <w:bookmarkEnd w:id="1776"/>
    </w:p>
    <w:p w14:paraId="46D5081A">
      <w:pPr>
        <w:shd w:val="clear"/>
        <w:rPr>
          <w:rFonts w:ascii="Times New Roman" w:hAnsi="Times New Roman" w:cs="Times New Roman"/>
          <w:color w:val="auto"/>
          <w:highlight w:val="none"/>
        </w:rPr>
      </w:pPr>
      <w:bookmarkStart w:id="1777" w:name="_Toc22878"/>
      <w:bookmarkStart w:id="1778" w:name="_Toc175944220"/>
      <w:bookmarkStart w:id="1779" w:name="_Toc31513"/>
      <w:bookmarkStart w:id="1780" w:name="_Toc18607"/>
      <w:bookmarkStart w:id="1781" w:name="_Toc32634"/>
      <w:r>
        <w:rPr>
          <w:rFonts w:ascii="Times New Roman" w:hAnsi="Times New Roman" w:cs="Times New Roman"/>
          <w:color w:val="auto"/>
          <w:highlight w:val="none"/>
        </w:rPr>
        <w:t>（1）防化学毒物</w:t>
      </w:r>
    </w:p>
    <w:p w14:paraId="34A86F6A">
      <w:pPr>
        <w:shd w:val="clear"/>
        <w:rPr>
          <w:rFonts w:ascii="Times New Roman" w:hAnsi="Times New Roman" w:cs="Times New Roman"/>
          <w:color w:val="auto"/>
          <w:highlight w:val="none"/>
        </w:rPr>
      </w:pPr>
      <w:r>
        <w:rPr>
          <w:rFonts w:ascii="Times New Roman" w:hAnsi="Times New Roman" w:cs="Times New Roman"/>
          <w:color w:val="auto"/>
          <w:highlight w:val="none"/>
        </w:rPr>
        <w:t>各产尘点均设有除尘设施，处理后岗位有害气体及粉尘浓度满足可满足《工业企业设计卫生标准》（GBZ1-2010）、《工作场所有害因素职业接触限值化学有害因素》（GBZ2.1-2019）的要求。</w:t>
      </w:r>
    </w:p>
    <w:p w14:paraId="0F693F45">
      <w:pPr>
        <w:shd w:val="clear"/>
        <w:rPr>
          <w:rFonts w:ascii="Times New Roman" w:hAnsi="Times New Roman" w:cs="Times New Roman"/>
          <w:color w:val="auto"/>
          <w:highlight w:val="none"/>
        </w:rPr>
      </w:pPr>
      <w:r>
        <w:rPr>
          <w:rFonts w:ascii="Times New Roman" w:hAnsi="Times New Roman" w:cs="Times New Roman"/>
          <w:color w:val="auto"/>
          <w:highlight w:val="none"/>
        </w:rPr>
        <w:t>为保障工人健康，除尘工人作业时佩戴防尘口罩进行个体防护。</w:t>
      </w:r>
    </w:p>
    <w:p w14:paraId="53CC7AEF">
      <w:pPr>
        <w:shd w:val="clear"/>
        <w:rPr>
          <w:rFonts w:ascii="Times New Roman" w:hAnsi="Times New Roman" w:cs="Times New Roman"/>
          <w:color w:val="auto"/>
          <w:highlight w:val="none"/>
        </w:rPr>
      </w:pPr>
      <w:r>
        <w:rPr>
          <w:rFonts w:ascii="Times New Roman" w:hAnsi="Times New Roman" w:cs="Times New Roman"/>
          <w:color w:val="auto"/>
          <w:highlight w:val="none"/>
        </w:rPr>
        <w:t>项目可能产生煤气泄漏的生产区域均设有CO检测报警装置（装置均为利旧），并设有氮气密封装置、密封阀等措施防止煤气泄漏。</w:t>
      </w:r>
    </w:p>
    <w:p w14:paraId="1A8C5376">
      <w:pPr>
        <w:shd w:val="clear"/>
        <w:rPr>
          <w:rFonts w:ascii="Times New Roman" w:hAnsi="Times New Roman" w:cs="Times New Roman"/>
          <w:color w:val="auto"/>
          <w:highlight w:val="none"/>
        </w:rPr>
      </w:pPr>
      <w:r>
        <w:rPr>
          <w:rFonts w:ascii="Times New Roman" w:hAnsi="Times New Roman" w:cs="Times New Roman"/>
          <w:color w:val="auto"/>
          <w:highlight w:val="none"/>
        </w:rPr>
        <w:t>为排除室内的易燃等有害气体，</w:t>
      </w:r>
      <w:r>
        <w:rPr>
          <w:rFonts w:hint="eastAsia" w:ascii="Times New Roman" w:hAnsi="Times New Roman" w:cs="Times New Roman"/>
          <w:color w:val="auto"/>
          <w:highlight w:val="none"/>
        </w:rPr>
        <w:t>相应</w:t>
      </w:r>
      <w:r>
        <w:rPr>
          <w:rFonts w:ascii="Times New Roman" w:hAnsi="Times New Roman" w:cs="Times New Roman"/>
          <w:color w:val="auto"/>
          <w:highlight w:val="none"/>
        </w:rPr>
        <w:t>厂房均选用轴流风机</w:t>
      </w:r>
      <w:r>
        <w:rPr>
          <w:rFonts w:hint="eastAsia" w:ascii="Times New Roman" w:hAnsi="Times New Roman" w:cs="Times New Roman"/>
          <w:color w:val="auto"/>
          <w:highlight w:val="none"/>
        </w:rPr>
        <w:t>（利旧）</w:t>
      </w:r>
      <w:r>
        <w:rPr>
          <w:rFonts w:ascii="Times New Roman" w:hAnsi="Times New Roman" w:cs="Times New Roman"/>
          <w:color w:val="auto"/>
          <w:highlight w:val="none"/>
        </w:rPr>
        <w:t>进行机械通风</w:t>
      </w:r>
      <w:r>
        <w:rPr>
          <w:rFonts w:hint="eastAsia" w:ascii="Times New Roman" w:hAnsi="Times New Roman" w:cs="Times New Roman"/>
          <w:color w:val="auto"/>
          <w:highlight w:val="none"/>
        </w:rPr>
        <w:t>。</w:t>
      </w:r>
    </w:p>
    <w:p w14:paraId="28BB6AB6">
      <w:pPr>
        <w:shd w:val="clear"/>
        <w:rPr>
          <w:rFonts w:ascii="Times New Roman" w:hAnsi="Times New Roman" w:cs="Times New Roman"/>
          <w:color w:val="auto"/>
          <w:highlight w:val="none"/>
        </w:rPr>
      </w:pPr>
      <w:r>
        <w:rPr>
          <w:rFonts w:hint="eastAsia" w:ascii="Times New Roman" w:hAnsi="Times New Roman" w:cs="Times New Roman"/>
          <w:color w:val="auto"/>
          <w:highlight w:val="none"/>
        </w:rPr>
        <w:t>（2）粉尘防治措施</w:t>
      </w:r>
    </w:p>
    <w:p w14:paraId="169C6246">
      <w:pPr>
        <w:shd w:val="clear"/>
        <w:rPr>
          <w:rFonts w:ascii="Times New Roman" w:hAnsi="Times New Roman" w:cs="Times New Roman"/>
          <w:color w:val="auto"/>
          <w:highlight w:val="none"/>
        </w:rPr>
      </w:pPr>
      <w:r>
        <w:rPr>
          <w:rFonts w:ascii="Times New Roman" w:hAnsi="Times New Roman" w:cs="Times New Roman"/>
          <w:color w:val="auto"/>
          <w:highlight w:val="none"/>
        </w:rPr>
        <w:t>设置布袋除尘器等防尘设施，采用大型密闭罩，合理控制吸气口风速，能够有效控制岗位粉尘浓度，达到国家标准要求。</w:t>
      </w:r>
    </w:p>
    <w:p w14:paraId="71659D9F">
      <w:pPr>
        <w:shd w:val="clear"/>
        <w:rPr>
          <w:rFonts w:ascii="Times New Roman" w:hAnsi="Times New Roman" w:cs="Times New Roman"/>
          <w:color w:val="auto"/>
          <w:highlight w:val="none"/>
        </w:rPr>
      </w:pPr>
      <w:r>
        <w:rPr>
          <w:rFonts w:ascii="Times New Roman" w:hAnsi="Times New Roman" w:cs="Times New Roman"/>
          <w:color w:val="auto"/>
          <w:highlight w:val="none"/>
        </w:rPr>
        <w:t>设置环境抑尘措施，使用</w:t>
      </w:r>
      <w:r>
        <w:rPr>
          <w:rFonts w:hint="eastAsia" w:ascii="Times New Roman" w:hAnsi="Times New Roman" w:cs="Times New Roman"/>
          <w:color w:val="auto"/>
          <w:highlight w:val="none"/>
        </w:rPr>
        <w:t>封闭和</w:t>
      </w:r>
      <w:r>
        <w:rPr>
          <w:rFonts w:ascii="Times New Roman" w:hAnsi="Times New Roman" w:cs="Times New Roman"/>
          <w:color w:val="auto"/>
          <w:highlight w:val="none"/>
        </w:rPr>
        <w:t>喷雾</w:t>
      </w:r>
      <w:r>
        <w:rPr>
          <w:rFonts w:hint="eastAsia" w:ascii="Times New Roman" w:hAnsi="Times New Roman" w:cs="Times New Roman"/>
          <w:color w:val="auto"/>
          <w:highlight w:val="none"/>
        </w:rPr>
        <w:t>抑尘</w:t>
      </w:r>
      <w:r>
        <w:rPr>
          <w:rFonts w:ascii="Times New Roman" w:hAnsi="Times New Roman" w:cs="Times New Roman"/>
          <w:color w:val="auto"/>
          <w:highlight w:val="none"/>
        </w:rPr>
        <w:t>，有效降低岗位粉尘浓度。</w:t>
      </w:r>
    </w:p>
    <w:p w14:paraId="45312A32">
      <w:pPr>
        <w:shd w:val="clear"/>
        <w:rPr>
          <w:rFonts w:ascii="Times New Roman" w:hAnsi="Times New Roman" w:cs="Times New Roman"/>
          <w:color w:val="auto"/>
          <w:highlight w:val="none"/>
        </w:rPr>
      </w:pPr>
      <w:r>
        <w:rPr>
          <w:rFonts w:hint="eastAsia" w:ascii="Times New Roman" w:hAnsi="Times New Roman" w:cs="Times New Roman"/>
          <w:color w:val="auto"/>
          <w:highlight w:val="none"/>
        </w:rPr>
        <w:t>（3）噪声控制措施</w:t>
      </w:r>
    </w:p>
    <w:p w14:paraId="31D79FD6">
      <w:pPr>
        <w:shd w:val="clear"/>
        <w:rPr>
          <w:rFonts w:ascii="Times New Roman" w:hAnsi="Times New Roman" w:cs="Times New Roman"/>
          <w:color w:val="auto"/>
          <w:highlight w:val="none"/>
        </w:rPr>
      </w:pPr>
      <w:r>
        <w:rPr>
          <w:rFonts w:ascii="Times New Roman" w:hAnsi="Times New Roman" w:cs="Times New Roman"/>
          <w:color w:val="auto"/>
          <w:highlight w:val="none"/>
        </w:rPr>
        <w:t>振动筛、给料机布置于厂房内，设置基础减震。</w:t>
      </w:r>
    </w:p>
    <w:p w14:paraId="10EC0FFF">
      <w:pPr>
        <w:shd w:val="clear"/>
        <w:rPr>
          <w:rFonts w:ascii="Times New Roman" w:hAnsi="Times New Roman" w:cs="Times New Roman"/>
          <w:color w:val="auto"/>
          <w:highlight w:val="none"/>
        </w:rPr>
      </w:pPr>
      <w:r>
        <w:rPr>
          <w:rFonts w:ascii="Times New Roman" w:hAnsi="Times New Roman" w:cs="Times New Roman"/>
          <w:color w:val="auto"/>
          <w:highlight w:val="none"/>
        </w:rPr>
        <w:t>除尘系统风机出口设置消声器，在主引风机机壳包覆隔声材料。</w:t>
      </w:r>
    </w:p>
    <w:p w14:paraId="46505CBA">
      <w:pPr>
        <w:shd w:val="clear"/>
        <w:rPr>
          <w:rFonts w:ascii="Times New Roman" w:hAnsi="Times New Roman" w:cs="Times New Roman"/>
          <w:color w:val="auto"/>
          <w:highlight w:val="none"/>
        </w:rPr>
      </w:pPr>
      <w:r>
        <w:rPr>
          <w:rFonts w:ascii="Times New Roman" w:hAnsi="Times New Roman" w:cs="Times New Roman"/>
          <w:color w:val="auto"/>
          <w:highlight w:val="none"/>
        </w:rPr>
        <w:t>高炉鼓风机进、出口设置消声器并设有隔声罩。</w:t>
      </w:r>
    </w:p>
    <w:p w14:paraId="5BAD82EB">
      <w:pPr>
        <w:shd w:val="clear"/>
        <w:rPr>
          <w:rFonts w:ascii="Times New Roman" w:hAnsi="Times New Roman" w:cs="Times New Roman"/>
          <w:color w:val="auto"/>
          <w:highlight w:val="none"/>
        </w:rPr>
      </w:pPr>
      <w:r>
        <w:rPr>
          <w:rFonts w:ascii="Times New Roman" w:hAnsi="Times New Roman" w:cs="Times New Roman"/>
          <w:color w:val="auto"/>
          <w:highlight w:val="none"/>
        </w:rPr>
        <w:t>热风炉系统助燃风机的吸气管、出气管和风机机体包覆消音材料。</w:t>
      </w:r>
    </w:p>
    <w:p w14:paraId="77140854">
      <w:pPr>
        <w:shd w:val="clear"/>
        <w:rPr>
          <w:rFonts w:ascii="Times New Roman" w:hAnsi="Times New Roman" w:cs="Times New Roman"/>
          <w:color w:val="auto"/>
          <w:highlight w:val="none"/>
        </w:rPr>
      </w:pPr>
      <w:r>
        <w:rPr>
          <w:rFonts w:ascii="Times New Roman" w:hAnsi="Times New Roman" w:cs="Times New Roman"/>
          <w:color w:val="auto"/>
          <w:highlight w:val="none"/>
        </w:rPr>
        <w:t>高炉冷风管放风阀处安装消音器。</w:t>
      </w:r>
    </w:p>
    <w:p w14:paraId="054EEBC6">
      <w:pPr>
        <w:shd w:val="clear"/>
        <w:rPr>
          <w:rFonts w:ascii="Times New Roman" w:hAnsi="Times New Roman" w:cs="Times New Roman"/>
          <w:color w:val="auto"/>
          <w:highlight w:val="none"/>
        </w:rPr>
      </w:pPr>
      <w:r>
        <w:rPr>
          <w:rFonts w:ascii="Times New Roman" w:hAnsi="Times New Roman" w:cs="Times New Roman"/>
          <w:color w:val="auto"/>
          <w:highlight w:val="none"/>
        </w:rPr>
        <w:t>TRT机组布置于厂房内，设置隔音罩。</w:t>
      </w:r>
    </w:p>
    <w:p w14:paraId="48CFE8A6">
      <w:pPr>
        <w:shd w:val="clear"/>
        <w:rPr>
          <w:rFonts w:ascii="Times New Roman" w:hAnsi="Times New Roman" w:cs="Times New Roman"/>
          <w:color w:val="auto"/>
          <w:highlight w:val="none"/>
        </w:rPr>
      </w:pPr>
      <w:r>
        <w:rPr>
          <w:rFonts w:ascii="Times New Roman" w:hAnsi="Times New Roman" w:cs="Times New Roman"/>
          <w:color w:val="auto"/>
          <w:highlight w:val="none"/>
        </w:rPr>
        <w:t>煤气减压阀组配置消音器。</w:t>
      </w:r>
    </w:p>
    <w:p w14:paraId="3B39703D">
      <w:pPr>
        <w:shd w:val="clear"/>
        <w:rPr>
          <w:rFonts w:ascii="Times New Roman" w:hAnsi="Times New Roman" w:cs="Times New Roman"/>
          <w:color w:val="auto"/>
          <w:highlight w:val="none"/>
        </w:rPr>
      </w:pPr>
      <w:r>
        <w:rPr>
          <w:rFonts w:ascii="Times New Roman" w:hAnsi="Times New Roman" w:cs="Times New Roman"/>
          <w:color w:val="auto"/>
          <w:highlight w:val="none"/>
        </w:rPr>
        <w:t>煤粉仓顶风机等设备运行时产生的噪音，分别采取隔声、设置消音器等控制措施。</w:t>
      </w:r>
    </w:p>
    <w:p w14:paraId="3CC19143">
      <w:pPr>
        <w:shd w:val="clear"/>
        <w:rPr>
          <w:rFonts w:ascii="Times New Roman" w:hAnsi="Times New Roman" w:cs="Times New Roman"/>
          <w:color w:val="auto"/>
          <w:highlight w:val="none"/>
        </w:rPr>
      </w:pPr>
      <w:r>
        <w:rPr>
          <w:rFonts w:ascii="Times New Roman" w:hAnsi="Times New Roman" w:cs="Times New Roman"/>
          <w:color w:val="auto"/>
          <w:highlight w:val="none"/>
        </w:rPr>
        <w:t>其他风机等设备设置消音器。</w:t>
      </w:r>
    </w:p>
    <w:p w14:paraId="17CAD930">
      <w:pPr>
        <w:shd w:val="clear"/>
        <w:rPr>
          <w:rFonts w:ascii="Times New Roman" w:hAnsi="Times New Roman" w:cs="Times New Roman"/>
          <w:color w:val="auto"/>
          <w:highlight w:val="none"/>
        </w:rPr>
      </w:pPr>
      <w:r>
        <w:rPr>
          <w:rFonts w:ascii="Times New Roman" w:hAnsi="Times New Roman" w:cs="Times New Roman"/>
          <w:color w:val="auto"/>
          <w:highlight w:val="none"/>
        </w:rPr>
        <w:t>水处理泵房内水泵的出口设橡胶柔性接头，设专用操作控制室。</w:t>
      </w:r>
    </w:p>
    <w:p w14:paraId="638AD83A">
      <w:pPr>
        <w:shd w:val="clear"/>
        <w:rPr>
          <w:rFonts w:ascii="Times New Roman" w:hAnsi="Times New Roman" w:cs="Times New Roman"/>
          <w:color w:val="auto"/>
          <w:highlight w:val="none"/>
        </w:rPr>
      </w:pPr>
      <w:r>
        <w:rPr>
          <w:rFonts w:ascii="Times New Roman" w:hAnsi="Times New Roman" w:cs="Times New Roman"/>
          <w:color w:val="auto"/>
          <w:highlight w:val="none"/>
        </w:rPr>
        <w:t>为从业人员配备劳动防护用品，如防噪耳罩、防噪耳塞等。</w:t>
      </w:r>
    </w:p>
    <w:p w14:paraId="1FAB68A0">
      <w:pPr>
        <w:shd w:val="clear"/>
        <w:rPr>
          <w:rFonts w:ascii="Times New Roman" w:hAnsi="Times New Roman" w:cs="Times New Roman"/>
          <w:color w:val="auto"/>
          <w:highlight w:val="none"/>
        </w:rPr>
      </w:pPr>
      <w:r>
        <w:rPr>
          <w:rFonts w:hint="eastAsia" w:ascii="Times New Roman" w:hAnsi="Times New Roman" w:cs="Times New Roman"/>
          <w:color w:val="auto"/>
          <w:highlight w:val="none"/>
        </w:rPr>
        <w:t>（4）通风与防暑降温</w:t>
      </w:r>
    </w:p>
    <w:p w14:paraId="5FE4BEE5">
      <w:pPr>
        <w:shd w:val="clear"/>
        <w:rPr>
          <w:rFonts w:ascii="Times New Roman" w:hAnsi="Times New Roman" w:cs="Times New Roman"/>
          <w:color w:val="auto"/>
          <w:highlight w:val="none"/>
        </w:rPr>
      </w:pPr>
      <w:r>
        <w:rPr>
          <w:rFonts w:ascii="Times New Roman" w:hAnsi="Times New Roman" w:cs="Times New Roman"/>
          <w:color w:val="auto"/>
          <w:highlight w:val="none"/>
        </w:rPr>
        <w:t>水泵房及辅助房间、高压开关站、液压站、电缆夹层等均按照工艺要求设置机械通风装置，用于排出室内余热，保持室内工作区夏季温度≤38℃，改善设备工作环境。出铁场操作平台等高温作业区域设置移动轴流风机。</w:t>
      </w:r>
    </w:p>
    <w:p w14:paraId="030341D1">
      <w:pPr>
        <w:shd w:val="clear"/>
        <w:rPr>
          <w:rFonts w:ascii="Times New Roman" w:hAnsi="Times New Roman" w:cs="Times New Roman"/>
          <w:color w:val="auto"/>
          <w:highlight w:val="none"/>
        </w:rPr>
      </w:pPr>
      <w:r>
        <w:rPr>
          <w:rFonts w:ascii="Times New Roman" w:hAnsi="Times New Roman" w:cs="Times New Roman"/>
          <w:color w:val="auto"/>
          <w:highlight w:val="none"/>
        </w:rPr>
        <w:t>控制室、操作室、设备室等按照工艺要求设置空调，保持室内工作区夏季温度10℃≤t</w:t>
      </w:r>
      <w:r>
        <w:rPr>
          <w:rFonts w:ascii="Times New Roman" w:hAnsi="Times New Roman" w:cs="Times New Roman"/>
          <w:color w:val="auto"/>
          <w:highlight w:val="none"/>
          <w:vertAlign w:val="subscript"/>
        </w:rPr>
        <w:t>N</w:t>
      </w:r>
      <w:r>
        <w:rPr>
          <w:rFonts w:ascii="Times New Roman" w:hAnsi="Times New Roman" w:cs="Times New Roman"/>
          <w:color w:val="auto"/>
          <w:highlight w:val="none"/>
        </w:rPr>
        <w:t>≤28℃。电气室按照工艺要求设置空调，用于排除室内余热，保持室内工作区夏季温度≤32℃。</w:t>
      </w:r>
      <w:r>
        <w:rPr>
          <w:rFonts w:hint="eastAsia"/>
          <w:color w:val="auto"/>
          <w:highlight w:val="none"/>
        </w:rPr>
        <w:t>本次高炉改造，未改造的设备设施用房的通风、空调、采暖等设施全部利旧，采暖水量不新增。</w:t>
      </w:r>
    </w:p>
    <w:p w14:paraId="4D70DAE5">
      <w:pPr>
        <w:shd w:val="clear"/>
        <w:rPr>
          <w:rFonts w:ascii="Times New Roman" w:hAnsi="Times New Roman" w:cs="Times New Roman"/>
          <w:color w:val="auto"/>
          <w:highlight w:val="none"/>
        </w:rPr>
      </w:pPr>
      <w:r>
        <w:rPr>
          <w:rFonts w:ascii="Times New Roman" w:hAnsi="Times New Roman" w:cs="Times New Roman"/>
          <w:color w:val="auto"/>
          <w:highlight w:val="none"/>
        </w:rPr>
        <w:t>靠近热源的操作室的观察窗采用耐高温钢化玻璃；炉旁操作室有侧面保护板来隔热。靠近热源时，按规定佩戴阻燃防护服、隔热阻燃鞋等安全防护用品，处理高温熔融金属佩戴深色护目镜和防护面罩。</w:t>
      </w:r>
    </w:p>
    <w:p w14:paraId="576F567F">
      <w:pPr>
        <w:shd w:val="clear"/>
        <w:rPr>
          <w:rFonts w:ascii="Times New Roman" w:hAnsi="Times New Roman" w:cs="Times New Roman"/>
          <w:color w:val="auto"/>
          <w:highlight w:val="none"/>
        </w:rPr>
      </w:pPr>
      <w:r>
        <w:rPr>
          <w:rFonts w:hint="eastAsia" w:ascii="Times New Roman" w:hAnsi="Times New Roman" w:cs="Times New Roman"/>
          <w:color w:val="auto"/>
          <w:highlight w:val="none"/>
        </w:rPr>
        <w:t>（5）受限空间防护措施</w:t>
      </w:r>
    </w:p>
    <w:p w14:paraId="54A2A99B">
      <w:pPr>
        <w:shd w:val="clear"/>
        <w:rPr>
          <w:rFonts w:ascii="Times New Roman" w:hAnsi="Times New Roman" w:cs="Times New Roman"/>
          <w:color w:val="auto"/>
          <w:highlight w:val="none"/>
        </w:rPr>
      </w:pPr>
      <w:r>
        <w:rPr>
          <w:rFonts w:hint="eastAsia" w:ascii="Times New Roman" w:hAnsi="Times New Roman" w:cs="Times New Roman"/>
          <w:color w:val="auto"/>
          <w:highlight w:val="none"/>
        </w:rPr>
        <w:t>进入受限空间前，根据实际情况选择采取强制通风等措施，然后按照测氧气含量，氧气含量达标才可以进入。设置受限空间警示标识，防止未经批准人员进入。</w:t>
      </w:r>
    </w:p>
    <w:p w14:paraId="1512A198">
      <w:pPr>
        <w:shd w:val="clear"/>
        <w:rPr>
          <w:rFonts w:ascii="Times New Roman" w:hAnsi="Times New Roman" w:cs="Times New Roman"/>
          <w:color w:val="auto"/>
          <w:highlight w:val="none"/>
        </w:rPr>
      </w:pPr>
      <w:r>
        <w:rPr>
          <w:rFonts w:hint="eastAsia" w:ascii="Times New Roman" w:hAnsi="Times New Roman" w:cs="Times New Roman"/>
          <w:color w:val="auto"/>
          <w:highlight w:val="none"/>
        </w:rPr>
        <w:t>进入受限空间前，进行职业病危害因素识别和评价。</w:t>
      </w:r>
    </w:p>
    <w:p w14:paraId="0286FE36">
      <w:pPr>
        <w:shd w:val="clear"/>
        <w:rPr>
          <w:rFonts w:ascii="Times New Roman" w:hAnsi="Times New Roman" w:cs="Times New Roman"/>
          <w:color w:val="auto"/>
          <w:highlight w:val="none"/>
        </w:rPr>
      </w:pPr>
      <w:r>
        <w:rPr>
          <w:rFonts w:hint="eastAsia" w:ascii="Times New Roman" w:hAnsi="Times New Roman" w:cs="Times New Roman"/>
          <w:color w:val="auto"/>
          <w:highlight w:val="none"/>
        </w:rPr>
        <w:t>制定和实施受限空间职业病危害防护控制计划、受限空间准入程序和安全作业操作规程。</w:t>
      </w:r>
    </w:p>
    <w:p w14:paraId="2F9031BE">
      <w:pPr>
        <w:shd w:val="clear"/>
        <w:rPr>
          <w:rFonts w:ascii="Times New Roman" w:hAnsi="Times New Roman" w:cs="Times New Roman"/>
          <w:color w:val="auto"/>
          <w:highlight w:val="none"/>
        </w:rPr>
      </w:pPr>
      <w:r>
        <w:rPr>
          <w:rFonts w:hint="eastAsia" w:ascii="Times New Roman" w:hAnsi="Times New Roman" w:cs="Times New Roman"/>
          <w:color w:val="auto"/>
          <w:highlight w:val="none"/>
        </w:rPr>
        <w:t>提供符合要求的监测、通风、通讯、个人防护用品设备、照明、安全进出设施以及应急救援设备，并保证所有设施的正常运行和劳动者能够正确使用。</w:t>
      </w:r>
    </w:p>
    <w:p w14:paraId="630BAA9D">
      <w:pPr>
        <w:shd w:val="clear"/>
        <w:rPr>
          <w:rFonts w:ascii="Times New Roman" w:hAnsi="Times New Roman" w:cs="Times New Roman"/>
          <w:color w:val="auto"/>
          <w:highlight w:val="none"/>
        </w:rPr>
      </w:pPr>
      <w:r>
        <w:rPr>
          <w:rFonts w:hint="eastAsia" w:ascii="Times New Roman" w:hAnsi="Times New Roman" w:cs="Times New Roman"/>
          <w:color w:val="auto"/>
          <w:highlight w:val="none"/>
        </w:rPr>
        <w:t>在进入烟道作业期间，安排 1 名监护者在受限空间外持续进行监护。</w:t>
      </w:r>
    </w:p>
    <w:p w14:paraId="0E21C4AB">
      <w:pPr>
        <w:shd w:val="clear"/>
        <w:rPr>
          <w:rFonts w:ascii="Times New Roman" w:hAnsi="Times New Roman" w:cs="Times New Roman"/>
          <w:color w:val="auto"/>
          <w:highlight w:val="none"/>
        </w:rPr>
      </w:pPr>
      <w:r>
        <w:rPr>
          <w:rFonts w:hint="eastAsia" w:ascii="Times New Roman" w:hAnsi="Times New Roman" w:cs="Times New Roman"/>
          <w:color w:val="auto"/>
          <w:highlight w:val="none"/>
        </w:rPr>
        <w:t>按要求培训准入者、监护者和作业负责人。</w:t>
      </w:r>
    </w:p>
    <w:p w14:paraId="38288847">
      <w:pPr>
        <w:shd w:val="clear"/>
        <w:rPr>
          <w:rFonts w:ascii="Times New Roman" w:hAnsi="Times New Roman" w:cs="Times New Roman"/>
          <w:color w:val="auto"/>
          <w:highlight w:val="none"/>
        </w:rPr>
      </w:pPr>
      <w:r>
        <w:rPr>
          <w:rFonts w:hint="eastAsia" w:ascii="Times New Roman" w:hAnsi="Times New Roman" w:cs="Times New Roman"/>
          <w:color w:val="auto"/>
          <w:highlight w:val="none"/>
        </w:rPr>
        <w:t>制定和实施应急救援、呼叫程序，防止非授权人员擅自进入受限空间进行急救。制定和实施受限空间作业准入程序。</w:t>
      </w:r>
    </w:p>
    <w:p w14:paraId="3AA03D7A">
      <w:pPr>
        <w:shd w:val="clear"/>
        <w:rPr>
          <w:rFonts w:ascii="Times New Roman" w:hAnsi="Times New Roman" w:cs="Times New Roman"/>
          <w:color w:val="auto"/>
          <w:highlight w:val="none"/>
        </w:rPr>
      </w:pPr>
      <w:r>
        <w:rPr>
          <w:rFonts w:hint="eastAsia" w:ascii="Times New Roman" w:hAnsi="Times New Roman" w:cs="Times New Roman"/>
          <w:color w:val="auto"/>
          <w:highlight w:val="none"/>
        </w:rPr>
        <w:t>（6）警示标识</w:t>
      </w:r>
    </w:p>
    <w:p w14:paraId="3407D3C3">
      <w:pPr>
        <w:shd w:val="clear"/>
        <w:rPr>
          <w:rFonts w:ascii="Times New Roman" w:hAnsi="Times New Roman" w:cs="Times New Roman"/>
          <w:color w:val="auto"/>
          <w:highlight w:val="none"/>
        </w:rPr>
      </w:pPr>
      <w:r>
        <w:rPr>
          <w:rFonts w:ascii="Times New Roman" w:hAnsi="Times New Roman" w:cs="Times New Roman"/>
          <w:color w:val="auto"/>
          <w:highlight w:val="none"/>
        </w:rPr>
        <w:t>按照《工作场所职业病危害警示标识》(GBZ158-2003)</w:t>
      </w:r>
      <w:r>
        <w:rPr>
          <w:rFonts w:hint="eastAsia" w:ascii="Times New Roman" w:hAnsi="Times New Roman" w:cs="Times New Roman"/>
          <w:color w:val="auto"/>
          <w:highlight w:val="none"/>
        </w:rPr>
        <w:t>的</w:t>
      </w:r>
      <w:r>
        <w:rPr>
          <w:rFonts w:ascii="Times New Roman" w:hAnsi="Times New Roman" w:cs="Times New Roman"/>
          <w:color w:val="auto"/>
          <w:highlight w:val="none"/>
        </w:rPr>
        <w:t>要求</w:t>
      </w:r>
      <w:r>
        <w:rPr>
          <w:rFonts w:hint="eastAsia" w:ascii="Times New Roman" w:hAnsi="Times New Roman" w:cs="Times New Roman"/>
          <w:color w:val="auto"/>
          <w:highlight w:val="none"/>
        </w:rPr>
        <w:t>设置警示标志</w:t>
      </w:r>
      <w:r>
        <w:rPr>
          <w:rFonts w:ascii="Times New Roman" w:hAnsi="Times New Roman" w:cs="Times New Roman"/>
          <w:color w:val="auto"/>
          <w:highlight w:val="none"/>
        </w:rPr>
        <w:t>，</w:t>
      </w:r>
      <w:r>
        <w:rPr>
          <w:rFonts w:hint="eastAsia" w:ascii="Times New Roman" w:hAnsi="Times New Roman" w:cs="Times New Roman"/>
          <w:color w:val="auto"/>
          <w:highlight w:val="none"/>
        </w:rPr>
        <w:t>并在</w:t>
      </w:r>
      <w:r>
        <w:rPr>
          <w:rFonts w:ascii="Times New Roman" w:hAnsi="Times New Roman" w:cs="Times New Roman"/>
          <w:color w:val="auto"/>
          <w:highlight w:val="none"/>
        </w:rPr>
        <w:t>警示标识中说明职业危害因素的理化性质、危害后果、预防和应急处置措施</w:t>
      </w:r>
      <w:r>
        <w:rPr>
          <w:rFonts w:hint="eastAsia" w:ascii="Times New Roman" w:hAnsi="Times New Roman" w:cs="Times New Roman"/>
          <w:color w:val="auto"/>
          <w:highlight w:val="none"/>
        </w:rPr>
        <w:t>。</w:t>
      </w:r>
    </w:p>
    <w:p w14:paraId="1957FA22">
      <w:pPr>
        <w:shd w:val="clear"/>
        <w:ind w:firstLine="0" w:firstLineChars="0"/>
        <w:outlineLvl w:val="1"/>
        <w:rPr>
          <w:rFonts w:cs="Times New Roman"/>
          <w:b/>
          <w:color w:val="auto"/>
          <w:sz w:val="28"/>
          <w:szCs w:val="28"/>
          <w:highlight w:val="none"/>
        </w:rPr>
      </w:pPr>
      <w:bookmarkStart w:id="1782" w:name="_Toc7861"/>
      <w:bookmarkStart w:id="1783" w:name="_Toc23457"/>
      <w:r>
        <w:rPr>
          <w:rFonts w:hint="eastAsia" w:cs="Times New Roman"/>
          <w:b/>
          <w:color w:val="auto"/>
          <w:sz w:val="28"/>
          <w:szCs w:val="28"/>
          <w:highlight w:val="none"/>
        </w:rPr>
        <w:t>17.4 职业卫生管理</w:t>
      </w:r>
      <w:bookmarkEnd w:id="1777"/>
      <w:bookmarkEnd w:id="1778"/>
      <w:bookmarkEnd w:id="1779"/>
      <w:bookmarkEnd w:id="1780"/>
      <w:bookmarkEnd w:id="1781"/>
      <w:bookmarkEnd w:id="1782"/>
      <w:bookmarkEnd w:id="1783"/>
    </w:p>
    <w:p w14:paraId="34C50F27">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highlight w:val="none"/>
          <w:lang w:bidi="zh-CN"/>
        </w:rPr>
        <w:t>本工程的职业卫生管理依托酒钢现有职业卫生管理机构</w:t>
      </w:r>
      <w:r>
        <w:rPr>
          <w:rFonts w:hint="eastAsia" w:ascii="Times New Roman" w:hAnsi="Times New Roman" w:cs="Times New Roman"/>
          <w:color w:val="auto"/>
          <w:kern w:val="0"/>
          <w:highlight w:val="none"/>
          <w:lang w:bidi="zh-CN"/>
        </w:rPr>
        <w:t>。</w:t>
      </w:r>
    </w:p>
    <w:p w14:paraId="52283775">
      <w:pPr>
        <w:shd w:val="clear"/>
        <w:ind w:firstLine="0" w:firstLineChars="0"/>
        <w:outlineLvl w:val="1"/>
        <w:rPr>
          <w:rFonts w:cs="Times New Roman"/>
          <w:b/>
          <w:color w:val="auto"/>
          <w:sz w:val="28"/>
          <w:szCs w:val="28"/>
          <w:highlight w:val="none"/>
        </w:rPr>
      </w:pPr>
      <w:bookmarkStart w:id="1784" w:name="_Toc394"/>
      <w:bookmarkStart w:id="1785" w:name="_Toc20874"/>
      <w:bookmarkStart w:id="1786" w:name="_Toc70093544"/>
      <w:bookmarkStart w:id="1787" w:name="_Toc11626"/>
      <w:bookmarkStart w:id="1788" w:name="_Toc7840"/>
      <w:bookmarkStart w:id="1789" w:name="_Toc31572"/>
      <w:bookmarkStart w:id="1790" w:name="_Toc27513"/>
      <w:bookmarkStart w:id="1791" w:name="_Toc21433"/>
      <w:r>
        <w:rPr>
          <w:rFonts w:hint="eastAsia" w:cs="Times New Roman"/>
          <w:b/>
          <w:color w:val="auto"/>
          <w:sz w:val="28"/>
          <w:szCs w:val="28"/>
          <w:highlight w:val="none"/>
        </w:rPr>
        <w:t>17.5职业病危害防护措施预期效果分析</w:t>
      </w:r>
      <w:bookmarkEnd w:id="1784"/>
      <w:bookmarkEnd w:id="1785"/>
      <w:bookmarkEnd w:id="1786"/>
      <w:bookmarkEnd w:id="1787"/>
      <w:bookmarkEnd w:id="1788"/>
      <w:bookmarkEnd w:id="1789"/>
      <w:bookmarkEnd w:id="1790"/>
      <w:bookmarkEnd w:id="1791"/>
    </w:p>
    <w:p w14:paraId="2FFF8023">
      <w:pPr>
        <w:pStyle w:val="26"/>
        <w:shd w:val="clear"/>
        <w:rPr>
          <w:color w:val="auto"/>
          <w:sz w:val="24"/>
          <w:szCs w:val="24"/>
          <w:highlight w:val="none"/>
        </w:rPr>
      </w:pPr>
      <w:r>
        <w:rPr>
          <w:color w:val="auto"/>
          <w:sz w:val="24"/>
          <w:szCs w:val="24"/>
          <w:highlight w:val="none"/>
        </w:rPr>
        <w:t>对生产中的职业危害因素采取了相应的控制和防护措施，在严格执行操作规程各种规章制度和正常操作情况下，可以保证工人的身体健康。</w:t>
      </w:r>
    </w:p>
    <w:p w14:paraId="0F0FF310">
      <w:pPr>
        <w:pStyle w:val="27"/>
        <w:shd w:val="clear"/>
        <w:spacing w:line="240" w:lineRule="auto"/>
        <w:ind w:firstLine="0" w:firstLineChars="0"/>
        <w:jc w:val="center"/>
        <w:outlineLvl w:val="0"/>
        <w:rPr>
          <w:b/>
          <w:bCs/>
          <w:color w:val="auto"/>
          <w:szCs w:val="28"/>
          <w:highlight w:val="none"/>
        </w:rPr>
      </w:pPr>
      <w:r>
        <w:rPr>
          <w:rFonts w:hint="eastAsia"/>
          <w:color w:val="auto"/>
          <w:sz w:val="24"/>
          <w:highlight w:val="none"/>
        </w:rPr>
        <w:br w:type="page"/>
      </w:r>
      <w:bookmarkStart w:id="1792" w:name="_Toc4357"/>
      <w:bookmarkStart w:id="1793" w:name="_Toc175920466"/>
      <w:bookmarkStart w:id="1794" w:name="_Toc19284"/>
      <w:bookmarkStart w:id="1795" w:name="_Toc30840"/>
      <w:bookmarkStart w:id="1796" w:name="_Toc19278"/>
      <w:bookmarkStart w:id="1797" w:name="_Toc25860"/>
      <w:r>
        <w:rPr>
          <w:rFonts w:hint="eastAsia"/>
          <w:b/>
          <w:bCs/>
          <w:color w:val="auto"/>
          <w:szCs w:val="28"/>
          <w:highlight w:val="none"/>
        </w:rPr>
        <w:t>1</w:t>
      </w:r>
      <w:r>
        <w:rPr>
          <w:b/>
          <w:bCs/>
          <w:color w:val="auto"/>
          <w:szCs w:val="28"/>
          <w:highlight w:val="none"/>
        </w:rPr>
        <w:t xml:space="preserve">8 </w:t>
      </w:r>
      <w:r>
        <w:rPr>
          <w:rFonts w:hint="eastAsia"/>
          <w:b/>
          <w:bCs/>
          <w:color w:val="auto"/>
          <w:szCs w:val="28"/>
          <w:highlight w:val="none"/>
        </w:rPr>
        <w:t>消防</w:t>
      </w:r>
      <w:bookmarkEnd w:id="1792"/>
      <w:bookmarkEnd w:id="1793"/>
      <w:bookmarkEnd w:id="1794"/>
      <w:bookmarkEnd w:id="1795"/>
      <w:bookmarkEnd w:id="1796"/>
    </w:p>
    <w:p w14:paraId="4A8D08B8">
      <w:pPr>
        <w:shd w:val="clear"/>
        <w:ind w:firstLine="0" w:firstLineChars="0"/>
        <w:outlineLvl w:val="1"/>
        <w:rPr>
          <w:rFonts w:cs="Times New Roman"/>
          <w:b/>
          <w:color w:val="auto"/>
          <w:sz w:val="28"/>
          <w:szCs w:val="28"/>
          <w:highlight w:val="none"/>
        </w:rPr>
      </w:pPr>
      <w:bookmarkStart w:id="1798" w:name="_Toc175920467"/>
      <w:bookmarkStart w:id="1799" w:name="_Toc28954"/>
      <w:bookmarkStart w:id="1800" w:name="_Toc25099"/>
      <w:bookmarkStart w:id="1801" w:name="_Toc8411"/>
      <w:bookmarkStart w:id="1802" w:name="_Toc11622"/>
      <w:bookmarkStart w:id="1803" w:name="_Toc31659"/>
      <w:bookmarkStart w:id="1804" w:name="_Toc11644"/>
      <w:bookmarkStart w:id="1805" w:name="_Toc79840531"/>
      <w:r>
        <w:rPr>
          <w:rFonts w:hint="eastAsia" w:cs="Times New Roman"/>
          <w:b/>
          <w:color w:val="auto"/>
          <w:sz w:val="28"/>
          <w:szCs w:val="28"/>
          <w:highlight w:val="none"/>
        </w:rPr>
        <w:t>18.1 设计原则</w:t>
      </w:r>
      <w:bookmarkEnd w:id="1798"/>
      <w:bookmarkEnd w:id="1799"/>
      <w:bookmarkEnd w:id="1800"/>
      <w:bookmarkEnd w:id="1801"/>
      <w:bookmarkEnd w:id="1802"/>
      <w:bookmarkEnd w:id="1803"/>
      <w:bookmarkEnd w:id="1804"/>
      <w:bookmarkEnd w:id="1805"/>
    </w:p>
    <w:p w14:paraId="0C9F90BA">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为确保厂房的安全生产和公民生命财产的安全，认真贯彻执行“预防为主、防消结合”的消防工作方针及国家有关安全防火方面的规定，在建筑设计、总图布置、消防给水、存在火灾隐患的场所等方面均按现行有关规范、规程要求进行设计，做好本工程防火、防爆、安全疏散工作，并针对工程发生火灾特点，立足自防自救，采取可靠的防火措施，做到安全实用、技术先进、经济合理。</w:t>
      </w:r>
    </w:p>
    <w:p w14:paraId="1347E156">
      <w:pPr>
        <w:shd w:val="clear"/>
        <w:ind w:firstLine="0" w:firstLineChars="0"/>
        <w:outlineLvl w:val="1"/>
        <w:rPr>
          <w:rFonts w:cs="Times New Roman"/>
          <w:b/>
          <w:color w:val="auto"/>
          <w:sz w:val="28"/>
          <w:szCs w:val="28"/>
          <w:highlight w:val="none"/>
        </w:rPr>
      </w:pPr>
      <w:bookmarkStart w:id="1806" w:name="_Toc17735"/>
      <w:bookmarkStart w:id="1807" w:name="_Toc23731"/>
      <w:bookmarkStart w:id="1808" w:name="_Toc24525"/>
      <w:bookmarkStart w:id="1809" w:name="_Toc79840532"/>
      <w:bookmarkStart w:id="1810" w:name="_Toc17337"/>
      <w:bookmarkStart w:id="1811" w:name="_Toc32643"/>
      <w:bookmarkStart w:id="1812" w:name="_Toc1332"/>
      <w:bookmarkStart w:id="1813" w:name="_Toc175920468"/>
      <w:r>
        <w:rPr>
          <w:rFonts w:hint="eastAsia" w:cs="Times New Roman"/>
          <w:b/>
          <w:color w:val="auto"/>
          <w:sz w:val="28"/>
          <w:szCs w:val="28"/>
          <w:highlight w:val="none"/>
        </w:rPr>
        <w:t>18.2 设计依据</w:t>
      </w:r>
      <w:bookmarkEnd w:id="1806"/>
      <w:bookmarkEnd w:id="1807"/>
      <w:bookmarkEnd w:id="1808"/>
      <w:bookmarkEnd w:id="1809"/>
      <w:bookmarkEnd w:id="1810"/>
      <w:bookmarkEnd w:id="1811"/>
      <w:bookmarkEnd w:id="1812"/>
      <w:bookmarkEnd w:id="1813"/>
    </w:p>
    <w:p w14:paraId="2F7E6F5A">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本章所列的法规、标准、规范，一律以现行有效版本为准，新的法律、法规、标准、规范发布执行后，自然代替以下版本。</w:t>
      </w:r>
    </w:p>
    <w:p w14:paraId="52ECA6D7">
      <w:pPr>
        <w:shd w:val="clear"/>
        <w:autoSpaceDE w:val="0"/>
        <w:autoSpaceDN w:val="0"/>
        <w:ind w:firstLine="0" w:firstLineChars="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1）国家法律、法规</w:t>
      </w:r>
    </w:p>
    <w:p w14:paraId="7DAAD9BB">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《中华人民共和国消防法》2021修订版</w:t>
      </w:r>
    </w:p>
    <w:p w14:paraId="28EDC749">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《中华人民共和国建筑法》2019</w:t>
      </w:r>
    </w:p>
    <w:p w14:paraId="1381F6C6">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《中华人民共和国安全生产法》（2021年9月1日起实施）</w:t>
      </w:r>
    </w:p>
    <w:p w14:paraId="7887FBA1">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《危险化学品安全管理条例》（国务院令第591号）</w:t>
      </w:r>
    </w:p>
    <w:p w14:paraId="6BABF7EC">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其它相关的法律法规</w:t>
      </w:r>
    </w:p>
    <w:p w14:paraId="4D8CC311">
      <w:pPr>
        <w:shd w:val="clear"/>
        <w:ind w:firstLine="0" w:firstLineChars="0"/>
        <w:jc w:val="both"/>
        <w:rPr>
          <w:rFonts w:ascii="Times New Roman" w:hAnsi="Times New Roman" w:cs="Times New Roman"/>
          <w:color w:val="auto"/>
          <w:highlight w:val="none"/>
        </w:rPr>
      </w:pPr>
      <w:r>
        <w:rPr>
          <w:rFonts w:ascii="Times New Roman" w:hAnsi="Times New Roman" w:cs="Times New Roman"/>
          <w:color w:val="auto"/>
          <w:highlight w:val="none"/>
        </w:rPr>
        <w:t>2）设计标准、规范</w:t>
      </w:r>
    </w:p>
    <w:p w14:paraId="3F5C7645">
      <w:pPr>
        <w:shd w:val="clear"/>
        <w:rPr>
          <w:color w:val="auto"/>
          <w:highlight w:val="none"/>
        </w:rPr>
      </w:pPr>
      <w:bookmarkStart w:id="1814" w:name="_Toc25211"/>
      <w:bookmarkStart w:id="1815" w:name="_Toc14544"/>
      <w:bookmarkStart w:id="1816" w:name="_Toc7622"/>
      <w:bookmarkStart w:id="1817" w:name="_Toc20965"/>
      <w:bookmarkStart w:id="1818" w:name="_Toc79840533"/>
      <w:bookmarkStart w:id="1819" w:name="_Toc175920469"/>
      <w:bookmarkStart w:id="1820" w:name="_Toc7577"/>
      <w:bookmarkStart w:id="1821" w:name="_Toc3864"/>
      <w:r>
        <w:rPr>
          <w:rFonts w:hint="eastAsia"/>
          <w:color w:val="auto"/>
          <w:highlight w:val="none"/>
        </w:rPr>
        <w:t>《消防设施通用规范》 GB 55036-2022</w:t>
      </w:r>
      <w:bookmarkEnd w:id="1814"/>
      <w:bookmarkEnd w:id="1815"/>
    </w:p>
    <w:p w14:paraId="7503142F">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《建筑防火通用规范》 GB 55037-2022</w:t>
      </w:r>
    </w:p>
    <w:p w14:paraId="3DFB9598">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《建筑设计防火规范》GB50016-2014（2018年版）（以下简称为《建规》）</w:t>
      </w:r>
    </w:p>
    <w:p w14:paraId="4578F05A">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《钢铁冶金企业设计防火标准》GB50414-2018（以下简称为《钢规》）</w:t>
      </w:r>
    </w:p>
    <w:p w14:paraId="537F80B3">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《建筑内部装修设计防火规范》          GB50222-2017</w:t>
      </w:r>
    </w:p>
    <w:p w14:paraId="7ABCF551">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《工业企业总平面设计规范》</w:t>
      </w:r>
      <w:r>
        <w:rPr>
          <w:rFonts w:hint="eastAsia" w:ascii="Times New Roman" w:hAnsi="Times New Roman" w:cs="Times New Roman"/>
          <w:color w:val="auto"/>
          <w:kern w:val="0"/>
          <w:szCs w:val="22"/>
          <w:highlight w:val="none"/>
          <w:lang w:val="en-US" w:bidi="zh-CN"/>
        </w:rPr>
        <w:t xml:space="preserve"> </w:t>
      </w:r>
      <w:r>
        <w:rPr>
          <w:rFonts w:hint="eastAsia" w:ascii="Times New Roman" w:hAnsi="Times New Roman" w:cs="Times New Roman"/>
          <w:color w:val="auto"/>
          <w:kern w:val="0"/>
          <w:szCs w:val="22"/>
          <w:highlight w:val="none"/>
          <w:lang w:bidi="zh-CN"/>
        </w:rPr>
        <w:t xml:space="preserve">           GB50187-2012</w:t>
      </w:r>
    </w:p>
    <w:p w14:paraId="395D1EB5">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《钢铁企业总图运输设计规范》</w:t>
      </w:r>
      <w:r>
        <w:rPr>
          <w:rFonts w:hint="eastAsia" w:ascii="Times New Roman" w:hAnsi="Times New Roman" w:cs="Times New Roman"/>
          <w:color w:val="auto"/>
          <w:kern w:val="0"/>
          <w:szCs w:val="22"/>
          <w:highlight w:val="none"/>
          <w:lang w:val="en-US" w:bidi="zh-CN"/>
        </w:rPr>
        <w:t xml:space="preserve"> </w:t>
      </w:r>
      <w:r>
        <w:rPr>
          <w:rFonts w:hint="eastAsia" w:ascii="Times New Roman" w:hAnsi="Times New Roman" w:cs="Times New Roman"/>
          <w:color w:val="auto"/>
          <w:kern w:val="0"/>
          <w:szCs w:val="22"/>
          <w:highlight w:val="none"/>
          <w:lang w:bidi="zh-CN"/>
        </w:rPr>
        <w:t xml:space="preserve">          GB</w:t>
      </w:r>
      <w:r>
        <w:rPr>
          <w:rFonts w:hint="eastAsia" w:ascii="Times New Roman" w:hAnsi="Times New Roman" w:cs="Times New Roman"/>
          <w:color w:val="auto"/>
          <w:kern w:val="0"/>
          <w:szCs w:val="22"/>
          <w:highlight w:val="none"/>
          <w:lang w:val="en-US" w:bidi="zh-CN"/>
        </w:rPr>
        <w:t xml:space="preserve"> </w:t>
      </w:r>
      <w:r>
        <w:rPr>
          <w:rFonts w:hint="eastAsia" w:ascii="Times New Roman" w:hAnsi="Times New Roman" w:cs="Times New Roman"/>
          <w:color w:val="auto"/>
          <w:kern w:val="0"/>
          <w:szCs w:val="22"/>
          <w:highlight w:val="none"/>
          <w:lang w:bidi="zh-CN"/>
        </w:rPr>
        <w:t>50603-2010</w:t>
      </w:r>
    </w:p>
    <w:p w14:paraId="5C2B9F23">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 xml:space="preserve">《消防给水及消火栓系统技术规范》     </w:t>
      </w:r>
      <w:r>
        <w:rPr>
          <w:rFonts w:hint="eastAsia" w:ascii="Times New Roman" w:hAnsi="Times New Roman" w:cs="Times New Roman"/>
          <w:color w:val="auto"/>
          <w:kern w:val="0"/>
          <w:szCs w:val="22"/>
          <w:highlight w:val="none"/>
          <w:lang w:val="en-US" w:bidi="zh-CN"/>
        </w:rPr>
        <w:t xml:space="preserve"> </w:t>
      </w:r>
      <w:r>
        <w:rPr>
          <w:rFonts w:hint="eastAsia" w:ascii="Times New Roman" w:hAnsi="Times New Roman" w:cs="Times New Roman"/>
          <w:color w:val="auto"/>
          <w:kern w:val="0"/>
          <w:szCs w:val="22"/>
          <w:highlight w:val="none"/>
          <w:lang w:bidi="zh-CN"/>
        </w:rPr>
        <w:t xml:space="preserve"> GB</w:t>
      </w:r>
      <w:r>
        <w:rPr>
          <w:rFonts w:hint="eastAsia" w:ascii="Times New Roman" w:hAnsi="Times New Roman" w:cs="Times New Roman"/>
          <w:color w:val="auto"/>
          <w:kern w:val="0"/>
          <w:szCs w:val="22"/>
          <w:highlight w:val="none"/>
          <w:lang w:val="en-US" w:bidi="zh-CN"/>
        </w:rPr>
        <w:t xml:space="preserve"> </w:t>
      </w:r>
      <w:r>
        <w:rPr>
          <w:rFonts w:hint="eastAsia" w:ascii="Times New Roman" w:hAnsi="Times New Roman" w:cs="Times New Roman"/>
          <w:color w:val="auto"/>
          <w:kern w:val="0"/>
          <w:szCs w:val="22"/>
          <w:highlight w:val="none"/>
          <w:lang w:bidi="zh-CN"/>
        </w:rPr>
        <w:t>50947-2014</w:t>
      </w:r>
    </w:p>
    <w:p w14:paraId="14B55C30">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《火灾自动报警系统设计规范》</w:t>
      </w:r>
      <w:r>
        <w:rPr>
          <w:rFonts w:hint="eastAsia" w:ascii="Times New Roman" w:hAnsi="Times New Roman" w:cs="Times New Roman"/>
          <w:color w:val="auto"/>
          <w:kern w:val="0"/>
          <w:szCs w:val="22"/>
          <w:highlight w:val="none"/>
          <w:lang w:val="en-US" w:bidi="zh-CN"/>
        </w:rPr>
        <w:t xml:space="preserve"> </w:t>
      </w:r>
      <w:r>
        <w:rPr>
          <w:rFonts w:hint="eastAsia" w:ascii="Times New Roman" w:hAnsi="Times New Roman" w:cs="Times New Roman"/>
          <w:color w:val="auto"/>
          <w:kern w:val="0"/>
          <w:szCs w:val="22"/>
          <w:highlight w:val="none"/>
          <w:lang w:bidi="zh-CN"/>
        </w:rPr>
        <w:t xml:space="preserve">          GB</w:t>
      </w:r>
      <w:r>
        <w:rPr>
          <w:rFonts w:hint="eastAsia" w:ascii="Times New Roman" w:hAnsi="Times New Roman" w:cs="Times New Roman"/>
          <w:color w:val="auto"/>
          <w:kern w:val="0"/>
          <w:szCs w:val="22"/>
          <w:highlight w:val="none"/>
          <w:lang w:val="en-US" w:bidi="zh-CN"/>
        </w:rPr>
        <w:t xml:space="preserve"> </w:t>
      </w:r>
      <w:r>
        <w:rPr>
          <w:rFonts w:hint="eastAsia" w:ascii="Times New Roman" w:hAnsi="Times New Roman" w:cs="Times New Roman"/>
          <w:color w:val="auto"/>
          <w:kern w:val="0"/>
          <w:szCs w:val="22"/>
          <w:highlight w:val="none"/>
          <w:lang w:bidi="zh-CN"/>
        </w:rPr>
        <w:t>50116-2013</w:t>
      </w:r>
    </w:p>
    <w:p w14:paraId="1E427B30">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《火灾自动报警系统施工及验收标准》     GB</w:t>
      </w:r>
      <w:r>
        <w:rPr>
          <w:rFonts w:hint="eastAsia" w:ascii="Times New Roman" w:hAnsi="Times New Roman" w:cs="Times New Roman"/>
          <w:color w:val="auto"/>
          <w:kern w:val="0"/>
          <w:szCs w:val="22"/>
          <w:highlight w:val="none"/>
          <w:lang w:val="en-US" w:bidi="zh-CN"/>
        </w:rPr>
        <w:t xml:space="preserve"> </w:t>
      </w:r>
      <w:r>
        <w:rPr>
          <w:rFonts w:hint="eastAsia" w:ascii="Times New Roman" w:hAnsi="Times New Roman" w:cs="Times New Roman"/>
          <w:color w:val="auto"/>
          <w:kern w:val="0"/>
          <w:szCs w:val="22"/>
          <w:highlight w:val="none"/>
          <w:lang w:bidi="zh-CN"/>
        </w:rPr>
        <w:t>50166-2019</w:t>
      </w:r>
    </w:p>
    <w:p w14:paraId="3CD4FDCD">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《火力发电厂与变电站设计防火标准》</w:t>
      </w:r>
      <w:r>
        <w:rPr>
          <w:rFonts w:hint="eastAsia" w:ascii="Times New Roman" w:hAnsi="Times New Roman" w:cs="Times New Roman"/>
          <w:color w:val="auto"/>
          <w:kern w:val="0"/>
          <w:szCs w:val="22"/>
          <w:highlight w:val="none"/>
          <w:lang w:val="en-US" w:bidi="zh-CN"/>
        </w:rPr>
        <w:t xml:space="preserve"> </w:t>
      </w:r>
      <w:r>
        <w:rPr>
          <w:rFonts w:hint="eastAsia" w:ascii="Times New Roman" w:hAnsi="Times New Roman" w:cs="Times New Roman"/>
          <w:color w:val="auto"/>
          <w:kern w:val="0"/>
          <w:szCs w:val="22"/>
          <w:highlight w:val="none"/>
          <w:lang w:bidi="zh-CN"/>
        </w:rPr>
        <w:t xml:space="preserve">    GB</w:t>
      </w:r>
      <w:r>
        <w:rPr>
          <w:rFonts w:hint="eastAsia" w:ascii="Times New Roman" w:hAnsi="Times New Roman" w:cs="Times New Roman"/>
          <w:color w:val="auto"/>
          <w:kern w:val="0"/>
          <w:szCs w:val="22"/>
          <w:highlight w:val="none"/>
          <w:lang w:val="en-US" w:bidi="zh-CN"/>
        </w:rPr>
        <w:t xml:space="preserve"> </w:t>
      </w:r>
      <w:r>
        <w:rPr>
          <w:rFonts w:hint="eastAsia" w:ascii="Times New Roman" w:hAnsi="Times New Roman" w:cs="Times New Roman"/>
          <w:color w:val="auto"/>
          <w:kern w:val="0"/>
          <w:szCs w:val="22"/>
          <w:highlight w:val="none"/>
          <w:lang w:bidi="zh-CN"/>
        </w:rPr>
        <w:t>50229-2019</w:t>
      </w:r>
    </w:p>
    <w:p w14:paraId="71C68205">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《爆炸和火灾危险环境电力装置设计规范》</w:t>
      </w:r>
      <w:r>
        <w:rPr>
          <w:rFonts w:hint="eastAsia" w:ascii="Times New Roman" w:hAnsi="Times New Roman" w:cs="Times New Roman"/>
          <w:color w:val="auto"/>
          <w:kern w:val="0"/>
          <w:szCs w:val="22"/>
          <w:highlight w:val="none"/>
          <w:lang w:val="en-US" w:bidi="zh-CN"/>
        </w:rPr>
        <w:t xml:space="preserve"> </w:t>
      </w:r>
      <w:r>
        <w:rPr>
          <w:rFonts w:hint="eastAsia" w:ascii="Times New Roman" w:hAnsi="Times New Roman" w:cs="Times New Roman"/>
          <w:color w:val="auto"/>
          <w:kern w:val="0"/>
          <w:szCs w:val="22"/>
          <w:highlight w:val="none"/>
          <w:lang w:bidi="zh-CN"/>
        </w:rPr>
        <w:t>GB</w:t>
      </w:r>
      <w:r>
        <w:rPr>
          <w:rFonts w:hint="eastAsia" w:ascii="Times New Roman" w:hAnsi="Times New Roman" w:cs="Times New Roman"/>
          <w:color w:val="auto"/>
          <w:kern w:val="0"/>
          <w:szCs w:val="22"/>
          <w:highlight w:val="none"/>
          <w:lang w:val="en-US" w:bidi="zh-CN"/>
        </w:rPr>
        <w:t xml:space="preserve"> </w:t>
      </w:r>
      <w:r>
        <w:rPr>
          <w:rFonts w:hint="eastAsia" w:ascii="Times New Roman" w:hAnsi="Times New Roman" w:cs="Times New Roman"/>
          <w:color w:val="auto"/>
          <w:kern w:val="0"/>
          <w:szCs w:val="22"/>
          <w:highlight w:val="none"/>
          <w:lang w:bidi="zh-CN"/>
        </w:rPr>
        <w:t>50058-2014</w:t>
      </w:r>
    </w:p>
    <w:p w14:paraId="06FDAB47">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《危险场所电气防爆安全规范》          AQ 3009-2007</w:t>
      </w:r>
    </w:p>
    <w:p w14:paraId="5E346A5B">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《3 ～ 110 kV 高压配电装置设计规范》</w:t>
      </w:r>
      <w:r>
        <w:rPr>
          <w:rFonts w:hint="eastAsia" w:ascii="Times New Roman" w:hAnsi="Times New Roman" w:cs="Times New Roman"/>
          <w:color w:val="auto"/>
          <w:kern w:val="0"/>
          <w:szCs w:val="22"/>
          <w:highlight w:val="none"/>
          <w:lang w:val="en-US" w:bidi="zh-CN"/>
        </w:rPr>
        <w:t xml:space="preserve"> </w:t>
      </w:r>
      <w:r>
        <w:rPr>
          <w:rFonts w:hint="eastAsia" w:ascii="Times New Roman" w:hAnsi="Times New Roman" w:cs="Times New Roman"/>
          <w:color w:val="auto"/>
          <w:kern w:val="0"/>
          <w:szCs w:val="22"/>
          <w:highlight w:val="none"/>
          <w:lang w:bidi="zh-CN"/>
        </w:rPr>
        <w:t xml:space="preserve">    GB</w:t>
      </w:r>
      <w:r>
        <w:rPr>
          <w:rFonts w:hint="eastAsia" w:ascii="Times New Roman" w:hAnsi="Times New Roman" w:cs="Times New Roman"/>
          <w:color w:val="auto"/>
          <w:kern w:val="0"/>
          <w:szCs w:val="22"/>
          <w:highlight w:val="none"/>
          <w:lang w:val="en-US" w:bidi="zh-CN"/>
        </w:rPr>
        <w:t xml:space="preserve"> </w:t>
      </w:r>
      <w:r>
        <w:rPr>
          <w:rFonts w:hint="eastAsia" w:ascii="Times New Roman" w:hAnsi="Times New Roman" w:cs="Times New Roman"/>
          <w:color w:val="auto"/>
          <w:kern w:val="0"/>
          <w:szCs w:val="22"/>
          <w:highlight w:val="none"/>
          <w:lang w:bidi="zh-CN"/>
        </w:rPr>
        <w:t>50060-2008</w:t>
      </w:r>
    </w:p>
    <w:p w14:paraId="4597C698">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《35～110 kV 变电站设计规范》</w:t>
      </w:r>
      <w:r>
        <w:rPr>
          <w:rFonts w:hint="eastAsia" w:ascii="Times New Roman" w:hAnsi="Times New Roman" w:cs="Times New Roman"/>
          <w:color w:val="auto"/>
          <w:kern w:val="0"/>
          <w:szCs w:val="22"/>
          <w:highlight w:val="none"/>
          <w:lang w:val="en-US" w:bidi="zh-CN"/>
        </w:rPr>
        <w:t xml:space="preserve"> </w:t>
      </w:r>
      <w:r>
        <w:rPr>
          <w:rFonts w:hint="eastAsia" w:ascii="Times New Roman" w:hAnsi="Times New Roman" w:cs="Times New Roman"/>
          <w:color w:val="auto"/>
          <w:kern w:val="0"/>
          <w:szCs w:val="22"/>
          <w:highlight w:val="none"/>
          <w:lang w:bidi="zh-CN"/>
        </w:rPr>
        <w:t xml:space="preserve">          GB</w:t>
      </w:r>
      <w:r>
        <w:rPr>
          <w:rFonts w:hint="eastAsia" w:ascii="Times New Roman" w:hAnsi="Times New Roman" w:cs="Times New Roman"/>
          <w:color w:val="auto"/>
          <w:kern w:val="0"/>
          <w:szCs w:val="22"/>
          <w:highlight w:val="none"/>
          <w:lang w:val="en-US" w:bidi="zh-CN"/>
        </w:rPr>
        <w:t xml:space="preserve"> </w:t>
      </w:r>
      <w:r>
        <w:rPr>
          <w:rFonts w:hint="eastAsia" w:ascii="Times New Roman" w:hAnsi="Times New Roman" w:cs="Times New Roman"/>
          <w:color w:val="auto"/>
          <w:kern w:val="0"/>
          <w:szCs w:val="22"/>
          <w:highlight w:val="none"/>
          <w:lang w:bidi="zh-CN"/>
        </w:rPr>
        <w:t>50059-2011</w:t>
      </w:r>
    </w:p>
    <w:p w14:paraId="70527656">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《20kV及以下变电所设计规范》</w:t>
      </w:r>
      <w:r>
        <w:rPr>
          <w:rFonts w:hint="eastAsia" w:ascii="Times New Roman" w:hAnsi="Times New Roman" w:cs="Times New Roman"/>
          <w:color w:val="auto"/>
          <w:kern w:val="0"/>
          <w:szCs w:val="22"/>
          <w:highlight w:val="none"/>
          <w:lang w:val="en-US" w:bidi="zh-CN"/>
        </w:rPr>
        <w:t xml:space="preserve"> </w:t>
      </w:r>
      <w:r>
        <w:rPr>
          <w:rFonts w:hint="eastAsia" w:ascii="Times New Roman" w:hAnsi="Times New Roman" w:cs="Times New Roman"/>
          <w:color w:val="auto"/>
          <w:kern w:val="0"/>
          <w:szCs w:val="22"/>
          <w:highlight w:val="none"/>
          <w:lang w:bidi="zh-CN"/>
        </w:rPr>
        <w:t xml:space="preserve">          GB</w:t>
      </w:r>
      <w:r>
        <w:rPr>
          <w:rFonts w:hint="eastAsia" w:ascii="Times New Roman" w:hAnsi="Times New Roman" w:cs="Times New Roman"/>
          <w:color w:val="auto"/>
          <w:kern w:val="0"/>
          <w:szCs w:val="22"/>
          <w:highlight w:val="none"/>
          <w:lang w:val="en-US" w:bidi="zh-CN"/>
        </w:rPr>
        <w:t xml:space="preserve"> </w:t>
      </w:r>
      <w:r>
        <w:rPr>
          <w:rFonts w:hint="eastAsia" w:ascii="Times New Roman" w:hAnsi="Times New Roman" w:cs="Times New Roman"/>
          <w:color w:val="auto"/>
          <w:kern w:val="0"/>
          <w:szCs w:val="22"/>
          <w:highlight w:val="none"/>
          <w:lang w:bidi="zh-CN"/>
        </w:rPr>
        <w:t>50053-2013</w:t>
      </w:r>
    </w:p>
    <w:p w14:paraId="3181909A">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《电力工程电缆设计标准》                 GB 50217-2018</w:t>
      </w:r>
    </w:p>
    <w:p w14:paraId="41FAD6AF">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《电缆防火措施设计和施工验收标准》       DLGJ 154-2000</w:t>
      </w:r>
    </w:p>
    <w:p w14:paraId="663F12AC">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《低压配电设计规范》                     GB 50054-2011</w:t>
      </w:r>
    </w:p>
    <w:p w14:paraId="1CA87DB7">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《电气装置安装工程 电缆线路施工及验收规范》GB 50168-2018</w:t>
      </w:r>
    </w:p>
    <w:p w14:paraId="2A594432">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《建筑物防雷设计规范》                      GB 50057-2019</w:t>
      </w:r>
    </w:p>
    <w:p w14:paraId="38847F0A">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《建筑灭火器配置设计规范》               GB 50140-2005</w:t>
      </w:r>
    </w:p>
    <w:p w14:paraId="6A8DA8D8">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《消防应急照明和疏散指示系统》          GB17945-2024</w:t>
      </w:r>
    </w:p>
    <w:p w14:paraId="79A357F9">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《建筑防火封堵应用技术标准》            GB/T51410-2020</w:t>
      </w:r>
    </w:p>
    <w:p w14:paraId="2AE264F9">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《防火封堵材料》                        GB23864-2023</w:t>
      </w:r>
    </w:p>
    <w:p w14:paraId="75E71871">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《工业金属管道工程施工质量验收规范》     GB 50184-2011</w:t>
      </w:r>
    </w:p>
    <w:p w14:paraId="0196148D">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《消防安全标志》                         GB 13495.1-2015</w:t>
      </w:r>
    </w:p>
    <w:p w14:paraId="44DC0213">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《消防安全标志设置要求》                 GB 15630-1995</w:t>
      </w:r>
    </w:p>
    <w:p w14:paraId="75D380F1">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《消防应急照明和疏散指示系统技术标准》  GB 51309-2018</w:t>
      </w:r>
    </w:p>
    <w:p w14:paraId="5AB2486B">
      <w:pPr>
        <w:shd w:val="clear"/>
        <w:ind w:firstLine="0" w:firstLineChars="0"/>
        <w:outlineLvl w:val="1"/>
        <w:rPr>
          <w:rFonts w:cs="Times New Roman"/>
          <w:b/>
          <w:color w:val="auto"/>
          <w:sz w:val="28"/>
          <w:szCs w:val="28"/>
          <w:highlight w:val="none"/>
        </w:rPr>
      </w:pPr>
      <w:bookmarkStart w:id="1822" w:name="_Toc24131"/>
      <w:bookmarkStart w:id="1823" w:name="_Toc3173"/>
      <w:r>
        <w:rPr>
          <w:rFonts w:hint="eastAsia" w:cs="Times New Roman"/>
          <w:b/>
          <w:color w:val="auto"/>
          <w:sz w:val="28"/>
          <w:szCs w:val="28"/>
          <w:highlight w:val="none"/>
        </w:rPr>
        <w:t>18.3 项目改造内容</w:t>
      </w:r>
      <w:bookmarkEnd w:id="1816"/>
      <w:bookmarkEnd w:id="1817"/>
      <w:bookmarkEnd w:id="1818"/>
      <w:bookmarkEnd w:id="1819"/>
      <w:bookmarkEnd w:id="1820"/>
      <w:bookmarkEnd w:id="1821"/>
      <w:bookmarkEnd w:id="1822"/>
      <w:bookmarkEnd w:id="1823"/>
    </w:p>
    <w:p w14:paraId="31B5F662">
      <w:pPr>
        <w:shd w:val="clear"/>
        <w:jc w:val="both"/>
        <w:rPr>
          <w:rFonts w:ascii="Times New Roman" w:hAnsi="Times New Roman" w:cs="Times New Roman"/>
          <w:color w:val="auto"/>
          <w:highlight w:val="none"/>
        </w:rPr>
      </w:pPr>
      <w:r>
        <w:rPr>
          <w:rFonts w:ascii="Times New Roman" w:hAnsi="Times New Roman" w:cs="Times New Roman"/>
          <w:color w:val="auto"/>
          <w:highlight w:val="none"/>
        </w:rPr>
        <w:t>本</w:t>
      </w:r>
      <w:r>
        <w:rPr>
          <w:rFonts w:hint="eastAsia" w:ascii="Times New Roman" w:hAnsi="Times New Roman" w:cs="Times New Roman"/>
          <w:color w:val="auto"/>
          <w:highlight w:val="none"/>
        </w:rPr>
        <w:t>项目</w:t>
      </w:r>
      <w:r>
        <w:rPr>
          <w:rFonts w:ascii="Times New Roman" w:hAnsi="Times New Roman" w:cs="Times New Roman"/>
          <w:color w:val="auto"/>
          <w:highlight w:val="none"/>
        </w:rPr>
        <w:t>为一座</w:t>
      </w:r>
      <w:r>
        <w:rPr>
          <w:rFonts w:hint="eastAsia" w:ascii="Times New Roman" w:hAnsi="Times New Roman" w:cs="Times New Roman"/>
          <w:color w:val="auto"/>
          <w:highlight w:val="none"/>
        </w:rPr>
        <w:t>121</w:t>
      </w:r>
      <w:r>
        <w:rPr>
          <w:rFonts w:ascii="Times New Roman" w:hAnsi="Times New Roman" w:cs="Times New Roman"/>
          <w:color w:val="auto"/>
          <w:highlight w:val="none"/>
        </w:rPr>
        <w:t>0m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高炉</w:t>
      </w:r>
      <w:r>
        <w:rPr>
          <w:rFonts w:hint="eastAsia" w:ascii="Times New Roman" w:hAnsi="Times New Roman" w:cs="Times New Roman"/>
          <w:color w:val="auto"/>
          <w:highlight w:val="none"/>
        </w:rPr>
        <w:t>的优化升级及超低排放改造</w:t>
      </w:r>
      <w:r>
        <w:rPr>
          <w:rFonts w:ascii="Times New Roman" w:hAnsi="Times New Roman" w:cs="Times New Roman"/>
          <w:color w:val="auto"/>
          <w:highlight w:val="none"/>
        </w:rPr>
        <w:t>，</w:t>
      </w:r>
      <w:r>
        <w:rPr>
          <w:rFonts w:hint="eastAsia" w:ascii="Times New Roman" w:hAnsi="Times New Roman" w:cs="Times New Roman"/>
          <w:color w:val="auto"/>
          <w:highlight w:val="none"/>
        </w:rPr>
        <w:t>高炉局部炉壳更换，炉容维持不变</w:t>
      </w:r>
      <w:r>
        <w:rPr>
          <w:rFonts w:ascii="Times New Roman" w:hAnsi="Times New Roman" w:cs="Times New Roman"/>
          <w:color w:val="auto"/>
          <w:highlight w:val="none"/>
        </w:rPr>
        <w:t>。</w:t>
      </w:r>
    </w:p>
    <w:p w14:paraId="15DA4FCA">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本项目涉及到的改造设计范围主要包括：</w:t>
      </w:r>
    </w:p>
    <w:p w14:paraId="0FE3A083">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（1）矿焦槽检测鉴定利旧加固，整体用彩钢瓦封闭，碎铁仓及碎铁皮带通廊封闭，槽上、槽下供料及上料系统的皮带机等相关设备设施改造更换，利旧改造一套矿槽除尘设施，利旧改造一套地沟除尘设施。</w:t>
      </w:r>
    </w:p>
    <w:p w14:paraId="127352C3">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（2）高炉基础及炉身框架平台利旧，炉壳及冷却壁部分更换，炉喉钢砖及铁口框等更换，炉内耐材更换，水系统管道及阀门部分更换，完善炉体监测系统。</w:t>
      </w:r>
    </w:p>
    <w:p w14:paraId="4E9981E7">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（3）主卷扬系统、炉顶及粗煤气系统相关设备、耐材更换，新增均压煤气回收系统，新增炉顶智能润滑系统。</w:t>
      </w:r>
    </w:p>
    <w:p w14:paraId="787B5825">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（4）出铁场、渣处理系统主体利旧；出铁场平台局部修复；主沟改造更换，外模重新设计，主沟耐材更换；渣铁沟外模修复，耐材更换；渣铁沟盖板重新设计，增加除尘点；重建一套出铁场除尘设施。</w:t>
      </w:r>
    </w:p>
    <w:p w14:paraId="5302FB18">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（5）热风围管重新设计并更换，热风主管局部改造更换。</w:t>
      </w:r>
    </w:p>
    <w:p w14:paraId="523088E9">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6）鼓风机站、干法布袋除尘系统、减压阀组及TRT主体均利旧；更换鼓风机所有动、静叶；鼓风机静叶调节系统更换，对TRT控制系统软硬件升级改造，对干法除尘灰卸灰机等设备更换，半净煤气管道重新设计，增加均压煤气回收筒体。</w:t>
      </w:r>
    </w:p>
    <w:p w14:paraId="4CDE6FAC">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（7）循环水泵房屋顶6台蒸发空冷器更换，净环、增压、软环系统部分管道及阀门更换，新建净环系统冷却塔和增压水系统冷却塔。</w:t>
      </w:r>
    </w:p>
    <w:p w14:paraId="4FBEDC41">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（8）利旧的高炉主工艺线系统和辅助系统的高低压供配电、电气、传动、仪表等设施恢复性改造修复；新建的工艺系统的高低压供配电、电气、传动、仪表等设施配套建设。</w:t>
      </w:r>
    </w:p>
    <w:p w14:paraId="03F0B641">
      <w:pPr>
        <w:shd w:val="clear"/>
        <w:ind w:firstLine="0" w:firstLineChars="0"/>
        <w:outlineLvl w:val="1"/>
        <w:rPr>
          <w:rFonts w:cs="Times New Roman"/>
          <w:b/>
          <w:color w:val="auto"/>
          <w:sz w:val="28"/>
          <w:szCs w:val="28"/>
          <w:highlight w:val="none"/>
        </w:rPr>
      </w:pPr>
      <w:bookmarkStart w:id="1824" w:name="_Toc10826"/>
      <w:bookmarkStart w:id="1825" w:name="_Toc29536"/>
      <w:bookmarkStart w:id="1826" w:name="_Toc175920470"/>
      <w:bookmarkStart w:id="1827" w:name="_Toc21221"/>
      <w:bookmarkStart w:id="1828" w:name="_Toc27185"/>
      <w:bookmarkStart w:id="1829" w:name="_Toc79840534"/>
      <w:bookmarkStart w:id="1830" w:name="_Toc23249"/>
      <w:bookmarkStart w:id="1831" w:name="_Toc22896"/>
      <w:r>
        <w:rPr>
          <w:rFonts w:hint="eastAsia" w:cs="Times New Roman"/>
          <w:b/>
          <w:color w:val="auto"/>
          <w:sz w:val="28"/>
          <w:szCs w:val="28"/>
          <w:highlight w:val="none"/>
        </w:rPr>
        <w:t>18.4 工程火灾因素分析</w:t>
      </w:r>
      <w:bookmarkEnd w:id="1824"/>
      <w:bookmarkEnd w:id="1825"/>
      <w:bookmarkEnd w:id="1826"/>
      <w:bookmarkEnd w:id="1827"/>
      <w:bookmarkEnd w:id="1828"/>
      <w:bookmarkEnd w:id="1829"/>
      <w:bookmarkEnd w:id="1830"/>
      <w:bookmarkEnd w:id="1831"/>
    </w:p>
    <w:p w14:paraId="0FCE8263">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本工程生产过程中主要火灾危险因素如下：</w:t>
      </w:r>
    </w:p>
    <w:p w14:paraId="3485AFD9">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电气设备、输配电线路、电器元件等过流或故障时可能引发火灾，电缆因绝缘不良可能发生火灾。</w:t>
      </w:r>
    </w:p>
    <w:p w14:paraId="7DDED96F">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煤气使用不当或设备故障可能发生爆炸引发火灾事故。</w:t>
      </w:r>
    </w:p>
    <w:p w14:paraId="59861176">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液压/润滑站以矿物油作为工作介质，液压/润滑油泄漏或使用不当有可能发生火灾。</w:t>
      </w:r>
    </w:p>
    <w:p w14:paraId="16394F33">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较高的建/构筑物、电气设备等遭雷击可能引发火灾。</w:t>
      </w:r>
    </w:p>
    <w:p w14:paraId="2D251053">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根据本工程生产工艺特点，其生产的火灾危险性分类为：液压/润滑站，电气室的变压器室，高、低压配电室的火灾危险性为丙类，操作室为丁类，车间主厂房属丁戊类。本工程完全利旧不作改造的设施满足消防要求，主要考虑的是改造和新建的电气室等场所存在的火灾隐患。</w:t>
      </w:r>
    </w:p>
    <w:p w14:paraId="0E7EABA7">
      <w:pPr>
        <w:shd w:val="clear"/>
        <w:ind w:firstLine="0" w:firstLineChars="0"/>
        <w:outlineLvl w:val="1"/>
        <w:rPr>
          <w:rFonts w:cs="Times New Roman"/>
          <w:b/>
          <w:color w:val="auto"/>
          <w:sz w:val="28"/>
          <w:szCs w:val="28"/>
          <w:highlight w:val="none"/>
        </w:rPr>
      </w:pPr>
      <w:bookmarkStart w:id="1832" w:name="_Toc28135"/>
      <w:bookmarkStart w:id="1833" w:name="_Toc23843"/>
      <w:bookmarkStart w:id="1834" w:name="_Toc13686"/>
      <w:bookmarkStart w:id="1835" w:name="_Toc20707"/>
      <w:bookmarkStart w:id="1836" w:name="_Toc12514"/>
      <w:bookmarkStart w:id="1837" w:name="_Toc79840535"/>
      <w:bookmarkStart w:id="1838" w:name="_Toc7565"/>
      <w:bookmarkStart w:id="1839" w:name="_Toc175920471"/>
      <w:r>
        <w:rPr>
          <w:rFonts w:hint="eastAsia" w:cs="Times New Roman"/>
          <w:b/>
          <w:color w:val="auto"/>
          <w:sz w:val="28"/>
          <w:szCs w:val="28"/>
          <w:highlight w:val="none"/>
        </w:rPr>
        <w:t>18.5 设计采取的主要防范措施</w:t>
      </w:r>
      <w:bookmarkEnd w:id="1832"/>
      <w:bookmarkEnd w:id="1833"/>
      <w:bookmarkEnd w:id="1834"/>
      <w:bookmarkEnd w:id="1835"/>
      <w:bookmarkEnd w:id="1836"/>
      <w:bookmarkEnd w:id="1837"/>
      <w:bookmarkEnd w:id="1838"/>
      <w:bookmarkEnd w:id="1839"/>
    </w:p>
    <w:p w14:paraId="06F21DD3">
      <w:pPr>
        <w:keepNext/>
        <w:keepLines/>
        <w:numPr>
          <w:ilvl w:val="2"/>
          <w:numId w:val="0"/>
        </w:numPr>
        <w:shd w:val="clear"/>
        <w:adjustRightInd w:val="0"/>
        <w:spacing w:before="120"/>
        <w:textAlignment w:val="baseline"/>
        <w:outlineLvl w:val="2"/>
        <w:rPr>
          <w:rFonts w:ascii="Times New Roman" w:hAnsi="Times New Roman" w:cs="Times New Roman"/>
          <w:bCs/>
          <w:color w:val="auto"/>
          <w:highlight w:val="none"/>
        </w:rPr>
      </w:pPr>
      <w:bookmarkStart w:id="1840" w:name="_Toc79840536"/>
      <w:r>
        <w:rPr>
          <w:rFonts w:hint="eastAsia" w:ascii="Times New Roman" w:hAnsi="Times New Roman" w:cs="Times New Roman"/>
          <w:bCs/>
          <w:color w:val="auto"/>
          <w:highlight w:val="none"/>
        </w:rPr>
        <w:t>18.5.1 总图运输</w:t>
      </w:r>
    </w:p>
    <w:p w14:paraId="0A6C7139">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1）总平面布置</w:t>
      </w:r>
    </w:p>
    <w:p w14:paraId="63A046A4">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本项目新建建、构筑物主要包括新建出铁场除尘、新建酸、碱返仓系统、重力除尘灰仓等</w:t>
      </w:r>
      <w:r>
        <w:rPr>
          <w:rFonts w:hint="eastAsia" w:ascii="Times New Roman" w:hAnsi="Times New Roman" w:cs="Times New Roman"/>
          <w:color w:val="auto"/>
          <w:kern w:val="0"/>
          <w:szCs w:val="22"/>
          <w:highlight w:val="none"/>
          <w:lang w:bidi="zh-CN"/>
        </w:rPr>
        <w:t>，槽上除尘、地沟除尘和净煤气管道在原有的基础上进行改造</w:t>
      </w:r>
      <w:r>
        <w:rPr>
          <w:rFonts w:ascii="Times New Roman" w:hAnsi="Times New Roman" w:cs="Times New Roman"/>
          <w:color w:val="auto"/>
          <w:kern w:val="0"/>
          <w:szCs w:val="22"/>
          <w:highlight w:val="none"/>
          <w:lang w:bidi="zh-CN"/>
        </w:rPr>
        <w:t>。</w:t>
      </w:r>
    </w:p>
    <w:p w14:paraId="5A219131">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新建出铁场除尘布置在现有地沟除尘位置及南侧区域。新建出铁场除尘电气室位于出铁场除尘器下方。</w:t>
      </w:r>
    </w:p>
    <w:p w14:paraId="277B6295">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2号高炉新建碱返仓、酸返仓位于矿槽南侧。新建通廊往西再往东，再往南与FK-2胶带机通廊相接。</w:t>
      </w:r>
    </w:p>
    <w:p w14:paraId="2F23D20C">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新建两个重力除尘灰仓布置在2#高炉干法除尘东侧。</w:t>
      </w:r>
    </w:p>
    <w:p w14:paraId="4929AAB6">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在一泵站西侧增加净环系统150m</w:t>
      </w:r>
      <w:r>
        <w:rPr>
          <w:rFonts w:ascii="Times New Roman" w:hAnsi="Times New Roman" w:cs="Times New Roman"/>
          <w:color w:val="auto"/>
          <w:kern w:val="0"/>
          <w:szCs w:val="22"/>
          <w:highlight w:val="none"/>
          <w:vertAlign w:val="superscript"/>
          <w:lang w:bidi="zh-CN"/>
        </w:rPr>
        <w:t>3</w:t>
      </w:r>
      <w:r>
        <w:rPr>
          <w:rFonts w:ascii="Times New Roman" w:hAnsi="Times New Roman" w:cs="Times New Roman"/>
          <w:color w:val="auto"/>
          <w:kern w:val="0"/>
          <w:szCs w:val="22"/>
          <w:highlight w:val="none"/>
          <w:lang w:bidi="zh-CN"/>
        </w:rPr>
        <w:t>/h玻璃钢冷却塔和450m</w:t>
      </w:r>
      <w:r>
        <w:rPr>
          <w:rFonts w:ascii="Times New Roman" w:hAnsi="Times New Roman" w:cs="Times New Roman"/>
          <w:color w:val="auto"/>
          <w:kern w:val="0"/>
          <w:szCs w:val="22"/>
          <w:highlight w:val="none"/>
          <w:vertAlign w:val="superscript"/>
          <w:lang w:bidi="zh-CN"/>
        </w:rPr>
        <w:t>3</w:t>
      </w:r>
      <w:r>
        <w:rPr>
          <w:rFonts w:ascii="Times New Roman" w:hAnsi="Times New Roman" w:cs="Times New Roman"/>
          <w:color w:val="auto"/>
          <w:kern w:val="0"/>
          <w:szCs w:val="22"/>
          <w:highlight w:val="none"/>
          <w:lang w:bidi="zh-CN"/>
        </w:rPr>
        <w:t>/h玻璃钢冷却塔各1台。</w:t>
      </w:r>
    </w:p>
    <w:p w14:paraId="71608CCC">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其它辅助设施靠近主要服务对象就近布置。</w:t>
      </w:r>
    </w:p>
    <w:p w14:paraId="496BC061">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详见总平面布置图。</w:t>
      </w:r>
    </w:p>
    <w:p w14:paraId="28EFC717">
      <w:pPr>
        <w:shd w:val="clear"/>
        <w:jc w:val="both"/>
        <w:rPr>
          <w:rFonts w:ascii="Times New Roman" w:hAnsi="Times New Roman" w:cs="Times New Roman"/>
          <w:color w:val="auto"/>
          <w:highlight w:val="none"/>
        </w:rPr>
      </w:pPr>
      <w:r>
        <w:rPr>
          <w:rFonts w:ascii="Times New Roman" w:hAnsi="Times New Roman" w:cs="Times New Roman"/>
          <w:color w:val="auto"/>
          <w:highlight w:val="none"/>
        </w:rPr>
        <w:t>2）</w:t>
      </w:r>
      <w:r>
        <w:rPr>
          <w:rFonts w:hint="eastAsia" w:ascii="Times New Roman" w:hAnsi="Times New Roman" w:cs="Times New Roman"/>
          <w:color w:val="auto"/>
          <w:highlight w:val="none"/>
        </w:rPr>
        <w:t>防火间距</w:t>
      </w:r>
    </w:p>
    <w:p w14:paraId="3633E794">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本工程各建、构筑物之间的防火间距满足现行的《建筑防火通用规范》（GB</w:t>
      </w:r>
      <w:r>
        <w:rPr>
          <w:rFonts w:ascii="Times New Roman" w:hAnsi="Times New Roman" w:cs="Times New Roman"/>
          <w:color w:val="auto"/>
          <w:kern w:val="0"/>
          <w:szCs w:val="22"/>
          <w:highlight w:val="none"/>
          <w:lang w:bidi="zh-CN"/>
        </w:rPr>
        <w:t xml:space="preserve"> </w:t>
      </w:r>
      <w:r>
        <w:rPr>
          <w:rFonts w:hint="eastAsia" w:ascii="Times New Roman" w:hAnsi="Times New Roman" w:cs="Times New Roman"/>
          <w:color w:val="auto"/>
          <w:kern w:val="0"/>
          <w:szCs w:val="22"/>
          <w:highlight w:val="none"/>
          <w:lang w:bidi="zh-CN"/>
        </w:rPr>
        <w:t>55037-2022）的要求。新建设施与相邻建、构筑物和厂内外道路、铁路、管线之间的安全防护距离符合《建筑防火通用规范》（GB</w:t>
      </w:r>
      <w:r>
        <w:rPr>
          <w:rFonts w:ascii="Times New Roman" w:hAnsi="Times New Roman" w:cs="Times New Roman"/>
          <w:color w:val="auto"/>
          <w:kern w:val="0"/>
          <w:szCs w:val="22"/>
          <w:highlight w:val="none"/>
          <w:lang w:bidi="zh-CN"/>
        </w:rPr>
        <w:t xml:space="preserve"> </w:t>
      </w:r>
      <w:r>
        <w:rPr>
          <w:rFonts w:hint="eastAsia" w:ascii="Times New Roman" w:hAnsi="Times New Roman" w:cs="Times New Roman"/>
          <w:color w:val="auto"/>
          <w:kern w:val="0"/>
          <w:szCs w:val="22"/>
          <w:highlight w:val="none"/>
          <w:lang w:bidi="zh-CN"/>
        </w:rPr>
        <w:t>55037-2022）、《钢铁企业总图运输设计规范》（GB</w:t>
      </w:r>
      <w:r>
        <w:rPr>
          <w:rFonts w:ascii="Times New Roman" w:hAnsi="Times New Roman" w:cs="Times New Roman"/>
          <w:color w:val="auto"/>
          <w:kern w:val="0"/>
          <w:szCs w:val="22"/>
          <w:highlight w:val="none"/>
          <w:lang w:bidi="zh-CN"/>
        </w:rPr>
        <w:t xml:space="preserve"> </w:t>
      </w:r>
      <w:r>
        <w:rPr>
          <w:rFonts w:hint="eastAsia" w:ascii="Times New Roman" w:hAnsi="Times New Roman" w:cs="Times New Roman"/>
          <w:color w:val="auto"/>
          <w:kern w:val="0"/>
          <w:szCs w:val="22"/>
          <w:highlight w:val="none"/>
          <w:lang w:bidi="zh-CN"/>
        </w:rPr>
        <w:t>50603-2010）等标准、规范的要求。</w:t>
      </w:r>
    </w:p>
    <w:p w14:paraId="595C6E84">
      <w:pPr>
        <w:shd w:val="clear"/>
        <w:ind w:firstLine="0" w:firstLineChars="0"/>
        <w:jc w:val="center"/>
        <w:rPr>
          <w:rFonts w:cs="Times New Roman"/>
          <w:bCs/>
          <w:color w:val="auto"/>
          <w:highlight w:val="none"/>
        </w:rPr>
      </w:pPr>
      <w:r>
        <w:rPr>
          <w:rFonts w:cs="Times New Roman"/>
          <w:bCs/>
          <w:color w:val="auto"/>
          <w:highlight w:val="none"/>
        </w:rPr>
        <w:t xml:space="preserve">表18-1  </w:t>
      </w:r>
      <w:r>
        <w:rPr>
          <w:rFonts w:hint="eastAsia" w:cs="Times New Roman"/>
          <w:bCs/>
          <w:color w:val="auto"/>
          <w:highlight w:val="none"/>
        </w:rPr>
        <w:t>新建主要建筑物或设施之间的间距情况</w:t>
      </w:r>
    </w:p>
    <w:tbl>
      <w:tblPr>
        <w:tblStyle w:val="60"/>
        <w:tblW w:w="5000"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
      <w:tblGrid>
        <w:gridCol w:w="1622"/>
        <w:gridCol w:w="1329"/>
        <w:gridCol w:w="1143"/>
        <w:gridCol w:w="1284"/>
        <w:gridCol w:w="3144"/>
      </w:tblGrid>
      <w:tr w14:paraId="665D9327">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622" w:type="dxa"/>
            <w:vAlign w:val="center"/>
          </w:tcPr>
          <w:p w14:paraId="02579777">
            <w:pPr>
              <w:pStyle w:val="448"/>
              <w:shd w:val="clear"/>
              <w:spacing w:line="300" w:lineRule="auto"/>
              <w:ind w:left="0"/>
              <w:rPr>
                <w:rFonts w:ascii="Times New Roman" w:hAnsi="Times New Roman" w:eastAsia="宋体"/>
                <w:color w:val="auto"/>
                <w:sz w:val="24"/>
                <w:highlight w:val="none"/>
              </w:rPr>
            </w:pPr>
            <w:r>
              <w:rPr>
                <w:rFonts w:ascii="Times New Roman" w:hAnsi="Times New Roman" w:eastAsia="宋体"/>
                <w:color w:val="auto"/>
                <w:sz w:val="24"/>
                <w:highlight w:val="none"/>
              </w:rPr>
              <w:t>生产设施</w:t>
            </w:r>
          </w:p>
        </w:tc>
        <w:tc>
          <w:tcPr>
            <w:tcW w:w="1329" w:type="dxa"/>
            <w:vAlign w:val="center"/>
          </w:tcPr>
          <w:p w14:paraId="1176EC81">
            <w:pPr>
              <w:pStyle w:val="448"/>
              <w:shd w:val="clear"/>
              <w:spacing w:line="300" w:lineRule="auto"/>
              <w:ind w:left="0"/>
              <w:rPr>
                <w:rFonts w:ascii="Times New Roman" w:hAnsi="Times New Roman" w:eastAsia="宋体"/>
                <w:color w:val="auto"/>
                <w:sz w:val="24"/>
                <w:highlight w:val="none"/>
              </w:rPr>
            </w:pPr>
            <w:r>
              <w:rPr>
                <w:rFonts w:ascii="Times New Roman" w:hAnsi="Times New Roman" w:eastAsia="宋体"/>
                <w:color w:val="auto"/>
                <w:sz w:val="24"/>
                <w:highlight w:val="none"/>
              </w:rPr>
              <w:t>相邻设施</w:t>
            </w:r>
          </w:p>
        </w:tc>
        <w:tc>
          <w:tcPr>
            <w:tcW w:w="1143" w:type="dxa"/>
            <w:vAlign w:val="center"/>
          </w:tcPr>
          <w:p w14:paraId="39989F7A">
            <w:pPr>
              <w:pStyle w:val="448"/>
              <w:shd w:val="clear"/>
              <w:spacing w:line="300" w:lineRule="auto"/>
              <w:ind w:left="0"/>
              <w:jc w:val="both"/>
              <w:rPr>
                <w:rFonts w:ascii="Times New Roman" w:hAnsi="Times New Roman" w:eastAsia="宋体"/>
                <w:color w:val="auto"/>
                <w:sz w:val="24"/>
                <w:highlight w:val="none"/>
              </w:rPr>
            </w:pPr>
            <w:r>
              <w:rPr>
                <w:rFonts w:ascii="Times New Roman" w:hAnsi="Times New Roman" w:eastAsia="宋体"/>
                <w:color w:val="auto"/>
                <w:sz w:val="24"/>
                <w:highlight w:val="none"/>
              </w:rPr>
              <w:t>设计间距（m）</w:t>
            </w:r>
          </w:p>
        </w:tc>
        <w:tc>
          <w:tcPr>
            <w:tcW w:w="1284" w:type="dxa"/>
            <w:vAlign w:val="center"/>
          </w:tcPr>
          <w:p w14:paraId="786B7F1E">
            <w:pPr>
              <w:pStyle w:val="448"/>
              <w:shd w:val="clear"/>
              <w:spacing w:line="300" w:lineRule="auto"/>
              <w:ind w:left="0"/>
              <w:rPr>
                <w:rFonts w:ascii="Times New Roman" w:hAnsi="Times New Roman" w:eastAsia="宋体"/>
                <w:color w:val="auto"/>
                <w:sz w:val="24"/>
                <w:highlight w:val="none"/>
              </w:rPr>
            </w:pPr>
            <w:r>
              <w:rPr>
                <w:rFonts w:ascii="Times New Roman" w:hAnsi="Times New Roman" w:eastAsia="宋体"/>
                <w:color w:val="auto"/>
                <w:sz w:val="24"/>
                <w:highlight w:val="none"/>
              </w:rPr>
              <w:t>标准要求（m）</w:t>
            </w:r>
          </w:p>
        </w:tc>
        <w:tc>
          <w:tcPr>
            <w:tcW w:w="3144" w:type="dxa"/>
            <w:vAlign w:val="center"/>
          </w:tcPr>
          <w:p w14:paraId="023DF36C">
            <w:pPr>
              <w:pStyle w:val="448"/>
              <w:shd w:val="clear"/>
              <w:spacing w:line="300" w:lineRule="auto"/>
              <w:ind w:left="0"/>
              <w:rPr>
                <w:rFonts w:ascii="Times New Roman" w:hAnsi="Times New Roman" w:eastAsia="宋体"/>
                <w:color w:val="auto"/>
                <w:sz w:val="24"/>
                <w:highlight w:val="none"/>
              </w:rPr>
            </w:pPr>
            <w:r>
              <w:rPr>
                <w:rFonts w:ascii="Times New Roman" w:hAnsi="Times New Roman" w:eastAsia="宋体"/>
                <w:color w:val="auto"/>
                <w:sz w:val="24"/>
                <w:highlight w:val="none"/>
              </w:rPr>
              <w:t>依据标准</w:t>
            </w:r>
          </w:p>
        </w:tc>
      </w:tr>
      <w:tr w14:paraId="0B835FC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622" w:type="dxa"/>
            <w:vMerge w:val="restart"/>
            <w:vAlign w:val="center"/>
          </w:tcPr>
          <w:p w14:paraId="3C5537EB">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新建出铁场除尘</w:t>
            </w:r>
          </w:p>
        </w:tc>
        <w:tc>
          <w:tcPr>
            <w:tcW w:w="1329" w:type="dxa"/>
            <w:vAlign w:val="center"/>
          </w:tcPr>
          <w:p w14:paraId="004B1449">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西侧高炉矿槽</w:t>
            </w:r>
          </w:p>
        </w:tc>
        <w:tc>
          <w:tcPr>
            <w:tcW w:w="1143" w:type="dxa"/>
            <w:vAlign w:val="center"/>
          </w:tcPr>
          <w:p w14:paraId="32556FF9">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22.6</w:t>
            </w:r>
          </w:p>
        </w:tc>
        <w:tc>
          <w:tcPr>
            <w:tcW w:w="1284" w:type="dxa"/>
            <w:vAlign w:val="center"/>
          </w:tcPr>
          <w:p w14:paraId="645D29C1">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不限</w:t>
            </w:r>
          </w:p>
        </w:tc>
        <w:tc>
          <w:tcPr>
            <w:tcW w:w="3144" w:type="dxa"/>
            <w:vAlign w:val="center"/>
          </w:tcPr>
          <w:p w14:paraId="463F9BDE">
            <w:pPr>
              <w:pStyle w:val="448"/>
              <w:shd w:val="clear"/>
              <w:spacing w:line="300" w:lineRule="auto"/>
              <w:ind w:left="0"/>
              <w:rPr>
                <w:rFonts w:ascii="Times New Roman" w:hAnsi="Times New Roman" w:eastAsia="宋体"/>
                <w:color w:val="auto"/>
                <w:sz w:val="24"/>
                <w:highlight w:val="none"/>
              </w:rPr>
            </w:pPr>
            <w:r>
              <w:rPr>
                <w:rFonts w:ascii="Times New Roman" w:hAnsi="Times New Roman" w:eastAsia="宋体"/>
                <w:color w:val="auto"/>
                <w:sz w:val="24"/>
                <w:highlight w:val="none"/>
              </w:rPr>
              <w:t>《建筑设计防火规范》第</w:t>
            </w:r>
            <w:r>
              <w:rPr>
                <w:rFonts w:hint="eastAsia" w:ascii="Times New Roman" w:hAnsi="Times New Roman" w:eastAsia="宋体"/>
                <w:color w:val="auto"/>
                <w:sz w:val="24"/>
                <w:highlight w:val="none"/>
              </w:rPr>
              <w:t>3.4.1</w:t>
            </w:r>
            <w:r>
              <w:rPr>
                <w:rFonts w:ascii="Times New Roman" w:hAnsi="Times New Roman" w:eastAsia="宋体"/>
                <w:color w:val="auto"/>
                <w:sz w:val="24"/>
                <w:highlight w:val="none"/>
              </w:rPr>
              <w:t>条</w:t>
            </w:r>
          </w:p>
        </w:tc>
      </w:tr>
      <w:tr w14:paraId="1336798E">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622" w:type="dxa"/>
            <w:vMerge w:val="continue"/>
            <w:vAlign w:val="center"/>
          </w:tcPr>
          <w:p w14:paraId="74A5E806">
            <w:pPr>
              <w:pStyle w:val="448"/>
              <w:shd w:val="clear"/>
              <w:spacing w:line="300" w:lineRule="auto"/>
              <w:ind w:left="0"/>
              <w:rPr>
                <w:rFonts w:ascii="Times New Roman" w:hAnsi="Times New Roman" w:eastAsia="宋体"/>
                <w:color w:val="auto"/>
                <w:sz w:val="24"/>
                <w:highlight w:val="none"/>
              </w:rPr>
            </w:pPr>
          </w:p>
        </w:tc>
        <w:tc>
          <w:tcPr>
            <w:tcW w:w="1329" w:type="dxa"/>
            <w:vAlign w:val="center"/>
          </w:tcPr>
          <w:p w14:paraId="27C0D757">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rPr>
              <w:t>北侧</w:t>
            </w:r>
            <w:r>
              <w:rPr>
                <w:rFonts w:hint="eastAsia" w:ascii="Times New Roman" w:hAnsi="Times New Roman" w:eastAsia="宋体"/>
                <w:color w:val="auto"/>
                <w:sz w:val="24"/>
                <w:highlight w:val="none"/>
                <w:lang w:val="en-US" w:eastAsia="zh-CN"/>
              </w:rPr>
              <w:t>槽上除尘CEMS小屋</w:t>
            </w:r>
          </w:p>
        </w:tc>
        <w:tc>
          <w:tcPr>
            <w:tcW w:w="1143" w:type="dxa"/>
            <w:vAlign w:val="center"/>
          </w:tcPr>
          <w:p w14:paraId="5996F01B">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47.1</w:t>
            </w:r>
          </w:p>
        </w:tc>
        <w:tc>
          <w:tcPr>
            <w:tcW w:w="1284" w:type="dxa"/>
            <w:vAlign w:val="center"/>
          </w:tcPr>
          <w:p w14:paraId="1DDBFF99">
            <w:pPr>
              <w:pStyle w:val="448"/>
              <w:shd w:val="clear"/>
              <w:spacing w:line="300" w:lineRule="auto"/>
              <w:ind w:left="0"/>
              <w:rPr>
                <w:rFonts w:ascii="Times New Roman" w:hAnsi="Times New Roman" w:eastAsia="宋体"/>
                <w:color w:val="auto"/>
                <w:sz w:val="24"/>
                <w:highlight w:val="none"/>
                <w:lang w:eastAsia="zh-CN"/>
              </w:rPr>
            </w:pPr>
            <w:r>
              <w:rPr>
                <w:rFonts w:hint="eastAsia" w:ascii="Times New Roman" w:hAnsi="Times New Roman" w:eastAsia="宋体"/>
                <w:color w:val="auto"/>
                <w:sz w:val="24"/>
                <w:highlight w:val="none"/>
                <w:lang w:val="en-US" w:eastAsia="zh-CN"/>
              </w:rPr>
              <w:t>不限</w:t>
            </w:r>
          </w:p>
        </w:tc>
        <w:tc>
          <w:tcPr>
            <w:tcW w:w="3144" w:type="dxa"/>
            <w:vAlign w:val="center"/>
          </w:tcPr>
          <w:p w14:paraId="0395EB5E">
            <w:pPr>
              <w:pStyle w:val="448"/>
              <w:shd w:val="clear"/>
              <w:spacing w:line="300" w:lineRule="auto"/>
              <w:ind w:left="0"/>
              <w:rPr>
                <w:rFonts w:ascii="Times New Roman" w:hAnsi="Times New Roman" w:eastAsia="宋体"/>
                <w:color w:val="auto"/>
                <w:sz w:val="24"/>
                <w:highlight w:val="none"/>
              </w:rPr>
            </w:pPr>
            <w:r>
              <w:rPr>
                <w:rFonts w:ascii="Times New Roman" w:hAnsi="Times New Roman" w:eastAsia="宋体"/>
                <w:color w:val="auto"/>
                <w:sz w:val="24"/>
                <w:highlight w:val="none"/>
              </w:rPr>
              <w:t>《建筑设计防火规范》第</w:t>
            </w:r>
            <w:r>
              <w:rPr>
                <w:rFonts w:hint="eastAsia" w:ascii="Times New Roman" w:hAnsi="Times New Roman" w:eastAsia="宋体"/>
                <w:color w:val="auto"/>
                <w:sz w:val="24"/>
                <w:highlight w:val="none"/>
              </w:rPr>
              <w:t>3.4.1</w:t>
            </w:r>
            <w:r>
              <w:rPr>
                <w:rFonts w:ascii="Times New Roman" w:hAnsi="Times New Roman" w:eastAsia="宋体"/>
                <w:color w:val="auto"/>
                <w:sz w:val="24"/>
                <w:highlight w:val="none"/>
              </w:rPr>
              <w:t>条</w:t>
            </w:r>
          </w:p>
        </w:tc>
      </w:tr>
      <w:tr w14:paraId="3F5E70E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622" w:type="dxa"/>
            <w:vMerge w:val="restart"/>
            <w:vAlign w:val="center"/>
          </w:tcPr>
          <w:p w14:paraId="25C86016">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新建酸、碱返仓</w:t>
            </w:r>
          </w:p>
        </w:tc>
        <w:tc>
          <w:tcPr>
            <w:tcW w:w="1329" w:type="dxa"/>
            <w:vAlign w:val="center"/>
          </w:tcPr>
          <w:p w14:paraId="4CE80E1A">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北侧高炉矿槽</w:t>
            </w:r>
          </w:p>
        </w:tc>
        <w:tc>
          <w:tcPr>
            <w:tcW w:w="1143" w:type="dxa"/>
            <w:vAlign w:val="center"/>
          </w:tcPr>
          <w:p w14:paraId="5FF8AB58">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10.3</w:t>
            </w:r>
          </w:p>
        </w:tc>
        <w:tc>
          <w:tcPr>
            <w:tcW w:w="1284" w:type="dxa"/>
            <w:vAlign w:val="center"/>
          </w:tcPr>
          <w:p w14:paraId="23A55156">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10</w:t>
            </w:r>
          </w:p>
        </w:tc>
        <w:tc>
          <w:tcPr>
            <w:tcW w:w="3144" w:type="dxa"/>
            <w:vAlign w:val="center"/>
          </w:tcPr>
          <w:p w14:paraId="741F15EF">
            <w:pPr>
              <w:pStyle w:val="448"/>
              <w:shd w:val="clear"/>
              <w:spacing w:line="300" w:lineRule="auto"/>
              <w:ind w:left="0"/>
              <w:rPr>
                <w:rFonts w:ascii="Times New Roman" w:hAnsi="Times New Roman" w:eastAsia="宋体"/>
                <w:color w:val="auto"/>
                <w:sz w:val="24"/>
                <w:highlight w:val="none"/>
              </w:rPr>
            </w:pPr>
            <w:r>
              <w:rPr>
                <w:rFonts w:ascii="Times New Roman" w:hAnsi="Times New Roman" w:eastAsia="宋体"/>
                <w:color w:val="auto"/>
                <w:sz w:val="24"/>
                <w:highlight w:val="none"/>
              </w:rPr>
              <w:t>《建筑设计防火规范》第</w:t>
            </w:r>
            <w:r>
              <w:rPr>
                <w:rFonts w:hint="eastAsia" w:ascii="Times New Roman" w:hAnsi="Times New Roman" w:eastAsia="宋体"/>
                <w:color w:val="auto"/>
                <w:sz w:val="24"/>
                <w:highlight w:val="none"/>
              </w:rPr>
              <w:t>3.4.1</w:t>
            </w:r>
            <w:r>
              <w:rPr>
                <w:rFonts w:ascii="Times New Roman" w:hAnsi="Times New Roman" w:eastAsia="宋体"/>
                <w:color w:val="auto"/>
                <w:sz w:val="24"/>
                <w:highlight w:val="none"/>
              </w:rPr>
              <w:t>条</w:t>
            </w:r>
          </w:p>
        </w:tc>
      </w:tr>
      <w:tr w14:paraId="5E1E2D38">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622" w:type="dxa"/>
            <w:vMerge w:val="continue"/>
            <w:vAlign w:val="center"/>
          </w:tcPr>
          <w:p w14:paraId="1A3B2C7A">
            <w:pPr>
              <w:pStyle w:val="448"/>
              <w:shd w:val="clear"/>
              <w:spacing w:line="300" w:lineRule="auto"/>
              <w:ind w:left="0"/>
              <w:rPr>
                <w:rFonts w:ascii="Times New Roman" w:hAnsi="Times New Roman" w:eastAsia="宋体"/>
                <w:color w:val="auto"/>
                <w:sz w:val="24"/>
                <w:highlight w:val="none"/>
                <w:lang w:val="en-US" w:eastAsia="zh-CN"/>
              </w:rPr>
            </w:pPr>
          </w:p>
        </w:tc>
        <w:tc>
          <w:tcPr>
            <w:tcW w:w="1329" w:type="dxa"/>
            <w:vAlign w:val="center"/>
          </w:tcPr>
          <w:p w14:paraId="3362E6D6">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东侧新建出铁场除尘灰仓</w:t>
            </w:r>
          </w:p>
        </w:tc>
        <w:tc>
          <w:tcPr>
            <w:tcW w:w="1143" w:type="dxa"/>
            <w:vAlign w:val="center"/>
          </w:tcPr>
          <w:p w14:paraId="30E5FC29">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14.2</w:t>
            </w:r>
          </w:p>
        </w:tc>
        <w:tc>
          <w:tcPr>
            <w:tcW w:w="1284" w:type="dxa"/>
            <w:vAlign w:val="center"/>
          </w:tcPr>
          <w:p w14:paraId="51A308A4">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10</w:t>
            </w:r>
          </w:p>
        </w:tc>
        <w:tc>
          <w:tcPr>
            <w:tcW w:w="3144" w:type="dxa"/>
            <w:vAlign w:val="center"/>
          </w:tcPr>
          <w:p w14:paraId="22A05CAD">
            <w:pPr>
              <w:pStyle w:val="448"/>
              <w:shd w:val="clear"/>
              <w:spacing w:line="300" w:lineRule="auto"/>
              <w:ind w:left="0"/>
              <w:rPr>
                <w:rFonts w:ascii="Times New Roman" w:hAnsi="Times New Roman" w:eastAsia="宋体"/>
                <w:color w:val="auto"/>
                <w:sz w:val="24"/>
                <w:highlight w:val="none"/>
              </w:rPr>
            </w:pPr>
            <w:r>
              <w:rPr>
                <w:rFonts w:ascii="Times New Roman" w:hAnsi="Times New Roman" w:eastAsia="宋体"/>
                <w:color w:val="auto"/>
                <w:sz w:val="24"/>
                <w:highlight w:val="none"/>
              </w:rPr>
              <w:t>《建筑设计防火规范》第</w:t>
            </w:r>
            <w:r>
              <w:rPr>
                <w:rFonts w:hint="eastAsia" w:ascii="Times New Roman" w:hAnsi="Times New Roman" w:eastAsia="宋体"/>
                <w:color w:val="auto"/>
                <w:sz w:val="24"/>
                <w:highlight w:val="none"/>
              </w:rPr>
              <w:t>3.4.1</w:t>
            </w:r>
            <w:r>
              <w:rPr>
                <w:rFonts w:ascii="Times New Roman" w:hAnsi="Times New Roman" w:eastAsia="宋体"/>
                <w:color w:val="auto"/>
                <w:sz w:val="24"/>
                <w:highlight w:val="none"/>
              </w:rPr>
              <w:t>条</w:t>
            </w:r>
          </w:p>
        </w:tc>
      </w:tr>
      <w:tr w14:paraId="27680DDC">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622" w:type="dxa"/>
            <w:vMerge w:val="continue"/>
            <w:vAlign w:val="center"/>
          </w:tcPr>
          <w:p w14:paraId="5DA4FF27">
            <w:pPr>
              <w:pStyle w:val="448"/>
              <w:shd w:val="clear"/>
              <w:spacing w:line="300" w:lineRule="auto"/>
              <w:ind w:left="0"/>
              <w:rPr>
                <w:rFonts w:ascii="Times New Roman" w:hAnsi="Times New Roman" w:eastAsia="宋体"/>
                <w:color w:val="auto"/>
                <w:sz w:val="24"/>
                <w:highlight w:val="none"/>
                <w:lang w:val="en-US" w:eastAsia="zh-CN"/>
              </w:rPr>
            </w:pPr>
          </w:p>
        </w:tc>
        <w:tc>
          <w:tcPr>
            <w:tcW w:w="1329" w:type="dxa"/>
            <w:vAlign w:val="center"/>
          </w:tcPr>
          <w:p w14:paraId="1DFEE460">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西侧新建F1转运站</w:t>
            </w:r>
          </w:p>
        </w:tc>
        <w:tc>
          <w:tcPr>
            <w:tcW w:w="1143" w:type="dxa"/>
            <w:vAlign w:val="center"/>
          </w:tcPr>
          <w:p w14:paraId="2E07A8D3">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2.4</w:t>
            </w:r>
          </w:p>
        </w:tc>
        <w:tc>
          <w:tcPr>
            <w:tcW w:w="1284" w:type="dxa"/>
            <w:vAlign w:val="center"/>
          </w:tcPr>
          <w:p w14:paraId="32F28FCE">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不限</w:t>
            </w:r>
          </w:p>
        </w:tc>
        <w:tc>
          <w:tcPr>
            <w:tcW w:w="3144" w:type="dxa"/>
            <w:vAlign w:val="center"/>
          </w:tcPr>
          <w:p w14:paraId="75C3C6CD">
            <w:pPr>
              <w:pStyle w:val="448"/>
              <w:shd w:val="clear"/>
              <w:spacing w:line="300" w:lineRule="auto"/>
              <w:ind w:left="0"/>
              <w:rPr>
                <w:rFonts w:ascii="Times New Roman" w:hAnsi="Times New Roman" w:eastAsia="宋体"/>
                <w:color w:val="auto"/>
                <w:sz w:val="24"/>
                <w:highlight w:val="none"/>
              </w:rPr>
            </w:pPr>
            <w:r>
              <w:rPr>
                <w:rFonts w:ascii="Times New Roman" w:hAnsi="Times New Roman" w:eastAsia="宋体"/>
                <w:color w:val="auto"/>
                <w:sz w:val="24"/>
                <w:highlight w:val="none"/>
              </w:rPr>
              <w:t>《建筑设计防火规范》第</w:t>
            </w:r>
            <w:r>
              <w:rPr>
                <w:rFonts w:hint="eastAsia" w:ascii="Times New Roman" w:hAnsi="Times New Roman" w:eastAsia="宋体"/>
                <w:color w:val="auto"/>
                <w:sz w:val="24"/>
                <w:highlight w:val="none"/>
              </w:rPr>
              <w:t>3.4.1</w:t>
            </w:r>
            <w:r>
              <w:rPr>
                <w:rFonts w:ascii="Times New Roman" w:hAnsi="Times New Roman" w:eastAsia="宋体"/>
                <w:color w:val="auto"/>
                <w:sz w:val="24"/>
                <w:highlight w:val="none"/>
              </w:rPr>
              <w:t>条</w:t>
            </w:r>
          </w:p>
        </w:tc>
      </w:tr>
      <w:tr w14:paraId="013A0E9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622" w:type="dxa"/>
            <w:vMerge w:val="restart"/>
            <w:vAlign w:val="center"/>
          </w:tcPr>
          <w:p w14:paraId="21044276">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新建重力除尘灰仓</w:t>
            </w:r>
          </w:p>
        </w:tc>
        <w:tc>
          <w:tcPr>
            <w:tcW w:w="1329" w:type="dxa"/>
            <w:vAlign w:val="center"/>
          </w:tcPr>
          <w:p w14:paraId="3804CDD1">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西侧2#高炉干法除尘</w:t>
            </w:r>
          </w:p>
        </w:tc>
        <w:tc>
          <w:tcPr>
            <w:tcW w:w="1143" w:type="dxa"/>
            <w:vAlign w:val="center"/>
          </w:tcPr>
          <w:p w14:paraId="525C35A9">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9.7</w:t>
            </w:r>
          </w:p>
        </w:tc>
        <w:tc>
          <w:tcPr>
            <w:tcW w:w="1284" w:type="dxa"/>
            <w:vAlign w:val="center"/>
          </w:tcPr>
          <w:p w14:paraId="2647BE89">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不限</w:t>
            </w:r>
          </w:p>
        </w:tc>
        <w:tc>
          <w:tcPr>
            <w:tcW w:w="3144" w:type="dxa"/>
            <w:vAlign w:val="center"/>
          </w:tcPr>
          <w:p w14:paraId="49B63F03">
            <w:pPr>
              <w:pStyle w:val="448"/>
              <w:shd w:val="clear"/>
              <w:spacing w:line="300" w:lineRule="auto"/>
              <w:ind w:left="0"/>
              <w:rPr>
                <w:rFonts w:ascii="Times New Roman" w:hAnsi="Times New Roman" w:eastAsia="宋体"/>
                <w:color w:val="auto"/>
                <w:sz w:val="24"/>
                <w:highlight w:val="none"/>
              </w:rPr>
            </w:pPr>
            <w:r>
              <w:rPr>
                <w:rFonts w:ascii="Times New Roman" w:hAnsi="Times New Roman" w:eastAsia="宋体"/>
                <w:color w:val="auto"/>
                <w:sz w:val="24"/>
                <w:highlight w:val="none"/>
              </w:rPr>
              <w:t>《建筑设计防火规范》第</w:t>
            </w:r>
            <w:r>
              <w:rPr>
                <w:rFonts w:hint="eastAsia" w:ascii="Times New Roman" w:hAnsi="Times New Roman" w:eastAsia="宋体"/>
                <w:color w:val="auto"/>
                <w:sz w:val="24"/>
                <w:highlight w:val="none"/>
              </w:rPr>
              <w:t>3.4.1</w:t>
            </w:r>
            <w:r>
              <w:rPr>
                <w:rFonts w:ascii="Times New Roman" w:hAnsi="Times New Roman" w:eastAsia="宋体"/>
                <w:color w:val="auto"/>
                <w:sz w:val="24"/>
                <w:highlight w:val="none"/>
              </w:rPr>
              <w:t>条</w:t>
            </w:r>
          </w:p>
        </w:tc>
      </w:tr>
      <w:tr w14:paraId="39F552A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622" w:type="dxa"/>
            <w:vMerge w:val="continue"/>
            <w:vAlign w:val="center"/>
          </w:tcPr>
          <w:p w14:paraId="12D3BB01">
            <w:pPr>
              <w:pStyle w:val="448"/>
              <w:shd w:val="clear"/>
              <w:spacing w:line="300" w:lineRule="auto"/>
              <w:ind w:left="0"/>
              <w:rPr>
                <w:rFonts w:ascii="Times New Roman" w:hAnsi="Times New Roman" w:eastAsia="宋体"/>
                <w:color w:val="auto"/>
                <w:sz w:val="24"/>
                <w:highlight w:val="none"/>
                <w:lang w:val="en-US" w:eastAsia="zh-CN"/>
              </w:rPr>
            </w:pPr>
          </w:p>
        </w:tc>
        <w:tc>
          <w:tcPr>
            <w:tcW w:w="1329" w:type="dxa"/>
            <w:vAlign w:val="center"/>
          </w:tcPr>
          <w:p w14:paraId="5276F3F5">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东侧铁路线</w:t>
            </w:r>
          </w:p>
        </w:tc>
        <w:tc>
          <w:tcPr>
            <w:tcW w:w="1143" w:type="dxa"/>
            <w:vAlign w:val="center"/>
          </w:tcPr>
          <w:p w14:paraId="21597CCC">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4.0</w:t>
            </w:r>
          </w:p>
        </w:tc>
        <w:tc>
          <w:tcPr>
            <w:tcW w:w="1284" w:type="dxa"/>
            <w:vAlign w:val="center"/>
          </w:tcPr>
          <w:p w14:paraId="35074A7A">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3.5</w:t>
            </w:r>
          </w:p>
        </w:tc>
        <w:tc>
          <w:tcPr>
            <w:tcW w:w="3144" w:type="dxa"/>
            <w:vAlign w:val="center"/>
          </w:tcPr>
          <w:p w14:paraId="25512ED2">
            <w:pPr>
              <w:pStyle w:val="448"/>
              <w:shd w:val="clear"/>
              <w:spacing w:line="300" w:lineRule="auto"/>
              <w:ind w:left="0"/>
              <w:rPr>
                <w:rFonts w:ascii="Times New Roman" w:hAnsi="Times New Roman" w:eastAsia="宋体"/>
                <w:color w:val="auto"/>
                <w:sz w:val="24"/>
                <w:highlight w:val="none"/>
              </w:rPr>
            </w:pPr>
            <w:r>
              <w:rPr>
                <w:rFonts w:ascii="Times New Roman" w:hAnsi="Times New Roman" w:eastAsia="宋体"/>
                <w:color w:val="auto"/>
                <w:sz w:val="24"/>
                <w:highlight w:val="none"/>
              </w:rPr>
              <w:t>《钢铁企业总图运输设计规范》第</w:t>
            </w:r>
            <w:r>
              <w:rPr>
                <w:rFonts w:hint="eastAsia" w:ascii="Times New Roman" w:hAnsi="Times New Roman" w:eastAsia="宋体"/>
                <w:color w:val="auto"/>
                <w:sz w:val="24"/>
                <w:highlight w:val="none"/>
              </w:rPr>
              <w:t>11.6</w:t>
            </w:r>
            <w:r>
              <w:rPr>
                <w:rFonts w:ascii="Times New Roman" w:hAnsi="Times New Roman" w:eastAsia="宋体"/>
                <w:color w:val="auto"/>
                <w:sz w:val="24"/>
                <w:highlight w:val="none"/>
              </w:rPr>
              <w:t>条</w:t>
            </w:r>
          </w:p>
        </w:tc>
      </w:tr>
      <w:tr w14:paraId="5B584F7E">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622" w:type="dxa"/>
            <w:vMerge w:val="continue"/>
            <w:vAlign w:val="center"/>
          </w:tcPr>
          <w:p w14:paraId="31039988">
            <w:pPr>
              <w:pStyle w:val="448"/>
              <w:shd w:val="clear"/>
              <w:spacing w:line="300" w:lineRule="auto"/>
              <w:ind w:left="0"/>
              <w:rPr>
                <w:rFonts w:ascii="Times New Roman" w:hAnsi="Times New Roman" w:eastAsia="宋体"/>
                <w:color w:val="auto"/>
                <w:sz w:val="24"/>
                <w:highlight w:val="none"/>
                <w:lang w:val="en-US" w:eastAsia="zh-CN"/>
              </w:rPr>
            </w:pPr>
          </w:p>
        </w:tc>
        <w:tc>
          <w:tcPr>
            <w:tcW w:w="1329" w:type="dxa"/>
            <w:vAlign w:val="center"/>
          </w:tcPr>
          <w:p w14:paraId="56B9ED12">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北侧出铁场</w:t>
            </w:r>
          </w:p>
        </w:tc>
        <w:tc>
          <w:tcPr>
            <w:tcW w:w="1143" w:type="dxa"/>
            <w:vAlign w:val="center"/>
          </w:tcPr>
          <w:p w14:paraId="232BD433">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15.3</w:t>
            </w:r>
          </w:p>
        </w:tc>
        <w:tc>
          <w:tcPr>
            <w:tcW w:w="1284" w:type="dxa"/>
            <w:vAlign w:val="center"/>
          </w:tcPr>
          <w:p w14:paraId="32DB38E6">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10</w:t>
            </w:r>
          </w:p>
        </w:tc>
        <w:tc>
          <w:tcPr>
            <w:tcW w:w="3144" w:type="dxa"/>
            <w:vAlign w:val="center"/>
          </w:tcPr>
          <w:p w14:paraId="51603A17">
            <w:pPr>
              <w:pStyle w:val="448"/>
              <w:shd w:val="clear"/>
              <w:spacing w:line="300" w:lineRule="auto"/>
              <w:ind w:left="0"/>
              <w:rPr>
                <w:rFonts w:ascii="Times New Roman" w:hAnsi="Times New Roman" w:eastAsia="宋体"/>
                <w:color w:val="auto"/>
                <w:sz w:val="24"/>
                <w:highlight w:val="none"/>
              </w:rPr>
            </w:pPr>
            <w:r>
              <w:rPr>
                <w:rFonts w:ascii="Times New Roman" w:hAnsi="Times New Roman" w:eastAsia="宋体"/>
                <w:color w:val="auto"/>
                <w:sz w:val="24"/>
                <w:highlight w:val="none"/>
              </w:rPr>
              <w:t>《建筑设计防火规范》第</w:t>
            </w:r>
            <w:r>
              <w:rPr>
                <w:rFonts w:hint="eastAsia" w:ascii="Times New Roman" w:hAnsi="Times New Roman" w:eastAsia="宋体"/>
                <w:color w:val="auto"/>
                <w:sz w:val="24"/>
                <w:highlight w:val="none"/>
              </w:rPr>
              <w:t>3.4.1</w:t>
            </w:r>
            <w:r>
              <w:rPr>
                <w:rFonts w:ascii="Times New Roman" w:hAnsi="Times New Roman" w:eastAsia="宋体"/>
                <w:color w:val="auto"/>
                <w:sz w:val="24"/>
                <w:highlight w:val="none"/>
              </w:rPr>
              <w:t>条</w:t>
            </w:r>
          </w:p>
        </w:tc>
      </w:tr>
      <w:tr w14:paraId="579A6AB1">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622" w:type="dxa"/>
            <w:vAlign w:val="center"/>
          </w:tcPr>
          <w:p w14:paraId="01787D1F">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新增150m³/h冷却塔</w:t>
            </w:r>
          </w:p>
        </w:tc>
        <w:tc>
          <w:tcPr>
            <w:tcW w:w="1329" w:type="dxa"/>
            <w:vAlign w:val="center"/>
          </w:tcPr>
          <w:p w14:paraId="2F2047A9">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西侧450m³/h冷却塔</w:t>
            </w:r>
          </w:p>
        </w:tc>
        <w:tc>
          <w:tcPr>
            <w:tcW w:w="1143" w:type="dxa"/>
            <w:vAlign w:val="center"/>
          </w:tcPr>
          <w:p w14:paraId="1D1B8C28">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7.8</w:t>
            </w:r>
          </w:p>
        </w:tc>
        <w:tc>
          <w:tcPr>
            <w:tcW w:w="1284" w:type="dxa"/>
            <w:vAlign w:val="center"/>
          </w:tcPr>
          <w:p w14:paraId="708DBFB5">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不限</w:t>
            </w:r>
          </w:p>
        </w:tc>
        <w:tc>
          <w:tcPr>
            <w:tcW w:w="3144" w:type="dxa"/>
            <w:vAlign w:val="center"/>
          </w:tcPr>
          <w:p w14:paraId="013001A8">
            <w:pPr>
              <w:pStyle w:val="448"/>
              <w:shd w:val="clear"/>
              <w:spacing w:line="300" w:lineRule="auto"/>
              <w:ind w:left="0"/>
              <w:rPr>
                <w:rFonts w:ascii="Times New Roman" w:hAnsi="Times New Roman" w:eastAsia="宋体"/>
                <w:color w:val="auto"/>
                <w:sz w:val="24"/>
                <w:highlight w:val="none"/>
                <w:lang w:val="en-US" w:eastAsia="zh-CN"/>
              </w:rPr>
            </w:pPr>
            <w:r>
              <w:rPr>
                <w:rFonts w:ascii="Times New Roman" w:hAnsi="Times New Roman" w:eastAsia="宋体"/>
                <w:color w:val="auto"/>
                <w:sz w:val="24"/>
                <w:highlight w:val="none"/>
              </w:rPr>
              <w:t>《建筑设计防火规范》第</w:t>
            </w:r>
            <w:r>
              <w:rPr>
                <w:rFonts w:hint="eastAsia" w:ascii="Times New Roman" w:hAnsi="Times New Roman" w:eastAsia="宋体"/>
                <w:color w:val="auto"/>
                <w:sz w:val="24"/>
                <w:highlight w:val="none"/>
              </w:rPr>
              <w:t>3.4.1</w:t>
            </w:r>
            <w:r>
              <w:rPr>
                <w:rFonts w:ascii="Times New Roman" w:hAnsi="Times New Roman" w:eastAsia="宋体"/>
                <w:color w:val="auto"/>
                <w:sz w:val="24"/>
                <w:highlight w:val="none"/>
              </w:rPr>
              <w:t>条</w:t>
            </w:r>
          </w:p>
        </w:tc>
      </w:tr>
      <w:tr w14:paraId="630ACFC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622" w:type="dxa"/>
            <w:vMerge w:val="restart"/>
            <w:vAlign w:val="center"/>
          </w:tcPr>
          <w:p w14:paraId="7FD57555">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新增450m³/h冷却塔</w:t>
            </w:r>
          </w:p>
        </w:tc>
        <w:tc>
          <w:tcPr>
            <w:tcW w:w="1329" w:type="dxa"/>
            <w:vAlign w:val="center"/>
          </w:tcPr>
          <w:p w14:paraId="305EF2F5">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东侧150m³/h冷却塔</w:t>
            </w:r>
          </w:p>
        </w:tc>
        <w:tc>
          <w:tcPr>
            <w:tcW w:w="1143" w:type="dxa"/>
            <w:vAlign w:val="center"/>
          </w:tcPr>
          <w:p w14:paraId="18C80178">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7.8</w:t>
            </w:r>
          </w:p>
        </w:tc>
        <w:tc>
          <w:tcPr>
            <w:tcW w:w="1284" w:type="dxa"/>
            <w:vAlign w:val="center"/>
          </w:tcPr>
          <w:p w14:paraId="563DD8EF">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不限</w:t>
            </w:r>
          </w:p>
        </w:tc>
        <w:tc>
          <w:tcPr>
            <w:tcW w:w="3144" w:type="dxa"/>
            <w:vAlign w:val="center"/>
          </w:tcPr>
          <w:p w14:paraId="38C76F87">
            <w:pPr>
              <w:pStyle w:val="448"/>
              <w:shd w:val="clear"/>
              <w:spacing w:line="300" w:lineRule="auto"/>
              <w:ind w:left="0"/>
              <w:rPr>
                <w:rFonts w:ascii="Times New Roman" w:hAnsi="Times New Roman" w:eastAsia="宋体"/>
                <w:color w:val="auto"/>
                <w:sz w:val="24"/>
                <w:highlight w:val="none"/>
                <w:lang w:val="en-US" w:eastAsia="zh-CN"/>
              </w:rPr>
            </w:pPr>
            <w:r>
              <w:rPr>
                <w:rFonts w:ascii="Times New Roman" w:hAnsi="Times New Roman" w:eastAsia="宋体"/>
                <w:color w:val="auto"/>
                <w:sz w:val="24"/>
                <w:highlight w:val="none"/>
              </w:rPr>
              <w:t>《建筑设计防火规范》第</w:t>
            </w:r>
            <w:r>
              <w:rPr>
                <w:rFonts w:hint="eastAsia" w:ascii="Times New Roman" w:hAnsi="Times New Roman" w:eastAsia="宋体"/>
                <w:color w:val="auto"/>
                <w:sz w:val="24"/>
                <w:highlight w:val="none"/>
              </w:rPr>
              <w:t>3.4.1</w:t>
            </w:r>
            <w:r>
              <w:rPr>
                <w:rFonts w:ascii="Times New Roman" w:hAnsi="Times New Roman" w:eastAsia="宋体"/>
                <w:color w:val="auto"/>
                <w:sz w:val="24"/>
                <w:highlight w:val="none"/>
              </w:rPr>
              <w:t>条</w:t>
            </w:r>
          </w:p>
        </w:tc>
      </w:tr>
      <w:tr w14:paraId="5F04C955">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622" w:type="dxa"/>
            <w:vMerge w:val="continue"/>
            <w:vAlign w:val="center"/>
          </w:tcPr>
          <w:p w14:paraId="0C0E801C">
            <w:pPr>
              <w:pStyle w:val="448"/>
              <w:shd w:val="clear"/>
              <w:spacing w:line="300" w:lineRule="auto"/>
              <w:ind w:left="0"/>
              <w:rPr>
                <w:rFonts w:ascii="Times New Roman" w:hAnsi="Times New Roman" w:eastAsia="宋体"/>
                <w:color w:val="auto"/>
                <w:sz w:val="24"/>
                <w:highlight w:val="none"/>
                <w:lang w:val="en-US" w:eastAsia="zh-CN"/>
              </w:rPr>
            </w:pPr>
          </w:p>
        </w:tc>
        <w:tc>
          <w:tcPr>
            <w:tcW w:w="1329" w:type="dxa"/>
            <w:vAlign w:val="center"/>
          </w:tcPr>
          <w:p w14:paraId="429359EA">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北侧净环冷却塔</w:t>
            </w:r>
          </w:p>
        </w:tc>
        <w:tc>
          <w:tcPr>
            <w:tcW w:w="1143" w:type="dxa"/>
            <w:vAlign w:val="center"/>
          </w:tcPr>
          <w:p w14:paraId="790A0656">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7.4</w:t>
            </w:r>
          </w:p>
        </w:tc>
        <w:tc>
          <w:tcPr>
            <w:tcW w:w="1284" w:type="dxa"/>
            <w:vAlign w:val="center"/>
          </w:tcPr>
          <w:p w14:paraId="1F89CD6F">
            <w:pPr>
              <w:pStyle w:val="448"/>
              <w:shd w:val="clear"/>
              <w:spacing w:line="300" w:lineRule="auto"/>
              <w:ind w:left="0"/>
              <w:rPr>
                <w:rFonts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不限</w:t>
            </w:r>
          </w:p>
        </w:tc>
        <w:tc>
          <w:tcPr>
            <w:tcW w:w="3144" w:type="dxa"/>
            <w:vAlign w:val="center"/>
          </w:tcPr>
          <w:p w14:paraId="60907646">
            <w:pPr>
              <w:pStyle w:val="448"/>
              <w:shd w:val="clear"/>
              <w:spacing w:line="300" w:lineRule="auto"/>
              <w:ind w:left="0"/>
              <w:rPr>
                <w:rFonts w:ascii="Times New Roman" w:hAnsi="Times New Roman" w:eastAsia="宋体"/>
                <w:color w:val="auto"/>
                <w:sz w:val="24"/>
                <w:highlight w:val="none"/>
                <w:lang w:val="en-US" w:eastAsia="zh-CN"/>
              </w:rPr>
            </w:pPr>
            <w:r>
              <w:rPr>
                <w:rFonts w:ascii="Times New Roman" w:hAnsi="Times New Roman" w:eastAsia="宋体"/>
                <w:color w:val="auto"/>
                <w:sz w:val="24"/>
                <w:highlight w:val="none"/>
              </w:rPr>
              <w:t>《建筑设计防火规范》第</w:t>
            </w:r>
            <w:r>
              <w:rPr>
                <w:rFonts w:hint="eastAsia" w:ascii="Times New Roman" w:hAnsi="Times New Roman" w:eastAsia="宋体"/>
                <w:color w:val="auto"/>
                <w:sz w:val="24"/>
                <w:highlight w:val="none"/>
              </w:rPr>
              <w:t>3.4.1</w:t>
            </w:r>
            <w:r>
              <w:rPr>
                <w:rFonts w:ascii="Times New Roman" w:hAnsi="Times New Roman" w:eastAsia="宋体"/>
                <w:color w:val="auto"/>
                <w:sz w:val="24"/>
                <w:highlight w:val="none"/>
              </w:rPr>
              <w:t>条</w:t>
            </w:r>
          </w:p>
        </w:tc>
      </w:tr>
    </w:tbl>
    <w:p w14:paraId="19B4DEE5">
      <w:pPr>
        <w:shd w:val="clear"/>
        <w:jc w:val="both"/>
        <w:rPr>
          <w:rFonts w:ascii="Times New Roman" w:hAnsi="Times New Roman" w:cs="Times New Roman"/>
          <w:color w:val="auto"/>
          <w:highlight w:val="none"/>
        </w:rPr>
      </w:pPr>
      <w:r>
        <w:rPr>
          <w:rFonts w:ascii="Times New Roman" w:hAnsi="Times New Roman" w:cs="Times New Roman"/>
          <w:color w:val="auto"/>
          <w:highlight w:val="none"/>
        </w:rPr>
        <w:t>3）消防通道</w:t>
      </w:r>
      <w:r>
        <w:rPr>
          <w:rFonts w:hint="eastAsia" w:ascii="Times New Roman" w:hAnsi="Times New Roman" w:cs="Times New Roman"/>
          <w:color w:val="auto"/>
          <w:highlight w:val="none"/>
        </w:rPr>
        <w:t>及室外消防设施</w:t>
      </w:r>
    </w:p>
    <w:p w14:paraId="5C298B64">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本工程位于现有厂区内，只新建车间引道及对出铁场除尘西侧原有道路进行重新铺筑，新建道路转弯半径不小于12m，满足大型消防救援车辆快速通行的要求。厂区现有道路相互连通，且</w:t>
      </w:r>
      <w:r>
        <w:rPr>
          <w:rFonts w:ascii="Times New Roman" w:hAnsi="Times New Roman" w:cs="Times New Roman"/>
          <w:color w:val="auto"/>
          <w:kern w:val="0"/>
          <w:szCs w:val="22"/>
          <w:highlight w:val="none"/>
          <w:lang w:bidi="zh-CN"/>
        </w:rPr>
        <w:t>厂区内</w:t>
      </w:r>
      <w:r>
        <w:rPr>
          <w:rFonts w:hint="eastAsia" w:ascii="Times New Roman" w:hAnsi="Times New Roman" w:cs="Times New Roman"/>
          <w:color w:val="auto"/>
          <w:kern w:val="0"/>
          <w:szCs w:val="22"/>
          <w:highlight w:val="none"/>
          <w:lang w:bidi="zh-CN"/>
        </w:rPr>
        <w:t>现有</w:t>
      </w:r>
      <w:r>
        <w:rPr>
          <w:rFonts w:ascii="Times New Roman" w:hAnsi="Times New Roman" w:cs="Times New Roman"/>
          <w:color w:val="auto"/>
          <w:kern w:val="0"/>
          <w:szCs w:val="22"/>
          <w:highlight w:val="none"/>
          <w:lang w:bidi="zh-CN"/>
        </w:rPr>
        <w:t>道路</w:t>
      </w:r>
      <w:r>
        <w:rPr>
          <w:rFonts w:hint="eastAsia" w:ascii="Times New Roman" w:hAnsi="Times New Roman" w:cs="Times New Roman"/>
          <w:color w:val="auto"/>
          <w:kern w:val="0"/>
          <w:szCs w:val="22"/>
          <w:highlight w:val="none"/>
          <w:lang w:bidi="zh-CN"/>
        </w:rPr>
        <w:t>宽度≥4m，满足消防车道要求，可</w:t>
      </w:r>
      <w:r>
        <w:rPr>
          <w:rFonts w:ascii="Times New Roman" w:hAnsi="Times New Roman" w:cs="Times New Roman"/>
          <w:color w:val="auto"/>
          <w:kern w:val="0"/>
          <w:szCs w:val="22"/>
          <w:highlight w:val="none"/>
          <w:lang w:bidi="zh-CN"/>
        </w:rPr>
        <w:t>兼作消防车道</w:t>
      </w:r>
      <w:r>
        <w:rPr>
          <w:rFonts w:hint="eastAsia" w:ascii="Times New Roman" w:hAnsi="Times New Roman" w:cs="Times New Roman"/>
          <w:color w:val="auto"/>
          <w:kern w:val="0"/>
          <w:szCs w:val="22"/>
          <w:highlight w:val="none"/>
          <w:lang w:bidi="zh-CN"/>
        </w:rPr>
        <w:t>。</w:t>
      </w:r>
      <w:r>
        <w:rPr>
          <w:rFonts w:ascii="Times New Roman" w:hAnsi="Times New Roman" w:cs="Times New Roman"/>
          <w:color w:val="auto"/>
          <w:kern w:val="0"/>
          <w:szCs w:val="22"/>
          <w:highlight w:val="none"/>
          <w:lang w:bidi="zh-CN"/>
        </w:rPr>
        <w:t>沿道路设置</w:t>
      </w:r>
      <w:r>
        <w:rPr>
          <w:rFonts w:hint="eastAsia" w:ascii="Times New Roman" w:hAnsi="Times New Roman" w:cs="Times New Roman"/>
          <w:color w:val="auto"/>
          <w:kern w:val="0"/>
          <w:szCs w:val="22"/>
          <w:highlight w:val="none"/>
          <w:lang w:bidi="zh-CN"/>
        </w:rPr>
        <w:t>的</w:t>
      </w:r>
      <w:r>
        <w:rPr>
          <w:rFonts w:hint="eastAsia" w:ascii="Times New Roman" w:hAnsi="Times New Roman" w:cs="Times New Roman"/>
          <w:color w:val="auto"/>
          <w:kern w:val="0"/>
          <w:szCs w:val="22"/>
          <w:highlight w:val="none"/>
          <w:lang w:val="en-US" w:bidi="zh-CN"/>
        </w:rPr>
        <w:t>利旧</w:t>
      </w:r>
      <w:r>
        <w:rPr>
          <w:rFonts w:ascii="Times New Roman" w:hAnsi="Times New Roman" w:cs="Times New Roman"/>
          <w:color w:val="auto"/>
          <w:kern w:val="0"/>
          <w:szCs w:val="22"/>
          <w:highlight w:val="none"/>
          <w:lang w:bidi="zh-CN"/>
        </w:rPr>
        <w:t>消火栓满足消防要求。本工程位于酒钢现有厂区内，遵循酒钢现有的消防管辖关系。</w:t>
      </w:r>
    </w:p>
    <w:p w14:paraId="39D80659">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本工程为原地改造项目，建设内容均在原有系统范围内改造，没有新增绿地及占用现有绿地。</w:t>
      </w:r>
    </w:p>
    <w:p w14:paraId="5C2F5C96">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本工程位于酒钢现有厂区内，遵循酒钢现有的消防管辖关系。</w:t>
      </w:r>
    </w:p>
    <w:bookmarkEnd w:id="1840"/>
    <w:p w14:paraId="00BFA611">
      <w:pPr>
        <w:keepNext/>
        <w:keepLines/>
        <w:numPr>
          <w:ilvl w:val="2"/>
          <w:numId w:val="0"/>
        </w:numPr>
        <w:shd w:val="clear"/>
        <w:adjustRightInd w:val="0"/>
        <w:spacing w:before="120"/>
        <w:textAlignment w:val="baseline"/>
        <w:outlineLvl w:val="2"/>
        <w:rPr>
          <w:rFonts w:ascii="Times New Roman" w:hAnsi="Times New Roman" w:cs="Times New Roman"/>
          <w:bCs/>
          <w:color w:val="auto"/>
          <w:highlight w:val="none"/>
        </w:rPr>
      </w:pPr>
      <w:bookmarkStart w:id="1841" w:name="_Hlk152605353"/>
      <w:r>
        <w:rPr>
          <w:rFonts w:hint="eastAsia" w:ascii="Times New Roman" w:hAnsi="Times New Roman" w:cs="Times New Roman"/>
          <w:bCs/>
          <w:color w:val="auto"/>
          <w:highlight w:val="none"/>
        </w:rPr>
        <w:t>18.5.2 建筑防火设计</w:t>
      </w:r>
    </w:p>
    <w:p w14:paraId="1A5456F7">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本工程建筑物根据生产火灾危险性分类，严格按照相关安全规程规定，采用相应耐火等级进行建筑设计。</w:t>
      </w:r>
    </w:p>
    <w:p w14:paraId="6CE5C3DC">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各建筑物的耐火等级不低于二级，其中变压器室耐火等级为一级。</w:t>
      </w:r>
    </w:p>
    <w:p w14:paraId="5F37D376">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本次高炉改造，新建建筑物满足最新规范《建筑防火通用规范》（GB 55037-2022）的相关要求。</w:t>
      </w:r>
    </w:p>
    <w:p w14:paraId="0048C936">
      <w:pPr>
        <w:shd w:val="clear"/>
        <w:autoSpaceDE w:val="0"/>
        <w:autoSpaceDN w:val="0"/>
        <w:rPr>
          <w:rFonts w:ascii="Times New Roman" w:hAnsi="Times New Roman" w:cs="Times New Roman"/>
          <w:color w:val="auto"/>
          <w:kern w:val="0"/>
          <w:szCs w:val="22"/>
          <w:highlight w:val="none"/>
          <w:lang w:bidi="zh-CN"/>
        </w:rPr>
      </w:pPr>
      <w:bookmarkStart w:id="1842" w:name="_Hlk152604956"/>
      <w:r>
        <w:rPr>
          <w:rFonts w:hint="eastAsia" w:ascii="Times New Roman" w:hAnsi="Times New Roman" w:cs="Times New Roman"/>
          <w:color w:val="auto"/>
          <w:kern w:val="0"/>
          <w:szCs w:val="22"/>
          <w:highlight w:val="none"/>
          <w:lang w:bidi="zh-CN"/>
        </w:rPr>
        <w:t>新建</w:t>
      </w:r>
      <w:r>
        <w:rPr>
          <w:rFonts w:ascii="Times New Roman" w:hAnsi="Times New Roman" w:cs="Times New Roman"/>
          <w:color w:val="auto"/>
          <w:kern w:val="0"/>
          <w:szCs w:val="22"/>
          <w:highlight w:val="none"/>
          <w:lang w:bidi="zh-CN"/>
        </w:rPr>
        <w:t>建筑物的防火分区最大允许占地面积是按《</w:t>
      </w:r>
      <w:r>
        <w:rPr>
          <w:rFonts w:hint="eastAsia" w:ascii="Times New Roman" w:hAnsi="Times New Roman" w:cs="Times New Roman"/>
          <w:color w:val="auto"/>
          <w:kern w:val="0"/>
          <w:szCs w:val="22"/>
          <w:highlight w:val="none"/>
          <w:lang w:bidi="zh-CN"/>
        </w:rPr>
        <w:t>建筑防火通用规范</w:t>
      </w:r>
      <w:r>
        <w:rPr>
          <w:rFonts w:ascii="Times New Roman" w:hAnsi="Times New Roman" w:cs="Times New Roman"/>
          <w:color w:val="auto"/>
          <w:kern w:val="0"/>
          <w:szCs w:val="22"/>
          <w:highlight w:val="none"/>
          <w:lang w:bidi="zh-CN"/>
        </w:rPr>
        <w:t>》和《</w:t>
      </w:r>
      <w:r>
        <w:rPr>
          <w:rFonts w:hint="eastAsia" w:ascii="Times New Roman" w:hAnsi="Times New Roman" w:cs="Times New Roman"/>
          <w:color w:val="auto"/>
          <w:kern w:val="0"/>
          <w:szCs w:val="22"/>
          <w:highlight w:val="none"/>
          <w:lang w:bidi="zh-CN"/>
        </w:rPr>
        <w:t>钢铁冶金企业设计防火标准</w:t>
      </w:r>
      <w:r>
        <w:rPr>
          <w:rFonts w:ascii="Times New Roman" w:hAnsi="Times New Roman" w:cs="Times New Roman"/>
          <w:color w:val="auto"/>
          <w:kern w:val="0"/>
          <w:szCs w:val="22"/>
          <w:highlight w:val="none"/>
          <w:lang w:bidi="zh-CN"/>
        </w:rPr>
        <w:t>》的有关规定进行</w:t>
      </w:r>
      <w:r>
        <w:rPr>
          <w:rFonts w:hint="eastAsia" w:ascii="Times New Roman" w:hAnsi="Times New Roman" w:cs="Times New Roman"/>
          <w:color w:val="auto"/>
          <w:kern w:val="0"/>
          <w:szCs w:val="22"/>
          <w:highlight w:val="none"/>
          <w:lang w:bidi="zh-CN"/>
        </w:rPr>
        <w:t>分类</w:t>
      </w:r>
      <w:r>
        <w:rPr>
          <w:rFonts w:ascii="Times New Roman" w:hAnsi="Times New Roman" w:cs="Times New Roman"/>
          <w:color w:val="auto"/>
          <w:kern w:val="0"/>
          <w:szCs w:val="22"/>
          <w:highlight w:val="none"/>
          <w:lang w:bidi="zh-CN"/>
        </w:rPr>
        <w:t>设计</w:t>
      </w:r>
      <w:r>
        <w:rPr>
          <w:rFonts w:hint="eastAsia" w:ascii="Times New Roman" w:hAnsi="Times New Roman" w:cs="Times New Roman"/>
          <w:color w:val="auto"/>
          <w:kern w:val="0"/>
          <w:szCs w:val="22"/>
          <w:highlight w:val="none"/>
          <w:lang w:bidi="zh-CN"/>
        </w:rPr>
        <w:t>，均不超过4000m</w:t>
      </w:r>
      <w:r>
        <w:rPr>
          <w:rFonts w:hint="eastAsia" w:ascii="Times New Roman" w:hAnsi="Times New Roman" w:cs="Times New Roman"/>
          <w:color w:val="auto"/>
          <w:kern w:val="0"/>
          <w:szCs w:val="22"/>
          <w:highlight w:val="none"/>
          <w:vertAlign w:val="superscript"/>
          <w:lang w:bidi="zh-CN"/>
        </w:rPr>
        <w:t>2</w:t>
      </w:r>
      <w:r>
        <w:rPr>
          <w:rFonts w:hint="eastAsia" w:ascii="Times New Roman" w:hAnsi="Times New Roman" w:cs="Times New Roman"/>
          <w:color w:val="auto"/>
          <w:kern w:val="0"/>
          <w:szCs w:val="22"/>
          <w:highlight w:val="none"/>
          <w:lang w:bidi="zh-CN"/>
        </w:rPr>
        <w:t>。</w:t>
      </w:r>
    </w:p>
    <w:p w14:paraId="37062FF5">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建筑物的安全疏散按《</w:t>
      </w:r>
      <w:r>
        <w:rPr>
          <w:rFonts w:hint="eastAsia" w:ascii="Times New Roman" w:hAnsi="Times New Roman" w:cs="Times New Roman"/>
          <w:color w:val="auto"/>
          <w:kern w:val="0"/>
          <w:szCs w:val="22"/>
          <w:highlight w:val="none"/>
          <w:lang w:bidi="zh-CN"/>
        </w:rPr>
        <w:t>建筑防火通用规范</w:t>
      </w:r>
      <w:r>
        <w:rPr>
          <w:rFonts w:ascii="Times New Roman" w:hAnsi="Times New Roman" w:cs="Times New Roman"/>
          <w:color w:val="auto"/>
          <w:kern w:val="0"/>
          <w:szCs w:val="22"/>
          <w:highlight w:val="none"/>
          <w:lang w:bidi="zh-CN"/>
        </w:rPr>
        <w:t>》的有关规定进行设计</w:t>
      </w:r>
      <w:r>
        <w:rPr>
          <w:rFonts w:hint="eastAsia" w:ascii="Times New Roman" w:hAnsi="Times New Roman" w:cs="Times New Roman"/>
          <w:color w:val="auto"/>
          <w:kern w:val="0"/>
          <w:szCs w:val="22"/>
          <w:highlight w:val="none"/>
          <w:lang w:bidi="zh-CN"/>
        </w:rPr>
        <w:t>，</w:t>
      </w:r>
      <w:r>
        <w:rPr>
          <w:rFonts w:hint="eastAsia" w:ascii="Times New Roman" w:hAnsi="Times New Roman" w:cs="Times New Roman"/>
          <w:color w:val="auto"/>
          <w:kern w:val="0"/>
          <w:szCs w:val="22"/>
          <w:highlight w:val="none"/>
          <w:lang w:eastAsia="zh-CN" w:bidi="zh-CN"/>
        </w:rPr>
        <w:t>新增</w:t>
      </w:r>
      <w:r>
        <w:rPr>
          <w:rFonts w:hint="eastAsia" w:ascii="Times New Roman" w:hAnsi="Times New Roman" w:cs="Times New Roman"/>
          <w:color w:val="auto"/>
          <w:kern w:val="0"/>
          <w:szCs w:val="22"/>
          <w:highlight w:val="none"/>
          <w:lang w:bidi="zh-CN"/>
        </w:rPr>
        <w:t>电气室安全出口不少于2个，其余新增丁、戊建筑因建筑面积均不大于400㎡，设置不少于1个安全出口</w:t>
      </w:r>
      <w:r>
        <w:rPr>
          <w:rFonts w:ascii="Times New Roman" w:hAnsi="Times New Roman" w:cs="Times New Roman"/>
          <w:color w:val="auto"/>
          <w:kern w:val="0"/>
          <w:szCs w:val="22"/>
          <w:highlight w:val="none"/>
          <w:lang w:bidi="zh-CN"/>
        </w:rPr>
        <w:t>。</w:t>
      </w:r>
    </w:p>
    <w:p w14:paraId="4F153A48">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建筑内部装</w:t>
      </w:r>
      <w:r>
        <w:rPr>
          <w:rFonts w:hint="eastAsia" w:ascii="Times New Roman" w:hAnsi="Times New Roman" w:cs="Times New Roman"/>
          <w:color w:val="auto"/>
          <w:kern w:val="0"/>
          <w:szCs w:val="22"/>
          <w:highlight w:val="none"/>
          <w:lang w:bidi="zh-CN"/>
        </w:rPr>
        <w:t>均采用不燃材料，满足</w:t>
      </w:r>
      <w:r>
        <w:rPr>
          <w:rFonts w:ascii="Times New Roman" w:hAnsi="Times New Roman" w:cs="Times New Roman"/>
          <w:color w:val="auto"/>
          <w:kern w:val="0"/>
          <w:szCs w:val="22"/>
          <w:highlight w:val="none"/>
          <w:lang w:bidi="zh-CN"/>
        </w:rPr>
        <w:t>修遵照《</w:t>
      </w:r>
      <w:r>
        <w:rPr>
          <w:rFonts w:hint="eastAsia" w:ascii="Times New Roman" w:hAnsi="Times New Roman" w:cs="Times New Roman"/>
          <w:color w:val="auto"/>
          <w:kern w:val="0"/>
          <w:szCs w:val="22"/>
          <w:highlight w:val="none"/>
          <w:lang w:bidi="zh-CN"/>
        </w:rPr>
        <w:t>建筑防火通用规范</w:t>
      </w:r>
      <w:r>
        <w:rPr>
          <w:rFonts w:ascii="Times New Roman" w:hAnsi="Times New Roman" w:cs="Times New Roman"/>
          <w:color w:val="auto"/>
          <w:kern w:val="0"/>
          <w:szCs w:val="22"/>
          <w:highlight w:val="none"/>
          <w:lang w:bidi="zh-CN"/>
        </w:rPr>
        <w:t>》、《建筑内部装修设计防火规范》有关规定进行设计。</w:t>
      </w:r>
    </w:p>
    <w:p w14:paraId="05B976D3">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配电室采用防火门，消防控制室等采用防火门。</w:t>
      </w:r>
    </w:p>
    <w:p w14:paraId="0FA11987">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操作室、电气室、液压站等各建筑物的门均为向外开启</w:t>
      </w:r>
      <w:bookmarkEnd w:id="1842"/>
      <w:r>
        <w:rPr>
          <w:rFonts w:hint="eastAsia" w:ascii="Times New Roman" w:hAnsi="Times New Roman" w:cs="Times New Roman"/>
          <w:color w:val="auto"/>
          <w:kern w:val="0"/>
          <w:szCs w:val="22"/>
          <w:highlight w:val="none"/>
          <w:lang w:bidi="zh-CN"/>
        </w:rPr>
        <w:t>。</w:t>
      </w:r>
    </w:p>
    <w:p w14:paraId="62F7A1F1">
      <w:pPr>
        <w:shd w:val="clear"/>
        <w:ind w:firstLine="0" w:firstLineChars="0"/>
        <w:outlineLvl w:val="3"/>
        <w:rPr>
          <w:rFonts w:ascii="Times New Roman" w:hAnsi="Times New Roman" w:cs="Times New Roman"/>
          <w:color w:val="auto"/>
          <w:highlight w:val="none"/>
        </w:rPr>
      </w:pPr>
      <w:r>
        <w:rPr>
          <w:rFonts w:hint="eastAsia" w:ascii="Times New Roman" w:hAnsi="Times New Roman" w:cs="Times New Roman"/>
          <w:color w:val="auto"/>
          <w:highlight w:val="none"/>
        </w:rPr>
        <w:t>1</w:t>
      </w:r>
      <w:r>
        <w:rPr>
          <w:rFonts w:ascii="Times New Roman" w:hAnsi="Times New Roman" w:cs="Times New Roman"/>
          <w:color w:val="auto"/>
          <w:highlight w:val="none"/>
        </w:rPr>
        <w:t>8.5.2.1 火灾危险性分类、耐火等级</w:t>
      </w:r>
    </w:p>
    <w:p w14:paraId="70C31F99">
      <w:pPr>
        <w:shd w:val="clear"/>
        <w:autoSpaceDE w:val="0"/>
        <w:autoSpaceDN w:val="0"/>
        <w:rPr>
          <w:rFonts w:ascii="Times New Roman" w:hAnsi="Times New Roman" w:cs="Times New Roman"/>
          <w:color w:val="auto"/>
          <w:kern w:val="0"/>
          <w:szCs w:val="22"/>
          <w:highlight w:val="none"/>
          <w:lang w:bidi="zh-CN"/>
        </w:rPr>
      </w:pPr>
      <w:bookmarkStart w:id="1843" w:name="_Hlk152605011"/>
      <w:r>
        <w:rPr>
          <w:rFonts w:hint="eastAsia" w:ascii="Times New Roman" w:hAnsi="Times New Roman" w:cs="Times New Roman"/>
          <w:color w:val="auto"/>
          <w:kern w:val="0"/>
          <w:szCs w:val="22"/>
          <w:highlight w:val="none"/>
          <w:lang w:bidi="zh-CN"/>
        </w:rPr>
        <w:t>本工程建筑物的火灾危险性分类、耐火等级是按《建筑防火通用规范》、《建规》第3.1节和《钢铁冶金企业设计防火标准》的条文说明第3节的有关规定进行分类。</w:t>
      </w:r>
    </w:p>
    <w:p w14:paraId="46A8AB25">
      <w:pPr>
        <w:shd w:val="clear"/>
        <w:ind w:firstLine="0" w:firstLineChars="0"/>
        <w:jc w:val="center"/>
        <w:rPr>
          <w:rFonts w:cs="Times New Roman"/>
          <w:bCs/>
          <w:color w:val="auto"/>
          <w:highlight w:val="none"/>
        </w:rPr>
      </w:pPr>
      <w:r>
        <w:rPr>
          <w:rFonts w:hint="eastAsia" w:cs="Times New Roman"/>
          <w:bCs/>
          <w:color w:val="auto"/>
          <w:highlight w:val="none"/>
        </w:rPr>
        <w:t>表1</w:t>
      </w:r>
      <w:r>
        <w:rPr>
          <w:rFonts w:cs="Times New Roman"/>
          <w:bCs/>
          <w:color w:val="auto"/>
          <w:highlight w:val="none"/>
        </w:rPr>
        <w:t>8-2  新增</w:t>
      </w:r>
      <w:r>
        <w:rPr>
          <w:rFonts w:hint="eastAsia" w:cs="Times New Roman"/>
          <w:bCs/>
          <w:color w:val="auto"/>
          <w:highlight w:val="none"/>
        </w:rPr>
        <w:t>的</w:t>
      </w:r>
      <w:r>
        <w:rPr>
          <w:rFonts w:cs="Times New Roman"/>
          <w:bCs/>
          <w:color w:val="auto"/>
          <w:highlight w:val="none"/>
        </w:rPr>
        <w:t>建筑物的火灾危险性分类、耐火等级</w:t>
      </w:r>
    </w:p>
    <w:tbl>
      <w:tblPr>
        <w:tblStyle w:val="60"/>
        <w:tblW w:w="885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52"/>
        <w:gridCol w:w="1246"/>
        <w:gridCol w:w="1453"/>
        <w:gridCol w:w="897"/>
        <w:gridCol w:w="850"/>
        <w:gridCol w:w="426"/>
        <w:gridCol w:w="708"/>
        <w:gridCol w:w="567"/>
        <w:gridCol w:w="478"/>
        <w:gridCol w:w="478"/>
        <w:gridCol w:w="1101"/>
      </w:tblGrid>
      <w:tr w14:paraId="6611CC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vAlign w:val="center"/>
          </w:tcPr>
          <w:p w14:paraId="03122CE6">
            <w:pPr>
              <w:shd w:val="clear"/>
              <w:spacing w:line="240" w:lineRule="auto"/>
              <w:ind w:firstLine="0" w:firstLineChars="0"/>
              <w:jc w:val="center"/>
              <w:rPr>
                <w:rFonts w:ascii="Times New Roman" w:hAnsi="Times New Roman"/>
                <w:color w:val="auto"/>
                <w:sz w:val="21"/>
                <w:szCs w:val="21"/>
                <w:highlight w:val="none"/>
              </w:rPr>
            </w:pPr>
            <w:r>
              <w:rPr>
                <w:color w:val="auto"/>
                <w:sz w:val="21"/>
                <w:szCs w:val="20"/>
                <w:highlight w:val="none"/>
              </w:rPr>
              <w:t>序号</w:t>
            </w:r>
          </w:p>
        </w:tc>
        <w:tc>
          <w:tcPr>
            <w:tcW w:w="1246" w:type="dxa"/>
            <w:vMerge w:val="restart"/>
            <w:tcBorders>
              <w:top w:val="single" w:color="000000" w:sz="4" w:space="0"/>
              <w:left w:val="nil"/>
              <w:bottom w:val="single" w:color="000000" w:sz="4" w:space="0"/>
              <w:right w:val="single" w:color="000000" w:sz="4" w:space="0"/>
            </w:tcBorders>
            <w:vAlign w:val="center"/>
          </w:tcPr>
          <w:p w14:paraId="63B4AA95">
            <w:pPr>
              <w:shd w:val="clear"/>
              <w:spacing w:line="240" w:lineRule="auto"/>
              <w:ind w:firstLine="0" w:firstLineChars="0"/>
              <w:jc w:val="center"/>
              <w:rPr>
                <w:rFonts w:ascii="Times New Roman" w:hAnsi="Times New Roman"/>
                <w:color w:val="auto"/>
                <w:sz w:val="21"/>
                <w:szCs w:val="20"/>
                <w:highlight w:val="none"/>
              </w:rPr>
            </w:pPr>
            <w:r>
              <w:rPr>
                <w:color w:val="auto"/>
                <w:sz w:val="21"/>
                <w:szCs w:val="20"/>
                <w:highlight w:val="none"/>
              </w:rPr>
              <w:t>名称</w:t>
            </w:r>
          </w:p>
        </w:tc>
        <w:tc>
          <w:tcPr>
            <w:tcW w:w="1453" w:type="dxa"/>
            <w:tcBorders>
              <w:top w:val="single" w:color="000000" w:sz="4" w:space="0"/>
              <w:left w:val="nil"/>
              <w:bottom w:val="single" w:color="000000" w:sz="4" w:space="0"/>
              <w:right w:val="single" w:color="000000" w:sz="4" w:space="0"/>
            </w:tcBorders>
            <w:vAlign w:val="center"/>
          </w:tcPr>
          <w:p w14:paraId="668F31F2">
            <w:pPr>
              <w:shd w:val="clear"/>
              <w:spacing w:line="240" w:lineRule="auto"/>
              <w:ind w:firstLine="0" w:firstLineChars="0"/>
              <w:jc w:val="center"/>
              <w:rPr>
                <w:rFonts w:ascii="Times New Roman" w:hAnsi="Times New Roman"/>
                <w:color w:val="auto"/>
                <w:sz w:val="21"/>
                <w:szCs w:val="20"/>
                <w:highlight w:val="none"/>
              </w:rPr>
            </w:pPr>
            <w:r>
              <w:rPr>
                <w:color w:val="auto"/>
                <w:sz w:val="21"/>
                <w:szCs w:val="20"/>
                <w:highlight w:val="none"/>
              </w:rPr>
              <w:t>平面尺寸</w:t>
            </w:r>
          </w:p>
        </w:tc>
        <w:tc>
          <w:tcPr>
            <w:tcW w:w="897" w:type="dxa"/>
            <w:vMerge w:val="restart"/>
            <w:tcBorders>
              <w:top w:val="single" w:color="000000" w:sz="4" w:space="0"/>
              <w:left w:val="nil"/>
              <w:bottom w:val="single" w:color="000000" w:sz="4" w:space="0"/>
              <w:right w:val="single" w:color="000000" w:sz="4" w:space="0"/>
            </w:tcBorders>
            <w:vAlign w:val="center"/>
          </w:tcPr>
          <w:p w14:paraId="62175D0D">
            <w:pPr>
              <w:shd w:val="clear"/>
              <w:spacing w:line="240" w:lineRule="auto"/>
              <w:ind w:firstLine="0" w:firstLineChars="0"/>
              <w:jc w:val="center"/>
              <w:rPr>
                <w:rFonts w:ascii="Times New Roman" w:hAnsi="Times New Roman"/>
                <w:color w:val="auto"/>
                <w:sz w:val="21"/>
                <w:szCs w:val="20"/>
                <w:highlight w:val="none"/>
              </w:rPr>
            </w:pPr>
            <w:r>
              <w:rPr>
                <w:rFonts w:hint="eastAsia"/>
                <w:color w:val="auto"/>
                <w:sz w:val="21"/>
                <w:szCs w:val="20"/>
                <w:highlight w:val="none"/>
              </w:rPr>
              <w:t>占地</w:t>
            </w:r>
            <w:r>
              <w:rPr>
                <w:color w:val="auto"/>
                <w:sz w:val="21"/>
                <w:szCs w:val="20"/>
                <w:highlight w:val="none"/>
              </w:rPr>
              <w:t>面积</w:t>
            </w:r>
            <w:r>
              <w:rPr>
                <w:rFonts w:ascii="Times New Roman" w:hAnsi="Times New Roman"/>
                <w:color w:val="auto"/>
                <w:sz w:val="21"/>
                <w:szCs w:val="20"/>
                <w:highlight w:val="none"/>
              </w:rPr>
              <w:t>(m</w:t>
            </w:r>
            <w:r>
              <w:rPr>
                <w:rFonts w:ascii="Times New Roman" w:hAnsi="Times New Roman"/>
                <w:color w:val="auto"/>
                <w:sz w:val="21"/>
                <w:szCs w:val="20"/>
                <w:highlight w:val="none"/>
                <w:vertAlign w:val="superscript"/>
              </w:rPr>
              <w:t>2</w:t>
            </w:r>
            <w:r>
              <w:rPr>
                <w:rFonts w:ascii="Times New Roman" w:hAnsi="Times New Roman"/>
                <w:color w:val="auto"/>
                <w:sz w:val="21"/>
                <w:szCs w:val="20"/>
                <w:highlight w:val="none"/>
              </w:rPr>
              <w:t>)</w:t>
            </w:r>
          </w:p>
        </w:tc>
        <w:tc>
          <w:tcPr>
            <w:tcW w:w="850" w:type="dxa"/>
            <w:vMerge w:val="restart"/>
            <w:tcBorders>
              <w:top w:val="single" w:color="000000" w:sz="4" w:space="0"/>
              <w:left w:val="nil"/>
              <w:bottom w:val="single" w:color="000000" w:sz="4" w:space="0"/>
              <w:right w:val="single" w:color="000000" w:sz="4" w:space="0"/>
            </w:tcBorders>
            <w:vAlign w:val="center"/>
          </w:tcPr>
          <w:p w14:paraId="7B23427C">
            <w:pPr>
              <w:shd w:val="clear"/>
              <w:spacing w:line="240" w:lineRule="auto"/>
              <w:ind w:firstLine="0" w:firstLineChars="0"/>
              <w:rPr>
                <w:rFonts w:ascii="Times New Roman" w:hAnsi="Times New Roman"/>
                <w:color w:val="auto"/>
                <w:sz w:val="21"/>
                <w:szCs w:val="20"/>
                <w:highlight w:val="none"/>
              </w:rPr>
            </w:pPr>
            <w:r>
              <w:rPr>
                <w:rFonts w:hint="eastAsia"/>
                <w:color w:val="auto"/>
                <w:sz w:val="21"/>
                <w:szCs w:val="20"/>
                <w:highlight w:val="none"/>
              </w:rPr>
              <w:t>建筑</w:t>
            </w:r>
            <w:r>
              <w:rPr>
                <w:color w:val="auto"/>
                <w:sz w:val="21"/>
                <w:szCs w:val="20"/>
                <w:highlight w:val="none"/>
              </w:rPr>
              <w:t>面积</w:t>
            </w:r>
            <w:r>
              <w:rPr>
                <w:rFonts w:ascii="Times New Roman" w:hAnsi="Times New Roman"/>
                <w:color w:val="auto"/>
                <w:sz w:val="21"/>
                <w:szCs w:val="20"/>
                <w:highlight w:val="none"/>
              </w:rPr>
              <w:t>(m</w:t>
            </w:r>
            <w:r>
              <w:rPr>
                <w:rFonts w:ascii="Times New Roman" w:hAnsi="Times New Roman"/>
                <w:color w:val="auto"/>
                <w:sz w:val="21"/>
                <w:szCs w:val="20"/>
                <w:highlight w:val="none"/>
                <w:vertAlign w:val="superscript"/>
              </w:rPr>
              <w:t>2</w:t>
            </w:r>
            <w:r>
              <w:rPr>
                <w:rFonts w:ascii="Times New Roman" w:hAnsi="Times New Roman"/>
                <w:color w:val="auto"/>
                <w:sz w:val="21"/>
                <w:szCs w:val="20"/>
                <w:highlight w:val="none"/>
              </w:rPr>
              <w:t>)</w:t>
            </w:r>
          </w:p>
        </w:tc>
        <w:tc>
          <w:tcPr>
            <w:tcW w:w="426" w:type="dxa"/>
            <w:vMerge w:val="restart"/>
            <w:tcBorders>
              <w:top w:val="single" w:color="000000" w:sz="4" w:space="0"/>
              <w:left w:val="nil"/>
              <w:bottom w:val="single" w:color="000000" w:sz="4" w:space="0"/>
              <w:right w:val="single" w:color="000000" w:sz="4" w:space="0"/>
            </w:tcBorders>
            <w:vAlign w:val="center"/>
          </w:tcPr>
          <w:p w14:paraId="74427B8A">
            <w:pPr>
              <w:shd w:val="clear"/>
              <w:spacing w:line="240" w:lineRule="auto"/>
              <w:ind w:firstLine="0" w:firstLineChars="0"/>
              <w:jc w:val="center"/>
              <w:rPr>
                <w:rFonts w:ascii="Times New Roman" w:hAnsi="Times New Roman"/>
                <w:color w:val="auto"/>
                <w:sz w:val="21"/>
                <w:szCs w:val="20"/>
                <w:highlight w:val="none"/>
              </w:rPr>
            </w:pPr>
            <w:r>
              <w:rPr>
                <w:color w:val="auto"/>
                <w:sz w:val="21"/>
                <w:szCs w:val="20"/>
                <w:highlight w:val="none"/>
              </w:rPr>
              <w:t>层数</w:t>
            </w:r>
          </w:p>
        </w:tc>
        <w:tc>
          <w:tcPr>
            <w:tcW w:w="708" w:type="dxa"/>
            <w:vMerge w:val="restart"/>
            <w:tcBorders>
              <w:top w:val="single" w:color="000000" w:sz="4" w:space="0"/>
              <w:left w:val="nil"/>
              <w:bottom w:val="single" w:color="000000" w:sz="4" w:space="0"/>
              <w:right w:val="single" w:color="000000" w:sz="4" w:space="0"/>
            </w:tcBorders>
            <w:vAlign w:val="center"/>
          </w:tcPr>
          <w:p w14:paraId="2165CB44">
            <w:pPr>
              <w:shd w:val="clear"/>
              <w:spacing w:line="240" w:lineRule="auto"/>
              <w:ind w:firstLine="0" w:firstLineChars="0"/>
              <w:jc w:val="center"/>
              <w:rPr>
                <w:rFonts w:ascii="Times New Roman" w:hAnsi="Times New Roman"/>
                <w:color w:val="auto"/>
                <w:sz w:val="21"/>
                <w:szCs w:val="20"/>
                <w:highlight w:val="none"/>
              </w:rPr>
            </w:pPr>
            <w:r>
              <w:rPr>
                <w:color w:val="auto"/>
                <w:sz w:val="21"/>
                <w:szCs w:val="20"/>
                <w:highlight w:val="none"/>
              </w:rPr>
              <w:t>檐口标高</w:t>
            </w:r>
          </w:p>
        </w:tc>
        <w:tc>
          <w:tcPr>
            <w:tcW w:w="567" w:type="dxa"/>
            <w:vMerge w:val="restart"/>
            <w:tcBorders>
              <w:top w:val="single" w:color="000000" w:sz="4" w:space="0"/>
              <w:left w:val="nil"/>
              <w:bottom w:val="single" w:color="000000" w:sz="4" w:space="0"/>
              <w:right w:val="single" w:color="000000" w:sz="4" w:space="0"/>
            </w:tcBorders>
            <w:vAlign w:val="center"/>
          </w:tcPr>
          <w:p w14:paraId="08505E11">
            <w:pPr>
              <w:shd w:val="clear"/>
              <w:spacing w:line="240" w:lineRule="auto"/>
              <w:ind w:firstLine="0" w:firstLineChars="0"/>
              <w:jc w:val="center"/>
              <w:rPr>
                <w:rFonts w:ascii="Times New Roman" w:hAnsi="Times New Roman"/>
                <w:color w:val="auto"/>
                <w:sz w:val="21"/>
                <w:szCs w:val="20"/>
                <w:highlight w:val="none"/>
              </w:rPr>
            </w:pPr>
            <w:r>
              <w:rPr>
                <w:color w:val="auto"/>
                <w:sz w:val="21"/>
                <w:szCs w:val="20"/>
                <w:highlight w:val="none"/>
              </w:rPr>
              <w:t>火灾危险性分类</w:t>
            </w:r>
          </w:p>
        </w:tc>
        <w:tc>
          <w:tcPr>
            <w:tcW w:w="478" w:type="dxa"/>
            <w:vMerge w:val="restart"/>
            <w:tcBorders>
              <w:top w:val="single" w:color="000000" w:sz="4" w:space="0"/>
              <w:left w:val="nil"/>
              <w:right w:val="single" w:color="000000" w:sz="4" w:space="0"/>
            </w:tcBorders>
            <w:vAlign w:val="center"/>
          </w:tcPr>
          <w:p w14:paraId="7B05B5C8">
            <w:pPr>
              <w:shd w:val="clear"/>
              <w:spacing w:line="240" w:lineRule="auto"/>
              <w:ind w:firstLine="0" w:firstLineChars="0"/>
              <w:jc w:val="center"/>
              <w:rPr>
                <w:color w:val="auto"/>
                <w:sz w:val="21"/>
                <w:szCs w:val="20"/>
                <w:highlight w:val="none"/>
              </w:rPr>
            </w:pPr>
            <w:r>
              <w:rPr>
                <w:rFonts w:hint="eastAsia"/>
                <w:color w:val="auto"/>
                <w:sz w:val="21"/>
                <w:szCs w:val="20"/>
                <w:highlight w:val="none"/>
              </w:rPr>
              <w:t>燃烧性能</w:t>
            </w:r>
          </w:p>
        </w:tc>
        <w:tc>
          <w:tcPr>
            <w:tcW w:w="478" w:type="dxa"/>
            <w:vMerge w:val="restart"/>
            <w:tcBorders>
              <w:top w:val="single" w:color="000000" w:sz="4" w:space="0"/>
              <w:left w:val="nil"/>
              <w:bottom w:val="single" w:color="000000" w:sz="4" w:space="0"/>
              <w:right w:val="single" w:color="000000" w:sz="4" w:space="0"/>
            </w:tcBorders>
            <w:vAlign w:val="center"/>
          </w:tcPr>
          <w:p w14:paraId="058368F9">
            <w:pPr>
              <w:shd w:val="clear"/>
              <w:spacing w:line="240" w:lineRule="auto"/>
              <w:ind w:firstLine="0" w:firstLineChars="0"/>
              <w:jc w:val="center"/>
              <w:rPr>
                <w:rFonts w:ascii="Times New Roman" w:hAnsi="Times New Roman"/>
                <w:color w:val="auto"/>
                <w:sz w:val="21"/>
                <w:szCs w:val="20"/>
                <w:highlight w:val="none"/>
              </w:rPr>
            </w:pPr>
            <w:r>
              <w:rPr>
                <w:color w:val="auto"/>
                <w:sz w:val="21"/>
                <w:szCs w:val="20"/>
                <w:highlight w:val="none"/>
              </w:rPr>
              <w:t>耐火等级</w:t>
            </w:r>
          </w:p>
        </w:tc>
        <w:tc>
          <w:tcPr>
            <w:tcW w:w="1101" w:type="dxa"/>
            <w:vMerge w:val="restart"/>
            <w:tcBorders>
              <w:top w:val="single" w:color="000000" w:sz="4" w:space="0"/>
              <w:left w:val="nil"/>
              <w:bottom w:val="single" w:color="000000" w:sz="4" w:space="0"/>
              <w:right w:val="single" w:color="000000" w:sz="4" w:space="0"/>
            </w:tcBorders>
            <w:vAlign w:val="center"/>
          </w:tcPr>
          <w:p w14:paraId="30EE0CCC">
            <w:pPr>
              <w:shd w:val="clear"/>
              <w:spacing w:line="240" w:lineRule="auto"/>
              <w:ind w:firstLine="0" w:firstLineChars="0"/>
              <w:jc w:val="center"/>
              <w:rPr>
                <w:rFonts w:ascii="Times New Roman" w:hAnsi="Times New Roman"/>
                <w:color w:val="auto"/>
                <w:sz w:val="21"/>
                <w:szCs w:val="20"/>
                <w:highlight w:val="none"/>
              </w:rPr>
            </w:pPr>
            <w:r>
              <w:rPr>
                <w:color w:val="auto"/>
                <w:sz w:val="21"/>
                <w:szCs w:val="20"/>
                <w:highlight w:val="none"/>
              </w:rPr>
              <w:t>结构类</w:t>
            </w:r>
            <w:r>
              <w:rPr>
                <w:rFonts w:ascii="Times New Roman" w:hAnsi="Times New Roman"/>
                <w:color w:val="auto"/>
                <w:sz w:val="21"/>
                <w:szCs w:val="20"/>
                <w:highlight w:val="none"/>
              </w:rPr>
              <w:t xml:space="preserve">  </w:t>
            </w:r>
            <w:r>
              <w:rPr>
                <w:color w:val="auto"/>
                <w:sz w:val="21"/>
                <w:szCs w:val="20"/>
                <w:highlight w:val="none"/>
              </w:rPr>
              <w:t>型</w:t>
            </w:r>
          </w:p>
        </w:tc>
      </w:tr>
      <w:tr w14:paraId="3FAEB2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vAlign w:val="center"/>
          </w:tcPr>
          <w:p w14:paraId="3A26C740">
            <w:pPr>
              <w:widowControl/>
              <w:shd w:val="clear"/>
              <w:spacing w:line="240" w:lineRule="auto"/>
              <w:ind w:firstLine="0" w:firstLineChars="0"/>
              <w:rPr>
                <w:rFonts w:ascii="Times New Roman" w:hAnsi="Times New Roman"/>
                <w:color w:val="auto"/>
                <w:sz w:val="21"/>
                <w:szCs w:val="21"/>
                <w:highlight w:val="none"/>
              </w:rPr>
            </w:pPr>
          </w:p>
        </w:tc>
        <w:tc>
          <w:tcPr>
            <w:tcW w:w="1246" w:type="dxa"/>
            <w:vMerge w:val="continue"/>
            <w:tcBorders>
              <w:top w:val="single" w:color="000000" w:sz="4" w:space="0"/>
              <w:left w:val="nil"/>
              <w:bottom w:val="single" w:color="000000" w:sz="4" w:space="0"/>
              <w:right w:val="single" w:color="000000" w:sz="4" w:space="0"/>
            </w:tcBorders>
            <w:vAlign w:val="center"/>
          </w:tcPr>
          <w:p w14:paraId="7CAC554A">
            <w:pPr>
              <w:widowControl/>
              <w:shd w:val="clear"/>
              <w:spacing w:line="240" w:lineRule="auto"/>
              <w:ind w:firstLine="0" w:firstLineChars="0"/>
              <w:rPr>
                <w:rFonts w:ascii="Times New Roman" w:hAnsi="Times New Roman"/>
                <w:color w:val="auto"/>
                <w:sz w:val="21"/>
                <w:szCs w:val="21"/>
                <w:highlight w:val="none"/>
              </w:rPr>
            </w:pPr>
          </w:p>
        </w:tc>
        <w:tc>
          <w:tcPr>
            <w:tcW w:w="1453" w:type="dxa"/>
            <w:tcBorders>
              <w:top w:val="single" w:color="000000" w:sz="4" w:space="0"/>
              <w:left w:val="nil"/>
              <w:bottom w:val="single" w:color="000000" w:sz="4" w:space="0"/>
              <w:right w:val="single" w:color="000000" w:sz="4" w:space="0"/>
            </w:tcBorders>
            <w:vAlign w:val="center"/>
          </w:tcPr>
          <w:p w14:paraId="4576CCC5">
            <w:pPr>
              <w:shd w:val="clear"/>
              <w:spacing w:line="240" w:lineRule="auto"/>
              <w:ind w:firstLine="0" w:firstLineChars="0"/>
              <w:jc w:val="center"/>
              <w:rPr>
                <w:rFonts w:ascii="Times New Roman" w:hAnsi="Times New Roman"/>
                <w:color w:val="auto"/>
                <w:sz w:val="21"/>
                <w:szCs w:val="20"/>
                <w:highlight w:val="none"/>
              </w:rPr>
            </w:pPr>
            <w:r>
              <w:rPr>
                <w:color w:val="auto"/>
                <w:sz w:val="21"/>
                <w:szCs w:val="20"/>
                <w:highlight w:val="none"/>
              </w:rPr>
              <w:t>（长</w:t>
            </w:r>
            <w:r>
              <w:rPr>
                <w:rFonts w:ascii="Times New Roman" w:hAnsi="Times New Roman"/>
                <w:color w:val="auto"/>
                <w:sz w:val="21"/>
                <w:szCs w:val="20"/>
                <w:highlight w:val="none"/>
              </w:rPr>
              <w:t>×</w:t>
            </w:r>
            <w:r>
              <w:rPr>
                <w:color w:val="auto"/>
                <w:sz w:val="21"/>
                <w:szCs w:val="20"/>
                <w:highlight w:val="none"/>
              </w:rPr>
              <w:t>宽）</w:t>
            </w:r>
            <w:r>
              <w:rPr>
                <w:rFonts w:ascii="Times New Roman" w:hAnsi="Times New Roman"/>
                <w:color w:val="auto"/>
                <w:sz w:val="21"/>
                <w:szCs w:val="20"/>
                <w:highlight w:val="none"/>
              </w:rPr>
              <w:t>m</w:t>
            </w:r>
          </w:p>
        </w:tc>
        <w:tc>
          <w:tcPr>
            <w:tcW w:w="897" w:type="dxa"/>
            <w:vMerge w:val="continue"/>
            <w:tcBorders>
              <w:top w:val="single" w:color="000000" w:sz="4" w:space="0"/>
              <w:left w:val="nil"/>
              <w:bottom w:val="single" w:color="000000" w:sz="4" w:space="0"/>
              <w:right w:val="single" w:color="000000" w:sz="4" w:space="0"/>
            </w:tcBorders>
            <w:vAlign w:val="center"/>
          </w:tcPr>
          <w:p w14:paraId="53B89765">
            <w:pPr>
              <w:widowControl/>
              <w:shd w:val="clear"/>
              <w:spacing w:line="240" w:lineRule="auto"/>
              <w:ind w:firstLine="0" w:firstLineChars="0"/>
              <w:rPr>
                <w:rFonts w:ascii="Times New Roman" w:hAnsi="Times New Roman"/>
                <w:color w:val="auto"/>
                <w:sz w:val="21"/>
                <w:szCs w:val="21"/>
                <w:highlight w:val="none"/>
              </w:rPr>
            </w:pPr>
          </w:p>
        </w:tc>
        <w:tc>
          <w:tcPr>
            <w:tcW w:w="850" w:type="dxa"/>
            <w:vMerge w:val="continue"/>
            <w:tcBorders>
              <w:top w:val="single" w:color="000000" w:sz="4" w:space="0"/>
              <w:left w:val="nil"/>
              <w:bottom w:val="single" w:color="000000" w:sz="4" w:space="0"/>
              <w:right w:val="single" w:color="000000" w:sz="4" w:space="0"/>
            </w:tcBorders>
            <w:vAlign w:val="center"/>
          </w:tcPr>
          <w:p w14:paraId="413E42DB">
            <w:pPr>
              <w:widowControl/>
              <w:shd w:val="clear"/>
              <w:spacing w:line="240" w:lineRule="auto"/>
              <w:ind w:firstLine="0" w:firstLineChars="0"/>
              <w:rPr>
                <w:rFonts w:ascii="Times New Roman" w:hAnsi="Times New Roman"/>
                <w:color w:val="auto"/>
                <w:sz w:val="21"/>
                <w:szCs w:val="21"/>
                <w:highlight w:val="none"/>
              </w:rPr>
            </w:pPr>
          </w:p>
        </w:tc>
        <w:tc>
          <w:tcPr>
            <w:tcW w:w="426" w:type="dxa"/>
            <w:vMerge w:val="continue"/>
            <w:tcBorders>
              <w:top w:val="single" w:color="000000" w:sz="4" w:space="0"/>
              <w:left w:val="nil"/>
              <w:bottom w:val="single" w:color="000000" w:sz="4" w:space="0"/>
              <w:right w:val="single" w:color="000000" w:sz="4" w:space="0"/>
            </w:tcBorders>
            <w:vAlign w:val="center"/>
          </w:tcPr>
          <w:p w14:paraId="03FC39D1">
            <w:pPr>
              <w:widowControl/>
              <w:shd w:val="clear"/>
              <w:spacing w:line="240" w:lineRule="auto"/>
              <w:ind w:firstLine="0" w:firstLineChars="0"/>
              <w:rPr>
                <w:rFonts w:ascii="Times New Roman" w:hAnsi="Times New Roman"/>
                <w:color w:val="auto"/>
                <w:sz w:val="21"/>
                <w:szCs w:val="21"/>
                <w:highlight w:val="none"/>
              </w:rPr>
            </w:pPr>
          </w:p>
        </w:tc>
        <w:tc>
          <w:tcPr>
            <w:tcW w:w="708" w:type="dxa"/>
            <w:vMerge w:val="continue"/>
            <w:tcBorders>
              <w:top w:val="single" w:color="000000" w:sz="4" w:space="0"/>
              <w:left w:val="nil"/>
              <w:bottom w:val="single" w:color="000000" w:sz="4" w:space="0"/>
              <w:right w:val="single" w:color="000000" w:sz="4" w:space="0"/>
            </w:tcBorders>
            <w:vAlign w:val="center"/>
          </w:tcPr>
          <w:p w14:paraId="6EFCCF12">
            <w:pPr>
              <w:widowControl/>
              <w:shd w:val="clear"/>
              <w:spacing w:line="240" w:lineRule="auto"/>
              <w:ind w:firstLine="0" w:firstLineChars="0"/>
              <w:rPr>
                <w:rFonts w:ascii="Times New Roman" w:hAnsi="Times New Roman"/>
                <w:color w:val="auto"/>
                <w:sz w:val="21"/>
                <w:szCs w:val="21"/>
                <w:highlight w:val="none"/>
              </w:rPr>
            </w:pPr>
          </w:p>
        </w:tc>
        <w:tc>
          <w:tcPr>
            <w:tcW w:w="567" w:type="dxa"/>
            <w:vMerge w:val="continue"/>
            <w:tcBorders>
              <w:top w:val="single" w:color="000000" w:sz="4" w:space="0"/>
              <w:left w:val="nil"/>
              <w:bottom w:val="single" w:color="000000" w:sz="4" w:space="0"/>
              <w:right w:val="single" w:color="000000" w:sz="4" w:space="0"/>
            </w:tcBorders>
            <w:vAlign w:val="center"/>
          </w:tcPr>
          <w:p w14:paraId="161DBFA4">
            <w:pPr>
              <w:widowControl/>
              <w:shd w:val="clear"/>
              <w:spacing w:line="240" w:lineRule="auto"/>
              <w:ind w:firstLine="0" w:firstLineChars="0"/>
              <w:rPr>
                <w:rFonts w:ascii="Times New Roman" w:hAnsi="Times New Roman"/>
                <w:color w:val="auto"/>
                <w:sz w:val="21"/>
                <w:szCs w:val="21"/>
                <w:highlight w:val="none"/>
              </w:rPr>
            </w:pPr>
          </w:p>
        </w:tc>
        <w:tc>
          <w:tcPr>
            <w:tcW w:w="478" w:type="dxa"/>
            <w:vMerge w:val="continue"/>
            <w:tcBorders>
              <w:left w:val="nil"/>
              <w:bottom w:val="single" w:color="000000" w:sz="4" w:space="0"/>
              <w:right w:val="single" w:color="000000" w:sz="4" w:space="0"/>
            </w:tcBorders>
            <w:vAlign w:val="center"/>
          </w:tcPr>
          <w:p w14:paraId="1AD7335E">
            <w:pPr>
              <w:widowControl/>
              <w:shd w:val="clear"/>
              <w:spacing w:line="240" w:lineRule="auto"/>
              <w:ind w:firstLine="0" w:firstLineChars="0"/>
              <w:rPr>
                <w:rFonts w:ascii="Times New Roman" w:hAnsi="Times New Roman"/>
                <w:color w:val="auto"/>
                <w:sz w:val="21"/>
                <w:szCs w:val="21"/>
                <w:highlight w:val="none"/>
              </w:rPr>
            </w:pPr>
          </w:p>
        </w:tc>
        <w:tc>
          <w:tcPr>
            <w:tcW w:w="478" w:type="dxa"/>
            <w:vMerge w:val="continue"/>
            <w:tcBorders>
              <w:top w:val="single" w:color="000000" w:sz="4" w:space="0"/>
              <w:left w:val="nil"/>
              <w:bottom w:val="single" w:color="000000" w:sz="4" w:space="0"/>
              <w:right w:val="single" w:color="000000" w:sz="4" w:space="0"/>
            </w:tcBorders>
            <w:vAlign w:val="center"/>
          </w:tcPr>
          <w:p w14:paraId="2433D6FB">
            <w:pPr>
              <w:widowControl/>
              <w:shd w:val="clear"/>
              <w:spacing w:line="240" w:lineRule="auto"/>
              <w:ind w:firstLine="0" w:firstLineChars="0"/>
              <w:rPr>
                <w:rFonts w:ascii="Times New Roman" w:hAnsi="Times New Roman"/>
                <w:color w:val="auto"/>
                <w:sz w:val="21"/>
                <w:szCs w:val="21"/>
                <w:highlight w:val="none"/>
              </w:rPr>
            </w:pPr>
          </w:p>
        </w:tc>
        <w:tc>
          <w:tcPr>
            <w:tcW w:w="1101" w:type="dxa"/>
            <w:vMerge w:val="continue"/>
            <w:tcBorders>
              <w:top w:val="single" w:color="000000" w:sz="4" w:space="0"/>
              <w:left w:val="nil"/>
              <w:bottom w:val="single" w:color="000000" w:sz="4" w:space="0"/>
              <w:right w:val="single" w:color="000000" w:sz="4" w:space="0"/>
            </w:tcBorders>
            <w:vAlign w:val="center"/>
          </w:tcPr>
          <w:p w14:paraId="6BC15FBC">
            <w:pPr>
              <w:widowControl/>
              <w:shd w:val="clear"/>
              <w:spacing w:line="240" w:lineRule="auto"/>
              <w:ind w:firstLine="0" w:firstLineChars="0"/>
              <w:rPr>
                <w:rFonts w:ascii="Times New Roman" w:hAnsi="Times New Roman"/>
                <w:color w:val="auto"/>
                <w:sz w:val="21"/>
                <w:szCs w:val="21"/>
                <w:highlight w:val="none"/>
              </w:rPr>
            </w:pPr>
          </w:p>
        </w:tc>
      </w:tr>
      <w:tr w14:paraId="004C1B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52" w:type="dxa"/>
            <w:tcBorders>
              <w:top w:val="single" w:color="000000" w:sz="4" w:space="0"/>
              <w:left w:val="single" w:color="000000" w:sz="4" w:space="0"/>
              <w:bottom w:val="single" w:color="000000" w:sz="4" w:space="0"/>
              <w:right w:val="single" w:color="000000" w:sz="4" w:space="0"/>
            </w:tcBorders>
            <w:vAlign w:val="center"/>
          </w:tcPr>
          <w:p w14:paraId="0F710D06">
            <w:pPr>
              <w:shd w:val="clear"/>
              <w:spacing w:line="240" w:lineRule="auto"/>
              <w:ind w:firstLine="0" w:firstLineChars="0"/>
              <w:jc w:val="center"/>
              <w:rPr>
                <w:rFonts w:ascii="Times New Roman" w:hAnsi="Times New Roman"/>
                <w:color w:val="auto"/>
                <w:sz w:val="21"/>
                <w:szCs w:val="20"/>
                <w:highlight w:val="none"/>
              </w:rPr>
            </w:pPr>
            <w:r>
              <w:rPr>
                <w:rFonts w:ascii="Times New Roman" w:hAnsi="Times New Roman"/>
                <w:color w:val="auto"/>
                <w:sz w:val="21"/>
                <w:szCs w:val="20"/>
                <w:highlight w:val="none"/>
              </w:rPr>
              <w:t>1</w:t>
            </w:r>
          </w:p>
        </w:tc>
        <w:tc>
          <w:tcPr>
            <w:tcW w:w="1246" w:type="dxa"/>
            <w:tcBorders>
              <w:top w:val="single" w:color="000000" w:sz="4" w:space="0"/>
              <w:left w:val="nil"/>
              <w:bottom w:val="single" w:color="000000" w:sz="4" w:space="0"/>
              <w:right w:val="single" w:color="000000" w:sz="4" w:space="0"/>
            </w:tcBorders>
            <w:vAlign w:val="center"/>
          </w:tcPr>
          <w:p w14:paraId="06DE2846">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炉前液压操作室</w:t>
            </w:r>
          </w:p>
        </w:tc>
        <w:tc>
          <w:tcPr>
            <w:tcW w:w="1453" w:type="dxa"/>
            <w:tcBorders>
              <w:top w:val="single" w:color="000000" w:sz="4" w:space="0"/>
              <w:left w:val="nil"/>
              <w:bottom w:val="single" w:color="000000" w:sz="4" w:space="0"/>
              <w:right w:val="single" w:color="000000" w:sz="4" w:space="0"/>
            </w:tcBorders>
            <w:vAlign w:val="center"/>
          </w:tcPr>
          <w:p w14:paraId="74A50CD8">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4.2</w:t>
            </w:r>
            <w:r>
              <w:rPr>
                <w:rFonts w:ascii="Times New Roman" w:hAnsi="Times New Roman"/>
                <w:color w:val="auto"/>
                <w:sz w:val="21"/>
                <w:szCs w:val="20"/>
                <w:highlight w:val="none"/>
              </w:rPr>
              <w:t>m×</w:t>
            </w:r>
            <w:r>
              <w:rPr>
                <w:rFonts w:hint="eastAsia" w:ascii="Times New Roman" w:hAnsi="Times New Roman"/>
                <w:color w:val="auto"/>
                <w:sz w:val="21"/>
                <w:szCs w:val="20"/>
                <w:highlight w:val="none"/>
              </w:rPr>
              <w:t>3.5</w:t>
            </w:r>
            <w:r>
              <w:rPr>
                <w:rFonts w:ascii="Times New Roman" w:hAnsi="Times New Roman"/>
                <w:color w:val="auto"/>
                <w:sz w:val="21"/>
                <w:szCs w:val="20"/>
                <w:highlight w:val="none"/>
              </w:rPr>
              <w:t>m</w:t>
            </w:r>
          </w:p>
        </w:tc>
        <w:tc>
          <w:tcPr>
            <w:tcW w:w="897" w:type="dxa"/>
            <w:tcBorders>
              <w:top w:val="single" w:color="000000" w:sz="4" w:space="0"/>
              <w:left w:val="nil"/>
              <w:bottom w:val="single" w:color="000000" w:sz="4" w:space="0"/>
              <w:right w:val="single" w:color="000000" w:sz="4" w:space="0"/>
            </w:tcBorders>
            <w:vAlign w:val="center"/>
          </w:tcPr>
          <w:p w14:paraId="73651C4E">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w:t>
            </w:r>
          </w:p>
        </w:tc>
        <w:tc>
          <w:tcPr>
            <w:tcW w:w="850" w:type="dxa"/>
            <w:tcBorders>
              <w:top w:val="single" w:color="000000" w:sz="4" w:space="0"/>
              <w:left w:val="nil"/>
              <w:bottom w:val="single" w:color="000000" w:sz="4" w:space="0"/>
              <w:right w:val="single" w:color="000000" w:sz="4" w:space="0"/>
            </w:tcBorders>
            <w:vAlign w:val="center"/>
          </w:tcPr>
          <w:p w14:paraId="1C1B6C8A">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14.7</w:t>
            </w:r>
          </w:p>
        </w:tc>
        <w:tc>
          <w:tcPr>
            <w:tcW w:w="426" w:type="dxa"/>
            <w:tcBorders>
              <w:top w:val="single" w:color="000000" w:sz="4" w:space="0"/>
              <w:left w:val="nil"/>
              <w:bottom w:val="single" w:color="000000" w:sz="4" w:space="0"/>
              <w:right w:val="single" w:color="000000" w:sz="4" w:space="0"/>
            </w:tcBorders>
            <w:vAlign w:val="center"/>
          </w:tcPr>
          <w:p w14:paraId="100780A5">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1</w:t>
            </w:r>
          </w:p>
        </w:tc>
        <w:tc>
          <w:tcPr>
            <w:tcW w:w="708" w:type="dxa"/>
            <w:tcBorders>
              <w:top w:val="single" w:color="000000" w:sz="4" w:space="0"/>
              <w:left w:val="nil"/>
              <w:bottom w:val="single" w:color="000000" w:sz="4" w:space="0"/>
              <w:right w:val="single" w:color="000000" w:sz="4" w:space="0"/>
            </w:tcBorders>
            <w:vAlign w:val="center"/>
          </w:tcPr>
          <w:p w14:paraId="1273BAB2">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3.6</w:t>
            </w:r>
          </w:p>
        </w:tc>
        <w:tc>
          <w:tcPr>
            <w:tcW w:w="567" w:type="dxa"/>
            <w:tcBorders>
              <w:top w:val="single" w:color="000000" w:sz="4" w:space="0"/>
              <w:left w:val="nil"/>
              <w:bottom w:val="single" w:color="000000" w:sz="4" w:space="0"/>
              <w:right w:val="single" w:color="000000" w:sz="4" w:space="0"/>
            </w:tcBorders>
            <w:vAlign w:val="center"/>
          </w:tcPr>
          <w:p w14:paraId="0C8D473C">
            <w:pPr>
              <w:shd w:val="clear"/>
              <w:spacing w:line="240" w:lineRule="auto"/>
              <w:ind w:firstLine="0" w:firstLineChars="0"/>
              <w:jc w:val="center"/>
              <w:rPr>
                <w:rFonts w:ascii="Times New Roman" w:hAnsi="Times New Roman"/>
                <w:color w:val="auto"/>
                <w:sz w:val="21"/>
                <w:szCs w:val="20"/>
                <w:highlight w:val="none"/>
              </w:rPr>
            </w:pPr>
            <w:r>
              <w:rPr>
                <w:rFonts w:hint="eastAsia"/>
                <w:color w:val="auto"/>
                <w:sz w:val="21"/>
                <w:szCs w:val="20"/>
                <w:highlight w:val="none"/>
              </w:rPr>
              <w:t>丁</w:t>
            </w:r>
          </w:p>
        </w:tc>
        <w:tc>
          <w:tcPr>
            <w:tcW w:w="478" w:type="dxa"/>
            <w:tcBorders>
              <w:top w:val="single" w:color="000000" w:sz="4" w:space="0"/>
              <w:left w:val="nil"/>
              <w:bottom w:val="single" w:color="000000" w:sz="4" w:space="0"/>
              <w:right w:val="single" w:color="000000" w:sz="4" w:space="0"/>
            </w:tcBorders>
            <w:vAlign w:val="center"/>
          </w:tcPr>
          <w:p w14:paraId="08606D1D">
            <w:pPr>
              <w:shd w:val="clear"/>
              <w:spacing w:line="240" w:lineRule="auto"/>
              <w:ind w:firstLine="0" w:firstLineChars="0"/>
              <w:jc w:val="center"/>
              <w:rPr>
                <w:color w:val="auto"/>
                <w:sz w:val="21"/>
                <w:szCs w:val="20"/>
                <w:highlight w:val="none"/>
              </w:rPr>
            </w:pPr>
            <w:r>
              <w:rPr>
                <w:rFonts w:hint="eastAsia"/>
                <w:color w:val="auto"/>
                <w:sz w:val="21"/>
                <w:szCs w:val="20"/>
                <w:highlight w:val="none"/>
              </w:rPr>
              <w:t>不燃</w:t>
            </w:r>
          </w:p>
        </w:tc>
        <w:tc>
          <w:tcPr>
            <w:tcW w:w="478" w:type="dxa"/>
            <w:tcBorders>
              <w:top w:val="single" w:color="000000" w:sz="4" w:space="0"/>
              <w:left w:val="nil"/>
              <w:bottom w:val="single" w:color="000000" w:sz="4" w:space="0"/>
              <w:right w:val="single" w:color="000000" w:sz="4" w:space="0"/>
            </w:tcBorders>
            <w:vAlign w:val="center"/>
          </w:tcPr>
          <w:p w14:paraId="35739EFD">
            <w:pPr>
              <w:shd w:val="clear"/>
              <w:spacing w:line="240" w:lineRule="auto"/>
              <w:ind w:firstLine="0" w:firstLineChars="0"/>
              <w:jc w:val="center"/>
              <w:rPr>
                <w:rFonts w:ascii="Times New Roman" w:hAnsi="Times New Roman"/>
                <w:color w:val="auto"/>
                <w:sz w:val="21"/>
                <w:szCs w:val="20"/>
                <w:highlight w:val="none"/>
              </w:rPr>
            </w:pPr>
            <w:r>
              <w:rPr>
                <w:color w:val="auto"/>
                <w:sz w:val="21"/>
                <w:szCs w:val="20"/>
                <w:highlight w:val="none"/>
              </w:rPr>
              <w:t>二</w:t>
            </w:r>
          </w:p>
        </w:tc>
        <w:tc>
          <w:tcPr>
            <w:tcW w:w="1101" w:type="dxa"/>
            <w:tcBorders>
              <w:top w:val="single" w:color="000000" w:sz="4" w:space="0"/>
              <w:left w:val="nil"/>
              <w:bottom w:val="single" w:color="000000" w:sz="4" w:space="0"/>
              <w:right w:val="single" w:color="000000" w:sz="4" w:space="0"/>
            </w:tcBorders>
            <w:vAlign w:val="center"/>
          </w:tcPr>
          <w:p w14:paraId="609BFC17">
            <w:pPr>
              <w:shd w:val="clear"/>
              <w:spacing w:line="240" w:lineRule="auto"/>
              <w:ind w:firstLine="0" w:firstLineChars="0"/>
              <w:jc w:val="center"/>
              <w:rPr>
                <w:rFonts w:ascii="Times New Roman" w:hAnsi="Times New Roman"/>
                <w:color w:val="auto"/>
                <w:sz w:val="21"/>
                <w:szCs w:val="20"/>
                <w:highlight w:val="none"/>
              </w:rPr>
            </w:pPr>
            <w:r>
              <w:rPr>
                <w:rFonts w:hint="eastAsia"/>
                <w:color w:val="auto"/>
                <w:sz w:val="21"/>
                <w:szCs w:val="20"/>
                <w:highlight w:val="none"/>
                <w:lang w:eastAsia="zh-CN"/>
              </w:rPr>
              <w:t>钢</w:t>
            </w:r>
            <w:r>
              <w:rPr>
                <w:rFonts w:hint="eastAsia"/>
                <w:color w:val="auto"/>
                <w:sz w:val="21"/>
                <w:szCs w:val="20"/>
                <w:highlight w:val="none"/>
              </w:rPr>
              <w:t>结构</w:t>
            </w:r>
          </w:p>
        </w:tc>
      </w:tr>
      <w:tr w14:paraId="2B0D66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52" w:type="dxa"/>
            <w:tcBorders>
              <w:top w:val="single" w:color="000000" w:sz="4" w:space="0"/>
              <w:left w:val="single" w:color="000000" w:sz="4" w:space="0"/>
              <w:bottom w:val="single" w:color="000000" w:sz="4" w:space="0"/>
              <w:right w:val="single" w:color="000000" w:sz="4" w:space="0"/>
            </w:tcBorders>
            <w:vAlign w:val="center"/>
          </w:tcPr>
          <w:p w14:paraId="481BB157">
            <w:pPr>
              <w:shd w:val="clear"/>
              <w:spacing w:line="240" w:lineRule="auto"/>
              <w:ind w:firstLine="0" w:firstLineChars="0"/>
              <w:jc w:val="center"/>
              <w:rPr>
                <w:rFonts w:ascii="Times New Roman" w:hAnsi="Times New Roman"/>
                <w:color w:val="auto"/>
                <w:sz w:val="21"/>
                <w:szCs w:val="20"/>
                <w:highlight w:val="none"/>
              </w:rPr>
            </w:pPr>
            <w:r>
              <w:rPr>
                <w:rFonts w:ascii="Times New Roman" w:hAnsi="Times New Roman"/>
                <w:color w:val="auto"/>
                <w:sz w:val="21"/>
                <w:szCs w:val="20"/>
                <w:highlight w:val="none"/>
              </w:rPr>
              <w:t>2</w:t>
            </w:r>
          </w:p>
        </w:tc>
        <w:tc>
          <w:tcPr>
            <w:tcW w:w="1246" w:type="dxa"/>
            <w:tcBorders>
              <w:top w:val="single" w:color="000000" w:sz="4" w:space="0"/>
              <w:left w:val="nil"/>
              <w:bottom w:val="single" w:color="000000" w:sz="4" w:space="0"/>
              <w:right w:val="single" w:color="000000" w:sz="4" w:space="0"/>
            </w:tcBorders>
            <w:vAlign w:val="center"/>
          </w:tcPr>
          <w:p w14:paraId="55CF4DD4">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炉前液压操作室</w:t>
            </w:r>
          </w:p>
        </w:tc>
        <w:tc>
          <w:tcPr>
            <w:tcW w:w="1453" w:type="dxa"/>
            <w:tcBorders>
              <w:top w:val="single" w:color="000000" w:sz="4" w:space="0"/>
              <w:left w:val="nil"/>
              <w:bottom w:val="single" w:color="000000" w:sz="4" w:space="0"/>
              <w:right w:val="single" w:color="000000" w:sz="4" w:space="0"/>
            </w:tcBorders>
            <w:vAlign w:val="center"/>
          </w:tcPr>
          <w:p w14:paraId="234B0260">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4.2</w:t>
            </w:r>
            <w:r>
              <w:rPr>
                <w:rFonts w:ascii="Times New Roman" w:hAnsi="Times New Roman"/>
                <w:color w:val="auto"/>
                <w:sz w:val="21"/>
                <w:szCs w:val="20"/>
                <w:highlight w:val="none"/>
              </w:rPr>
              <w:t>m×</w:t>
            </w:r>
            <w:r>
              <w:rPr>
                <w:rFonts w:hint="eastAsia" w:ascii="Times New Roman" w:hAnsi="Times New Roman"/>
                <w:color w:val="auto"/>
                <w:sz w:val="21"/>
                <w:szCs w:val="20"/>
                <w:highlight w:val="none"/>
              </w:rPr>
              <w:t>3.5</w:t>
            </w:r>
            <w:r>
              <w:rPr>
                <w:rFonts w:ascii="Times New Roman" w:hAnsi="Times New Roman"/>
                <w:color w:val="auto"/>
                <w:sz w:val="21"/>
                <w:szCs w:val="20"/>
                <w:highlight w:val="none"/>
              </w:rPr>
              <w:t>m</w:t>
            </w:r>
          </w:p>
        </w:tc>
        <w:tc>
          <w:tcPr>
            <w:tcW w:w="897" w:type="dxa"/>
            <w:tcBorders>
              <w:top w:val="single" w:color="000000" w:sz="4" w:space="0"/>
              <w:left w:val="nil"/>
              <w:bottom w:val="single" w:color="000000" w:sz="4" w:space="0"/>
              <w:right w:val="single" w:color="000000" w:sz="4" w:space="0"/>
            </w:tcBorders>
            <w:vAlign w:val="center"/>
          </w:tcPr>
          <w:p w14:paraId="52EAF69C">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w:t>
            </w:r>
          </w:p>
        </w:tc>
        <w:tc>
          <w:tcPr>
            <w:tcW w:w="850" w:type="dxa"/>
            <w:tcBorders>
              <w:top w:val="single" w:color="000000" w:sz="4" w:space="0"/>
              <w:left w:val="nil"/>
              <w:bottom w:val="single" w:color="000000" w:sz="4" w:space="0"/>
              <w:right w:val="single" w:color="000000" w:sz="4" w:space="0"/>
            </w:tcBorders>
            <w:vAlign w:val="center"/>
          </w:tcPr>
          <w:p w14:paraId="0AF1BD19">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14.7</w:t>
            </w:r>
          </w:p>
        </w:tc>
        <w:tc>
          <w:tcPr>
            <w:tcW w:w="426" w:type="dxa"/>
            <w:tcBorders>
              <w:top w:val="single" w:color="000000" w:sz="4" w:space="0"/>
              <w:left w:val="nil"/>
              <w:bottom w:val="single" w:color="000000" w:sz="4" w:space="0"/>
              <w:right w:val="single" w:color="000000" w:sz="4" w:space="0"/>
            </w:tcBorders>
            <w:vAlign w:val="center"/>
          </w:tcPr>
          <w:p w14:paraId="75D23913">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1</w:t>
            </w:r>
          </w:p>
        </w:tc>
        <w:tc>
          <w:tcPr>
            <w:tcW w:w="708" w:type="dxa"/>
            <w:tcBorders>
              <w:top w:val="single" w:color="000000" w:sz="4" w:space="0"/>
              <w:left w:val="nil"/>
              <w:bottom w:val="single" w:color="000000" w:sz="4" w:space="0"/>
              <w:right w:val="single" w:color="000000" w:sz="4" w:space="0"/>
            </w:tcBorders>
            <w:vAlign w:val="center"/>
          </w:tcPr>
          <w:p w14:paraId="7963DF91">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3.6</w:t>
            </w:r>
          </w:p>
        </w:tc>
        <w:tc>
          <w:tcPr>
            <w:tcW w:w="567" w:type="dxa"/>
            <w:tcBorders>
              <w:top w:val="single" w:color="000000" w:sz="4" w:space="0"/>
              <w:left w:val="nil"/>
              <w:bottom w:val="single" w:color="000000" w:sz="4" w:space="0"/>
              <w:right w:val="single" w:color="000000" w:sz="4" w:space="0"/>
            </w:tcBorders>
            <w:vAlign w:val="center"/>
          </w:tcPr>
          <w:p w14:paraId="7006069A">
            <w:pPr>
              <w:shd w:val="clear"/>
              <w:spacing w:line="240" w:lineRule="auto"/>
              <w:ind w:firstLine="0" w:firstLineChars="0"/>
              <w:jc w:val="center"/>
              <w:rPr>
                <w:rFonts w:ascii="Times New Roman" w:hAnsi="Times New Roman"/>
                <w:color w:val="auto"/>
                <w:sz w:val="21"/>
                <w:szCs w:val="20"/>
                <w:highlight w:val="none"/>
              </w:rPr>
            </w:pPr>
            <w:r>
              <w:rPr>
                <w:rFonts w:hint="eastAsia"/>
                <w:color w:val="auto"/>
                <w:sz w:val="21"/>
                <w:szCs w:val="20"/>
                <w:highlight w:val="none"/>
              </w:rPr>
              <w:t>丁</w:t>
            </w:r>
          </w:p>
        </w:tc>
        <w:tc>
          <w:tcPr>
            <w:tcW w:w="478" w:type="dxa"/>
            <w:tcBorders>
              <w:top w:val="single" w:color="000000" w:sz="4" w:space="0"/>
              <w:left w:val="nil"/>
              <w:bottom w:val="single" w:color="000000" w:sz="4" w:space="0"/>
              <w:right w:val="single" w:color="000000" w:sz="4" w:space="0"/>
            </w:tcBorders>
            <w:vAlign w:val="center"/>
          </w:tcPr>
          <w:p w14:paraId="5767DB63">
            <w:pPr>
              <w:shd w:val="clear"/>
              <w:spacing w:line="240" w:lineRule="auto"/>
              <w:ind w:firstLine="0" w:firstLineChars="0"/>
              <w:jc w:val="center"/>
              <w:rPr>
                <w:color w:val="auto"/>
                <w:sz w:val="21"/>
                <w:szCs w:val="20"/>
                <w:highlight w:val="none"/>
              </w:rPr>
            </w:pPr>
            <w:r>
              <w:rPr>
                <w:rFonts w:hint="eastAsia"/>
                <w:color w:val="auto"/>
                <w:sz w:val="21"/>
                <w:szCs w:val="20"/>
                <w:highlight w:val="none"/>
              </w:rPr>
              <w:t>不燃</w:t>
            </w:r>
          </w:p>
        </w:tc>
        <w:tc>
          <w:tcPr>
            <w:tcW w:w="478" w:type="dxa"/>
            <w:tcBorders>
              <w:top w:val="single" w:color="000000" w:sz="4" w:space="0"/>
              <w:left w:val="nil"/>
              <w:bottom w:val="single" w:color="000000" w:sz="4" w:space="0"/>
              <w:right w:val="single" w:color="000000" w:sz="4" w:space="0"/>
            </w:tcBorders>
            <w:vAlign w:val="center"/>
          </w:tcPr>
          <w:p w14:paraId="54CE01AB">
            <w:pPr>
              <w:shd w:val="clear"/>
              <w:spacing w:line="240" w:lineRule="auto"/>
              <w:ind w:firstLine="0" w:firstLineChars="0"/>
              <w:jc w:val="center"/>
              <w:rPr>
                <w:rFonts w:ascii="Times New Roman" w:hAnsi="Times New Roman"/>
                <w:color w:val="auto"/>
                <w:sz w:val="21"/>
                <w:szCs w:val="20"/>
                <w:highlight w:val="none"/>
              </w:rPr>
            </w:pPr>
            <w:r>
              <w:rPr>
                <w:color w:val="auto"/>
                <w:sz w:val="21"/>
                <w:szCs w:val="20"/>
                <w:highlight w:val="none"/>
              </w:rPr>
              <w:t>二</w:t>
            </w:r>
          </w:p>
        </w:tc>
        <w:tc>
          <w:tcPr>
            <w:tcW w:w="1101" w:type="dxa"/>
            <w:tcBorders>
              <w:top w:val="single" w:color="000000" w:sz="4" w:space="0"/>
              <w:left w:val="nil"/>
              <w:bottom w:val="single" w:color="000000" w:sz="4" w:space="0"/>
              <w:right w:val="single" w:color="000000" w:sz="4" w:space="0"/>
            </w:tcBorders>
            <w:vAlign w:val="center"/>
          </w:tcPr>
          <w:p w14:paraId="0BE92B17">
            <w:pPr>
              <w:shd w:val="clear"/>
              <w:spacing w:line="240" w:lineRule="auto"/>
              <w:ind w:firstLine="0" w:firstLineChars="0"/>
              <w:jc w:val="center"/>
              <w:rPr>
                <w:rFonts w:ascii="Times New Roman" w:hAnsi="Times New Roman"/>
                <w:color w:val="auto"/>
                <w:sz w:val="21"/>
                <w:szCs w:val="20"/>
                <w:highlight w:val="none"/>
              </w:rPr>
            </w:pPr>
            <w:r>
              <w:rPr>
                <w:rFonts w:hint="eastAsia"/>
                <w:color w:val="auto"/>
                <w:sz w:val="21"/>
                <w:szCs w:val="20"/>
                <w:highlight w:val="none"/>
                <w:lang w:eastAsia="zh-CN"/>
              </w:rPr>
              <w:t>钢</w:t>
            </w:r>
            <w:r>
              <w:rPr>
                <w:rFonts w:hint="eastAsia"/>
                <w:color w:val="auto"/>
                <w:sz w:val="21"/>
                <w:szCs w:val="20"/>
                <w:highlight w:val="none"/>
              </w:rPr>
              <w:t>结构</w:t>
            </w:r>
          </w:p>
        </w:tc>
      </w:tr>
      <w:tr w14:paraId="0FA215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52" w:type="dxa"/>
            <w:tcBorders>
              <w:top w:val="single" w:color="000000" w:sz="4" w:space="0"/>
              <w:left w:val="single" w:color="000000" w:sz="4" w:space="0"/>
              <w:bottom w:val="single" w:color="000000" w:sz="4" w:space="0"/>
              <w:right w:val="single" w:color="000000" w:sz="4" w:space="0"/>
            </w:tcBorders>
            <w:vAlign w:val="center"/>
          </w:tcPr>
          <w:p w14:paraId="407C21B0">
            <w:pPr>
              <w:shd w:val="clear"/>
              <w:spacing w:line="240" w:lineRule="auto"/>
              <w:ind w:firstLine="0" w:firstLineChars="0"/>
              <w:jc w:val="center"/>
              <w:rPr>
                <w:rFonts w:ascii="Times New Roman" w:hAnsi="Times New Roman"/>
                <w:color w:val="auto"/>
                <w:sz w:val="21"/>
                <w:szCs w:val="20"/>
                <w:highlight w:val="none"/>
              </w:rPr>
            </w:pPr>
            <w:r>
              <w:rPr>
                <w:rFonts w:ascii="Times New Roman" w:hAnsi="Times New Roman"/>
                <w:color w:val="auto"/>
                <w:sz w:val="21"/>
                <w:szCs w:val="20"/>
                <w:highlight w:val="none"/>
              </w:rPr>
              <w:t>3</w:t>
            </w:r>
          </w:p>
        </w:tc>
        <w:tc>
          <w:tcPr>
            <w:tcW w:w="1246" w:type="dxa"/>
            <w:tcBorders>
              <w:top w:val="single" w:color="000000" w:sz="4" w:space="0"/>
              <w:left w:val="nil"/>
              <w:bottom w:val="single" w:color="000000" w:sz="4" w:space="0"/>
              <w:right w:val="single" w:color="000000" w:sz="4" w:space="0"/>
            </w:tcBorders>
            <w:vAlign w:val="center"/>
          </w:tcPr>
          <w:p w14:paraId="7D4876EC">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出铁场除尘配电室</w:t>
            </w:r>
          </w:p>
        </w:tc>
        <w:tc>
          <w:tcPr>
            <w:tcW w:w="1453" w:type="dxa"/>
            <w:tcBorders>
              <w:top w:val="single" w:color="000000" w:sz="4" w:space="0"/>
              <w:left w:val="nil"/>
              <w:bottom w:val="single" w:color="000000" w:sz="4" w:space="0"/>
              <w:right w:val="single" w:color="000000" w:sz="4" w:space="0"/>
            </w:tcBorders>
            <w:vAlign w:val="center"/>
          </w:tcPr>
          <w:p w14:paraId="07B18C6D">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lang w:val="en-US" w:eastAsia="zh-CN"/>
              </w:rPr>
              <w:t>9</w:t>
            </w:r>
            <w:r>
              <w:rPr>
                <w:rFonts w:hint="eastAsia" w:ascii="Times New Roman" w:hAnsi="Times New Roman"/>
                <w:color w:val="auto"/>
                <w:sz w:val="21"/>
                <w:szCs w:val="20"/>
                <w:highlight w:val="none"/>
              </w:rPr>
              <w:t>m×2</w:t>
            </w:r>
            <w:r>
              <w:rPr>
                <w:rFonts w:hint="eastAsia" w:ascii="Times New Roman" w:hAnsi="Times New Roman"/>
                <w:color w:val="auto"/>
                <w:sz w:val="21"/>
                <w:szCs w:val="20"/>
                <w:highlight w:val="none"/>
                <w:lang w:val="en-US" w:eastAsia="zh-CN"/>
              </w:rPr>
              <w:t>5</w:t>
            </w:r>
            <w:r>
              <w:rPr>
                <w:rFonts w:hint="eastAsia" w:ascii="Times New Roman" w:hAnsi="Times New Roman"/>
                <w:color w:val="auto"/>
                <w:sz w:val="21"/>
                <w:szCs w:val="20"/>
                <w:highlight w:val="none"/>
              </w:rPr>
              <w:t>.0m</w:t>
            </w:r>
          </w:p>
        </w:tc>
        <w:tc>
          <w:tcPr>
            <w:tcW w:w="897" w:type="dxa"/>
            <w:tcBorders>
              <w:top w:val="single" w:color="000000" w:sz="4" w:space="0"/>
              <w:left w:val="nil"/>
              <w:bottom w:val="single" w:color="000000" w:sz="4" w:space="0"/>
              <w:right w:val="single" w:color="000000" w:sz="4" w:space="0"/>
            </w:tcBorders>
            <w:vAlign w:val="center"/>
          </w:tcPr>
          <w:p w14:paraId="7F8DA4B7">
            <w:pPr>
              <w:shd w:val="clear"/>
              <w:spacing w:line="240" w:lineRule="auto"/>
              <w:ind w:firstLine="0" w:firstLineChars="0"/>
              <w:jc w:val="center"/>
              <w:rPr>
                <w:rFonts w:hint="default" w:ascii="Times New Roman" w:hAnsi="Times New Roman" w:eastAsia="宋体"/>
                <w:color w:val="auto"/>
                <w:sz w:val="21"/>
                <w:szCs w:val="20"/>
                <w:highlight w:val="none"/>
                <w:lang w:val="en-US" w:eastAsia="zh-CN"/>
              </w:rPr>
            </w:pPr>
            <w:r>
              <w:rPr>
                <w:rFonts w:hint="eastAsia" w:ascii="Times New Roman" w:hAnsi="Times New Roman"/>
                <w:color w:val="auto"/>
                <w:sz w:val="21"/>
                <w:szCs w:val="20"/>
                <w:highlight w:val="none"/>
                <w:lang w:val="en-US" w:eastAsia="zh-CN"/>
              </w:rPr>
              <w:t>225</w:t>
            </w:r>
          </w:p>
        </w:tc>
        <w:tc>
          <w:tcPr>
            <w:tcW w:w="850" w:type="dxa"/>
            <w:tcBorders>
              <w:top w:val="single" w:color="000000" w:sz="4" w:space="0"/>
              <w:left w:val="nil"/>
              <w:bottom w:val="single" w:color="000000" w:sz="4" w:space="0"/>
              <w:right w:val="single" w:color="000000" w:sz="4" w:space="0"/>
            </w:tcBorders>
            <w:vAlign w:val="center"/>
          </w:tcPr>
          <w:p w14:paraId="0E20A392">
            <w:pPr>
              <w:shd w:val="clear"/>
              <w:spacing w:line="240" w:lineRule="auto"/>
              <w:ind w:firstLine="0" w:firstLineChars="0"/>
              <w:jc w:val="center"/>
              <w:rPr>
                <w:rFonts w:hint="default" w:ascii="Times New Roman" w:hAnsi="Times New Roman" w:eastAsia="宋体"/>
                <w:color w:val="auto"/>
                <w:sz w:val="21"/>
                <w:szCs w:val="20"/>
                <w:highlight w:val="none"/>
                <w:lang w:val="en-US" w:eastAsia="zh-CN"/>
              </w:rPr>
            </w:pPr>
            <w:r>
              <w:rPr>
                <w:rFonts w:hint="eastAsia" w:ascii="Times New Roman" w:hAnsi="Times New Roman"/>
                <w:color w:val="auto"/>
                <w:sz w:val="21"/>
                <w:szCs w:val="20"/>
                <w:highlight w:val="none"/>
                <w:lang w:val="en-US" w:eastAsia="zh-CN"/>
              </w:rPr>
              <w:t>225</w:t>
            </w:r>
          </w:p>
        </w:tc>
        <w:tc>
          <w:tcPr>
            <w:tcW w:w="426" w:type="dxa"/>
            <w:tcBorders>
              <w:top w:val="single" w:color="000000" w:sz="4" w:space="0"/>
              <w:left w:val="nil"/>
              <w:bottom w:val="single" w:color="000000" w:sz="4" w:space="0"/>
              <w:right w:val="single" w:color="000000" w:sz="4" w:space="0"/>
            </w:tcBorders>
            <w:vAlign w:val="center"/>
          </w:tcPr>
          <w:p w14:paraId="08C331A2">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1</w:t>
            </w:r>
          </w:p>
        </w:tc>
        <w:tc>
          <w:tcPr>
            <w:tcW w:w="708" w:type="dxa"/>
            <w:tcBorders>
              <w:top w:val="single" w:color="000000" w:sz="4" w:space="0"/>
              <w:left w:val="nil"/>
              <w:bottom w:val="single" w:color="000000" w:sz="4" w:space="0"/>
              <w:right w:val="single" w:color="000000" w:sz="4" w:space="0"/>
            </w:tcBorders>
            <w:vAlign w:val="center"/>
          </w:tcPr>
          <w:p w14:paraId="1C69990E">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4.5</w:t>
            </w:r>
          </w:p>
        </w:tc>
        <w:tc>
          <w:tcPr>
            <w:tcW w:w="567" w:type="dxa"/>
            <w:tcBorders>
              <w:top w:val="single" w:color="000000" w:sz="4" w:space="0"/>
              <w:left w:val="nil"/>
              <w:bottom w:val="single" w:color="000000" w:sz="4" w:space="0"/>
              <w:right w:val="single" w:color="000000" w:sz="4" w:space="0"/>
            </w:tcBorders>
            <w:vAlign w:val="center"/>
          </w:tcPr>
          <w:p w14:paraId="7DB049D3">
            <w:pPr>
              <w:shd w:val="clear"/>
              <w:spacing w:line="240" w:lineRule="auto"/>
              <w:ind w:firstLine="0" w:firstLineChars="0"/>
              <w:jc w:val="center"/>
              <w:rPr>
                <w:rFonts w:ascii="Times New Roman" w:hAnsi="Times New Roman"/>
                <w:color w:val="auto"/>
                <w:sz w:val="21"/>
                <w:szCs w:val="20"/>
                <w:highlight w:val="none"/>
              </w:rPr>
            </w:pPr>
            <w:r>
              <w:rPr>
                <w:rFonts w:hint="eastAsia"/>
                <w:color w:val="auto"/>
                <w:sz w:val="21"/>
                <w:szCs w:val="20"/>
                <w:highlight w:val="none"/>
              </w:rPr>
              <w:t>丙</w:t>
            </w:r>
          </w:p>
        </w:tc>
        <w:tc>
          <w:tcPr>
            <w:tcW w:w="478" w:type="dxa"/>
            <w:tcBorders>
              <w:top w:val="single" w:color="000000" w:sz="4" w:space="0"/>
              <w:left w:val="nil"/>
              <w:bottom w:val="single" w:color="000000" w:sz="4" w:space="0"/>
              <w:right w:val="single" w:color="000000" w:sz="4" w:space="0"/>
            </w:tcBorders>
            <w:vAlign w:val="center"/>
          </w:tcPr>
          <w:p w14:paraId="5316B8E2">
            <w:pPr>
              <w:shd w:val="clear"/>
              <w:spacing w:line="240" w:lineRule="auto"/>
              <w:ind w:firstLine="0" w:firstLineChars="0"/>
              <w:jc w:val="center"/>
              <w:rPr>
                <w:color w:val="auto"/>
                <w:sz w:val="21"/>
                <w:szCs w:val="20"/>
                <w:highlight w:val="none"/>
              </w:rPr>
            </w:pPr>
            <w:r>
              <w:rPr>
                <w:rFonts w:hint="eastAsia"/>
                <w:color w:val="auto"/>
                <w:sz w:val="21"/>
                <w:szCs w:val="20"/>
                <w:highlight w:val="none"/>
              </w:rPr>
              <w:t>不燃</w:t>
            </w:r>
          </w:p>
        </w:tc>
        <w:tc>
          <w:tcPr>
            <w:tcW w:w="478" w:type="dxa"/>
            <w:tcBorders>
              <w:top w:val="single" w:color="000000" w:sz="4" w:space="0"/>
              <w:left w:val="nil"/>
              <w:bottom w:val="single" w:color="000000" w:sz="4" w:space="0"/>
              <w:right w:val="single" w:color="000000" w:sz="4" w:space="0"/>
            </w:tcBorders>
            <w:vAlign w:val="center"/>
          </w:tcPr>
          <w:p w14:paraId="68951B6B">
            <w:pPr>
              <w:shd w:val="clear"/>
              <w:spacing w:line="240" w:lineRule="auto"/>
              <w:ind w:firstLine="0" w:firstLineChars="0"/>
              <w:jc w:val="center"/>
              <w:rPr>
                <w:rFonts w:ascii="Times New Roman" w:hAnsi="Times New Roman"/>
                <w:color w:val="auto"/>
                <w:sz w:val="21"/>
                <w:szCs w:val="20"/>
                <w:highlight w:val="none"/>
              </w:rPr>
            </w:pPr>
            <w:r>
              <w:rPr>
                <w:color w:val="auto"/>
                <w:sz w:val="21"/>
                <w:szCs w:val="20"/>
                <w:highlight w:val="none"/>
              </w:rPr>
              <w:t>二</w:t>
            </w:r>
          </w:p>
        </w:tc>
        <w:tc>
          <w:tcPr>
            <w:tcW w:w="1101" w:type="dxa"/>
            <w:tcBorders>
              <w:top w:val="single" w:color="000000" w:sz="4" w:space="0"/>
              <w:left w:val="nil"/>
              <w:bottom w:val="single" w:color="000000" w:sz="4" w:space="0"/>
              <w:right w:val="single" w:color="000000" w:sz="4" w:space="0"/>
            </w:tcBorders>
            <w:vAlign w:val="center"/>
          </w:tcPr>
          <w:p w14:paraId="45D34DFB">
            <w:pPr>
              <w:shd w:val="clear"/>
              <w:spacing w:line="240" w:lineRule="auto"/>
              <w:ind w:firstLine="0" w:firstLineChars="0"/>
              <w:jc w:val="center"/>
              <w:rPr>
                <w:rFonts w:ascii="Times New Roman" w:hAnsi="Times New Roman"/>
                <w:color w:val="auto"/>
                <w:sz w:val="21"/>
                <w:szCs w:val="20"/>
                <w:highlight w:val="none"/>
              </w:rPr>
            </w:pPr>
            <w:r>
              <w:rPr>
                <w:color w:val="auto"/>
                <w:sz w:val="21"/>
                <w:szCs w:val="20"/>
                <w:highlight w:val="none"/>
              </w:rPr>
              <w:t>框架结构</w:t>
            </w:r>
          </w:p>
        </w:tc>
      </w:tr>
      <w:tr w14:paraId="483026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52" w:type="dxa"/>
            <w:tcBorders>
              <w:top w:val="single" w:color="000000" w:sz="4" w:space="0"/>
              <w:left w:val="single" w:color="000000" w:sz="4" w:space="0"/>
              <w:bottom w:val="single" w:color="000000" w:sz="4" w:space="0"/>
              <w:right w:val="single" w:color="000000" w:sz="4" w:space="0"/>
            </w:tcBorders>
            <w:vAlign w:val="center"/>
          </w:tcPr>
          <w:p w14:paraId="4A91AD98">
            <w:pPr>
              <w:shd w:val="clear"/>
              <w:spacing w:line="240" w:lineRule="auto"/>
              <w:ind w:firstLine="0" w:firstLineChars="0"/>
              <w:jc w:val="center"/>
              <w:rPr>
                <w:rFonts w:ascii="Times New Roman" w:hAnsi="Times New Roman"/>
                <w:color w:val="auto"/>
                <w:sz w:val="21"/>
                <w:szCs w:val="20"/>
                <w:highlight w:val="none"/>
              </w:rPr>
            </w:pPr>
            <w:r>
              <w:rPr>
                <w:rFonts w:ascii="Times New Roman" w:hAnsi="Times New Roman"/>
                <w:color w:val="auto"/>
                <w:sz w:val="21"/>
                <w:szCs w:val="20"/>
                <w:highlight w:val="none"/>
              </w:rPr>
              <w:t>5</w:t>
            </w:r>
          </w:p>
        </w:tc>
        <w:tc>
          <w:tcPr>
            <w:tcW w:w="1246" w:type="dxa"/>
            <w:tcBorders>
              <w:top w:val="single" w:color="000000" w:sz="4" w:space="0"/>
              <w:left w:val="nil"/>
              <w:bottom w:val="single" w:color="000000" w:sz="4" w:space="0"/>
              <w:right w:val="single" w:color="000000" w:sz="4" w:space="0"/>
            </w:tcBorders>
            <w:vAlign w:val="center"/>
          </w:tcPr>
          <w:p w14:paraId="2CF39115">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出铁场除尘CEMS分析室</w:t>
            </w:r>
          </w:p>
        </w:tc>
        <w:tc>
          <w:tcPr>
            <w:tcW w:w="1453" w:type="dxa"/>
            <w:tcBorders>
              <w:top w:val="single" w:color="000000" w:sz="4" w:space="0"/>
              <w:left w:val="nil"/>
              <w:bottom w:val="single" w:color="000000" w:sz="4" w:space="0"/>
              <w:right w:val="single" w:color="000000" w:sz="4" w:space="0"/>
            </w:tcBorders>
            <w:vAlign w:val="center"/>
          </w:tcPr>
          <w:p w14:paraId="39D24805">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4.0</w:t>
            </w:r>
            <w:r>
              <w:rPr>
                <w:rFonts w:ascii="Times New Roman" w:hAnsi="Times New Roman"/>
                <w:color w:val="auto"/>
                <w:sz w:val="21"/>
                <w:szCs w:val="20"/>
                <w:highlight w:val="none"/>
              </w:rPr>
              <w:t>m×</w:t>
            </w:r>
            <w:r>
              <w:rPr>
                <w:rFonts w:hint="eastAsia" w:ascii="Times New Roman" w:hAnsi="Times New Roman"/>
                <w:color w:val="auto"/>
                <w:sz w:val="21"/>
                <w:szCs w:val="20"/>
                <w:highlight w:val="none"/>
              </w:rPr>
              <w:t>5.0</w:t>
            </w:r>
            <w:r>
              <w:rPr>
                <w:rFonts w:ascii="Times New Roman" w:hAnsi="Times New Roman"/>
                <w:color w:val="auto"/>
                <w:sz w:val="21"/>
                <w:szCs w:val="20"/>
                <w:highlight w:val="none"/>
              </w:rPr>
              <w:t>m</w:t>
            </w:r>
          </w:p>
        </w:tc>
        <w:tc>
          <w:tcPr>
            <w:tcW w:w="897" w:type="dxa"/>
            <w:tcBorders>
              <w:top w:val="single" w:color="000000" w:sz="4" w:space="0"/>
              <w:left w:val="nil"/>
              <w:bottom w:val="single" w:color="000000" w:sz="4" w:space="0"/>
              <w:right w:val="single" w:color="000000" w:sz="4" w:space="0"/>
            </w:tcBorders>
            <w:vAlign w:val="center"/>
          </w:tcPr>
          <w:p w14:paraId="1B58285E">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20</w:t>
            </w:r>
          </w:p>
        </w:tc>
        <w:tc>
          <w:tcPr>
            <w:tcW w:w="850" w:type="dxa"/>
            <w:tcBorders>
              <w:top w:val="single" w:color="000000" w:sz="4" w:space="0"/>
              <w:left w:val="nil"/>
              <w:bottom w:val="single" w:color="000000" w:sz="4" w:space="0"/>
              <w:right w:val="single" w:color="000000" w:sz="4" w:space="0"/>
            </w:tcBorders>
            <w:vAlign w:val="center"/>
          </w:tcPr>
          <w:p w14:paraId="22767D71">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20</w:t>
            </w:r>
          </w:p>
        </w:tc>
        <w:tc>
          <w:tcPr>
            <w:tcW w:w="426" w:type="dxa"/>
            <w:tcBorders>
              <w:top w:val="single" w:color="000000" w:sz="4" w:space="0"/>
              <w:left w:val="nil"/>
              <w:bottom w:val="single" w:color="000000" w:sz="4" w:space="0"/>
              <w:right w:val="single" w:color="000000" w:sz="4" w:space="0"/>
            </w:tcBorders>
            <w:vAlign w:val="center"/>
          </w:tcPr>
          <w:p w14:paraId="4D28202E">
            <w:pPr>
              <w:shd w:val="clear"/>
              <w:spacing w:line="240" w:lineRule="auto"/>
              <w:ind w:firstLine="0" w:firstLineChars="0"/>
              <w:jc w:val="center"/>
              <w:rPr>
                <w:rFonts w:ascii="Times New Roman" w:hAnsi="Times New Roman"/>
                <w:color w:val="auto"/>
                <w:sz w:val="21"/>
                <w:szCs w:val="20"/>
                <w:highlight w:val="none"/>
              </w:rPr>
            </w:pPr>
            <w:r>
              <w:rPr>
                <w:rFonts w:ascii="Times New Roman" w:hAnsi="Times New Roman"/>
                <w:color w:val="auto"/>
                <w:sz w:val="21"/>
                <w:szCs w:val="20"/>
                <w:highlight w:val="none"/>
              </w:rPr>
              <w:t>1</w:t>
            </w:r>
          </w:p>
        </w:tc>
        <w:tc>
          <w:tcPr>
            <w:tcW w:w="708" w:type="dxa"/>
            <w:tcBorders>
              <w:top w:val="single" w:color="000000" w:sz="4" w:space="0"/>
              <w:left w:val="nil"/>
              <w:bottom w:val="single" w:color="000000" w:sz="4" w:space="0"/>
              <w:right w:val="single" w:color="000000" w:sz="4" w:space="0"/>
            </w:tcBorders>
            <w:vAlign w:val="center"/>
          </w:tcPr>
          <w:p w14:paraId="73B8394C">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3.6</w:t>
            </w:r>
          </w:p>
        </w:tc>
        <w:tc>
          <w:tcPr>
            <w:tcW w:w="567" w:type="dxa"/>
            <w:tcBorders>
              <w:top w:val="single" w:color="000000" w:sz="4" w:space="0"/>
              <w:left w:val="nil"/>
              <w:bottom w:val="single" w:color="000000" w:sz="4" w:space="0"/>
              <w:right w:val="single" w:color="000000" w:sz="4" w:space="0"/>
            </w:tcBorders>
            <w:vAlign w:val="center"/>
          </w:tcPr>
          <w:p w14:paraId="7B1B03E4">
            <w:pPr>
              <w:shd w:val="clear"/>
              <w:spacing w:line="240" w:lineRule="auto"/>
              <w:ind w:firstLine="0" w:firstLineChars="0"/>
              <w:jc w:val="center"/>
              <w:rPr>
                <w:rFonts w:ascii="Times New Roman" w:hAnsi="Times New Roman"/>
                <w:color w:val="auto"/>
                <w:sz w:val="21"/>
                <w:szCs w:val="20"/>
                <w:highlight w:val="none"/>
              </w:rPr>
            </w:pPr>
            <w:r>
              <w:rPr>
                <w:rFonts w:hint="eastAsia"/>
                <w:color w:val="auto"/>
                <w:sz w:val="21"/>
                <w:szCs w:val="20"/>
                <w:highlight w:val="none"/>
              </w:rPr>
              <w:t>丁</w:t>
            </w:r>
          </w:p>
        </w:tc>
        <w:tc>
          <w:tcPr>
            <w:tcW w:w="478" w:type="dxa"/>
            <w:tcBorders>
              <w:top w:val="single" w:color="000000" w:sz="4" w:space="0"/>
              <w:left w:val="nil"/>
              <w:bottom w:val="single" w:color="000000" w:sz="4" w:space="0"/>
              <w:right w:val="single" w:color="000000" w:sz="4" w:space="0"/>
            </w:tcBorders>
            <w:vAlign w:val="center"/>
          </w:tcPr>
          <w:p w14:paraId="105DB0AA">
            <w:pPr>
              <w:shd w:val="clear"/>
              <w:spacing w:line="240" w:lineRule="auto"/>
              <w:ind w:firstLine="0" w:firstLineChars="0"/>
              <w:jc w:val="center"/>
              <w:rPr>
                <w:color w:val="auto"/>
                <w:sz w:val="21"/>
                <w:szCs w:val="20"/>
                <w:highlight w:val="none"/>
              </w:rPr>
            </w:pPr>
            <w:r>
              <w:rPr>
                <w:rFonts w:hint="eastAsia"/>
                <w:color w:val="auto"/>
                <w:sz w:val="21"/>
                <w:szCs w:val="20"/>
                <w:highlight w:val="none"/>
              </w:rPr>
              <w:t>不燃</w:t>
            </w:r>
          </w:p>
        </w:tc>
        <w:tc>
          <w:tcPr>
            <w:tcW w:w="478" w:type="dxa"/>
            <w:tcBorders>
              <w:top w:val="single" w:color="000000" w:sz="4" w:space="0"/>
              <w:left w:val="nil"/>
              <w:bottom w:val="single" w:color="000000" w:sz="4" w:space="0"/>
              <w:right w:val="single" w:color="000000" w:sz="4" w:space="0"/>
            </w:tcBorders>
            <w:vAlign w:val="center"/>
          </w:tcPr>
          <w:p w14:paraId="28C576A9">
            <w:pPr>
              <w:shd w:val="clear"/>
              <w:spacing w:line="240" w:lineRule="auto"/>
              <w:ind w:firstLine="0" w:firstLineChars="0"/>
              <w:jc w:val="center"/>
              <w:rPr>
                <w:rFonts w:ascii="Times New Roman" w:hAnsi="Times New Roman"/>
                <w:color w:val="auto"/>
                <w:sz w:val="21"/>
                <w:szCs w:val="20"/>
                <w:highlight w:val="none"/>
              </w:rPr>
            </w:pPr>
            <w:r>
              <w:rPr>
                <w:color w:val="auto"/>
                <w:sz w:val="21"/>
                <w:szCs w:val="20"/>
                <w:highlight w:val="none"/>
              </w:rPr>
              <w:t>二</w:t>
            </w:r>
          </w:p>
        </w:tc>
        <w:tc>
          <w:tcPr>
            <w:tcW w:w="1101" w:type="dxa"/>
            <w:tcBorders>
              <w:top w:val="single" w:color="000000" w:sz="4" w:space="0"/>
              <w:left w:val="nil"/>
              <w:bottom w:val="single" w:color="000000" w:sz="4" w:space="0"/>
              <w:right w:val="single" w:color="000000" w:sz="4" w:space="0"/>
            </w:tcBorders>
            <w:vAlign w:val="center"/>
          </w:tcPr>
          <w:p w14:paraId="513FA5C0">
            <w:pPr>
              <w:shd w:val="clear"/>
              <w:spacing w:line="240" w:lineRule="auto"/>
              <w:ind w:firstLine="0" w:firstLineChars="0"/>
              <w:jc w:val="center"/>
              <w:rPr>
                <w:rFonts w:ascii="Times New Roman" w:hAnsi="Times New Roman"/>
                <w:color w:val="auto"/>
                <w:sz w:val="21"/>
                <w:szCs w:val="20"/>
                <w:highlight w:val="none"/>
              </w:rPr>
            </w:pPr>
            <w:r>
              <w:rPr>
                <w:rFonts w:hint="eastAsia"/>
                <w:color w:val="auto"/>
                <w:sz w:val="21"/>
                <w:szCs w:val="20"/>
                <w:highlight w:val="none"/>
              </w:rPr>
              <w:t>砖混结构</w:t>
            </w:r>
          </w:p>
        </w:tc>
      </w:tr>
      <w:tr w14:paraId="275CA7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79" w:hRule="atLeast"/>
          <w:jc w:val="center"/>
        </w:trPr>
        <w:tc>
          <w:tcPr>
            <w:tcW w:w="652" w:type="dxa"/>
            <w:tcBorders>
              <w:top w:val="single" w:color="000000" w:sz="4" w:space="0"/>
              <w:left w:val="single" w:color="000000" w:sz="4" w:space="0"/>
              <w:bottom w:val="single" w:color="000000" w:sz="4" w:space="0"/>
              <w:right w:val="single" w:color="000000" w:sz="4" w:space="0"/>
            </w:tcBorders>
            <w:vAlign w:val="center"/>
          </w:tcPr>
          <w:p w14:paraId="42346998">
            <w:pPr>
              <w:shd w:val="clear"/>
              <w:spacing w:line="240" w:lineRule="auto"/>
              <w:ind w:firstLine="0" w:firstLineChars="0"/>
              <w:jc w:val="center"/>
              <w:rPr>
                <w:rFonts w:ascii="Times New Roman" w:hAnsi="Times New Roman"/>
                <w:color w:val="auto"/>
                <w:sz w:val="21"/>
                <w:szCs w:val="20"/>
                <w:highlight w:val="none"/>
              </w:rPr>
            </w:pPr>
            <w:r>
              <w:rPr>
                <w:rFonts w:ascii="Times New Roman" w:hAnsi="Times New Roman"/>
                <w:color w:val="auto"/>
                <w:sz w:val="21"/>
                <w:szCs w:val="20"/>
                <w:highlight w:val="none"/>
              </w:rPr>
              <w:t>6</w:t>
            </w:r>
          </w:p>
        </w:tc>
        <w:tc>
          <w:tcPr>
            <w:tcW w:w="1246" w:type="dxa"/>
            <w:tcBorders>
              <w:top w:val="single" w:color="000000" w:sz="4" w:space="0"/>
              <w:left w:val="nil"/>
              <w:bottom w:val="single" w:color="000000" w:sz="4" w:space="0"/>
              <w:right w:val="single" w:color="000000" w:sz="4" w:space="0"/>
            </w:tcBorders>
            <w:vAlign w:val="center"/>
          </w:tcPr>
          <w:p w14:paraId="5D1BA93A">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矿槽除尘CEMS分析室</w:t>
            </w:r>
          </w:p>
        </w:tc>
        <w:tc>
          <w:tcPr>
            <w:tcW w:w="1453" w:type="dxa"/>
            <w:tcBorders>
              <w:top w:val="single" w:color="000000" w:sz="4" w:space="0"/>
              <w:left w:val="nil"/>
              <w:bottom w:val="single" w:color="000000" w:sz="4" w:space="0"/>
              <w:right w:val="single" w:color="000000" w:sz="4" w:space="0"/>
            </w:tcBorders>
            <w:vAlign w:val="center"/>
          </w:tcPr>
          <w:p w14:paraId="5223675F">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4.0</w:t>
            </w:r>
            <w:r>
              <w:rPr>
                <w:rFonts w:ascii="Times New Roman" w:hAnsi="Times New Roman"/>
                <w:color w:val="auto"/>
                <w:sz w:val="21"/>
                <w:szCs w:val="20"/>
                <w:highlight w:val="none"/>
              </w:rPr>
              <w:t>m×</w:t>
            </w:r>
            <w:r>
              <w:rPr>
                <w:rFonts w:hint="eastAsia" w:ascii="Times New Roman" w:hAnsi="Times New Roman"/>
                <w:color w:val="auto"/>
                <w:sz w:val="21"/>
                <w:szCs w:val="20"/>
                <w:highlight w:val="none"/>
              </w:rPr>
              <w:t>5.0</w:t>
            </w:r>
            <w:r>
              <w:rPr>
                <w:rFonts w:ascii="Times New Roman" w:hAnsi="Times New Roman"/>
                <w:color w:val="auto"/>
                <w:sz w:val="21"/>
                <w:szCs w:val="20"/>
                <w:highlight w:val="none"/>
              </w:rPr>
              <w:t>m</w:t>
            </w:r>
          </w:p>
        </w:tc>
        <w:tc>
          <w:tcPr>
            <w:tcW w:w="897" w:type="dxa"/>
            <w:tcBorders>
              <w:top w:val="single" w:color="000000" w:sz="4" w:space="0"/>
              <w:left w:val="nil"/>
              <w:bottom w:val="single" w:color="000000" w:sz="4" w:space="0"/>
              <w:right w:val="single" w:color="000000" w:sz="4" w:space="0"/>
            </w:tcBorders>
            <w:vAlign w:val="center"/>
          </w:tcPr>
          <w:p w14:paraId="4E01F463">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20</w:t>
            </w:r>
          </w:p>
        </w:tc>
        <w:tc>
          <w:tcPr>
            <w:tcW w:w="850" w:type="dxa"/>
            <w:tcBorders>
              <w:top w:val="single" w:color="000000" w:sz="4" w:space="0"/>
              <w:left w:val="nil"/>
              <w:bottom w:val="single" w:color="000000" w:sz="4" w:space="0"/>
              <w:right w:val="single" w:color="000000" w:sz="4" w:space="0"/>
            </w:tcBorders>
            <w:vAlign w:val="center"/>
          </w:tcPr>
          <w:p w14:paraId="4E30BBA9">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20</w:t>
            </w:r>
          </w:p>
        </w:tc>
        <w:tc>
          <w:tcPr>
            <w:tcW w:w="426" w:type="dxa"/>
            <w:tcBorders>
              <w:top w:val="single" w:color="000000" w:sz="4" w:space="0"/>
              <w:left w:val="nil"/>
              <w:bottom w:val="single" w:color="000000" w:sz="4" w:space="0"/>
              <w:right w:val="single" w:color="000000" w:sz="4" w:space="0"/>
            </w:tcBorders>
            <w:vAlign w:val="center"/>
          </w:tcPr>
          <w:p w14:paraId="3095B537">
            <w:pPr>
              <w:shd w:val="clear"/>
              <w:spacing w:line="240" w:lineRule="auto"/>
              <w:ind w:firstLine="0" w:firstLineChars="0"/>
              <w:jc w:val="center"/>
              <w:rPr>
                <w:rFonts w:ascii="Times New Roman" w:hAnsi="Times New Roman"/>
                <w:color w:val="auto"/>
                <w:sz w:val="21"/>
                <w:szCs w:val="20"/>
                <w:highlight w:val="none"/>
              </w:rPr>
            </w:pPr>
            <w:r>
              <w:rPr>
                <w:rFonts w:ascii="Times New Roman" w:hAnsi="Times New Roman"/>
                <w:color w:val="auto"/>
                <w:sz w:val="21"/>
                <w:szCs w:val="20"/>
                <w:highlight w:val="none"/>
              </w:rPr>
              <w:t>1</w:t>
            </w:r>
          </w:p>
        </w:tc>
        <w:tc>
          <w:tcPr>
            <w:tcW w:w="708" w:type="dxa"/>
            <w:tcBorders>
              <w:top w:val="single" w:color="000000" w:sz="4" w:space="0"/>
              <w:left w:val="nil"/>
              <w:bottom w:val="single" w:color="000000" w:sz="4" w:space="0"/>
              <w:right w:val="single" w:color="000000" w:sz="4" w:space="0"/>
            </w:tcBorders>
            <w:vAlign w:val="center"/>
          </w:tcPr>
          <w:p w14:paraId="757ED8FF">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3.6</w:t>
            </w:r>
          </w:p>
        </w:tc>
        <w:tc>
          <w:tcPr>
            <w:tcW w:w="567" w:type="dxa"/>
            <w:tcBorders>
              <w:top w:val="single" w:color="000000" w:sz="4" w:space="0"/>
              <w:left w:val="nil"/>
              <w:bottom w:val="single" w:color="000000" w:sz="4" w:space="0"/>
              <w:right w:val="single" w:color="000000" w:sz="4" w:space="0"/>
            </w:tcBorders>
            <w:vAlign w:val="center"/>
          </w:tcPr>
          <w:p w14:paraId="12CEAFA2">
            <w:pPr>
              <w:shd w:val="clear"/>
              <w:spacing w:line="240" w:lineRule="auto"/>
              <w:ind w:firstLine="0" w:firstLineChars="0"/>
              <w:jc w:val="center"/>
              <w:rPr>
                <w:rFonts w:ascii="Times New Roman" w:hAnsi="Times New Roman"/>
                <w:color w:val="auto"/>
                <w:sz w:val="21"/>
                <w:szCs w:val="20"/>
                <w:highlight w:val="none"/>
              </w:rPr>
            </w:pPr>
            <w:r>
              <w:rPr>
                <w:rFonts w:hint="eastAsia"/>
                <w:color w:val="auto"/>
                <w:sz w:val="21"/>
                <w:szCs w:val="20"/>
                <w:highlight w:val="none"/>
              </w:rPr>
              <w:t>丁</w:t>
            </w:r>
          </w:p>
        </w:tc>
        <w:tc>
          <w:tcPr>
            <w:tcW w:w="478" w:type="dxa"/>
            <w:tcBorders>
              <w:top w:val="single" w:color="000000" w:sz="4" w:space="0"/>
              <w:left w:val="nil"/>
              <w:bottom w:val="single" w:color="000000" w:sz="4" w:space="0"/>
              <w:right w:val="single" w:color="000000" w:sz="4" w:space="0"/>
            </w:tcBorders>
            <w:vAlign w:val="center"/>
          </w:tcPr>
          <w:p w14:paraId="5E8F480B">
            <w:pPr>
              <w:shd w:val="clear"/>
              <w:spacing w:line="240" w:lineRule="auto"/>
              <w:ind w:firstLine="0" w:firstLineChars="0"/>
              <w:jc w:val="center"/>
              <w:rPr>
                <w:color w:val="auto"/>
                <w:sz w:val="21"/>
                <w:szCs w:val="20"/>
                <w:highlight w:val="none"/>
              </w:rPr>
            </w:pPr>
            <w:r>
              <w:rPr>
                <w:rFonts w:hint="eastAsia"/>
                <w:color w:val="auto"/>
                <w:sz w:val="21"/>
                <w:szCs w:val="20"/>
                <w:highlight w:val="none"/>
              </w:rPr>
              <w:t>不燃</w:t>
            </w:r>
          </w:p>
        </w:tc>
        <w:tc>
          <w:tcPr>
            <w:tcW w:w="478" w:type="dxa"/>
            <w:tcBorders>
              <w:top w:val="single" w:color="000000" w:sz="4" w:space="0"/>
              <w:left w:val="nil"/>
              <w:bottom w:val="single" w:color="000000" w:sz="4" w:space="0"/>
              <w:right w:val="single" w:color="000000" w:sz="4" w:space="0"/>
            </w:tcBorders>
            <w:vAlign w:val="center"/>
          </w:tcPr>
          <w:p w14:paraId="034791B7">
            <w:pPr>
              <w:shd w:val="clear"/>
              <w:spacing w:line="240" w:lineRule="auto"/>
              <w:ind w:firstLine="0" w:firstLineChars="0"/>
              <w:jc w:val="center"/>
              <w:rPr>
                <w:rFonts w:ascii="Times New Roman" w:hAnsi="Times New Roman"/>
                <w:color w:val="auto"/>
                <w:sz w:val="21"/>
                <w:szCs w:val="20"/>
                <w:highlight w:val="none"/>
              </w:rPr>
            </w:pPr>
            <w:r>
              <w:rPr>
                <w:color w:val="auto"/>
                <w:sz w:val="21"/>
                <w:szCs w:val="20"/>
                <w:highlight w:val="none"/>
              </w:rPr>
              <w:t>二</w:t>
            </w:r>
          </w:p>
        </w:tc>
        <w:tc>
          <w:tcPr>
            <w:tcW w:w="1101" w:type="dxa"/>
            <w:tcBorders>
              <w:top w:val="single" w:color="000000" w:sz="4" w:space="0"/>
              <w:left w:val="nil"/>
              <w:bottom w:val="single" w:color="000000" w:sz="4" w:space="0"/>
              <w:right w:val="single" w:color="000000" w:sz="4" w:space="0"/>
            </w:tcBorders>
            <w:vAlign w:val="center"/>
          </w:tcPr>
          <w:p w14:paraId="737A6C83">
            <w:pPr>
              <w:shd w:val="clear"/>
              <w:spacing w:line="240" w:lineRule="auto"/>
              <w:ind w:firstLine="0" w:firstLineChars="0"/>
              <w:jc w:val="center"/>
              <w:rPr>
                <w:rFonts w:ascii="Times New Roman" w:hAnsi="Times New Roman"/>
                <w:color w:val="auto"/>
                <w:sz w:val="21"/>
                <w:szCs w:val="20"/>
                <w:highlight w:val="none"/>
              </w:rPr>
            </w:pPr>
            <w:r>
              <w:rPr>
                <w:rFonts w:hint="eastAsia"/>
                <w:color w:val="auto"/>
                <w:sz w:val="21"/>
                <w:szCs w:val="20"/>
                <w:highlight w:val="none"/>
              </w:rPr>
              <w:t>砖混结构</w:t>
            </w:r>
          </w:p>
        </w:tc>
      </w:tr>
      <w:tr w14:paraId="570705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652" w:type="dxa"/>
            <w:tcBorders>
              <w:top w:val="single" w:color="000000" w:sz="4" w:space="0"/>
              <w:left w:val="single" w:color="000000" w:sz="4" w:space="0"/>
              <w:bottom w:val="single" w:color="000000" w:sz="4" w:space="0"/>
              <w:right w:val="single" w:color="000000" w:sz="4" w:space="0"/>
            </w:tcBorders>
            <w:vAlign w:val="center"/>
          </w:tcPr>
          <w:p w14:paraId="59BC6E24">
            <w:pPr>
              <w:shd w:val="clear"/>
              <w:spacing w:line="240" w:lineRule="auto"/>
              <w:ind w:firstLine="0" w:firstLineChars="0"/>
              <w:jc w:val="center"/>
              <w:rPr>
                <w:rFonts w:ascii="Times New Roman" w:hAnsi="Times New Roman"/>
                <w:color w:val="auto"/>
                <w:sz w:val="21"/>
                <w:szCs w:val="20"/>
                <w:highlight w:val="none"/>
              </w:rPr>
            </w:pPr>
            <w:r>
              <w:rPr>
                <w:rFonts w:ascii="Times New Roman" w:hAnsi="Times New Roman"/>
                <w:color w:val="auto"/>
                <w:sz w:val="21"/>
                <w:szCs w:val="20"/>
                <w:highlight w:val="none"/>
              </w:rPr>
              <w:t>7</w:t>
            </w:r>
          </w:p>
        </w:tc>
        <w:tc>
          <w:tcPr>
            <w:tcW w:w="1246" w:type="dxa"/>
            <w:tcBorders>
              <w:top w:val="single" w:color="000000" w:sz="4" w:space="0"/>
              <w:left w:val="nil"/>
              <w:bottom w:val="single" w:color="000000" w:sz="4" w:space="0"/>
              <w:right w:val="single" w:color="000000" w:sz="4" w:space="0"/>
            </w:tcBorders>
            <w:vAlign w:val="center"/>
          </w:tcPr>
          <w:p w14:paraId="04A9F4ED">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地沟除尘CEMS分析室</w:t>
            </w:r>
          </w:p>
        </w:tc>
        <w:tc>
          <w:tcPr>
            <w:tcW w:w="1453" w:type="dxa"/>
            <w:tcBorders>
              <w:top w:val="single" w:color="000000" w:sz="4" w:space="0"/>
              <w:left w:val="nil"/>
              <w:bottom w:val="single" w:color="000000" w:sz="4" w:space="0"/>
              <w:right w:val="single" w:color="000000" w:sz="4" w:space="0"/>
            </w:tcBorders>
            <w:vAlign w:val="center"/>
          </w:tcPr>
          <w:p w14:paraId="1C070696">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4.0</w:t>
            </w:r>
            <w:r>
              <w:rPr>
                <w:rFonts w:ascii="Times New Roman" w:hAnsi="Times New Roman"/>
                <w:color w:val="auto"/>
                <w:sz w:val="21"/>
                <w:szCs w:val="20"/>
                <w:highlight w:val="none"/>
              </w:rPr>
              <w:t>m×</w:t>
            </w:r>
            <w:r>
              <w:rPr>
                <w:rFonts w:hint="eastAsia" w:ascii="Times New Roman" w:hAnsi="Times New Roman"/>
                <w:color w:val="auto"/>
                <w:sz w:val="21"/>
                <w:szCs w:val="20"/>
                <w:highlight w:val="none"/>
              </w:rPr>
              <w:t>5.0</w:t>
            </w:r>
            <w:r>
              <w:rPr>
                <w:rFonts w:ascii="Times New Roman" w:hAnsi="Times New Roman"/>
                <w:color w:val="auto"/>
                <w:sz w:val="21"/>
                <w:szCs w:val="20"/>
                <w:highlight w:val="none"/>
              </w:rPr>
              <w:t>m</w:t>
            </w:r>
          </w:p>
        </w:tc>
        <w:tc>
          <w:tcPr>
            <w:tcW w:w="897" w:type="dxa"/>
            <w:tcBorders>
              <w:top w:val="single" w:color="000000" w:sz="4" w:space="0"/>
              <w:left w:val="nil"/>
              <w:bottom w:val="single" w:color="000000" w:sz="4" w:space="0"/>
              <w:right w:val="single" w:color="000000" w:sz="4" w:space="0"/>
            </w:tcBorders>
            <w:vAlign w:val="center"/>
          </w:tcPr>
          <w:p w14:paraId="784D6745">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20</w:t>
            </w:r>
          </w:p>
        </w:tc>
        <w:tc>
          <w:tcPr>
            <w:tcW w:w="850" w:type="dxa"/>
            <w:tcBorders>
              <w:top w:val="single" w:color="000000" w:sz="4" w:space="0"/>
              <w:left w:val="nil"/>
              <w:bottom w:val="single" w:color="000000" w:sz="4" w:space="0"/>
              <w:right w:val="single" w:color="000000" w:sz="4" w:space="0"/>
            </w:tcBorders>
            <w:vAlign w:val="center"/>
          </w:tcPr>
          <w:p w14:paraId="189C58BA">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20</w:t>
            </w:r>
          </w:p>
        </w:tc>
        <w:tc>
          <w:tcPr>
            <w:tcW w:w="426" w:type="dxa"/>
            <w:tcBorders>
              <w:top w:val="single" w:color="000000" w:sz="4" w:space="0"/>
              <w:left w:val="nil"/>
              <w:bottom w:val="single" w:color="000000" w:sz="4" w:space="0"/>
              <w:right w:val="single" w:color="000000" w:sz="4" w:space="0"/>
            </w:tcBorders>
            <w:vAlign w:val="center"/>
          </w:tcPr>
          <w:p w14:paraId="00B5033C">
            <w:pPr>
              <w:shd w:val="clear"/>
              <w:spacing w:line="240" w:lineRule="auto"/>
              <w:ind w:firstLine="0" w:firstLineChars="0"/>
              <w:jc w:val="center"/>
              <w:rPr>
                <w:rFonts w:ascii="Times New Roman" w:hAnsi="Times New Roman"/>
                <w:color w:val="auto"/>
                <w:sz w:val="21"/>
                <w:szCs w:val="20"/>
                <w:highlight w:val="none"/>
              </w:rPr>
            </w:pPr>
            <w:r>
              <w:rPr>
                <w:rFonts w:ascii="Times New Roman" w:hAnsi="Times New Roman"/>
                <w:color w:val="auto"/>
                <w:sz w:val="21"/>
                <w:szCs w:val="20"/>
                <w:highlight w:val="none"/>
              </w:rPr>
              <w:t>1</w:t>
            </w:r>
          </w:p>
        </w:tc>
        <w:tc>
          <w:tcPr>
            <w:tcW w:w="708" w:type="dxa"/>
            <w:tcBorders>
              <w:top w:val="single" w:color="000000" w:sz="4" w:space="0"/>
              <w:left w:val="nil"/>
              <w:bottom w:val="single" w:color="000000" w:sz="4" w:space="0"/>
              <w:right w:val="single" w:color="000000" w:sz="4" w:space="0"/>
            </w:tcBorders>
            <w:vAlign w:val="center"/>
          </w:tcPr>
          <w:p w14:paraId="15F60349">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3.6</w:t>
            </w:r>
          </w:p>
        </w:tc>
        <w:tc>
          <w:tcPr>
            <w:tcW w:w="567" w:type="dxa"/>
            <w:tcBorders>
              <w:top w:val="single" w:color="000000" w:sz="4" w:space="0"/>
              <w:left w:val="nil"/>
              <w:bottom w:val="single" w:color="000000" w:sz="4" w:space="0"/>
              <w:right w:val="single" w:color="000000" w:sz="4" w:space="0"/>
            </w:tcBorders>
            <w:vAlign w:val="center"/>
          </w:tcPr>
          <w:p w14:paraId="263E2B0F">
            <w:pPr>
              <w:shd w:val="clear"/>
              <w:spacing w:line="240" w:lineRule="auto"/>
              <w:ind w:firstLine="0" w:firstLineChars="0"/>
              <w:jc w:val="center"/>
              <w:rPr>
                <w:rFonts w:ascii="Times New Roman" w:hAnsi="Times New Roman"/>
                <w:color w:val="auto"/>
                <w:sz w:val="21"/>
                <w:szCs w:val="20"/>
                <w:highlight w:val="none"/>
              </w:rPr>
            </w:pPr>
            <w:r>
              <w:rPr>
                <w:rFonts w:hint="eastAsia"/>
                <w:color w:val="auto"/>
                <w:sz w:val="21"/>
                <w:szCs w:val="20"/>
                <w:highlight w:val="none"/>
              </w:rPr>
              <w:t>丁</w:t>
            </w:r>
          </w:p>
        </w:tc>
        <w:tc>
          <w:tcPr>
            <w:tcW w:w="478" w:type="dxa"/>
            <w:tcBorders>
              <w:top w:val="single" w:color="000000" w:sz="4" w:space="0"/>
              <w:left w:val="nil"/>
              <w:bottom w:val="single" w:color="000000" w:sz="4" w:space="0"/>
              <w:right w:val="single" w:color="000000" w:sz="4" w:space="0"/>
            </w:tcBorders>
            <w:vAlign w:val="center"/>
          </w:tcPr>
          <w:p w14:paraId="5CC68B27">
            <w:pPr>
              <w:shd w:val="clear"/>
              <w:spacing w:line="240" w:lineRule="auto"/>
              <w:ind w:firstLine="0" w:firstLineChars="0"/>
              <w:jc w:val="center"/>
              <w:rPr>
                <w:color w:val="auto"/>
                <w:sz w:val="21"/>
                <w:szCs w:val="20"/>
                <w:highlight w:val="none"/>
              </w:rPr>
            </w:pPr>
            <w:r>
              <w:rPr>
                <w:rFonts w:hint="eastAsia"/>
                <w:color w:val="auto"/>
                <w:sz w:val="21"/>
                <w:szCs w:val="20"/>
                <w:highlight w:val="none"/>
              </w:rPr>
              <w:t>不燃</w:t>
            </w:r>
          </w:p>
        </w:tc>
        <w:tc>
          <w:tcPr>
            <w:tcW w:w="478" w:type="dxa"/>
            <w:tcBorders>
              <w:top w:val="single" w:color="000000" w:sz="4" w:space="0"/>
              <w:left w:val="nil"/>
              <w:bottom w:val="single" w:color="000000" w:sz="4" w:space="0"/>
              <w:right w:val="single" w:color="000000" w:sz="4" w:space="0"/>
            </w:tcBorders>
            <w:vAlign w:val="center"/>
          </w:tcPr>
          <w:p w14:paraId="2B5D7846">
            <w:pPr>
              <w:shd w:val="clear"/>
              <w:spacing w:line="240" w:lineRule="auto"/>
              <w:ind w:firstLine="0" w:firstLineChars="0"/>
              <w:jc w:val="center"/>
              <w:rPr>
                <w:rFonts w:ascii="Times New Roman" w:hAnsi="Times New Roman"/>
                <w:color w:val="auto"/>
                <w:sz w:val="21"/>
                <w:szCs w:val="20"/>
                <w:highlight w:val="none"/>
              </w:rPr>
            </w:pPr>
            <w:r>
              <w:rPr>
                <w:color w:val="auto"/>
                <w:sz w:val="21"/>
                <w:szCs w:val="20"/>
                <w:highlight w:val="none"/>
              </w:rPr>
              <w:t>二</w:t>
            </w:r>
          </w:p>
        </w:tc>
        <w:tc>
          <w:tcPr>
            <w:tcW w:w="1101" w:type="dxa"/>
            <w:tcBorders>
              <w:top w:val="single" w:color="000000" w:sz="4" w:space="0"/>
              <w:left w:val="nil"/>
              <w:bottom w:val="single" w:color="000000" w:sz="4" w:space="0"/>
              <w:right w:val="single" w:color="000000" w:sz="4" w:space="0"/>
            </w:tcBorders>
            <w:vAlign w:val="center"/>
          </w:tcPr>
          <w:p w14:paraId="052BBB7A">
            <w:pPr>
              <w:shd w:val="clear"/>
              <w:spacing w:line="240" w:lineRule="auto"/>
              <w:ind w:firstLine="0" w:firstLineChars="0"/>
              <w:jc w:val="center"/>
              <w:rPr>
                <w:rFonts w:ascii="Times New Roman" w:hAnsi="Times New Roman"/>
                <w:color w:val="auto"/>
                <w:sz w:val="21"/>
                <w:szCs w:val="20"/>
                <w:highlight w:val="none"/>
              </w:rPr>
            </w:pPr>
            <w:r>
              <w:rPr>
                <w:rFonts w:hint="eastAsia"/>
                <w:color w:val="auto"/>
                <w:sz w:val="21"/>
                <w:szCs w:val="20"/>
                <w:highlight w:val="none"/>
              </w:rPr>
              <w:t>砖混结构</w:t>
            </w:r>
          </w:p>
        </w:tc>
      </w:tr>
      <w:tr w14:paraId="260AED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52" w:type="dxa"/>
            <w:tcBorders>
              <w:top w:val="single" w:color="000000" w:sz="4" w:space="0"/>
              <w:left w:val="single" w:color="000000" w:sz="4" w:space="0"/>
              <w:bottom w:val="single" w:color="000000" w:sz="4" w:space="0"/>
              <w:right w:val="single" w:color="000000" w:sz="4" w:space="0"/>
            </w:tcBorders>
            <w:vAlign w:val="center"/>
          </w:tcPr>
          <w:p w14:paraId="547D5129">
            <w:pPr>
              <w:shd w:val="clear"/>
              <w:spacing w:line="240" w:lineRule="auto"/>
              <w:ind w:firstLine="0" w:firstLineChars="0"/>
              <w:jc w:val="center"/>
              <w:rPr>
                <w:rFonts w:ascii="Times New Roman" w:hAnsi="Times New Roman"/>
                <w:color w:val="auto"/>
                <w:sz w:val="21"/>
                <w:szCs w:val="20"/>
                <w:highlight w:val="none"/>
              </w:rPr>
            </w:pPr>
            <w:r>
              <w:rPr>
                <w:rFonts w:ascii="Times New Roman" w:hAnsi="Times New Roman"/>
                <w:color w:val="auto"/>
                <w:sz w:val="21"/>
                <w:szCs w:val="20"/>
                <w:highlight w:val="none"/>
              </w:rPr>
              <w:t>8</w:t>
            </w:r>
          </w:p>
        </w:tc>
        <w:tc>
          <w:tcPr>
            <w:tcW w:w="1246" w:type="dxa"/>
            <w:tcBorders>
              <w:top w:val="single" w:color="000000" w:sz="4" w:space="0"/>
              <w:left w:val="nil"/>
              <w:bottom w:val="single" w:color="000000" w:sz="4" w:space="0"/>
              <w:right w:val="single" w:color="000000" w:sz="4" w:space="0"/>
            </w:tcBorders>
            <w:vAlign w:val="center"/>
          </w:tcPr>
          <w:p w14:paraId="6BA5AE1C">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1号高炉的槽上除尘CEMS分析室</w:t>
            </w:r>
          </w:p>
        </w:tc>
        <w:tc>
          <w:tcPr>
            <w:tcW w:w="1453" w:type="dxa"/>
            <w:tcBorders>
              <w:top w:val="single" w:color="000000" w:sz="4" w:space="0"/>
              <w:left w:val="nil"/>
              <w:bottom w:val="single" w:color="000000" w:sz="4" w:space="0"/>
              <w:right w:val="single" w:color="000000" w:sz="4" w:space="0"/>
            </w:tcBorders>
            <w:vAlign w:val="center"/>
          </w:tcPr>
          <w:p w14:paraId="79ADB119">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4.0</w:t>
            </w:r>
            <w:r>
              <w:rPr>
                <w:rFonts w:ascii="Times New Roman" w:hAnsi="Times New Roman"/>
                <w:color w:val="auto"/>
                <w:sz w:val="21"/>
                <w:szCs w:val="20"/>
                <w:highlight w:val="none"/>
              </w:rPr>
              <w:t>m×</w:t>
            </w:r>
            <w:r>
              <w:rPr>
                <w:rFonts w:hint="eastAsia" w:ascii="Times New Roman" w:hAnsi="Times New Roman"/>
                <w:color w:val="auto"/>
                <w:sz w:val="21"/>
                <w:szCs w:val="20"/>
                <w:highlight w:val="none"/>
              </w:rPr>
              <w:t>5.0</w:t>
            </w:r>
            <w:r>
              <w:rPr>
                <w:rFonts w:ascii="Times New Roman" w:hAnsi="Times New Roman"/>
                <w:color w:val="auto"/>
                <w:sz w:val="21"/>
                <w:szCs w:val="20"/>
                <w:highlight w:val="none"/>
              </w:rPr>
              <w:t>m</w:t>
            </w:r>
          </w:p>
        </w:tc>
        <w:tc>
          <w:tcPr>
            <w:tcW w:w="897" w:type="dxa"/>
            <w:tcBorders>
              <w:top w:val="single" w:color="000000" w:sz="4" w:space="0"/>
              <w:left w:val="nil"/>
              <w:bottom w:val="single" w:color="000000" w:sz="4" w:space="0"/>
              <w:right w:val="single" w:color="000000" w:sz="4" w:space="0"/>
            </w:tcBorders>
            <w:vAlign w:val="center"/>
          </w:tcPr>
          <w:p w14:paraId="3DDB34DC">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20</w:t>
            </w:r>
          </w:p>
        </w:tc>
        <w:tc>
          <w:tcPr>
            <w:tcW w:w="850" w:type="dxa"/>
            <w:tcBorders>
              <w:top w:val="single" w:color="000000" w:sz="4" w:space="0"/>
              <w:left w:val="nil"/>
              <w:bottom w:val="single" w:color="000000" w:sz="4" w:space="0"/>
              <w:right w:val="single" w:color="000000" w:sz="4" w:space="0"/>
            </w:tcBorders>
            <w:vAlign w:val="center"/>
          </w:tcPr>
          <w:p w14:paraId="6693FD7A">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20</w:t>
            </w:r>
          </w:p>
        </w:tc>
        <w:tc>
          <w:tcPr>
            <w:tcW w:w="426" w:type="dxa"/>
            <w:tcBorders>
              <w:top w:val="single" w:color="000000" w:sz="4" w:space="0"/>
              <w:left w:val="nil"/>
              <w:bottom w:val="single" w:color="000000" w:sz="4" w:space="0"/>
              <w:right w:val="single" w:color="000000" w:sz="4" w:space="0"/>
            </w:tcBorders>
            <w:vAlign w:val="center"/>
          </w:tcPr>
          <w:p w14:paraId="2A4A3981">
            <w:pPr>
              <w:shd w:val="clear"/>
              <w:spacing w:line="240" w:lineRule="auto"/>
              <w:ind w:firstLine="0" w:firstLineChars="0"/>
              <w:jc w:val="center"/>
              <w:rPr>
                <w:rFonts w:ascii="Times New Roman" w:hAnsi="Times New Roman"/>
                <w:color w:val="auto"/>
                <w:sz w:val="21"/>
                <w:szCs w:val="20"/>
                <w:highlight w:val="none"/>
              </w:rPr>
            </w:pPr>
            <w:r>
              <w:rPr>
                <w:rFonts w:ascii="Times New Roman" w:hAnsi="Times New Roman"/>
                <w:color w:val="auto"/>
                <w:sz w:val="21"/>
                <w:szCs w:val="20"/>
                <w:highlight w:val="none"/>
              </w:rPr>
              <w:t>1</w:t>
            </w:r>
          </w:p>
        </w:tc>
        <w:tc>
          <w:tcPr>
            <w:tcW w:w="708" w:type="dxa"/>
            <w:tcBorders>
              <w:top w:val="single" w:color="000000" w:sz="4" w:space="0"/>
              <w:left w:val="nil"/>
              <w:bottom w:val="single" w:color="000000" w:sz="4" w:space="0"/>
              <w:right w:val="single" w:color="000000" w:sz="4" w:space="0"/>
            </w:tcBorders>
            <w:vAlign w:val="center"/>
          </w:tcPr>
          <w:p w14:paraId="6BB1207E">
            <w:pPr>
              <w:shd w:val="clear"/>
              <w:spacing w:line="240" w:lineRule="auto"/>
              <w:ind w:firstLine="0" w:firstLineChars="0"/>
              <w:jc w:val="center"/>
              <w:rPr>
                <w:rFonts w:ascii="Times New Roman" w:hAnsi="Times New Roman"/>
                <w:color w:val="auto"/>
                <w:sz w:val="21"/>
                <w:szCs w:val="20"/>
                <w:highlight w:val="none"/>
              </w:rPr>
            </w:pPr>
            <w:r>
              <w:rPr>
                <w:rFonts w:hint="eastAsia" w:ascii="Times New Roman" w:hAnsi="Times New Roman"/>
                <w:color w:val="auto"/>
                <w:sz w:val="21"/>
                <w:szCs w:val="20"/>
                <w:highlight w:val="none"/>
              </w:rPr>
              <w:t>3.6</w:t>
            </w:r>
          </w:p>
        </w:tc>
        <w:tc>
          <w:tcPr>
            <w:tcW w:w="567" w:type="dxa"/>
            <w:tcBorders>
              <w:top w:val="single" w:color="000000" w:sz="4" w:space="0"/>
              <w:left w:val="nil"/>
              <w:bottom w:val="single" w:color="000000" w:sz="4" w:space="0"/>
              <w:right w:val="single" w:color="000000" w:sz="4" w:space="0"/>
            </w:tcBorders>
            <w:vAlign w:val="center"/>
          </w:tcPr>
          <w:p w14:paraId="06E7AAC1">
            <w:pPr>
              <w:shd w:val="clear"/>
              <w:spacing w:line="240" w:lineRule="auto"/>
              <w:ind w:firstLine="0" w:firstLineChars="0"/>
              <w:jc w:val="center"/>
              <w:rPr>
                <w:rFonts w:ascii="Times New Roman" w:hAnsi="Times New Roman"/>
                <w:color w:val="auto"/>
                <w:sz w:val="21"/>
                <w:szCs w:val="20"/>
                <w:highlight w:val="none"/>
              </w:rPr>
            </w:pPr>
            <w:r>
              <w:rPr>
                <w:rFonts w:hint="eastAsia"/>
                <w:color w:val="auto"/>
                <w:sz w:val="21"/>
                <w:szCs w:val="20"/>
                <w:highlight w:val="none"/>
              </w:rPr>
              <w:t>丁</w:t>
            </w:r>
          </w:p>
        </w:tc>
        <w:tc>
          <w:tcPr>
            <w:tcW w:w="478" w:type="dxa"/>
            <w:tcBorders>
              <w:top w:val="single" w:color="000000" w:sz="4" w:space="0"/>
              <w:left w:val="nil"/>
              <w:bottom w:val="single" w:color="000000" w:sz="4" w:space="0"/>
              <w:right w:val="single" w:color="000000" w:sz="4" w:space="0"/>
            </w:tcBorders>
            <w:vAlign w:val="center"/>
          </w:tcPr>
          <w:p w14:paraId="4B0FD8F4">
            <w:pPr>
              <w:shd w:val="clear"/>
              <w:spacing w:line="240" w:lineRule="auto"/>
              <w:ind w:firstLine="0" w:firstLineChars="0"/>
              <w:jc w:val="center"/>
              <w:rPr>
                <w:color w:val="auto"/>
                <w:sz w:val="21"/>
                <w:szCs w:val="20"/>
                <w:highlight w:val="none"/>
              </w:rPr>
            </w:pPr>
            <w:r>
              <w:rPr>
                <w:rFonts w:hint="eastAsia"/>
                <w:color w:val="auto"/>
                <w:sz w:val="21"/>
                <w:szCs w:val="20"/>
                <w:highlight w:val="none"/>
              </w:rPr>
              <w:t>不燃</w:t>
            </w:r>
          </w:p>
        </w:tc>
        <w:tc>
          <w:tcPr>
            <w:tcW w:w="478" w:type="dxa"/>
            <w:tcBorders>
              <w:top w:val="single" w:color="000000" w:sz="4" w:space="0"/>
              <w:left w:val="nil"/>
              <w:bottom w:val="single" w:color="000000" w:sz="4" w:space="0"/>
              <w:right w:val="single" w:color="000000" w:sz="4" w:space="0"/>
            </w:tcBorders>
            <w:vAlign w:val="center"/>
          </w:tcPr>
          <w:p w14:paraId="4A748821">
            <w:pPr>
              <w:shd w:val="clear"/>
              <w:spacing w:line="240" w:lineRule="auto"/>
              <w:ind w:firstLine="0" w:firstLineChars="0"/>
              <w:jc w:val="center"/>
              <w:rPr>
                <w:rFonts w:ascii="Times New Roman" w:hAnsi="Times New Roman"/>
                <w:color w:val="auto"/>
                <w:sz w:val="21"/>
                <w:szCs w:val="20"/>
                <w:highlight w:val="none"/>
              </w:rPr>
            </w:pPr>
            <w:r>
              <w:rPr>
                <w:color w:val="auto"/>
                <w:sz w:val="21"/>
                <w:szCs w:val="20"/>
                <w:highlight w:val="none"/>
              </w:rPr>
              <w:t>二</w:t>
            </w:r>
          </w:p>
        </w:tc>
        <w:tc>
          <w:tcPr>
            <w:tcW w:w="1101" w:type="dxa"/>
            <w:tcBorders>
              <w:top w:val="single" w:color="000000" w:sz="4" w:space="0"/>
              <w:left w:val="nil"/>
              <w:bottom w:val="single" w:color="000000" w:sz="4" w:space="0"/>
              <w:right w:val="single" w:color="000000" w:sz="4" w:space="0"/>
            </w:tcBorders>
            <w:vAlign w:val="center"/>
          </w:tcPr>
          <w:p w14:paraId="1B474660">
            <w:pPr>
              <w:shd w:val="clear"/>
              <w:spacing w:line="240" w:lineRule="auto"/>
              <w:ind w:firstLine="0" w:firstLineChars="0"/>
              <w:jc w:val="center"/>
              <w:rPr>
                <w:rFonts w:ascii="Times New Roman" w:hAnsi="Times New Roman"/>
                <w:color w:val="auto"/>
                <w:sz w:val="21"/>
                <w:szCs w:val="20"/>
                <w:highlight w:val="none"/>
              </w:rPr>
            </w:pPr>
            <w:r>
              <w:rPr>
                <w:rFonts w:hint="eastAsia"/>
                <w:color w:val="auto"/>
                <w:sz w:val="21"/>
                <w:szCs w:val="20"/>
                <w:highlight w:val="none"/>
              </w:rPr>
              <w:t>砖混结构</w:t>
            </w:r>
          </w:p>
        </w:tc>
      </w:tr>
    </w:tbl>
    <w:p w14:paraId="2EAEC8B3">
      <w:pPr>
        <w:shd w:val="clear"/>
        <w:ind w:firstLine="0" w:firstLineChars="0"/>
        <w:jc w:val="center"/>
        <w:rPr>
          <w:rFonts w:cs="Times New Roman"/>
          <w:bCs/>
          <w:color w:val="auto"/>
          <w:sz w:val="28"/>
          <w:szCs w:val="28"/>
          <w:highlight w:val="none"/>
        </w:rPr>
      </w:pPr>
      <w:r>
        <w:rPr>
          <w:rFonts w:hint="eastAsia" w:cs="Times New Roman"/>
          <w:bCs/>
          <w:color w:val="auto"/>
          <w:highlight w:val="none"/>
        </w:rPr>
        <w:t>表1</w:t>
      </w:r>
      <w:r>
        <w:rPr>
          <w:rFonts w:cs="Times New Roman"/>
          <w:bCs/>
          <w:color w:val="auto"/>
          <w:highlight w:val="none"/>
        </w:rPr>
        <w:t xml:space="preserve">8-3  </w:t>
      </w:r>
      <w:r>
        <w:rPr>
          <w:rFonts w:hint="eastAsia" w:cs="Times New Roman"/>
          <w:bCs/>
          <w:color w:val="auto"/>
          <w:highlight w:val="none"/>
        </w:rPr>
        <w:t>利旧/改造</w:t>
      </w:r>
      <w:r>
        <w:rPr>
          <w:rFonts w:cs="Times New Roman"/>
          <w:bCs/>
          <w:color w:val="auto"/>
          <w:highlight w:val="none"/>
        </w:rPr>
        <w:t>建筑物的火灾危险性分类、耐火等级</w:t>
      </w:r>
    </w:p>
    <w:tbl>
      <w:tblPr>
        <w:tblStyle w:val="60"/>
        <w:tblW w:w="87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76"/>
        <w:gridCol w:w="2548"/>
        <w:gridCol w:w="712"/>
        <w:gridCol w:w="1208"/>
        <w:gridCol w:w="1057"/>
        <w:gridCol w:w="2415"/>
      </w:tblGrid>
      <w:tr w14:paraId="0D249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62" w:hRule="atLeast"/>
          <w:jc w:val="center"/>
        </w:trPr>
        <w:tc>
          <w:tcPr>
            <w:tcW w:w="776" w:type="dxa"/>
            <w:tcBorders>
              <w:top w:val="single" w:color="auto" w:sz="4" w:space="0"/>
            </w:tcBorders>
            <w:vAlign w:val="center"/>
          </w:tcPr>
          <w:p w14:paraId="385D07A8">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序</w:t>
            </w:r>
            <w:r>
              <w:rPr>
                <w:rFonts w:ascii="Times New Roman" w:hAnsi="Times New Roman" w:cs="Times New Roman"/>
                <w:color w:val="auto"/>
                <w:szCs w:val="21"/>
                <w:highlight w:val="none"/>
              </w:rPr>
              <w:t>号</w:t>
            </w:r>
          </w:p>
        </w:tc>
        <w:tc>
          <w:tcPr>
            <w:tcW w:w="2548" w:type="dxa"/>
            <w:vAlign w:val="center"/>
          </w:tcPr>
          <w:p w14:paraId="45CE1077">
            <w:pPr>
              <w:shd w:val="clear"/>
              <w:autoSpaceDE w:val="0"/>
              <w:autoSpaceDN w:val="0"/>
              <w:adjustRightInd w:val="0"/>
              <w:spacing w:line="30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建筑物名称</w:t>
            </w:r>
          </w:p>
        </w:tc>
        <w:tc>
          <w:tcPr>
            <w:tcW w:w="712" w:type="dxa"/>
            <w:vAlign w:val="center"/>
          </w:tcPr>
          <w:p w14:paraId="309314AF">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ascii="Times New Roman" w:hAnsi="Times New Roman" w:cs="Times New Roman"/>
                <w:color w:val="auto"/>
                <w:szCs w:val="21"/>
                <w:highlight w:val="none"/>
              </w:rPr>
              <w:t>生产类别</w:t>
            </w:r>
          </w:p>
        </w:tc>
        <w:tc>
          <w:tcPr>
            <w:tcW w:w="1208" w:type="dxa"/>
            <w:vAlign w:val="center"/>
          </w:tcPr>
          <w:p w14:paraId="409A850E">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ascii="Times New Roman" w:hAnsi="Times New Roman" w:cs="Times New Roman"/>
                <w:color w:val="auto"/>
                <w:szCs w:val="21"/>
                <w:highlight w:val="none"/>
              </w:rPr>
              <w:t>耐火等级</w:t>
            </w:r>
          </w:p>
        </w:tc>
        <w:tc>
          <w:tcPr>
            <w:tcW w:w="1057" w:type="dxa"/>
            <w:vAlign w:val="center"/>
          </w:tcPr>
          <w:p w14:paraId="62ABD85C">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ascii="Times New Roman" w:hAnsi="Times New Roman" w:cs="Times New Roman"/>
                <w:color w:val="auto"/>
                <w:szCs w:val="21"/>
                <w:highlight w:val="none"/>
              </w:rPr>
              <w:t>建筑面积</w:t>
            </w:r>
            <w:r>
              <w:rPr>
                <w:rFonts w:hint="eastAsia" w:ascii="Times New Roman" w:hAnsi="Times New Roman" w:cs="Times New Roman"/>
                <w:color w:val="auto"/>
                <w:szCs w:val="21"/>
                <w:highlight w:val="none"/>
              </w:rPr>
              <w:t>（</w:t>
            </w:r>
            <w:r>
              <w:rPr>
                <w:rFonts w:ascii="Times New Roman" w:hAnsi="Times New Roman" w:cs="Times New Roman"/>
                <w:color w:val="auto"/>
                <w:szCs w:val="21"/>
                <w:highlight w:val="none"/>
              </w:rPr>
              <w:t>m</w:t>
            </w:r>
            <w:r>
              <w:rPr>
                <w:rFonts w:ascii="Times New Roman" w:hAnsi="Times New Roman" w:cs="Times New Roman"/>
                <w:color w:val="auto"/>
                <w:szCs w:val="21"/>
                <w:highlight w:val="none"/>
                <w:vertAlign w:val="superscript"/>
              </w:rPr>
              <w:t>2</w:t>
            </w:r>
            <w:r>
              <w:rPr>
                <w:rFonts w:hint="eastAsia" w:ascii="Times New Roman" w:hAnsi="Times New Roman" w:cs="Times New Roman"/>
                <w:color w:val="auto"/>
                <w:szCs w:val="21"/>
                <w:highlight w:val="none"/>
              </w:rPr>
              <w:t>）</w:t>
            </w:r>
          </w:p>
        </w:tc>
        <w:tc>
          <w:tcPr>
            <w:tcW w:w="2415" w:type="dxa"/>
            <w:tcBorders>
              <w:right w:val="single" w:color="auto" w:sz="4" w:space="0"/>
            </w:tcBorders>
            <w:vAlign w:val="center"/>
          </w:tcPr>
          <w:p w14:paraId="6A0B30CE">
            <w:pPr>
              <w:shd w:val="clear"/>
              <w:autoSpaceDE w:val="0"/>
              <w:autoSpaceDN w:val="0"/>
              <w:adjustRightInd w:val="0"/>
              <w:spacing w:line="30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结构形式</w:t>
            </w:r>
          </w:p>
        </w:tc>
      </w:tr>
      <w:tr w14:paraId="4DF6E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76" w:type="dxa"/>
            <w:vAlign w:val="center"/>
          </w:tcPr>
          <w:p w14:paraId="639B3DB7">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w:t>
            </w:r>
          </w:p>
        </w:tc>
        <w:tc>
          <w:tcPr>
            <w:tcW w:w="2548" w:type="dxa"/>
            <w:vAlign w:val="center"/>
          </w:tcPr>
          <w:p w14:paraId="7FA6E38D">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2#高炉地沟操作室</w:t>
            </w:r>
          </w:p>
        </w:tc>
        <w:tc>
          <w:tcPr>
            <w:tcW w:w="712" w:type="dxa"/>
            <w:vAlign w:val="center"/>
          </w:tcPr>
          <w:p w14:paraId="564C2ADE">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丁</w:t>
            </w:r>
          </w:p>
        </w:tc>
        <w:tc>
          <w:tcPr>
            <w:tcW w:w="1208" w:type="dxa"/>
            <w:vAlign w:val="center"/>
          </w:tcPr>
          <w:p w14:paraId="3BBBB364">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二级</w:t>
            </w:r>
          </w:p>
        </w:tc>
        <w:tc>
          <w:tcPr>
            <w:tcW w:w="1057" w:type="dxa"/>
            <w:vAlign w:val="center"/>
          </w:tcPr>
          <w:p w14:paraId="610FF120">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225</w:t>
            </w:r>
          </w:p>
        </w:tc>
        <w:tc>
          <w:tcPr>
            <w:tcW w:w="2415" w:type="dxa"/>
            <w:tcBorders>
              <w:top w:val="single" w:color="auto" w:sz="4" w:space="0"/>
              <w:right w:val="single" w:color="auto" w:sz="4" w:space="0"/>
            </w:tcBorders>
            <w:vAlign w:val="center"/>
          </w:tcPr>
          <w:p w14:paraId="09EF9C11">
            <w:pPr>
              <w:shd w:val="clear"/>
              <w:autoSpaceDE w:val="0"/>
              <w:autoSpaceDN w:val="0"/>
              <w:adjustRightInd w:val="0"/>
              <w:spacing w:line="300" w:lineRule="auto"/>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砖混</w:t>
            </w:r>
            <w:r>
              <w:rPr>
                <w:rFonts w:ascii="Times New Roman" w:hAnsi="Times New Roman" w:cs="Times New Roman"/>
                <w:color w:val="auto"/>
                <w:szCs w:val="21"/>
                <w:highlight w:val="none"/>
              </w:rPr>
              <w:t>结构</w:t>
            </w:r>
          </w:p>
        </w:tc>
      </w:tr>
      <w:tr w14:paraId="38B0F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76" w:type="dxa"/>
            <w:tcBorders>
              <w:bottom w:val="single" w:color="auto" w:sz="4" w:space="0"/>
            </w:tcBorders>
            <w:vAlign w:val="center"/>
          </w:tcPr>
          <w:p w14:paraId="7449D49A">
            <w:pPr>
              <w:shd w:val="clear"/>
              <w:tabs>
                <w:tab w:val="center" w:pos="186"/>
              </w:tabs>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2</w:t>
            </w:r>
          </w:p>
        </w:tc>
        <w:tc>
          <w:tcPr>
            <w:tcW w:w="2548" w:type="dxa"/>
            <w:tcBorders>
              <w:bottom w:val="single" w:color="auto" w:sz="4" w:space="0"/>
            </w:tcBorders>
            <w:vAlign w:val="center"/>
          </w:tcPr>
          <w:p w14:paraId="32C4F5C7">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2#高炉液压站各阀卷扬机室</w:t>
            </w:r>
          </w:p>
        </w:tc>
        <w:tc>
          <w:tcPr>
            <w:tcW w:w="712" w:type="dxa"/>
            <w:tcBorders>
              <w:bottom w:val="single" w:color="auto" w:sz="4" w:space="0"/>
            </w:tcBorders>
            <w:vAlign w:val="center"/>
          </w:tcPr>
          <w:p w14:paraId="5F6FE85D">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丙</w:t>
            </w:r>
          </w:p>
        </w:tc>
        <w:tc>
          <w:tcPr>
            <w:tcW w:w="1208" w:type="dxa"/>
            <w:tcBorders>
              <w:bottom w:val="single" w:color="auto" w:sz="4" w:space="0"/>
            </w:tcBorders>
            <w:vAlign w:val="center"/>
          </w:tcPr>
          <w:p w14:paraId="2E2CE33F">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二级</w:t>
            </w:r>
          </w:p>
        </w:tc>
        <w:tc>
          <w:tcPr>
            <w:tcW w:w="1057" w:type="dxa"/>
            <w:tcBorders>
              <w:bottom w:val="single" w:color="auto" w:sz="4" w:space="0"/>
            </w:tcBorders>
            <w:vAlign w:val="center"/>
          </w:tcPr>
          <w:p w14:paraId="46691CA9">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216</w:t>
            </w:r>
          </w:p>
        </w:tc>
        <w:tc>
          <w:tcPr>
            <w:tcW w:w="2415" w:type="dxa"/>
            <w:tcBorders>
              <w:top w:val="single" w:color="auto" w:sz="4" w:space="0"/>
              <w:bottom w:val="single" w:color="auto" w:sz="4" w:space="0"/>
              <w:right w:val="single" w:color="auto" w:sz="4" w:space="0"/>
            </w:tcBorders>
            <w:vAlign w:val="center"/>
          </w:tcPr>
          <w:p w14:paraId="521DA38B">
            <w:pPr>
              <w:shd w:val="clear"/>
              <w:autoSpaceDE w:val="0"/>
              <w:autoSpaceDN w:val="0"/>
              <w:adjustRightInd w:val="0"/>
              <w:spacing w:line="300" w:lineRule="auto"/>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砖混</w:t>
            </w:r>
            <w:r>
              <w:rPr>
                <w:rFonts w:ascii="Times New Roman" w:hAnsi="Times New Roman" w:cs="Times New Roman"/>
                <w:color w:val="auto"/>
                <w:szCs w:val="21"/>
                <w:highlight w:val="none"/>
              </w:rPr>
              <w:t>结构</w:t>
            </w:r>
          </w:p>
        </w:tc>
      </w:tr>
      <w:tr w14:paraId="24624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76" w:type="dxa"/>
            <w:tcBorders>
              <w:top w:val="single" w:color="auto" w:sz="4" w:space="0"/>
            </w:tcBorders>
            <w:vAlign w:val="center"/>
          </w:tcPr>
          <w:p w14:paraId="4EA6D61D">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3</w:t>
            </w:r>
          </w:p>
        </w:tc>
        <w:tc>
          <w:tcPr>
            <w:tcW w:w="2548" w:type="dxa"/>
            <w:tcBorders>
              <w:top w:val="single" w:color="auto" w:sz="4" w:space="0"/>
            </w:tcBorders>
            <w:vAlign w:val="center"/>
          </w:tcPr>
          <w:p w14:paraId="5E30058A">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2#高炉主卷杨室</w:t>
            </w:r>
          </w:p>
        </w:tc>
        <w:tc>
          <w:tcPr>
            <w:tcW w:w="712" w:type="dxa"/>
            <w:tcBorders>
              <w:top w:val="single" w:color="auto" w:sz="4" w:space="0"/>
            </w:tcBorders>
            <w:vAlign w:val="center"/>
          </w:tcPr>
          <w:p w14:paraId="7D3D710C">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丁</w:t>
            </w:r>
          </w:p>
        </w:tc>
        <w:tc>
          <w:tcPr>
            <w:tcW w:w="1208" w:type="dxa"/>
            <w:tcBorders>
              <w:top w:val="single" w:color="auto" w:sz="4" w:space="0"/>
            </w:tcBorders>
            <w:vAlign w:val="center"/>
          </w:tcPr>
          <w:p w14:paraId="4514FDAB">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二级</w:t>
            </w:r>
          </w:p>
        </w:tc>
        <w:tc>
          <w:tcPr>
            <w:tcW w:w="1057" w:type="dxa"/>
            <w:tcBorders>
              <w:top w:val="single" w:color="auto" w:sz="4" w:space="0"/>
            </w:tcBorders>
            <w:vAlign w:val="center"/>
          </w:tcPr>
          <w:p w14:paraId="281D4E9A">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48</w:t>
            </w:r>
          </w:p>
        </w:tc>
        <w:tc>
          <w:tcPr>
            <w:tcW w:w="2415" w:type="dxa"/>
            <w:tcBorders>
              <w:top w:val="single" w:color="auto" w:sz="4" w:space="0"/>
              <w:right w:val="single" w:color="auto" w:sz="4" w:space="0"/>
            </w:tcBorders>
            <w:vAlign w:val="center"/>
          </w:tcPr>
          <w:p w14:paraId="00C71DF6">
            <w:pPr>
              <w:shd w:val="clear"/>
              <w:autoSpaceDE w:val="0"/>
              <w:autoSpaceDN w:val="0"/>
              <w:adjustRightInd w:val="0"/>
              <w:spacing w:line="300" w:lineRule="auto"/>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砖混</w:t>
            </w:r>
            <w:r>
              <w:rPr>
                <w:rFonts w:ascii="Times New Roman" w:hAnsi="Times New Roman" w:cs="Times New Roman"/>
                <w:color w:val="auto"/>
                <w:szCs w:val="21"/>
                <w:highlight w:val="none"/>
              </w:rPr>
              <w:t>结构</w:t>
            </w:r>
          </w:p>
        </w:tc>
      </w:tr>
      <w:tr w14:paraId="0A12A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76" w:type="dxa"/>
            <w:tcBorders>
              <w:top w:val="single" w:color="auto" w:sz="4" w:space="0"/>
            </w:tcBorders>
            <w:vAlign w:val="center"/>
          </w:tcPr>
          <w:p w14:paraId="6C40B92F">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4</w:t>
            </w:r>
          </w:p>
        </w:tc>
        <w:tc>
          <w:tcPr>
            <w:tcW w:w="2548" w:type="dxa"/>
            <w:tcBorders>
              <w:top w:val="single" w:color="auto" w:sz="4" w:space="0"/>
            </w:tcBorders>
            <w:vAlign w:val="center"/>
          </w:tcPr>
          <w:p w14:paraId="7FAA9D06">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2#高炉炉前休息室</w:t>
            </w:r>
          </w:p>
        </w:tc>
        <w:tc>
          <w:tcPr>
            <w:tcW w:w="712" w:type="dxa"/>
            <w:tcBorders>
              <w:top w:val="single" w:color="auto" w:sz="4" w:space="0"/>
            </w:tcBorders>
            <w:vAlign w:val="center"/>
          </w:tcPr>
          <w:p w14:paraId="2D833335">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戊</w:t>
            </w:r>
          </w:p>
        </w:tc>
        <w:tc>
          <w:tcPr>
            <w:tcW w:w="1208" w:type="dxa"/>
            <w:tcBorders>
              <w:top w:val="single" w:color="auto" w:sz="4" w:space="0"/>
            </w:tcBorders>
            <w:vAlign w:val="center"/>
          </w:tcPr>
          <w:p w14:paraId="45064CBA">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二级</w:t>
            </w:r>
          </w:p>
        </w:tc>
        <w:tc>
          <w:tcPr>
            <w:tcW w:w="1057" w:type="dxa"/>
            <w:tcBorders>
              <w:top w:val="single" w:color="auto" w:sz="4" w:space="0"/>
            </w:tcBorders>
            <w:vAlign w:val="center"/>
          </w:tcPr>
          <w:p w14:paraId="05471195">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1200</w:t>
            </w:r>
          </w:p>
        </w:tc>
        <w:tc>
          <w:tcPr>
            <w:tcW w:w="2415" w:type="dxa"/>
            <w:tcBorders>
              <w:top w:val="single" w:color="auto" w:sz="4" w:space="0"/>
              <w:right w:val="single" w:color="auto" w:sz="4" w:space="0"/>
            </w:tcBorders>
            <w:vAlign w:val="center"/>
          </w:tcPr>
          <w:p w14:paraId="6754AB93">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ascii="Times New Roman" w:hAnsi="Times New Roman" w:cs="Times New Roman"/>
                <w:color w:val="auto"/>
                <w:szCs w:val="21"/>
                <w:highlight w:val="none"/>
              </w:rPr>
              <w:t>钢筋混凝土框架结构</w:t>
            </w:r>
          </w:p>
        </w:tc>
      </w:tr>
      <w:tr w14:paraId="62BEA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76" w:type="dxa"/>
            <w:tcBorders>
              <w:top w:val="single" w:color="auto" w:sz="4" w:space="0"/>
            </w:tcBorders>
            <w:vAlign w:val="center"/>
          </w:tcPr>
          <w:p w14:paraId="00558760">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5</w:t>
            </w:r>
          </w:p>
        </w:tc>
        <w:tc>
          <w:tcPr>
            <w:tcW w:w="2548" w:type="dxa"/>
            <w:tcBorders>
              <w:top w:val="single" w:color="auto" w:sz="4" w:space="0"/>
            </w:tcBorders>
            <w:vAlign w:val="center"/>
          </w:tcPr>
          <w:p w14:paraId="4419E524">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2#高炉热风炉操作室</w:t>
            </w:r>
          </w:p>
        </w:tc>
        <w:tc>
          <w:tcPr>
            <w:tcW w:w="712" w:type="dxa"/>
            <w:tcBorders>
              <w:top w:val="single" w:color="auto" w:sz="4" w:space="0"/>
            </w:tcBorders>
            <w:vAlign w:val="center"/>
          </w:tcPr>
          <w:p w14:paraId="702747C7">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丁</w:t>
            </w:r>
          </w:p>
        </w:tc>
        <w:tc>
          <w:tcPr>
            <w:tcW w:w="1208" w:type="dxa"/>
            <w:tcBorders>
              <w:top w:val="single" w:color="auto" w:sz="4" w:space="0"/>
            </w:tcBorders>
            <w:vAlign w:val="center"/>
          </w:tcPr>
          <w:p w14:paraId="01893F78">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二级</w:t>
            </w:r>
          </w:p>
        </w:tc>
        <w:tc>
          <w:tcPr>
            <w:tcW w:w="1057" w:type="dxa"/>
            <w:tcBorders>
              <w:top w:val="single" w:color="auto" w:sz="4" w:space="0"/>
            </w:tcBorders>
            <w:vAlign w:val="center"/>
          </w:tcPr>
          <w:p w14:paraId="092FBDC1">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2164</w:t>
            </w:r>
          </w:p>
        </w:tc>
        <w:tc>
          <w:tcPr>
            <w:tcW w:w="2415" w:type="dxa"/>
            <w:tcBorders>
              <w:top w:val="single" w:color="auto" w:sz="4" w:space="0"/>
              <w:right w:val="single" w:color="auto" w:sz="4" w:space="0"/>
            </w:tcBorders>
            <w:vAlign w:val="center"/>
          </w:tcPr>
          <w:p w14:paraId="31E4BB8E">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ascii="Times New Roman" w:hAnsi="Times New Roman" w:cs="Times New Roman"/>
                <w:color w:val="auto"/>
                <w:szCs w:val="21"/>
                <w:highlight w:val="none"/>
              </w:rPr>
              <w:t>钢筋混凝土框架结构</w:t>
            </w:r>
          </w:p>
        </w:tc>
      </w:tr>
      <w:tr w14:paraId="40DFB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76" w:type="dxa"/>
            <w:tcBorders>
              <w:top w:val="single" w:color="auto" w:sz="4" w:space="0"/>
            </w:tcBorders>
            <w:vAlign w:val="center"/>
          </w:tcPr>
          <w:p w14:paraId="33E68617">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6</w:t>
            </w:r>
          </w:p>
        </w:tc>
        <w:tc>
          <w:tcPr>
            <w:tcW w:w="2548" w:type="dxa"/>
            <w:tcBorders>
              <w:top w:val="single" w:color="auto" w:sz="4" w:space="0"/>
            </w:tcBorders>
            <w:vAlign w:val="center"/>
          </w:tcPr>
          <w:p w14:paraId="6A32A607">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2#高炉热风炉风机房</w:t>
            </w:r>
          </w:p>
        </w:tc>
        <w:tc>
          <w:tcPr>
            <w:tcW w:w="712" w:type="dxa"/>
            <w:tcBorders>
              <w:top w:val="single" w:color="auto" w:sz="4" w:space="0"/>
            </w:tcBorders>
            <w:vAlign w:val="center"/>
          </w:tcPr>
          <w:p w14:paraId="03DDFE3A">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丁</w:t>
            </w:r>
          </w:p>
        </w:tc>
        <w:tc>
          <w:tcPr>
            <w:tcW w:w="1208" w:type="dxa"/>
            <w:tcBorders>
              <w:top w:val="single" w:color="auto" w:sz="4" w:space="0"/>
            </w:tcBorders>
            <w:vAlign w:val="center"/>
          </w:tcPr>
          <w:p w14:paraId="41FED0A2">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二级</w:t>
            </w:r>
          </w:p>
        </w:tc>
        <w:tc>
          <w:tcPr>
            <w:tcW w:w="1057" w:type="dxa"/>
            <w:tcBorders>
              <w:top w:val="single" w:color="auto" w:sz="4" w:space="0"/>
            </w:tcBorders>
            <w:vAlign w:val="center"/>
          </w:tcPr>
          <w:p w14:paraId="227BB755">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48</w:t>
            </w:r>
          </w:p>
        </w:tc>
        <w:tc>
          <w:tcPr>
            <w:tcW w:w="2415" w:type="dxa"/>
            <w:tcBorders>
              <w:top w:val="single" w:color="auto" w:sz="4" w:space="0"/>
              <w:right w:val="single" w:color="auto" w:sz="4" w:space="0"/>
            </w:tcBorders>
            <w:vAlign w:val="center"/>
          </w:tcPr>
          <w:p w14:paraId="46CCD35C">
            <w:pPr>
              <w:shd w:val="clear"/>
              <w:autoSpaceDE w:val="0"/>
              <w:autoSpaceDN w:val="0"/>
              <w:adjustRightInd w:val="0"/>
              <w:spacing w:line="300" w:lineRule="auto"/>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砖混</w:t>
            </w:r>
            <w:r>
              <w:rPr>
                <w:rFonts w:ascii="Times New Roman" w:hAnsi="Times New Roman" w:cs="Times New Roman"/>
                <w:color w:val="auto"/>
                <w:szCs w:val="21"/>
                <w:highlight w:val="none"/>
              </w:rPr>
              <w:t>结构</w:t>
            </w:r>
          </w:p>
        </w:tc>
      </w:tr>
      <w:tr w14:paraId="671D1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76" w:type="dxa"/>
            <w:tcBorders>
              <w:top w:val="single" w:color="auto" w:sz="4" w:space="0"/>
            </w:tcBorders>
            <w:vAlign w:val="center"/>
          </w:tcPr>
          <w:p w14:paraId="07AE268D">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7</w:t>
            </w:r>
          </w:p>
        </w:tc>
        <w:tc>
          <w:tcPr>
            <w:tcW w:w="2548" w:type="dxa"/>
            <w:tcBorders>
              <w:top w:val="single" w:color="auto" w:sz="4" w:space="0"/>
            </w:tcBorders>
            <w:vAlign w:val="center"/>
          </w:tcPr>
          <w:p w14:paraId="32DB0849">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2</w:t>
            </w:r>
            <w:r>
              <w:rPr>
                <w:rFonts w:ascii="Times New Roman" w:hAnsi="Times New Roman" w:cs="Times New Roman"/>
                <w:color w:val="auto"/>
                <w:szCs w:val="21"/>
                <w:highlight w:val="none"/>
              </w:rPr>
              <w:t>#</w:t>
            </w:r>
            <w:r>
              <w:rPr>
                <w:rFonts w:hint="eastAsia" w:ascii="Times New Roman" w:hAnsi="Times New Roman" w:cs="Times New Roman"/>
                <w:color w:val="auto"/>
                <w:szCs w:val="21"/>
                <w:highlight w:val="none"/>
              </w:rPr>
              <w:t>高炉渣处理电气室</w:t>
            </w:r>
          </w:p>
        </w:tc>
        <w:tc>
          <w:tcPr>
            <w:tcW w:w="712" w:type="dxa"/>
            <w:tcBorders>
              <w:top w:val="single" w:color="auto" w:sz="4" w:space="0"/>
            </w:tcBorders>
            <w:vAlign w:val="center"/>
          </w:tcPr>
          <w:p w14:paraId="120E4047">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丙</w:t>
            </w:r>
          </w:p>
        </w:tc>
        <w:tc>
          <w:tcPr>
            <w:tcW w:w="1208" w:type="dxa"/>
            <w:tcBorders>
              <w:top w:val="single" w:color="auto" w:sz="4" w:space="0"/>
            </w:tcBorders>
            <w:vAlign w:val="center"/>
          </w:tcPr>
          <w:p w14:paraId="4B3D9A88">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二级</w:t>
            </w:r>
          </w:p>
        </w:tc>
        <w:tc>
          <w:tcPr>
            <w:tcW w:w="1057" w:type="dxa"/>
            <w:tcBorders>
              <w:top w:val="single" w:color="auto" w:sz="4" w:space="0"/>
            </w:tcBorders>
            <w:vAlign w:val="center"/>
          </w:tcPr>
          <w:p w14:paraId="44D99865">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100</w:t>
            </w:r>
          </w:p>
        </w:tc>
        <w:tc>
          <w:tcPr>
            <w:tcW w:w="2415" w:type="dxa"/>
            <w:tcBorders>
              <w:top w:val="single" w:color="auto" w:sz="4" w:space="0"/>
              <w:right w:val="single" w:color="auto" w:sz="4" w:space="0"/>
            </w:tcBorders>
            <w:vAlign w:val="center"/>
          </w:tcPr>
          <w:p w14:paraId="3E9F254D">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ascii="Times New Roman" w:hAnsi="Times New Roman" w:cs="Times New Roman"/>
                <w:color w:val="auto"/>
                <w:szCs w:val="21"/>
                <w:highlight w:val="none"/>
              </w:rPr>
              <w:t>钢筋混凝土框架结构</w:t>
            </w:r>
          </w:p>
        </w:tc>
      </w:tr>
      <w:tr w14:paraId="03E25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76" w:type="dxa"/>
            <w:tcBorders>
              <w:top w:val="single" w:color="auto" w:sz="4" w:space="0"/>
            </w:tcBorders>
            <w:vAlign w:val="center"/>
          </w:tcPr>
          <w:p w14:paraId="0E2C2D17">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8</w:t>
            </w:r>
          </w:p>
        </w:tc>
        <w:tc>
          <w:tcPr>
            <w:tcW w:w="2548" w:type="dxa"/>
            <w:tcBorders>
              <w:top w:val="single" w:color="auto" w:sz="4" w:space="0"/>
            </w:tcBorders>
            <w:vAlign w:val="center"/>
          </w:tcPr>
          <w:p w14:paraId="4C270F36">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2</w:t>
            </w:r>
            <w:r>
              <w:rPr>
                <w:rFonts w:ascii="Times New Roman" w:hAnsi="Times New Roman" w:cs="Times New Roman"/>
                <w:color w:val="auto"/>
                <w:szCs w:val="21"/>
                <w:highlight w:val="none"/>
              </w:rPr>
              <w:t>#</w:t>
            </w:r>
            <w:r>
              <w:rPr>
                <w:rFonts w:hint="eastAsia" w:ascii="Times New Roman" w:hAnsi="Times New Roman" w:cs="Times New Roman"/>
                <w:color w:val="auto"/>
                <w:szCs w:val="21"/>
                <w:highlight w:val="none"/>
              </w:rPr>
              <w:t>高炉煤气干法电气室</w:t>
            </w:r>
          </w:p>
        </w:tc>
        <w:tc>
          <w:tcPr>
            <w:tcW w:w="712" w:type="dxa"/>
            <w:tcBorders>
              <w:top w:val="single" w:color="auto" w:sz="4" w:space="0"/>
            </w:tcBorders>
            <w:vAlign w:val="center"/>
          </w:tcPr>
          <w:p w14:paraId="479133BA">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丙</w:t>
            </w:r>
          </w:p>
        </w:tc>
        <w:tc>
          <w:tcPr>
            <w:tcW w:w="1208" w:type="dxa"/>
            <w:tcBorders>
              <w:top w:val="single" w:color="auto" w:sz="4" w:space="0"/>
            </w:tcBorders>
            <w:vAlign w:val="center"/>
          </w:tcPr>
          <w:p w14:paraId="2E972250">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二级</w:t>
            </w:r>
          </w:p>
        </w:tc>
        <w:tc>
          <w:tcPr>
            <w:tcW w:w="1057" w:type="dxa"/>
            <w:tcBorders>
              <w:top w:val="single" w:color="auto" w:sz="4" w:space="0"/>
            </w:tcBorders>
            <w:vAlign w:val="center"/>
          </w:tcPr>
          <w:p w14:paraId="0FF37088">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w:t>
            </w:r>
            <w:r>
              <w:rPr>
                <w:rFonts w:ascii="Times New Roman" w:hAnsi="Times New Roman" w:cs="Times New Roman"/>
                <w:color w:val="auto"/>
                <w:szCs w:val="21"/>
                <w:highlight w:val="none"/>
              </w:rPr>
              <w:t>00</w:t>
            </w:r>
          </w:p>
        </w:tc>
        <w:tc>
          <w:tcPr>
            <w:tcW w:w="2415" w:type="dxa"/>
            <w:tcBorders>
              <w:top w:val="single" w:color="auto" w:sz="4" w:space="0"/>
              <w:right w:val="single" w:color="auto" w:sz="4" w:space="0"/>
            </w:tcBorders>
            <w:vAlign w:val="center"/>
          </w:tcPr>
          <w:p w14:paraId="5665901E">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ascii="Times New Roman" w:hAnsi="Times New Roman" w:cs="Times New Roman"/>
                <w:color w:val="auto"/>
                <w:szCs w:val="21"/>
                <w:highlight w:val="none"/>
              </w:rPr>
              <w:t>钢筋混凝土框架结构</w:t>
            </w:r>
          </w:p>
        </w:tc>
      </w:tr>
      <w:tr w14:paraId="460B3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76" w:type="dxa"/>
            <w:tcBorders>
              <w:top w:val="single" w:color="auto" w:sz="4" w:space="0"/>
            </w:tcBorders>
            <w:vAlign w:val="center"/>
          </w:tcPr>
          <w:p w14:paraId="18E0BBFD">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9</w:t>
            </w:r>
          </w:p>
        </w:tc>
        <w:tc>
          <w:tcPr>
            <w:tcW w:w="2548" w:type="dxa"/>
            <w:tcBorders>
              <w:top w:val="single" w:color="auto" w:sz="4" w:space="0"/>
            </w:tcBorders>
            <w:vAlign w:val="center"/>
          </w:tcPr>
          <w:p w14:paraId="74568609">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2</w:t>
            </w:r>
            <w:r>
              <w:rPr>
                <w:rFonts w:ascii="Times New Roman" w:hAnsi="Times New Roman" w:cs="Times New Roman"/>
                <w:color w:val="auto"/>
                <w:szCs w:val="21"/>
                <w:highlight w:val="none"/>
              </w:rPr>
              <w:t>#</w:t>
            </w:r>
            <w:r>
              <w:rPr>
                <w:rFonts w:hint="eastAsia" w:ascii="Times New Roman" w:hAnsi="Times New Roman" w:cs="Times New Roman"/>
                <w:color w:val="auto"/>
                <w:szCs w:val="21"/>
                <w:highlight w:val="none"/>
              </w:rPr>
              <w:t>高炉降温设施打水房</w:t>
            </w:r>
          </w:p>
        </w:tc>
        <w:tc>
          <w:tcPr>
            <w:tcW w:w="712" w:type="dxa"/>
            <w:tcBorders>
              <w:top w:val="single" w:color="auto" w:sz="4" w:space="0"/>
            </w:tcBorders>
            <w:vAlign w:val="center"/>
          </w:tcPr>
          <w:p w14:paraId="6218D253">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戊</w:t>
            </w:r>
          </w:p>
        </w:tc>
        <w:tc>
          <w:tcPr>
            <w:tcW w:w="1208" w:type="dxa"/>
            <w:tcBorders>
              <w:top w:val="single" w:color="auto" w:sz="4" w:space="0"/>
            </w:tcBorders>
            <w:vAlign w:val="center"/>
          </w:tcPr>
          <w:p w14:paraId="255EE2BE">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二级</w:t>
            </w:r>
          </w:p>
        </w:tc>
        <w:tc>
          <w:tcPr>
            <w:tcW w:w="1057" w:type="dxa"/>
            <w:tcBorders>
              <w:top w:val="single" w:color="auto" w:sz="4" w:space="0"/>
            </w:tcBorders>
            <w:vAlign w:val="center"/>
          </w:tcPr>
          <w:p w14:paraId="1D5F2EAB">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36</w:t>
            </w:r>
          </w:p>
        </w:tc>
        <w:tc>
          <w:tcPr>
            <w:tcW w:w="2415" w:type="dxa"/>
            <w:tcBorders>
              <w:top w:val="single" w:color="auto" w:sz="4" w:space="0"/>
              <w:right w:val="single" w:color="auto" w:sz="4" w:space="0"/>
            </w:tcBorders>
            <w:vAlign w:val="center"/>
          </w:tcPr>
          <w:p w14:paraId="1F914BB2">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ascii="Times New Roman" w:hAnsi="Times New Roman" w:cs="Times New Roman"/>
                <w:color w:val="auto"/>
                <w:szCs w:val="21"/>
                <w:highlight w:val="none"/>
              </w:rPr>
              <w:t>钢筋混凝土框架结构</w:t>
            </w:r>
          </w:p>
        </w:tc>
      </w:tr>
      <w:tr w14:paraId="12EEA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76" w:type="dxa"/>
            <w:tcBorders>
              <w:top w:val="single" w:color="auto" w:sz="4" w:space="0"/>
            </w:tcBorders>
            <w:vAlign w:val="center"/>
          </w:tcPr>
          <w:p w14:paraId="55870E5A">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10</w:t>
            </w:r>
          </w:p>
        </w:tc>
        <w:tc>
          <w:tcPr>
            <w:tcW w:w="2548" w:type="dxa"/>
            <w:tcBorders>
              <w:top w:val="single" w:color="auto" w:sz="4" w:space="0"/>
            </w:tcBorders>
            <w:vAlign w:val="center"/>
          </w:tcPr>
          <w:p w14:paraId="72543464">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2</w:t>
            </w:r>
            <w:r>
              <w:rPr>
                <w:rFonts w:ascii="Times New Roman" w:hAnsi="Times New Roman" w:cs="Times New Roman"/>
                <w:color w:val="auto"/>
                <w:szCs w:val="21"/>
                <w:highlight w:val="none"/>
              </w:rPr>
              <w:t>#</w:t>
            </w:r>
            <w:r>
              <w:rPr>
                <w:rFonts w:hint="eastAsia" w:ascii="Times New Roman" w:hAnsi="Times New Roman" w:cs="Times New Roman"/>
                <w:color w:val="auto"/>
                <w:szCs w:val="21"/>
                <w:highlight w:val="none"/>
              </w:rPr>
              <w:t>高炉TRT主厂房</w:t>
            </w:r>
          </w:p>
        </w:tc>
        <w:tc>
          <w:tcPr>
            <w:tcW w:w="712" w:type="dxa"/>
            <w:tcBorders>
              <w:top w:val="single" w:color="auto" w:sz="4" w:space="0"/>
            </w:tcBorders>
            <w:vAlign w:val="center"/>
          </w:tcPr>
          <w:p w14:paraId="4FB1DE68">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丙</w:t>
            </w:r>
          </w:p>
        </w:tc>
        <w:tc>
          <w:tcPr>
            <w:tcW w:w="1208" w:type="dxa"/>
            <w:tcBorders>
              <w:top w:val="single" w:color="auto" w:sz="4" w:space="0"/>
            </w:tcBorders>
            <w:vAlign w:val="center"/>
          </w:tcPr>
          <w:p w14:paraId="57883521">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二级</w:t>
            </w:r>
          </w:p>
        </w:tc>
        <w:tc>
          <w:tcPr>
            <w:tcW w:w="1057" w:type="dxa"/>
            <w:tcBorders>
              <w:top w:val="single" w:color="auto" w:sz="4" w:space="0"/>
            </w:tcBorders>
            <w:vAlign w:val="center"/>
          </w:tcPr>
          <w:p w14:paraId="4F4C50F9">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1100</w:t>
            </w:r>
          </w:p>
        </w:tc>
        <w:tc>
          <w:tcPr>
            <w:tcW w:w="2415" w:type="dxa"/>
            <w:tcBorders>
              <w:top w:val="single" w:color="auto" w:sz="4" w:space="0"/>
              <w:right w:val="single" w:color="auto" w:sz="4" w:space="0"/>
            </w:tcBorders>
            <w:vAlign w:val="center"/>
          </w:tcPr>
          <w:p w14:paraId="6CA62785">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ascii="Times New Roman" w:hAnsi="Times New Roman" w:cs="Times New Roman"/>
                <w:color w:val="auto"/>
                <w:szCs w:val="21"/>
                <w:highlight w:val="none"/>
              </w:rPr>
              <w:t>钢筋混凝土框架结构</w:t>
            </w:r>
          </w:p>
        </w:tc>
      </w:tr>
      <w:tr w14:paraId="40317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76" w:type="dxa"/>
            <w:tcBorders>
              <w:top w:val="single" w:color="auto" w:sz="4" w:space="0"/>
              <w:bottom w:val="single" w:color="auto" w:sz="4" w:space="0"/>
            </w:tcBorders>
            <w:vAlign w:val="center"/>
          </w:tcPr>
          <w:p w14:paraId="52FBA0A8">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11</w:t>
            </w:r>
          </w:p>
        </w:tc>
        <w:tc>
          <w:tcPr>
            <w:tcW w:w="2548" w:type="dxa"/>
            <w:tcBorders>
              <w:top w:val="single" w:color="auto" w:sz="4" w:space="0"/>
              <w:bottom w:val="single" w:color="auto" w:sz="4" w:space="0"/>
            </w:tcBorders>
            <w:vAlign w:val="center"/>
          </w:tcPr>
          <w:p w14:paraId="15CE8694">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2</w:t>
            </w:r>
            <w:r>
              <w:rPr>
                <w:rFonts w:ascii="Times New Roman" w:hAnsi="Times New Roman" w:cs="Times New Roman"/>
                <w:color w:val="auto"/>
                <w:szCs w:val="21"/>
                <w:highlight w:val="none"/>
              </w:rPr>
              <w:t>#</w:t>
            </w:r>
            <w:r>
              <w:rPr>
                <w:rFonts w:hint="eastAsia" w:ascii="Times New Roman" w:hAnsi="Times New Roman" w:cs="Times New Roman"/>
                <w:color w:val="auto"/>
                <w:szCs w:val="21"/>
                <w:highlight w:val="none"/>
              </w:rPr>
              <w:t>高炉出铁场厂房</w:t>
            </w:r>
          </w:p>
        </w:tc>
        <w:tc>
          <w:tcPr>
            <w:tcW w:w="712" w:type="dxa"/>
            <w:tcBorders>
              <w:top w:val="single" w:color="auto" w:sz="4" w:space="0"/>
              <w:bottom w:val="single" w:color="auto" w:sz="4" w:space="0"/>
            </w:tcBorders>
            <w:vAlign w:val="center"/>
          </w:tcPr>
          <w:p w14:paraId="4253682A">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丁</w:t>
            </w:r>
          </w:p>
        </w:tc>
        <w:tc>
          <w:tcPr>
            <w:tcW w:w="1208" w:type="dxa"/>
            <w:tcBorders>
              <w:top w:val="single" w:color="auto" w:sz="4" w:space="0"/>
              <w:bottom w:val="single" w:color="auto" w:sz="4" w:space="0"/>
            </w:tcBorders>
            <w:vAlign w:val="center"/>
          </w:tcPr>
          <w:p w14:paraId="3020087B">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二级</w:t>
            </w:r>
          </w:p>
        </w:tc>
        <w:tc>
          <w:tcPr>
            <w:tcW w:w="1057" w:type="dxa"/>
            <w:tcBorders>
              <w:top w:val="single" w:color="auto" w:sz="4" w:space="0"/>
              <w:bottom w:val="single" w:color="auto" w:sz="4" w:space="0"/>
            </w:tcBorders>
            <w:vAlign w:val="center"/>
          </w:tcPr>
          <w:p w14:paraId="2603DFCA">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2</w:t>
            </w:r>
            <w:r>
              <w:rPr>
                <w:rFonts w:ascii="Times New Roman" w:hAnsi="Times New Roman" w:cs="Times New Roman"/>
                <w:color w:val="auto"/>
                <w:szCs w:val="21"/>
                <w:highlight w:val="none"/>
              </w:rPr>
              <w:t>876</w:t>
            </w:r>
          </w:p>
        </w:tc>
        <w:tc>
          <w:tcPr>
            <w:tcW w:w="2415" w:type="dxa"/>
            <w:tcBorders>
              <w:top w:val="single" w:color="auto" w:sz="4" w:space="0"/>
              <w:bottom w:val="single" w:color="auto" w:sz="4" w:space="0"/>
              <w:right w:val="single" w:color="auto" w:sz="4" w:space="0"/>
            </w:tcBorders>
            <w:vAlign w:val="center"/>
          </w:tcPr>
          <w:p w14:paraId="49718B52">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钢结构/</w:t>
            </w:r>
            <w:r>
              <w:rPr>
                <w:rFonts w:ascii="Times New Roman" w:hAnsi="Times New Roman" w:cs="Times New Roman"/>
                <w:color w:val="auto"/>
                <w:szCs w:val="21"/>
                <w:highlight w:val="none"/>
              </w:rPr>
              <w:t>钢筋混凝土框架结构</w:t>
            </w:r>
          </w:p>
        </w:tc>
      </w:tr>
      <w:tr w14:paraId="4206A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76" w:type="dxa"/>
            <w:tcBorders>
              <w:top w:val="single" w:color="auto" w:sz="4" w:space="0"/>
              <w:bottom w:val="single" w:color="auto" w:sz="4" w:space="0"/>
            </w:tcBorders>
            <w:vAlign w:val="center"/>
          </w:tcPr>
          <w:p w14:paraId="4ECF8B15">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12</w:t>
            </w:r>
          </w:p>
        </w:tc>
        <w:tc>
          <w:tcPr>
            <w:tcW w:w="2548" w:type="dxa"/>
            <w:tcBorders>
              <w:top w:val="single" w:color="auto" w:sz="4" w:space="0"/>
              <w:bottom w:val="single" w:color="auto" w:sz="4" w:space="0"/>
            </w:tcBorders>
            <w:vAlign w:val="center"/>
          </w:tcPr>
          <w:p w14:paraId="302D2370">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2</w:t>
            </w:r>
            <w:r>
              <w:rPr>
                <w:rFonts w:ascii="Times New Roman" w:hAnsi="Times New Roman" w:cs="Times New Roman"/>
                <w:color w:val="auto"/>
                <w:szCs w:val="21"/>
                <w:highlight w:val="none"/>
              </w:rPr>
              <w:t>#</w:t>
            </w:r>
            <w:r>
              <w:rPr>
                <w:rFonts w:hint="eastAsia" w:ascii="Times New Roman" w:hAnsi="Times New Roman" w:cs="Times New Roman"/>
                <w:color w:val="auto"/>
                <w:szCs w:val="21"/>
                <w:highlight w:val="none"/>
              </w:rPr>
              <w:t>高炉矿槽</w:t>
            </w:r>
          </w:p>
        </w:tc>
        <w:tc>
          <w:tcPr>
            <w:tcW w:w="712" w:type="dxa"/>
            <w:tcBorders>
              <w:top w:val="single" w:color="auto" w:sz="4" w:space="0"/>
              <w:bottom w:val="single" w:color="auto" w:sz="4" w:space="0"/>
            </w:tcBorders>
            <w:vAlign w:val="center"/>
          </w:tcPr>
          <w:p w14:paraId="7EB2CC1D">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丁</w:t>
            </w:r>
          </w:p>
        </w:tc>
        <w:tc>
          <w:tcPr>
            <w:tcW w:w="1208" w:type="dxa"/>
            <w:tcBorders>
              <w:top w:val="single" w:color="auto" w:sz="4" w:space="0"/>
              <w:bottom w:val="single" w:color="auto" w:sz="4" w:space="0"/>
            </w:tcBorders>
            <w:vAlign w:val="center"/>
          </w:tcPr>
          <w:p w14:paraId="22D38FD7">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二级</w:t>
            </w:r>
          </w:p>
        </w:tc>
        <w:tc>
          <w:tcPr>
            <w:tcW w:w="1057" w:type="dxa"/>
            <w:tcBorders>
              <w:top w:val="single" w:color="auto" w:sz="4" w:space="0"/>
              <w:bottom w:val="single" w:color="auto" w:sz="4" w:space="0"/>
            </w:tcBorders>
            <w:vAlign w:val="center"/>
          </w:tcPr>
          <w:p w14:paraId="34B8194F">
            <w:pPr>
              <w:shd w:val="clear"/>
              <w:autoSpaceDE w:val="0"/>
              <w:autoSpaceDN w:val="0"/>
              <w:adjustRightInd w:val="0"/>
              <w:spacing w:line="300" w:lineRule="auto"/>
              <w:ind w:firstLine="0" w:firstLineChars="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3610</w:t>
            </w:r>
          </w:p>
        </w:tc>
        <w:tc>
          <w:tcPr>
            <w:tcW w:w="2415" w:type="dxa"/>
            <w:tcBorders>
              <w:top w:val="single" w:color="auto" w:sz="4" w:space="0"/>
              <w:bottom w:val="single" w:color="auto" w:sz="4" w:space="0"/>
              <w:right w:val="single" w:color="auto" w:sz="4" w:space="0"/>
            </w:tcBorders>
            <w:vAlign w:val="center"/>
          </w:tcPr>
          <w:p w14:paraId="7CFF9225">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钢结构/</w:t>
            </w:r>
            <w:r>
              <w:rPr>
                <w:rFonts w:ascii="Times New Roman" w:hAnsi="Times New Roman" w:cs="Times New Roman"/>
                <w:color w:val="auto"/>
                <w:szCs w:val="21"/>
                <w:highlight w:val="none"/>
              </w:rPr>
              <w:t>钢筋混凝土框架结构</w:t>
            </w:r>
          </w:p>
        </w:tc>
      </w:tr>
      <w:tr w14:paraId="11D30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76" w:type="dxa"/>
            <w:tcBorders>
              <w:top w:val="single" w:color="auto" w:sz="4" w:space="0"/>
              <w:bottom w:val="single" w:color="auto" w:sz="4" w:space="0"/>
            </w:tcBorders>
            <w:vAlign w:val="center"/>
          </w:tcPr>
          <w:p w14:paraId="52247768">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13</w:t>
            </w:r>
          </w:p>
        </w:tc>
        <w:tc>
          <w:tcPr>
            <w:tcW w:w="2548" w:type="dxa"/>
            <w:tcBorders>
              <w:top w:val="single" w:color="auto" w:sz="4" w:space="0"/>
              <w:bottom w:val="single" w:color="auto" w:sz="4" w:space="0"/>
            </w:tcBorders>
            <w:vAlign w:val="center"/>
          </w:tcPr>
          <w:p w14:paraId="168B5A86">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地沟除尘高低压配电室</w:t>
            </w:r>
          </w:p>
        </w:tc>
        <w:tc>
          <w:tcPr>
            <w:tcW w:w="712" w:type="dxa"/>
            <w:tcBorders>
              <w:top w:val="single" w:color="auto" w:sz="4" w:space="0"/>
              <w:bottom w:val="single" w:color="auto" w:sz="4" w:space="0"/>
            </w:tcBorders>
            <w:vAlign w:val="center"/>
          </w:tcPr>
          <w:p w14:paraId="6C9F18B5">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丙</w:t>
            </w:r>
          </w:p>
        </w:tc>
        <w:tc>
          <w:tcPr>
            <w:tcW w:w="1208" w:type="dxa"/>
            <w:tcBorders>
              <w:top w:val="single" w:color="auto" w:sz="4" w:space="0"/>
              <w:bottom w:val="single" w:color="auto" w:sz="4" w:space="0"/>
            </w:tcBorders>
            <w:vAlign w:val="center"/>
          </w:tcPr>
          <w:p w14:paraId="65AED391">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二级</w:t>
            </w:r>
          </w:p>
        </w:tc>
        <w:tc>
          <w:tcPr>
            <w:tcW w:w="1057" w:type="dxa"/>
            <w:tcBorders>
              <w:top w:val="single" w:color="auto" w:sz="4" w:space="0"/>
              <w:bottom w:val="single" w:color="auto" w:sz="4" w:space="0"/>
            </w:tcBorders>
            <w:vAlign w:val="center"/>
          </w:tcPr>
          <w:p w14:paraId="6A891D8B">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w:t>
            </w:r>
            <w:r>
              <w:rPr>
                <w:rFonts w:ascii="Times New Roman" w:hAnsi="Times New Roman" w:cs="Times New Roman"/>
                <w:color w:val="auto"/>
                <w:szCs w:val="21"/>
                <w:highlight w:val="none"/>
              </w:rPr>
              <w:t>35</w:t>
            </w:r>
          </w:p>
        </w:tc>
        <w:tc>
          <w:tcPr>
            <w:tcW w:w="2415" w:type="dxa"/>
            <w:tcBorders>
              <w:top w:val="single" w:color="auto" w:sz="4" w:space="0"/>
              <w:bottom w:val="single" w:color="auto" w:sz="4" w:space="0"/>
              <w:right w:val="single" w:color="auto" w:sz="4" w:space="0"/>
            </w:tcBorders>
            <w:vAlign w:val="center"/>
          </w:tcPr>
          <w:p w14:paraId="69349A8C">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ascii="Times New Roman" w:hAnsi="Times New Roman" w:cs="Times New Roman"/>
                <w:color w:val="auto"/>
                <w:szCs w:val="21"/>
                <w:highlight w:val="none"/>
              </w:rPr>
              <w:t>钢筋混凝土框架结构</w:t>
            </w:r>
          </w:p>
        </w:tc>
      </w:tr>
      <w:tr w14:paraId="2EDCE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76" w:type="dxa"/>
            <w:tcBorders>
              <w:top w:val="single" w:color="auto" w:sz="4" w:space="0"/>
              <w:bottom w:val="single" w:color="auto" w:sz="4" w:space="0"/>
            </w:tcBorders>
            <w:vAlign w:val="center"/>
          </w:tcPr>
          <w:p w14:paraId="12D41B83">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14</w:t>
            </w:r>
          </w:p>
        </w:tc>
        <w:tc>
          <w:tcPr>
            <w:tcW w:w="2548" w:type="dxa"/>
            <w:tcBorders>
              <w:top w:val="single" w:color="auto" w:sz="4" w:space="0"/>
              <w:bottom w:val="single" w:color="auto" w:sz="4" w:space="0"/>
            </w:tcBorders>
            <w:vAlign w:val="center"/>
          </w:tcPr>
          <w:p w14:paraId="3667E1A7">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矿槽除尘高低压配电室</w:t>
            </w:r>
          </w:p>
        </w:tc>
        <w:tc>
          <w:tcPr>
            <w:tcW w:w="712" w:type="dxa"/>
            <w:tcBorders>
              <w:top w:val="single" w:color="auto" w:sz="4" w:space="0"/>
              <w:bottom w:val="single" w:color="auto" w:sz="4" w:space="0"/>
            </w:tcBorders>
            <w:vAlign w:val="center"/>
          </w:tcPr>
          <w:p w14:paraId="3281471F">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丙</w:t>
            </w:r>
          </w:p>
        </w:tc>
        <w:tc>
          <w:tcPr>
            <w:tcW w:w="1208" w:type="dxa"/>
            <w:tcBorders>
              <w:top w:val="single" w:color="auto" w:sz="4" w:space="0"/>
              <w:bottom w:val="single" w:color="auto" w:sz="4" w:space="0"/>
            </w:tcBorders>
            <w:vAlign w:val="center"/>
          </w:tcPr>
          <w:p w14:paraId="2E57329D">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二级</w:t>
            </w:r>
          </w:p>
        </w:tc>
        <w:tc>
          <w:tcPr>
            <w:tcW w:w="1057" w:type="dxa"/>
            <w:tcBorders>
              <w:top w:val="single" w:color="auto" w:sz="4" w:space="0"/>
              <w:bottom w:val="single" w:color="auto" w:sz="4" w:space="0"/>
            </w:tcBorders>
            <w:vAlign w:val="center"/>
          </w:tcPr>
          <w:p w14:paraId="3E026F8B">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w:t>
            </w:r>
            <w:r>
              <w:rPr>
                <w:rFonts w:ascii="Times New Roman" w:hAnsi="Times New Roman" w:cs="Times New Roman"/>
                <w:color w:val="auto"/>
                <w:szCs w:val="21"/>
                <w:highlight w:val="none"/>
              </w:rPr>
              <w:t>14</w:t>
            </w:r>
          </w:p>
        </w:tc>
        <w:tc>
          <w:tcPr>
            <w:tcW w:w="2415" w:type="dxa"/>
            <w:tcBorders>
              <w:top w:val="single" w:color="auto" w:sz="4" w:space="0"/>
              <w:bottom w:val="single" w:color="auto" w:sz="4" w:space="0"/>
              <w:right w:val="single" w:color="auto" w:sz="4" w:space="0"/>
            </w:tcBorders>
            <w:vAlign w:val="center"/>
          </w:tcPr>
          <w:p w14:paraId="57F43FEC">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ascii="Times New Roman" w:hAnsi="Times New Roman" w:cs="Times New Roman"/>
                <w:color w:val="auto"/>
                <w:szCs w:val="21"/>
                <w:highlight w:val="none"/>
              </w:rPr>
              <w:t>钢筋混凝土框架结构</w:t>
            </w:r>
          </w:p>
        </w:tc>
      </w:tr>
    </w:tbl>
    <w:p w14:paraId="73FE3BB0">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（1）</w:t>
      </w:r>
      <w:r>
        <w:rPr>
          <w:rFonts w:ascii="Times New Roman" w:hAnsi="Times New Roman" w:cs="Times New Roman"/>
          <w:color w:val="auto"/>
          <w:kern w:val="0"/>
          <w:szCs w:val="22"/>
          <w:highlight w:val="none"/>
          <w:lang w:bidi="zh-CN"/>
        </w:rPr>
        <w:t>主厂房</w:t>
      </w:r>
      <w:r>
        <w:rPr>
          <w:rFonts w:hint="eastAsia" w:ascii="Times New Roman" w:hAnsi="Times New Roman" w:cs="Times New Roman"/>
          <w:color w:val="auto"/>
          <w:kern w:val="0"/>
          <w:szCs w:val="22"/>
          <w:highlight w:val="none"/>
          <w:lang w:bidi="zh-CN"/>
        </w:rPr>
        <w:t>、矿槽</w:t>
      </w:r>
    </w:p>
    <w:p w14:paraId="2007B2C3">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本工程主厂房生产类别为</w:t>
      </w:r>
      <w:r>
        <w:rPr>
          <w:rFonts w:hint="eastAsia" w:ascii="Times New Roman" w:hAnsi="Times New Roman" w:cs="Times New Roman"/>
          <w:color w:val="auto"/>
          <w:kern w:val="0"/>
          <w:szCs w:val="22"/>
          <w:highlight w:val="none"/>
          <w:lang w:bidi="zh-CN"/>
        </w:rPr>
        <w:t>丁</w:t>
      </w:r>
      <w:r>
        <w:rPr>
          <w:rFonts w:ascii="Times New Roman" w:hAnsi="Times New Roman" w:cs="Times New Roman"/>
          <w:color w:val="auto"/>
          <w:kern w:val="0"/>
          <w:szCs w:val="22"/>
          <w:highlight w:val="none"/>
          <w:lang w:bidi="zh-CN"/>
        </w:rPr>
        <w:t>类，耐火等级按二级进行设计，钢结构，</w:t>
      </w:r>
      <w:r>
        <w:rPr>
          <w:rFonts w:hint="eastAsia" w:ascii="Times New Roman" w:hAnsi="Times New Roman" w:cs="Times New Roman"/>
          <w:color w:val="auto"/>
          <w:kern w:val="0"/>
          <w:szCs w:val="22"/>
          <w:highlight w:val="none"/>
          <w:lang w:bidi="zh-CN"/>
        </w:rPr>
        <w:t>墙皮及</w:t>
      </w:r>
      <w:r>
        <w:rPr>
          <w:rFonts w:ascii="Times New Roman" w:hAnsi="Times New Roman" w:cs="Times New Roman"/>
          <w:color w:val="auto"/>
          <w:kern w:val="0"/>
          <w:szCs w:val="22"/>
          <w:highlight w:val="none"/>
          <w:lang w:bidi="zh-CN"/>
        </w:rPr>
        <w:t>屋面采用</w:t>
      </w:r>
      <w:r>
        <w:rPr>
          <w:rFonts w:hint="eastAsia" w:ascii="Times New Roman" w:hAnsi="Times New Roman" w:cs="Times New Roman"/>
          <w:color w:val="auto"/>
          <w:kern w:val="0"/>
          <w:szCs w:val="22"/>
          <w:highlight w:val="none"/>
          <w:lang w:bidi="zh-CN"/>
        </w:rPr>
        <w:t>单层</w:t>
      </w:r>
      <w:r>
        <w:rPr>
          <w:rFonts w:ascii="Times New Roman" w:hAnsi="Times New Roman" w:cs="Times New Roman"/>
          <w:color w:val="auto"/>
          <w:kern w:val="0"/>
          <w:szCs w:val="22"/>
          <w:highlight w:val="none"/>
          <w:lang w:bidi="zh-CN"/>
        </w:rPr>
        <w:t>彩板，为不燃烧体，虽然不能满足《建规》表3.2.1中关于非承重外墙、柱、梁、屋顶承重构件耐火极限要求，但根据该规范其它相关条款的规定可行，解释如下：</w:t>
      </w:r>
    </w:p>
    <w:p w14:paraId="303C9626">
      <w:pPr>
        <w:shd w:val="clear"/>
        <w:autoSpaceDE w:val="0"/>
        <w:autoSpaceDN w:val="0"/>
        <w:rPr>
          <w:rFonts w:ascii="Times New Roman" w:hAnsi="Times New Roman" w:cs="Times New Roman"/>
          <w:color w:val="auto"/>
          <w:kern w:val="0"/>
          <w:szCs w:val="22"/>
          <w:highlight w:val="none"/>
          <w:lang w:bidi="zh-CN"/>
        </w:rPr>
      </w:pPr>
      <w:r>
        <w:rPr>
          <w:rFonts w:ascii="Times New Roman" w:hAnsi="Times New Roman" w:cs="Times New Roman"/>
          <w:color w:val="auto"/>
          <w:kern w:val="0"/>
          <w:szCs w:val="22"/>
          <w:highlight w:val="none"/>
          <w:lang w:bidi="zh-CN"/>
        </w:rPr>
        <w:t>a</w:t>
      </w:r>
      <w:r>
        <w:rPr>
          <w:rFonts w:hint="eastAsia" w:ascii="Times New Roman" w:hAnsi="Times New Roman" w:cs="Times New Roman"/>
          <w:color w:val="auto"/>
          <w:kern w:val="0"/>
          <w:szCs w:val="22"/>
          <w:highlight w:val="none"/>
          <w:lang w:bidi="zh-CN"/>
        </w:rPr>
        <w:t>）</w:t>
      </w:r>
      <w:r>
        <w:rPr>
          <w:rFonts w:ascii="Times New Roman" w:hAnsi="Times New Roman" w:cs="Times New Roman"/>
          <w:color w:val="auto"/>
          <w:kern w:val="0"/>
          <w:szCs w:val="22"/>
          <w:highlight w:val="none"/>
          <w:lang w:bidi="zh-CN"/>
        </w:rPr>
        <w:t>主厂房墙皮为非承重外墙，采用单层彩板，为不燃烧体，满足《建规》3.2.5的要求；</w:t>
      </w:r>
    </w:p>
    <w:p w14:paraId="2D47BF05">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b）</w:t>
      </w:r>
      <w:r>
        <w:rPr>
          <w:rFonts w:ascii="Times New Roman" w:hAnsi="Times New Roman" w:cs="Times New Roman"/>
          <w:color w:val="auto"/>
          <w:kern w:val="0"/>
          <w:szCs w:val="22"/>
          <w:highlight w:val="none"/>
          <w:lang w:bidi="zh-CN"/>
        </w:rPr>
        <w:t>主厂房梁、柱采用无保护的钢结构，且生产过程中没有甲、乙、丙类液体或可燃气体火焰影响，在生产时辐射热温度高于200℃的部位采取防火隔热保护措施，满足《</w:t>
      </w:r>
      <w:r>
        <w:rPr>
          <w:rFonts w:hint="eastAsia" w:ascii="Times New Roman" w:hAnsi="Times New Roman" w:cs="Times New Roman"/>
          <w:color w:val="auto"/>
          <w:kern w:val="0"/>
          <w:szCs w:val="22"/>
          <w:highlight w:val="none"/>
          <w:lang w:bidi="zh-CN"/>
        </w:rPr>
        <w:t>钢铁冶金企业设计防火标准</w:t>
      </w:r>
      <w:r>
        <w:rPr>
          <w:rFonts w:ascii="Times New Roman" w:hAnsi="Times New Roman" w:cs="Times New Roman"/>
          <w:color w:val="auto"/>
          <w:kern w:val="0"/>
          <w:szCs w:val="22"/>
          <w:highlight w:val="none"/>
          <w:lang w:bidi="zh-CN"/>
        </w:rPr>
        <w:t>》3.0.</w:t>
      </w:r>
      <w:r>
        <w:rPr>
          <w:rFonts w:hint="eastAsia" w:ascii="Times New Roman" w:hAnsi="Times New Roman" w:cs="Times New Roman"/>
          <w:color w:val="auto"/>
          <w:kern w:val="0"/>
          <w:szCs w:val="22"/>
          <w:highlight w:val="none"/>
          <w:lang w:bidi="zh-CN"/>
        </w:rPr>
        <w:t>2</w:t>
      </w:r>
      <w:r>
        <w:rPr>
          <w:rFonts w:ascii="Times New Roman" w:hAnsi="Times New Roman" w:cs="Times New Roman"/>
          <w:color w:val="auto"/>
          <w:kern w:val="0"/>
          <w:szCs w:val="22"/>
          <w:highlight w:val="none"/>
          <w:lang w:bidi="zh-CN"/>
        </w:rPr>
        <w:t>的要求；</w:t>
      </w:r>
    </w:p>
    <w:p w14:paraId="50E89372">
      <w:pPr>
        <w:shd w:val="clear"/>
        <w:autoSpaceDE w:val="0"/>
        <w:autoSpaceDN w:val="0"/>
        <w:rPr>
          <w:rFonts w:ascii="Times New Roman" w:hAnsi="Times New Roman" w:cs="Times New Roman"/>
          <w:color w:val="auto"/>
          <w:highlight w:val="none"/>
        </w:rPr>
      </w:pPr>
      <w:r>
        <w:rPr>
          <w:rFonts w:hint="eastAsia" w:ascii="Times New Roman" w:hAnsi="Times New Roman" w:cs="Times New Roman"/>
          <w:color w:val="auto"/>
          <w:kern w:val="0"/>
          <w:szCs w:val="22"/>
          <w:highlight w:val="none"/>
          <w:lang w:bidi="zh-CN"/>
        </w:rPr>
        <w:t>c）</w:t>
      </w:r>
      <w:r>
        <w:rPr>
          <w:rFonts w:ascii="Times New Roman" w:hAnsi="Times New Roman" w:cs="Times New Roman"/>
          <w:color w:val="auto"/>
          <w:kern w:val="0"/>
          <w:szCs w:val="22"/>
          <w:highlight w:val="none"/>
          <w:lang w:bidi="zh-CN"/>
        </w:rPr>
        <w:t>主厂房屋顶承重构件采用无保护的钢结构，且生产过程中不受到甲、乙、丙类液体火焰影响，满足《建规》3.2.8的要求</w:t>
      </w:r>
      <w:r>
        <w:rPr>
          <w:rFonts w:hint="eastAsia" w:ascii="Times New Roman" w:hAnsi="Times New Roman" w:cs="Times New Roman"/>
          <w:color w:val="auto"/>
          <w:kern w:val="0"/>
          <w:szCs w:val="22"/>
          <w:highlight w:val="none"/>
          <w:lang w:bidi="zh-CN"/>
        </w:rPr>
        <w:t>。</w:t>
      </w:r>
    </w:p>
    <w:p w14:paraId="66806F9D">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（2）其它钢结构厂房</w:t>
      </w:r>
    </w:p>
    <w:p w14:paraId="13690059">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对于其它钢结构厂房，若不能满足《建规》表3.2.1中关于非承重外墙、柱、梁、屋顶承重构件耐火极限要求，则采取喷涂防火涂料的防火措施，使之满足规范要求。</w:t>
      </w:r>
    </w:p>
    <w:p w14:paraId="7F9D89D5">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（3）其它主厂房内小房及厂房外公辅建筑</w:t>
      </w:r>
    </w:p>
    <w:p w14:paraId="3597A056">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包括钢筋混凝土框架结构及砖混结构，墙体材料为砖墙，均能满足相应的耐火极限要求。</w:t>
      </w:r>
    </w:p>
    <w:p w14:paraId="5FAD7DD5">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利旧的原钢结构厂房、主厂房内小房及厂房外公辅建筑均按满足上述规范要求考虑，无相关消防的改造内容。</w:t>
      </w:r>
      <w:bookmarkEnd w:id="1843"/>
    </w:p>
    <w:p w14:paraId="3D53C392">
      <w:pPr>
        <w:shd w:val="clear"/>
        <w:autoSpaceDE w:val="0"/>
        <w:autoSpaceDN w:val="0"/>
        <w:ind w:firstLine="0" w:firstLineChars="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18.5.2.2 防火分区</w:t>
      </w:r>
    </w:p>
    <w:p w14:paraId="3056D434">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建筑物的防火分区最大允许占地面积是按《建筑防火通用规范》第4节和《钢规》第3节的有关规定进行设计。对其中面积大、火灾危险等级高、人员多的建筑物进行分别说明。</w:t>
      </w:r>
    </w:p>
    <w:p w14:paraId="2613A94F">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（1）主厂房、矿槽</w:t>
      </w:r>
    </w:p>
    <w:p w14:paraId="0C16931F">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主厂房、矿槽为丁类二级单层厂房，每个防火分区的最大允许建筑面积不限。</w:t>
      </w:r>
    </w:p>
    <w:p w14:paraId="7F4716E4">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（2）电气室、转运站等设施</w:t>
      </w:r>
    </w:p>
    <w:p w14:paraId="0EBF4A48">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为丙类二级单/多层厂房，每个防火分区的最大允许建筑面积为8000m</w:t>
      </w:r>
      <w:r>
        <w:rPr>
          <w:rFonts w:hint="eastAsia" w:ascii="Times New Roman" w:hAnsi="Times New Roman" w:cs="Times New Roman"/>
          <w:color w:val="auto"/>
          <w:kern w:val="0"/>
          <w:szCs w:val="22"/>
          <w:highlight w:val="none"/>
          <w:vertAlign w:val="superscript"/>
          <w:lang w:bidi="zh-CN"/>
        </w:rPr>
        <w:t>2</w:t>
      </w:r>
      <w:r>
        <w:rPr>
          <w:rFonts w:hint="eastAsia" w:ascii="Times New Roman" w:hAnsi="Times New Roman" w:cs="Times New Roman"/>
          <w:color w:val="auto"/>
          <w:kern w:val="0"/>
          <w:szCs w:val="22"/>
          <w:highlight w:val="none"/>
          <w:lang w:bidi="zh-CN"/>
        </w:rPr>
        <w:t>/4000m</w:t>
      </w:r>
      <w:r>
        <w:rPr>
          <w:rFonts w:hint="eastAsia" w:ascii="Times New Roman" w:hAnsi="Times New Roman" w:cs="Times New Roman"/>
          <w:color w:val="auto"/>
          <w:kern w:val="0"/>
          <w:szCs w:val="22"/>
          <w:highlight w:val="none"/>
          <w:vertAlign w:val="superscript"/>
          <w:lang w:bidi="zh-CN"/>
        </w:rPr>
        <w:t>2</w:t>
      </w:r>
      <w:r>
        <w:rPr>
          <w:rFonts w:hint="eastAsia" w:ascii="Times New Roman" w:hAnsi="Times New Roman" w:cs="Times New Roman"/>
          <w:color w:val="auto"/>
          <w:kern w:val="0"/>
          <w:szCs w:val="22"/>
          <w:highlight w:val="none"/>
          <w:lang w:bidi="zh-CN"/>
        </w:rPr>
        <w:t>，电缆夹层最大允许建筑面积为1000m</w:t>
      </w:r>
      <w:r>
        <w:rPr>
          <w:rFonts w:hint="eastAsia" w:ascii="Times New Roman" w:hAnsi="Times New Roman" w:cs="Times New Roman"/>
          <w:color w:val="auto"/>
          <w:kern w:val="0"/>
          <w:szCs w:val="22"/>
          <w:highlight w:val="none"/>
          <w:vertAlign w:val="superscript"/>
          <w:lang w:bidi="zh-CN"/>
        </w:rPr>
        <w:t>2</w:t>
      </w:r>
      <w:r>
        <w:rPr>
          <w:rFonts w:hint="eastAsia" w:ascii="Times New Roman" w:hAnsi="Times New Roman" w:cs="Times New Roman"/>
          <w:color w:val="auto"/>
          <w:kern w:val="0"/>
          <w:szCs w:val="22"/>
          <w:highlight w:val="none"/>
          <w:lang w:bidi="zh-CN"/>
        </w:rPr>
        <w:t>，地下层最大允许建筑面积为500m</w:t>
      </w:r>
      <w:r>
        <w:rPr>
          <w:rFonts w:hint="eastAsia" w:ascii="Times New Roman" w:hAnsi="Times New Roman" w:cs="Times New Roman"/>
          <w:color w:val="auto"/>
          <w:kern w:val="0"/>
          <w:szCs w:val="22"/>
          <w:highlight w:val="none"/>
          <w:vertAlign w:val="superscript"/>
          <w:lang w:bidi="zh-CN"/>
        </w:rPr>
        <w:t>2</w:t>
      </w:r>
      <w:r>
        <w:rPr>
          <w:rFonts w:hint="eastAsia" w:ascii="Times New Roman" w:hAnsi="Times New Roman" w:cs="Times New Roman"/>
          <w:color w:val="auto"/>
          <w:kern w:val="0"/>
          <w:szCs w:val="22"/>
          <w:highlight w:val="none"/>
          <w:lang w:bidi="zh-CN"/>
        </w:rPr>
        <w:t>。电气室每层划分为一个防火分区，地上每层均不超过4000m</w:t>
      </w:r>
      <w:r>
        <w:rPr>
          <w:rFonts w:hint="eastAsia" w:ascii="Times New Roman" w:hAnsi="Times New Roman" w:cs="Times New Roman"/>
          <w:color w:val="auto"/>
          <w:kern w:val="0"/>
          <w:szCs w:val="22"/>
          <w:highlight w:val="none"/>
          <w:vertAlign w:val="superscript"/>
          <w:lang w:bidi="zh-CN"/>
        </w:rPr>
        <w:t>2</w:t>
      </w:r>
      <w:r>
        <w:rPr>
          <w:rFonts w:hint="eastAsia" w:ascii="Times New Roman" w:hAnsi="Times New Roman" w:cs="Times New Roman"/>
          <w:color w:val="auto"/>
          <w:kern w:val="0"/>
          <w:szCs w:val="22"/>
          <w:highlight w:val="none"/>
          <w:lang w:bidi="zh-CN"/>
        </w:rPr>
        <w:t>。</w:t>
      </w:r>
    </w:p>
    <w:p w14:paraId="0D9760E4">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因原出铁场、矿槽厂房均满足上述规范要求，本次改造无此方面改造内容。本次新建电气室及配电室面积不大，均满足要求。</w:t>
      </w:r>
    </w:p>
    <w:p w14:paraId="3D8E23D0">
      <w:pPr>
        <w:shd w:val="clear"/>
        <w:ind w:firstLine="0" w:firstLineChars="0"/>
        <w:outlineLvl w:val="3"/>
        <w:rPr>
          <w:rFonts w:ascii="Times New Roman" w:hAnsi="Times New Roman" w:cs="Times New Roman"/>
          <w:color w:val="auto"/>
          <w:highlight w:val="none"/>
        </w:rPr>
      </w:pPr>
      <w:r>
        <w:rPr>
          <w:rFonts w:hint="eastAsia" w:ascii="Times New Roman" w:hAnsi="Times New Roman" w:cs="Times New Roman"/>
          <w:color w:val="auto"/>
          <w:highlight w:val="none"/>
        </w:rPr>
        <w:t>1</w:t>
      </w:r>
      <w:r>
        <w:rPr>
          <w:rFonts w:ascii="Times New Roman" w:hAnsi="Times New Roman" w:cs="Times New Roman"/>
          <w:color w:val="auto"/>
          <w:highlight w:val="none"/>
        </w:rPr>
        <w:t>8.5.2.3 安全疏散</w:t>
      </w:r>
    </w:p>
    <w:p w14:paraId="20E32B20">
      <w:pPr>
        <w:shd w:val="clear"/>
        <w:autoSpaceDE w:val="0"/>
        <w:autoSpaceDN w:val="0"/>
        <w:rPr>
          <w:rFonts w:ascii="Times New Roman" w:hAnsi="Times New Roman" w:cs="Times New Roman"/>
          <w:color w:val="auto"/>
          <w:kern w:val="0"/>
          <w:szCs w:val="22"/>
          <w:highlight w:val="none"/>
          <w:lang w:bidi="zh-CN"/>
        </w:rPr>
      </w:pPr>
      <w:bookmarkStart w:id="1844" w:name="_Hlk152605277"/>
      <w:r>
        <w:rPr>
          <w:rFonts w:hint="eastAsia" w:ascii="Times New Roman" w:hAnsi="Times New Roman" w:cs="Times New Roman"/>
          <w:color w:val="auto"/>
          <w:kern w:val="0"/>
          <w:szCs w:val="22"/>
          <w:highlight w:val="none"/>
          <w:lang w:bidi="zh-CN"/>
        </w:rPr>
        <w:t>建筑物的安全疏散按《建筑防火通用规范》第7节和《钢规》第5.1节的有关规定进行设计。对其中面积大、火灾危险等级高、人员多的建筑物进行分别说明。</w:t>
      </w:r>
    </w:p>
    <w:bookmarkEnd w:id="1844"/>
    <w:p w14:paraId="70E3CEC3">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（1）主厂房</w:t>
      </w:r>
    </w:p>
    <w:p w14:paraId="4B844CE9">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为丁类二级单层厂房，厂房内任一点到最近安全出口的距离不限，设计中按工艺使用要求多处设大门及人行小门。</w:t>
      </w:r>
    </w:p>
    <w:p w14:paraId="2FF7F583">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（2）新增电气室、转运站等设施</w:t>
      </w:r>
    </w:p>
    <w:p w14:paraId="39D7C107">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新增电气室每个防火分区的安全出口数量不少于2个。其余新增建构筑物可设置1个安全出口。厂房内任一点到最近安全出口的距离不大于60m。</w:t>
      </w:r>
    </w:p>
    <w:p w14:paraId="77056D17">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出铁场除尘配电室设置3个安全出口。因丁、戊类厂房建筑面积均不大于400㎡，炉前液压操作室、CEMS分析室、新建酸返仓、碱返仓、F1转运站、F2转运站、F3转运站、F4转运站设置一个安全出口。</w:t>
      </w:r>
    </w:p>
    <w:p w14:paraId="7076EA7B">
      <w:pPr>
        <w:shd w:val="clear"/>
        <w:ind w:firstLine="0" w:firstLineChars="0"/>
        <w:outlineLvl w:val="3"/>
        <w:rPr>
          <w:rFonts w:ascii="Times New Roman" w:hAnsi="Times New Roman" w:cs="Times New Roman"/>
          <w:color w:val="auto"/>
          <w:highlight w:val="none"/>
        </w:rPr>
      </w:pPr>
      <w:r>
        <w:rPr>
          <w:rFonts w:hint="eastAsia" w:ascii="Times New Roman" w:hAnsi="Times New Roman" w:cs="Times New Roman"/>
          <w:color w:val="auto"/>
          <w:highlight w:val="none"/>
        </w:rPr>
        <w:t>1</w:t>
      </w:r>
      <w:r>
        <w:rPr>
          <w:rFonts w:ascii="Times New Roman" w:hAnsi="Times New Roman" w:cs="Times New Roman"/>
          <w:color w:val="auto"/>
          <w:highlight w:val="none"/>
        </w:rPr>
        <w:t>8.5.2.4 建筑构造</w:t>
      </w:r>
    </w:p>
    <w:p w14:paraId="40ED05BC">
      <w:pPr>
        <w:shd w:val="clear"/>
        <w:autoSpaceDE w:val="0"/>
        <w:autoSpaceDN w:val="0"/>
        <w:rPr>
          <w:rFonts w:ascii="Times New Roman" w:hAnsi="Times New Roman" w:cs="Times New Roman"/>
          <w:color w:val="auto"/>
          <w:kern w:val="0"/>
          <w:szCs w:val="22"/>
          <w:highlight w:val="none"/>
          <w:lang w:bidi="zh-CN"/>
        </w:rPr>
      </w:pPr>
      <w:bookmarkStart w:id="1845" w:name="_Hlk152605313"/>
      <w:r>
        <w:rPr>
          <w:rFonts w:hint="eastAsia" w:ascii="Times New Roman" w:hAnsi="Times New Roman" w:cs="Times New Roman"/>
          <w:color w:val="auto"/>
          <w:kern w:val="0"/>
          <w:szCs w:val="22"/>
          <w:highlight w:val="none"/>
          <w:lang w:bidi="zh-CN"/>
        </w:rPr>
        <w:t>本工程的建筑构造按《建筑防火通用规范》第6节的有关规定进行设计。</w:t>
      </w:r>
    </w:p>
    <w:p w14:paraId="7990BDBC">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（1）有电缆穿过防火墙时，设计预留电缆穿过的洞口，此洞口待电缆安装毕，由电气专业设计填堵，填堵后的墙耐火极限为3h。</w:t>
      </w:r>
    </w:p>
    <w:p w14:paraId="36965EBF">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（2）防火墙上不设门窗，如必须开设时，应设置固定的或火灾时能自动关闭的甲级防火门窗。</w:t>
      </w:r>
    </w:p>
    <w:p w14:paraId="48A2EB08">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 xml:space="preserve">（3）防火门设闭门器，能自行关闭，对于平时需常开的防火门，要安装自动闭门释放器（又名电动闭门器），与消防报警系统并网，火灾时受控释放，在内部弹簧力作用下，使防火门自行关闭，并同时切断电源、反馈信号，使耐火门起到防火分隔的作用。 </w:t>
      </w:r>
    </w:p>
    <w:p w14:paraId="52F32C8D">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（4）电气室与电缆夹层（电缆室）以及电气室与电缆隧道相通的防火门采用甲级防火门。此门常闭，并向电气室方向开启。</w:t>
      </w:r>
    </w:p>
    <w:bookmarkEnd w:id="1845"/>
    <w:p w14:paraId="558E4175">
      <w:pPr>
        <w:shd w:val="clear"/>
        <w:autoSpaceDE w:val="0"/>
        <w:autoSpaceDN w:val="0"/>
        <w:ind w:firstLine="0" w:firstLineChars="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18.5.2.5 建筑内部装修</w:t>
      </w:r>
    </w:p>
    <w:p w14:paraId="125ACF5A">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建筑内部装修遵照《建筑防火通用规范》第6.5节、《建筑内部装修设计防火规范》GB 50222有关规定进行设计。本次改造内容中：</w:t>
      </w:r>
    </w:p>
    <w:p w14:paraId="600CB061">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（1）主厂房</w:t>
      </w:r>
    </w:p>
    <w:p w14:paraId="04B43508">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为无明火丁类厂房，墙面、地面均采用不低于B1级装修材料。</w:t>
      </w:r>
    </w:p>
    <w:p w14:paraId="173C307B">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（2）新增电气室、开关站等供配电设施</w:t>
      </w:r>
    </w:p>
    <w:p w14:paraId="4178A84F">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为丙类厂房，地上部分顶棚、墙面采用不低于B1级装修材料，地面采用不低于B1级装修材料；地下部分顶棚、墙面、地面均采用不低于A级装修材料。</w:t>
      </w:r>
    </w:p>
    <w:p w14:paraId="3DED72D9">
      <w:pPr>
        <w:shd w:val="clear"/>
        <w:ind w:firstLine="482"/>
        <w:jc w:val="center"/>
        <w:rPr>
          <w:b/>
          <w:bCs/>
          <w:color w:val="auto"/>
          <w:sz w:val="18"/>
          <w:szCs w:val="18"/>
          <w:highlight w:val="none"/>
        </w:rPr>
      </w:pPr>
      <w:r>
        <w:rPr>
          <w:rFonts w:hint="eastAsia" w:cs="宋体"/>
          <w:b/>
          <w:bCs/>
          <w:color w:val="auto"/>
          <w:kern w:val="0"/>
          <w:highlight w:val="none"/>
          <w:lang w:bidi="ar"/>
        </w:rPr>
        <w:t>2号高炉需更换及新增甲级防火门统计</w:t>
      </w:r>
    </w:p>
    <w:bookmarkEnd w:id="1841"/>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977"/>
        <w:gridCol w:w="3678"/>
        <w:gridCol w:w="988"/>
      </w:tblGrid>
      <w:tr w14:paraId="2FEB2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7C272BA8">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序号</w:t>
            </w:r>
          </w:p>
        </w:tc>
        <w:tc>
          <w:tcPr>
            <w:tcW w:w="3255" w:type="dxa"/>
            <w:vAlign w:val="center"/>
          </w:tcPr>
          <w:p w14:paraId="52AC902E">
            <w:pPr>
              <w:widowControl/>
              <w:shd w:val="clear"/>
              <w:jc w:val="center"/>
              <w:textAlignment w:val="center"/>
              <w:rPr>
                <w:rFonts w:cs="宋体"/>
                <w:color w:val="auto"/>
                <w:highlight w:val="none"/>
              </w:rPr>
            </w:pPr>
            <w:r>
              <w:rPr>
                <w:rFonts w:hint="eastAsia" w:cs="宋体"/>
                <w:color w:val="auto"/>
                <w:kern w:val="0"/>
                <w:highlight w:val="none"/>
                <w:lang w:bidi="ar"/>
              </w:rPr>
              <w:t>安装位置</w:t>
            </w:r>
          </w:p>
        </w:tc>
        <w:tc>
          <w:tcPr>
            <w:tcW w:w="4035" w:type="dxa"/>
            <w:vAlign w:val="center"/>
          </w:tcPr>
          <w:p w14:paraId="091A301A">
            <w:pPr>
              <w:widowControl/>
              <w:shd w:val="clear"/>
              <w:jc w:val="center"/>
              <w:textAlignment w:val="center"/>
              <w:rPr>
                <w:rFonts w:cs="宋体"/>
                <w:color w:val="auto"/>
                <w:highlight w:val="none"/>
              </w:rPr>
            </w:pPr>
            <w:r>
              <w:rPr>
                <w:rFonts w:hint="eastAsia" w:cs="宋体"/>
                <w:color w:val="auto"/>
                <w:kern w:val="0"/>
                <w:highlight w:val="none"/>
                <w:lang w:bidi="ar"/>
              </w:rPr>
              <w:t>尺寸</w:t>
            </w:r>
          </w:p>
        </w:tc>
        <w:tc>
          <w:tcPr>
            <w:tcW w:w="1060" w:type="dxa"/>
            <w:vAlign w:val="center"/>
          </w:tcPr>
          <w:p w14:paraId="5D0B26F9">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数量</w:t>
            </w:r>
          </w:p>
        </w:tc>
      </w:tr>
      <w:tr w14:paraId="00D4C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1613BE0E">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c>
          <w:tcPr>
            <w:tcW w:w="3255" w:type="dxa"/>
            <w:vAlign w:val="center"/>
          </w:tcPr>
          <w:p w14:paraId="2C0FB363">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卷扬炉台电磁站北门</w:t>
            </w:r>
          </w:p>
        </w:tc>
        <w:tc>
          <w:tcPr>
            <w:tcW w:w="4035" w:type="dxa"/>
            <w:vAlign w:val="center"/>
          </w:tcPr>
          <w:p w14:paraId="1E6CA771">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1.5m（宽）*2.41m（高）(双开门)</w:t>
            </w:r>
          </w:p>
        </w:tc>
        <w:tc>
          <w:tcPr>
            <w:tcW w:w="1060" w:type="dxa"/>
            <w:vAlign w:val="center"/>
          </w:tcPr>
          <w:p w14:paraId="08EBC1E2">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1A3FA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386F06B6">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2</w:t>
            </w:r>
          </w:p>
        </w:tc>
        <w:tc>
          <w:tcPr>
            <w:tcW w:w="3255" w:type="dxa"/>
            <w:vAlign w:val="center"/>
          </w:tcPr>
          <w:p w14:paraId="6502B748">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卷扬室北门</w:t>
            </w:r>
          </w:p>
        </w:tc>
        <w:tc>
          <w:tcPr>
            <w:tcW w:w="4035" w:type="dxa"/>
            <w:vAlign w:val="center"/>
          </w:tcPr>
          <w:p w14:paraId="485109A2">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1.27m（宽）*2.2m（高）(双开门)</w:t>
            </w:r>
          </w:p>
        </w:tc>
        <w:tc>
          <w:tcPr>
            <w:tcW w:w="1060" w:type="dxa"/>
            <w:vAlign w:val="center"/>
          </w:tcPr>
          <w:p w14:paraId="13483C3C">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0D19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2F50A42F">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3</w:t>
            </w:r>
          </w:p>
        </w:tc>
        <w:tc>
          <w:tcPr>
            <w:tcW w:w="3255" w:type="dxa"/>
            <w:vAlign w:val="center"/>
          </w:tcPr>
          <w:p w14:paraId="2A21D08A">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卷扬低压电磁站东墙北门</w:t>
            </w:r>
          </w:p>
        </w:tc>
        <w:tc>
          <w:tcPr>
            <w:tcW w:w="4035" w:type="dxa"/>
            <w:vAlign w:val="center"/>
          </w:tcPr>
          <w:p w14:paraId="640DAEB6">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1.0m（宽）*2.42m（高）(单开门)</w:t>
            </w:r>
          </w:p>
        </w:tc>
        <w:tc>
          <w:tcPr>
            <w:tcW w:w="1060" w:type="dxa"/>
            <w:vAlign w:val="center"/>
          </w:tcPr>
          <w:p w14:paraId="5246D97B">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75F15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73608041">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4</w:t>
            </w:r>
          </w:p>
        </w:tc>
        <w:tc>
          <w:tcPr>
            <w:tcW w:w="3255" w:type="dxa"/>
            <w:vAlign w:val="center"/>
          </w:tcPr>
          <w:p w14:paraId="257B6484">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卷扬低压电磁站东墙南门</w:t>
            </w:r>
          </w:p>
        </w:tc>
        <w:tc>
          <w:tcPr>
            <w:tcW w:w="4035" w:type="dxa"/>
            <w:vAlign w:val="center"/>
          </w:tcPr>
          <w:p w14:paraId="332805EE">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1.0m（宽）*2.38m（高）(单开门)</w:t>
            </w:r>
          </w:p>
        </w:tc>
        <w:tc>
          <w:tcPr>
            <w:tcW w:w="1060" w:type="dxa"/>
            <w:vAlign w:val="center"/>
          </w:tcPr>
          <w:p w14:paraId="2EFC51FD">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56F35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7A90E33D">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5</w:t>
            </w:r>
          </w:p>
        </w:tc>
        <w:tc>
          <w:tcPr>
            <w:tcW w:w="3255" w:type="dxa"/>
            <w:vAlign w:val="center"/>
          </w:tcPr>
          <w:p w14:paraId="6696F8D2">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卷扬整流室北墙西门</w:t>
            </w:r>
          </w:p>
        </w:tc>
        <w:tc>
          <w:tcPr>
            <w:tcW w:w="4035" w:type="dxa"/>
            <w:vAlign w:val="center"/>
          </w:tcPr>
          <w:p w14:paraId="51DD5A91">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1.19m（宽）*m2.41（高）(单开门)</w:t>
            </w:r>
          </w:p>
        </w:tc>
        <w:tc>
          <w:tcPr>
            <w:tcW w:w="1060" w:type="dxa"/>
            <w:vAlign w:val="center"/>
          </w:tcPr>
          <w:p w14:paraId="411E884C">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59998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49735DFB">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6</w:t>
            </w:r>
          </w:p>
        </w:tc>
        <w:tc>
          <w:tcPr>
            <w:tcW w:w="3255" w:type="dxa"/>
            <w:vAlign w:val="center"/>
          </w:tcPr>
          <w:p w14:paraId="4E4A1F39">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卷扬整流室北墙南门</w:t>
            </w:r>
          </w:p>
        </w:tc>
        <w:tc>
          <w:tcPr>
            <w:tcW w:w="4035" w:type="dxa"/>
            <w:vAlign w:val="center"/>
          </w:tcPr>
          <w:p w14:paraId="41634168">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1.19m（宽）*2.41m（高）(单开门)</w:t>
            </w:r>
          </w:p>
        </w:tc>
        <w:tc>
          <w:tcPr>
            <w:tcW w:w="1060" w:type="dxa"/>
            <w:vAlign w:val="center"/>
          </w:tcPr>
          <w:p w14:paraId="2145463E">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079E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6A640A7C">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7</w:t>
            </w:r>
          </w:p>
        </w:tc>
        <w:tc>
          <w:tcPr>
            <w:tcW w:w="3255" w:type="dxa"/>
            <w:vAlign w:val="center"/>
          </w:tcPr>
          <w:p w14:paraId="6FBBAF3D">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卷扬整流室南门</w:t>
            </w:r>
          </w:p>
        </w:tc>
        <w:tc>
          <w:tcPr>
            <w:tcW w:w="4035" w:type="dxa"/>
            <w:vAlign w:val="center"/>
          </w:tcPr>
          <w:p w14:paraId="42C9992D">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0.96m（宽）*2.4m（高）(单开门)</w:t>
            </w:r>
          </w:p>
        </w:tc>
        <w:tc>
          <w:tcPr>
            <w:tcW w:w="1060" w:type="dxa"/>
            <w:vAlign w:val="center"/>
          </w:tcPr>
          <w:p w14:paraId="520D3AE7">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410BF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69ED8285">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8</w:t>
            </w:r>
          </w:p>
        </w:tc>
        <w:tc>
          <w:tcPr>
            <w:tcW w:w="3255" w:type="dxa"/>
            <w:vAlign w:val="center"/>
          </w:tcPr>
          <w:p w14:paraId="4453B57C">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炉台电缆夹层北门</w:t>
            </w:r>
          </w:p>
        </w:tc>
        <w:tc>
          <w:tcPr>
            <w:tcW w:w="4035" w:type="dxa"/>
            <w:vAlign w:val="center"/>
          </w:tcPr>
          <w:p w14:paraId="697A6AF1">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1.46m（宽）*2.45m（高）(双开门)</w:t>
            </w:r>
          </w:p>
        </w:tc>
        <w:tc>
          <w:tcPr>
            <w:tcW w:w="1060" w:type="dxa"/>
            <w:vAlign w:val="center"/>
          </w:tcPr>
          <w:p w14:paraId="18152ABB">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2B122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42403E1A">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9</w:t>
            </w:r>
          </w:p>
        </w:tc>
        <w:tc>
          <w:tcPr>
            <w:tcW w:w="3255" w:type="dxa"/>
            <w:vAlign w:val="center"/>
          </w:tcPr>
          <w:p w14:paraId="703129E2">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炉台电缆夹层南门</w:t>
            </w:r>
          </w:p>
        </w:tc>
        <w:tc>
          <w:tcPr>
            <w:tcW w:w="4035" w:type="dxa"/>
            <w:vAlign w:val="center"/>
          </w:tcPr>
          <w:p w14:paraId="6179E9A1">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1.46m（宽）*2.45m（高）(双开门)</w:t>
            </w:r>
          </w:p>
        </w:tc>
        <w:tc>
          <w:tcPr>
            <w:tcW w:w="1060" w:type="dxa"/>
            <w:vAlign w:val="center"/>
          </w:tcPr>
          <w:p w14:paraId="2B5B1E49">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555D9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56712B26">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10</w:t>
            </w:r>
          </w:p>
        </w:tc>
        <w:tc>
          <w:tcPr>
            <w:tcW w:w="3255" w:type="dxa"/>
            <w:vAlign w:val="center"/>
          </w:tcPr>
          <w:p w14:paraId="3388282C">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炉台PLC室东墙北门</w:t>
            </w:r>
          </w:p>
        </w:tc>
        <w:tc>
          <w:tcPr>
            <w:tcW w:w="4035" w:type="dxa"/>
            <w:vAlign w:val="center"/>
          </w:tcPr>
          <w:p w14:paraId="0B84F41F">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0.9m（宽）*2.1m（高）(单开门)</w:t>
            </w:r>
          </w:p>
        </w:tc>
        <w:tc>
          <w:tcPr>
            <w:tcW w:w="1060" w:type="dxa"/>
            <w:vAlign w:val="center"/>
          </w:tcPr>
          <w:p w14:paraId="09DAA418">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3C531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3BD9BA1C">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11</w:t>
            </w:r>
          </w:p>
        </w:tc>
        <w:tc>
          <w:tcPr>
            <w:tcW w:w="3255" w:type="dxa"/>
            <w:vAlign w:val="center"/>
          </w:tcPr>
          <w:p w14:paraId="779BD233">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炉台PLC室东墙南门</w:t>
            </w:r>
          </w:p>
        </w:tc>
        <w:tc>
          <w:tcPr>
            <w:tcW w:w="4035" w:type="dxa"/>
            <w:vAlign w:val="center"/>
          </w:tcPr>
          <w:p w14:paraId="327793B9">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0.9m（宽）*2.1m（高）(单开门)</w:t>
            </w:r>
          </w:p>
        </w:tc>
        <w:tc>
          <w:tcPr>
            <w:tcW w:w="1060" w:type="dxa"/>
            <w:vAlign w:val="center"/>
          </w:tcPr>
          <w:p w14:paraId="5203DD33">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20101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4DB8A2C3">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12</w:t>
            </w:r>
          </w:p>
        </w:tc>
        <w:tc>
          <w:tcPr>
            <w:tcW w:w="3255" w:type="dxa"/>
            <w:vAlign w:val="center"/>
          </w:tcPr>
          <w:p w14:paraId="0C115F8C">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炉台PLC室南门</w:t>
            </w:r>
          </w:p>
        </w:tc>
        <w:tc>
          <w:tcPr>
            <w:tcW w:w="4035" w:type="dxa"/>
            <w:vAlign w:val="center"/>
          </w:tcPr>
          <w:p w14:paraId="57059734">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0.8m（宽）*2.1m（高）(单开门)</w:t>
            </w:r>
          </w:p>
        </w:tc>
        <w:tc>
          <w:tcPr>
            <w:tcW w:w="1060" w:type="dxa"/>
            <w:vAlign w:val="center"/>
          </w:tcPr>
          <w:p w14:paraId="58441329">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25A43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5A4B90ED">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13</w:t>
            </w:r>
          </w:p>
        </w:tc>
        <w:tc>
          <w:tcPr>
            <w:tcW w:w="3255" w:type="dxa"/>
            <w:vAlign w:val="center"/>
          </w:tcPr>
          <w:p w14:paraId="11FDE2B7">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2号除尘1#（原出铁场除尘）</w:t>
            </w:r>
          </w:p>
        </w:tc>
        <w:tc>
          <w:tcPr>
            <w:tcW w:w="4035" w:type="dxa"/>
            <w:vAlign w:val="center"/>
          </w:tcPr>
          <w:p w14:paraId="61ACE309">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0.95m（宽）*2.365m（高）(单开门)</w:t>
            </w:r>
          </w:p>
        </w:tc>
        <w:tc>
          <w:tcPr>
            <w:tcW w:w="1060" w:type="dxa"/>
            <w:vAlign w:val="center"/>
          </w:tcPr>
          <w:p w14:paraId="6539EC38">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3E38E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2C897305">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14</w:t>
            </w:r>
          </w:p>
        </w:tc>
        <w:tc>
          <w:tcPr>
            <w:tcW w:w="3255" w:type="dxa"/>
            <w:vAlign w:val="center"/>
          </w:tcPr>
          <w:p w14:paraId="6DAE341E">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2号除尘2#（原出铁场除尘）</w:t>
            </w:r>
          </w:p>
        </w:tc>
        <w:tc>
          <w:tcPr>
            <w:tcW w:w="4035" w:type="dxa"/>
            <w:vAlign w:val="center"/>
          </w:tcPr>
          <w:p w14:paraId="6BB88675">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0.96m（宽）*2.11m（高）(单开门)</w:t>
            </w:r>
          </w:p>
        </w:tc>
        <w:tc>
          <w:tcPr>
            <w:tcW w:w="1060" w:type="dxa"/>
            <w:vAlign w:val="center"/>
          </w:tcPr>
          <w:p w14:paraId="70C026B8">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2B46B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3B183500">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15</w:t>
            </w:r>
          </w:p>
        </w:tc>
        <w:tc>
          <w:tcPr>
            <w:tcW w:w="3255" w:type="dxa"/>
            <w:vAlign w:val="center"/>
          </w:tcPr>
          <w:p w14:paraId="799F943F">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2号除尘3#（原出铁场除尘）</w:t>
            </w:r>
          </w:p>
        </w:tc>
        <w:tc>
          <w:tcPr>
            <w:tcW w:w="4035" w:type="dxa"/>
            <w:vAlign w:val="center"/>
          </w:tcPr>
          <w:p w14:paraId="3CCE3256">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0.798m（宽）*1.96m（高）(单开门)</w:t>
            </w:r>
          </w:p>
        </w:tc>
        <w:tc>
          <w:tcPr>
            <w:tcW w:w="1060" w:type="dxa"/>
            <w:vAlign w:val="center"/>
          </w:tcPr>
          <w:p w14:paraId="4717A99E">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37C63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4FB74D44">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16</w:t>
            </w:r>
          </w:p>
        </w:tc>
        <w:tc>
          <w:tcPr>
            <w:tcW w:w="3255" w:type="dxa"/>
            <w:vAlign w:val="center"/>
          </w:tcPr>
          <w:p w14:paraId="6827022D">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3号除尘1#（矿槽除尘）</w:t>
            </w:r>
          </w:p>
        </w:tc>
        <w:tc>
          <w:tcPr>
            <w:tcW w:w="4035" w:type="dxa"/>
            <w:vAlign w:val="center"/>
          </w:tcPr>
          <w:p w14:paraId="4EC4F1AF">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0.99m（宽）*2.14m（高）(单开门)</w:t>
            </w:r>
          </w:p>
        </w:tc>
        <w:tc>
          <w:tcPr>
            <w:tcW w:w="1060" w:type="dxa"/>
            <w:vAlign w:val="center"/>
          </w:tcPr>
          <w:p w14:paraId="14FB1F24">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419A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547038C3">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17</w:t>
            </w:r>
          </w:p>
        </w:tc>
        <w:tc>
          <w:tcPr>
            <w:tcW w:w="3255" w:type="dxa"/>
            <w:vAlign w:val="center"/>
          </w:tcPr>
          <w:p w14:paraId="3B598326">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3号除尘2#（矿槽除尘）</w:t>
            </w:r>
          </w:p>
        </w:tc>
        <w:tc>
          <w:tcPr>
            <w:tcW w:w="4035" w:type="dxa"/>
            <w:vAlign w:val="center"/>
          </w:tcPr>
          <w:p w14:paraId="190D9A9D">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0.915m（宽）*1.85m（高）(单开门)</w:t>
            </w:r>
          </w:p>
        </w:tc>
        <w:tc>
          <w:tcPr>
            <w:tcW w:w="1060" w:type="dxa"/>
            <w:vAlign w:val="center"/>
          </w:tcPr>
          <w:p w14:paraId="38739BA3">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15D7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667005EE">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18</w:t>
            </w:r>
          </w:p>
        </w:tc>
        <w:tc>
          <w:tcPr>
            <w:tcW w:w="3255" w:type="dxa"/>
            <w:vAlign w:val="center"/>
          </w:tcPr>
          <w:p w14:paraId="4668E0FB">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3号除尘3#（矿槽除尘）</w:t>
            </w:r>
          </w:p>
        </w:tc>
        <w:tc>
          <w:tcPr>
            <w:tcW w:w="4035" w:type="dxa"/>
            <w:vAlign w:val="center"/>
          </w:tcPr>
          <w:p w14:paraId="026A4097">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0.98m（宽）*2.39m（高）(单开门)</w:t>
            </w:r>
          </w:p>
        </w:tc>
        <w:tc>
          <w:tcPr>
            <w:tcW w:w="1060" w:type="dxa"/>
            <w:vAlign w:val="center"/>
          </w:tcPr>
          <w:p w14:paraId="56E5CE05">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3D891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403600BF">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19</w:t>
            </w:r>
          </w:p>
        </w:tc>
        <w:tc>
          <w:tcPr>
            <w:tcW w:w="3255" w:type="dxa"/>
            <w:vAlign w:val="center"/>
          </w:tcPr>
          <w:p w14:paraId="74B7DC1A">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热风炉助燃风机变频室南门</w:t>
            </w:r>
          </w:p>
        </w:tc>
        <w:tc>
          <w:tcPr>
            <w:tcW w:w="4035" w:type="dxa"/>
            <w:vAlign w:val="center"/>
          </w:tcPr>
          <w:p w14:paraId="4D952299">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0.95m（宽）*2.12m（高）(单开门)</w:t>
            </w:r>
          </w:p>
        </w:tc>
        <w:tc>
          <w:tcPr>
            <w:tcW w:w="1060" w:type="dxa"/>
            <w:vAlign w:val="center"/>
          </w:tcPr>
          <w:p w14:paraId="272BC064">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617A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0A2B9EFC">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20</w:t>
            </w:r>
          </w:p>
        </w:tc>
        <w:tc>
          <w:tcPr>
            <w:tcW w:w="3255" w:type="dxa"/>
            <w:vAlign w:val="center"/>
          </w:tcPr>
          <w:p w14:paraId="628CD897">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热风炉助燃风机变频室北门</w:t>
            </w:r>
          </w:p>
        </w:tc>
        <w:tc>
          <w:tcPr>
            <w:tcW w:w="4035" w:type="dxa"/>
            <w:vAlign w:val="center"/>
          </w:tcPr>
          <w:p w14:paraId="26BF1F8B">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1.52m（宽）*2.06m（高）(双开门)</w:t>
            </w:r>
          </w:p>
        </w:tc>
        <w:tc>
          <w:tcPr>
            <w:tcW w:w="1060" w:type="dxa"/>
            <w:vAlign w:val="center"/>
          </w:tcPr>
          <w:p w14:paraId="04A91406">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7D379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4F0C61E2">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21</w:t>
            </w:r>
          </w:p>
        </w:tc>
        <w:tc>
          <w:tcPr>
            <w:tcW w:w="3255" w:type="dxa"/>
            <w:vAlign w:val="center"/>
          </w:tcPr>
          <w:p w14:paraId="245D0EC2">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煤气遮断阀控制室</w:t>
            </w:r>
          </w:p>
        </w:tc>
        <w:tc>
          <w:tcPr>
            <w:tcW w:w="4035" w:type="dxa"/>
            <w:vAlign w:val="center"/>
          </w:tcPr>
          <w:p w14:paraId="4659265B">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0.96m（宽）*2.11m（高）(单开门)</w:t>
            </w:r>
          </w:p>
        </w:tc>
        <w:tc>
          <w:tcPr>
            <w:tcW w:w="1060" w:type="dxa"/>
            <w:vAlign w:val="center"/>
          </w:tcPr>
          <w:p w14:paraId="68445E86">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13DDE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70E5326B">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22</w:t>
            </w:r>
          </w:p>
        </w:tc>
        <w:tc>
          <w:tcPr>
            <w:tcW w:w="3255" w:type="dxa"/>
            <w:vAlign w:val="center"/>
          </w:tcPr>
          <w:p w14:paraId="474BF1FF">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矿槽自动上料PLC室南门</w:t>
            </w:r>
          </w:p>
        </w:tc>
        <w:tc>
          <w:tcPr>
            <w:tcW w:w="4035" w:type="dxa"/>
            <w:vAlign w:val="center"/>
          </w:tcPr>
          <w:p w14:paraId="4CC69CA0">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0.90m（宽）*2.1m（高）(单开门)</w:t>
            </w:r>
          </w:p>
        </w:tc>
        <w:tc>
          <w:tcPr>
            <w:tcW w:w="1060" w:type="dxa"/>
            <w:vAlign w:val="center"/>
          </w:tcPr>
          <w:p w14:paraId="1A2ADE31">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70BEF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6CCD7D3E">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23</w:t>
            </w:r>
          </w:p>
        </w:tc>
        <w:tc>
          <w:tcPr>
            <w:tcW w:w="3255" w:type="dxa"/>
            <w:vAlign w:val="center"/>
          </w:tcPr>
          <w:p w14:paraId="0164BAC4">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矿槽自动上料PLC室北门</w:t>
            </w:r>
          </w:p>
        </w:tc>
        <w:tc>
          <w:tcPr>
            <w:tcW w:w="4035" w:type="dxa"/>
            <w:vAlign w:val="center"/>
          </w:tcPr>
          <w:p w14:paraId="75EB36A7">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0.90m（宽）*2.1m（高）(单开门)</w:t>
            </w:r>
          </w:p>
        </w:tc>
        <w:tc>
          <w:tcPr>
            <w:tcW w:w="1060" w:type="dxa"/>
            <w:vAlign w:val="center"/>
          </w:tcPr>
          <w:p w14:paraId="4166BFDD">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r>
      <w:tr w14:paraId="7DCF1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76834F0F">
            <w:pPr>
              <w:widowControl/>
              <w:shd w:val="clear"/>
              <w:ind w:firstLine="0" w:firstLineChars="0"/>
              <w:jc w:val="center"/>
              <w:textAlignment w:val="center"/>
              <w:rPr>
                <w:rFonts w:cs="宋体"/>
                <w:color w:val="auto"/>
                <w:kern w:val="0"/>
                <w:highlight w:val="none"/>
                <w:lang w:bidi="ar"/>
              </w:rPr>
            </w:pPr>
            <w:r>
              <w:rPr>
                <w:rFonts w:hint="eastAsia" w:cs="宋体"/>
                <w:color w:val="auto"/>
                <w:kern w:val="0"/>
                <w:highlight w:val="none"/>
                <w:lang w:bidi="ar"/>
              </w:rPr>
              <w:t>24</w:t>
            </w:r>
          </w:p>
        </w:tc>
        <w:tc>
          <w:tcPr>
            <w:tcW w:w="3255" w:type="dxa"/>
            <w:vAlign w:val="center"/>
          </w:tcPr>
          <w:p w14:paraId="13DAD4FA">
            <w:pPr>
              <w:widowControl/>
              <w:shd w:val="clear"/>
              <w:ind w:firstLine="0" w:firstLineChars="0"/>
              <w:jc w:val="center"/>
              <w:textAlignment w:val="center"/>
              <w:rPr>
                <w:rFonts w:cs="宋体"/>
                <w:color w:val="auto"/>
                <w:kern w:val="0"/>
                <w:highlight w:val="none"/>
                <w:lang w:bidi="ar"/>
              </w:rPr>
            </w:pPr>
            <w:r>
              <w:rPr>
                <w:rFonts w:hint="eastAsia" w:cs="宋体"/>
                <w:color w:val="auto"/>
                <w:kern w:val="0"/>
                <w:highlight w:val="none"/>
                <w:lang w:bidi="ar"/>
              </w:rPr>
              <w:t>炉前液压操作室</w:t>
            </w:r>
          </w:p>
        </w:tc>
        <w:tc>
          <w:tcPr>
            <w:tcW w:w="4035" w:type="dxa"/>
            <w:vAlign w:val="center"/>
          </w:tcPr>
          <w:p w14:paraId="5E4E0052">
            <w:pPr>
              <w:widowControl/>
              <w:shd w:val="clear"/>
              <w:ind w:firstLine="0" w:firstLineChars="0"/>
              <w:jc w:val="center"/>
              <w:textAlignment w:val="center"/>
              <w:rPr>
                <w:rFonts w:cs="宋体"/>
                <w:color w:val="auto"/>
                <w:kern w:val="0"/>
                <w:highlight w:val="none"/>
                <w:lang w:bidi="ar"/>
              </w:rPr>
            </w:pPr>
            <w:r>
              <w:rPr>
                <w:rFonts w:hint="eastAsia" w:cs="宋体"/>
                <w:color w:val="auto"/>
                <w:kern w:val="0"/>
                <w:highlight w:val="none"/>
                <w:lang w:bidi="ar"/>
              </w:rPr>
              <w:t>1.20m（宽）*2.4m（高）(单开门)</w:t>
            </w:r>
          </w:p>
        </w:tc>
        <w:tc>
          <w:tcPr>
            <w:tcW w:w="1060" w:type="dxa"/>
            <w:vAlign w:val="center"/>
          </w:tcPr>
          <w:p w14:paraId="7154E7A0">
            <w:pPr>
              <w:widowControl/>
              <w:shd w:val="clear"/>
              <w:ind w:firstLine="0" w:firstLineChars="0"/>
              <w:jc w:val="center"/>
              <w:textAlignment w:val="center"/>
              <w:rPr>
                <w:rFonts w:cs="宋体"/>
                <w:color w:val="auto"/>
                <w:kern w:val="0"/>
                <w:highlight w:val="none"/>
                <w:lang w:bidi="ar"/>
              </w:rPr>
            </w:pPr>
            <w:r>
              <w:rPr>
                <w:rFonts w:hint="eastAsia" w:cs="宋体"/>
                <w:color w:val="auto"/>
                <w:kern w:val="0"/>
                <w:highlight w:val="none"/>
                <w:lang w:bidi="ar"/>
              </w:rPr>
              <w:t>2</w:t>
            </w:r>
          </w:p>
        </w:tc>
      </w:tr>
    </w:tbl>
    <w:p w14:paraId="7AF0F1D6">
      <w:pPr>
        <w:shd w:val="clear"/>
        <w:ind w:firstLine="0" w:firstLineChars="0"/>
        <w:jc w:val="center"/>
        <w:rPr>
          <w:color w:val="auto"/>
          <w:highlight w:val="none"/>
        </w:rPr>
      </w:pPr>
      <w:r>
        <w:rPr>
          <w:rFonts w:hint="eastAsia" w:cs="宋体"/>
          <w:b/>
          <w:bCs/>
          <w:color w:val="auto"/>
          <w:kern w:val="0"/>
          <w:highlight w:val="none"/>
          <w:lang w:bidi="ar"/>
        </w:rPr>
        <w:t>2号高炉需要新增甲级防火门统计</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2982"/>
        <w:gridCol w:w="3670"/>
        <w:gridCol w:w="990"/>
      </w:tblGrid>
      <w:tr w14:paraId="59DBD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76F52003">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序号</w:t>
            </w:r>
          </w:p>
        </w:tc>
        <w:tc>
          <w:tcPr>
            <w:tcW w:w="3255" w:type="dxa"/>
            <w:vAlign w:val="center"/>
          </w:tcPr>
          <w:p w14:paraId="5EDC9152">
            <w:pPr>
              <w:widowControl/>
              <w:shd w:val="clear"/>
              <w:jc w:val="center"/>
              <w:textAlignment w:val="center"/>
              <w:rPr>
                <w:rFonts w:cs="宋体"/>
                <w:color w:val="auto"/>
                <w:highlight w:val="none"/>
              </w:rPr>
            </w:pPr>
            <w:r>
              <w:rPr>
                <w:rFonts w:hint="eastAsia" w:cs="宋体"/>
                <w:color w:val="auto"/>
                <w:kern w:val="0"/>
                <w:highlight w:val="none"/>
                <w:lang w:bidi="ar"/>
              </w:rPr>
              <w:t>安装位置</w:t>
            </w:r>
          </w:p>
        </w:tc>
        <w:tc>
          <w:tcPr>
            <w:tcW w:w="4035" w:type="dxa"/>
            <w:vAlign w:val="center"/>
          </w:tcPr>
          <w:p w14:paraId="3CA5A478">
            <w:pPr>
              <w:widowControl/>
              <w:shd w:val="clear"/>
              <w:jc w:val="center"/>
              <w:textAlignment w:val="center"/>
              <w:rPr>
                <w:rFonts w:cs="宋体"/>
                <w:color w:val="auto"/>
                <w:highlight w:val="none"/>
              </w:rPr>
            </w:pPr>
            <w:r>
              <w:rPr>
                <w:rFonts w:hint="eastAsia" w:cs="宋体"/>
                <w:color w:val="auto"/>
                <w:kern w:val="0"/>
                <w:highlight w:val="none"/>
                <w:lang w:bidi="ar"/>
              </w:rPr>
              <w:t>尺寸</w:t>
            </w:r>
          </w:p>
        </w:tc>
        <w:tc>
          <w:tcPr>
            <w:tcW w:w="1060" w:type="dxa"/>
            <w:vAlign w:val="center"/>
          </w:tcPr>
          <w:p w14:paraId="51503750">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数量</w:t>
            </w:r>
          </w:p>
        </w:tc>
      </w:tr>
      <w:tr w14:paraId="0466E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0652AD70">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w:t>
            </w:r>
          </w:p>
        </w:tc>
        <w:tc>
          <w:tcPr>
            <w:tcW w:w="3255" w:type="dxa"/>
            <w:vAlign w:val="center"/>
          </w:tcPr>
          <w:p w14:paraId="750A7118">
            <w:pPr>
              <w:widowControl/>
              <w:shd w:val="clear"/>
              <w:ind w:firstLine="0" w:firstLineChars="0"/>
              <w:jc w:val="center"/>
              <w:textAlignment w:val="center"/>
              <w:rPr>
                <w:rFonts w:cs="宋体"/>
                <w:color w:val="auto"/>
                <w:highlight w:val="none"/>
              </w:rPr>
            </w:pPr>
            <w:r>
              <w:rPr>
                <w:rFonts w:hint="eastAsia" w:cs="宋体"/>
                <w:color w:val="auto"/>
                <w:kern w:val="0"/>
                <w:highlight w:val="none"/>
                <w:lang w:eastAsia="zh-CN" w:bidi="ar"/>
              </w:rPr>
              <w:t>矿槽</w:t>
            </w:r>
            <w:r>
              <w:rPr>
                <w:rFonts w:hint="eastAsia" w:cs="宋体"/>
                <w:color w:val="auto"/>
                <w:kern w:val="0"/>
                <w:highlight w:val="none"/>
                <w:lang w:bidi="ar"/>
              </w:rPr>
              <w:t>封闭</w:t>
            </w:r>
          </w:p>
        </w:tc>
        <w:tc>
          <w:tcPr>
            <w:tcW w:w="4035" w:type="dxa"/>
            <w:vAlign w:val="center"/>
          </w:tcPr>
          <w:p w14:paraId="7179C87B">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1.00m（宽）*2.2m（高）(单开门)</w:t>
            </w:r>
          </w:p>
        </w:tc>
        <w:tc>
          <w:tcPr>
            <w:tcW w:w="1060" w:type="dxa"/>
            <w:vAlign w:val="center"/>
          </w:tcPr>
          <w:p w14:paraId="3F4AB59D">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2</w:t>
            </w:r>
          </w:p>
        </w:tc>
      </w:tr>
      <w:tr w14:paraId="10EF4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35910872">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2</w:t>
            </w:r>
          </w:p>
        </w:tc>
        <w:tc>
          <w:tcPr>
            <w:tcW w:w="3255" w:type="dxa"/>
            <w:vAlign w:val="center"/>
          </w:tcPr>
          <w:p w14:paraId="7108C63C">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出铁场除尘配电室</w:t>
            </w:r>
          </w:p>
        </w:tc>
        <w:tc>
          <w:tcPr>
            <w:tcW w:w="4035" w:type="dxa"/>
            <w:vAlign w:val="center"/>
          </w:tcPr>
          <w:p w14:paraId="6FE546E3">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1.20m（宽）*2.4m（高）(单开门)</w:t>
            </w:r>
          </w:p>
        </w:tc>
        <w:tc>
          <w:tcPr>
            <w:tcW w:w="1060" w:type="dxa"/>
            <w:vAlign w:val="center"/>
          </w:tcPr>
          <w:p w14:paraId="3DED8C3A">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3</w:t>
            </w:r>
          </w:p>
        </w:tc>
      </w:tr>
      <w:tr w14:paraId="6B914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16EE7B31">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3</w:t>
            </w:r>
          </w:p>
        </w:tc>
        <w:tc>
          <w:tcPr>
            <w:tcW w:w="3255" w:type="dxa"/>
            <w:vAlign w:val="center"/>
          </w:tcPr>
          <w:p w14:paraId="60A8443B">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出铁场除尘配电室</w:t>
            </w:r>
          </w:p>
        </w:tc>
        <w:tc>
          <w:tcPr>
            <w:tcW w:w="4035" w:type="dxa"/>
            <w:vAlign w:val="center"/>
          </w:tcPr>
          <w:p w14:paraId="3FD96824">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1.00m（宽）*2.2m（高）(单开门)</w:t>
            </w:r>
          </w:p>
        </w:tc>
        <w:tc>
          <w:tcPr>
            <w:tcW w:w="1060" w:type="dxa"/>
            <w:vAlign w:val="center"/>
          </w:tcPr>
          <w:p w14:paraId="6D8FE551">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3</w:t>
            </w:r>
          </w:p>
        </w:tc>
      </w:tr>
      <w:tr w14:paraId="33134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751030E5">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4</w:t>
            </w:r>
          </w:p>
        </w:tc>
        <w:tc>
          <w:tcPr>
            <w:tcW w:w="3255" w:type="dxa"/>
            <w:vAlign w:val="center"/>
          </w:tcPr>
          <w:p w14:paraId="7D6F3BC4">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新建酸返仓、碱返仓</w:t>
            </w:r>
          </w:p>
        </w:tc>
        <w:tc>
          <w:tcPr>
            <w:tcW w:w="4035" w:type="dxa"/>
            <w:vAlign w:val="center"/>
          </w:tcPr>
          <w:p w14:paraId="6F22EFAD">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1.00m（宽）*2.2m（高）(单开门)</w:t>
            </w:r>
          </w:p>
        </w:tc>
        <w:tc>
          <w:tcPr>
            <w:tcW w:w="1060" w:type="dxa"/>
            <w:vAlign w:val="center"/>
          </w:tcPr>
          <w:p w14:paraId="6277410F">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2</w:t>
            </w:r>
          </w:p>
        </w:tc>
      </w:tr>
      <w:tr w14:paraId="773CF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11359B00">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5</w:t>
            </w:r>
          </w:p>
        </w:tc>
        <w:tc>
          <w:tcPr>
            <w:tcW w:w="3255" w:type="dxa"/>
            <w:vAlign w:val="center"/>
          </w:tcPr>
          <w:p w14:paraId="552C6B04">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F1转运站</w:t>
            </w:r>
          </w:p>
        </w:tc>
        <w:tc>
          <w:tcPr>
            <w:tcW w:w="4035" w:type="dxa"/>
            <w:vAlign w:val="center"/>
          </w:tcPr>
          <w:p w14:paraId="17736C50">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1.00m（宽）*2.2m（高）(单开门)</w:t>
            </w:r>
          </w:p>
        </w:tc>
        <w:tc>
          <w:tcPr>
            <w:tcW w:w="1060" w:type="dxa"/>
            <w:vAlign w:val="center"/>
          </w:tcPr>
          <w:p w14:paraId="656B0376">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2</w:t>
            </w:r>
          </w:p>
        </w:tc>
      </w:tr>
      <w:tr w14:paraId="40261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557E302B">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6</w:t>
            </w:r>
          </w:p>
        </w:tc>
        <w:tc>
          <w:tcPr>
            <w:tcW w:w="3255" w:type="dxa"/>
            <w:vAlign w:val="center"/>
          </w:tcPr>
          <w:p w14:paraId="4D0FF9B7">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F2转运站</w:t>
            </w:r>
          </w:p>
        </w:tc>
        <w:tc>
          <w:tcPr>
            <w:tcW w:w="4035" w:type="dxa"/>
            <w:vAlign w:val="center"/>
          </w:tcPr>
          <w:p w14:paraId="24653648">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1.00m（宽）*2.2m（高）(单开门)</w:t>
            </w:r>
          </w:p>
        </w:tc>
        <w:tc>
          <w:tcPr>
            <w:tcW w:w="1060" w:type="dxa"/>
            <w:vAlign w:val="center"/>
          </w:tcPr>
          <w:p w14:paraId="5D9A86DC">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2</w:t>
            </w:r>
          </w:p>
        </w:tc>
      </w:tr>
      <w:tr w14:paraId="424E5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2EFD5D73">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7</w:t>
            </w:r>
          </w:p>
        </w:tc>
        <w:tc>
          <w:tcPr>
            <w:tcW w:w="3255" w:type="dxa"/>
            <w:vAlign w:val="center"/>
          </w:tcPr>
          <w:p w14:paraId="539E918C">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F3转运站</w:t>
            </w:r>
          </w:p>
        </w:tc>
        <w:tc>
          <w:tcPr>
            <w:tcW w:w="4035" w:type="dxa"/>
            <w:vAlign w:val="center"/>
          </w:tcPr>
          <w:p w14:paraId="3BF52CFD">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1.00m（宽）*2.2m（高）(单开门)</w:t>
            </w:r>
          </w:p>
        </w:tc>
        <w:tc>
          <w:tcPr>
            <w:tcW w:w="1060" w:type="dxa"/>
            <w:vAlign w:val="center"/>
          </w:tcPr>
          <w:p w14:paraId="4E73EDBC">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2</w:t>
            </w:r>
          </w:p>
        </w:tc>
      </w:tr>
      <w:tr w14:paraId="32D6C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1E4274B8">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8</w:t>
            </w:r>
          </w:p>
        </w:tc>
        <w:tc>
          <w:tcPr>
            <w:tcW w:w="3255" w:type="dxa"/>
            <w:vAlign w:val="center"/>
          </w:tcPr>
          <w:p w14:paraId="2FCA3B81">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F4转运站</w:t>
            </w:r>
          </w:p>
        </w:tc>
        <w:tc>
          <w:tcPr>
            <w:tcW w:w="4035" w:type="dxa"/>
            <w:vAlign w:val="center"/>
          </w:tcPr>
          <w:p w14:paraId="552F6153">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1.00m（宽）*2.2m（高）(单开门)</w:t>
            </w:r>
          </w:p>
        </w:tc>
        <w:tc>
          <w:tcPr>
            <w:tcW w:w="1060" w:type="dxa"/>
            <w:vAlign w:val="center"/>
          </w:tcPr>
          <w:p w14:paraId="49719F06">
            <w:pPr>
              <w:widowControl/>
              <w:shd w:val="clear"/>
              <w:ind w:firstLine="0" w:firstLineChars="0"/>
              <w:jc w:val="center"/>
              <w:textAlignment w:val="center"/>
              <w:rPr>
                <w:rFonts w:cs="宋体"/>
                <w:color w:val="auto"/>
                <w:highlight w:val="none"/>
              </w:rPr>
            </w:pPr>
            <w:r>
              <w:rPr>
                <w:rFonts w:hint="eastAsia" w:cs="宋体"/>
                <w:color w:val="auto"/>
                <w:kern w:val="0"/>
                <w:highlight w:val="none"/>
                <w:lang w:bidi="ar"/>
              </w:rPr>
              <w:t>4</w:t>
            </w:r>
          </w:p>
        </w:tc>
      </w:tr>
    </w:tbl>
    <w:p w14:paraId="3D3A09AC">
      <w:pPr>
        <w:keepNext/>
        <w:keepLines/>
        <w:numPr>
          <w:ilvl w:val="2"/>
          <w:numId w:val="0"/>
        </w:numPr>
        <w:shd w:val="clear"/>
        <w:adjustRightInd w:val="0"/>
        <w:spacing w:before="120"/>
        <w:textAlignment w:val="baseline"/>
        <w:outlineLvl w:val="2"/>
        <w:rPr>
          <w:rFonts w:ascii="Times New Roman" w:hAnsi="Times New Roman" w:cs="Times New Roman"/>
          <w:bCs/>
          <w:color w:val="auto"/>
          <w:highlight w:val="none"/>
        </w:rPr>
      </w:pPr>
      <w:r>
        <w:rPr>
          <w:rFonts w:hint="eastAsia" w:ascii="Times New Roman" w:hAnsi="Times New Roman" w:cs="Times New Roman"/>
          <w:bCs/>
          <w:color w:val="auto"/>
          <w:highlight w:val="none"/>
        </w:rPr>
        <w:t>18.5.3 火灾自动报警系统</w:t>
      </w:r>
    </w:p>
    <w:p w14:paraId="6A0A7172">
      <w:pPr>
        <w:shd w:val="clear"/>
        <w:ind w:firstLine="0" w:firstLineChars="0"/>
        <w:outlineLvl w:val="3"/>
        <w:rPr>
          <w:rFonts w:ascii="Times New Roman" w:hAnsi="Times New Roman" w:cs="Times New Roman"/>
          <w:color w:val="auto"/>
          <w:highlight w:val="none"/>
        </w:rPr>
      </w:pPr>
      <w:r>
        <w:rPr>
          <w:rFonts w:ascii="Times New Roman" w:hAnsi="Times New Roman" w:cs="Times New Roman"/>
          <w:color w:val="auto"/>
          <w:highlight w:val="none"/>
        </w:rPr>
        <w:t>18.5.3.1 系统设置范围</w:t>
      </w:r>
    </w:p>
    <w:p w14:paraId="5D951EF8">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根据国家消防报警规范要求，在炼铁区域一些的重要电气室、控制室、电缆沟等处设置了火灾自动报警系统。消防报警主机设置在2号高炉主控楼和碳钢消控中心，值班室岗位人员担任值守职责。主控楼及2号高炉各电气室的火灾自动报警信号送至主控楼消防主机，然后接入碳钢消控中心。</w:t>
      </w:r>
    </w:p>
    <w:p w14:paraId="7BD8FDEE">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在出铁场除尘高低压配电室安装智能光电感烟探测器；在电缆夹层、电缆沟安装缆式线型差定温火灾探测器；在各防火分区设有一定数量的手动报警按钮和声光报警器。当有火灾发生时，自动关闭相应部位的通风机、防火阀、空调等暖通设备，接收其反馈信号，并启动火灾声光报警器，加快人员疏散，达到迅速处理火情的目的。火灾报警控制器自带直流备用电源，保证供电可靠性。</w:t>
      </w:r>
    </w:p>
    <w:p w14:paraId="40D22F3D">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本工程火灾自动报警系统，需进行改造，具体改造如下：</w:t>
      </w:r>
    </w:p>
    <w:p w14:paraId="23848D1E">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1）新建的出铁场除尘高低压配电室设置烟感、声光报警器、手动报警按钮等设施，接至2号高炉主控楼的火灾报警控制器，品牌与2号高炉火灾报警品牌保持一致。利旧高低压配电室的烟感、声光报警器、手动报警按钮等设施均利旧不变。</w:t>
      </w:r>
    </w:p>
    <w:p w14:paraId="24CF2020">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2）根据业主反馈现场维保的情况，2号高炉所使用的是首安公司SL500系列消防报警产品，首安公司早已不再生产此系列消防报警设备，目前备品备件采购困难。该工程将原SL500主机升级替换为相应满足使用要求的首安消防主机。</w:t>
      </w:r>
    </w:p>
    <w:p w14:paraId="071D3BB2">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3）原2号高炉地沟电磁站烟感探头没有接入主机，本次新增13个烟感探头以及8个消防手报，信号接入2号高炉消防主机，并将没有接入消防主机的烟感探头接入消防主机。</w:t>
      </w:r>
    </w:p>
    <w:p w14:paraId="4AFF46FA">
      <w:pPr>
        <w:shd w:val="clear"/>
        <w:autoSpaceDE w:val="0"/>
        <w:autoSpaceDN w:val="0"/>
        <w:rPr>
          <w:rFonts w:hint="eastAsia"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4）根据炼铁厂2018年度消防设施检测报告书，炼铁厂建筑消防设施年度监测为不合格，需对本次2号高炉改造范围内检测出的不合格问题进行改造。主要包括无消防专用配电柜（箱）、缺少消防电源检测、轴流风机及空调没有火灾报警连锁功能等。</w:t>
      </w:r>
    </w:p>
    <w:p w14:paraId="3896BAFD">
      <w:pPr>
        <w:shd w:val="clear"/>
        <w:autoSpaceDE w:val="0"/>
        <w:autoSpaceDN w:val="0"/>
        <w:rPr>
          <w:rFonts w:hint="default" w:ascii="Times New Roman" w:hAnsi="Times New Roman" w:eastAsia="宋体" w:cs="Times New Roman"/>
          <w:color w:val="auto"/>
          <w:kern w:val="0"/>
          <w:szCs w:val="22"/>
          <w:highlight w:val="none"/>
          <w:lang w:val="en-US" w:bidi="zh-CN"/>
        </w:rPr>
      </w:pPr>
      <w:r>
        <w:rPr>
          <w:rFonts w:hint="eastAsia" w:ascii="Times New Roman" w:hAnsi="Times New Roman" w:eastAsia="宋体" w:cs="Times New Roman"/>
          <w:color w:val="auto"/>
          <w:kern w:val="0"/>
          <w:szCs w:val="22"/>
          <w:highlight w:val="none"/>
          <w:lang w:val="en-US" w:bidi="zh-CN"/>
        </w:rPr>
        <w:t>其中电信消防报警控制器部分如下表所示：</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3022"/>
        <w:gridCol w:w="3641"/>
        <w:gridCol w:w="983"/>
      </w:tblGrid>
      <w:tr w14:paraId="4D2F0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center"/>
          </w:tcPr>
          <w:p w14:paraId="6C8C29C0">
            <w:pPr>
              <w:shd w:val="clear"/>
              <w:autoSpaceDE w:val="0"/>
              <w:autoSpaceDN w:val="0"/>
              <w:ind w:left="0" w:leftChars="0" w:firstLine="0" w:firstLineChars="0"/>
              <w:jc w:val="both"/>
              <w:rPr>
                <w:rFonts w:hint="eastAsia"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序号</w:t>
            </w:r>
          </w:p>
        </w:tc>
        <w:tc>
          <w:tcPr>
            <w:tcW w:w="3022" w:type="dxa"/>
            <w:noWrap w:val="0"/>
            <w:vAlign w:val="center"/>
          </w:tcPr>
          <w:p w14:paraId="7F3FCBA7">
            <w:pPr>
              <w:shd w:val="clear"/>
              <w:autoSpaceDE w:val="0"/>
              <w:autoSpaceDN w:val="0"/>
              <w:jc w:val="both"/>
              <w:rPr>
                <w:rFonts w:hint="default" w:ascii="Times New Roman" w:hAnsi="Times New Roman" w:cs="Times New Roman"/>
                <w:color w:val="auto"/>
                <w:kern w:val="0"/>
                <w:szCs w:val="22"/>
                <w:highlight w:val="none"/>
                <w:lang w:val="en-US" w:eastAsia="zh-CN" w:bidi="zh-CN"/>
              </w:rPr>
            </w:pPr>
            <w:r>
              <w:rPr>
                <w:rFonts w:hint="eastAsia" w:ascii="Times New Roman" w:hAnsi="Times New Roman" w:cs="Times New Roman"/>
                <w:color w:val="auto"/>
                <w:kern w:val="0"/>
                <w:szCs w:val="22"/>
                <w:highlight w:val="none"/>
                <w:lang w:val="en-US" w:eastAsia="zh-CN" w:bidi="zh-CN"/>
              </w:rPr>
              <w:t>不合格内容</w:t>
            </w:r>
          </w:p>
        </w:tc>
        <w:tc>
          <w:tcPr>
            <w:tcW w:w="3641" w:type="dxa"/>
            <w:noWrap w:val="0"/>
            <w:vAlign w:val="center"/>
          </w:tcPr>
          <w:p w14:paraId="030E781D">
            <w:pPr>
              <w:shd w:val="clear"/>
              <w:autoSpaceDE w:val="0"/>
              <w:autoSpaceDN w:val="0"/>
              <w:jc w:val="both"/>
              <w:rPr>
                <w:rFonts w:hint="default" w:ascii="Times New Roman" w:hAnsi="Times New Roman" w:cs="Times New Roman"/>
                <w:color w:val="auto"/>
                <w:kern w:val="0"/>
                <w:szCs w:val="22"/>
                <w:highlight w:val="none"/>
                <w:lang w:val="en-US" w:eastAsia="zh-CN" w:bidi="zh-CN"/>
              </w:rPr>
            </w:pPr>
            <w:r>
              <w:rPr>
                <w:rFonts w:hint="eastAsia" w:ascii="Times New Roman" w:hAnsi="Times New Roman" w:cs="Times New Roman"/>
                <w:color w:val="auto"/>
                <w:kern w:val="0"/>
                <w:szCs w:val="22"/>
                <w:highlight w:val="none"/>
                <w:lang w:val="en-US" w:eastAsia="zh-CN" w:bidi="zh-CN"/>
              </w:rPr>
              <w:t>改造内容</w:t>
            </w:r>
          </w:p>
        </w:tc>
        <w:tc>
          <w:tcPr>
            <w:tcW w:w="983" w:type="dxa"/>
            <w:noWrap w:val="0"/>
            <w:vAlign w:val="center"/>
          </w:tcPr>
          <w:p w14:paraId="517B7D61">
            <w:pPr>
              <w:shd w:val="clear"/>
              <w:autoSpaceDE w:val="0"/>
              <w:autoSpaceDN w:val="0"/>
              <w:ind w:left="0" w:leftChars="0" w:firstLine="0" w:firstLineChars="0"/>
              <w:jc w:val="both"/>
              <w:rPr>
                <w:rFonts w:hint="eastAsia"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数量</w:t>
            </w:r>
          </w:p>
        </w:tc>
      </w:tr>
      <w:tr w14:paraId="20023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center"/>
          </w:tcPr>
          <w:p w14:paraId="1A8842CF">
            <w:pPr>
              <w:shd w:val="clear"/>
              <w:autoSpaceDE w:val="0"/>
              <w:autoSpaceDN w:val="0"/>
              <w:jc w:val="both"/>
              <w:rPr>
                <w:rFonts w:hint="eastAsia"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1</w:t>
            </w:r>
          </w:p>
        </w:tc>
        <w:tc>
          <w:tcPr>
            <w:tcW w:w="3022" w:type="dxa"/>
            <w:noWrap w:val="0"/>
            <w:vAlign w:val="center"/>
          </w:tcPr>
          <w:p w14:paraId="72C1FC21">
            <w:pPr>
              <w:shd w:val="clear"/>
              <w:autoSpaceDE w:val="0"/>
              <w:autoSpaceDN w:val="0"/>
              <w:ind w:left="0" w:leftChars="0" w:firstLine="0" w:firstLineChars="0"/>
              <w:jc w:val="both"/>
              <w:rPr>
                <w:rFonts w:hint="eastAsia"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报警控制器(2)—-b.试验电源部分主、备电源切换功能，和备用电源充、放电功能：关闭 主电源，备电不能自动投入，显示状态及指示灯不正常点亮。</w:t>
            </w:r>
          </w:p>
          <w:p w14:paraId="661A6BD7">
            <w:pPr>
              <w:shd w:val="clear"/>
              <w:autoSpaceDE w:val="0"/>
              <w:autoSpaceDN w:val="0"/>
              <w:ind w:left="0" w:leftChars="0" w:firstLine="0" w:firstLineChars="0"/>
              <w:jc w:val="both"/>
              <w:rPr>
                <w:rFonts w:hint="eastAsia"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备注：二号高炉。判定结果是不符合。</w:t>
            </w:r>
          </w:p>
        </w:tc>
        <w:tc>
          <w:tcPr>
            <w:tcW w:w="3641" w:type="dxa"/>
            <w:noWrap w:val="0"/>
            <w:vAlign w:val="center"/>
          </w:tcPr>
          <w:p w14:paraId="607D64A1">
            <w:pPr>
              <w:shd w:val="clear"/>
              <w:autoSpaceDE w:val="0"/>
              <w:autoSpaceDN w:val="0"/>
              <w:ind w:left="0" w:leftChars="0" w:firstLine="0" w:firstLineChars="0"/>
              <w:jc w:val="both"/>
              <w:rPr>
                <w:rFonts w:hint="default" w:ascii="Times New Roman" w:hAnsi="Times New Roman" w:cs="Times New Roman"/>
                <w:color w:val="auto"/>
                <w:kern w:val="0"/>
                <w:szCs w:val="22"/>
                <w:highlight w:val="none"/>
                <w:lang w:val="en-US" w:eastAsia="zh-CN" w:bidi="zh-CN"/>
              </w:rPr>
            </w:pPr>
            <w:r>
              <w:rPr>
                <w:rFonts w:hint="eastAsia" w:ascii="Times New Roman" w:hAnsi="Times New Roman" w:cs="Times New Roman"/>
                <w:color w:val="auto"/>
                <w:kern w:val="0"/>
                <w:szCs w:val="22"/>
                <w:highlight w:val="none"/>
                <w:lang w:val="en-US" w:eastAsia="zh-CN" w:bidi="zh-CN"/>
              </w:rPr>
              <w:t>升级原</w:t>
            </w:r>
            <w:r>
              <w:rPr>
                <w:rFonts w:hint="eastAsia" w:ascii="Times New Roman" w:hAnsi="Times New Roman" w:cs="Times New Roman"/>
                <w:color w:val="auto"/>
                <w:kern w:val="0"/>
                <w:szCs w:val="22"/>
                <w:highlight w:val="none"/>
                <w:lang w:bidi="zh-CN"/>
              </w:rPr>
              <w:t>报警控制器</w:t>
            </w:r>
            <w:r>
              <w:rPr>
                <w:rFonts w:hint="eastAsia" w:ascii="Times New Roman" w:hAnsi="Times New Roman" w:cs="Times New Roman"/>
                <w:color w:val="auto"/>
                <w:kern w:val="0"/>
                <w:szCs w:val="22"/>
                <w:highlight w:val="none"/>
                <w:lang w:val="en-US" w:eastAsia="zh-CN" w:bidi="zh-CN"/>
              </w:rPr>
              <w:t>为首安6000</w:t>
            </w:r>
          </w:p>
        </w:tc>
        <w:tc>
          <w:tcPr>
            <w:tcW w:w="983" w:type="dxa"/>
            <w:noWrap w:val="0"/>
            <w:vAlign w:val="center"/>
          </w:tcPr>
          <w:p w14:paraId="4DC45841">
            <w:pPr>
              <w:shd w:val="clear"/>
              <w:autoSpaceDE w:val="0"/>
              <w:autoSpaceDN w:val="0"/>
              <w:jc w:val="both"/>
              <w:rPr>
                <w:rFonts w:hint="eastAsia" w:ascii="Times New Roman" w:hAnsi="Times New Roman" w:cs="Times New Roman"/>
                <w:color w:val="auto"/>
                <w:kern w:val="0"/>
                <w:szCs w:val="22"/>
                <w:highlight w:val="none"/>
                <w:lang w:eastAsia="zh-CN" w:bidi="zh-CN"/>
              </w:rPr>
            </w:pPr>
            <w:r>
              <w:rPr>
                <w:rFonts w:hint="eastAsia" w:ascii="Times New Roman" w:hAnsi="Times New Roman" w:cs="Times New Roman"/>
                <w:color w:val="auto"/>
                <w:kern w:val="0"/>
                <w:szCs w:val="22"/>
                <w:highlight w:val="none"/>
                <w:lang w:val="en-US" w:eastAsia="zh-CN" w:bidi="zh-CN"/>
              </w:rPr>
              <w:t>1</w:t>
            </w:r>
          </w:p>
        </w:tc>
      </w:tr>
    </w:tbl>
    <w:p w14:paraId="08C56690">
      <w:pPr>
        <w:shd w:val="clear"/>
        <w:ind w:firstLine="0" w:firstLineChars="0"/>
        <w:jc w:val="center"/>
        <w:rPr>
          <w:rFonts w:cs="Times New Roman"/>
          <w:bCs/>
          <w:color w:val="auto"/>
          <w:sz w:val="28"/>
          <w:szCs w:val="28"/>
          <w:highlight w:val="none"/>
        </w:rPr>
      </w:pPr>
      <w:r>
        <w:rPr>
          <w:rFonts w:hint="eastAsia" w:cs="Times New Roman"/>
          <w:bCs/>
          <w:color w:val="auto"/>
          <w:highlight w:val="none"/>
        </w:rPr>
        <w:t>2号高炉以下区域空调及轴流风机需做火灾报警连锁</w:t>
      </w:r>
    </w:p>
    <w:tbl>
      <w:tblPr>
        <w:tblStyle w:val="60"/>
        <w:tblW w:w="672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76"/>
        <w:gridCol w:w="3112"/>
        <w:gridCol w:w="851"/>
        <w:gridCol w:w="1417"/>
        <w:gridCol w:w="570"/>
      </w:tblGrid>
      <w:tr w14:paraId="1879B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62" w:hRule="atLeast"/>
          <w:jc w:val="center"/>
        </w:trPr>
        <w:tc>
          <w:tcPr>
            <w:tcW w:w="776" w:type="dxa"/>
            <w:tcBorders>
              <w:top w:val="single" w:color="auto" w:sz="4" w:space="0"/>
            </w:tcBorders>
            <w:vAlign w:val="center"/>
          </w:tcPr>
          <w:p w14:paraId="59185848">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序</w:t>
            </w:r>
            <w:r>
              <w:rPr>
                <w:rFonts w:ascii="Times New Roman" w:hAnsi="Times New Roman" w:cs="Times New Roman"/>
                <w:color w:val="auto"/>
                <w:szCs w:val="21"/>
                <w:highlight w:val="none"/>
              </w:rPr>
              <w:t>号</w:t>
            </w:r>
          </w:p>
        </w:tc>
        <w:tc>
          <w:tcPr>
            <w:tcW w:w="3112" w:type="dxa"/>
            <w:vAlign w:val="center"/>
          </w:tcPr>
          <w:p w14:paraId="499CFBC5">
            <w:pPr>
              <w:shd w:val="clear"/>
              <w:autoSpaceDE w:val="0"/>
              <w:autoSpaceDN w:val="0"/>
              <w:adjustRightInd w:val="0"/>
              <w:spacing w:line="30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安装地点</w:t>
            </w:r>
          </w:p>
        </w:tc>
        <w:tc>
          <w:tcPr>
            <w:tcW w:w="851" w:type="dxa"/>
            <w:vAlign w:val="center"/>
          </w:tcPr>
          <w:p w14:paraId="4C510300">
            <w:pPr>
              <w:shd w:val="clear"/>
              <w:autoSpaceDE w:val="0"/>
              <w:autoSpaceDN w:val="0"/>
              <w:adjustRightInd w:val="0"/>
              <w:spacing w:line="300" w:lineRule="auto"/>
              <w:ind w:firstLine="0" w:firstLineChars="0"/>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空调</w:t>
            </w:r>
            <w:r>
              <w:rPr>
                <w:rFonts w:ascii="Times New Roman" w:hAnsi="Times New Roman" w:cs="Times New Roman"/>
                <w:color w:val="auto"/>
                <w:szCs w:val="21"/>
                <w:highlight w:val="none"/>
              </w:rPr>
              <w:t>数量</w:t>
            </w:r>
            <w:r>
              <w:rPr>
                <w:rFonts w:hint="eastAsia" w:ascii="Times New Roman" w:hAnsi="Times New Roman" w:cs="Times New Roman"/>
                <w:color w:val="auto"/>
                <w:szCs w:val="21"/>
                <w:highlight w:val="none"/>
              </w:rPr>
              <w:t>（台）</w:t>
            </w:r>
          </w:p>
        </w:tc>
        <w:tc>
          <w:tcPr>
            <w:tcW w:w="1417" w:type="dxa"/>
            <w:vAlign w:val="center"/>
          </w:tcPr>
          <w:p w14:paraId="60035278">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轴流</w:t>
            </w:r>
            <w:r>
              <w:rPr>
                <w:rFonts w:ascii="Times New Roman" w:hAnsi="Times New Roman" w:cs="Times New Roman"/>
                <w:color w:val="auto"/>
                <w:szCs w:val="21"/>
                <w:highlight w:val="none"/>
              </w:rPr>
              <w:t>风机</w:t>
            </w:r>
            <w:r>
              <w:rPr>
                <w:rFonts w:hint="eastAsia" w:ascii="Times New Roman" w:hAnsi="Times New Roman" w:cs="Times New Roman"/>
                <w:color w:val="auto"/>
                <w:szCs w:val="21"/>
                <w:highlight w:val="none"/>
              </w:rPr>
              <w:t>数量（台）</w:t>
            </w:r>
          </w:p>
        </w:tc>
        <w:tc>
          <w:tcPr>
            <w:tcW w:w="570" w:type="dxa"/>
            <w:vAlign w:val="center"/>
          </w:tcPr>
          <w:p w14:paraId="7BC0EC7E">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ascii="Times New Roman" w:hAnsi="Times New Roman" w:cs="Times New Roman"/>
                <w:color w:val="auto"/>
                <w:szCs w:val="21"/>
                <w:highlight w:val="none"/>
              </w:rPr>
              <w:t>备注</w:t>
            </w:r>
          </w:p>
        </w:tc>
      </w:tr>
      <w:tr w14:paraId="054FB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76" w:type="dxa"/>
            <w:vAlign w:val="center"/>
          </w:tcPr>
          <w:p w14:paraId="5677E50B">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w:t>
            </w:r>
          </w:p>
        </w:tc>
        <w:tc>
          <w:tcPr>
            <w:tcW w:w="3112" w:type="dxa"/>
            <w:vAlign w:val="center"/>
          </w:tcPr>
          <w:p w14:paraId="4E57DBA7">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ascii="Times New Roman" w:hAnsi="Times New Roman" w:cs="Times New Roman"/>
                <w:color w:val="auto"/>
                <w:szCs w:val="21"/>
                <w:highlight w:val="none"/>
              </w:rPr>
              <w:t>2#高炉主卷扬整流室</w:t>
            </w:r>
          </w:p>
        </w:tc>
        <w:tc>
          <w:tcPr>
            <w:tcW w:w="851" w:type="dxa"/>
            <w:vAlign w:val="center"/>
          </w:tcPr>
          <w:p w14:paraId="705DB141">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w:t>
            </w:r>
          </w:p>
        </w:tc>
        <w:tc>
          <w:tcPr>
            <w:tcW w:w="1417" w:type="dxa"/>
            <w:vAlign w:val="center"/>
          </w:tcPr>
          <w:p w14:paraId="5DDE25AB">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p>
        </w:tc>
        <w:tc>
          <w:tcPr>
            <w:tcW w:w="570" w:type="dxa"/>
            <w:vAlign w:val="center"/>
          </w:tcPr>
          <w:p w14:paraId="5215E160">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p>
        </w:tc>
      </w:tr>
      <w:tr w14:paraId="1A771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76" w:type="dxa"/>
            <w:tcBorders>
              <w:bottom w:val="single" w:color="auto" w:sz="4" w:space="0"/>
            </w:tcBorders>
            <w:vAlign w:val="center"/>
          </w:tcPr>
          <w:p w14:paraId="50BEEE4B">
            <w:pPr>
              <w:shd w:val="clear"/>
              <w:tabs>
                <w:tab w:val="center" w:pos="186"/>
              </w:tabs>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2</w:t>
            </w:r>
          </w:p>
        </w:tc>
        <w:tc>
          <w:tcPr>
            <w:tcW w:w="3112" w:type="dxa"/>
            <w:tcBorders>
              <w:bottom w:val="single" w:color="auto" w:sz="4" w:space="0"/>
            </w:tcBorders>
            <w:vAlign w:val="center"/>
          </w:tcPr>
          <w:p w14:paraId="140125F6">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ascii="Times New Roman" w:hAnsi="Times New Roman" w:cs="Times New Roman"/>
                <w:color w:val="auto"/>
                <w:szCs w:val="21"/>
                <w:highlight w:val="none"/>
              </w:rPr>
              <w:t>2#炉值班室</w:t>
            </w:r>
          </w:p>
        </w:tc>
        <w:tc>
          <w:tcPr>
            <w:tcW w:w="851" w:type="dxa"/>
            <w:tcBorders>
              <w:bottom w:val="single" w:color="auto" w:sz="4" w:space="0"/>
            </w:tcBorders>
            <w:vAlign w:val="center"/>
          </w:tcPr>
          <w:p w14:paraId="30601F14">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2</w:t>
            </w:r>
          </w:p>
        </w:tc>
        <w:tc>
          <w:tcPr>
            <w:tcW w:w="1417" w:type="dxa"/>
            <w:tcBorders>
              <w:bottom w:val="single" w:color="auto" w:sz="4" w:space="0"/>
            </w:tcBorders>
            <w:vAlign w:val="center"/>
          </w:tcPr>
          <w:p w14:paraId="5C4B77DF">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p>
        </w:tc>
        <w:tc>
          <w:tcPr>
            <w:tcW w:w="570" w:type="dxa"/>
            <w:tcBorders>
              <w:bottom w:val="single" w:color="auto" w:sz="4" w:space="0"/>
            </w:tcBorders>
            <w:vAlign w:val="center"/>
          </w:tcPr>
          <w:p w14:paraId="14E17288">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p>
        </w:tc>
      </w:tr>
      <w:tr w14:paraId="6AD9F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76" w:type="dxa"/>
            <w:tcBorders>
              <w:top w:val="single" w:color="auto" w:sz="4" w:space="0"/>
            </w:tcBorders>
            <w:vAlign w:val="center"/>
          </w:tcPr>
          <w:p w14:paraId="38191DB8">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3</w:t>
            </w:r>
          </w:p>
        </w:tc>
        <w:tc>
          <w:tcPr>
            <w:tcW w:w="3112" w:type="dxa"/>
            <w:tcBorders>
              <w:top w:val="single" w:color="auto" w:sz="4" w:space="0"/>
            </w:tcBorders>
            <w:vAlign w:val="center"/>
          </w:tcPr>
          <w:p w14:paraId="6382F04E">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ascii="Times New Roman" w:hAnsi="Times New Roman" w:cs="Times New Roman"/>
                <w:color w:val="auto"/>
                <w:szCs w:val="21"/>
                <w:highlight w:val="none"/>
              </w:rPr>
              <w:t>2#高炉原值班室自控电磁站</w:t>
            </w:r>
          </w:p>
        </w:tc>
        <w:tc>
          <w:tcPr>
            <w:tcW w:w="851" w:type="dxa"/>
            <w:tcBorders>
              <w:top w:val="single" w:color="auto" w:sz="4" w:space="0"/>
            </w:tcBorders>
            <w:vAlign w:val="center"/>
          </w:tcPr>
          <w:p w14:paraId="0E701DF0">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2</w:t>
            </w:r>
          </w:p>
        </w:tc>
        <w:tc>
          <w:tcPr>
            <w:tcW w:w="1417" w:type="dxa"/>
            <w:tcBorders>
              <w:top w:val="single" w:color="auto" w:sz="4" w:space="0"/>
            </w:tcBorders>
            <w:vAlign w:val="center"/>
          </w:tcPr>
          <w:p w14:paraId="77EB6444">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p>
        </w:tc>
        <w:tc>
          <w:tcPr>
            <w:tcW w:w="570" w:type="dxa"/>
            <w:tcBorders>
              <w:top w:val="single" w:color="auto" w:sz="4" w:space="0"/>
            </w:tcBorders>
            <w:vAlign w:val="center"/>
          </w:tcPr>
          <w:p w14:paraId="2E2950A9">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p>
        </w:tc>
      </w:tr>
      <w:tr w14:paraId="7EB8A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76" w:type="dxa"/>
            <w:tcBorders>
              <w:top w:val="single" w:color="auto" w:sz="4" w:space="0"/>
            </w:tcBorders>
            <w:vAlign w:val="center"/>
          </w:tcPr>
          <w:p w14:paraId="5881EE61">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4</w:t>
            </w:r>
          </w:p>
        </w:tc>
        <w:tc>
          <w:tcPr>
            <w:tcW w:w="3112" w:type="dxa"/>
            <w:tcBorders>
              <w:top w:val="single" w:color="auto" w:sz="4" w:space="0"/>
            </w:tcBorders>
            <w:vAlign w:val="center"/>
          </w:tcPr>
          <w:p w14:paraId="67D7FEC1">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ascii="Times New Roman" w:hAnsi="Times New Roman" w:cs="Times New Roman"/>
                <w:color w:val="auto"/>
                <w:szCs w:val="21"/>
                <w:highlight w:val="none"/>
              </w:rPr>
              <w:t>2#高炉炉台液压站</w:t>
            </w:r>
          </w:p>
        </w:tc>
        <w:tc>
          <w:tcPr>
            <w:tcW w:w="851" w:type="dxa"/>
            <w:tcBorders>
              <w:top w:val="single" w:color="auto" w:sz="4" w:space="0"/>
            </w:tcBorders>
            <w:vAlign w:val="center"/>
          </w:tcPr>
          <w:p w14:paraId="4557F06A">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w:t>
            </w:r>
          </w:p>
        </w:tc>
        <w:tc>
          <w:tcPr>
            <w:tcW w:w="1417" w:type="dxa"/>
            <w:tcBorders>
              <w:top w:val="single" w:color="auto" w:sz="4" w:space="0"/>
            </w:tcBorders>
            <w:vAlign w:val="center"/>
          </w:tcPr>
          <w:p w14:paraId="65AF446A">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p>
        </w:tc>
        <w:tc>
          <w:tcPr>
            <w:tcW w:w="570" w:type="dxa"/>
            <w:tcBorders>
              <w:top w:val="single" w:color="auto" w:sz="4" w:space="0"/>
            </w:tcBorders>
            <w:vAlign w:val="center"/>
          </w:tcPr>
          <w:p w14:paraId="6EECB7C3">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p>
        </w:tc>
      </w:tr>
      <w:tr w14:paraId="3D84A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76" w:type="dxa"/>
            <w:tcBorders>
              <w:top w:val="single" w:color="auto" w:sz="4" w:space="0"/>
            </w:tcBorders>
            <w:vAlign w:val="center"/>
          </w:tcPr>
          <w:p w14:paraId="76B87CF5">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5</w:t>
            </w:r>
          </w:p>
        </w:tc>
        <w:tc>
          <w:tcPr>
            <w:tcW w:w="3112" w:type="dxa"/>
            <w:tcBorders>
              <w:top w:val="single" w:color="auto" w:sz="4" w:space="0"/>
            </w:tcBorders>
            <w:vAlign w:val="center"/>
          </w:tcPr>
          <w:p w14:paraId="625ED994">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ascii="Times New Roman" w:hAnsi="Times New Roman" w:cs="Times New Roman"/>
                <w:color w:val="auto"/>
                <w:szCs w:val="21"/>
                <w:highlight w:val="none"/>
              </w:rPr>
              <w:t>2#高炉地沟电磁站</w:t>
            </w:r>
          </w:p>
        </w:tc>
        <w:tc>
          <w:tcPr>
            <w:tcW w:w="851" w:type="dxa"/>
            <w:tcBorders>
              <w:top w:val="single" w:color="auto" w:sz="4" w:space="0"/>
            </w:tcBorders>
            <w:vAlign w:val="center"/>
          </w:tcPr>
          <w:p w14:paraId="4F28D76E">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w:t>
            </w:r>
          </w:p>
        </w:tc>
        <w:tc>
          <w:tcPr>
            <w:tcW w:w="1417" w:type="dxa"/>
            <w:tcBorders>
              <w:top w:val="single" w:color="auto" w:sz="4" w:space="0"/>
            </w:tcBorders>
            <w:vAlign w:val="center"/>
          </w:tcPr>
          <w:p w14:paraId="2CCEB068">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p>
        </w:tc>
        <w:tc>
          <w:tcPr>
            <w:tcW w:w="570" w:type="dxa"/>
            <w:tcBorders>
              <w:top w:val="single" w:color="auto" w:sz="4" w:space="0"/>
            </w:tcBorders>
            <w:vAlign w:val="center"/>
          </w:tcPr>
          <w:p w14:paraId="6A5D2D3D">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p>
        </w:tc>
      </w:tr>
      <w:tr w14:paraId="7B1C7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76" w:type="dxa"/>
            <w:tcBorders>
              <w:top w:val="single" w:color="auto" w:sz="4" w:space="0"/>
            </w:tcBorders>
            <w:vAlign w:val="center"/>
          </w:tcPr>
          <w:p w14:paraId="41583BC3">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6</w:t>
            </w:r>
          </w:p>
        </w:tc>
        <w:tc>
          <w:tcPr>
            <w:tcW w:w="3112" w:type="dxa"/>
            <w:tcBorders>
              <w:top w:val="single" w:color="auto" w:sz="4" w:space="0"/>
            </w:tcBorders>
            <w:vAlign w:val="center"/>
          </w:tcPr>
          <w:p w14:paraId="3C19EA5A">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ascii="Times New Roman" w:hAnsi="Times New Roman" w:cs="Times New Roman"/>
                <w:color w:val="auto"/>
                <w:szCs w:val="21"/>
                <w:highlight w:val="none"/>
              </w:rPr>
              <w:t>2#高炉地沟液压站</w:t>
            </w:r>
          </w:p>
        </w:tc>
        <w:tc>
          <w:tcPr>
            <w:tcW w:w="851" w:type="dxa"/>
            <w:tcBorders>
              <w:top w:val="single" w:color="auto" w:sz="4" w:space="0"/>
            </w:tcBorders>
            <w:vAlign w:val="center"/>
          </w:tcPr>
          <w:p w14:paraId="47AFEA58">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w:t>
            </w:r>
          </w:p>
        </w:tc>
        <w:tc>
          <w:tcPr>
            <w:tcW w:w="1417" w:type="dxa"/>
            <w:tcBorders>
              <w:top w:val="single" w:color="auto" w:sz="4" w:space="0"/>
            </w:tcBorders>
            <w:vAlign w:val="center"/>
          </w:tcPr>
          <w:p w14:paraId="02FEB0F4">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p>
        </w:tc>
        <w:tc>
          <w:tcPr>
            <w:tcW w:w="570" w:type="dxa"/>
            <w:tcBorders>
              <w:top w:val="single" w:color="auto" w:sz="4" w:space="0"/>
            </w:tcBorders>
            <w:vAlign w:val="center"/>
          </w:tcPr>
          <w:p w14:paraId="0551F008">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p>
        </w:tc>
      </w:tr>
      <w:tr w14:paraId="1CE67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76" w:type="dxa"/>
            <w:tcBorders>
              <w:top w:val="single" w:color="auto" w:sz="4" w:space="0"/>
            </w:tcBorders>
            <w:vAlign w:val="center"/>
          </w:tcPr>
          <w:p w14:paraId="0742ED66">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7</w:t>
            </w:r>
          </w:p>
        </w:tc>
        <w:tc>
          <w:tcPr>
            <w:tcW w:w="3112" w:type="dxa"/>
            <w:tcBorders>
              <w:top w:val="single" w:color="auto" w:sz="4" w:space="0"/>
            </w:tcBorders>
            <w:vAlign w:val="center"/>
          </w:tcPr>
          <w:p w14:paraId="70BE06D7">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ascii="Times New Roman" w:hAnsi="Times New Roman" w:cs="Times New Roman"/>
                <w:color w:val="auto"/>
                <w:szCs w:val="21"/>
                <w:highlight w:val="none"/>
              </w:rPr>
              <w:t>2#高炉地沟PLC室</w:t>
            </w:r>
          </w:p>
        </w:tc>
        <w:tc>
          <w:tcPr>
            <w:tcW w:w="851" w:type="dxa"/>
            <w:tcBorders>
              <w:top w:val="single" w:color="auto" w:sz="4" w:space="0"/>
            </w:tcBorders>
            <w:vAlign w:val="center"/>
          </w:tcPr>
          <w:p w14:paraId="4402FAA1">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w:t>
            </w:r>
          </w:p>
        </w:tc>
        <w:tc>
          <w:tcPr>
            <w:tcW w:w="1417" w:type="dxa"/>
            <w:tcBorders>
              <w:top w:val="single" w:color="auto" w:sz="4" w:space="0"/>
            </w:tcBorders>
            <w:vAlign w:val="center"/>
          </w:tcPr>
          <w:p w14:paraId="1529D104">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p>
        </w:tc>
        <w:tc>
          <w:tcPr>
            <w:tcW w:w="570" w:type="dxa"/>
            <w:tcBorders>
              <w:top w:val="single" w:color="auto" w:sz="4" w:space="0"/>
            </w:tcBorders>
            <w:vAlign w:val="center"/>
          </w:tcPr>
          <w:p w14:paraId="30A615A8">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p>
        </w:tc>
      </w:tr>
      <w:tr w14:paraId="46671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76" w:type="dxa"/>
            <w:tcBorders>
              <w:top w:val="single" w:color="auto" w:sz="4" w:space="0"/>
            </w:tcBorders>
            <w:vAlign w:val="center"/>
          </w:tcPr>
          <w:p w14:paraId="3AE4CA68">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8</w:t>
            </w:r>
          </w:p>
        </w:tc>
        <w:tc>
          <w:tcPr>
            <w:tcW w:w="3112" w:type="dxa"/>
            <w:tcBorders>
              <w:top w:val="single" w:color="auto" w:sz="4" w:space="0"/>
            </w:tcBorders>
            <w:vAlign w:val="center"/>
          </w:tcPr>
          <w:p w14:paraId="5BE8BEE2">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ascii="Times New Roman" w:hAnsi="Times New Roman" w:cs="Times New Roman"/>
                <w:color w:val="auto"/>
                <w:szCs w:val="21"/>
                <w:highlight w:val="none"/>
              </w:rPr>
              <w:t>2#高炉2#除尘在线监测小房</w:t>
            </w:r>
          </w:p>
        </w:tc>
        <w:tc>
          <w:tcPr>
            <w:tcW w:w="851" w:type="dxa"/>
            <w:tcBorders>
              <w:top w:val="single" w:color="auto" w:sz="4" w:space="0"/>
            </w:tcBorders>
            <w:vAlign w:val="center"/>
          </w:tcPr>
          <w:p w14:paraId="30346EDD">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w:t>
            </w:r>
          </w:p>
        </w:tc>
        <w:tc>
          <w:tcPr>
            <w:tcW w:w="1417" w:type="dxa"/>
            <w:tcBorders>
              <w:top w:val="single" w:color="auto" w:sz="4" w:space="0"/>
            </w:tcBorders>
            <w:vAlign w:val="center"/>
          </w:tcPr>
          <w:p w14:paraId="230DF1EE">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w:t>
            </w:r>
          </w:p>
        </w:tc>
        <w:tc>
          <w:tcPr>
            <w:tcW w:w="570" w:type="dxa"/>
            <w:tcBorders>
              <w:top w:val="single" w:color="auto" w:sz="4" w:space="0"/>
            </w:tcBorders>
            <w:vAlign w:val="center"/>
          </w:tcPr>
          <w:p w14:paraId="5ADF1B5D">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p>
        </w:tc>
      </w:tr>
      <w:tr w14:paraId="05C8D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76" w:type="dxa"/>
            <w:tcBorders>
              <w:top w:val="single" w:color="auto" w:sz="4" w:space="0"/>
            </w:tcBorders>
            <w:vAlign w:val="center"/>
          </w:tcPr>
          <w:p w14:paraId="269D548E">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9</w:t>
            </w:r>
          </w:p>
        </w:tc>
        <w:tc>
          <w:tcPr>
            <w:tcW w:w="3112" w:type="dxa"/>
            <w:tcBorders>
              <w:top w:val="single" w:color="auto" w:sz="4" w:space="0"/>
            </w:tcBorders>
            <w:vAlign w:val="center"/>
          </w:tcPr>
          <w:p w14:paraId="16AF01AA">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ascii="Times New Roman" w:hAnsi="Times New Roman" w:cs="Times New Roman"/>
                <w:color w:val="auto"/>
                <w:szCs w:val="21"/>
                <w:highlight w:val="none"/>
              </w:rPr>
              <w:t>2#高炉水渣电磁站</w:t>
            </w:r>
          </w:p>
        </w:tc>
        <w:tc>
          <w:tcPr>
            <w:tcW w:w="851" w:type="dxa"/>
            <w:tcBorders>
              <w:top w:val="single" w:color="auto" w:sz="4" w:space="0"/>
            </w:tcBorders>
            <w:vAlign w:val="center"/>
          </w:tcPr>
          <w:p w14:paraId="25642DDA">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2</w:t>
            </w:r>
          </w:p>
        </w:tc>
        <w:tc>
          <w:tcPr>
            <w:tcW w:w="1417" w:type="dxa"/>
            <w:tcBorders>
              <w:top w:val="single" w:color="auto" w:sz="4" w:space="0"/>
            </w:tcBorders>
            <w:vAlign w:val="center"/>
          </w:tcPr>
          <w:p w14:paraId="240D12CB">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p>
        </w:tc>
        <w:tc>
          <w:tcPr>
            <w:tcW w:w="570" w:type="dxa"/>
            <w:tcBorders>
              <w:top w:val="single" w:color="auto" w:sz="4" w:space="0"/>
            </w:tcBorders>
            <w:vAlign w:val="center"/>
          </w:tcPr>
          <w:p w14:paraId="1172C139">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p>
        </w:tc>
      </w:tr>
      <w:tr w14:paraId="2D56C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76" w:type="dxa"/>
            <w:tcBorders>
              <w:top w:val="single" w:color="auto" w:sz="4" w:space="0"/>
            </w:tcBorders>
            <w:vAlign w:val="center"/>
          </w:tcPr>
          <w:p w14:paraId="03866176">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10</w:t>
            </w:r>
          </w:p>
        </w:tc>
        <w:tc>
          <w:tcPr>
            <w:tcW w:w="3112" w:type="dxa"/>
            <w:tcBorders>
              <w:top w:val="single" w:color="auto" w:sz="4" w:space="0"/>
            </w:tcBorders>
            <w:vAlign w:val="center"/>
          </w:tcPr>
          <w:p w14:paraId="7F7981EE">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ascii="Times New Roman" w:hAnsi="Times New Roman" w:cs="Times New Roman"/>
                <w:color w:val="auto"/>
                <w:szCs w:val="21"/>
                <w:highlight w:val="none"/>
              </w:rPr>
              <w:t>2#高炉热风炉电磁站</w:t>
            </w:r>
          </w:p>
        </w:tc>
        <w:tc>
          <w:tcPr>
            <w:tcW w:w="851" w:type="dxa"/>
            <w:tcBorders>
              <w:top w:val="single" w:color="auto" w:sz="4" w:space="0"/>
            </w:tcBorders>
            <w:vAlign w:val="center"/>
          </w:tcPr>
          <w:p w14:paraId="213FB723">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w:t>
            </w:r>
          </w:p>
        </w:tc>
        <w:tc>
          <w:tcPr>
            <w:tcW w:w="1417" w:type="dxa"/>
            <w:tcBorders>
              <w:top w:val="single" w:color="auto" w:sz="4" w:space="0"/>
            </w:tcBorders>
            <w:vAlign w:val="center"/>
          </w:tcPr>
          <w:p w14:paraId="1583417F">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p>
        </w:tc>
        <w:tc>
          <w:tcPr>
            <w:tcW w:w="570" w:type="dxa"/>
            <w:tcBorders>
              <w:top w:val="single" w:color="auto" w:sz="4" w:space="0"/>
            </w:tcBorders>
            <w:vAlign w:val="center"/>
          </w:tcPr>
          <w:p w14:paraId="3357DFF8">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p>
        </w:tc>
      </w:tr>
      <w:tr w14:paraId="0ADCB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76" w:type="dxa"/>
            <w:tcBorders>
              <w:top w:val="single" w:color="auto" w:sz="4" w:space="0"/>
              <w:bottom w:val="single" w:color="auto" w:sz="4" w:space="0"/>
            </w:tcBorders>
            <w:vAlign w:val="center"/>
          </w:tcPr>
          <w:p w14:paraId="0D4F56A7">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11</w:t>
            </w:r>
          </w:p>
        </w:tc>
        <w:tc>
          <w:tcPr>
            <w:tcW w:w="3112" w:type="dxa"/>
            <w:tcBorders>
              <w:top w:val="single" w:color="auto" w:sz="4" w:space="0"/>
              <w:bottom w:val="single" w:color="auto" w:sz="4" w:space="0"/>
            </w:tcBorders>
            <w:vAlign w:val="center"/>
          </w:tcPr>
          <w:p w14:paraId="3CBC5508">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ascii="Times New Roman" w:hAnsi="Times New Roman" w:cs="Times New Roman"/>
                <w:color w:val="auto"/>
                <w:szCs w:val="21"/>
                <w:highlight w:val="none"/>
              </w:rPr>
              <w:t>2#高炉布袋除尘电磁站</w:t>
            </w:r>
          </w:p>
        </w:tc>
        <w:tc>
          <w:tcPr>
            <w:tcW w:w="851" w:type="dxa"/>
            <w:tcBorders>
              <w:top w:val="single" w:color="auto" w:sz="4" w:space="0"/>
              <w:bottom w:val="single" w:color="auto" w:sz="4" w:space="0"/>
            </w:tcBorders>
            <w:vAlign w:val="center"/>
          </w:tcPr>
          <w:p w14:paraId="26041E63">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3</w:t>
            </w:r>
          </w:p>
        </w:tc>
        <w:tc>
          <w:tcPr>
            <w:tcW w:w="1417" w:type="dxa"/>
            <w:tcBorders>
              <w:top w:val="single" w:color="auto" w:sz="4" w:space="0"/>
              <w:bottom w:val="single" w:color="auto" w:sz="4" w:space="0"/>
            </w:tcBorders>
            <w:vAlign w:val="center"/>
          </w:tcPr>
          <w:p w14:paraId="0273599F">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p>
        </w:tc>
        <w:tc>
          <w:tcPr>
            <w:tcW w:w="570" w:type="dxa"/>
            <w:tcBorders>
              <w:top w:val="single" w:color="auto" w:sz="4" w:space="0"/>
              <w:bottom w:val="single" w:color="auto" w:sz="4" w:space="0"/>
            </w:tcBorders>
            <w:vAlign w:val="center"/>
          </w:tcPr>
          <w:p w14:paraId="75BD6BDA">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p>
        </w:tc>
      </w:tr>
      <w:tr w14:paraId="62848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76" w:type="dxa"/>
            <w:tcBorders>
              <w:top w:val="single" w:color="auto" w:sz="4" w:space="0"/>
              <w:bottom w:val="single" w:color="auto" w:sz="4" w:space="0"/>
            </w:tcBorders>
            <w:vAlign w:val="center"/>
          </w:tcPr>
          <w:p w14:paraId="43AB973F">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12</w:t>
            </w:r>
          </w:p>
        </w:tc>
        <w:tc>
          <w:tcPr>
            <w:tcW w:w="3112" w:type="dxa"/>
            <w:tcBorders>
              <w:top w:val="single" w:color="auto" w:sz="4" w:space="0"/>
              <w:bottom w:val="single" w:color="auto" w:sz="4" w:space="0"/>
            </w:tcBorders>
            <w:vAlign w:val="center"/>
          </w:tcPr>
          <w:p w14:paraId="0EC988B3">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ascii="Times New Roman" w:hAnsi="Times New Roman" w:cs="Times New Roman"/>
                <w:color w:val="auto"/>
                <w:szCs w:val="21"/>
                <w:highlight w:val="none"/>
              </w:rPr>
              <w:t>2#高炉煤气分析小房</w:t>
            </w:r>
          </w:p>
        </w:tc>
        <w:tc>
          <w:tcPr>
            <w:tcW w:w="851" w:type="dxa"/>
            <w:tcBorders>
              <w:top w:val="single" w:color="auto" w:sz="4" w:space="0"/>
              <w:bottom w:val="single" w:color="auto" w:sz="4" w:space="0"/>
            </w:tcBorders>
            <w:vAlign w:val="center"/>
          </w:tcPr>
          <w:p w14:paraId="4951C403">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w:t>
            </w:r>
          </w:p>
        </w:tc>
        <w:tc>
          <w:tcPr>
            <w:tcW w:w="1417" w:type="dxa"/>
            <w:tcBorders>
              <w:top w:val="single" w:color="auto" w:sz="4" w:space="0"/>
              <w:bottom w:val="single" w:color="auto" w:sz="4" w:space="0"/>
            </w:tcBorders>
            <w:vAlign w:val="center"/>
          </w:tcPr>
          <w:p w14:paraId="50A9590B">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w:t>
            </w:r>
          </w:p>
        </w:tc>
        <w:tc>
          <w:tcPr>
            <w:tcW w:w="570" w:type="dxa"/>
            <w:tcBorders>
              <w:top w:val="single" w:color="auto" w:sz="4" w:space="0"/>
              <w:bottom w:val="single" w:color="auto" w:sz="4" w:space="0"/>
            </w:tcBorders>
            <w:vAlign w:val="center"/>
          </w:tcPr>
          <w:p w14:paraId="47E9B78A">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p>
        </w:tc>
      </w:tr>
      <w:tr w14:paraId="0B841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76" w:type="dxa"/>
            <w:tcBorders>
              <w:top w:val="single" w:color="auto" w:sz="4" w:space="0"/>
              <w:bottom w:val="single" w:color="auto" w:sz="4" w:space="0"/>
            </w:tcBorders>
            <w:vAlign w:val="center"/>
          </w:tcPr>
          <w:p w14:paraId="5FBA07EB">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13</w:t>
            </w:r>
          </w:p>
        </w:tc>
        <w:tc>
          <w:tcPr>
            <w:tcW w:w="3112" w:type="dxa"/>
            <w:tcBorders>
              <w:top w:val="single" w:color="auto" w:sz="4" w:space="0"/>
              <w:bottom w:val="single" w:color="auto" w:sz="4" w:space="0"/>
            </w:tcBorders>
            <w:vAlign w:val="center"/>
          </w:tcPr>
          <w:p w14:paraId="2302C347">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ascii="Times New Roman" w:hAnsi="Times New Roman" w:cs="Times New Roman"/>
                <w:color w:val="auto"/>
                <w:szCs w:val="21"/>
                <w:highlight w:val="none"/>
              </w:rPr>
              <w:t>2#高炉布袋煤气分析仪小房</w:t>
            </w:r>
          </w:p>
        </w:tc>
        <w:tc>
          <w:tcPr>
            <w:tcW w:w="851" w:type="dxa"/>
            <w:tcBorders>
              <w:top w:val="single" w:color="auto" w:sz="4" w:space="0"/>
              <w:bottom w:val="single" w:color="auto" w:sz="4" w:space="0"/>
            </w:tcBorders>
            <w:vAlign w:val="center"/>
          </w:tcPr>
          <w:p w14:paraId="5E3A1D91">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w:t>
            </w:r>
          </w:p>
        </w:tc>
        <w:tc>
          <w:tcPr>
            <w:tcW w:w="1417" w:type="dxa"/>
            <w:tcBorders>
              <w:top w:val="single" w:color="auto" w:sz="4" w:space="0"/>
              <w:bottom w:val="single" w:color="auto" w:sz="4" w:space="0"/>
            </w:tcBorders>
            <w:vAlign w:val="center"/>
          </w:tcPr>
          <w:p w14:paraId="44CEB4E9">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w:t>
            </w:r>
          </w:p>
        </w:tc>
        <w:tc>
          <w:tcPr>
            <w:tcW w:w="570" w:type="dxa"/>
            <w:tcBorders>
              <w:top w:val="single" w:color="auto" w:sz="4" w:space="0"/>
              <w:bottom w:val="single" w:color="auto" w:sz="4" w:space="0"/>
            </w:tcBorders>
            <w:vAlign w:val="center"/>
          </w:tcPr>
          <w:p w14:paraId="55C8398B">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p>
        </w:tc>
      </w:tr>
      <w:tr w14:paraId="71009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76" w:type="dxa"/>
            <w:tcBorders>
              <w:top w:val="single" w:color="auto" w:sz="4" w:space="0"/>
              <w:bottom w:val="single" w:color="auto" w:sz="4" w:space="0"/>
            </w:tcBorders>
            <w:vAlign w:val="center"/>
          </w:tcPr>
          <w:p w14:paraId="386E13F3">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14</w:t>
            </w:r>
          </w:p>
        </w:tc>
        <w:tc>
          <w:tcPr>
            <w:tcW w:w="3112" w:type="dxa"/>
            <w:tcBorders>
              <w:top w:val="single" w:color="auto" w:sz="4" w:space="0"/>
              <w:bottom w:val="single" w:color="auto" w:sz="4" w:space="0"/>
            </w:tcBorders>
            <w:vAlign w:val="center"/>
          </w:tcPr>
          <w:p w14:paraId="0F55609D">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ascii="Times New Roman" w:hAnsi="Times New Roman" w:cs="Times New Roman"/>
                <w:color w:val="auto"/>
                <w:szCs w:val="21"/>
                <w:highlight w:val="none"/>
              </w:rPr>
              <w:t>2#高炉炉台电磁站</w:t>
            </w:r>
          </w:p>
        </w:tc>
        <w:tc>
          <w:tcPr>
            <w:tcW w:w="851" w:type="dxa"/>
            <w:tcBorders>
              <w:top w:val="single" w:color="auto" w:sz="4" w:space="0"/>
              <w:bottom w:val="single" w:color="auto" w:sz="4" w:space="0"/>
            </w:tcBorders>
            <w:vAlign w:val="center"/>
          </w:tcPr>
          <w:p w14:paraId="169D1D23">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2</w:t>
            </w:r>
          </w:p>
        </w:tc>
        <w:tc>
          <w:tcPr>
            <w:tcW w:w="1417" w:type="dxa"/>
            <w:tcBorders>
              <w:top w:val="single" w:color="auto" w:sz="4" w:space="0"/>
              <w:bottom w:val="single" w:color="auto" w:sz="4" w:space="0"/>
            </w:tcBorders>
            <w:vAlign w:val="center"/>
          </w:tcPr>
          <w:p w14:paraId="38B33995">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p>
        </w:tc>
        <w:tc>
          <w:tcPr>
            <w:tcW w:w="570" w:type="dxa"/>
            <w:tcBorders>
              <w:top w:val="single" w:color="auto" w:sz="4" w:space="0"/>
              <w:bottom w:val="single" w:color="auto" w:sz="4" w:space="0"/>
            </w:tcBorders>
            <w:vAlign w:val="center"/>
          </w:tcPr>
          <w:p w14:paraId="3CF07790">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p>
        </w:tc>
      </w:tr>
      <w:tr w14:paraId="1891B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76" w:type="dxa"/>
            <w:tcBorders>
              <w:top w:val="single" w:color="auto" w:sz="4" w:space="0"/>
              <w:bottom w:val="single" w:color="auto" w:sz="4" w:space="0"/>
            </w:tcBorders>
            <w:vAlign w:val="center"/>
          </w:tcPr>
          <w:p w14:paraId="49A302C0">
            <w:pPr>
              <w:shd w:val="clear"/>
              <w:autoSpaceDE w:val="0"/>
              <w:autoSpaceDN w:val="0"/>
              <w:adjustRightInd w:val="0"/>
              <w:spacing w:line="300" w:lineRule="auto"/>
              <w:ind w:firstLine="0" w:firstLineChars="0"/>
              <w:jc w:val="center"/>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1</w:t>
            </w:r>
            <w:r>
              <w:rPr>
                <w:rFonts w:ascii="Times New Roman" w:hAnsi="Times New Roman" w:cs="Times New Roman"/>
                <w:color w:val="auto"/>
                <w:szCs w:val="21"/>
                <w:highlight w:val="none"/>
              </w:rPr>
              <w:t>5</w:t>
            </w:r>
          </w:p>
        </w:tc>
        <w:tc>
          <w:tcPr>
            <w:tcW w:w="3112" w:type="dxa"/>
            <w:tcBorders>
              <w:top w:val="single" w:color="auto" w:sz="4" w:space="0"/>
              <w:bottom w:val="single" w:color="auto" w:sz="4" w:space="0"/>
            </w:tcBorders>
            <w:vAlign w:val="center"/>
          </w:tcPr>
          <w:p w14:paraId="7C338BC5">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ascii="Times New Roman" w:hAnsi="Times New Roman" w:cs="Times New Roman"/>
                <w:color w:val="auto"/>
                <w:szCs w:val="21"/>
                <w:highlight w:val="none"/>
              </w:rPr>
              <w:t>2#高炉出铁场除尘电磁站</w:t>
            </w:r>
          </w:p>
        </w:tc>
        <w:tc>
          <w:tcPr>
            <w:tcW w:w="851" w:type="dxa"/>
            <w:tcBorders>
              <w:top w:val="single" w:color="auto" w:sz="4" w:space="0"/>
              <w:bottom w:val="single" w:color="auto" w:sz="4" w:space="0"/>
            </w:tcBorders>
            <w:vAlign w:val="center"/>
          </w:tcPr>
          <w:p w14:paraId="65486EBE">
            <w:pPr>
              <w:shd w:val="clear"/>
              <w:autoSpaceDE w:val="0"/>
              <w:autoSpaceDN w:val="0"/>
              <w:adjustRightInd w:val="0"/>
              <w:spacing w:line="300" w:lineRule="auto"/>
              <w:ind w:firstLine="0" w:firstLineChars="0"/>
              <w:jc w:val="center"/>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1</w:t>
            </w:r>
          </w:p>
        </w:tc>
        <w:tc>
          <w:tcPr>
            <w:tcW w:w="1417" w:type="dxa"/>
            <w:tcBorders>
              <w:top w:val="single" w:color="auto" w:sz="4" w:space="0"/>
              <w:bottom w:val="single" w:color="auto" w:sz="4" w:space="0"/>
            </w:tcBorders>
            <w:vAlign w:val="center"/>
          </w:tcPr>
          <w:p w14:paraId="74661D40">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p>
        </w:tc>
        <w:tc>
          <w:tcPr>
            <w:tcW w:w="570" w:type="dxa"/>
            <w:tcBorders>
              <w:top w:val="single" w:color="auto" w:sz="4" w:space="0"/>
              <w:bottom w:val="single" w:color="auto" w:sz="4" w:space="0"/>
            </w:tcBorders>
            <w:vAlign w:val="center"/>
          </w:tcPr>
          <w:p w14:paraId="784F27DC">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p>
        </w:tc>
      </w:tr>
      <w:tr w14:paraId="663F9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76" w:type="dxa"/>
            <w:tcBorders>
              <w:top w:val="single" w:color="auto" w:sz="4" w:space="0"/>
              <w:bottom w:val="single" w:color="auto" w:sz="4" w:space="0"/>
            </w:tcBorders>
            <w:vAlign w:val="center"/>
          </w:tcPr>
          <w:p w14:paraId="67B63235">
            <w:pPr>
              <w:shd w:val="clear"/>
              <w:autoSpaceDE w:val="0"/>
              <w:autoSpaceDN w:val="0"/>
              <w:adjustRightInd w:val="0"/>
              <w:spacing w:line="300" w:lineRule="auto"/>
              <w:ind w:firstLine="0" w:firstLineChars="0"/>
              <w:jc w:val="center"/>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1</w:t>
            </w:r>
            <w:r>
              <w:rPr>
                <w:rFonts w:ascii="Times New Roman" w:hAnsi="Times New Roman" w:cs="Times New Roman"/>
                <w:color w:val="auto"/>
                <w:szCs w:val="21"/>
                <w:highlight w:val="none"/>
              </w:rPr>
              <w:t>6</w:t>
            </w:r>
          </w:p>
        </w:tc>
        <w:tc>
          <w:tcPr>
            <w:tcW w:w="3112" w:type="dxa"/>
            <w:tcBorders>
              <w:top w:val="single" w:color="auto" w:sz="4" w:space="0"/>
              <w:bottom w:val="single" w:color="auto" w:sz="4" w:space="0"/>
            </w:tcBorders>
            <w:vAlign w:val="center"/>
          </w:tcPr>
          <w:p w14:paraId="69FF2A75">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ascii="Times New Roman" w:hAnsi="Times New Roman" w:cs="Times New Roman"/>
                <w:color w:val="auto"/>
                <w:szCs w:val="21"/>
                <w:highlight w:val="none"/>
              </w:rPr>
              <w:t>2#高炉3#除尘在线监测小房</w:t>
            </w:r>
          </w:p>
        </w:tc>
        <w:tc>
          <w:tcPr>
            <w:tcW w:w="851" w:type="dxa"/>
            <w:tcBorders>
              <w:top w:val="single" w:color="auto" w:sz="4" w:space="0"/>
              <w:bottom w:val="single" w:color="auto" w:sz="4" w:space="0"/>
            </w:tcBorders>
            <w:vAlign w:val="center"/>
          </w:tcPr>
          <w:p w14:paraId="416D9033">
            <w:pPr>
              <w:shd w:val="clear"/>
              <w:autoSpaceDE w:val="0"/>
              <w:autoSpaceDN w:val="0"/>
              <w:adjustRightInd w:val="0"/>
              <w:spacing w:line="300" w:lineRule="auto"/>
              <w:ind w:firstLine="0" w:firstLineChars="0"/>
              <w:jc w:val="center"/>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1</w:t>
            </w:r>
          </w:p>
        </w:tc>
        <w:tc>
          <w:tcPr>
            <w:tcW w:w="1417" w:type="dxa"/>
            <w:tcBorders>
              <w:top w:val="single" w:color="auto" w:sz="4" w:space="0"/>
              <w:bottom w:val="single" w:color="auto" w:sz="4" w:space="0"/>
            </w:tcBorders>
            <w:vAlign w:val="center"/>
          </w:tcPr>
          <w:p w14:paraId="79B07452">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w:t>
            </w:r>
          </w:p>
        </w:tc>
        <w:tc>
          <w:tcPr>
            <w:tcW w:w="570" w:type="dxa"/>
            <w:tcBorders>
              <w:top w:val="single" w:color="auto" w:sz="4" w:space="0"/>
              <w:bottom w:val="single" w:color="auto" w:sz="4" w:space="0"/>
            </w:tcBorders>
            <w:vAlign w:val="center"/>
          </w:tcPr>
          <w:p w14:paraId="1FBDE138">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p>
        </w:tc>
      </w:tr>
      <w:tr w14:paraId="0A594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76" w:type="dxa"/>
            <w:tcBorders>
              <w:top w:val="single" w:color="auto" w:sz="4" w:space="0"/>
              <w:bottom w:val="single" w:color="auto" w:sz="4" w:space="0"/>
            </w:tcBorders>
            <w:vAlign w:val="center"/>
          </w:tcPr>
          <w:p w14:paraId="6E5B4A2F">
            <w:pPr>
              <w:shd w:val="clear"/>
              <w:autoSpaceDE w:val="0"/>
              <w:autoSpaceDN w:val="0"/>
              <w:adjustRightInd w:val="0"/>
              <w:spacing w:line="300" w:lineRule="auto"/>
              <w:ind w:firstLine="0" w:firstLineChars="0"/>
              <w:jc w:val="center"/>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1</w:t>
            </w:r>
            <w:r>
              <w:rPr>
                <w:rFonts w:ascii="Times New Roman" w:hAnsi="Times New Roman" w:cs="Times New Roman"/>
                <w:color w:val="auto"/>
                <w:szCs w:val="21"/>
                <w:highlight w:val="none"/>
              </w:rPr>
              <w:t>7</w:t>
            </w:r>
          </w:p>
        </w:tc>
        <w:tc>
          <w:tcPr>
            <w:tcW w:w="3112" w:type="dxa"/>
            <w:tcBorders>
              <w:top w:val="single" w:color="auto" w:sz="4" w:space="0"/>
              <w:bottom w:val="single" w:color="auto" w:sz="4" w:space="0"/>
            </w:tcBorders>
            <w:vAlign w:val="center"/>
          </w:tcPr>
          <w:p w14:paraId="3B2BAEA7">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ascii="Times New Roman" w:hAnsi="Times New Roman" w:cs="Times New Roman"/>
                <w:color w:val="auto"/>
                <w:szCs w:val="21"/>
                <w:highlight w:val="none"/>
              </w:rPr>
              <w:t>2#高炉出铁场除尘变频器室</w:t>
            </w:r>
          </w:p>
        </w:tc>
        <w:tc>
          <w:tcPr>
            <w:tcW w:w="851" w:type="dxa"/>
            <w:tcBorders>
              <w:top w:val="single" w:color="auto" w:sz="4" w:space="0"/>
              <w:bottom w:val="single" w:color="auto" w:sz="4" w:space="0"/>
            </w:tcBorders>
            <w:vAlign w:val="center"/>
          </w:tcPr>
          <w:p w14:paraId="36FA7C47">
            <w:pPr>
              <w:shd w:val="clear"/>
              <w:autoSpaceDE w:val="0"/>
              <w:autoSpaceDN w:val="0"/>
              <w:adjustRightInd w:val="0"/>
              <w:spacing w:line="300" w:lineRule="auto"/>
              <w:ind w:firstLine="0" w:firstLineChars="0"/>
              <w:jc w:val="center"/>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1</w:t>
            </w:r>
          </w:p>
        </w:tc>
        <w:tc>
          <w:tcPr>
            <w:tcW w:w="1417" w:type="dxa"/>
            <w:tcBorders>
              <w:top w:val="single" w:color="auto" w:sz="4" w:space="0"/>
              <w:bottom w:val="single" w:color="auto" w:sz="4" w:space="0"/>
            </w:tcBorders>
            <w:vAlign w:val="center"/>
          </w:tcPr>
          <w:p w14:paraId="715E97BB">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p>
        </w:tc>
        <w:tc>
          <w:tcPr>
            <w:tcW w:w="570" w:type="dxa"/>
            <w:tcBorders>
              <w:top w:val="single" w:color="auto" w:sz="4" w:space="0"/>
              <w:bottom w:val="single" w:color="auto" w:sz="4" w:space="0"/>
            </w:tcBorders>
            <w:vAlign w:val="center"/>
          </w:tcPr>
          <w:p w14:paraId="768D22FB">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p>
        </w:tc>
      </w:tr>
      <w:tr w14:paraId="07FDC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76" w:type="dxa"/>
            <w:tcBorders>
              <w:top w:val="single" w:color="auto" w:sz="4" w:space="0"/>
              <w:bottom w:val="single" w:color="auto" w:sz="4" w:space="0"/>
            </w:tcBorders>
            <w:vAlign w:val="center"/>
          </w:tcPr>
          <w:p w14:paraId="4B76C3AD">
            <w:pPr>
              <w:shd w:val="clear"/>
              <w:autoSpaceDE w:val="0"/>
              <w:autoSpaceDN w:val="0"/>
              <w:adjustRightInd w:val="0"/>
              <w:spacing w:line="300" w:lineRule="auto"/>
              <w:ind w:firstLine="0" w:firstLineChars="0"/>
              <w:jc w:val="center"/>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1</w:t>
            </w:r>
            <w:r>
              <w:rPr>
                <w:rFonts w:ascii="Times New Roman" w:hAnsi="Times New Roman" w:cs="Times New Roman"/>
                <w:color w:val="auto"/>
                <w:szCs w:val="21"/>
                <w:highlight w:val="none"/>
              </w:rPr>
              <w:t>8</w:t>
            </w:r>
          </w:p>
        </w:tc>
        <w:tc>
          <w:tcPr>
            <w:tcW w:w="3112" w:type="dxa"/>
            <w:tcBorders>
              <w:top w:val="single" w:color="auto" w:sz="4" w:space="0"/>
              <w:bottom w:val="single" w:color="auto" w:sz="4" w:space="0"/>
            </w:tcBorders>
            <w:vAlign w:val="center"/>
          </w:tcPr>
          <w:p w14:paraId="2537565E">
            <w:pPr>
              <w:shd w:val="clear"/>
              <w:autoSpaceDE w:val="0"/>
              <w:autoSpaceDN w:val="0"/>
              <w:adjustRightInd w:val="0"/>
              <w:spacing w:line="300" w:lineRule="auto"/>
              <w:ind w:firstLine="0" w:firstLineChars="0"/>
              <w:rPr>
                <w:rFonts w:ascii="Times New Roman" w:hAnsi="Times New Roman" w:cs="Times New Roman"/>
                <w:color w:val="auto"/>
                <w:szCs w:val="21"/>
                <w:highlight w:val="none"/>
              </w:rPr>
            </w:pPr>
            <w:r>
              <w:rPr>
                <w:rFonts w:ascii="Times New Roman" w:hAnsi="Times New Roman" w:cs="Times New Roman"/>
                <w:color w:val="auto"/>
                <w:szCs w:val="21"/>
                <w:highlight w:val="none"/>
              </w:rPr>
              <w:t>2#高炉3#、5#除尘低压电磁站</w:t>
            </w:r>
          </w:p>
        </w:tc>
        <w:tc>
          <w:tcPr>
            <w:tcW w:w="851" w:type="dxa"/>
            <w:tcBorders>
              <w:top w:val="single" w:color="auto" w:sz="4" w:space="0"/>
              <w:bottom w:val="single" w:color="auto" w:sz="4" w:space="0"/>
            </w:tcBorders>
            <w:vAlign w:val="center"/>
          </w:tcPr>
          <w:p w14:paraId="0A831C7D">
            <w:pPr>
              <w:shd w:val="clear"/>
              <w:autoSpaceDE w:val="0"/>
              <w:autoSpaceDN w:val="0"/>
              <w:adjustRightInd w:val="0"/>
              <w:spacing w:line="300" w:lineRule="auto"/>
              <w:ind w:firstLine="0" w:firstLineChars="0"/>
              <w:jc w:val="center"/>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1</w:t>
            </w:r>
          </w:p>
        </w:tc>
        <w:tc>
          <w:tcPr>
            <w:tcW w:w="1417" w:type="dxa"/>
            <w:tcBorders>
              <w:top w:val="single" w:color="auto" w:sz="4" w:space="0"/>
              <w:bottom w:val="single" w:color="auto" w:sz="4" w:space="0"/>
            </w:tcBorders>
            <w:vAlign w:val="center"/>
          </w:tcPr>
          <w:p w14:paraId="5BEE5B8B">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p>
        </w:tc>
        <w:tc>
          <w:tcPr>
            <w:tcW w:w="570" w:type="dxa"/>
            <w:tcBorders>
              <w:top w:val="single" w:color="auto" w:sz="4" w:space="0"/>
              <w:bottom w:val="single" w:color="auto" w:sz="4" w:space="0"/>
            </w:tcBorders>
            <w:vAlign w:val="center"/>
          </w:tcPr>
          <w:p w14:paraId="57FF9265">
            <w:pPr>
              <w:shd w:val="clear"/>
              <w:autoSpaceDE w:val="0"/>
              <w:autoSpaceDN w:val="0"/>
              <w:adjustRightInd w:val="0"/>
              <w:spacing w:line="300" w:lineRule="auto"/>
              <w:ind w:firstLine="0" w:firstLineChars="0"/>
              <w:jc w:val="center"/>
              <w:rPr>
                <w:rFonts w:ascii="Times New Roman" w:hAnsi="Times New Roman" w:cs="Times New Roman"/>
                <w:color w:val="auto"/>
                <w:szCs w:val="21"/>
                <w:highlight w:val="none"/>
              </w:rPr>
            </w:pPr>
          </w:p>
        </w:tc>
      </w:tr>
    </w:tbl>
    <w:p w14:paraId="408A2556">
      <w:pPr>
        <w:shd w:val="clear"/>
        <w:autoSpaceDE w:val="0"/>
        <w:autoSpaceDN w:val="0"/>
        <w:ind w:firstLine="0" w:firstLineChars="0"/>
        <w:rPr>
          <w:rFonts w:hint="eastAsia" w:ascii="Times New Roman" w:hAnsi="Times New Roman" w:cs="Times New Roman"/>
          <w:color w:val="auto"/>
          <w:kern w:val="0"/>
          <w:szCs w:val="22"/>
          <w:highlight w:val="none"/>
          <w:lang w:bidi="zh-CN"/>
        </w:rPr>
      </w:pPr>
    </w:p>
    <w:p w14:paraId="0A8F0B84">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5）新增电气室将针对被保护对象不同，分别设置下列探测器：</w:t>
      </w:r>
    </w:p>
    <w:p w14:paraId="370CA632">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电气室、控制室等地面重要建筑物：采用智能点式光电感烟探测器进行火灾探测，对于电气室内有大量电缆敷设的电缆沟和电缆夹层内采用缆式线型探测器进行火灾探测。</w:t>
      </w:r>
    </w:p>
    <w:p w14:paraId="51E38F27">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在所有设置火灾探测器的场所，根据相关规程规范的要求设置一定数量的手动报警按钮和声光报警器。</w:t>
      </w:r>
    </w:p>
    <w:p w14:paraId="261B5B2F">
      <w:pPr>
        <w:pStyle w:val="17"/>
        <w:shd w:val="clear"/>
        <w:rPr>
          <w:rFonts w:ascii="Times New Roman" w:hAnsi="Times New Roman" w:cs="Times New Roman"/>
          <w:b w:val="0"/>
          <w:bCs w:val="0"/>
          <w:color w:val="auto"/>
          <w:kern w:val="0"/>
          <w:sz w:val="24"/>
          <w:szCs w:val="22"/>
          <w:highlight w:val="none"/>
          <w:lang w:bidi="zh-CN"/>
        </w:rPr>
      </w:pPr>
      <w:r>
        <w:rPr>
          <w:rFonts w:hint="eastAsia" w:ascii="Times New Roman" w:hAnsi="Times New Roman" w:cs="Times New Roman"/>
          <w:b w:val="0"/>
          <w:bCs w:val="0"/>
          <w:color w:val="auto"/>
          <w:kern w:val="0"/>
          <w:sz w:val="24"/>
          <w:szCs w:val="22"/>
          <w:highlight w:val="none"/>
          <w:lang w:bidi="zh-CN"/>
        </w:rPr>
        <w:t>新建出铁场除尘高压变频器室、低压配电室、PLC室、控制室等需设置备用照明。</w:t>
      </w:r>
    </w:p>
    <w:p w14:paraId="4AF7CB15">
      <w:pPr>
        <w:shd w:val="clear"/>
        <w:rPr>
          <w:color w:val="auto"/>
          <w:highlight w:val="none"/>
        </w:rPr>
      </w:pPr>
      <w:r>
        <w:rPr>
          <w:rFonts w:hint="eastAsia" w:ascii="Times New Roman" w:hAnsi="Times New Roman" w:cs="Times New Roman"/>
          <w:color w:val="auto"/>
          <w:kern w:val="0"/>
          <w:szCs w:val="22"/>
          <w:highlight w:val="none"/>
          <w:lang w:bidi="zh-CN"/>
        </w:rPr>
        <w:t>新建出铁场除尘高压变频器室、低压配电室、PLC室、控制室、皮带通廊、封闭矿槽、封闭转运站等需设置消防应急照明和疏散指示系统。</w:t>
      </w:r>
    </w:p>
    <w:p w14:paraId="6B695891">
      <w:pPr>
        <w:shd w:val="clear"/>
        <w:rPr>
          <w:rFonts w:ascii="Times New Roman" w:hAnsi="Times New Roman" w:cs="Times New Roman"/>
          <w:b/>
          <w:bCs/>
          <w:color w:val="auto"/>
          <w:kern w:val="0"/>
          <w:szCs w:val="22"/>
          <w:highlight w:val="none"/>
          <w:lang w:bidi="zh-CN"/>
        </w:rPr>
      </w:pPr>
      <w:r>
        <w:rPr>
          <w:rFonts w:hint="eastAsia" w:ascii="Times New Roman" w:hAnsi="Times New Roman" w:cs="Times New Roman"/>
          <w:b/>
          <w:bCs/>
          <w:color w:val="auto"/>
          <w:kern w:val="0"/>
          <w:szCs w:val="22"/>
          <w:highlight w:val="none"/>
          <w:lang w:bidi="zh-CN"/>
        </w:rPr>
        <w:t>除消防主机自带电源监控系统外，还需设置单独的消防电源监控系统，将所有消防设备电源进行监控，该系统由消防设备电源状态监控器，电源总线，通讯总线和其连接的电流信号传感器、电压信号传感器、电流/电压信号传感器、中级模块箱等设备组成，通过传感器对消防设备的主电源和备用电源进行实时检测，从而判断电源设备是否有过压、欠压、过流、断路、短路以及缺相等故障。当故障发生时能快速在监控器上显示并记录故障的部位、类型和时间，并发出声光报警信号，从而有效保证了火灾发生时消防联动系统的可靠性。</w:t>
      </w:r>
    </w:p>
    <w:p w14:paraId="1E6FEEDE">
      <w:pPr>
        <w:shd w:val="clear"/>
        <w:ind w:firstLine="0" w:firstLineChars="0"/>
        <w:outlineLvl w:val="3"/>
        <w:rPr>
          <w:rFonts w:ascii="Times New Roman" w:hAnsi="Times New Roman" w:cs="Times New Roman"/>
          <w:color w:val="auto"/>
          <w:highlight w:val="none"/>
        </w:rPr>
      </w:pPr>
      <w:r>
        <w:rPr>
          <w:rFonts w:ascii="Times New Roman" w:hAnsi="Times New Roman" w:cs="Times New Roman"/>
          <w:color w:val="auto"/>
          <w:highlight w:val="none"/>
        </w:rPr>
        <w:t xml:space="preserve">18.5.3.2 </w:t>
      </w:r>
      <w:r>
        <w:rPr>
          <w:rFonts w:hint="eastAsia" w:ascii="Times New Roman" w:hAnsi="Times New Roman" w:cs="Times New Roman"/>
          <w:color w:val="auto"/>
          <w:highlight w:val="none"/>
        </w:rPr>
        <w:t>系统结构及组成</w:t>
      </w:r>
    </w:p>
    <w:p w14:paraId="4AD32DFC">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本项目火灾自动报警系统的结构形式为区域报警系统，选用智能设备，系统采用总线制。</w:t>
      </w:r>
    </w:p>
    <w:p w14:paraId="4A5AD258">
      <w:pPr>
        <w:shd w:val="clear"/>
        <w:autoSpaceDE w:val="0"/>
        <w:autoSpaceDN w:val="0"/>
        <w:rPr>
          <w:rFonts w:ascii="Times New Roman" w:hAnsi="Times New Roman" w:cs="Times New Roman"/>
          <w:color w:val="auto"/>
          <w:highlight w:val="none"/>
        </w:rPr>
      </w:pPr>
      <w:r>
        <w:rPr>
          <w:rFonts w:hint="eastAsia" w:ascii="Times New Roman" w:hAnsi="Times New Roman" w:cs="Times New Roman"/>
          <w:color w:val="auto"/>
          <w:kern w:val="0"/>
          <w:szCs w:val="22"/>
          <w:highlight w:val="none"/>
          <w:lang w:bidi="zh-CN"/>
        </w:rPr>
        <w:t>火灾自动报警系统由火灾探测器、手动报警按钮、各类模块、警报装置、区域报警控制器等组成。</w:t>
      </w:r>
    </w:p>
    <w:p w14:paraId="453AA0C7">
      <w:pPr>
        <w:shd w:val="clear"/>
        <w:ind w:firstLine="0" w:firstLineChars="0"/>
        <w:outlineLvl w:val="3"/>
        <w:rPr>
          <w:rFonts w:ascii="Times New Roman" w:hAnsi="Times New Roman" w:cs="Times New Roman"/>
          <w:color w:val="auto"/>
          <w:highlight w:val="none"/>
        </w:rPr>
      </w:pPr>
      <w:r>
        <w:rPr>
          <w:rFonts w:hint="eastAsia" w:ascii="Times New Roman" w:hAnsi="Times New Roman" w:cs="Times New Roman"/>
          <w:color w:val="auto"/>
          <w:highlight w:val="none"/>
        </w:rPr>
        <w:t>18.5.3.3 报警及联动控制</w:t>
      </w:r>
    </w:p>
    <w:p w14:paraId="12212DA1">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非灭火区：</w:t>
      </w:r>
    </w:p>
    <w:p w14:paraId="1B22F2A2">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保护区域内任意一手动报警按钮按下或探测器发出报警信号，则启动相关区域的声光报警控制器、关闭相关区域的通风空调设施等。</w:t>
      </w:r>
    </w:p>
    <w:p w14:paraId="7902C709">
      <w:pPr>
        <w:shd w:val="clear"/>
        <w:autoSpaceDE w:val="0"/>
        <w:autoSpaceDN w:val="0"/>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消防联动控制器应有切断火灾区域及相关区域非消防电源的功能。</w:t>
      </w:r>
    </w:p>
    <w:p w14:paraId="0546D5CE">
      <w:pPr>
        <w:shd w:val="clear"/>
        <w:ind w:firstLine="0" w:firstLineChars="0"/>
        <w:outlineLvl w:val="3"/>
        <w:rPr>
          <w:rFonts w:ascii="Times New Roman" w:hAnsi="Times New Roman" w:cs="Times New Roman"/>
          <w:color w:val="auto"/>
          <w:highlight w:val="none"/>
        </w:rPr>
      </w:pPr>
      <w:r>
        <w:rPr>
          <w:rFonts w:hint="eastAsia" w:ascii="Times New Roman" w:hAnsi="Times New Roman" w:cs="Times New Roman"/>
          <w:color w:val="auto"/>
          <w:highlight w:val="none"/>
        </w:rPr>
        <w:t>18.5.3.4 消防值班室</w:t>
      </w:r>
    </w:p>
    <w:p w14:paraId="50272911">
      <w:pPr>
        <w:shd w:val="clear"/>
        <w:jc w:val="both"/>
        <w:rPr>
          <w:rFonts w:ascii="Times New Roman" w:hAnsi="Times New Roman" w:cs="Times New Roman"/>
          <w:color w:val="auto"/>
          <w:highlight w:val="none"/>
        </w:rPr>
      </w:pPr>
      <w:r>
        <w:rPr>
          <w:rFonts w:hint="eastAsia" w:ascii="Times New Roman" w:hAnsi="Times New Roman" w:cs="Times New Roman"/>
          <w:color w:val="auto"/>
          <w:kern w:val="0"/>
          <w:szCs w:val="22"/>
          <w:highlight w:val="none"/>
          <w:lang w:bidi="zh-CN"/>
        </w:rPr>
        <w:t>本项目不单独设置消防控制室，区域报警控制器安装在各个工艺区域有人值班的控制室，报警控制器安装在2#高炉主控楼。</w:t>
      </w:r>
    </w:p>
    <w:p w14:paraId="312B2005">
      <w:pPr>
        <w:shd w:val="clear"/>
        <w:ind w:firstLine="0" w:firstLineChars="0"/>
        <w:outlineLvl w:val="3"/>
        <w:rPr>
          <w:rFonts w:ascii="Times New Roman" w:hAnsi="Times New Roman" w:cs="Times New Roman"/>
          <w:color w:val="auto"/>
          <w:highlight w:val="none"/>
        </w:rPr>
      </w:pPr>
      <w:r>
        <w:rPr>
          <w:rFonts w:hint="eastAsia" w:ascii="Times New Roman" w:hAnsi="Times New Roman" w:cs="Times New Roman"/>
          <w:color w:val="auto"/>
          <w:highlight w:val="none"/>
        </w:rPr>
        <w:t>18.5.3.5 电源及接地</w:t>
      </w:r>
    </w:p>
    <w:p w14:paraId="06780AA9">
      <w:pPr>
        <w:shd w:val="clear"/>
        <w:jc w:val="both"/>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火灾自动报警系统设主电源和直流备用电源。主电源为两路～220V电源，负荷等级不低于</w:t>
      </w:r>
      <w:r>
        <w:rPr>
          <w:rFonts w:hint="eastAsia" w:ascii="Times New Roman" w:hAnsi="Times New Roman" w:cs="Times New Roman"/>
          <w:color w:val="auto"/>
          <w:kern w:val="0"/>
          <w:szCs w:val="22"/>
          <w:highlight w:val="none"/>
          <w:lang w:val="en-US" w:bidi="zh-CN"/>
        </w:rPr>
        <w:t>二</w:t>
      </w:r>
      <w:r>
        <w:rPr>
          <w:rFonts w:hint="eastAsia" w:ascii="Times New Roman" w:hAnsi="Times New Roman" w:cs="Times New Roman"/>
          <w:color w:val="auto"/>
          <w:kern w:val="0"/>
          <w:szCs w:val="22"/>
          <w:highlight w:val="none"/>
          <w:lang w:bidi="zh-CN"/>
        </w:rPr>
        <w:t>级，在最末一级配电装置处自动倒换。直流备用电源不单独设置，报警控制器自带一套，使用专用蓄电池。</w:t>
      </w:r>
    </w:p>
    <w:p w14:paraId="2B189596">
      <w:pPr>
        <w:shd w:val="clear"/>
        <w:jc w:val="both"/>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报警系统采用专用接地装置时，接地电阻值不应大于4Ω；采用共用接地装置时，接地电阻不应大于1Ω。</w:t>
      </w:r>
    </w:p>
    <w:p w14:paraId="24D919C8">
      <w:pPr>
        <w:shd w:val="clear"/>
        <w:ind w:firstLine="0" w:firstLineChars="0"/>
        <w:outlineLvl w:val="3"/>
        <w:rPr>
          <w:rFonts w:ascii="Times New Roman" w:hAnsi="Times New Roman" w:cs="Times New Roman"/>
          <w:color w:val="auto"/>
          <w:highlight w:val="none"/>
        </w:rPr>
      </w:pPr>
      <w:r>
        <w:rPr>
          <w:rFonts w:hint="eastAsia" w:ascii="Times New Roman" w:hAnsi="Times New Roman" w:cs="Times New Roman"/>
          <w:color w:val="auto"/>
          <w:highlight w:val="none"/>
        </w:rPr>
        <w:t>18.5.3.6 线路敷设</w:t>
      </w:r>
    </w:p>
    <w:p w14:paraId="4B4BEA11">
      <w:pPr>
        <w:shd w:val="clear"/>
        <w:jc w:val="both"/>
        <w:rPr>
          <w:rFonts w:ascii="Times New Roman" w:hAnsi="Times New Roman" w:cs="Times New Roman"/>
          <w:color w:val="auto"/>
          <w:highlight w:val="none"/>
        </w:rPr>
      </w:pPr>
      <w:r>
        <w:rPr>
          <w:rFonts w:hint="eastAsia" w:ascii="Times New Roman" w:hAnsi="Times New Roman" w:cs="Times New Roman"/>
          <w:color w:val="auto"/>
          <w:highlight w:val="none"/>
        </w:rPr>
        <w:t>报警及联动控系统传输、控制缆线选用电压等级不低于交流500V的铜芯绝缘导线或铜芯电缆。绝缘导线的芯线截面面积不小于1.0mm</w:t>
      </w:r>
      <w:r>
        <w:rPr>
          <w:rFonts w:hint="eastAsia" w:ascii="Times New Roman" w:hAnsi="Times New Roman" w:cs="Times New Roman"/>
          <w:color w:val="auto"/>
          <w:highlight w:val="none"/>
          <w:vertAlign w:val="superscript"/>
        </w:rPr>
        <w:t>2</w:t>
      </w:r>
      <w:r>
        <w:rPr>
          <w:rFonts w:hint="eastAsia" w:ascii="Times New Roman" w:hAnsi="Times New Roman" w:cs="Times New Roman"/>
          <w:color w:val="auto"/>
          <w:highlight w:val="none"/>
        </w:rPr>
        <w:t>，多芯电缆的芯线截面面积不小于0.5mm</w:t>
      </w:r>
      <w:r>
        <w:rPr>
          <w:rFonts w:hint="eastAsia" w:ascii="Times New Roman" w:hAnsi="Times New Roman" w:cs="Times New Roman"/>
          <w:color w:val="auto"/>
          <w:highlight w:val="none"/>
          <w:vertAlign w:val="superscript"/>
        </w:rPr>
        <w:t>2</w:t>
      </w:r>
      <w:r>
        <w:rPr>
          <w:rFonts w:hint="eastAsia" w:ascii="Times New Roman" w:hAnsi="Times New Roman" w:cs="Times New Roman"/>
          <w:color w:val="auto"/>
          <w:highlight w:val="none"/>
        </w:rPr>
        <w:t>。</w:t>
      </w:r>
    </w:p>
    <w:p w14:paraId="336BA13A">
      <w:pPr>
        <w:shd w:val="clear"/>
        <w:jc w:val="both"/>
        <w:rPr>
          <w:rFonts w:ascii="Times New Roman" w:hAnsi="Times New Roman" w:cs="Times New Roman"/>
          <w:color w:val="auto"/>
          <w:highlight w:val="none"/>
        </w:rPr>
      </w:pPr>
      <w:r>
        <w:rPr>
          <w:rFonts w:hint="eastAsia" w:ascii="Times New Roman" w:hAnsi="Times New Roman" w:cs="Times New Roman"/>
          <w:color w:val="auto"/>
          <w:highlight w:val="none"/>
        </w:rPr>
        <w:t>在操作室、电气室线路采用穿钢管在楼板及吊顶内暗敷方式；在厂房内线路采用明配镀锌钢管或金属线槽敷设；所有线路均需穿钢管或金属线槽，采用阻燃耐火电线电缆。明配钢管或金属线槽需涂刷防火涂料并应可靠接地。</w:t>
      </w:r>
    </w:p>
    <w:p w14:paraId="758C4A21">
      <w:pPr>
        <w:shd w:val="clear"/>
        <w:jc w:val="both"/>
        <w:rPr>
          <w:rFonts w:ascii="Times New Roman" w:hAnsi="Times New Roman" w:cs="Times New Roman"/>
          <w:color w:val="auto"/>
          <w:highlight w:val="none"/>
        </w:rPr>
      </w:pPr>
      <w:r>
        <w:rPr>
          <w:rFonts w:hint="eastAsia" w:ascii="Times New Roman" w:hAnsi="Times New Roman" w:cs="Times New Roman"/>
          <w:color w:val="auto"/>
          <w:highlight w:val="none"/>
        </w:rPr>
        <w:t>穿管绝缘导线或电缆的截面积，不应超过管内截面积的40%，敷设于封闭式线槽内的绝缘导线或电缆的总截面积，不应大于线槽的净截面积的50%。</w:t>
      </w:r>
    </w:p>
    <w:p w14:paraId="6F3BC56F">
      <w:pPr>
        <w:shd w:val="clear"/>
        <w:ind w:firstLine="0" w:firstLineChars="0"/>
        <w:outlineLvl w:val="3"/>
        <w:rPr>
          <w:rFonts w:hint="eastAsia" w:ascii="Times New Roman" w:hAnsi="Times New Roman" w:eastAsia="宋体" w:cs="Times New Roman"/>
          <w:color w:val="auto"/>
          <w:highlight w:val="none"/>
          <w:lang w:eastAsia="zh-CN"/>
        </w:rPr>
      </w:pPr>
      <w:r>
        <w:rPr>
          <w:rFonts w:hint="eastAsia" w:ascii="Times New Roman" w:hAnsi="Times New Roman" w:cs="Times New Roman"/>
          <w:color w:val="auto"/>
          <w:highlight w:val="none"/>
        </w:rPr>
        <w:t>18.5.3.7 本次改造主要设备清单</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551"/>
        <w:gridCol w:w="1276"/>
        <w:gridCol w:w="1134"/>
        <w:gridCol w:w="2489"/>
      </w:tblGrid>
      <w:tr w14:paraId="1FC1F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14:paraId="25FA5ACB">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序号</w:t>
            </w:r>
          </w:p>
        </w:tc>
        <w:tc>
          <w:tcPr>
            <w:tcW w:w="2551" w:type="dxa"/>
            <w:noWrap w:val="0"/>
            <w:vAlign w:val="center"/>
          </w:tcPr>
          <w:p w14:paraId="7114CE43">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名称</w:t>
            </w:r>
          </w:p>
        </w:tc>
        <w:tc>
          <w:tcPr>
            <w:tcW w:w="1276" w:type="dxa"/>
            <w:noWrap w:val="0"/>
            <w:vAlign w:val="center"/>
          </w:tcPr>
          <w:p w14:paraId="75447AD9">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单位</w:t>
            </w:r>
          </w:p>
        </w:tc>
        <w:tc>
          <w:tcPr>
            <w:tcW w:w="1134" w:type="dxa"/>
            <w:noWrap w:val="0"/>
            <w:vAlign w:val="center"/>
          </w:tcPr>
          <w:p w14:paraId="18E4B027">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数量</w:t>
            </w:r>
          </w:p>
        </w:tc>
        <w:tc>
          <w:tcPr>
            <w:tcW w:w="2489" w:type="dxa"/>
            <w:noWrap w:val="0"/>
            <w:vAlign w:val="center"/>
          </w:tcPr>
          <w:p w14:paraId="1174794C">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备注</w:t>
            </w:r>
          </w:p>
        </w:tc>
      </w:tr>
      <w:tr w14:paraId="7D892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14:paraId="6C89D6F9">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1</w:t>
            </w:r>
          </w:p>
        </w:tc>
        <w:tc>
          <w:tcPr>
            <w:tcW w:w="2551" w:type="dxa"/>
            <w:noWrap w:val="0"/>
            <w:vAlign w:val="center"/>
          </w:tcPr>
          <w:p w14:paraId="416BED03">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火灾报警主机</w:t>
            </w:r>
          </w:p>
        </w:tc>
        <w:tc>
          <w:tcPr>
            <w:tcW w:w="1276" w:type="dxa"/>
            <w:noWrap w:val="0"/>
            <w:vAlign w:val="center"/>
          </w:tcPr>
          <w:p w14:paraId="33C98C30">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套</w:t>
            </w:r>
          </w:p>
        </w:tc>
        <w:tc>
          <w:tcPr>
            <w:tcW w:w="1134" w:type="dxa"/>
            <w:noWrap w:val="0"/>
            <w:vAlign w:val="center"/>
          </w:tcPr>
          <w:p w14:paraId="679992A7">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2</w:t>
            </w:r>
          </w:p>
        </w:tc>
        <w:tc>
          <w:tcPr>
            <w:tcW w:w="2489" w:type="dxa"/>
            <w:noWrap w:val="0"/>
            <w:vAlign w:val="center"/>
          </w:tcPr>
          <w:p w14:paraId="4D62F245">
            <w:pPr>
              <w:shd w:val="clear"/>
              <w:ind w:firstLine="0" w:firstLineChars="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主控楼/碳钢消控中心</w:t>
            </w:r>
          </w:p>
          <w:p w14:paraId="6D9F66FA">
            <w:pPr>
              <w:pStyle w:val="73"/>
              <w:shd w:val="clear"/>
              <w:rPr>
                <w:rFonts w:hint="default" w:eastAsia="宋体"/>
                <w:color w:val="auto"/>
                <w:highlight w:val="none"/>
                <w:lang w:val="en-US" w:eastAsia="zh-CN"/>
              </w:rPr>
            </w:pPr>
            <w:r>
              <w:rPr>
                <w:rFonts w:hint="eastAsia" w:ascii="Times New Roman" w:hAnsi="Times New Roman" w:cs="Times New Roman"/>
                <w:color w:val="auto"/>
                <w:highlight w:val="none"/>
                <w:lang w:eastAsia="zh-CN"/>
              </w:rPr>
              <w:t>利旧</w:t>
            </w:r>
            <w:r>
              <w:rPr>
                <w:rFonts w:hint="eastAsia" w:ascii="Times New Roman" w:hAnsi="Times New Roman" w:cs="Times New Roman"/>
                <w:color w:val="auto"/>
                <w:highlight w:val="none"/>
                <w:lang w:val="en-US" w:eastAsia="zh-CN"/>
              </w:rPr>
              <w:t>1套</w:t>
            </w:r>
          </w:p>
        </w:tc>
      </w:tr>
      <w:tr w14:paraId="1B708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14:paraId="38E24848">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2</w:t>
            </w:r>
          </w:p>
        </w:tc>
        <w:tc>
          <w:tcPr>
            <w:tcW w:w="2551" w:type="dxa"/>
            <w:noWrap w:val="0"/>
            <w:vAlign w:val="center"/>
          </w:tcPr>
          <w:p w14:paraId="5DE8B99B">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点式探测器</w:t>
            </w:r>
          </w:p>
        </w:tc>
        <w:tc>
          <w:tcPr>
            <w:tcW w:w="1276" w:type="dxa"/>
            <w:noWrap w:val="0"/>
            <w:vAlign w:val="center"/>
          </w:tcPr>
          <w:p w14:paraId="1268A236">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个</w:t>
            </w:r>
          </w:p>
        </w:tc>
        <w:tc>
          <w:tcPr>
            <w:tcW w:w="1134" w:type="dxa"/>
            <w:noWrap w:val="0"/>
            <w:vAlign w:val="center"/>
          </w:tcPr>
          <w:p w14:paraId="028F7A21">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23</w:t>
            </w:r>
          </w:p>
        </w:tc>
        <w:tc>
          <w:tcPr>
            <w:tcW w:w="2489" w:type="dxa"/>
            <w:noWrap w:val="0"/>
            <w:vAlign w:val="center"/>
          </w:tcPr>
          <w:p w14:paraId="5F8457C7">
            <w:pPr>
              <w:shd w:val="clear"/>
              <w:jc w:val="center"/>
              <w:rPr>
                <w:rFonts w:ascii="Times New Roman" w:hAnsi="Times New Roman" w:cs="Times New Roman"/>
                <w:color w:val="auto"/>
                <w:highlight w:val="none"/>
              </w:rPr>
            </w:pPr>
          </w:p>
        </w:tc>
      </w:tr>
      <w:tr w14:paraId="565E5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14:paraId="230B5BBF">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3</w:t>
            </w:r>
          </w:p>
        </w:tc>
        <w:tc>
          <w:tcPr>
            <w:tcW w:w="2551" w:type="dxa"/>
            <w:noWrap w:val="0"/>
            <w:vAlign w:val="center"/>
          </w:tcPr>
          <w:p w14:paraId="37535B96">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缆式探测器</w:t>
            </w:r>
          </w:p>
        </w:tc>
        <w:tc>
          <w:tcPr>
            <w:tcW w:w="1276" w:type="dxa"/>
            <w:noWrap w:val="0"/>
            <w:vAlign w:val="center"/>
          </w:tcPr>
          <w:p w14:paraId="507B08D2">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套</w:t>
            </w:r>
          </w:p>
        </w:tc>
        <w:tc>
          <w:tcPr>
            <w:tcW w:w="1134" w:type="dxa"/>
            <w:noWrap w:val="0"/>
            <w:vAlign w:val="center"/>
          </w:tcPr>
          <w:p w14:paraId="12469B66">
            <w:pPr>
              <w:shd w:val="clear"/>
              <w:ind w:firstLine="0" w:firstLineChars="0"/>
              <w:jc w:val="center"/>
              <w:rPr>
                <w:rFonts w:hint="eastAsia"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val="en-US" w:eastAsia="zh-CN"/>
              </w:rPr>
              <w:t>5</w:t>
            </w:r>
          </w:p>
        </w:tc>
        <w:tc>
          <w:tcPr>
            <w:tcW w:w="2489" w:type="dxa"/>
            <w:noWrap w:val="0"/>
            <w:vAlign w:val="center"/>
          </w:tcPr>
          <w:p w14:paraId="750BD146">
            <w:pPr>
              <w:shd w:val="clear"/>
              <w:jc w:val="center"/>
              <w:rPr>
                <w:rFonts w:ascii="Times New Roman" w:hAnsi="Times New Roman" w:cs="Times New Roman"/>
                <w:color w:val="auto"/>
                <w:highlight w:val="none"/>
              </w:rPr>
            </w:pPr>
          </w:p>
        </w:tc>
      </w:tr>
      <w:tr w14:paraId="79253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14:paraId="5FFC1682">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4</w:t>
            </w:r>
          </w:p>
        </w:tc>
        <w:tc>
          <w:tcPr>
            <w:tcW w:w="2551" w:type="dxa"/>
            <w:noWrap w:val="0"/>
            <w:vAlign w:val="center"/>
          </w:tcPr>
          <w:p w14:paraId="6A7F83A6">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手动报警按钮</w:t>
            </w:r>
          </w:p>
        </w:tc>
        <w:tc>
          <w:tcPr>
            <w:tcW w:w="1276" w:type="dxa"/>
            <w:noWrap w:val="0"/>
            <w:vAlign w:val="center"/>
          </w:tcPr>
          <w:p w14:paraId="4CC8E13D">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个</w:t>
            </w:r>
          </w:p>
        </w:tc>
        <w:tc>
          <w:tcPr>
            <w:tcW w:w="1134" w:type="dxa"/>
            <w:noWrap w:val="0"/>
            <w:vAlign w:val="center"/>
          </w:tcPr>
          <w:p w14:paraId="38401941">
            <w:pPr>
              <w:shd w:val="clear"/>
              <w:ind w:firstLine="0" w:firstLineChars="0"/>
              <w:jc w:val="center"/>
              <w:rPr>
                <w:rFonts w:hint="eastAsia" w:ascii="Times New Roman" w:hAnsi="Times New Roman" w:eastAsia="宋体" w:cs="Times New Roman"/>
                <w:color w:val="auto"/>
                <w:highlight w:val="none"/>
                <w:lang w:eastAsia="zh-CN"/>
              </w:rPr>
            </w:pPr>
            <w:r>
              <w:rPr>
                <w:rFonts w:hint="eastAsia" w:ascii="Times New Roman" w:hAnsi="Times New Roman" w:cs="Times New Roman"/>
                <w:color w:val="auto"/>
                <w:highlight w:val="none"/>
              </w:rPr>
              <w:t>1</w:t>
            </w:r>
            <w:r>
              <w:rPr>
                <w:rFonts w:hint="eastAsia" w:ascii="Times New Roman" w:hAnsi="Times New Roman" w:cs="Times New Roman"/>
                <w:color w:val="auto"/>
                <w:highlight w:val="none"/>
                <w:lang w:val="en-US" w:eastAsia="zh-CN"/>
              </w:rPr>
              <w:t>6</w:t>
            </w:r>
          </w:p>
        </w:tc>
        <w:tc>
          <w:tcPr>
            <w:tcW w:w="2489" w:type="dxa"/>
            <w:noWrap w:val="0"/>
            <w:vAlign w:val="center"/>
          </w:tcPr>
          <w:p w14:paraId="2780020D">
            <w:pPr>
              <w:shd w:val="clear"/>
              <w:jc w:val="center"/>
              <w:rPr>
                <w:rFonts w:ascii="Times New Roman" w:hAnsi="Times New Roman" w:cs="Times New Roman"/>
                <w:color w:val="auto"/>
                <w:highlight w:val="none"/>
              </w:rPr>
            </w:pPr>
          </w:p>
        </w:tc>
      </w:tr>
      <w:tr w14:paraId="53AF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14:paraId="53ECDD84">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5</w:t>
            </w:r>
          </w:p>
        </w:tc>
        <w:tc>
          <w:tcPr>
            <w:tcW w:w="2551" w:type="dxa"/>
            <w:noWrap w:val="0"/>
            <w:vAlign w:val="center"/>
          </w:tcPr>
          <w:p w14:paraId="43016814">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声光报警器</w:t>
            </w:r>
          </w:p>
        </w:tc>
        <w:tc>
          <w:tcPr>
            <w:tcW w:w="1276" w:type="dxa"/>
            <w:noWrap w:val="0"/>
            <w:vAlign w:val="center"/>
          </w:tcPr>
          <w:p w14:paraId="007FC698">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个</w:t>
            </w:r>
          </w:p>
        </w:tc>
        <w:tc>
          <w:tcPr>
            <w:tcW w:w="1134" w:type="dxa"/>
            <w:noWrap w:val="0"/>
            <w:vAlign w:val="center"/>
          </w:tcPr>
          <w:p w14:paraId="7A70FBA5">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1</w:t>
            </w:r>
            <w:r>
              <w:rPr>
                <w:rFonts w:hint="eastAsia" w:ascii="Times New Roman" w:hAnsi="Times New Roman" w:cs="Times New Roman"/>
                <w:color w:val="auto"/>
                <w:highlight w:val="none"/>
              </w:rPr>
              <w:t>6</w:t>
            </w:r>
          </w:p>
        </w:tc>
        <w:tc>
          <w:tcPr>
            <w:tcW w:w="2489" w:type="dxa"/>
            <w:noWrap w:val="0"/>
            <w:vAlign w:val="center"/>
          </w:tcPr>
          <w:p w14:paraId="124F4FF1">
            <w:pPr>
              <w:shd w:val="clear"/>
              <w:jc w:val="center"/>
              <w:rPr>
                <w:rFonts w:ascii="Times New Roman" w:hAnsi="Times New Roman" w:cs="Times New Roman"/>
                <w:color w:val="auto"/>
                <w:highlight w:val="none"/>
              </w:rPr>
            </w:pPr>
          </w:p>
        </w:tc>
      </w:tr>
      <w:tr w14:paraId="3344E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14:paraId="4C9613CD">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6</w:t>
            </w:r>
          </w:p>
        </w:tc>
        <w:tc>
          <w:tcPr>
            <w:tcW w:w="2551" w:type="dxa"/>
            <w:noWrap w:val="0"/>
            <w:vAlign w:val="center"/>
          </w:tcPr>
          <w:p w14:paraId="72BC8099">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总线隔离模块</w:t>
            </w:r>
          </w:p>
        </w:tc>
        <w:tc>
          <w:tcPr>
            <w:tcW w:w="1276" w:type="dxa"/>
            <w:noWrap w:val="0"/>
            <w:vAlign w:val="center"/>
          </w:tcPr>
          <w:p w14:paraId="63AD5E6D">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个</w:t>
            </w:r>
          </w:p>
        </w:tc>
        <w:tc>
          <w:tcPr>
            <w:tcW w:w="1134" w:type="dxa"/>
            <w:noWrap w:val="0"/>
            <w:vAlign w:val="center"/>
          </w:tcPr>
          <w:p w14:paraId="06D335F6">
            <w:pPr>
              <w:shd w:val="clear"/>
              <w:ind w:firstLine="0" w:firstLineChars="0"/>
              <w:jc w:val="center"/>
              <w:rPr>
                <w:rFonts w:hint="eastAsia"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val="en-US" w:eastAsia="zh-CN"/>
              </w:rPr>
              <w:t>5</w:t>
            </w:r>
          </w:p>
        </w:tc>
        <w:tc>
          <w:tcPr>
            <w:tcW w:w="2489" w:type="dxa"/>
            <w:noWrap w:val="0"/>
            <w:vAlign w:val="center"/>
          </w:tcPr>
          <w:p w14:paraId="7D51CA17">
            <w:pPr>
              <w:shd w:val="clear"/>
              <w:jc w:val="center"/>
              <w:rPr>
                <w:rFonts w:ascii="Times New Roman" w:hAnsi="Times New Roman" w:cs="Times New Roman"/>
                <w:color w:val="auto"/>
                <w:highlight w:val="none"/>
              </w:rPr>
            </w:pPr>
          </w:p>
        </w:tc>
      </w:tr>
      <w:tr w14:paraId="0EB2E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14:paraId="5EB0539B">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7</w:t>
            </w:r>
          </w:p>
        </w:tc>
        <w:tc>
          <w:tcPr>
            <w:tcW w:w="2551" w:type="dxa"/>
            <w:noWrap w:val="0"/>
            <w:vAlign w:val="center"/>
          </w:tcPr>
          <w:p w14:paraId="2904E385">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输入输出模块</w:t>
            </w:r>
          </w:p>
        </w:tc>
        <w:tc>
          <w:tcPr>
            <w:tcW w:w="1276" w:type="dxa"/>
            <w:noWrap w:val="0"/>
            <w:vAlign w:val="center"/>
          </w:tcPr>
          <w:p w14:paraId="229E23D3">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个</w:t>
            </w:r>
          </w:p>
        </w:tc>
        <w:tc>
          <w:tcPr>
            <w:tcW w:w="1134" w:type="dxa"/>
            <w:noWrap w:val="0"/>
            <w:vAlign w:val="center"/>
          </w:tcPr>
          <w:p w14:paraId="7DC26D72">
            <w:pPr>
              <w:shd w:val="clear"/>
              <w:ind w:firstLine="0" w:firstLineChars="0"/>
              <w:jc w:val="center"/>
              <w:rPr>
                <w:rFonts w:hint="eastAsia"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val="en-US" w:eastAsia="zh-CN"/>
              </w:rPr>
              <w:t>6</w:t>
            </w:r>
          </w:p>
        </w:tc>
        <w:tc>
          <w:tcPr>
            <w:tcW w:w="2489" w:type="dxa"/>
            <w:noWrap w:val="0"/>
            <w:vAlign w:val="center"/>
          </w:tcPr>
          <w:p w14:paraId="2820B7AA">
            <w:pPr>
              <w:shd w:val="clear"/>
              <w:jc w:val="center"/>
              <w:rPr>
                <w:rFonts w:ascii="Times New Roman" w:hAnsi="Times New Roman" w:cs="Times New Roman"/>
                <w:color w:val="auto"/>
                <w:highlight w:val="none"/>
              </w:rPr>
            </w:pPr>
          </w:p>
        </w:tc>
      </w:tr>
      <w:tr w14:paraId="2B601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14:paraId="4808C354">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8</w:t>
            </w:r>
          </w:p>
        </w:tc>
        <w:tc>
          <w:tcPr>
            <w:tcW w:w="2551" w:type="dxa"/>
            <w:noWrap w:val="0"/>
            <w:vAlign w:val="center"/>
          </w:tcPr>
          <w:p w14:paraId="49B14A2B">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解码器箱</w:t>
            </w:r>
          </w:p>
        </w:tc>
        <w:tc>
          <w:tcPr>
            <w:tcW w:w="1276" w:type="dxa"/>
            <w:noWrap w:val="0"/>
            <w:vAlign w:val="center"/>
          </w:tcPr>
          <w:p w14:paraId="1109E6AA">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个</w:t>
            </w:r>
          </w:p>
        </w:tc>
        <w:tc>
          <w:tcPr>
            <w:tcW w:w="1134" w:type="dxa"/>
            <w:noWrap w:val="0"/>
            <w:vAlign w:val="center"/>
          </w:tcPr>
          <w:p w14:paraId="1F5A5A8E">
            <w:pPr>
              <w:shd w:val="clear"/>
              <w:ind w:firstLine="0" w:firstLineChars="0"/>
              <w:jc w:val="center"/>
              <w:rPr>
                <w:rFonts w:hint="eastAsia"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val="en-US" w:eastAsia="zh-CN"/>
              </w:rPr>
              <w:t>5</w:t>
            </w:r>
          </w:p>
        </w:tc>
        <w:tc>
          <w:tcPr>
            <w:tcW w:w="2489" w:type="dxa"/>
            <w:noWrap w:val="0"/>
            <w:vAlign w:val="center"/>
          </w:tcPr>
          <w:p w14:paraId="6336AB50">
            <w:pPr>
              <w:shd w:val="clear"/>
              <w:jc w:val="center"/>
              <w:rPr>
                <w:rFonts w:ascii="Times New Roman" w:hAnsi="Times New Roman" w:cs="Times New Roman"/>
                <w:color w:val="auto"/>
                <w:highlight w:val="none"/>
              </w:rPr>
            </w:pPr>
          </w:p>
        </w:tc>
      </w:tr>
      <w:tr w14:paraId="568C8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14:paraId="0B96B862">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9</w:t>
            </w:r>
          </w:p>
        </w:tc>
        <w:tc>
          <w:tcPr>
            <w:tcW w:w="2551" w:type="dxa"/>
            <w:noWrap w:val="0"/>
            <w:vAlign w:val="center"/>
          </w:tcPr>
          <w:p w14:paraId="4BFDD910">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模块箱</w:t>
            </w:r>
          </w:p>
        </w:tc>
        <w:tc>
          <w:tcPr>
            <w:tcW w:w="1276" w:type="dxa"/>
            <w:noWrap w:val="0"/>
            <w:vAlign w:val="center"/>
          </w:tcPr>
          <w:p w14:paraId="0731D7BD">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个</w:t>
            </w:r>
          </w:p>
        </w:tc>
        <w:tc>
          <w:tcPr>
            <w:tcW w:w="1134" w:type="dxa"/>
            <w:noWrap w:val="0"/>
            <w:vAlign w:val="center"/>
          </w:tcPr>
          <w:p w14:paraId="30FB15F3">
            <w:pPr>
              <w:shd w:val="clear"/>
              <w:ind w:firstLine="0" w:firstLineChars="0"/>
              <w:jc w:val="center"/>
              <w:rPr>
                <w:rFonts w:hint="eastAsia"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val="en-US" w:eastAsia="zh-CN"/>
              </w:rPr>
              <w:t>6</w:t>
            </w:r>
          </w:p>
        </w:tc>
        <w:tc>
          <w:tcPr>
            <w:tcW w:w="2489" w:type="dxa"/>
            <w:noWrap w:val="0"/>
            <w:vAlign w:val="center"/>
          </w:tcPr>
          <w:p w14:paraId="3FDCA2F6">
            <w:pPr>
              <w:shd w:val="clear"/>
              <w:jc w:val="center"/>
              <w:rPr>
                <w:rFonts w:ascii="Times New Roman" w:hAnsi="Times New Roman" w:cs="Times New Roman"/>
                <w:color w:val="auto"/>
                <w:highlight w:val="none"/>
              </w:rPr>
            </w:pPr>
          </w:p>
        </w:tc>
      </w:tr>
      <w:tr w14:paraId="526E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14:paraId="1FC2BA67">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10</w:t>
            </w:r>
          </w:p>
        </w:tc>
        <w:tc>
          <w:tcPr>
            <w:tcW w:w="2551" w:type="dxa"/>
            <w:noWrap w:val="0"/>
            <w:vAlign w:val="center"/>
          </w:tcPr>
          <w:p w14:paraId="618CF178">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接线箱</w:t>
            </w:r>
          </w:p>
        </w:tc>
        <w:tc>
          <w:tcPr>
            <w:tcW w:w="1276" w:type="dxa"/>
            <w:noWrap w:val="0"/>
            <w:vAlign w:val="center"/>
          </w:tcPr>
          <w:p w14:paraId="3C2BDBB1">
            <w:pPr>
              <w:shd w:val="clear"/>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个</w:t>
            </w:r>
          </w:p>
        </w:tc>
        <w:tc>
          <w:tcPr>
            <w:tcW w:w="1134" w:type="dxa"/>
            <w:noWrap w:val="0"/>
            <w:vAlign w:val="center"/>
          </w:tcPr>
          <w:p w14:paraId="535E7B1A">
            <w:pPr>
              <w:shd w:val="clear"/>
              <w:ind w:firstLine="0" w:firstLineChars="0"/>
              <w:jc w:val="center"/>
              <w:rPr>
                <w:rFonts w:hint="eastAsia"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val="en-US" w:eastAsia="zh-CN"/>
              </w:rPr>
              <w:t>5</w:t>
            </w:r>
          </w:p>
        </w:tc>
        <w:tc>
          <w:tcPr>
            <w:tcW w:w="2489" w:type="dxa"/>
            <w:noWrap w:val="0"/>
            <w:vAlign w:val="center"/>
          </w:tcPr>
          <w:p w14:paraId="1C9C871F">
            <w:pPr>
              <w:shd w:val="clear"/>
              <w:jc w:val="center"/>
              <w:rPr>
                <w:rFonts w:ascii="Times New Roman" w:hAnsi="Times New Roman" w:cs="Times New Roman"/>
                <w:color w:val="auto"/>
                <w:highlight w:val="none"/>
              </w:rPr>
            </w:pPr>
          </w:p>
        </w:tc>
      </w:tr>
    </w:tbl>
    <w:p w14:paraId="4F9A12B0">
      <w:pPr>
        <w:shd w:val="clear"/>
        <w:ind w:firstLine="0" w:firstLineChars="0"/>
        <w:outlineLvl w:val="3"/>
        <w:rPr>
          <w:rFonts w:ascii="Times New Roman" w:hAnsi="Times New Roman" w:cs="Times New Roman"/>
          <w:color w:val="auto"/>
          <w:highlight w:val="none"/>
        </w:rPr>
      </w:pPr>
      <w:r>
        <w:rPr>
          <w:rFonts w:hint="eastAsia" w:ascii="Times New Roman" w:hAnsi="Times New Roman" w:cs="Times New Roman"/>
          <w:color w:val="auto"/>
          <w:highlight w:val="none"/>
        </w:rPr>
        <w:t>18.5.3.8 消防应急照明及电源</w:t>
      </w:r>
    </w:p>
    <w:p w14:paraId="0855C9EC">
      <w:pPr>
        <w:shd w:val="clear"/>
        <w:jc w:val="both"/>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1）消防电源</w:t>
      </w:r>
    </w:p>
    <w:p w14:paraId="008D20E7">
      <w:pPr>
        <w:shd w:val="clear"/>
        <w:jc w:val="both"/>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本工程消防负荷等级为二级，包括消防应急照明和疏散指示系统。</w:t>
      </w:r>
    </w:p>
    <w:p w14:paraId="6F133248">
      <w:pPr>
        <w:shd w:val="clear"/>
        <w:jc w:val="both"/>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2）电气防火措施（含配电线路及电器装置）：</w:t>
      </w:r>
    </w:p>
    <w:p w14:paraId="236E24F4">
      <w:pPr>
        <w:shd w:val="clear"/>
        <w:rPr>
          <w:color w:val="auto"/>
          <w:highlight w:val="none"/>
        </w:rPr>
      </w:pPr>
      <w:bookmarkStart w:id="1846" w:name="_Toc23473"/>
      <w:r>
        <w:rPr>
          <w:rFonts w:hint="eastAsia"/>
          <w:color w:val="auto"/>
          <w:highlight w:val="none"/>
        </w:rPr>
        <w:t>1、所有消防配电箱＼控制箱应有设明显标志。</w:t>
      </w:r>
      <w:bookmarkEnd w:id="1846"/>
    </w:p>
    <w:p w14:paraId="2044F5E6">
      <w:pPr>
        <w:shd w:val="clear"/>
        <w:jc w:val="both"/>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2、消防配电干线选用ZN型铜芯电力电缆；普通负荷干线选用ZR-YJV-1KV型阻燃交联铜芯电缆。</w:t>
      </w:r>
    </w:p>
    <w:p w14:paraId="1358B0F1">
      <w:pPr>
        <w:shd w:val="clear"/>
        <w:jc w:val="both"/>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3、消防应急照明支线选用NH-RVS耐火聚氯乙烯绝缘铜芯导线；消防线路穿SC钢管（壁厚不低于1.5mm）。地下室穿线钢管采用SC型壁厚不小于2.0mm，干线沿槽式电缆桥架或SC钢管敷设。</w:t>
      </w:r>
    </w:p>
    <w:p w14:paraId="06DF9A69">
      <w:pPr>
        <w:shd w:val="clear"/>
        <w:jc w:val="both"/>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4、消防设备配电、控制、消防广播及通信线路暗敷时，保护层厚度须大于30mm；明敷时刷防火涂料做防火处理。线路穿越设备间，电井，楼板，防火墙时采取防火封堵措施，当导管和槽盒内部截面积等于大于710mm</w:t>
      </w:r>
      <w:r>
        <w:rPr>
          <w:rFonts w:hint="eastAsia" w:ascii="Times New Roman" w:hAnsi="Times New Roman" w:cs="Times New Roman"/>
          <w:color w:val="auto"/>
          <w:kern w:val="0"/>
          <w:szCs w:val="22"/>
          <w:highlight w:val="none"/>
          <w:vertAlign w:val="superscript"/>
          <w:lang w:bidi="zh-CN"/>
        </w:rPr>
        <w:t>2</w:t>
      </w:r>
      <w:r>
        <w:rPr>
          <w:rFonts w:hint="eastAsia" w:ascii="Times New Roman" w:hAnsi="Times New Roman" w:cs="Times New Roman"/>
          <w:color w:val="auto"/>
          <w:kern w:val="0"/>
          <w:szCs w:val="22"/>
          <w:highlight w:val="none"/>
          <w:lang w:bidi="zh-CN"/>
        </w:rPr>
        <w:t>时，应从内部封堵。电气竖井内孔洞在设备安装完毕后采用不低于楼板耐火极限的防火村料每层封堵。</w:t>
      </w:r>
    </w:p>
    <w:p w14:paraId="33C453B1">
      <w:pPr>
        <w:shd w:val="clear"/>
        <w:rPr>
          <w:color w:val="auto"/>
          <w:highlight w:val="none"/>
        </w:rPr>
      </w:pPr>
      <w:bookmarkStart w:id="1847" w:name="_Toc9385"/>
      <w:r>
        <w:rPr>
          <w:rFonts w:hint="eastAsia"/>
          <w:color w:val="auto"/>
          <w:highlight w:val="none"/>
        </w:rPr>
        <w:t>3）消防应急照明和疏散指示系统</w:t>
      </w:r>
      <w:bookmarkEnd w:id="1847"/>
    </w:p>
    <w:p w14:paraId="0B70F307">
      <w:pPr>
        <w:shd w:val="clear"/>
        <w:jc w:val="both"/>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1、本工程消防应急照明及疏散指示系统采用集中电源集中控制型系统。建筑内疏散照明的地面最低水平照度应满足：楼梯间、电缆夹层不小于5lx，疏散走道不小于1lx。集中电源的蓄电池组达到使用寿命周期后标称的剩余容量持续供电时间不小于60min。</w:t>
      </w:r>
    </w:p>
    <w:p w14:paraId="605FB795">
      <w:pPr>
        <w:shd w:val="clear"/>
        <w:jc w:val="both"/>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2、系统由应急照明控制器、应急照明集中电源（分布式），集中电源集中控制箱消防应急灯具等组成，每台设备及灯具均具有独立地址码及控制芯片，可与控制器通过总线进行通讯，实现点式控制。</w:t>
      </w:r>
    </w:p>
    <w:p w14:paraId="2F68C2D5">
      <w:pPr>
        <w:shd w:val="clear"/>
        <w:jc w:val="both"/>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3、集中电源与灯具的通信中断时，非持续型灯具的光源应应急点亮，持续型灯具的光源应由节电点亮模式转入应急点亮模式，应急照明控制器与集中电源的通信中断时，集中电源应连锁控制其配接的非持续型照明灯的光源应急点亮，持续型灯具的光源应由节电点亮模式转入应急点亮模式。</w:t>
      </w:r>
    </w:p>
    <w:p w14:paraId="5FE5D08B">
      <w:pPr>
        <w:shd w:val="clear"/>
        <w:jc w:val="both"/>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4、非火灾情况下，消防应急照明及疏散指示系统应符合《消防应急照明和疏散指示系统技术标准》GB51309-2018第3.6.5～3.6.7条要求。</w:t>
      </w:r>
    </w:p>
    <w:p w14:paraId="0C9C3FDF">
      <w:pPr>
        <w:shd w:val="clear"/>
        <w:jc w:val="both"/>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5、火灾情况下，消防应急照明及疏散指示系统应符合防应急照明和疏散指示系统技术标准》GB51309-2018第3.6.8-3.6.13条要求。</w:t>
      </w:r>
    </w:p>
    <w:p w14:paraId="0B2CB3FE">
      <w:pPr>
        <w:shd w:val="clear"/>
        <w:rPr>
          <w:color w:val="auto"/>
          <w:highlight w:val="none"/>
        </w:rPr>
      </w:pPr>
      <w:bookmarkStart w:id="1848" w:name="_Toc7689"/>
      <w:r>
        <w:rPr>
          <w:rFonts w:hint="eastAsia"/>
          <w:color w:val="auto"/>
          <w:highlight w:val="none"/>
        </w:rPr>
        <w:t>6、应急照明控制器技术要求</w:t>
      </w:r>
      <w:bookmarkEnd w:id="1848"/>
    </w:p>
    <w:p w14:paraId="53AD6EE9">
      <w:pPr>
        <w:shd w:val="clear"/>
        <w:rPr>
          <w:color w:val="auto"/>
          <w:highlight w:val="none"/>
        </w:rPr>
      </w:pPr>
      <w:bookmarkStart w:id="1849" w:name="_Toc3714"/>
      <w:r>
        <w:rPr>
          <w:rFonts w:hint="eastAsia"/>
          <w:color w:val="auto"/>
          <w:highlight w:val="none"/>
        </w:rPr>
        <w:t>（1）控制器放置于消防控制室。</w:t>
      </w:r>
      <w:bookmarkEnd w:id="1849"/>
    </w:p>
    <w:p w14:paraId="39BAE48B">
      <w:pPr>
        <w:shd w:val="clear"/>
        <w:jc w:val="both"/>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（2）应急照明控制器的主电源应由消防电源供电；控制器的自带蓄电池电源应至少使控制器在主电源中断后工作3h。</w:t>
      </w:r>
    </w:p>
    <w:p w14:paraId="5C0D596A">
      <w:pPr>
        <w:shd w:val="clear"/>
        <w:rPr>
          <w:color w:val="auto"/>
          <w:highlight w:val="none"/>
        </w:rPr>
      </w:pPr>
      <w:bookmarkStart w:id="1850" w:name="_Toc23292"/>
      <w:r>
        <w:rPr>
          <w:rFonts w:hint="eastAsia"/>
          <w:color w:val="auto"/>
          <w:highlight w:val="none"/>
        </w:rPr>
        <w:t>7、应急照明集中电源装置技术要求</w:t>
      </w:r>
      <w:bookmarkEnd w:id="1850"/>
    </w:p>
    <w:p w14:paraId="61172E63">
      <w:pPr>
        <w:shd w:val="clear"/>
        <w:jc w:val="both"/>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（1）集中电源电源取自消防电源AC220V．50HZ，输出电压直流DC36V，切换时间小于0.25s，采用分区域应急供电。</w:t>
      </w:r>
    </w:p>
    <w:p w14:paraId="23F06EDD">
      <w:pPr>
        <w:shd w:val="clear"/>
        <w:jc w:val="both"/>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（2）每台装置均具有独立地址编码，可与主机进行通信。装置采用模块化设计，另于更换维护，保证系统可靠连续工作。</w:t>
      </w:r>
    </w:p>
    <w:p w14:paraId="13483E75">
      <w:pPr>
        <w:shd w:val="clear"/>
        <w:jc w:val="both"/>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（3）集中电源的蓄电池组和灯具自带蓄电池达到使用寿命周期后标称的剩余容量应保证持续放电时间不小于60min要求。</w:t>
      </w:r>
    </w:p>
    <w:p w14:paraId="3051C295">
      <w:pPr>
        <w:shd w:val="clear"/>
        <w:rPr>
          <w:color w:val="auto"/>
          <w:highlight w:val="none"/>
        </w:rPr>
      </w:pPr>
      <w:bookmarkStart w:id="1851" w:name="_Toc16592"/>
      <w:r>
        <w:rPr>
          <w:rFonts w:hint="eastAsia"/>
          <w:color w:val="auto"/>
          <w:highlight w:val="none"/>
        </w:rPr>
        <w:t>8、集中控制型消防应急标志灯</w:t>
      </w:r>
      <w:bookmarkEnd w:id="1851"/>
    </w:p>
    <w:p w14:paraId="0686E780">
      <w:pPr>
        <w:shd w:val="clear"/>
        <w:rPr>
          <w:color w:val="auto"/>
          <w:highlight w:val="none"/>
        </w:rPr>
      </w:pPr>
      <w:bookmarkStart w:id="1852" w:name="_Toc32443"/>
      <w:r>
        <w:rPr>
          <w:rFonts w:hint="eastAsia"/>
          <w:color w:val="auto"/>
          <w:highlight w:val="none"/>
        </w:rPr>
        <w:t>（1）集中控制型消防应急标志灯带独立地址，灯具不自带电池。</w:t>
      </w:r>
      <w:bookmarkEnd w:id="1852"/>
    </w:p>
    <w:p w14:paraId="00222F12">
      <w:pPr>
        <w:shd w:val="clear"/>
        <w:jc w:val="both"/>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（2）集中控制型消防应急标志灯采用绿色LED光源，其表面亮度应大于50cd，小于300cd。</w:t>
      </w:r>
    </w:p>
    <w:p w14:paraId="779ED8F7">
      <w:pPr>
        <w:shd w:val="clear"/>
        <w:jc w:val="both"/>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（3）集中控制型消防应急嵌墙式、地埋式标志灯由厂家提供专用预埋盒。</w:t>
      </w:r>
    </w:p>
    <w:p w14:paraId="3B57D77C">
      <w:pPr>
        <w:shd w:val="clear"/>
        <w:jc w:val="both"/>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（4）系统对终端灯具实时在线巡检，并显示所有工作状态。当系统内任一设备发生故障时，应发出声光报警信号，排障后，报警自动消除。</w:t>
      </w:r>
    </w:p>
    <w:p w14:paraId="2B42B4A1">
      <w:pPr>
        <w:shd w:val="clear"/>
        <w:rPr>
          <w:color w:val="auto"/>
          <w:highlight w:val="none"/>
        </w:rPr>
      </w:pPr>
      <w:bookmarkStart w:id="1853" w:name="_Toc17203"/>
      <w:r>
        <w:rPr>
          <w:rFonts w:hint="eastAsia"/>
          <w:color w:val="auto"/>
          <w:highlight w:val="none"/>
        </w:rPr>
        <w:t>（5）工作电压采用安全电压DC36V。</w:t>
      </w:r>
      <w:bookmarkEnd w:id="1853"/>
    </w:p>
    <w:p w14:paraId="754B2737">
      <w:pPr>
        <w:shd w:val="clear"/>
        <w:jc w:val="both"/>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（6）标志灯面板采用高质量拉丝不锈钢材料，地面标志灯面板采用耐病性性能强的304级不锈钢。</w:t>
      </w:r>
    </w:p>
    <w:p w14:paraId="24CEAC9E">
      <w:pPr>
        <w:shd w:val="clear"/>
        <w:jc w:val="both"/>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（7）集中控制型消防应急照明灯为非持续型工作模式，平时不点亮，不兼做日常照明，应念时由控制主机通过总线控制强制点亮。</w:t>
      </w:r>
    </w:p>
    <w:p w14:paraId="104CE725">
      <w:pPr>
        <w:shd w:val="clear"/>
        <w:jc w:val="both"/>
        <w:rPr>
          <w:rFonts w:ascii="Times New Roman" w:hAnsi="Times New Roman" w:cs="Times New Roman"/>
          <w:color w:val="auto"/>
          <w:kern w:val="0"/>
          <w:szCs w:val="22"/>
          <w:highlight w:val="none"/>
          <w:lang w:bidi="zh-CN"/>
        </w:rPr>
      </w:pPr>
      <w:r>
        <w:rPr>
          <w:rFonts w:hint="eastAsia" w:ascii="Times New Roman" w:hAnsi="Times New Roman" w:cs="Times New Roman"/>
          <w:color w:val="auto"/>
          <w:kern w:val="0"/>
          <w:szCs w:val="22"/>
          <w:highlight w:val="none"/>
          <w:lang w:bidi="zh-CN"/>
        </w:rPr>
        <w:t>（8）消防应急灯具采用单独回路设置，均通过二总线（DC36V电源＋信号共用二总线）接入本区域分配电装置。</w:t>
      </w:r>
    </w:p>
    <w:p w14:paraId="37D82D88">
      <w:pPr>
        <w:keepNext/>
        <w:keepLines/>
        <w:numPr>
          <w:ilvl w:val="2"/>
          <w:numId w:val="0"/>
        </w:numPr>
        <w:shd w:val="clear"/>
        <w:adjustRightInd w:val="0"/>
        <w:spacing w:before="120"/>
        <w:textAlignment w:val="baseline"/>
        <w:outlineLvl w:val="2"/>
        <w:rPr>
          <w:rFonts w:ascii="Times New Roman" w:hAnsi="Times New Roman" w:cs="Times New Roman"/>
          <w:bCs/>
          <w:color w:val="auto"/>
          <w:highlight w:val="none"/>
        </w:rPr>
      </w:pPr>
      <w:r>
        <w:rPr>
          <w:rFonts w:hint="eastAsia" w:ascii="Times New Roman" w:hAnsi="Times New Roman" w:cs="Times New Roman"/>
          <w:bCs/>
          <w:color w:val="auto"/>
          <w:highlight w:val="none"/>
        </w:rPr>
        <w:t>18.5.4 消防给水和灭火器系统</w:t>
      </w:r>
    </w:p>
    <w:p w14:paraId="581953F3">
      <w:pPr>
        <w:shd w:val="clear"/>
        <w:jc w:val="both"/>
        <w:rPr>
          <w:rFonts w:ascii="Times New Roman" w:hAnsi="Times New Roman" w:cs="Times New Roman"/>
          <w:color w:val="auto"/>
          <w:highlight w:val="none"/>
        </w:rPr>
      </w:pPr>
      <w:r>
        <w:rPr>
          <w:rFonts w:hint="eastAsia" w:ascii="Times New Roman" w:hAnsi="Times New Roman" w:cs="Times New Roman"/>
          <w:color w:val="auto"/>
          <w:highlight w:val="none"/>
        </w:rPr>
        <w:t>消防给水和灭火器系统按《建筑防火通用规范》、《消防设施通用规范》及《消防给水及消火栓系统技术规范》有关规定进行设计。2号高炉TRT厂房原设有室内消火栓消防水量10l/s，水源接自室外生活水管，不满足现行消防规范要求，需对水源改造，改造后的水源取自新3号高炉消防水池，经过消防泵加压送至TRT厂房，消防水池容积约480m</w:t>
      </w:r>
      <w:r>
        <w:rPr>
          <w:rFonts w:hint="eastAsia" w:ascii="Times New Roman" w:hAnsi="Times New Roman" w:cs="Times New Roman"/>
          <w:color w:val="auto"/>
          <w:highlight w:val="none"/>
          <w:vertAlign w:val="superscript"/>
        </w:rPr>
        <w:t>3</w:t>
      </w:r>
      <w:r>
        <w:rPr>
          <w:rFonts w:hint="eastAsia" w:ascii="Times New Roman" w:hAnsi="Times New Roman" w:cs="Times New Roman"/>
          <w:color w:val="auto"/>
          <w:highlight w:val="none"/>
        </w:rPr>
        <w:t>，消防水泵1用1备，另外设有1台应急柴油机泵，单台水泵流量260m</w:t>
      </w:r>
      <w:r>
        <w:rPr>
          <w:rFonts w:hint="eastAsia" w:ascii="Times New Roman" w:hAnsi="Times New Roman" w:cs="Times New Roman"/>
          <w:color w:val="auto"/>
          <w:highlight w:val="none"/>
          <w:vertAlign w:val="superscript"/>
        </w:rPr>
        <w:t>3</w:t>
      </w:r>
      <w:r>
        <w:rPr>
          <w:rFonts w:hint="eastAsia" w:ascii="Times New Roman" w:hAnsi="Times New Roman" w:cs="Times New Roman"/>
          <w:color w:val="auto"/>
          <w:highlight w:val="none"/>
        </w:rPr>
        <w:t>/h，扬程95m。本次改造仅对室内消火栓系统水源进行改造，原有室内消防系统维持不变。</w:t>
      </w:r>
    </w:p>
    <w:p w14:paraId="69DE129E">
      <w:pPr>
        <w:shd w:val="clear"/>
        <w:rPr>
          <w:color w:val="auto"/>
          <w:highlight w:val="none"/>
        </w:rPr>
      </w:pPr>
      <w:bookmarkStart w:id="1854" w:name="_Toc21975"/>
      <w:bookmarkStart w:id="1855" w:name="_Toc9003"/>
      <w:r>
        <w:rPr>
          <w:rFonts w:hint="eastAsia"/>
          <w:color w:val="auto"/>
          <w:highlight w:val="none"/>
        </w:rPr>
        <w:t>2号高炉室外消防满足消防要求，本次改造维持原状，不新增加。</w:t>
      </w:r>
      <w:bookmarkEnd w:id="1854"/>
      <w:bookmarkEnd w:id="1855"/>
    </w:p>
    <w:p w14:paraId="0EE1044F">
      <w:pPr>
        <w:shd w:val="clear"/>
        <w:jc w:val="both"/>
        <w:rPr>
          <w:rFonts w:ascii="Times New Roman" w:hAnsi="Times New Roman" w:cs="Times New Roman"/>
          <w:color w:val="auto"/>
          <w:highlight w:val="none"/>
        </w:rPr>
      </w:pPr>
      <w:bookmarkStart w:id="1856" w:name="_Toc535336137"/>
      <w:r>
        <w:rPr>
          <w:rFonts w:hint="eastAsia" w:ascii="Times New Roman" w:hAnsi="Times New Roman" w:cs="Times New Roman"/>
          <w:color w:val="auto"/>
          <w:highlight w:val="none"/>
        </w:rPr>
        <w:t>本工程新建厂房、配电室等均应设置建筑灭火器，灭火器的配置应符合《</w:t>
      </w:r>
      <w:bookmarkStart w:id="1857" w:name="OLE_LINK9"/>
      <w:r>
        <w:rPr>
          <w:rFonts w:hint="eastAsia" w:ascii="Times New Roman" w:hAnsi="Times New Roman" w:cs="Times New Roman"/>
          <w:color w:val="auto"/>
          <w:highlight w:val="none"/>
        </w:rPr>
        <w:t>建筑灭火器配置设计规范</w:t>
      </w:r>
      <w:bookmarkEnd w:id="1857"/>
      <w:r>
        <w:rPr>
          <w:rFonts w:hint="eastAsia" w:ascii="Times New Roman" w:hAnsi="Times New Roman" w:cs="Times New Roman"/>
          <w:color w:val="auto"/>
          <w:highlight w:val="none"/>
        </w:rPr>
        <w:t>》（GB50140-2005）的有关规定。</w:t>
      </w:r>
      <w:bookmarkEnd w:id="1856"/>
    </w:p>
    <w:p w14:paraId="39335034">
      <w:pPr>
        <w:shd w:val="clear"/>
        <w:rPr>
          <w:color w:val="auto"/>
          <w:highlight w:val="none"/>
        </w:rPr>
      </w:pPr>
      <w:bookmarkStart w:id="1858" w:name="_Toc9944"/>
      <w:r>
        <w:rPr>
          <w:color w:val="auto"/>
          <w:highlight w:val="none"/>
        </w:rPr>
        <w:t>建筑物</w:t>
      </w:r>
      <w:r>
        <w:rPr>
          <w:rFonts w:hint="eastAsia"/>
          <w:color w:val="auto"/>
          <w:highlight w:val="none"/>
        </w:rPr>
        <w:t>灭火器配置表</w:t>
      </w:r>
      <w:bookmarkEnd w:id="1858"/>
    </w:p>
    <w:tbl>
      <w:tblPr>
        <w:tblStyle w:val="60"/>
        <w:tblW w:w="4995" w:type="pct"/>
        <w:tblInd w:w="0" w:type="dxa"/>
        <w:tblLayout w:type="autofit"/>
        <w:tblCellMar>
          <w:top w:w="0" w:type="dxa"/>
          <w:left w:w="0" w:type="dxa"/>
          <w:bottom w:w="0" w:type="dxa"/>
          <w:right w:w="0" w:type="dxa"/>
        </w:tblCellMar>
      </w:tblPr>
      <w:tblGrid>
        <w:gridCol w:w="1185"/>
        <w:gridCol w:w="1186"/>
        <w:gridCol w:w="1190"/>
        <w:gridCol w:w="1190"/>
        <w:gridCol w:w="1190"/>
        <w:gridCol w:w="1190"/>
        <w:gridCol w:w="1191"/>
      </w:tblGrid>
      <w:tr w14:paraId="01551DCA">
        <w:tblPrEx>
          <w:tblCellMar>
            <w:top w:w="0" w:type="dxa"/>
            <w:left w:w="0" w:type="dxa"/>
            <w:bottom w:w="0" w:type="dxa"/>
            <w:right w:w="0" w:type="dxa"/>
          </w:tblCellMar>
        </w:tblPrEx>
        <w:trPr>
          <w:trHeight w:val="648" w:hRule="atLeast"/>
        </w:trPr>
        <w:tc>
          <w:tcPr>
            <w:tcW w:w="71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6C2E645">
            <w:pPr>
              <w:widowControl/>
              <w:shd w:val="clear"/>
              <w:spacing w:line="240" w:lineRule="auto"/>
              <w:ind w:firstLine="0" w:firstLineChars="0"/>
              <w:jc w:val="center"/>
              <w:textAlignment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lang w:bidi="ar"/>
              </w:rPr>
              <w:t>序号</w:t>
            </w:r>
          </w:p>
        </w:tc>
        <w:tc>
          <w:tcPr>
            <w:tcW w:w="71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862527B">
            <w:pPr>
              <w:widowControl/>
              <w:shd w:val="clear"/>
              <w:spacing w:line="240" w:lineRule="auto"/>
              <w:ind w:firstLine="0" w:firstLineChars="0"/>
              <w:jc w:val="center"/>
              <w:textAlignment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lang w:bidi="ar"/>
              </w:rPr>
              <w:t>建筑物名称</w:t>
            </w:r>
          </w:p>
        </w:tc>
        <w:tc>
          <w:tcPr>
            <w:tcW w:w="71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44068BD">
            <w:pPr>
              <w:widowControl/>
              <w:shd w:val="clear"/>
              <w:spacing w:line="240" w:lineRule="auto"/>
              <w:ind w:firstLine="0" w:firstLineChars="0"/>
              <w:jc w:val="center"/>
              <w:textAlignment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lang w:bidi="ar"/>
              </w:rPr>
              <w:t>生产类别</w:t>
            </w:r>
          </w:p>
        </w:tc>
        <w:tc>
          <w:tcPr>
            <w:tcW w:w="71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F41DB87">
            <w:pPr>
              <w:widowControl/>
              <w:shd w:val="clear"/>
              <w:spacing w:line="240" w:lineRule="auto"/>
              <w:ind w:firstLine="0" w:firstLineChars="0"/>
              <w:jc w:val="center"/>
              <w:textAlignment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lang w:bidi="ar"/>
              </w:rPr>
              <w:t>耐火等级</w:t>
            </w:r>
          </w:p>
        </w:tc>
        <w:tc>
          <w:tcPr>
            <w:tcW w:w="71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7A1E052">
            <w:pPr>
              <w:widowControl/>
              <w:shd w:val="clear"/>
              <w:spacing w:line="240" w:lineRule="auto"/>
              <w:ind w:firstLine="0" w:firstLineChars="0"/>
              <w:jc w:val="center"/>
              <w:textAlignment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lang w:bidi="ar"/>
              </w:rPr>
              <w:t>轴线面积(m</w:t>
            </w:r>
            <w:r>
              <w:rPr>
                <w:rFonts w:ascii="Times New Roman" w:hAnsi="Times New Roman" w:cs="Times New Roman"/>
                <w:color w:val="auto"/>
                <w:kern w:val="0"/>
                <w:sz w:val="21"/>
                <w:szCs w:val="21"/>
                <w:highlight w:val="none"/>
                <w:vertAlign w:val="superscript"/>
                <w:lang w:bidi="ar"/>
              </w:rPr>
              <w:t>2</w:t>
            </w:r>
            <w:r>
              <w:rPr>
                <w:rFonts w:ascii="Times New Roman" w:hAnsi="Times New Roman" w:cs="Times New Roman"/>
                <w:color w:val="auto"/>
                <w:kern w:val="0"/>
                <w:sz w:val="21"/>
                <w:szCs w:val="21"/>
                <w:highlight w:val="none"/>
                <w:lang w:bidi="ar"/>
              </w:rPr>
              <w:t>)</w:t>
            </w:r>
          </w:p>
        </w:tc>
        <w:tc>
          <w:tcPr>
            <w:tcW w:w="71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8315596">
            <w:pPr>
              <w:widowControl/>
              <w:shd w:val="clear"/>
              <w:spacing w:line="240" w:lineRule="auto"/>
              <w:ind w:firstLine="0" w:firstLineChars="0"/>
              <w:jc w:val="center"/>
              <w:textAlignment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bidi="ar"/>
              </w:rPr>
              <w:t>灭火器型号</w:t>
            </w:r>
          </w:p>
        </w:tc>
        <w:tc>
          <w:tcPr>
            <w:tcW w:w="71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E5CFAB7">
            <w:pPr>
              <w:widowControl/>
              <w:shd w:val="clear"/>
              <w:spacing w:line="240" w:lineRule="auto"/>
              <w:ind w:firstLine="0" w:firstLineChars="0"/>
              <w:jc w:val="center"/>
              <w:textAlignment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灭火器数量（具）</w:t>
            </w:r>
          </w:p>
        </w:tc>
      </w:tr>
      <w:tr w14:paraId="52E1E3C0">
        <w:tblPrEx>
          <w:tblCellMar>
            <w:top w:w="0" w:type="dxa"/>
            <w:left w:w="0" w:type="dxa"/>
            <w:bottom w:w="0" w:type="dxa"/>
            <w:right w:w="0" w:type="dxa"/>
          </w:tblCellMar>
        </w:tblPrEx>
        <w:trPr>
          <w:trHeight w:val="864" w:hRule="atLeast"/>
        </w:trPr>
        <w:tc>
          <w:tcPr>
            <w:tcW w:w="71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04FA086">
            <w:pPr>
              <w:widowControl/>
              <w:shd w:val="clear"/>
              <w:spacing w:line="240" w:lineRule="auto"/>
              <w:ind w:firstLine="0" w:firstLineChars="0"/>
              <w:jc w:val="center"/>
              <w:textAlignment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lang w:bidi="ar"/>
              </w:rPr>
              <w:t>1</w:t>
            </w:r>
          </w:p>
        </w:tc>
        <w:tc>
          <w:tcPr>
            <w:tcW w:w="71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821130F">
            <w:pPr>
              <w:shd w:val="clear"/>
              <w:autoSpaceDE w:val="0"/>
              <w:autoSpaceDN w:val="0"/>
              <w:adjustRightInd w:val="0"/>
              <w:spacing w:line="300" w:lineRule="auto"/>
              <w:ind w:firstLine="0" w:firstLineChars="0"/>
              <w:jc w:val="center"/>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rPr>
              <w:t>出铁场除尘配电室</w:t>
            </w:r>
          </w:p>
        </w:tc>
        <w:tc>
          <w:tcPr>
            <w:tcW w:w="71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C61DB62">
            <w:pPr>
              <w:shd w:val="clear"/>
              <w:autoSpaceDE w:val="0"/>
              <w:autoSpaceDN w:val="0"/>
              <w:adjustRightInd w:val="0"/>
              <w:spacing w:line="300" w:lineRule="auto"/>
              <w:ind w:firstLine="420" w:firstLineChars="200"/>
              <w:jc w:val="center"/>
              <w:rPr>
                <w:rFonts w:ascii="Times New Roman" w:hAnsi="Times New Roman" w:eastAsia="宋体" w:cs="Times New Roman"/>
                <w:color w:val="auto"/>
                <w:kern w:val="0"/>
                <w:sz w:val="21"/>
                <w:szCs w:val="21"/>
                <w:highlight w:val="none"/>
                <w:lang w:val="en-US" w:eastAsia="zh-CN" w:bidi="ar-SA"/>
              </w:rPr>
            </w:pPr>
            <w:r>
              <w:rPr>
                <w:rFonts w:ascii="Times New Roman" w:hAnsi="Times New Roman" w:cs="Times New Roman"/>
                <w:color w:val="auto"/>
                <w:sz w:val="21"/>
                <w:szCs w:val="21"/>
                <w:highlight w:val="none"/>
              </w:rPr>
              <w:t>丙</w:t>
            </w:r>
          </w:p>
        </w:tc>
        <w:tc>
          <w:tcPr>
            <w:tcW w:w="71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24D2A7F">
            <w:pPr>
              <w:shd w:val="clear"/>
              <w:autoSpaceDE w:val="0"/>
              <w:autoSpaceDN w:val="0"/>
              <w:adjustRightInd w:val="0"/>
              <w:spacing w:line="300" w:lineRule="auto"/>
              <w:ind w:firstLine="0" w:firstLineChars="0"/>
              <w:jc w:val="center"/>
              <w:rPr>
                <w:rFonts w:ascii="Times New Roman" w:hAnsi="Times New Roman" w:eastAsia="宋体" w:cs="Times New Roman"/>
                <w:color w:val="auto"/>
                <w:kern w:val="0"/>
                <w:sz w:val="21"/>
                <w:szCs w:val="21"/>
                <w:highlight w:val="none"/>
                <w:lang w:val="en-US" w:eastAsia="zh-CN" w:bidi="ar-SA"/>
              </w:rPr>
            </w:pPr>
            <w:r>
              <w:rPr>
                <w:rFonts w:ascii="Times New Roman" w:hAnsi="Times New Roman" w:cs="Times New Roman"/>
                <w:color w:val="auto"/>
                <w:sz w:val="21"/>
                <w:szCs w:val="21"/>
                <w:highlight w:val="none"/>
              </w:rPr>
              <w:t>二级</w:t>
            </w:r>
          </w:p>
        </w:tc>
        <w:tc>
          <w:tcPr>
            <w:tcW w:w="71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D3F5BF5">
            <w:pPr>
              <w:shd w:val="clear"/>
              <w:autoSpaceDE w:val="0"/>
              <w:autoSpaceDN w:val="0"/>
              <w:adjustRightInd w:val="0"/>
              <w:spacing w:line="30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225</w:t>
            </w:r>
          </w:p>
        </w:tc>
        <w:tc>
          <w:tcPr>
            <w:tcW w:w="71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34D5F4E">
            <w:pPr>
              <w:widowControl/>
              <w:shd w:val="clear"/>
              <w:spacing w:line="240" w:lineRule="auto"/>
              <w:ind w:firstLine="0" w:firstLineChars="0"/>
              <w:jc w:val="center"/>
              <w:textAlignment w:val="center"/>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bidi="ar"/>
              </w:rPr>
              <w:t>MF/ABC8</w:t>
            </w:r>
          </w:p>
        </w:tc>
        <w:tc>
          <w:tcPr>
            <w:tcW w:w="71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D87B9C5">
            <w:pPr>
              <w:widowControl/>
              <w:shd w:val="clear"/>
              <w:spacing w:line="240" w:lineRule="auto"/>
              <w:ind w:firstLine="0" w:firstLineChars="0"/>
              <w:jc w:val="center"/>
              <w:textAlignment w:val="center"/>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bidi="ar"/>
              </w:rPr>
              <w:t>6</w:t>
            </w:r>
          </w:p>
        </w:tc>
      </w:tr>
      <w:tr w14:paraId="7C2B6A38">
        <w:tblPrEx>
          <w:tblCellMar>
            <w:top w:w="0" w:type="dxa"/>
            <w:left w:w="0" w:type="dxa"/>
            <w:bottom w:w="0" w:type="dxa"/>
            <w:right w:w="0" w:type="dxa"/>
          </w:tblCellMar>
        </w:tblPrEx>
        <w:trPr>
          <w:trHeight w:val="576" w:hRule="atLeast"/>
        </w:trPr>
        <w:tc>
          <w:tcPr>
            <w:tcW w:w="71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40B159B">
            <w:pPr>
              <w:widowControl/>
              <w:shd w:val="clear"/>
              <w:spacing w:line="240" w:lineRule="auto"/>
              <w:ind w:firstLine="0" w:firstLineChars="0"/>
              <w:jc w:val="center"/>
              <w:textAlignment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lang w:bidi="ar"/>
              </w:rPr>
              <w:t>3</w:t>
            </w:r>
          </w:p>
        </w:tc>
        <w:tc>
          <w:tcPr>
            <w:tcW w:w="71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A34D674">
            <w:pPr>
              <w:shd w:val="clear"/>
              <w:autoSpaceDE w:val="0"/>
              <w:autoSpaceDN w:val="0"/>
              <w:adjustRightInd w:val="0"/>
              <w:spacing w:line="300" w:lineRule="auto"/>
              <w:ind w:firstLine="0" w:firstLineChars="0"/>
              <w:jc w:val="center"/>
              <w:rPr>
                <w:rFonts w:ascii="宋体" w:hAnsi="宋体" w:eastAsia="宋体" w:cs="宋体"/>
                <w:color w:val="auto"/>
                <w:kern w:val="0"/>
                <w:sz w:val="21"/>
                <w:szCs w:val="21"/>
                <w:highlight w:val="none"/>
                <w:lang w:val="en-US" w:eastAsia="zh-CN" w:bidi="ar"/>
              </w:rPr>
            </w:pPr>
            <w:r>
              <w:rPr>
                <w:rFonts w:hint="eastAsia" w:ascii="Times New Roman" w:hAnsi="Times New Roman" w:cs="Times New Roman"/>
                <w:color w:val="auto"/>
                <w:sz w:val="21"/>
                <w:szCs w:val="21"/>
                <w:highlight w:val="none"/>
              </w:rPr>
              <w:t>出铁场除尘</w:t>
            </w:r>
            <w:r>
              <w:rPr>
                <w:rFonts w:ascii="Times New Roman" w:hAnsi="Times New Roman" w:cs="Times New Roman"/>
                <w:color w:val="auto"/>
                <w:sz w:val="21"/>
                <w:szCs w:val="21"/>
                <w:highlight w:val="none"/>
              </w:rPr>
              <w:t>CEMS</w:t>
            </w:r>
            <w:r>
              <w:rPr>
                <w:rFonts w:hint="eastAsia" w:ascii="Times New Roman" w:hAnsi="Times New Roman" w:cs="Times New Roman"/>
                <w:color w:val="auto"/>
                <w:sz w:val="21"/>
                <w:szCs w:val="21"/>
                <w:highlight w:val="none"/>
              </w:rPr>
              <w:t>分析室</w:t>
            </w:r>
          </w:p>
        </w:tc>
        <w:tc>
          <w:tcPr>
            <w:tcW w:w="71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70266C8">
            <w:pPr>
              <w:shd w:val="clear"/>
              <w:autoSpaceDE w:val="0"/>
              <w:autoSpaceDN w:val="0"/>
              <w:adjustRightInd w:val="0"/>
              <w:spacing w:line="300" w:lineRule="auto"/>
              <w:ind w:firstLine="420" w:firstLineChars="200"/>
              <w:jc w:val="center"/>
              <w:rPr>
                <w:rFonts w:ascii="Times New Roman" w:hAnsi="Times New Roman" w:eastAsia="宋体" w:cs="Times New Roman"/>
                <w:color w:val="auto"/>
                <w:kern w:val="0"/>
                <w:sz w:val="21"/>
                <w:szCs w:val="21"/>
                <w:highlight w:val="none"/>
                <w:lang w:val="en-US" w:eastAsia="zh-CN" w:bidi="ar"/>
              </w:rPr>
            </w:pPr>
            <w:r>
              <w:rPr>
                <w:rFonts w:ascii="Times New Roman" w:hAnsi="Times New Roman" w:cs="Times New Roman"/>
                <w:color w:val="auto"/>
                <w:sz w:val="21"/>
                <w:szCs w:val="21"/>
                <w:highlight w:val="none"/>
              </w:rPr>
              <w:t>丁</w:t>
            </w:r>
          </w:p>
        </w:tc>
        <w:tc>
          <w:tcPr>
            <w:tcW w:w="71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A1518F5">
            <w:pPr>
              <w:shd w:val="clear"/>
              <w:autoSpaceDE w:val="0"/>
              <w:autoSpaceDN w:val="0"/>
              <w:adjustRightInd w:val="0"/>
              <w:spacing w:line="300" w:lineRule="auto"/>
              <w:ind w:firstLine="0" w:firstLineChars="0"/>
              <w:jc w:val="center"/>
              <w:rPr>
                <w:rFonts w:ascii="Times New Roman" w:hAnsi="Times New Roman" w:eastAsia="宋体" w:cs="Times New Roman"/>
                <w:color w:val="auto"/>
                <w:kern w:val="0"/>
                <w:sz w:val="21"/>
                <w:szCs w:val="21"/>
                <w:highlight w:val="none"/>
                <w:lang w:val="en-US" w:eastAsia="zh-CN" w:bidi="ar"/>
              </w:rPr>
            </w:pPr>
            <w:r>
              <w:rPr>
                <w:rFonts w:ascii="Times New Roman" w:hAnsi="Times New Roman" w:cs="Times New Roman"/>
                <w:color w:val="auto"/>
                <w:sz w:val="21"/>
                <w:szCs w:val="21"/>
                <w:highlight w:val="none"/>
              </w:rPr>
              <w:t>二级</w:t>
            </w:r>
          </w:p>
        </w:tc>
        <w:tc>
          <w:tcPr>
            <w:tcW w:w="71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60F4109">
            <w:pPr>
              <w:shd w:val="clear"/>
              <w:autoSpaceDE w:val="0"/>
              <w:autoSpaceDN w:val="0"/>
              <w:adjustRightInd w:val="0"/>
              <w:spacing w:line="300" w:lineRule="auto"/>
              <w:ind w:firstLine="0" w:firstLineChars="0"/>
              <w:jc w:val="center"/>
              <w:rPr>
                <w:rFonts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sz w:val="21"/>
                <w:szCs w:val="21"/>
                <w:highlight w:val="none"/>
              </w:rPr>
              <w:t>20</w:t>
            </w:r>
          </w:p>
        </w:tc>
        <w:tc>
          <w:tcPr>
            <w:tcW w:w="71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E6CF995">
            <w:pPr>
              <w:widowControl/>
              <w:shd w:val="clear"/>
              <w:spacing w:line="240" w:lineRule="auto"/>
              <w:ind w:firstLine="0" w:firstLineChars="0"/>
              <w:jc w:val="center"/>
              <w:textAlignment w:val="center"/>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bidi="ar"/>
              </w:rPr>
              <w:t>MF/ABC8</w:t>
            </w:r>
          </w:p>
        </w:tc>
        <w:tc>
          <w:tcPr>
            <w:tcW w:w="71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F654EFC">
            <w:pPr>
              <w:widowControl/>
              <w:shd w:val="clear"/>
              <w:spacing w:line="240" w:lineRule="auto"/>
              <w:ind w:firstLine="0" w:firstLineChars="0"/>
              <w:jc w:val="center"/>
              <w:textAlignment w:val="center"/>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bidi="ar"/>
              </w:rPr>
              <w:t>2</w:t>
            </w:r>
          </w:p>
        </w:tc>
      </w:tr>
      <w:tr w14:paraId="11DA63B1">
        <w:tblPrEx>
          <w:tblCellMar>
            <w:top w:w="0" w:type="dxa"/>
            <w:left w:w="0" w:type="dxa"/>
            <w:bottom w:w="0" w:type="dxa"/>
            <w:right w:w="0" w:type="dxa"/>
          </w:tblCellMar>
        </w:tblPrEx>
        <w:trPr>
          <w:trHeight w:val="576" w:hRule="atLeast"/>
        </w:trPr>
        <w:tc>
          <w:tcPr>
            <w:tcW w:w="71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5571DB0">
            <w:pPr>
              <w:widowControl/>
              <w:shd w:val="clear"/>
              <w:spacing w:line="240" w:lineRule="auto"/>
              <w:ind w:firstLine="0" w:firstLineChars="0"/>
              <w:jc w:val="center"/>
              <w:textAlignment w:val="center"/>
              <w:rPr>
                <w:rFonts w:ascii="Times New Roman" w:hAnsi="Times New Roman" w:cs="Times New Roman"/>
                <w:color w:val="auto"/>
                <w:kern w:val="0"/>
                <w:sz w:val="21"/>
                <w:szCs w:val="21"/>
                <w:highlight w:val="none"/>
                <w:lang w:bidi="ar"/>
              </w:rPr>
            </w:pPr>
            <w:r>
              <w:rPr>
                <w:rFonts w:hint="eastAsia" w:ascii="Times New Roman" w:hAnsi="Times New Roman" w:cs="Times New Roman"/>
                <w:color w:val="auto"/>
                <w:kern w:val="0"/>
                <w:sz w:val="21"/>
                <w:szCs w:val="21"/>
                <w:highlight w:val="none"/>
                <w:lang w:bidi="ar"/>
              </w:rPr>
              <w:t>4</w:t>
            </w:r>
          </w:p>
        </w:tc>
        <w:tc>
          <w:tcPr>
            <w:tcW w:w="71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C8D5AD6">
            <w:pPr>
              <w:shd w:val="clear"/>
              <w:autoSpaceDE w:val="0"/>
              <w:autoSpaceDN w:val="0"/>
              <w:adjustRightInd w:val="0"/>
              <w:spacing w:line="300" w:lineRule="auto"/>
              <w:ind w:firstLine="0" w:firstLineChars="0"/>
              <w:jc w:val="center"/>
              <w:rPr>
                <w:rFonts w:ascii="宋体" w:hAnsi="宋体" w:eastAsia="宋体" w:cs="宋体"/>
                <w:color w:val="auto"/>
                <w:kern w:val="0"/>
                <w:sz w:val="21"/>
                <w:szCs w:val="21"/>
                <w:highlight w:val="none"/>
                <w:lang w:val="en-US" w:eastAsia="zh-CN" w:bidi="ar"/>
              </w:rPr>
            </w:pPr>
            <w:r>
              <w:rPr>
                <w:rFonts w:hint="eastAsia" w:ascii="Times New Roman" w:hAnsi="Times New Roman" w:cs="Times New Roman"/>
                <w:color w:val="auto"/>
                <w:sz w:val="21"/>
                <w:szCs w:val="21"/>
                <w:highlight w:val="none"/>
              </w:rPr>
              <w:t>矿槽除尘</w:t>
            </w:r>
            <w:r>
              <w:rPr>
                <w:rFonts w:ascii="Times New Roman" w:hAnsi="Times New Roman" w:cs="Times New Roman"/>
                <w:color w:val="auto"/>
                <w:sz w:val="21"/>
                <w:szCs w:val="21"/>
                <w:highlight w:val="none"/>
              </w:rPr>
              <w:t>CEMS</w:t>
            </w:r>
            <w:r>
              <w:rPr>
                <w:rFonts w:hint="eastAsia" w:ascii="Times New Roman" w:hAnsi="Times New Roman" w:cs="Times New Roman"/>
                <w:color w:val="auto"/>
                <w:sz w:val="21"/>
                <w:szCs w:val="21"/>
                <w:highlight w:val="none"/>
              </w:rPr>
              <w:t>分析室</w:t>
            </w:r>
          </w:p>
        </w:tc>
        <w:tc>
          <w:tcPr>
            <w:tcW w:w="71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D5D72ED">
            <w:pPr>
              <w:shd w:val="clear"/>
              <w:autoSpaceDE w:val="0"/>
              <w:autoSpaceDN w:val="0"/>
              <w:adjustRightInd w:val="0"/>
              <w:spacing w:line="300" w:lineRule="auto"/>
              <w:ind w:firstLine="420" w:firstLineChars="200"/>
              <w:jc w:val="center"/>
              <w:rPr>
                <w:rFonts w:ascii="Times New Roman" w:hAnsi="Times New Roman" w:eastAsia="宋体" w:cs="Times New Roman"/>
                <w:color w:val="auto"/>
                <w:kern w:val="0"/>
                <w:sz w:val="21"/>
                <w:szCs w:val="21"/>
                <w:highlight w:val="none"/>
                <w:lang w:val="en-US" w:eastAsia="zh-CN" w:bidi="ar"/>
              </w:rPr>
            </w:pPr>
            <w:r>
              <w:rPr>
                <w:rFonts w:ascii="Times New Roman" w:hAnsi="Times New Roman" w:cs="Times New Roman"/>
                <w:color w:val="auto"/>
                <w:sz w:val="21"/>
                <w:szCs w:val="21"/>
                <w:highlight w:val="none"/>
              </w:rPr>
              <w:t>丁</w:t>
            </w:r>
          </w:p>
        </w:tc>
        <w:tc>
          <w:tcPr>
            <w:tcW w:w="71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DB10963">
            <w:pPr>
              <w:shd w:val="clear"/>
              <w:autoSpaceDE w:val="0"/>
              <w:autoSpaceDN w:val="0"/>
              <w:adjustRightInd w:val="0"/>
              <w:spacing w:line="300" w:lineRule="auto"/>
              <w:ind w:firstLine="0" w:firstLineChars="0"/>
              <w:jc w:val="center"/>
              <w:rPr>
                <w:rFonts w:ascii="Times New Roman" w:hAnsi="Times New Roman" w:eastAsia="宋体" w:cs="Times New Roman"/>
                <w:color w:val="auto"/>
                <w:kern w:val="0"/>
                <w:sz w:val="21"/>
                <w:szCs w:val="21"/>
                <w:highlight w:val="none"/>
                <w:lang w:val="en-US" w:eastAsia="zh-CN" w:bidi="ar"/>
              </w:rPr>
            </w:pPr>
            <w:r>
              <w:rPr>
                <w:rFonts w:ascii="Times New Roman" w:hAnsi="Times New Roman" w:cs="Times New Roman"/>
                <w:color w:val="auto"/>
                <w:sz w:val="21"/>
                <w:szCs w:val="21"/>
                <w:highlight w:val="none"/>
              </w:rPr>
              <w:t>二级</w:t>
            </w:r>
          </w:p>
        </w:tc>
        <w:tc>
          <w:tcPr>
            <w:tcW w:w="71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03FB2C3">
            <w:pPr>
              <w:shd w:val="clear"/>
              <w:autoSpaceDE w:val="0"/>
              <w:autoSpaceDN w:val="0"/>
              <w:adjustRightInd w:val="0"/>
              <w:spacing w:line="300" w:lineRule="auto"/>
              <w:ind w:firstLine="0" w:firstLineChars="0"/>
              <w:jc w:val="center"/>
              <w:rPr>
                <w:rFonts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sz w:val="21"/>
                <w:szCs w:val="21"/>
                <w:highlight w:val="none"/>
              </w:rPr>
              <w:t>20</w:t>
            </w:r>
          </w:p>
        </w:tc>
        <w:tc>
          <w:tcPr>
            <w:tcW w:w="71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BBAA843">
            <w:pPr>
              <w:widowControl/>
              <w:shd w:val="clear"/>
              <w:spacing w:line="240" w:lineRule="auto"/>
              <w:ind w:firstLine="0" w:firstLineChars="0"/>
              <w:jc w:val="center"/>
              <w:textAlignment w:val="center"/>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bidi="ar"/>
              </w:rPr>
              <w:t>MF/ABC8</w:t>
            </w:r>
          </w:p>
        </w:tc>
        <w:tc>
          <w:tcPr>
            <w:tcW w:w="71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E5A4866">
            <w:pPr>
              <w:widowControl/>
              <w:shd w:val="clear"/>
              <w:spacing w:line="240" w:lineRule="auto"/>
              <w:ind w:firstLine="0" w:firstLineChars="0"/>
              <w:jc w:val="center"/>
              <w:textAlignment w:val="center"/>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bidi="ar"/>
              </w:rPr>
              <w:t>2</w:t>
            </w:r>
          </w:p>
        </w:tc>
      </w:tr>
      <w:tr w14:paraId="6AFE7C3A">
        <w:tblPrEx>
          <w:tblCellMar>
            <w:top w:w="0" w:type="dxa"/>
            <w:left w:w="0" w:type="dxa"/>
            <w:bottom w:w="0" w:type="dxa"/>
            <w:right w:w="0" w:type="dxa"/>
          </w:tblCellMar>
        </w:tblPrEx>
        <w:trPr>
          <w:trHeight w:val="576" w:hRule="atLeast"/>
        </w:trPr>
        <w:tc>
          <w:tcPr>
            <w:tcW w:w="71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F3645D4">
            <w:pPr>
              <w:widowControl/>
              <w:shd w:val="clear"/>
              <w:spacing w:line="240" w:lineRule="auto"/>
              <w:ind w:firstLine="0" w:firstLineChars="0"/>
              <w:jc w:val="center"/>
              <w:textAlignment w:val="center"/>
              <w:rPr>
                <w:rFonts w:ascii="Times New Roman" w:hAnsi="Times New Roman" w:cs="Times New Roman"/>
                <w:color w:val="auto"/>
                <w:kern w:val="0"/>
                <w:sz w:val="21"/>
                <w:szCs w:val="21"/>
                <w:highlight w:val="none"/>
                <w:lang w:bidi="ar"/>
              </w:rPr>
            </w:pPr>
            <w:r>
              <w:rPr>
                <w:rFonts w:hint="eastAsia" w:ascii="Times New Roman" w:hAnsi="Times New Roman" w:cs="Times New Roman"/>
                <w:color w:val="auto"/>
                <w:kern w:val="0"/>
                <w:sz w:val="21"/>
                <w:szCs w:val="21"/>
                <w:highlight w:val="none"/>
                <w:lang w:bidi="ar"/>
              </w:rPr>
              <w:t>5</w:t>
            </w:r>
          </w:p>
        </w:tc>
        <w:tc>
          <w:tcPr>
            <w:tcW w:w="71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73D9AC5">
            <w:pPr>
              <w:shd w:val="clear"/>
              <w:autoSpaceDE w:val="0"/>
              <w:autoSpaceDN w:val="0"/>
              <w:adjustRightInd w:val="0"/>
              <w:spacing w:line="300" w:lineRule="auto"/>
              <w:ind w:firstLine="0" w:firstLineChars="0"/>
              <w:jc w:val="center"/>
              <w:rPr>
                <w:rFonts w:ascii="宋体" w:hAnsi="宋体" w:eastAsia="宋体" w:cs="宋体"/>
                <w:color w:val="auto"/>
                <w:kern w:val="0"/>
                <w:sz w:val="21"/>
                <w:szCs w:val="21"/>
                <w:highlight w:val="none"/>
                <w:lang w:val="en-US" w:eastAsia="zh-CN" w:bidi="ar"/>
              </w:rPr>
            </w:pPr>
            <w:r>
              <w:rPr>
                <w:rFonts w:hint="eastAsia" w:ascii="Times New Roman" w:hAnsi="Times New Roman" w:cs="Times New Roman"/>
                <w:color w:val="auto"/>
                <w:sz w:val="21"/>
                <w:szCs w:val="21"/>
                <w:highlight w:val="none"/>
              </w:rPr>
              <w:t>地沟除尘</w:t>
            </w:r>
            <w:r>
              <w:rPr>
                <w:rFonts w:ascii="Times New Roman" w:hAnsi="Times New Roman" w:cs="Times New Roman"/>
                <w:color w:val="auto"/>
                <w:sz w:val="21"/>
                <w:szCs w:val="21"/>
                <w:highlight w:val="none"/>
              </w:rPr>
              <w:t>CEMS</w:t>
            </w:r>
            <w:r>
              <w:rPr>
                <w:rFonts w:hint="eastAsia" w:ascii="Times New Roman" w:hAnsi="Times New Roman" w:cs="Times New Roman"/>
                <w:color w:val="auto"/>
                <w:sz w:val="21"/>
                <w:szCs w:val="21"/>
                <w:highlight w:val="none"/>
              </w:rPr>
              <w:t>分析室</w:t>
            </w:r>
          </w:p>
        </w:tc>
        <w:tc>
          <w:tcPr>
            <w:tcW w:w="71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48AF5A4">
            <w:pPr>
              <w:shd w:val="clear"/>
              <w:autoSpaceDE w:val="0"/>
              <w:autoSpaceDN w:val="0"/>
              <w:adjustRightInd w:val="0"/>
              <w:spacing w:line="300" w:lineRule="auto"/>
              <w:ind w:firstLine="420" w:firstLineChars="200"/>
              <w:jc w:val="center"/>
              <w:rPr>
                <w:rFonts w:ascii="Times New Roman" w:hAnsi="Times New Roman" w:eastAsia="宋体" w:cs="Times New Roman"/>
                <w:color w:val="auto"/>
                <w:kern w:val="0"/>
                <w:sz w:val="21"/>
                <w:szCs w:val="21"/>
                <w:highlight w:val="none"/>
                <w:lang w:val="en-US" w:eastAsia="zh-CN" w:bidi="ar"/>
              </w:rPr>
            </w:pPr>
            <w:r>
              <w:rPr>
                <w:rFonts w:ascii="Times New Roman" w:hAnsi="Times New Roman" w:cs="Times New Roman"/>
                <w:color w:val="auto"/>
                <w:sz w:val="21"/>
                <w:szCs w:val="21"/>
                <w:highlight w:val="none"/>
              </w:rPr>
              <w:t>丁</w:t>
            </w:r>
          </w:p>
        </w:tc>
        <w:tc>
          <w:tcPr>
            <w:tcW w:w="71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73851D4">
            <w:pPr>
              <w:shd w:val="clear"/>
              <w:autoSpaceDE w:val="0"/>
              <w:autoSpaceDN w:val="0"/>
              <w:adjustRightInd w:val="0"/>
              <w:spacing w:line="300" w:lineRule="auto"/>
              <w:ind w:firstLine="0" w:firstLineChars="0"/>
              <w:jc w:val="center"/>
              <w:rPr>
                <w:rFonts w:ascii="Times New Roman" w:hAnsi="Times New Roman" w:eastAsia="宋体" w:cs="Times New Roman"/>
                <w:color w:val="auto"/>
                <w:kern w:val="0"/>
                <w:sz w:val="21"/>
                <w:szCs w:val="21"/>
                <w:highlight w:val="none"/>
                <w:lang w:val="en-US" w:eastAsia="zh-CN" w:bidi="ar"/>
              </w:rPr>
            </w:pPr>
            <w:r>
              <w:rPr>
                <w:rFonts w:ascii="Times New Roman" w:hAnsi="Times New Roman" w:cs="Times New Roman"/>
                <w:color w:val="auto"/>
                <w:sz w:val="21"/>
                <w:szCs w:val="21"/>
                <w:highlight w:val="none"/>
              </w:rPr>
              <w:t>二级</w:t>
            </w:r>
          </w:p>
        </w:tc>
        <w:tc>
          <w:tcPr>
            <w:tcW w:w="71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37F9E87">
            <w:pPr>
              <w:shd w:val="clear"/>
              <w:autoSpaceDE w:val="0"/>
              <w:autoSpaceDN w:val="0"/>
              <w:adjustRightInd w:val="0"/>
              <w:spacing w:line="300" w:lineRule="auto"/>
              <w:ind w:firstLine="0" w:firstLineChars="0"/>
              <w:jc w:val="center"/>
              <w:rPr>
                <w:rFonts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sz w:val="21"/>
                <w:szCs w:val="21"/>
                <w:highlight w:val="none"/>
              </w:rPr>
              <w:t>20</w:t>
            </w:r>
          </w:p>
        </w:tc>
        <w:tc>
          <w:tcPr>
            <w:tcW w:w="71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41A4F64">
            <w:pPr>
              <w:widowControl/>
              <w:shd w:val="clear"/>
              <w:spacing w:line="240" w:lineRule="auto"/>
              <w:ind w:firstLine="0" w:firstLineChars="0"/>
              <w:jc w:val="center"/>
              <w:textAlignment w:val="center"/>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bidi="ar"/>
              </w:rPr>
              <w:t>MF/ABC8</w:t>
            </w:r>
          </w:p>
        </w:tc>
        <w:tc>
          <w:tcPr>
            <w:tcW w:w="71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6478DA9">
            <w:pPr>
              <w:widowControl/>
              <w:shd w:val="clear"/>
              <w:spacing w:line="240" w:lineRule="auto"/>
              <w:ind w:firstLine="0" w:firstLineChars="0"/>
              <w:jc w:val="center"/>
              <w:textAlignment w:val="center"/>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bidi="ar"/>
              </w:rPr>
              <w:t>2</w:t>
            </w:r>
          </w:p>
        </w:tc>
      </w:tr>
      <w:tr w14:paraId="439019DF">
        <w:tblPrEx>
          <w:tblCellMar>
            <w:top w:w="0" w:type="dxa"/>
            <w:left w:w="0" w:type="dxa"/>
            <w:bottom w:w="0" w:type="dxa"/>
            <w:right w:w="0" w:type="dxa"/>
          </w:tblCellMar>
        </w:tblPrEx>
        <w:trPr>
          <w:trHeight w:val="576" w:hRule="atLeast"/>
        </w:trPr>
        <w:tc>
          <w:tcPr>
            <w:tcW w:w="71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8B08741">
            <w:pPr>
              <w:widowControl/>
              <w:shd w:val="clear"/>
              <w:spacing w:line="240" w:lineRule="auto"/>
              <w:ind w:firstLine="0" w:firstLineChars="0"/>
              <w:jc w:val="center"/>
              <w:textAlignment w:val="center"/>
              <w:rPr>
                <w:rFonts w:ascii="Times New Roman" w:hAnsi="Times New Roman" w:cs="Times New Roman"/>
                <w:color w:val="auto"/>
                <w:kern w:val="0"/>
                <w:sz w:val="21"/>
                <w:szCs w:val="21"/>
                <w:highlight w:val="none"/>
                <w:lang w:bidi="ar"/>
              </w:rPr>
            </w:pPr>
            <w:r>
              <w:rPr>
                <w:rFonts w:hint="eastAsia" w:ascii="Times New Roman" w:hAnsi="Times New Roman" w:cs="Times New Roman"/>
                <w:color w:val="auto"/>
                <w:kern w:val="0"/>
                <w:sz w:val="21"/>
                <w:szCs w:val="21"/>
                <w:highlight w:val="none"/>
                <w:lang w:bidi="ar"/>
              </w:rPr>
              <w:t>6</w:t>
            </w:r>
          </w:p>
        </w:tc>
        <w:tc>
          <w:tcPr>
            <w:tcW w:w="71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8E28050">
            <w:pPr>
              <w:shd w:val="clear"/>
              <w:autoSpaceDE w:val="0"/>
              <w:autoSpaceDN w:val="0"/>
              <w:adjustRightInd w:val="0"/>
              <w:spacing w:line="300" w:lineRule="auto"/>
              <w:ind w:firstLine="0" w:firstLineChars="0"/>
              <w:jc w:val="center"/>
              <w:rPr>
                <w:rFonts w:ascii="宋体" w:hAnsi="宋体" w:eastAsia="宋体" w:cs="宋体"/>
                <w:color w:val="auto"/>
                <w:kern w:val="0"/>
                <w:sz w:val="21"/>
                <w:szCs w:val="21"/>
                <w:highlight w:val="none"/>
                <w:lang w:val="en-US" w:eastAsia="zh-CN" w:bidi="ar"/>
              </w:rPr>
            </w:pPr>
            <w:r>
              <w:rPr>
                <w:rFonts w:hint="eastAsia" w:ascii="Times New Roman" w:hAnsi="Times New Roman" w:cs="Times New Roman"/>
                <w:color w:val="auto"/>
                <w:sz w:val="21"/>
                <w:szCs w:val="21"/>
                <w:highlight w:val="none"/>
              </w:rPr>
              <w:t>1号高炉的槽上除尘</w:t>
            </w:r>
            <w:r>
              <w:rPr>
                <w:rFonts w:ascii="Times New Roman" w:hAnsi="Times New Roman" w:cs="Times New Roman"/>
                <w:color w:val="auto"/>
                <w:sz w:val="21"/>
                <w:szCs w:val="21"/>
                <w:highlight w:val="none"/>
              </w:rPr>
              <w:t>CEMS</w:t>
            </w:r>
            <w:r>
              <w:rPr>
                <w:rFonts w:hint="eastAsia" w:ascii="Times New Roman" w:hAnsi="Times New Roman" w:cs="Times New Roman"/>
                <w:color w:val="auto"/>
                <w:sz w:val="21"/>
                <w:szCs w:val="21"/>
                <w:highlight w:val="none"/>
              </w:rPr>
              <w:t>分析室</w:t>
            </w:r>
          </w:p>
        </w:tc>
        <w:tc>
          <w:tcPr>
            <w:tcW w:w="71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D48AF4A">
            <w:pPr>
              <w:shd w:val="clear"/>
              <w:autoSpaceDE w:val="0"/>
              <w:autoSpaceDN w:val="0"/>
              <w:adjustRightInd w:val="0"/>
              <w:spacing w:line="300" w:lineRule="auto"/>
              <w:ind w:firstLine="420" w:firstLineChars="200"/>
              <w:jc w:val="center"/>
              <w:rPr>
                <w:rFonts w:ascii="Times New Roman" w:hAnsi="Times New Roman" w:eastAsia="宋体" w:cs="Times New Roman"/>
                <w:color w:val="auto"/>
                <w:kern w:val="0"/>
                <w:sz w:val="21"/>
                <w:szCs w:val="21"/>
                <w:highlight w:val="none"/>
                <w:lang w:val="en-US" w:eastAsia="zh-CN" w:bidi="ar"/>
              </w:rPr>
            </w:pPr>
            <w:r>
              <w:rPr>
                <w:rFonts w:ascii="Times New Roman" w:hAnsi="Times New Roman" w:cs="Times New Roman"/>
                <w:color w:val="auto"/>
                <w:sz w:val="21"/>
                <w:szCs w:val="21"/>
                <w:highlight w:val="none"/>
              </w:rPr>
              <w:t>丁</w:t>
            </w:r>
          </w:p>
        </w:tc>
        <w:tc>
          <w:tcPr>
            <w:tcW w:w="71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333C4A2">
            <w:pPr>
              <w:shd w:val="clear"/>
              <w:autoSpaceDE w:val="0"/>
              <w:autoSpaceDN w:val="0"/>
              <w:adjustRightInd w:val="0"/>
              <w:spacing w:line="300" w:lineRule="auto"/>
              <w:ind w:firstLine="0" w:firstLineChars="0"/>
              <w:jc w:val="center"/>
              <w:rPr>
                <w:rFonts w:ascii="Times New Roman" w:hAnsi="Times New Roman" w:eastAsia="宋体" w:cs="Times New Roman"/>
                <w:color w:val="auto"/>
                <w:kern w:val="0"/>
                <w:sz w:val="21"/>
                <w:szCs w:val="21"/>
                <w:highlight w:val="none"/>
                <w:lang w:val="en-US" w:eastAsia="zh-CN" w:bidi="ar"/>
              </w:rPr>
            </w:pPr>
            <w:r>
              <w:rPr>
                <w:rFonts w:ascii="Times New Roman" w:hAnsi="Times New Roman" w:cs="Times New Roman"/>
                <w:color w:val="auto"/>
                <w:sz w:val="21"/>
                <w:szCs w:val="21"/>
                <w:highlight w:val="none"/>
              </w:rPr>
              <w:t>二级</w:t>
            </w:r>
          </w:p>
        </w:tc>
        <w:tc>
          <w:tcPr>
            <w:tcW w:w="71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BD3527B">
            <w:pPr>
              <w:shd w:val="clear"/>
              <w:autoSpaceDE w:val="0"/>
              <w:autoSpaceDN w:val="0"/>
              <w:adjustRightInd w:val="0"/>
              <w:spacing w:line="300" w:lineRule="auto"/>
              <w:ind w:firstLine="0" w:firstLineChars="0"/>
              <w:jc w:val="center"/>
              <w:rPr>
                <w:rFonts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sz w:val="21"/>
                <w:szCs w:val="21"/>
                <w:highlight w:val="none"/>
              </w:rPr>
              <w:t>20</w:t>
            </w:r>
          </w:p>
        </w:tc>
        <w:tc>
          <w:tcPr>
            <w:tcW w:w="71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7454891">
            <w:pPr>
              <w:widowControl/>
              <w:shd w:val="clear"/>
              <w:spacing w:line="240" w:lineRule="auto"/>
              <w:ind w:firstLine="0" w:firstLineChars="0"/>
              <w:jc w:val="center"/>
              <w:textAlignment w:val="center"/>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bidi="ar"/>
              </w:rPr>
              <w:t>MF/ABC8</w:t>
            </w:r>
          </w:p>
        </w:tc>
        <w:tc>
          <w:tcPr>
            <w:tcW w:w="71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2446C54">
            <w:pPr>
              <w:widowControl/>
              <w:shd w:val="clear"/>
              <w:spacing w:line="240" w:lineRule="auto"/>
              <w:ind w:firstLine="0" w:firstLineChars="0"/>
              <w:jc w:val="center"/>
              <w:textAlignment w:val="center"/>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bidi="ar"/>
              </w:rPr>
              <w:t>2</w:t>
            </w:r>
          </w:p>
        </w:tc>
      </w:tr>
    </w:tbl>
    <w:p w14:paraId="69827524">
      <w:pPr>
        <w:shd w:val="clear"/>
        <w:ind w:firstLine="361"/>
        <w:rPr>
          <w:b/>
          <w:bCs/>
          <w:color w:val="auto"/>
          <w:sz w:val="18"/>
          <w:szCs w:val="18"/>
          <w:highlight w:val="none"/>
        </w:rPr>
      </w:pPr>
    </w:p>
    <w:p w14:paraId="53053D63">
      <w:pPr>
        <w:shd w:val="clear"/>
        <w:ind w:firstLine="361"/>
        <w:rPr>
          <w:b/>
          <w:bCs/>
          <w:color w:val="auto"/>
          <w:sz w:val="18"/>
          <w:szCs w:val="18"/>
          <w:highlight w:val="none"/>
        </w:rPr>
      </w:pPr>
    </w:p>
    <w:p w14:paraId="10836836">
      <w:pPr>
        <w:keepNext/>
        <w:keepLines/>
        <w:numPr>
          <w:ilvl w:val="2"/>
          <w:numId w:val="0"/>
        </w:numPr>
        <w:shd w:val="clear"/>
        <w:adjustRightInd w:val="0"/>
        <w:spacing w:before="120"/>
        <w:textAlignment w:val="baseline"/>
        <w:outlineLvl w:val="2"/>
        <w:rPr>
          <w:rFonts w:ascii="Times New Roman" w:hAnsi="Times New Roman" w:cs="Times New Roman"/>
          <w:bCs/>
          <w:color w:val="auto"/>
          <w:highlight w:val="none"/>
        </w:rPr>
      </w:pPr>
      <w:bookmarkStart w:id="1859" w:name="_Toc2113"/>
      <w:bookmarkStart w:id="1860" w:name="_Toc26778"/>
      <w:r>
        <w:rPr>
          <w:rFonts w:hint="eastAsia" w:ascii="Times New Roman" w:hAnsi="Times New Roman" w:cs="Times New Roman"/>
          <w:bCs/>
          <w:color w:val="auto"/>
          <w:highlight w:val="none"/>
        </w:rPr>
        <w:t>18.5.5 其他消防措施</w:t>
      </w:r>
      <w:bookmarkEnd w:id="1859"/>
      <w:bookmarkEnd w:id="1860"/>
    </w:p>
    <w:p w14:paraId="755C1997">
      <w:pPr>
        <w:shd w:val="clear"/>
        <w:jc w:val="both"/>
        <w:rPr>
          <w:rFonts w:ascii="Times New Roman" w:hAnsi="Times New Roman" w:cs="Times New Roman"/>
          <w:color w:val="auto"/>
          <w:highlight w:val="none"/>
        </w:rPr>
      </w:pPr>
      <w:r>
        <w:rPr>
          <w:rFonts w:hint="eastAsia" w:ascii="Times New Roman" w:hAnsi="Times New Roman" w:cs="Times New Roman"/>
          <w:color w:val="auto"/>
          <w:highlight w:val="none"/>
        </w:rPr>
        <w:t>1）电缆敷设：厂区域考虑利用电气室的电缆层及车间高架平台下部的电缆桥架敷设电缆。至各设备终端的电缆可根据具体情况采用埋管，明配管或电缆槽盒明敷方式。地下电缆层按100m设有防火隔墙。电缆配线敷设路径应尽量避免通过有爆炸，火灾危险及高温高热区域。在高温区设备全部采用耐高温电缆。对高热区设备全部采用阻燃型电缆。电缆敷设完毕后，电缆沟进入电气室的入口处、配电室楼板和墙上的电缆贯穿孔洞等均需采取安装防火门或用防火堵料严密封堵等防火措施。</w:t>
      </w:r>
    </w:p>
    <w:p w14:paraId="233C6DD1">
      <w:pPr>
        <w:shd w:val="clear"/>
        <w:jc w:val="both"/>
        <w:rPr>
          <w:rFonts w:ascii="Times New Roman" w:hAnsi="Times New Roman" w:cs="Times New Roman"/>
          <w:color w:val="auto"/>
          <w:highlight w:val="none"/>
        </w:rPr>
      </w:pPr>
      <w:r>
        <w:rPr>
          <w:rFonts w:hint="eastAsia" w:ascii="Times New Roman" w:hAnsi="Times New Roman" w:cs="Times New Roman"/>
          <w:color w:val="auto"/>
          <w:highlight w:val="none"/>
        </w:rPr>
        <w:t>电缆敷设完毕后，电缆沟进入电气室的入口处、配电室楼板和墙上的电缆贯穿孔洞等均需采取安装防火门或用防火堵料严密封堵等防火措施。</w:t>
      </w:r>
    </w:p>
    <w:p w14:paraId="037040FA">
      <w:pPr>
        <w:shd w:val="clear"/>
        <w:jc w:val="both"/>
        <w:rPr>
          <w:rFonts w:ascii="Times New Roman" w:hAnsi="Times New Roman" w:cs="Times New Roman"/>
          <w:color w:val="auto"/>
          <w:highlight w:val="none"/>
        </w:rPr>
      </w:pPr>
      <w:r>
        <w:rPr>
          <w:rFonts w:hint="eastAsia" w:ascii="Times New Roman" w:hAnsi="Times New Roman" w:cs="Times New Roman"/>
          <w:color w:val="auto"/>
          <w:highlight w:val="none"/>
        </w:rPr>
        <w:t>2）电气系统接地及厂房防雷接地。</w:t>
      </w:r>
    </w:p>
    <w:p w14:paraId="06038251">
      <w:pPr>
        <w:shd w:val="clear"/>
        <w:jc w:val="both"/>
        <w:rPr>
          <w:rFonts w:ascii="Times New Roman" w:hAnsi="Times New Roman" w:cs="Times New Roman"/>
          <w:color w:val="auto"/>
          <w:highlight w:val="none"/>
        </w:rPr>
      </w:pPr>
      <w:r>
        <w:rPr>
          <w:rFonts w:hint="eastAsia" w:ascii="Times New Roman" w:hAnsi="Times New Roman" w:cs="Times New Roman"/>
          <w:color w:val="auto"/>
          <w:highlight w:val="none"/>
        </w:rPr>
        <w:t>3）</w:t>
      </w:r>
      <w:r>
        <w:rPr>
          <w:rFonts w:hint="eastAsia" w:ascii="Times New Roman" w:hAnsi="Times New Roman" w:cs="Times New Roman"/>
          <w:color w:val="auto"/>
          <w:highlight w:val="none"/>
          <w:lang w:eastAsia="zh-CN"/>
        </w:rPr>
        <w:t>新建构建筑物</w:t>
      </w:r>
      <w:r>
        <w:rPr>
          <w:rFonts w:hint="eastAsia" w:ascii="Times New Roman" w:hAnsi="Times New Roman" w:cs="Times New Roman"/>
          <w:color w:val="auto"/>
          <w:highlight w:val="none"/>
        </w:rPr>
        <w:t>采用防雷接地网。所有低压配电设备，控制设备接地电阻应满足小于</w:t>
      </w:r>
      <w:r>
        <w:rPr>
          <w:rFonts w:hint="eastAsia" w:ascii="Times New Roman" w:hAnsi="Times New Roman" w:cs="Times New Roman"/>
          <w:color w:val="auto"/>
          <w:highlight w:val="none"/>
          <w:lang w:val="en-US" w:eastAsia="zh-CN"/>
        </w:rPr>
        <w:t>4</w:t>
      </w:r>
      <w:r>
        <w:rPr>
          <w:rFonts w:hint="eastAsia" w:ascii="Times New Roman" w:hAnsi="Times New Roman" w:cs="Times New Roman"/>
          <w:color w:val="auto"/>
          <w:highlight w:val="none"/>
        </w:rPr>
        <w:t>Ω</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电子设备及计算机设备等均按照国家规程可靠接地</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接地电阻应满足小于1Ω。厂房按所属建、构筑物防雷类别及其规程规范设置防雷接地装置。</w:t>
      </w:r>
    </w:p>
    <w:p w14:paraId="25EDE4FA">
      <w:pPr>
        <w:shd w:val="clear"/>
        <w:jc w:val="both"/>
        <w:rPr>
          <w:rFonts w:ascii="Times New Roman" w:hAnsi="Times New Roman" w:cs="Times New Roman"/>
          <w:b/>
          <w:color w:val="auto"/>
          <w:kern w:val="0"/>
          <w:highlight w:val="none"/>
        </w:rPr>
      </w:pPr>
      <w:r>
        <w:rPr>
          <w:rFonts w:hint="eastAsia" w:ascii="Times New Roman" w:hAnsi="Times New Roman" w:cs="Times New Roman"/>
          <w:color w:val="auto"/>
          <w:highlight w:val="none"/>
        </w:rPr>
        <w:t>4）依据《消防应急照明和疏散指示系统技术规范》（GB51309-2018），新增或改扩建的电气室、操作室及利旧的电气室、操作室，如主控楼、TRT等安全疏散通道、安全出口、电缆隧道等场所设置应急照明，设置人员疏散指向应急照明灯，消防应急照明和安全疏散指示标识集中控制。应急照明灯具内装蓄电池，应急照明持续时间不小于30min。</w:t>
      </w:r>
      <w:bookmarkStart w:id="1861" w:name="_Toc17168"/>
      <w:bookmarkStart w:id="1862" w:name="_Toc23570"/>
      <w:bookmarkStart w:id="1863" w:name="_Toc175920472"/>
      <w:bookmarkStart w:id="1864" w:name="_Toc31451"/>
      <w:bookmarkStart w:id="1865" w:name="_Toc79840542"/>
    </w:p>
    <w:p w14:paraId="0328866C">
      <w:pPr>
        <w:shd w:val="clear"/>
        <w:ind w:firstLine="0" w:firstLineChars="0"/>
        <w:outlineLvl w:val="1"/>
        <w:rPr>
          <w:rFonts w:cs="Times New Roman"/>
          <w:b/>
          <w:color w:val="auto"/>
          <w:sz w:val="28"/>
          <w:szCs w:val="28"/>
          <w:highlight w:val="none"/>
        </w:rPr>
      </w:pPr>
      <w:bookmarkStart w:id="1866" w:name="_Toc19874"/>
      <w:bookmarkStart w:id="1867" w:name="_Toc31864"/>
      <w:r>
        <w:rPr>
          <w:rFonts w:hint="eastAsia" w:cs="Times New Roman"/>
          <w:b/>
          <w:color w:val="auto"/>
          <w:sz w:val="28"/>
          <w:szCs w:val="28"/>
          <w:highlight w:val="none"/>
        </w:rPr>
        <w:t>18.6 防火措施的预期效果</w:t>
      </w:r>
      <w:bookmarkEnd w:id="1861"/>
      <w:bookmarkEnd w:id="1862"/>
      <w:bookmarkEnd w:id="1863"/>
      <w:bookmarkEnd w:id="1864"/>
      <w:bookmarkEnd w:id="1865"/>
      <w:bookmarkEnd w:id="1866"/>
      <w:bookmarkEnd w:id="1867"/>
    </w:p>
    <w:p w14:paraId="24152316">
      <w:pPr>
        <w:shd w:val="clear"/>
        <w:jc w:val="both"/>
        <w:rPr>
          <w:color w:val="auto"/>
          <w:highlight w:val="none"/>
        </w:rPr>
      </w:pPr>
      <w:r>
        <w:rPr>
          <w:rFonts w:hint="eastAsia" w:ascii="Times New Roman" w:hAnsi="Times New Roman" w:cs="Times New Roman"/>
          <w:color w:val="auto"/>
          <w:highlight w:val="none"/>
        </w:rPr>
        <w:t>本项目设计严格执行《建筑防火通用规范》、《消防设施通用规范》、《建筑设计防火规范》、《钢铁冶金企业设计防火标准》等有关规定，对生产过程中可能发生的火灾危险考虑了一系列防范和控制措施，在严格执行操作规程和各种规章制度、正常操作情况下，可以避免火灾事故的发生，确保生产安全，工作人员生命安全；一旦火灾发生，人员能及时安全疏散，可利用配置的消防设施和通讯设施，及时扑灭火灾，控制灾情，最大限度地减少损失。</w:t>
      </w:r>
    </w:p>
    <w:p w14:paraId="097E7B6C">
      <w:pPr>
        <w:pStyle w:val="3"/>
        <w:keepNext w:val="0"/>
        <w:keepLines w:val="0"/>
        <w:shd w:val="clear"/>
        <w:autoSpaceDE w:val="0"/>
        <w:autoSpaceDN w:val="0"/>
        <w:spacing w:before="0" w:after="0" w:line="360" w:lineRule="auto"/>
        <w:ind w:left="432" w:hanging="432" w:firstLineChars="0"/>
        <w:jc w:val="center"/>
        <w:rPr>
          <w:rFonts w:ascii="Times New Roman" w:hAnsi="Times New Roman" w:cs="Times New Roman"/>
          <w:b/>
          <w:color w:val="auto"/>
          <w:kern w:val="0"/>
          <w:sz w:val="30"/>
          <w:szCs w:val="28"/>
          <w:highlight w:val="none"/>
        </w:rPr>
      </w:pPr>
      <w:r>
        <w:rPr>
          <w:rFonts w:hint="eastAsia"/>
          <w:color w:val="auto"/>
          <w:highlight w:val="none"/>
        </w:rPr>
        <w:br w:type="page"/>
      </w:r>
      <w:bookmarkStart w:id="1868" w:name="_Toc854"/>
      <w:bookmarkStart w:id="1869" w:name="_Toc19087"/>
      <w:bookmarkStart w:id="1870" w:name="_Toc10318"/>
      <w:bookmarkStart w:id="1871" w:name="_Toc20731"/>
      <w:bookmarkStart w:id="1872" w:name="_Toc14693"/>
      <w:r>
        <w:rPr>
          <w:rFonts w:hint="eastAsia" w:ascii="Times New Roman" w:hAnsi="Times New Roman" w:cs="Times New Roman"/>
          <w:b/>
          <w:color w:val="auto"/>
          <w:kern w:val="0"/>
          <w:sz w:val="30"/>
          <w:szCs w:val="28"/>
          <w:highlight w:val="none"/>
        </w:rPr>
        <w:t>19 水土保持</w:t>
      </w:r>
      <w:bookmarkEnd w:id="1797"/>
      <w:bookmarkEnd w:id="1868"/>
      <w:bookmarkEnd w:id="1869"/>
      <w:bookmarkEnd w:id="1870"/>
      <w:bookmarkEnd w:id="1871"/>
      <w:bookmarkEnd w:id="1872"/>
    </w:p>
    <w:p w14:paraId="3011F79F">
      <w:pPr>
        <w:shd w:val="clear"/>
        <w:ind w:firstLine="0" w:firstLineChars="0"/>
        <w:outlineLvl w:val="1"/>
        <w:rPr>
          <w:rFonts w:cs="Times New Roman"/>
          <w:b/>
          <w:color w:val="auto"/>
          <w:sz w:val="28"/>
          <w:szCs w:val="28"/>
          <w:highlight w:val="none"/>
        </w:rPr>
      </w:pPr>
      <w:bookmarkStart w:id="1873" w:name="_Toc70093517"/>
      <w:bookmarkStart w:id="1874" w:name="_Toc19710"/>
      <w:bookmarkStart w:id="1875" w:name="_Toc10964"/>
      <w:bookmarkStart w:id="1876" w:name="_Toc9022"/>
      <w:bookmarkStart w:id="1877" w:name="_Toc3814"/>
      <w:bookmarkStart w:id="1878" w:name="_Toc517"/>
      <w:bookmarkStart w:id="1879" w:name="_Toc1697"/>
      <w:bookmarkStart w:id="1880" w:name="_Toc15085"/>
      <w:r>
        <w:rPr>
          <w:rFonts w:hint="eastAsia" w:cs="Times New Roman"/>
          <w:b/>
          <w:color w:val="auto"/>
          <w:sz w:val="28"/>
          <w:szCs w:val="28"/>
          <w:highlight w:val="none"/>
        </w:rPr>
        <w:t>19</w:t>
      </w:r>
      <w:r>
        <w:rPr>
          <w:rFonts w:hint="eastAsia" w:cs="Times New Roman"/>
          <w:b/>
          <w:color w:val="auto"/>
          <w:sz w:val="28"/>
          <w:szCs w:val="28"/>
          <w:highlight w:val="none"/>
          <w:lang w:val="zh-CN"/>
        </w:rPr>
        <w:t>.</w:t>
      </w:r>
      <w:bookmarkEnd w:id="1873"/>
      <w:bookmarkEnd w:id="1874"/>
      <w:r>
        <w:rPr>
          <w:rFonts w:hint="eastAsia" w:cs="Times New Roman"/>
          <w:b/>
          <w:color w:val="auto"/>
          <w:sz w:val="28"/>
          <w:szCs w:val="28"/>
          <w:highlight w:val="none"/>
        </w:rPr>
        <w:t>1 编制依据</w:t>
      </w:r>
      <w:bookmarkEnd w:id="1875"/>
      <w:bookmarkEnd w:id="1876"/>
      <w:bookmarkEnd w:id="1877"/>
      <w:bookmarkEnd w:id="1878"/>
      <w:bookmarkEnd w:id="1879"/>
      <w:bookmarkEnd w:id="1880"/>
    </w:p>
    <w:p w14:paraId="24134988">
      <w:pPr>
        <w:shd w:val="clear"/>
        <w:autoSpaceDE w:val="0"/>
        <w:autoSpaceDN w:val="0"/>
        <w:rPr>
          <w:rFonts w:ascii="Times New Roman" w:hAnsi="Times New Roman" w:cs="Times New Roman"/>
          <w:color w:val="auto"/>
          <w:kern w:val="0"/>
          <w:highlight w:val="none"/>
          <w:lang w:val="zh-CN" w:bidi="zh-CN"/>
        </w:rPr>
      </w:pPr>
      <w:bookmarkStart w:id="1881" w:name="_Toc516655759"/>
      <w:bookmarkStart w:id="1882" w:name="_Toc31395"/>
      <w:bookmarkStart w:id="1883" w:name="_Toc8114"/>
      <w:bookmarkStart w:id="1884" w:name="_Toc8714"/>
      <w:bookmarkStart w:id="1885" w:name="_Toc477188049"/>
      <w:bookmarkStart w:id="1886" w:name="_Toc29175_WPSOffice_Level3"/>
      <w:bookmarkStart w:id="1887" w:name="_Toc1753"/>
      <w:bookmarkStart w:id="1888" w:name="_Toc21623"/>
      <w:bookmarkStart w:id="1889" w:name="_Toc3290"/>
      <w:bookmarkStart w:id="1890" w:name="_Toc5850"/>
      <w:bookmarkStart w:id="1891" w:name="_Toc26384"/>
      <w:r>
        <w:rPr>
          <w:rFonts w:hint="eastAsia" w:ascii="Times New Roman" w:hAnsi="Times New Roman" w:cs="Times New Roman"/>
          <w:color w:val="auto"/>
          <w:kern w:val="0"/>
          <w:highlight w:val="none"/>
          <w:lang w:val="zh-CN" w:bidi="zh-CN"/>
        </w:rPr>
        <w:t>《中华人民共和国水土保持法》（中华人民共和国主席令第39号，全国人大常委会1991年6月29日通过，2010年12月25日修订，2011年3月1日起施行）；</w:t>
      </w:r>
    </w:p>
    <w:p w14:paraId="53595D68">
      <w:pPr>
        <w:shd w:val="clear"/>
        <w:autoSpaceDE w:val="0"/>
        <w:autoSpaceDN w:val="0"/>
        <w:rPr>
          <w:rFonts w:ascii="Times New Roman" w:hAnsi="Times New Roman" w:cs="Times New Roman"/>
          <w:color w:val="auto"/>
          <w:kern w:val="0"/>
          <w:highlight w:val="none"/>
          <w:lang w:val="zh-CN" w:bidi="zh-CN"/>
        </w:rPr>
      </w:pPr>
      <w:r>
        <w:rPr>
          <w:rFonts w:hint="eastAsia" w:ascii="Times New Roman" w:hAnsi="Times New Roman" w:cs="Times New Roman"/>
          <w:color w:val="auto"/>
          <w:kern w:val="0"/>
          <w:highlight w:val="none"/>
          <w:lang w:val="zh-CN" w:bidi="zh-CN"/>
        </w:rPr>
        <w:t>《中华人民共和国环境保护法》（1989年12月26日颁布，2014年4月24日修订，2015年1月1日起施行）；</w:t>
      </w:r>
    </w:p>
    <w:p w14:paraId="554C83E2">
      <w:pPr>
        <w:shd w:val="clear"/>
        <w:autoSpaceDE w:val="0"/>
        <w:autoSpaceDN w:val="0"/>
        <w:rPr>
          <w:rFonts w:ascii="Times New Roman" w:hAnsi="Times New Roman" w:cs="Times New Roman"/>
          <w:color w:val="auto"/>
          <w:kern w:val="0"/>
          <w:highlight w:val="none"/>
          <w:lang w:val="zh-CN" w:bidi="zh-CN"/>
        </w:rPr>
      </w:pPr>
      <w:r>
        <w:rPr>
          <w:rFonts w:hint="eastAsia" w:ascii="Times New Roman" w:hAnsi="Times New Roman" w:cs="Times New Roman"/>
          <w:color w:val="auto"/>
          <w:kern w:val="0"/>
          <w:highlight w:val="none"/>
          <w:lang w:val="zh-CN" w:bidi="zh-CN"/>
        </w:rPr>
        <w:t>《中华人民共和国水土保持法实施条例》（中华人民共和国国务院令第120号，1993年8月1日发布，2011年1月8日修订）；</w:t>
      </w:r>
    </w:p>
    <w:p w14:paraId="3CF2C51D">
      <w:pPr>
        <w:shd w:val="clear"/>
        <w:autoSpaceDE w:val="0"/>
        <w:autoSpaceDN w:val="0"/>
        <w:rPr>
          <w:rFonts w:ascii="Times New Roman" w:hAnsi="Times New Roman" w:cs="Times New Roman"/>
          <w:color w:val="auto"/>
          <w:kern w:val="0"/>
          <w:highlight w:val="none"/>
          <w:lang w:val="zh-CN" w:bidi="zh-CN"/>
        </w:rPr>
      </w:pPr>
      <w:r>
        <w:rPr>
          <w:rFonts w:hint="eastAsia" w:ascii="Times New Roman" w:hAnsi="Times New Roman" w:cs="Times New Roman"/>
          <w:color w:val="auto"/>
          <w:kern w:val="0"/>
          <w:highlight w:val="none"/>
          <w:lang w:val="zh-CN" w:bidi="zh-CN"/>
        </w:rPr>
        <w:t>《中华人民共和国土地管理法》（全国人大常务委员会20</w:t>
      </w:r>
      <w:r>
        <w:rPr>
          <w:rFonts w:hint="eastAsia" w:ascii="Times New Roman" w:hAnsi="Times New Roman" w:cs="Times New Roman"/>
          <w:color w:val="auto"/>
          <w:kern w:val="0"/>
          <w:highlight w:val="none"/>
          <w:lang w:bidi="zh-CN"/>
        </w:rPr>
        <w:t>19</w:t>
      </w:r>
      <w:r>
        <w:rPr>
          <w:rFonts w:hint="eastAsia" w:ascii="Times New Roman" w:hAnsi="Times New Roman" w:cs="Times New Roman"/>
          <w:color w:val="auto"/>
          <w:kern w:val="0"/>
          <w:highlight w:val="none"/>
          <w:lang w:val="zh-CN" w:bidi="zh-CN"/>
        </w:rPr>
        <w:t>年8月2</w:t>
      </w:r>
      <w:r>
        <w:rPr>
          <w:rFonts w:hint="eastAsia" w:ascii="Times New Roman" w:hAnsi="Times New Roman" w:cs="Times New Roman"/>
          <w:color w:val="auto"/>
          <w:kern w:val="0"/>
          <w:highlight w:val="none"/>
          <w:lang w:bidi="zh-CN"/>
        </w:rPr>
        <w:t>6</w:t>
      </w:r>
      <w:r>
        <w:rPr>
          <w:rFonts w:hint="eastAsia" w:ascii="Times New Roman" w:hAnsi="Times New Roman" w:cs="Times New Roman"/>
          <w:color w:val="auto"/>
          <w:kern w:val="0"/>
          <w:highlight w:val="none"/>
          <w:lang w:val="zh-CN" w:bidi="zh-CN"/>
        </w:rPr>
        <w:t>日修订）；</w:t>
      </w:r>
    </w:p>
    <w:p w14:paraId="1301C27C">
      <w:pPr>
        <w:shd w:val="clear"/>
        <w:autoSpaceDE w:val="0"/>
        <w:autoSpaceDN w:val="0"/>
        <w:rPr>
          <w:rFonts w:ascii="Times New Roman" w:hAnsi="Times New Roman" w:cs="Times New Roman"/>
          <w:color w:val="auto"/>
          <w:kern w:val="0"/>
          <w:highlight w:val="none"/>
          <w:lang w:val="zh-CN" w:bidi="zh-CN"/>
        </w:rPr>
      </w:pPr>
      <w:r>
        <w:rPr>
          <w:rFonts w:hint="eastAsia" w:ascii="Times New Roman" w:hAnsi="Times New Roman" w:cs="Times New Roman"/>
          <w:color w:val="auto"/>
          <w:kern w:val="0"/>
          <w:highlight w:val="none"/>
          <w:lang w:val="zh-CN" w:bidi="zh-CN"/>
        </w:rPr>
        <w:t>《甘肃省水土保持条例（</w:t>
      </w:r>
      <w:r>
        <w:rPr>
          <w:rFonts w:hint="eastAsia" w:ascii="Times New Roman" w:hAnsi="Times New Roman" w:cs="Times New Roman"/>
          <w:color w:val="auto"/>
          <w:kern w:val="0"/>
          <w:highlight w:val="none"/>
          <w:lang w:bidi="zh-CN"/>
        </w:rPr>
        <w:t>修订</w:t>
      </w:r>
      <w:r>
        <w:rPr>
          <w:rFonts w:hint="eastAsia" w:ascii="Times New Roman" w:hAnsi="Times New Roman" w:cs="Times New Roman"/>
          <w:color w:val="auto"/>
          <w:kern w:val="0"/>
          <w:highlight w:val="none"/>
          <w:lang w:val="zh-CN" w:bidi="zh-CN"/>
        </w:rPr>
        <w:t>）》（2012年8月10日通过，2023年9月27日修订，2023年12月1日起施行）</w:t>
      </w:r>
      <w:bookmarkEnd w:id="1881"/>
      <w:bookmarkEnd w:id="1882"/>
      <w:bookmarkEnd w:id="1883"/>
      <w:bookmarkEnd w:id="1884"/>
      <w:bookmarkEnd w:id="1885"/>
      <w:bookmarkEnd w:id="1886"/>
      <w:bookmarkEnd w:id="1887"/>
      <w:r>
        <w:rPr>
          <w:rFonts w:hint="eastAsia" w:ascii="Times New Roman" w:hAnsi="Times New Roman" w:cs="Times New Roman"/>
          <w:color w:val="auto"/>
          <w:kern w:val="0"/>
          <w:highlight w:val="none"/>
          <w:lang w:val="zh-CN" w:bidi="zh-CN"/>
        </w:rPr>
        <w:t>；</w:t>
      </w:r>
    </w:p>
    <w:p w14:paraId="183D7A15">
      <w:pPr>
        <w:shd w:val="clear"/>
        <w:autoSpaceDE w:val="0"/>
        <w:autoSpaceDN w:val="0"/>
        <w:rPr>
          <w:rFonts w:ascii="Times New Roman" w:hAnsi="Times New Roman" w:cs="Times New Roman"/>
          <w:color w:val="auto"/>
          <w:kern w:val="0"/>
          <w:highlight w:val="none"/>
          <w:lang w:val="zh-CN" w:bidi="zh-CN"/>
        </w:rPr>
      </w:pPr>
      <w:r>
        <w:rPr>
          <w:rFonts w:hint="eastAsia" w:ascii="Times New Roman" w:hAnsi="Times New Roman" w:cs="Times New Roman"/>
          <w:color w:val="auto"/>
          <w:kern w:val="0"/>
          <w:highlight w:val="none"/>
          <w:lang w:val="zh-CN" w:bidi="zh-CN"/>
        </w:rPr>
        <w:t>《甘肃省人民政府关于划定省级水土流失重点预防区和重点治理区的公告》（甘政发[2016]第59号）；</w:t>
      </w:r>
    </w:p>
    <w:p w14:paraId="613DF642">
      <w:pPr>
        <w:shd w:val="clear"/>
        <w:autoSpaceDE w:val="0"/>
        <w:autoSpaceDN w:val="0"/>
        <w:rPr>
          <w:rFonts w:ascii="Times New Roman" w:hAnsi="Times New Roman" w:cs="Times New Roman"/>
          <w:color w:val="auto"/>
          <w:kern w:val="0"/>
          <w:highlight w:val="none"/>
          <w:lang w:val="zh-CN" w:bidi="zh-CN"/>
        </w:rPr>
      </w:pPr>
      <w:r>
        <w:rPr>
          <w:rFonts w:hint="eastAsia" w:ascii="Times New Roman" w:hAnsi="Times New Roman" w:cs="Times New Roman"/>
          <w:color w:val="auto"/>
          <w:kern w:val="0"/>
          <w:highlight w:val="none"/>
          <w:lang w:val="zh-CN" w:bidi="zh-CN"/>
        </w:rPr>
        <w:t>《</w:t>
      </w:r>
      <w:r>
        <w:rPr>
          <w:rFonts w:hint="eastAsia" w:ascii="Times New Roman" w:hAnsi="Times New Roman" w:cs="Times New Roman"/>
          <w:color w:val="auto"/>
          <w:kern w:val="0"/>
          <w:highlight w:val="none"/>
          <w:lang w:bidi="zh-CN"/>
        </w:rPr>
        <w:t>生产建设项目水土保持技术标准</w:t>
      </w:r>
      <w:r>
        <w:rPr>
          <w:rFonts w:hint="eastAsia" w:ascii="Times New Roman" w:hAnsi="Times New Roman" w:cs="Times New Roman"/>
          <w:color w:val="auto"/>
          <w:kern w:val="0"/>
          <w:highlight w:val="none"/>
          <w:lang w:val="zh-CN" w:bidi="zh-CN"/>
        </w:rPr>
        <w:t>》（</w:t>
      </w:r>
      <w:r>
        <w:rPr>
          <w:rFonts w:hint="eastAsia" w:ascii="Times New Roman" w:hAnsi="Times New Roman" w:cs="Times New Roman"/>
          <w:color w:val="auto"/>
          <w:kern w:val="0"/>
          <w:highlight w:val="none"/>
          <w:lang w:bidi="zh-CN"/>
        </w:rPr>
        <w:t>GB50433-2018</w:t>
      </w:r>
      <w:r>
        <w:rPr>
          <w:rFonts w:hint="eastAsia" w:ascii="Times New Roman" w:hAnsi="Times New Roman" w:cs="Times New Roman"/>
          <w:color w:val="auto"/>
          <w:kern w:val="0"/>
          <w:highlight w:val="none"/>
          <w:lang w:val="zh-CN" w:bidi="zh-CN"/>
        </w:rPr>
        <w:t>）；</w:t>
      </w:r>
    </w:p>
    <w:p w14:paraId="730E9147">
      <w:pPr>
        <w:shd w:val="clear"/>
        <w:autoSpaceDE w:val="0"/>
        <w:autoSpaceDN w:val="0"/>
        <w:rPr>
          <w:rFonts w:ascii="Times New Roman" w:hAnsi="Times New Roman" w:cs="Times New Roman"/>
          <w:color w:val="auto"/>
          <w:kern w:val="0"/>
          <w:highlight w:val="none"/>
          <w:lang w:val="zh-CN" w:bidi="zh-CN"/>
        </w:rPr>
      </w:pPr>
      <w:r>
        <w:rPr>
          <w:rFonts w:hint="eastAsia" w:ascii="Times New Roman" w:hAnsi="Times New Roman" w:cs="Times New Roman"/>
          <w:color w:val="auto"/>
          <w:kern w:val="0"/>
          <w:highlight w:val="none"/>
          <w:lang w:val="zh-CN" w:bidi="zh-CN"/>
        </w:rPr>
        <w:t>《生产建设项目水土流失防治标准》（GB50434-2018）；</w:t>
      </w:r>
    </w:p>
    <w:p w14:paraId="695A9431">
      <w:pPr>
        <w:shd w:val="clear"/>
        <w:autoSpaceDE w:val="0"/>
        <w:autoSpaceDN w:val="0"/>
        <w:rPr>
          <w:rFonts w:ascii="Times New Roman" w:hAnsi="Times New Roman" w:cs="Times New Roman"/>
          <w:color w:val="auto"/>
          <w:kern w:val="0"/>
          <w:highlight w:val="none"/>
          <w:lang w:val="zh-CN" w:bidi="zh-CN"/>
        </w:rPr>
      </w:pPr>
      <w:r>
        <w:rPr>
          <w:rFonts w:hint="eastAsia" w:ascii="Times New Roman" w:hAnsi="Times New Roman" w:cs="Times New Roman"/>
          <w:color w:val="auto"/>
          <w:kern w:val="0"/>
          <w:highlight w:val="none"/>
          <w:lang w:val="zh-CN" w:bidi="zh-CN"/>
        </w:rPr>
        <w:t>《</w:t>
      </w:r>
      <w:r>
        <w:rPr>
          <w:rFonts w:hint="eastAsia" w:ascii="Times New Roman" w:hAnsi="Times New Roman" w:cs="Times New Roman"/>
          <w:color w:val="auto"/>
          <w:kern w:val="0"/>
          <w:highlight w:val="none"/>
          <w:lang w:bidi="zh-CN"/>
        </w:rPr>
        <w:t>水土保持工程设计规范</w:t>
      </w:r>
      <w:r>
        <w:rPr>
          <w:rFonts w:hint="eastAsia" w:ascii="Times New Roman" w:hAnsi="Times New Roman" w:cs="Times New Roman"/>
          <w:color w:val="auto"/>
          <w:kern w:val="0"/>
          <w:highlight w:val="none"/>
          <w:lang w:val="zh-CN" w:bidi="zh-CN"/>
        </w:rPr>
        <w:t>》（</w:t>
      </w:r>
      <w:r>
        <w:rPr>
          <w:rFonts w:hint="eastAsia" w:ascii="Times New Roman" w:hAnsi="Times New Roman" w:cs="Times New Roman"/>
          <w:color w:val="auto"/>
          <w:kern w:val="0"/>
          <w:highlight w:val="none"/>
          <w:lang w:bidi="zh-CN"/>
        </w:rPr>
        <w:t>GB51018-2014</w:t>
      </w:r>
      <w:r>
        <w:rPr>
          <w:rFonts w:hint="eastAsia" w:ascii="Times New Roman" w:hAnsi="Times New Roman" w:cs="Times New Roman"/>
          <w:color w:val="auto"/>
          <w:kern w:val="0"/>
          <w:highlight w:val="none"/>
          <w:lang w:val="zh-CN" w:bidi="zh-CN"/>
        </w:rPr>
        <w:t>）；</w:t>
      </w:r>
    </w:p>
    <w:p w14:paraId="1E7F9839">
      <w:pPr>
        <w:shd w:val="clear"/>
        <w:autoSpaceDE w:val="0"/>
        <w:autoSpaceDN w:val="0"/>
        <w:rPr>
          <w:rFonts w:ascii="Times New Roman" w:hAnsi="Times New Roman" w:cs="Times New Roman"/>
          <w:color w:val="auto"/>
          <w:kern w:val="0"/>
          <w:highlight w:val="none"/>
          <w:lang w:val="zh-CN" w:bidi="zh-CN"/>
        </w:rPr>
      </w:pPr>
      <w:r>
        <w:rPr>
          <w:rFonts w:hint="eastAsia" w:ascii="Times New Roman" w:hAnsi="Times New Roman" w:cs="Times New Roman"/>
          <w:color w:val="auto"/>
          <w:kern w:val="0"/>
          <w:highlight w:val="none"/>
          <w:lang w:bidi="zh-CN"/>
        </w:rPr>
        <w:t>《开发建设项目水土保持设施验收技术规程》（GB/T22490-2008）</w:t>
      </w:r>
      <w:r>
        <w:rPr>
          <w:rFonts w:hint="eastAsia" w:ascii="Times New Roman" w:hAnsi="Times New Roman" w:cs="Times New Roman"/>
          <w:color w:val="auto"/>
          <w:kern w:val="0"/>
          <w:highlight w:val="none"/>
          <w:lang w:val="zh-CN" w:bidi="zh-CN"/>
        </w:rPr>
        <w:t>。</w:t>
      </w:r>
    </w:p>
    <w:p w14:paraId="6C3C1BE2">
      <w:pPr>
        <w:shd w:val="clear"/>
        <w:ind w:firstLine="0" w:firstLineChars="0"/>
        <w:outlineLvl w:val="1"/>
        <w:rPr>
          <w:rFonts w:cs="Times New Roman"/>
          <w:b/>
          <w:color w:val="auto"/>
          <w:sz w:val="28"/>
          <w:szCs w:val="28"/>
          <w:highlight w:val="none"/>
        </w:rPr>
      </w:pPr>
      <w:bookmarkStart w:id="1892" w:name="_Toc15041"/>
      <w:bookmarkStart w:id="1893" w:name="_Toc4857"/>
      <w:r>
        <w:rPr>
          <w:rFonts w:hint="eastAsia" w:cs="Times New Roman"/>
          <w:b/>
          <w:color w:val="auto"/>
          <w:sz w:val="28"/>
          <w:szCs w:val="28"/>
          <w:highlight w:val="none"/>
        </w:rPr>
        <w:t>19</w:t>
      </w:r>
      <w:r>
        <w:rPr>
          <w:rFonts w:hint="eastAsia" w:cs="Times New Roman"/>
          <w:b/>
          <w:color w:val="auto"/>
          <w:sz w:val="28"/>
          <w:szCs w:val="28"/>
          <w:highlight w:val="none"/>
          <w:lang w:val="zh-CN"/>
        </w:rPr>
        <w:t>.</w:t>
      </w:r>
      <w:r>
        <w:rPr>
          <w:rFonts w:hint="eastAsia" w:cs="Times New Roman"/>
          <w:b/>
          <w:color w:val="auto"/>
          <w:sz w:val="28"/>
          <w:szCs w:val="28"/>
          <w:highlight w:val="none"/>
        </w:rPr>
        <w:t>2 项目概述</w:t>
      </w:r>
      <w:bookmarkEnd w:id="1888"/>
      <w:bookmarkEnd w:id="1889"/>
      <w:bookmarkEnd w:id="1890"/>
      <w:bookmarkEnd w:id="1891"/>
      <w:bookmarkEnd w:id="1892"/>
      <w:bookmarkEnd w:id="1893"/>
    </w:p>
    <w:p w14:paraId="2946893B">
      <w:pPr>
        <w:keepNext/>
        <w:keepLines/>
        <w:numPr>
          <w:ilvl w:val="2"/>
          <w:numId w:val="0"/>
        </w:numPr>
        <w:shd w:val="clear"/>
        <w:adjustRightInd w:val="0"/>
        <w:spacing w:before="120"/>
        <w:textAlignment w:val="baseline"/>
        <w:outlineLvl w:val="2"/>
        <w:rPr>
          <w:rFonts w:ascii="Times New Roman" w:hAnsi="Times New Roman" w:cs="Times New Roman"/>
          <w:bCs/>
          <w:color w:val="auto"/>
          <w:kern w:val="0"/>
          <w:highlight w:val="none"/>
        </w:rPr>
      </w:pPr>
      <w:bookmarkStart w:id="1894" w:name="_Toc71067753"/>
      <w:bookmarkStart w:id="1895" w:name="_Toc6197"/>
      <w:r>
        <w:rPr>
          <w:rFonts w:hint="eastAsia" w:ascii="Times New Roman" w:hAnsi="Times New Roman" w:cs="Times New Roman"/>
          <w:bCs/>
          <w:color w:val="auto"/>
          <w:kern w:val="0"/>
          <w:highlight w:val="none"/>
        </w:rPr>
        <w:t>19.2</w:t>
      </w:r>
      <w:r>
        <w:rPr>
          <w:rFonts w:ascii="Times New Roman" w:hAnsi="Times New Roman" w:cs="Times New Roman"/>
          <w:bCs/>
          <w:color w:val="auto"/>
          <w:kern w:val="0"/>
          <w:highlight w:val="none"/>
          <w:lang w:val="zh-CN"/>
        </w:rPr>
        <w:t>.1</w:t>
      </w:r>
      <w:bookmarkEnd w:id="1894"/>
      <w:r>
        <w:rPr>
          <w:rFonts w:hint="eastAsia" w:ascii="Times New Roman" w:hAnsi="Times New Roman" w:cs="Times New Roman"/>
          <w:bCs/>
          <w:color w:val="auto"/>
          <w:kern w:val="0"/>
          <w:highlight w:val="none"/>
        </w:rPr>
        <w:t>项目位置</w:t>
      </w:r>
      <w:bookmarkEnd w:id="1895"/>
    </w:p>
    <w:p w14:paraId="0E33A714">
      <w:pPr>
        <w:shd w:val="clear"/>
        <w:jc w:val="both"/>
        <w:rPr>
          <w:rFonts w:ascii="Times New Roman" w:hAnsi="Times New Roman" w:cs="Times New Roman"/>
          <w:color w:val="auto"/>
          <w:highlight w:val="none"/>
        </w:rPr>
      </w:pPr>
      <w:r>
        <w:rPr>
          <w:rFonts w:ascii="Times New Roman" w:hAnsi="Times New Roman" w:cs="Times New Roman"/>
          <w:color w:val="auto"/>
          <w:highlight w:val="none"/>
        </w:rPr>
        <w:t>酒钢</w:t>
      </w:r>
      <w:r>
        <w:rPr>
          <w:rFonts w:hint="eastAsia" w:ascii="Times New Roman" w:hAnsi="Times New Roman" w:cs="Times New Roman"/>
          <w:color w:val="auto"/>
          <w:highlight w:val="none"/>
        </w:rPr>
        <w:t>本部宏兴股份公司</w:t>
      </w:r>
      <w:r>
        <w:rPr>
          <w:rFonts w:ascii="Times New Roman" w:hAnsi="Times New Roman" w:cs="Times New Roman"/>
          <w:color w:val="auto"/>
          <w:highlight w:val="none"/>
        </w:rPr>
        <w:t>位于甘肃省嘉峪关市的东北部，兰新铁路东侧，距嘉峪关市中心约2公里。</w:t>
      </w:r>
    </w:p>
    <w:p w14:paraId="1B439124">
      <w:pPr>
        <w:shd w:val="clear"/>
        <w:autoSpaceDE w:val="0"/>
        <w:autoSpaceDN w:val="0"/>
        <w:ind w:firstLine="0" w:firstLineChars="0"/>
        <w:jc w:val="center"/>
        <w:textAlignment w:val="baseline"/>
        <w:rPr>
          <w:rFonts w:ascii="Times New Roman" w:hAnsi="Times New Roman" w:cs="Times New Roman"/>
          <w:b/>
          <w:color w:val="auto"/>
          <w:kern w:val="0"/>
          <w:sz w:val="28"/>
          <w:szCs w:val="28"/>
          <w:highlight w:val="none"/>
          <w:lang w:val="en-GB"/>
        </w:rPr>
      </w:pPr>
      <w:r>
        <w:rPr>
          <w:rFonts w:ascii="Tahoma" w:hAnsi="Tahoma" w:cs="Times New Roman"/>
          <w:color w:val="auto"/>
          <w:kern w:val="0"/>
          <w:sz w:val="28"/>
          <w:szCs w:val="28"/>
          <w:highlight w:val="none"/>
        </w:rPr>
        <w:drawing>
          <wp:inline distT="0" distB="0" distL="114300" distR="114300">
            <wp:extent cx="2416810" cy="1908175"/>
            <wp:effectExtent l="0" t="0" r="8890" b="9525"/>
            <wp:docPr id="53" name="图片 84"/>
            <wp:cNvGraphicFramePr/>
            <a:graphic xmlns:a="http://schemas.openxmlformats.org/drawingml/2006/main">
              <a:graphicData uri="http://schemas.openxmlformats.org/drawingml/2006/picture">
                <pic:pic xmlns:pic="http://schemas.openxmlformats.org/drawingml/2006/picture">
                  <pic:nvPicPr>
                    <pic:cNvPr id="53" name="图片 84"/>
                    <pic:cNvPicPr/>
                  </pic:nvPicPr>
                  <pic:blipFill>
                    <a:blip r:embed="rId16" cstate="print"/>
                    <a:stretch>
                      <a:fillRect/>
                    </a:stretch>
                  </pic:blipFill>
                  <pic:spPr>
                    <a:xfrm>
                      <a:off x="0" y="0"/>
                      <a:ext cx="2417318" cy="1908302"/>
                    </a:xfrm>
                    <a:prstGeom prst="rect">
                      <a:avLst/>
                    </a:prstGeom>
                    <a:noFill/>
                    <a:ln>
                      <a:noFill/>
                    </a:ln>
                  </pic:spPr>
                </pic:pic>
              </a:graphicData>
            </a:graphic>
          </wp:inline>
        </w:drawing>
      </w:r>
      <w:r>
        <w:rPr>
          <w:rFonts w:ascii="Tahoma" w:hAnsi="Tahoma" w:cs="Times New Roman"/>
          <w:color w:val="auto"/>
          <w:kern w:val="0"/>
          <w:szCs w:val="20"/>
          <w:highlight w:val="none"/>
        </w:rPr>
        <w:drawing>
          <wp:inline distT="0" distB="0" distL="114300" distR="114300">
            <wp:extent cx="2818130" cy="1906905"/>
            <wp:effectExtent l="0" t="0" r="1270" b="10795"/>
            <wp:docPr id="56" name="图片 7"/>
            <wp:cNvGraphicFramePr/>
            <a:graphic xmlns:a="http://schemas.openxmlformats.org/drawingml/2006/main">
              <a:graphicData uri="http://schemas.openxmlformats.org/drawingml/2006/picture">
                <pic:pic xmlns:pic="http://schemas.openxmlformats.org/drawingml/2006/picture">
                  <pic:nvPicPr>
                    <pic:cNvPr id="56" name="图片 7"/>
                    <pic:cNvPicPr/>
                  </pic:nvPicPr>
                  <pic:blipFill>
                    <a:blip r:embed="rId17" cstate="print"/>
                    <a:stretch>
                      <a:fillRect/>
                    </a:stretch>
                  </pic:blipFill>
                  <pic:spPr>
                    <a:xfrm>
                      <a:off x="0" y="0"/>
                      <a:ext cx="2818638" cy="1907413"/>
                    </a:xfrm>
                    <a:prstGeom prst="rect">
                      <a:avLst/>
                    </a:prstGeom>
                    <a:noFill/>
                    <a:ln>
                      <a:noFill/>
                    </a:ln>
                  </pic:spPr>
                </pic:pic>
              </a:graphicData>
            </a:graphic>
          </wp:inline>
        </w:drawing>
      </w:r>
    </w:p>
    <w:p w14:paraId="084D229F">
      <w:pPr>
        <w:shd w:val="clear"/>
        <w:ind w:firstLine="0" w:firstLineChars="0"/>
        <w:jc w:val="center"/>
        <w:rPr>
          <w:rFonts w:ascii="Times New Roman" w:hAnsi="Times New Roman" w:eastAsia="黑体" w:cs="Times New Roman"/>
          <w:bCs/>
          <w:color w:val="auto"/>
          <w:highlight w:val="none"/>
        </w:rPr>
      </w:pPr>
      <w:r>
        <w:rPr>
          <w:rFonts w:ascii="Times New Roman" w:hAnsi="Times New Roman" w:eastAsia="黑体" w:cs="Times New Roman"/>
          <w:bCs/>
          <w:color w:val="auto"/>
          <w:highlight w:val="none"/>
        </w:rPr>
        <w:t>图</w:t>
      </w:r>
      <w:r>
        <w:rPr>
          <w:rFonts w:hint="eastAsia" w:ascii="Times New Roman" w:hAnsi="Times New Roman" w:eastAsia="黑体" w:cs="Times New Roman"/>
          <w:bCs/>
          <w:color w:val="auto"/>
          <w:highlight w:val="none"/>
        </w:rPr>
        <w:t>19.2</w:t>
      </w:r>
      <w:r>
        <w:rPr>
          <w:rFonts w:ascii="Times New Roman" w:hAnsi="Times New Roman" w:eastAsia="黑体" w:cs="Times New Roman"/>
          <w:bCs/>
          <w:color w:val="auto"/>
          <w:highlight w:val="none"/>
        </w:rPr>
        <w:t>-1  酒钢地理位置图</w:t>
      </w:r>
    </w:p>
    <w:p w14:paraId="6E6A2D2C">
      <w:pPr>
        <w:shd w:val="clear"/>
        <w:jc w:val="both"/>
        <w:rPr>
          <w:rFonts w:ascii="Times New Roman" w:hAnsi="Times New Roman" w:cs="Times New Roman"/>
          <w:color w:val="auto"/>
          <w:highlight w:val="none"/>
        </w:rPr>
      </w:pPr>
      <w:r>
        <w:rPr>
          <w:rFonts w:hint="eastAsia" w:ascii="Times New Roman" w:hAnsi="Times New Roman" w:cs="Times New Roman"/>
          <w:color w:val="auto"/>
          <w:highlight w:val="none"/>
        </w:rPr>
        <w:t>本工程厂址位于酒钢的中部，酒钢现有2号高炉厂址区域。北面为18号公路，南面为14号公路及规划新3号高炉。</w:t>
      </w:r>
    </w:p>
    <w:p w14:paraId="2B3638A8">
      <w:pPr>
        <w:shd w:val="clear"/>
        <w:autoSpaceDE w:val="0"/>
        <w:autoSpaceDN w:val="0"/>
        <w:ind w:firstLine="0" w:firstLineChars="0"/>
        <w:jc w:val="center"/>
        <w:textAlignment w:val="baseline"/>
        <w:rPr>
          <w:rFonts w:ascii="Times New Roman" w:hAnsi="Times New Roman" w:cs="Times New Roman"/>
          <w:b/>
          <w:color w:val="auto"/>
          <w:kern w:val="0"/>
          <w:sz w:val="28"/>
          <w:szCs w:val="28"/>
          <w:highlight w:val="none"/>
          <w:lang w:val="en-GB"/>
        </w:rPr>
      </w:pPr>
      <w:r>
        <w:rPr>
          <w:rFonts w:ascii="Tahoma" w:hAnsi="Tahoma" w:cs="Times New Roman"/>
          <w:color w:val="auto"/>
          <w:kern w:val="0"/>
          <w:szCs w:val="20"/>
          <w:highlight w:val="none"/>
        </w:rPr>
        <w:drawing>
          <wp:inline distT="0" distB="0" distL="114300" distR="114300">
            <wp:extent cx="5309870" cy="3190240"/>
            <wp:effectExtent l="9525" t="9525" r="14605" b="13335"/>
            <wp:docPr id="59" name="图片 8"/>
            <wp:cNvGraphicFramePr/>
            <a:graphic xmlns:a="http://schemas.openxmlformats.org/drawingml/2006/main">
              <a:graphicData uri="http://schemas.openxmlformats.org/drawingml/2006/picture">
                <pic:pic xmlns:pic="http://schemas.openxmlformats.org/drawingml/2006/picture">
                  <pic:nvPicPr>
                    <pic:cNvPr id="59" name="图片 8"/>
                    <pic:cNvPicPr/>
                  </pic:nvPicPr>
                  <pic:blipFill>
                    <a:blip r:embed="rId19" cstate="print"/>
                    <a:stretch>
                      <a:fillRect/>
                    </a:stretch>
                  </pic:blipFill>
                  <pic:spPr>
                    <a:xfrm>
                      <a:off x="0" y="0"/>
                      <a:ext cx="5309997" cy="3190240"/>
                    </a:xfrm>
                    <a:prstGeom prst="rect">
                      <a:avLst/>
                    </a:prstGeom>
                    <a:noFill/>
                    <a:ln w="6350">
                      <a:solidFill>
                        <a:srgbClr val="000000"/>
                      </a:solidFill>
                    </a:ln>
                  </pic:spPr>
                </pic:pic>
              </a:graphicData>
            </a:graphic>
          </wp:inline>
        </w:drawing>
      </w:r>
    </w:p>
    <w:p w14:paraId="50C2DFDE">
      <w:pPr>
        <w:shd w:val="clear"/>
        <w:ind w:firstLine="0" w:firstLineChars="0"/>
        <w:jc w:val="center"/>
        <w:rPr>
          <w:rFonts w:ascii="Times New Roman" w:hAnsi="Times New Roman" w:eastAsia="黑体" w:cs="Times New Roman"/>
          <w:bCs/>
          <w:color w:val="auto"/>
          <w:highlight w:val="none"/>
        </w:rPr>
      </w:pPr>
      <w:r>
        <w:rPr>
          <w:rFonts w:hint="eastAsia" w:ascii="Times New Roman" w:hAnsi="Times New Roman" w:eastAsia="黑体" w:cs="Times New Roman"/>
          <w:bCs/>
          <w:color w:val="auto"/>
          <w:highlight w:val="none"/>
        </w:rPr>
        <w:t xml:space="preserve">图19.2-2 </w:t>
      </w:r>
      <w:r>
        <w:rPr>
          <w:rFonts w:ascii="Times New Roman" w:hAnsi="Times New Roman" w:eastAsia="黑体" w:cs="Times New Roman"/>
          <w:bCs/>
          <w:color w:val="auto"/>
          <w:highlight w:val="none"/>
        </w:rPr>
        <w:t xml:space="preserve"> </w:t>
      </w:r>
      <w:r>
        <w:rPr>
          <w:rFonts w:hint="eastAsia" w:ascii="Times New Roman" w:hAnsi="Times New Roman" w:eastAsia="黑体" w:cs="Times New Roman"/>
          <w:bCs/>
          <w:color w:val="auto"/>
          <w:highlight w:val="none"/>
        </w:rPr>
        <w:t>2号</w:t>
      </w:r>
      <w:r>
        <w:rPr>
          <w:rFonts w:ascii="Times New Roman" w:hAnsi="Times New Roman" w:eastAsia="黑体" w:cs="Times New Roman"/>
          <w:bCs/>
          <w:color w:val="auto"/>
          <w:highlight w:val="none"/>
        </w:rPr>
        <w:t>高炉</w:t>
      </w:r>
      <w:r>
        <w:rPr>
          <w:rFonts w:hint="eastAsia" w:ascii="Times New Roman" w:hAnsi="Times New Roman" w:eastAsia="黑体" w:cs="Times New Roman"/>
          <w:bCs/>
          <w:color w:val="auto"/>
          <w:highlight w:val="none"/>
        </w:rPr>
        <w:t>在酒钢厂区的</w:t>
      </w:r>
      <w:r>
        <w:rPr>
          <w:rFonts w:ascii="Times New Roman" w:hAnsi="Times New Roman" w:eastAsia="黑体" w:cs="Times New Roman"/>
          <w:bCs/>
          <w:color w:val="auto"/>
          <w:highlight w:val="none"/>
        </w:rPr>
        <w:t>位置图</w:t>
      </w:r>
    </w:p>
    <w:p w14:paraId="29F31943">
      <w:pPr>
        <w:keepNext/>
        <w:keepLines/>
        <w:numPr>
          <w:ilvl w:val="2"/>
          <w:numId w:val="0"/>
        </w:numPr>
        <w:shd w:val="clear"/>
        <w:adjustRightInd w:val="0"/>
        <w:spacing w:before="120"/>
        <w:textAlignment w:val="baseline"/>
        <w:outlineLvl w:val="2"/>
        <w:rPr>
          <w:rFonts w:ascii="Times New Roman" w:hAnsi="Times New Roman" w:cs="Times New Roman"/>
          <w:bCs/>
          <w:color w:val="auto"/>
          <w:kern w:val="0"/>
          <w:highlight w:val="none"/>
        </w:rPr>
      </w:pPr>
      <w:bookmarkStart w:id="1896" w:name="_Toc16000"/>
      <w:r>
        <w:rPr>
          <w:rFonts w:hint="eastAsia" w:ascii="Times New Roman" w:hAnsi="Times New Roman" w:cs="Times New Roman"/>
          <w:bCs/>
          <w:color w:val="auto"/>
          <w:kern w:val="0"/>
          <w:highlight w:val="none"/>
        </w:rPr>
        <w:t>19.2.2自然条件</w:t>
      </w:r>
      <w:bookmarkEnd w:id="1896"/>
    </w:p>
    <w:p w14:paraId="7B8A4EE7">
      <w:pPr>
        <w:shd w:val="clear"/>
        <w:jc w:val="both"/>
        <w:rPr>
          <w:rFonts w:ascii="Times New Roman" w:hAnsi="Times New Roman" w:cs="Times New Roman"/>
          <w:color w:val="auto"/>
          <w:highlight w:val="none"/>
        </w:rPr>
      </w:pPr>
      <w:bookmarkStart w:id="1897" w:name="_Toc23627"/>
      <w:r>
        <w:rPr>
          <w:rFonts w:hint="eastAsia" w:ascii="Times New Roman" w:hAnsi="Times New Roman" w:cs="Times New Roman"/>
          <w:color w:val="auto"/>
          <w:highlight w:val="none"/>
        </w:rPr>
        <w:t>项目区地貌属于祁连山山前冲洪积平原区；气候类型为温带大陆性气候，多年平均气温7.6℃，年均降水量81.5mm，蒸发量2149mm，年均风速2.3m/s，最大冻土层深度为135cm；土壤类型以灰棕荒漠土和风沙土为主；植被类型属荒漠草原植被类型，植被稀疏，植被覆盖率约为5%；土壤侵蚀以微度风力侵蚀为主，容许土壤流失量200</w:t>
      </w:r>
      <w:r>
        <w:rPr>
          <w:rFonts w:ascii="Times New Roman" w:hAnsi="Times New Roman" w:cs="Times New Roman"/>
          <w:color w:val="auto"/>
          <w:highlight w:val="none"/>
        </w:rPr>
        <w:t>t/km</w:t>
      </w:r>
      <w:r>
        <w:rPr>
          <w:rFonts w:ascii="Times New Roman" w:hAnsi="Times New Roman" w:cs="Times New Roman"/>
          <w:color w:val="auto"/>
          <w:highlight w:val="none"/>
          <w:vertAlign w:val="superscript"/>
        </w:rPr>
        <w:t>2</w:t>
      </w:r>
      <w:r>
        <w:rPr>
          <w:rFonts w:ascii="Times New Roman" w:hAnsi="Times New Roman" w:cs="Times New Roman"/>
          <w:color w:val="auto"/>
          <w:highlight w:val="none"/>
        </w:rPr>
        <w:t>·a</w:t>
      </w:r>
      <w:r>
        <w:rPr>
          <w:rFonts w:hint="eastAsia" w:ascii="Times New Roman" w:hAnsi="Times New Roman" w:cs="Times New Roman"/>
          <w:color w:val="auto"/>
          <w:highlight w:val="none"/>
        </w:rPr>
        <w:t>。项目所在地属于嘉峪关市峪泉镇，属于甘肃省省级水土流失重点治理区。本工程位于“</w:t>
      </w:r>
      <w:r>
        <w:rPr>
          <w:rFonts w:ascii="Times New Roman" w:hAnsi="Times New Roman" w:cs="Times New Roman"/>
          <w:color w:val="auto"/>
          <w:highlight w:val="none"/>
        </w:rPr>
        <w:t>Ⅱ-</w:t>
      </w:r>
      <w:r>
        <w:rPr>
          <w:rFonts w:hint="eastAsia" w:ascii="Times New Roman" w:hAnsi="Times New Roman" w:cs="Times New Roman"/>
          <w:color w:val="auto"/>
          <w:highlight w:val="none"/>
        </w:rPr>
        <w:t>2-2nf，河西走廊农田防护防沙区”，工程位于嘉峪关市酒钢本部厂区内，工程不涉及其他环境敏感点。</w:t>
      </w:r>
    </w:p>
    <w:p w14:paraId="10A5D52D">
      <w:pPr>
        <w:widowControl/>
        <w:shd w:val="clear"/>
        <w:tabs>
          <w:tab w:val="left" w:pos="488"/>
        </w:tabs>
        <w:spacing w:before="156" w:beforeLines="50"/>
        <w:ind w:firstLine="280"/>
        <w:jc w:val="center"/>
        <w:rPr>
          <w:rFonts w:ascii="Arial" w:hAnsi="Arial" w:cs="Times New Roman"/>
          <w:color w:val="auto"/>
          <w:spacing w:val="20"/>
          <w:sz w:val="14"/>
          <w:szCs w:val="20"/>
          <w:highlight w:val="none"/>
        </w:rPr>
      </w:pPr>
      <w:r>
        <w:rPr>
          <w:rFonts w:ascii="Arial" w:hAnsi="Arial" w:cs="Times New Roman"/>
          <w:color w:val="auto"/>
          <w:spacing w:val="20"/>
          <w:sz w:val="14"/>
          <w:szCs w:val="20"/>
          <w:highlight w:val="none"/>
        </w:rPr>
        <w:drawing>
          <wp:inline distT="0" distB="0" distL="0" distR="0">
            <wp:extent cx="5292090" cy="3559810"/>
            <wp:effectExtent l="9525" t="9525" r="13335" b="12065"/>
            <wp:docPr id="1" name="图片 1" descr="F:\酒钢\水土保持\参考\酒钢本部炼铁工艺装备三化升级改造项目水土保持方案报告书\酒钢本部炼铁工艺装备三化升级改造项目水土保持方案报告书\附图\附图2项目区水系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酒钢\水土保持\参考\酒钢本部炼铁工艺装备三化升级改造项目水土保持方案报告书\酒钢本部炼铁工艺装备三化升级改造项目水土保持方案报告书\附图\附图2项目区水系图.jpg"/>
                    <pic:cNvPicPr>
                      <a:picLocks noChangeAspect="1" noChangeArrowheads="1"/>
                    </pic:cNvPicPr>
                  </pic:nvPicPr>
                  <pic:blipFill>
                    <a:blip r:embed="rId20" cstate="print"/>
                    <a:srcRect l="9869" t="12835" r="11527" b="12286"/>
                    <a:stretch>
                      <a:fillRect/>
                    </a:stretch>
                  </pic:blipFill>
                  <pic:spPr>
                    <a:xfrm>
                      <a:off x="0" y="0"/>
                      <a:ext cx="5292090" cy="3559810"/>
                    </a:xfrm>
                    <a:prstGeom prst="rect">
                      <a:avLst/>
                    </a:prstGeom>
                    <a:noFill/>
                    <a:ln w="6350" cmpd="sng">
                      <a:solidFill>
                        <a:srgbClr val="000000"/>
                      </a:solidFill>
                      <a:miter lim="800000"/>
                      <a:headEnd/>
                      <a:tailEnd/>
                    </a:ln>
                    <a:effectLst/>
                  </pic:spPr>
                </pic:pic>
              </a:graphicData>
            </a:graphic>
          </wp:inline>
        </w:drawing>
      </w:r>
    </w:p>
    <w:p w14:paraId="67067F3A">
      <w:pPr>
        <w:shd w:val="clear"/>
        <w:jc w:val="center"/>
        <w:rPr>
          <w:rFonts w:ascii="Times New Roman" w:hAnsi="Times New Roman" w:eastAsia="黑体" w:cs="Times New Roman"/>
          <w:bCs/>
          <w:color w:val="auto"/>
          <w:highlight w:val="none"/>
        </w:rPr>
      </w:pPr>
      <w:r>
        <w:rPr>
          <w:rFonts w:hint="eastAsia" w:ascii="Times New Roman" w:hAnsi="Times New Roman" w:eastAsia="黑体" w:cs="Times New Roman"/>
          <w:bCs/>
          <w:color w:val="auto"/>
          <w:highlight w:val="none"/>
        </w:rPr>
        <w:t>图19.2-3  项目所在区水系图</w:t>
      </w:r>
    </w:p>
    <w:p w14:paraId="611E0960">
      <w:pPr>
        <w:widowControl/>
        <w:shd w:val="clear"/>
        <w:tabs>
          <w:tab w:val="left" w:pos="488"/>
        </w:tabs>
        <w:spacing w:before="156" w:beforeLines="50"/>
        <w:ind w:firstLine="280"/>
        <w:jc w:val="center"/>
        <w:rPr>
          <w:rFonts w:ascii="Arial" w:hAnsi="Arial" w:cs="Times New Roman"/>
          <w:color w:val="auto"/>
          <w:spacing w:val="20"/>
          <w:sz w:val="14"/>
          <w:szCs w:val="20"/>
          <w:highlight w:val="none"/>
        </w:rPr>
      </w:pPr>
      <w:r>
        <w:rPr>
          <w:rFonts w:ascii="Arial" w:hAnsi="Arial" w:cs="Times New Roman"/>
          <w:color w:val="auto"/>
          <w:spacing w:val="20"/>
          <w:sz w:val="14"/>
          <w:szCs w:val="20"/>
          <w:highlight w:val="none"/>
        </w:rPr>
        <w:drawing>
          <wp:inline distT="0" distB="0" distL="0" distR="0">
            <wp:extent cx="5292090" cy="3553460"/>
            <wp:effectExtent l="12700" t="12700" r="29210" b="15240"/>
            <wp:docPr id="3" name="图片 3" descr="F:\酒钢\水土保持\参考\酒钢本部炼铁工艺装备三化升级改造项目水土保持方案报告书\酒钢本部炼铁工艺装备三化升级改造项目水土保持方案报告书\附图\附图3地貌类型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酒钢\水土保持\参考\酒钢本部炼铁工艺装备三化升级改造项目水土保持方案报告书\酒钢本部炼铁工艺装备三化升级改造项目水土保持方案报告书\附图\附图3地貌类型图.jpg"/>
                    <pic:cNvPicPr>
                      <a:picLocks noChangeAspect="1" noChangeArrowheads="1"/>
                    </pic:cNvPicPr>
                  </pic:nvPicPr>
                  <pic:blipFill>
                    <a:blip r:embed="rId21" cstate="print"/>
                    <a:srcRect l="4572" t="9667" r="4930" b="3197"/>
                    <a:stretch>
                      <a:fillRect/>
                    </a:stretch>
                  </pic:blipFill>
                  <pic:spPr>
                    <a:xfrm>
                      <a:off x="0" y="0"/>
                      <a:ext cx="5292090" cy="3553460"/>
                    </a:xfrm>
                    <a:prstGeom prst="rect">
                      <a:avLst/>
                    </a:prstGeom>
                    <a:noFill/>
                    <a:ln w="12700" cmpd="sng">
                      <a:solidFill>
                        <a:srgbClr val="000000"/>
                      </a:solidFill>
                      <a:miter lim="800000"/>
                      <a:headEnd/>
                      <a:tailEnd/>
                    </a:ln>
                    <a:effectLst/>
                  </pic:spPr>
                </pic:pic>
              </a:graphicData>
            </a:graphic>
          </wp:inline>
        </w:drawing>
      </w:r>
    </w:p>
    <w:p w14:paraId="4E33F8F0">
      <w:pPr>
        <w:shd w:val="clear"/>
        <w:jc w:val="center"/>
        <w:rPr>
          <w:rFonts w:ascii="Times New Roman" w:hAnsi="Times New Roman" w:eastAsia="黑体" w:cs="Times New Roman"/>
          <w:bCs/>
          <w:color w:val="auto"/>
          <w:highlight w:val="none"/>
        </w:rPr>
      </w:pPr>
      <w:r>
        <w:rPr>
          <w:rFonts w:hint="eastAsia" w:ascii="Times New Roman" w:hAnsi="Times New Roman" w:eastAsia="黑体" w:cs="Times New Roman"/>
          <w:bCs/>
          <w:color w:val="auto"/>
          <w:highlight w:val="none"/>
        </w:rPr>
        <w:t>图19.2-4  项目所在区地貌类型图</w:t>
      </w:r>
    </w:p>
    <w:p w14:paraId="7617C0DB">
      <w:pPr>
        <w:shd w:val="clear"/>
        <w:ind w:firstLine="420"/>
        <w:jc w:val="center"/>
        <w:rPr>
          <w:rFonts w:ascii="Times New Roman" w:hAnsi="Times New Roman" w:cs="Times New Roman"/>
          <w:color w:val="auto"/>
          <w:sz w:val="21"/>
          <w:highlight w:val="none"/>
        </w:rPr>
      </w:pPr>
      <w:r>
        <w:rPr>
          <w:rFonts w:ascii="Times New Roman" w:hAnsi="Times New Roman" w:cs="Times New Roman"/>
          <w:color w:val="auto"/>
          <w:sz w:val="21"/>
          <w:highlight w:val="none"/>
        </w:rPr>
        <w:drawing>
          <wp:inline distT="0" distB="0" distL="0" distR="0">
            <wp:extent cx="5274310" cy="5027930"/>
            <wp:effectExtent l="12700" t="12700" r="27940" b="26670"/>
            <wp:docPr id="19" name="图片 3" descr="F:\酒钢\水土保持\参考\酒钢本部炼铁工艺装备三化升级改造项目水土保持方案报告书\酒钢本部炼铁工艺装备三化升级改造项目水土保持方案报告书\附图\附图4土壤侵蚀类型图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F:\酒钢\水土保持\参考\酒钢本部炼铁工艺装备三化升级改造项目水土保持方案报告书\酒钢本部炼铁工艺装备三化升级改造项目水土保持方案报告书\附图\附图4土壤侵蚀类型图 .jpg"/>
                    <pic:cNvPicPr>
                      <a:picLocks noChangeAspect="1" noChangeArrowheads="1"/>
                    </pic:cNvPicPr>
                  </pic:nvPicPr>
                  <pic:blipFill>
                    <a:blip r:embed="rId22"/>
                    <a:srcRect l="9864" t="9108" r="12512" b="6676"/>
                    <a:stretch>
                      <a:fillRect/>
                    </a:stretch>
                  </pic:blipFill>
                  <pic:spPr>
                    <a:xfrm>
                      <a:off x="0" y="0"/>
                      <a:ext cx="5274310" cy="5027930"/>
                    </a:xfrm>
                    <a:prstGeom prst="rect">
                      <a:avLst/>
                    </a:prstGeom>
                    <a:noFill/>
                    <a:ln w="12700" cap="flat" cmpd="sng" algn="ctr">
                      <a:solidFill>
                        <a:srgbClr val="000000"/>
                      </a:solidFill>
                      <a:prstDash val="solid"/>
                      <a:miter lim="800000"/>
                      <a:headEnd type="none" w="med" len="med"/>
                      <a:tailEnd type="none" w="med" len="med"/>
                    </a:ln>
                    <a:effectLst/>
                  </pic:spPr>
                </pic:pic>
              </a:graphicData>
            </a:graphic>
          </wp:inline>
        </w:drawing>
      </w:r>
    </w:p>
    <w:p w14:paraId="5CC1AB12">
      <w:pPr>
        <w:shd w:val="clear"/>
        <w:jc w:val="center"/>
        <w:rPr>
          <w:rFonts w:ascii="Times New Roman" w:hAnsi="Times New Roman" w:eastAsia="黑体" w:cs="Times New Roman"/>
          <w:bCs/>
          <w:color w:val="auto"/>
          <w:highlight w:val="none"/>
        </w:rPr>
      </w:pPr>
      <w:r>
        <w:rPr>
          <w:rFonts w:hint="eastAsia" w:ascii="Times New Roman" w:hAnsi="Times New Roman" w:eastAsia="黑体" w:cs="Times New Roman"/>
          <w:bCs/>
          <w:color w:val="auto"/>
          <w:highlight w:val="none"/>
        </w:rPr>
        <w:t>图19.2-5  项目所在区土壤侵蚀类型图</w:t>
      </w:r>
    </w:p>
    <w:p w14:paraId="71C90C46">
      <w:pPr>
        <w:keepNext/>
        <w:keepLines/>
        <w:numPr>
          <w:ilvl w:val="2"/>
          <w:numId w:val="0"/>
        </w:numPr>
        <w:shd w:val="clear"/>
        <w:adjustRightInd w:val="0"/>
        <w:spacing w:before="120"/>
        <w:textAlignment w:val="baseline"/>
        <w:outlineLvl w:val="2"/>
        <w:rPr>
          <w:rFonts w:ascii="Times New Roman" w:hAnsi="Times New Roman" w:cs="Times New Roman"/>
          <w:color w:val="auto"/>
          <w:highlight w:val="none"/>
        </w:rPr>
      </w:pPr>
      <w:r>
        <w:rPr>
          <w:rFonts w:hint="eastAsia" w:ascii="Times New Roman" w:hAnsi="Times New Roman" w:cs="Times New Roman"/>
          <w:color w:val="auto"/>
          <w:highlight w:val="none"/>
        </w:rPr>
        <w:t>19.2.3方案设计水平年</w:t>
      </w:r>
    </w:p>
    <w:p w14:paraId="776A4D00">
      <w:pPr>
        <w:shd w:val="clear"/>
        <w:wordWrap w:val="0"/>
        <w:rPr>
          <w:rFonts w:ascii="Times New Roman" w:hAnsi="Times New Roman" w:cs="Times New Roman"/>
          <w:bCs/>
          <w:color w:val="auto"/>
          <w:highlight w:val="none"/>
        </w:rPr>
      </w:pPr>
      <w:r>
        <w:rPr>
          <w:rFonts w:ascii="Times New Roman" w:hAnsi="Times New Roman" w:cs="Times New Roman"/>
          <w:bCs/>
          <w:color w:val="auto"/>
          <w:highlight w:val="none"/>
        </w:rPr>
        <w:t>本工程属于建设生产类项目，按照水土保持“三同时”（即：水土保持方案确定的各项水土流失防治措施均应与主体工程同时设计、同时施工、同进投产使用）的要求和“建设生产类项目水土保持方案设计水平年为项目投产后的当年或投产后的第1年”的规定。届时方案确定的各项防治措施布设到位，能稳定存续、发挥或初步发挥水土保持功能（工程措施均已布设完备），达到方案确定的防治目标，满足水土保持工程验收的要求。本工程计划202</w:t>
      </w:r>
      <w:r>
        <w:rPr>
          <w:rFonts w:hint="eastAsia" w:ascii="Times New Roman" w:hAnsi="Times New Roman" w:cs="Times New Roman"/>
          <w:bCs/>
          <w:color w:val="auto"/>
          <w:highlight w:val="none"/>
        </w:rPr>
        <w:t>5</w:t>
      </w:r>
      <w:r>
        <w:rPr>
          <w:rFonts w:ascii="Times New Roman" w:hAnsi="Times New Roman" w:cs="Times New Roman"/>
          <w:bCs/>
          <w:color w:val="auto"/>
          <w:highlight w:val="none"/>
        </w:rPr>
        <w:t>年</w:t>
      </w:r>
      <w:r>
        <w:rPr>
          <w:rFonts w:hint="eastAsia" w:ascii="Times New Roman" w:hAnsi="Times New Roman" w:cs="Times New Roman"/>
          <w:bCs/>
          <w:color w:val="auto"/>
          <w:highlight w:val="none"/>
        </w:rPr>
        <w:t>3月</w:t>
      </w:r>
      <w:r>
        <w:rPr>
          <w:rFonts w:ascii="Times New Roman" w:hAnsi="Times New Roman" w:cs="Times New Roman"/>
          <w:bCs/>
          <w:color w:val="auto"/>
          <w:highlight w:val="none"/>
        </w:rPr>
        <w:t>开工，项目建设期为6.5个月。因此，确定本方案的设计水平年为202</w:t>
      </w:r>
      <w:r>
        <w:rPr>
          <w:rFonts w:hint="eastAsia" w:ascii="Times New Roman" w:hAnsi="Times New Roman" w:cs="Times New Roman"/>
          <w:bCs/>
          <w:color w:val="auto"/>
          <w:highlight w:val="none"/>
        </w:rPr>
        <w:t>5</w:t>
      </w:r>
      <w:r>
        <w:rPr>
          <w:rFonts w:ascii="Times New Roman" w:hAnsi="Times New Roman" w:cs="Times New Roman"/>
          <w:bCs/>
          <w:color w:val="auto"/>
          <w:highlight w:val="none"/>
        </w:rPr>
        <w:t>年。</w:t>
      </w:r>
    </w:p>
    <w:p w14:paraId="04D0C4E1">
      <w:pPr>
        <w:keepNext/>
        <w:keepLines/>
        <w:numPr>
          <w:ilvl w:val="2"/>
          <w:numId w:val="0"/>
        </w:numPr>
        <w:shd w:val="clear"/>
        <w:adjustRightInd w:val="0"/>
        <w:spacing w:before="120"/>
        <w:textAlignment w:val="baseline"/>
        <w:outlineLvl w:val="2"/>
        <w:rPr>
          <w:rFonts w:ascii="Times New Roman" w:hAnsi="Times New Roman" w:cs="Times New Roman"/>
          <w:color w:val="auto"/>
          <w:highlight w:val="none"/>
        </w:rPr>
      </w:pPr>
      <w:r>
        <w:rPr>
          <w:rFonts w:hint="eastAsia" w:ascii="Times New Roman" w:hAnsi="Times New Roman" w:cs="Times New Roman"/>
          <w:color w:val="auto"/>
          <w:highlight w:val="none"/>
        </w:rPr>
        <w:t>19.2.4 水土流失防治目标</w:t>
      </w:r>
    </w:p>
    <w:p w14:paraId="30E3093F">
      <w:pPr>
        <w:shd w:val="clear"/>
        <w:wordWrap w:val="0"/>
        <w:rPr>
          <w:rFonts w:ascii="Times New Roman" w:hAnsi="Times New Roman" w:cs="Times New Roman"/>
          <w:bCs/>
          <w:color w:val="auto"/>
          <w:highlight w:val="none"/>
        </w:rPr>
      </w:pPr>
      <w:r>
        <w:rPr>
          <w:rFonts w:hint="eastAsia" w:ascii="Times New Roman" w:hAnsi="Times New Roman" w:cs="Times New Roman"/>
          <w:bCs/>
          <w:color w:val="auto"/>
          <w:highlight w:val="none"/>
        </w:rPr>
        <w:t>（1）执行标准等级</w:t>
      </w:r>
    </w:p>
    <w:p w14:paraId="7665E985">
      <w:pPr>
        <w:shd w:val="clear"/>
        <w:wordWrap w:val="0"/>
        <w:rPr>
          <w:rFonts w:ascii="Times New Roman" w:hAnsi="Times New Roman" w:cs="Times New Roman"/>
          <w:bCs/>
          <w:color w:val="auto"/>
          <w:highlight w:val="none"/>
        </w:rPr>
      </w:pPr>
      <w:r>
        <w:rPr>
          <w:rFonts w:ascii="Times New Roman" w:hAnsi="Times New Roman" w:cs="Times New Roman"/>
          <w:bCs/>
          <w:color w:val="auto"/>
          <w:highlight w:val="none"/>
        </w:rPr>
        <w:t>该项目位于甘肃省嘉峪关市，根据甘肃省人民政府2016年6月23日发布的《甘肃省人民政府关于划定省级水土流失重点预防区和重点治理区的公告》（甘政发[2016]第59号），本工程区域属于甘肃省省级水土流失重点治理区，项目区内无饮用水源保护区、自然保护区、风景名胜区。按照《生产建设项目水土流失防治标准》（GB50434-2018）中的相关规定，本项目水土流失防治标准应执行北方风沙区一级水土流失防治标准。</w:t>
      </w:r>
    </w:p>
    <w:p w14:paraId="567F0729">
      <w:pPr>
        <w:shd w:val="clear"/>
        <w:wordWrap w:val="0"/>
        <w:rPr>
          <w:rFonts w:ascii="Times New Roman" w:hAnsi="Times New Roman" w:cs="Times New Roman"/>
          <w:bCs/>
          <w:color w:val="auto"/>
          <w:highlight w:val="none"/>
        </w:rPr>
      </w:pPr>
      <w:r>
        <w:rPr>
          <w:rFonts w:hint="eastAsia" w:ascii="Times New Roman" w:hAnsi="Times New Roman" w:cs="Times New Roman"/>
          <w:bCs/>
          <w:color w:val="auto"/>
          <w:highlight w:val="none"/>
        </w:rPr>
        <w:t>（2）防治目标</w:t>
      </w:r>
    </w:p>
    <w:p w14:paraId="458DA02E">
      <w:pPr>
        <w:shd w:val="clear"/>
        <w:wordWrap w:val="0"/>
        <w:rPr>
          <w:rFonts w:ascii="Times New Roman" w:hAnsi="Times New Roman" w:cs="Times New Roman"/>
          <w:bCs/>
          <w:color w:val="auto"/>
          <w:highlight w:val="none"/>
        </w:rPr>
      </w:pPr>
      <w:r>
        <w:rPr>
          <w:rFonts w:ascii="Times New Roman" w:hAnsi="Times New Roman" w:cs="Times New Roman"/>
          <w:bCs/>
          <w:color w:val="auto"/>
          <w:highlight w:val="none"/>
        </w:rPr>
        <w:t>据《中国气候区划名称与代码—气候带和气候大区》（GB/T17297）中“多年平均干燥度”的规定，多年平均干燥度≥16.0的地区为极干旱区。项目区属典型的大陆温带干旱气候，年平均降水量为81.5mm，年平均蒸发量2149mm，干燥度26.37，大于16.0，因此项目区属于极干旱区，根据《生产建设项目水土流失防治标准》（GB50434-2018），北方风沙区表土保护率不作要求，位于极干旱地区的林草植被恢复率、林草覆盖率可不作定量要求。本项目所在地属于甘肃省省级水土流失重点治理区，故将土壤流失控制比提高到1.0，以防治水土流失。故调整后的防治目标值详见下表。</w:t>
      </w:r>
    </w:p>
    <w:p w14:paraId="4C894E11">
      <w:pPr>
        <w:shd w:val="clear"/>
        <w:jc w:val="center"/>
        <w:rPr>
          <w:rFonts w:ascii="Times New Roman" w:hAnsi="Times New Roman" w:eastAsia="黑体" w:cs="Times New Roman"/>
          <w:bCs/>
          <w:color w:val="auto"/>
          <w:highlight w:val="none"/>
        </w:rPr>
      </w:pPr>
      <w:r>
        <w:rPr>
          <w:rFonts w:hint="eastAsia" w:ascii="Times New Roman" w:hAnsi="Times New Roman" w:eastAsia="黑体" w:cs="Times New Roman"/>
          <w:bCs/>
          <w:color w:val="auto"/>
          <w:highlight w:val="none"/>
        </w:rPr>
        <w:t>表19.2-1  项目水土流失防治目标值</w:t>
      </w:r>
    </w:p>
    <w:tbl>
      <w:tblPr>
        <w:tblStyle w:val="6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52"/>
        <w:gridCol w:w="849"/>
        <w:gridCol w:w="793"/>
        <w:gridCol w:w="921"/>
        <w:gridCol w:w="1127"/>
        <w:gridCol w:w="878"/>
        <w:gridCol w:w="827"/>
        <w:gridCol w:w="1175"/>
      </w:tblGrid>
      <w:tr w14:paraId="0A559F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45" w:type="pct"/>
            <w:vMerge w:val="restart"/>
            <w:tcBorders>
              <w:tl2br w:val="nil"/>
              <w:tr2bl w:val="nil"/>
            </w:tcBorders>
            <w:vAlign w:val="center"/>
          </w:tcPr>
          <w:p w14:paraId="2872826E">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防治目标</w:t>
            </w:r>
          </w:p>
        </w:tc>
        <w:tc>
          <w:tcPr>
            <w:tcW w:w="963" w:type="pct"/>
            <w:gridSpan w:val="2"/>
            <w:tcBorders>
              <w:tl2br w:val="nil"/>
              <w:tr2bl w:val="nil"/>
            </w:tcBorders>
            <w:vAlign w:val="center"/>
          </w:tcPr>
          <w:p w14:paraId="2FB40E6B">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一级标准</w:t>
            </w:r>
          </w:p>
        </w:tc>
        <w:tc>
          <w:tcPr>
            <w:tcW w:w="540" w:type="pct"/>
            <w:vMerge w:val="restart"/>
            <w:tcBorders>
              <w:tl2br w:val="nil"/>
              <w:tr2bl w:val="nil"/>
            </w:tcBorders>
            <w:vAlign w:val="center"/>
          </w:tcPr>
          <w:p w14:paraId="54E93A4C">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按干旱程度修订</w:t>
            </w:r>
          </w:p>
        </w:tc>
        <w:tc>
          <w:tcPr>
            <w:tcW w:w="661" w:type="pct"/>
            <w:vMerge w:val="restart"/>
            <w:tcBorders>
              <w:tl2br w:val="nil"/>
              <w:tr2bl w:val="nil"/>
            </w:tcBorders>
            <w:vAlign w:val="center"/>
          </w:tcPr>
          <w:p w14:paraId="2D9B2595">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按侵蚀强度修订</w:t>
            </w:r>
          </w:p>
        </w:tc>
        <w:tc>
          <w:tcPr>
            <w:tcW w:w="515" w:type="pct"/>
            <w:vMerge w:val="restart"/>
            <w:tcBorders>
              <w:tl2br w:val="nil"/>
              <w:tr2bl w:val="nil"/>
            </w:tcBorders>
            <w:vAlign w:val="center"/>
          </w:tcPr>
          <w:p w14:paraId="5CE4BFA7">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按城市区修订</w:t>
            </w:r>
          </w:p>
        </w:tc>
        <w:tc>
          <w:tcPr>
            <w:tcW w:w="1174" w:type="pct"/>
            <w:gridSpan w:val="2"/>
            <w:tcBorders>
              <w:tl2br w:val="nil"/>
              <w:tr2bl w:val="nil"/>
            </w:tcBorders>
            <w:vAlign w:val="center"/>
          </w:tcPr>
          <w:p w14:paraId="7A3C6516">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采用标准</w:t>
            </w:r>
          </w:p>
        </w:tc>
      </w:tr>
      <w:tr w14:paraId="52997E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45" w:type="pct"/>
            <w:vMerge w:val="continue"/>
            <w:tcBorders>
              <w:tl2br w:val="nil"/>
              <w:tr2bl w:val="nil"/>
            </w:tcBorders>
            <w:vAlign w:val="center"/>
          </w:tcPr>
          <w:p w14:paraId="75C8213C">
            <w:pPr>
              <w:shd w:val="clear"/>
              <w:ind w:left="-120" w:leftChars="-50" w:right="-120" w:rightChars="-50" w:firstLine="420"/>
              <w:jc w:val="center"/>
              <w:rPr>
                <w:rFonts w:ascii="Times New Roman" w:hAnsi="Times New Roman" w:cs="Times New Roman"/>
                <w:color w:val="auto"/>
                <w:sz w:val="21"/>
                <w:szCs w:val="21"/>
                <w:highlight w:val="none"/>
              </w:rPr>
            </w:pPr>
          </w:p>
        </w:tc>
        <w:tc>
          <w:tcPr>
            <w:tcW w:w="498" w:type="pct"/>
            <w:tcBorders>
              <w:tl2br w:val="nil"/>
              <w:tr2bl w:val="nil"/>
            </w:tcBorders>
            <w:vAlign w:val="center"/>
          </w:tcPr>
          <w:p w14:paraId="04FAB275">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施工期</w:t>
            </w:r>
          </w:p>
        </w:tc>
        <w:tc>
          <w:tcPr>
            <w:tcW w:w="465" w:type="pct"/>
            <w:tcBorders>
              <w:tl2br w:val="nil"/>
              <w:tr2bl w:val="nil"/>
            </w:tcBorders>
            <w:vAlign w:val="center"/>
          </w:tcPr>
          <w:p w14:paraId="26356707">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设计水平年</w:t>
            </w:r>
          </w:p>
        </w:tc>
        <w:tc>
          <w:tcPr>
            <w:tcW w:w="540" w:type="pct"/>
            <w:vMerge w:val="continue"/>
            <w:tcBorders>
              <w:tl2br w:val="nil"/>
              <w:tr2bl w:val="nil"/>
            </w:tcBorders>
            <w:vAlign w:val="center"/>
          </w:tcPr>
          <w:p w14:paraId="7E29CB8C">
            <w:pPr>
              <w:shd w:val="clear"/>
              <w:ind w:left="-120" w:leftChars="-50" w:right="-120" w:rightChars="-50" w:firstLine="420"/>
              <w:jc w:val="center"/>
              <w:rPr>
                <w:rFonts w:ascii="Times New Roman" w:hAnsi="Times New Roman" w:cs="Times New Roman"/>
                <w:color w:val="auto"/>
                <w:sz w:val="21"/>
                <w:szCs w:val="21"/>
                <w:highlight w:val="none"/>
              </w:rPr>
            </w:pPr>
          </w:p>
        </w:tc>
        <w:tc>
          <w:tcPr>
            <w:tcW w:w="661" w:type="pct"/>
            <w:vMerge w:val="continue"/>
            <w:tcBorders>
              <w:tl2br w:val="nil"/>
              <w:tr2bl w:val="nil"/>
            </w:tcBorders>
            <w:vAlign w:val="center"/>
          </w:tcPr>
          <w:p w14:paraId="21CA0F49">
            <w:pPr>
              <w:shd w:val="clear"/>
              <w:ind w:left="-120" w:leftChars="-50" w:right="-120" w:rightChars="-50" w:firstLine="420"/>
              <w:jc w:val="center"/>
              <w:rPr>
                <w:rFonts w:ascii="Times New Roman" w:hAnsi="Times New Roman" w:cs="Times New Roman"/>
                <w:color w:val="auto"/>
                <w:sz w:val="21"/>
                <w:szCs w:val="21"/>
                <w:highlight w:val="none"/>
              </w:rPr>
            </w:pPr>
          </w:p>
        </w:tc>
        <w:tc>
          <w:tcPr>
            <w:tcW w:w="515" w:type="pct"/>
            <w:vMerge w:val="continue"/>
            <w:tcBorders>
              <w:tl2br w:val="nil"/>
              <w:tr2bl w:val="nil"/>
            </w:tcBorders>
            <w:vAlign w:val="center"/>
          </w:tcPr>
          <w:p w14:paraId="2EF43C8D">
            <w:pPr>
              <w:shd w:val="clear"/>
              <w:ind w:left="-120" w:leftChars="-50" w:right="-120" w:rightChars="-50" w:firstLine="420"/>
              <w:jc w:val="center"/>
              <w:rPr>
                <w:rFonts w:ascii="Times New Roman" w:hAnsi="Times New Roman" w:cs="Times New Roman"/>
                <w:color w:val="auto"/>
                <w:sz w:val="21"/>
                <w:szCs w:val="21"/>
                <w:highlight w:val="none"/>
              </w:rPr>
            </w:pPr>
          </w:p>
        </w:tc>
        <w:tc>
          <w:tcPr>
            <w:tcW w:w="485" w:type="pct"/>
            <w:tcBorders>
              <w:tl2br w:val="nil"/>
              <w:tr2bl w:val="nil"/>
            </w:tcBorders>
            <w:vAlign w:val="center"/>
          </w:tcPr>
          <w:p w14:paraId="4D55BC35">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施工期</w:t>
            </w:r>
          </w:p>
        </w:tc>
        <w:tc>
          <w:tcPr>
            <w:tcW w:w="688" w:type="pct"/>
            <w:tcBorders>
              <w:tl2br w:val="nil"/>
              <w:tr2bl w:val="nil"/>
            </w:tcBorders>
            <w:vAlign w:val="center"/>
          </w:tcPr>
          <w:p w14:paraId="1C16F992">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设计水平年</w:t>
            </w:r>
          </w:p>
        </w:tc>
      </w:tr>
      <w:tr w14:paraId="21249B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0" w:hRule="atLeast"/>
          <w:jc w:val="center"/>
        </w:trPr>
        <w:tc>
          <w:tcPr>
            <w:tcW w:w="1145" w:type="pct"/>
            <w:tcBorders>
              <w:tl2br w:val="nil"/>
              <w:tr2bl w:val="nil"/>
            </w:tcBorders>
            <w:vAlign w:val="center"/>
          </w:tcPr>
          <w:p w14:paraId="15DAFC6E">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水土流失治理度（%）</w:t>
            </w:r>
          </w:p>
        </w:tc>
        <w:tc>
          <w:tcPr>
            <w:tcW w:w="498" w:type="pct"/>
            <w:tcBorders>
              <w:tl2br w:val="nil"/>
              <w:tr2bl w:val="nil"/>
            </w:tcBorders>
            <w:vAlign w:val="center"/>
          </w:tcPr>
          <w:p w14:paraId="74F9D792">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ㅡ</w:t>
            </w:r>
          </w:p>
        </w:tc>
        <w:tc>
          <w:tcPr>
            <w:tcW w:w="465" w:type="pct"/>
            <w:tcBorders>
              <w:tl2br w:val="nil"/>
              <w:tr2bl w:val="nil"/>
            </w:tcBorders>
            <w:vAlign w:val="center"/>
          </w:tcPr>
          <w:p w14:paraId="56EAA39D">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85</w:t>
            </w:r>
          </w:p>
        </w:tc>
        <w:tc>
          <w:tcPr>
            <w:tcW w:w="540" w:type="pct"/>
            <w:tcBorders>
              <w:tl2br w:val="nil"/>
              <w:tr2bl w:val="nil"/>
            </w:tcBorders>
            <w:vAlign w:val="center"/>
          </w:tcPr>
          <w:p w14:paraId="4C09D1BD">
            <w:pPr>
              <w:shd w:val="clear"/>
              <w:ind w:left="-120" w:leftChars="-50" w:right="-120" w:rightChars="-50" w:firstLine="420"/>
              <w:jc w:val="center"/>
              <w:rPr>
                <w:rFonts w:ascii="Times New Roman" w:hAnsi="Times New Roman" w:cs="Times New Roman"/>
                <w:color w:val="auto"/>
                <w:sz w:val="21"/>
                <w:szCs w:val="21"/>
                <w:highlight w:val="none"/>
              </w:rPr>
            </w:pPr>
          </w:p>
        </w:tc>
        <w:tc>
          <w:tcPr>
            <w:tcW w:w="661" w:type="pct"/>
            <w:tcBorders>
              <w:tl2br w:val="nil"/>
              <w:tr2bl w:val="nil"/>
            </w:tcBorders>
            <w:vAlign w:val="center"/>
          </w:tcPr>
          <w:p w14:paraId="5AD76C36">
            <w:pPr>
              <w:shd w:val="clear"/>
              <w:ind w:left="-120" w:leftChars="-50" w:right="-120" w:rightChars="-50" w:firstLine="420"/>
              <w:jc w:val="center"/>
              <w:rPr>
                <w:rFonts w:ascii="Times New Roman" w:hAnsi="Times New Roman" w:cs="Times New Roman"/>
                <w:color w:val="auto"/>
                <w:sz w:val="21"/>
                <w:szCs w:val="21"/>
                <w:highlight w:val="none"/>
              </w:rPr>
            </w:pPr>
          </w:p>
        </w:tc>
        <w:tc>
          <w:tcPr>
            <w:tcW w:w="515" w:type="pct"/>
            <w:tcBorders>
              <w:tl2br w:val="nil"/>
              <w:tr2bl w:val="nil"/>
            </w:tcBorders>
            <w:vAlign w:val="center"/>
          </w:tcPr>
          <w:p w14:paraId="6FF716ED">
            <w:pPr>
              <w:shd w:val="clear"/>
              <w:ind w:left="-120" w:leftChars="-50" w:right="-120" w:rightChars="-50" w:firstLine="420"/>
              <w:jc w:val="center"/>
              <w:rPr>
                <w:rFonts w:ascii="Times New Roman" w:hAnsi="Times New Roman" w:cs="Times New Roman"/>
                <w:color w:val="auto"/>
                <w:sz w:val="21"/>
                <w:szCs w:val="21"/>
                <w:highlight w:val="none"/>
              </w:rPr>
            </w:pPr>
          </w:p>
        </w:tc>
        <w:tc>
          <w:tcPr>
            <w:tcW w:w="485" w:type="pct"/>
            <w:tcBorders>
              <w:tl2br w:val="nil"/>
              <w:tr2bl w:val="nil"/>
            </w:tcBorders>
            <w:vAlign w:val="center"/>
          </w:tcPr>
          <w:p w14:paraId="0B8B2981">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ㅡ</w:t>
            </w:r>
          </w:p>
        </w:tc>
        <w:tc>
          <w:tcPr>
            <w:tcW w:w="688" w:type="pct"/>
            <w:tcBorders>
              <w:tl2br w:val="nil"/>
              <w:tr2bl w:val="nil"/>
            </w:tcBorders>
            <w:vAlign w:val="center"/>
          </w:tcPr>
          <w:p w14:paraId="1B487E08">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85</w:t>
            </w:r>
          </w:p>
        </w:tc>
      </w:tr>
      <w:tr w14:paraId="0851F6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45" w:type="pct"/>
            <w:tcBorders>
              <w:tl2br w:val="nil"/>
              <w:tr2bl w:val="nil"/>
            </w:tcBorders>
            <w:vAlign w:val="center"/>
          </w:tcPr>
          <w:p w14:paraId="31E9CCDD">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土壤流失控制比</w:t>
            </w:r>
          </w:p>
        </w:tc>
        <w:tc>
          <w:tcPr>
            <w:tcW w:w="498" w:type="pct"/>
            <w:tcBorders>
              <w:tl2br w:val="nil"/>
              <w:tr2bl w:val="nil"/>
            </w:tcBorders>
            <w:vAlign w:val="center"/>
          </w:tcPr>
          <w:p w14:paraId="60AB5353">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ㅡ</w:t>
            </w:r>
          </w:p>
        </w:tc>
        <w:tc>
          <w:tcPr>
            <w:tcW w:w="465" w:type="pct"/>
            <w:tcBorders>
              <w:tl2br w:val="nil"/>
              <w:tr2bl w:val="nil"/>
            </w:tcBorders>
            <w:vAlign w:val="center"/>
          </w:tcPr>
          <w:p w14:paraId="5E709456">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0.8</w:t>
            </w:r>
          </w:p>
        </w:tc>
        <w:tc>
          <w:tcPr>
            <w:tcW w:w="540" w:type="pct"/>
            <w:tcBorders>
              <w:tl2br w:val="nil"/>
              <w:tr2bl w:val="nil"/>
            </w:tcBorders>
            <w:vAlign w:val="center"/>
          </w:tcPr>
          <w:p w14:paraId="27C3AE57">
            <w:pPr>
              <w:shd w:val="clear"/>
              <w:ind w:left="-120" w:leftChars="-50" w:right="-120" w:rightChars="-50" w:firstLine="420"/>
              <w:jc w:val="center"/>
              <w:rPr>
                <w:rFonts w:ascii="Times New Roman" w:hAnsi="Times New Roman" w:cs="Times New Roman"/>
                <w:color w:val="auto"/>
                <w:sz w:val="21"/>
                <w:szCs w:val="21"/>
                <w:highlight w:val="none"/>
              </w:rPr>
            </w:pPr>
          </w:p>
        </w:tc>
        <w:tc>
          <w:tcPr>
            <w:tcW w:w="661" w:type="pct"/>
            <w:tcBorders>
              <w:tl2br w:val="nil"/>
              <w:tr2bl w:val="nil"/>
            </w:tcBorders>
            <w:vAlign w:val="center"/>
          </w:tcPr>
          <w:p w14:paraId="7EC0C083">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+0.2</w:t>
            </w:r>
          </w:p>
        </w:tc>
        <w:tc>
          <w:tcPr>
            <w:tcW w:w="515" w:type="pct"/>
            <w:tcBorders>
              <w:tl2br w:val="nil"/>
              <w:tr2bl w:val="nil"/>
            </w:tcBorders>
            <w:vAlign w:val="center"/>
          </w:tcPr>
          <w:p w14:paraId="0000529C">
            <w:pPr>
              <w:shd w:val="clear"/>
              <w:ind w:left="-120" w:leftChars="-50" w:right="-120" w:rightChars="-50" w:firstLine="420"/>
              <w:jc w:val="center"/>
              <w:rPr>
                <w:rFonts w:ascii="Times New Roman" w:hAnsi="Times New Roman" w:cs="Times New Roman"/>
                <w:color w:val="auto"/>
                <w:sz w:val="21"/>
                <w:szCs w:val="21"/>
                <w:highlight w:val="none"/>
              </w:rPr>
            </w:pPr>
          </w:p>
        </w:tc>
        <w:tc>
          <w:tcPr>
            <w:tcW w:w="485" w:type="pct"/>
            <w:tcBorders>
              <w:tl2br w:val="nil"/>
              <w:tr2bl w:val="nil"/>
            </w:tcBorders>
            <w:vAlign w:val="center"/>
          </w:tcPr>
          <w:p w14:paraId="29E134D2">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ㅡ</w:t>
            </w:r>
          </w:p>
        </w:tc>
        <w:tc>
          <w:tcPr>
            <w:tcW w:w="688" w:type="pct"/>
            <w:tcBorders>
              <w:tl2br w:val="nil"/>
              <w:tr2bl w:val="nil"/>
            </w:tcBorders>
            <w:vAlign w:val="center"/>
          </w:tcPr>
          <w:p w14:paraId="06257CAD">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w:t>
            </w:r>
          </w:p>
        </w:tc>
      </w:tr>
      <w:tr w14:paraId="2FCE19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45" w:type="pct"/>
            <w:tcBorders>
              <w:tl2br w:val="nil"/>
              <w:tr2bl w:val="nil"/>
            </w:tcBorders>
            <w:vAlign w:val="center"/>
          </w:tcPr>
          <w:p w14:paraId="5D6F1DC4">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渣土保护率（%）</w:t>
            </w:r>
          </w:p>
        </w:tc>
        <w:tc>
          <w:tcPr>
            <w:tcW w:w="498" w:type="pct"/>
            <w:tcBorders>
              <w:tl2br w:val="nil"/>
              <w:tr2bl w:val="nil"/>
            </w:tcBorders>
            <w:vAlign w:val="center"/>
          </w:tcPr>
          <w:p w14:paraId="226AF1BB">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85</w:t>
            </w:r>
          </w:p>
        </w:tc>
        <w:tc>
          <w:tcPr>
            <w:tcW w:w="465" w:type="pct"/>
            <w:tcBorders>
              <w:tl2br w:val="nil"/>
              <w:tr2bl w:val="nil"/>
            </w:tcBorders>
            <w:vAlign w:val="center"/>
          </w:tcPr>
          <w:p w14:paraId="05D60D0C">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87</w:t>
            </w:r>
          </w:p>
        </w:tc>
        <w:tc>
          <w:tcPr>
            <w:tcW w:w="540" w:type="pct"/>
            <w:tcBorders>
              <w:tl2br w:val="nil"/>
              <w:tr2bl w:val="nil"/>
            </w:tcBorders>
            <w:vAlign w:val="center"/>
          </w:tcPr>
          <w:p w14:paraId="2AC7E178">
            <w:pPr>
              <w:shd w:val="clear"/>
              <w:ind w:left="-120" w:leftChars="-50" w:right="-120" w:rightChars="-50" w:firstLine="420"/>
              <w:jc w:val="center"/>
              <w:rPr>
                <w:rFonts w:ascii="Times New Roman" w:hAnsi="Times New Roman" w:cs="Times New Roman"/>
                <w:color w:val="auto"/>
                <w:sz w:val="21"/>
                <w:szCs w:val="21"/>
                <w:highlight w:val="none"/>
              </w:rPr>
            </w:pPr>
          </w:p>
        </w:tc>
        <w:tc>
          <w:tcPr>
            <w:tcW w:w="661" w:type="pct"/>
            <w:tcBorders>
              <w:tl2br w:val="nil"/>
              <w:tr2bl w:val="nil"/>
            </w:tcBorders>
            <w:vAlign w:val="center"/>
          </w:tcPr>
          <w:p w14:paraId="1149A2D4">
            <w:pPr>
              <w:shd w:val="clear"/>
              <w:ind w:left="-120" w:leftChars="-50" w:right="-120" w:rightChars="-50" w:firstLine="420"/>
              <w:jc w:val="center"/>
              <w:rPr>
                <w:rFonts w:ascii="Times New Roman" w:hAnsi="Times New Roman" w:cs="Times New Roman"/>
                <w:color w:val="auto"/>
                <w:sz w:val="21"/>
                <w:szCs w:val="21"/>
                <w:highlight w:val="none"/>
              </w:rPr>
            </w:pPr>
          </w:p>
        </w:tc>
        <w:tc>
          <w:tcPr>
            <w:tcW w:w="515" w:type="pct"/>
            <w:tcBorders>
              <w:tl2br w:val="nil"/>
              <w:tr2bl w:val="nil"/>
            </w:tcBorders>
            <w:vAlign w:val="center"/>
          </w:tcPr>
          <w:p w14:paraId="6B49A58C">
            <w:pPr>
              <w:shd w:val="clear"/>
              <w:ind w:left="-120" w:leftChars="-50" w:right="-120" w:rightChars="-50" w:firstLine="420"/>
              <w:jc w:val="center"/>
              <w:rPr>
                <w:rFonts w:ascii="Times New Roman" w:hAnsi="Times New Roman" w:cs="Times New Roman"/>
                <w:color w:val="auto"/>
                <w:sz w:val="21"/>
                <w:szCs w:val="21"/>
                <w:highlight w:val="none"/>
              </w:rPr>
            </w:pPr>
          </w:p>
        </w:tc>
        <w:tc>
          <w:tcPr>
            <w:tcW w:w="485" w:type="pct"/>
            <w:tcBorders>
              <w:tl2br w:val="nil"/>
              <w:tr2bl w:val="nil"/>
            </w:tcBorders>
            <w:vAlign w:val="center"/>
          </w:tcPr>
          <w:p w14:paraId="26E273EF">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85</w:t>
            </w:r>
          </w:p>
        </w:tc>
        <w:tc>
          <w:tcPr>
            <w:tcW w:w="688" w:type="pct"/>
            <w:tcBorders>
              <w:tl2br w:val="nil"/>
              <w:tr2bl w:val="nil"/>
            </w:tcBorders>
            <w:vAlign w:val="center"/>
          </w:tcPr>
          <w:p w14:paraId="61064AB2">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87</w:t>
            </w:r>
          </w:p>
        </w:tc>
      </w:tr>
      <w:tr w14:paraId="1C8F59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45" w:type="pct"/>
            <w:tcBorders>
              <w:tl2br w:val="nil"/>
              <w:tr2bl w:val="nil"/>
            </w:tcBorders>
            <w:vAlign w:val="center"/>
          </w:tcPr>
          <w:p w14:paraId="13D53997">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表土保护率（%）</w:t>
            </w:r>
          </w:p>
        </w:tc>
        <w:tc>
          <w:tcPr>
            <w:tcW w:w="498" w:type="pct"/>
            <w:tcBorders>
              <w:tl2br w:val="nil"/>
              <w:tr2bl w:val="nil"/>
            </w:tcBorders>
            <w:vAlign w:val="center"/>
          </w:tcPr>
          <w:p w14:paraId="68E4CEF4">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ㅡ</w:t>
            </w:r>
          </w:p>
        </w:tc>
        <w:tc>
          <w:tcPr>
            <w:tcW w:w="465" w:type="pct"/>
            <w:tcBorders>
              <w:tl2br w:val="nil"/>
              <w:tr2bl w:val="nil"/>
            </w:tcBorders>
            <w:vAlign w:val="center"/>
          </w:tcPr>
          <w:p w14:paraId="6BBC8B75">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ㅡ</w:t>
            </w:r>
          </w:p>
        </w:tc>
        <w:tc>
          <w:tcPr>
            <w:tcW w:w="540" w:type="pct"/>
            <w:tcBorders>
              <w:tl2br w:val="nil"/>
              <w:tr2bl w:val="nil"/>
            </w:tcBorders>
            <w:vAlign w:val="center"/>
          </w:tcPr>
          <w:p w14:paraId="3D5DE620">
            <w:pPr>
              <w:shd w:val="clear"/>
              <w:ind w:left="-120" w:leftChars="-50" w:right="-120" w:rightChars="-50" w:firstLine="420"/>
              <w:jc w:val="center"/>
              <w:rPr>
                <w:rFonts w:ascii="Times New Roman" w:hAnsi="Times New Roman" w:cs="Times New Roman"/>
                <w:color w:val="auto"/>
                <w:sz w:val="21"/>
                <w:szCs w:val="21"/>
                <w:highlight w:val="none"/>
              </w:rPr>
            </w:pPr>
          </w:p>
        </w:tc>
        <w:tc>
          <w:tcPr>
            <w:tcW w:w="661" w:type="pct"/>
            <w:tcBorders>
              <w:tl2br w:val="nil"/>
              <w:tr2bl w:val="nil"/>
            </w:tcBorders>
            <w:vAlign w:val="center"/>
          </w:tcPr>
          <w:p w14:paraId="325B209B">
            <w:pPr>
              <w:shd w:val="clear"/>
              <w:ind w:left="-120" w:leftChars="-50" w:right="-120" w:rightChars="-50" w:firstLine="420"/>
              <w:jc w:val="center"/>
              <w:rPr>
                <w:rFonts w:ascii="Times New Roman" w:hAnsi="Times New Roman" w:cs="Times New Roman"/>
                <w:color w:val="auto"/>
                <w:sz w:val="21"/>
                <w:szCs w:val="21"/>
                <w:highlight w:val="none"/>
              </w:rPr>
            </w:pPr>
          </w:p>
        </w:tc>
        <w:tc>
          <w:tcPr>
            <w:tcW w:w="515" w:type="pct"/>
            <w:tcBorders>
              <w:tl2br w:val="nil"/>
              <w:tr2bl w:val="nil"/>
            </w:tcBorders>
            <w:vAlign w:val="center"/>
          </w:tcPr>
          <w:p w14:paraId="47DEEB46">
            <w:pPr>
              <w:shd w:val="clear"/>
              <w:ind w:left="-120" w:leftChars="-50" w:right="-120" w:rightChars="-50" w:firstLine="420"/>
              <w:jc w:val="center"/>
              <w:rPr>
                <w:rFonts w:ascii="Times New Roman" w:hAnsi="Times New Roman" w:cs="Times New Roman"/>
                <w:color w:val="auto"/>
                <w:sz w:val="21"/>
                <w:szCs w:val="21"/>
                <w:highlight w:val="none"/>
              </w:rPr>
            </w:pPr>
          </w:p>
        </w:tc>
        <w:tc>
          <w:tcPr>
            <w:tcW w:w="485" w:type="pct"/>
            <w:tcBorders>
              <w:tl2br w:val="nil"/>
              <w:tr2bl w:val="nil"/>
            </w:tcBorders>
            <w:vAlign w:val="center"/>
          </w:tcPr>
          <w:p w14:paraId="399DD1C8">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ㅡ</w:t>
            </w:r>
          </w:p>
        </w:tc>
        <w:tc>
          <w:tcPr>
            <w:tcW w:w="688" w:type="pct"/>
            <w:tcBorders>
              <w:tl2br w:val="nil"/>
              <w:tr2bl w:val="nil"/>
            </w:tcBorders>
            <w:vAlign w:val="center"/>
          </w:tcPr>
          <w:p w14:paraId="1C937055">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ㅡ</w:t>
            </w:r>
          </w:p>
        </w:tc>
      </w:tr>
      <w:tr w14:paraId="1C2D68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45" w:type="pct"/>
            <w:tcBorders>
              <w:tl2br w:val="nil"/>
              <w:tr2bl w:val="nil"/>
            </w:tcBorders>
            <w:vAlign w:val="center"/>
          </w:tcPr>
          <w:p w14:paraId="289B3BA3">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林草植被恢复率（%）</w:t>
            </w:r>
          </w:p>
        </w:tc>
        <w:tc>
          <w:tcPr>
            <w:tcW w:w="498" w:type="pct"/>
            <w:tcBorders>
              <w:tl2br w:val="nil"/>
              <w:tr2bl w:val="nil"/>
            </w:tcBorders>
            <w:vAlign w:val="center"/>
          </w:tcPr>
          <w:p w14:paraId="6E1EE1DF">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ㅡ</w:t>
            </w:r>
          </w:p>
        </w:tc>
        <w:tc>
          <w:tcPr>
            <w:tcW w:w="465" w:type="pct"/>
            <w:tcBorders>
              <w:tl2br w:val="nil"/>
              <w:tr2bl w:val="nil"/>
            </w:tcBorders>
            <w:vAlign w:val="center"/>
          </w:tcPr>
          <w:p w14:paraId="3FC7D381">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93</w:t>
            </w:r>
          </w:p>
        </w:tc>
        <w:tc>
          <w:tcPr>
            <w:tcW w:w="540" w:type="pct"/>
            <w:tcBorders>
              <w:tl2br w:val="nil"/>
              <w:tr2bl w:val="nil"/>
            </w:tcBorders>
            <w:vAlign w:val="center"/>
          </w:tcPr>
          <w:p w14:paraId="444DB2EC">
            <w:pPr>
              <w:shd w:val="clear"/>
              <w:ind w:left="-120" w:leftChars="-50" w:right="-120" w:rightChars="-50" w:firstLine="420"/>
              <w:jc w:val="center"/>
              <w:rPr>
                <w:rFonts w:ascii="Times New Roman" w:hAnsi="Times New Roman" w:cs="Times New Roman"/>
                <w:color w:val="auto"/>
                <w:sz w:val="21"/>
                <w:szCs w:val="21"/>
                <w:highlight w:val="none"/>
              </w:rPr>
            </w:pPr>
          </w:p>
        </w:tc>
        <w:tc>
          <w:tcPr>
            <w:tcW w:w="661" w:type="pct"/>
            <w:tcBorders>
              <w:tl2br w:val="nil"/>
              <w:tr2bl w:val="nil"/>
            </w:tcBorders>
            <w:vAlign w:val="center"/>
          </w:tcPr>
          <w:p w14:paraId="529B19DE">
            <w:pPr>
              <w:shd w:val="clear"/>
              <w:ind w:left="-120" w:leftChars="-50" w:right="-120" w:rightChars="-50" w:firstLine="420"/>
              <w:jc w:val="center"/>
              <w:rPr>
                <w:rFonts w:ascii="Times New Roman" w:hAnsi="Times New Roman" w:cs="Times New Roman"/>
                <w:color w:val="auto"/>
                <w:sz w:val="21"/>
                <w:szCs w:val="21"/>
                <w:highlight w:val="none"/>
              </w:rPr>
            </w:pPr>
          </w:p>
        </w:tc>
        <w:tc>
          <w:tcPr>
            <w:tcW w:w="515" w:type="pct"/>
            <w:tcBorders>
              <w:tl2br w:val="nil"/>
              <w:tr2bl w:val="nil"/>
            </w:tcBorders>
            <w:vAlign w:val="center"/>
          </w:tcPr>
          <w:p w14:paraId="02C73AFE">
            <w:pPr>
              <w:shd w:val="clear"/>
              <w:ind w:left="-120" w:leftChars="-50" w:right="-120" w:rightChars="-50" w:firstLine="420"/>
              <w:jc w:val="center"/>
              <w:rPr>
                <w:rFonts w:ascii="Times New Roman" w:hAnsi="Times New Roman" w:cs="Times New Roman"/>
                <w:color w:val="auto"/>
                <w:sz w:val="21"/>
                <w:szCs w:val="21"/>
                <w:highlight w:val="none"/>
              </w:rPr>
            </w:pPr>
          </w:p>
        </w:tc>
        <w:tc>
          <w:tcPr>
            <w:tcW w:w="485" w:type="pct"/>
            <w:tcBorders>
              <w:tl2br w:val="nil"/>
              <w:tr2bl w:val="nil"/>
            </w:tcBorders>
            <w:vAlign w:val="center"/>
          </w:tcPr>
          <w:p w14:paraId="4900335B">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ㅡ</w:t>
            </w:r>
          </w:p>
        </w:tc>
        <w:tc>
          <w:tcPr>
            <w:tcW w:w="688" w:type="pct"/>
            <w:tcBorders>
              <w:tl2br w:val="nil"/>
              <w:tr2bl w:val="nil"/>
            </w:tcBorders>
            <w:vAlign w:val="center"/>
          </w:tcPr>
          <w:p w14:paraId="592BF152">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不作要求</w:t>
            </w:r>
          </w:p>
        </w:tc>
      </w:tr>
      <w:tr w14:paraId="3FF314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45" w:type="pct"/>
            <w:tcBorders>
              <w:tl2br w:val="nil"/>
              <w:tr2bl w:val="nil"/>
            </w:tcBorders>
            <w:vAlign w:val="center"/>
          </w:tcPr>
          <w:p w14:paraId="64E0D237">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林草覆盖率（%）</w:t>
            </w:r>
          </w:p>
        </w:tc>
        <w:tc>
          <w:tcPr>
            <w:tcW w:w="498" w:type="pct"/>
            <w:tcBorders>
              <w:tl2br w:val="nil"/>
              <w:tr2bl w:val="nil"/>
            </w:tcBorders>
            <w:vAlign w:val="center"/>
          </w:tcPr>
          <w:p w14:paraId="234A80C7">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ㅡ</w:t>
            </w:r>
          </w:p>
        </w:tc>
        <w:tc>
          <w:tcPr>
            <w:tcW w:w="465" w:type="pct"/>
            <w:tcBorders>
              <w:tl2br w:val="nil"/>
              <w:tr2bl w:val="nil"/>
            </w:tcBorders>
            <w:vAlign w:val="center"/>
          </w:tcPr>
          <w:p w14:paraId="57C5A994">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w:t>
            </w:r>
          </w:p>
        </w:tc>
        <w:tc>
          <w:tcPr>
            <w:tcW w:w="540" w:type="pct"/>
            <w:tcBorders>
              <w:tl2br w:val="nil"/>
              <w:tr2bl w:val="nil"/>
            </w:tcBorders>
            <w:vAlign w:val="center"/>
          </w:tcPr>
          <w:p w14:paraId="5CCF2C76">
            <w:pPr>
              <w:shd w:val="clear"/>
              <w:ind w:left="-120" w:leftChars="-50" w:right="-120" w:rightChars="-50" w:firstLine="420"/>
              <w:jc w:val="center"/>
              <w:rPr>
                <w:rFonts w:ascii="Times New Roman" w:hAnsi="Times New Roman" w:cs="Times New Roman"/>
                <w:color w:val="auto"/>
                <w:sz w:val="21"/>
                <w:szCs w:val="21"/>
                <w:highlight w:val="none"/>
              </w:rPr>
            </w:pPr>
          </w:p>
        </w:tc>
        <w:tc>
          <w:tcPr>
            <w:tcW w:w="661" w:type="pct"/>
            <w:tcBorders>
              <w:tl2br w:val="nil"/>
              <w:tr2bl w:val="nil"/>
            </w:tcBorders>
            <w:vAlign w:val="center"/>
          </w:tcPr>
          <w:p w14:paraId="3042768F">
            <w:pPr>
              <w:shd w:val="clear"/>
              <w:ind w:left="-120" w:leftChars="-50" w:right="-120" w:rightChars="-50" w:firstLine="420"/>
              <w:jc w:val="center"/>
              <w:rPr>
                <w:rFonts w:ascii="Times New Roman" w:hAnsi="Times New Roman" w:cs="Times New Roman"/>
                <w:color w:val="auto"/>
                <w:sz w:val="21"/>
                <w:szCs w:val="21"/>
                <w:highlight w:val="none"/>
              </w:rPr>
            </w:pPr>
          </w:p>
        </w:tc>
        <w:tc>
          <w:tcPr>
            <w:tcW w:w="515" w:type="pct"/>
            <w:tcBorders>
              <w:tl2br w:val="nil"/>
              <w:tr2bl w:val="nil"/>
            </w:tcBorders>
            <w:vAlign w:val="center"/>
          </w:tcPr>
          <w:p w14:paraId="75CB4EEA">
            <w:pPr>
              <w:shd w:val="clear"/>
              <w:ind w:left="-120" w:leftChars="-50" w:right="-120" w:rightChars="-50" w:firstLine="420"/>
              <w:jc w:val="center"/>
              <w:rPr>
                <w:rFonts w:ascii="Times New Roman" w:hAnsi="Times New Roman" w:cs="Times New Roman"/>
                <w:color w:val="auto"/>
                <w:sz w:val="21"/>
                <w:szCs w:val="21"/>
                <w:highlight w:val="none"/>
              </w:rPr>
            </w:pPr>
          </w:p>
        </w:tc>
        <w:tc>
          <w:tcPr>
            <w:tcW w:w="485" w:type="pct"/>
            <w:tcBorders>
              <w:tl2br w:val="nil"/>
              <w:tr2bl w:val="nil"/>
            </w:tcBorders>
            <w:vAlign w:val="center"/>
          </w:tcPr>
          <w:p w14:paraId="59D2B2E3">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ㅡ</w:t>
            </w:r>
          </w:p>
        </w:tc>
        <w:tc>
          <w:tcPr>
            <w:tcW w:w="688" w:type="pct"/>
            <w:tcBorders>
              <w:tl2br w:val="nil"/>
              <w:tr2bl w:val="nil"/>
            </w:tcBorders>
            <w:vAlign w:val="center"/>
          </w:tcPr>
          <w:p w14:paraId="5BB42CC7">
            <w:pPr>
              <w:shd w:val="clear"/>
              <w:ind w:left="-120" w:leftChars="-50" w:right="-120" w:rightChars="-50" w:firstLine="42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不作要求</w:t>
            </w:r>
          </w:p>
        </w:tc>
      </w:tr>
      <w:bookmarkEnd w:id="1897"/>
    </w:tbl>
    <w:p w14:paraId="2D0B3449">
      <w:pPr>
        <w:shd w:val="clear"/>
        <w:ind w:firstLine="0" w:firstLineChars="0"/>
        <w:outlineLvl w:val="1"/>
        <w:rPr>
          <w:rFonts w:cs="Times New Roman"/>
          <w:b/>
          <w:color w:val="auto"/>
          <w:sz w:val="28"/>
          <w:szCs w:val="28"/>
          <w:highlight w:val="none"/>
        </w:rPr>
      </w:pPr>
      <w:bookmarkStart w:id="1898" w:name="_Toc22448"/>
      <w:bookmarkStart w:id="1899" w:name="_Toc548"/>
      <w:bookmarkStart w:id="1900" w:name="_Toc8609"/>
      <w:bookmarkStart w:id="1901" w:name="_Toc19502"/>
      <w:bookmarkStart w:id="1902" w:name="_Toc23834"/>
      <w:bookmarkStart w:id="1903" w:name="_Toc4163"/>
      <w:r>
        <w:rPr>
          <w:rFonts w:hint="eastAsia" w:cs="Times New Roman"/>
          <w:b/>
          <w:color w:val="auto"/>
          <w:sz w:val="28"/>
          <w:szCs w:val="28"/>
          <w:highlight w:val="none"/>
        </w:rPr>
        <w:t>19.3 水土保持措施设计</w:t>
      </w:r>
      <w:bookmarkEnd w:id="1898"/>
      <w:bookmarkEnd w:id="1899"/>
      <w:bookmarkEnd w:id="1900"/>
      <w:bookmarkEnd w:id="1901"/>
      <w:bookmarkEnd w:id="1902"/>
      <w:bookmarkEnd w:id="1903"/>
    </w:p>
    <w:p w14:paraId="039E3121">
      <w:pPr>
        <w:keepNext/>
        <w:keepLines/>
        <w:numPr>
          <w:ilvl w:val="2"/>
          <w:numId w:val="0"/>
        </w:numPr>
        <w:shd w:val="clear"/>
        <w:adjustRightInd w:val="0"/>
        <w:spacing w:before="120"/>
        <w:textAlignment w:val="baseline"/>
        <w:outlineLvl w:val="2"/>
        <w:rPr>
          <w:rFonts w:ascii="Times New Roman" w:hAnsi="Times New Roman" w:cs="Times New Roman"/>
          <w:bCs/>
          <w:color w:val="auto"/>
          <w:kern w:val="0"/>
          <w:highlight w:val="none"/>
          <w:lang w:bidi="zh-CN"/>
        </w:rPr>
      </w:pPr>
      <w:r>
        <w:rPr>
          <w:rFonts w:hint="eastAsia" w:ascii="Times New Roman" w:hAnsi="Times New Roman" w:cs="Times New Roman"/>
          <w:bCs/>
          <w:color w:val="auto"/>
          <w:kern w:val="0"/>
          <w:highlight w:val="none"/>
          <w:lang w:bidi="zh-CN"/>
        </w:rPr>
        <w:t>19.3.1水土保持分析</w:t>
      </w:r>
    </w:p>
    <w:p w14:paraId="2B233BB9">
      <w:pPr>
        <w:shd w:val="clear"/>
        <w:wordWrap w:val="0"/>
        <w:autoSpaceDE w:val="0"/>
        <w:autoSpaceDN w:val="0"/>
        <w:rPr>
          <w:rFonts w:ascii="Times New Roman" w:hAnsi="Times New Roman" w:cs="Times New Roman"/>
          <w:bCs/>
          <w:color w:val="auto"/>
          <w:kern w:val="0"/>
          <w:highlight w:val="none"/>
          <w:lang w:bidi="zh-CN"/>
        </w:rPr>
      </w:pPr>
      <w:r>
        <w:rPr>
          <w:rFonts w:hint="eastAsia" w:ascii="Times New Roman" w:hAnsi="Times New Roman" w:cs="Times New Roman"/>
          <w:bCs/>
          <w:color w:val="auto"/>
          <w:kern w:val="0"/>
          <w:highlight w:val="none"/>
          <w:lang w:bidi="zh-CN"/>
        </w:rPr>
        <w:t>（1）建设方案</w:t>
      </w:r>
    </w:p>
    <w:p w14:paraId="435B4933">
      <w:pPr>
        <w:shd w:val="clear"/>
        <w:wordWrap w:val="0"/>
        <w:autoSpaceDE w:val="0"/>
        <w:autoSpaceDN w:val="0"/>
        <w:rPr>
          <w:rFonts w:ascii="Times New Roman" w:hAnsi="Times New Roman" w:cs="Times New Roman"/>
          <w:bCs/>
          <w:color w:val="auto"/>
          <w:kern w:val="0"/>
          <w:highlight w:val="none"/>
          <w:lang w:bidi="zh-CN"/>
        </w:rPr>
      </w:pPr>
      <w:r>
        <w:rPr>
          <w:rFonts w:ascii="Times New Roman" w:hAnsi="Times New Roman" w:cs="Times New Roman"/>
          <w:bCs/>
          <w:color w:val="auto"/>
          <w:kern w:val="0"/>
          <w:highlight w:val="none"/>
          <w:lang w:bidi="zh-CN"/>
        </w:rPr>
        <w:t>本项目属于甘肃省省级水土流失重点治理区。施工机具设备直接运至项目区内，混凝土均为商品混凝土，施工便道充分利用已有园区道路，项目选址通过选择比较，确定项目选址及施工方案，该方案在实施时拆迁量小，土方开挖较少，依据现有的设施进行改建和拆迁还建，尽量避免对现有场地的破坏。主体设计现场场区布置紧凑，在尽量利用原有设施的基础上减少对土地资源的占用和土石方开挖。施工生产生活区布设在永久占地范围内。综上，通过优化施工工艺和组织，减少了工程占地和土石方量。本项目在建设方案和布局上符合水土保持要求。</w:t>
      </w:r>
    </w:p>
    <w:p w14:paraId="722BFA73">
      <w:pPr>
        <w:shd w:val="clear"/>
        <w:wordWrap w:val="0"/>
        <w:autoSpaceDE w:val="0"/>
        <w:autoSpaceDN w:val="0"/>
        <w:rPr>
          <w:rFonts w:ascii="Times New Roman" w:hAnsi="Times New Roman" w:cs="Times New Roman"/>
          <w:bCs/>
          <w:color w:val="auto"/>
          <w:kern w:val="0"/>
          <w:highlight w:val="none"/>
          <w:lang w:bidi="zh-CN"/>
        </w:rPr>
      </w:pPr>
      <w:r>
        <w:rPr>
          <w:rFonts w:hint="eastAsia" w:ascii="Times New Roman" w:hAnsi="Times New Roman" w:cs="Times New Roman"/>
          <w:bCs/>
          <w:color w:val="auto"/>
          <w:kern w:val="0"/>
          <w:highlight w:val="none"/>
          <w:lang w:bidi="zh-CN"/>
        </w:rPr>
        <w:t>（2）工程占地合理性</w:t>
      </w:r>
    </w:p>
    <w:p w14:paraId="7793D7AD">
      <w:pPr>
        <w:shd w:val="clear"/>
        <w:wordWrap w:val="0"/>
        <w:autoSpaceDE w:val="0"/>
        <w:autoSpaceDN w:val="0"/>
        <w:rPr>
          <w:rFonts w:ascii="Times New Roman" w:hAnsi="Times New Roman" w:cs="Times New Roman"/>
          <w:bCs/>
          <w:color w:val="auto"/>
          <w:kern w:val="0"/>
          <w:highlight w:val="none"/>
          <w:lang w:bidi="zh-CN"/>
        </w:rPr>
      </w:pPr>
      <w:r>
        <w:rPr>
          <w:rFonts w:ascii="Times New Roman" w:hAnsi="Times New Roman" w:cs="Times New Roman"/>
          <w:bCs/>
          <w:color w:val="auto"/>
          <w:kern w:val="0"/>
          <w:highlight w:val="none"/>
          <w:lang w:bidi="zh-CN"/>
        </w:rPr>
        <w:t>工程建设总占地</w:t>
      </w:r>
      <w:r>
        <w:rPr>
          <w:rFonts w:hint="eastAsia" w:ascii="Times New Roman" w:hAnsi="Times New Roman" w:cs="Times New Roman"/>
          <w:bCs/>
          <w:color w:val="auto"/>
          <w:kern w:val="0"/>
          <w:highlight w:val="none"/>
          <w:lang w:bidi="zh-CN"/>
        </w:rPr>
        <w:t>6.8</w:t>
      </w:r>
      <w:r>
        <w:rPr>
          <w:rFonts w:ascii="Times New Roman" w:hAnsi="Times New Roman" w:cs="Times New Roman"/>
          <w:bCs/>
          <w:color w:val="auto"/>
          <w:kern w:val="0"/>
          <w:highlight w:val="none"/>
          <w:lang w:bidi="zh-CN"/>
        </w:rPr>
        <w:t>万m</w:t>
      </w:r>
      <w:r>
        <w:rPr>
          <w:rFonts w:ascii="Times New Roman" w:hAnsi="Times New Roman" w:cs="Times New Roman"/>
          <w:bCs/>
          <w:color w:val="auto"/>
          <w:kern w:val="0"/>
          <w:highlight w:val="none"/>
          <w:vertAlign w:val="superscript"/>
          <w:lang w:bidi="zh-CN"/>
        </w:rPr>
        <w:t>2</w:t>
      </w:r>
      <w:r>
        <w:rPr>
          <w:rFonts w:ascii="Times New Roman" w:hAnsi="Times New Roman" w:cs="Times New Roman"/>
          <w:bCs/>
          <w:color w:val="auto"/>
          <w:kern w:val="0"/>
          <w:highlight w:val="none"/>
          <w:lang w:bidi="zh-CN"/>
        </w:rPr>
        <w:t>，其中新建设施占地面积约0.</w:t>
      </w:r>
      <w:r>
        <w:rPr>
          <w:rFonts w:hint="eastAsia" w:ascii="Times New Roman" w:hAnsi="Times New Roman" w:cs="Times New Roman"/>
          <w:bCs/>
          <w:color w:val="auto"/>
          <w:kern w:val="0"/>
          <w:highlight w:val="none"/>
          <w:lang w:bidi="zh-CN"/>
        </w:rPr>
        <w:t>3</w:t>
      </w:r>
      <w:r>
        <w:rPr>
          <w:rFonts w:ascii="Times New Roman" w:hAnsi="Times New Roman" w:cs="Times New Roman"/>
          <w:bCs/>
          <w:color w:val="auto"/>
          <w:kern w:val="0"/>
          <w:highlight w:val="none"/>
          <w:lang w:bidi="zh-CN"/>
        </w:rPr>
        <w:t>5万m</w:t>
      </w:r>
      <w:r>
        <w:rPr>
          <w:rFonts w:ascii="Times New Roman" w:hAnsi="Times New Roman" w:cs="Times New Roman"/>
          <w:bCs/>
          <w:color w:val="auto"/>
          <w:kern w:val="0"/>
          <w:highlight w:val="none"/>
          <w:vertAlign w:val="superscript"/>
          <w:lang w:bidi="zh-CN"/>
        </w:rPr>
        <w:t>2</w:t>
      </w:r>
      <w:r>
        <w:rPr>
          <w:rFonts w:ascii="Times New Roman" w:hAnsi="Times New Roman" w:cs="Times New Roman"/>
          <w:bCs/>
          <w:color w:val="auto"/>
          <w:kern w:val="0"/>
          <w:highlight w:val="none"/>
          <w:lang w:bidi="zh-CN"/>
        </w:rPr>
        <w:t>。均为工业用地，包括高炉本体、矿焦槽上料系统、热风炉系统、煤气系统、渣处理系统、环境除尘系统等。其中大部分设施原地改造，涉及到总图布置的新建内容主要为：新建</w:t>
      </w:r>
      <w:r>
        <w:rPr>
          <w:rFonts w:hint="eastAsia" w:ascii="Times New Roman" w:hAnsi="Times New Roman" w:cs="Times New Roman"/>
          <w:bCs/>
          <w:color w:val="auto"/>
          <w:kern w:val="0"/>
          <w:highlight w:val="none"/>
          <w:lang w:bidi="zh-CN"/>
        </w:rPr>
        <w:t>2</w:t>
      </w:r>
      <w:r>
        <w:rPr>
          <w:rFonts w:ascii="Times New Roman" w:hAnsi="Times New Roman" w:cs="Times New Roman"/>
          <w:bCs/>
          <w:color w:val="auto"/>
          <w:kern w:val="0"/>
          <w:highlight w:val="none"/>
          <w:lang w:bidi="zh-CN"/>
        </w:rPr>
        <w:t>号高炉出铁场除尘、</w:t>
      </w:r>
      <w:r>
        <w:rPr>
          <w:rFonts w:hint="eastAsia" w:ascii="Times New Roman" w:hAnsi="Times New Roman" w:cs="Times New Roman"/>
          <w:bCs/>
          <w:color w:val="auto"/>
          <w:kern w:val="0"/>
          <w:highlight w:val="none"/>
          <w:lang w:bidi="zh-CN"/>
        </w:rPr>
        <w:t>新建灰仓及平台等。</w:t>
      </w:r>
    </w:p>
    <w:p w14:paraId="799C78F1">
      <w:pPr>
        <w:shd w:val="clear"/>
        <w:wordWrap w:val="0"/>
        <w:rPr>
          <w:rFonts w:ascii="Times New Roman" w:hAnsi="Times New Roman" w:cs="Times New Roman"/>
          <w:bCs/>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ascii="Times New Roman" w:hAnsi="Times New Roman" w:cs="Times New Roman"/>
          <w:bCs/>
          <w:color w:val="auto"/>
          <w:kern w:val="0"/>
          <w:highlight w:val="none"/>
          <w:lang w:bidi="zh-CN"/>
        </w:rPr>
        <w:t>施工生产生活区及临时堆土区布置在永久占地范围内，无新增临时占地。施工道路充分利用现有交通道路，减少扰动地表面积。工程占地面积、性质、类型基本合理。</w:t>
      </w:r>
    </w:p>
    <w:p w14:paraId="6D7FC2B8">
      <w:pPr>
        <w:shd w:val="clear"/>
        <w:autoSpaceDE w:val="0"/>
        <w:autoSpaceDN w:val="0"/>
        <w:spacing w:line="240" w:lineRule="auto"/>
        <w:ind w:firstLine="0" w:firstLineChars="0"/>
        <w:jc w:val="center"/>
        <w:rPr>
          <w:rFonts w:cs="宋体"/>
          <w:color w:val="auto"/>
          <w:kern w:val="0"/>
          <w:szCs w:val="22"/>
          <w:highlight w:val="none"/>
          <w:lang w:bidi="zh-CN"/>
        </w:rPr>
      </w:pPr>
      <w:r>
        <w:rPr>
          <w:rFonts w:hint="eastAsia" w:cs="宋体"/>
          <w:color w:val="auto"/>
          <w:kern w:val="0"/>
          <w:szCs w:val="22"/>
          <w:highlight w:val="none"/>
        </w:rPr>
        <w:drawing>
          <wp:inline distT="0" distB="0" distL="114300" distR="114300">
            <wp:extent cx="4919980" cy="6956425"/>
            <wp:effectExtent l="0" t="0" r="15875" b="13970"/>
            <wp:docPr id="6" name="图片 6" descr="酒钢2#高炉矿槽改造总图2024.12.0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酒钢2#高炉矿槽改造总图2024.12.03_00"/>
                    <pic:cNvPicPr>
                      <a:picLocks noChangeAspect="1"/>
                    </pic:cNvPicPr>
                  </pic:nvPicPr>
                  <pic:blipFill>
                    <a:blip r:embed="rId23"/>
                    <a:stretch>
                      <a:fillRect/>
                    </a:stretch>
                  </pic:blipFill>
                  <pic:spPr>
                    <a:xfrm rot="16200000">
                      <a:off x="0" y="0"/>
                      <a:ext cx="4919980" cy="6956425"/>
                    </a:xfrm>
                    <a:prstGeom prst="rect">
                      <a:avLst/>
                    </a:prstGeom>
                  </pic:spPr>
                </pic:pic>
              </a:graphicData>
            </a:graphic>
          </wp:inline>
        </w:drawing>
      </w:r>
    </w:p>
    <w:p w14:paraId="09A50F78">
      <w:pPr>
        <w:shd w:val="clear"/>
        <w:jc w:val="center"/>
        <w:rPr>
          <w:rFonts w:ascii="Times New Roman" w:hAnsi="Times New Roman" w:eastAsia="黑体" w:cs="Times New Roman"/>
          <w:bCs/>
          <w:color w:val="auto"/>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ascii="Times New Roman" w:hAnsi="Times New Roman" w:eastAsia="黑体" w:cs="Times New Roman"/>
          <w:bCs/>
          <w:color w:val="auto"/>
          <w:highlight w:val="none"/>
        </w:rPr>
        <w:t>图</w:t>
      </w:r>
      <w:r>
        <w:rPr>
          <w:rFonts w:hint="eastAsia" w:ascii="Times New Roman" w:hAnsi="Times New Roman" w:eastAsia="黑体" w:cs="Times New Roman"/>
          <w:bCs/>
          <w:color w:val="auto"/>
          <w:highlight w:val="none"/>
        </w:rPr>
        <w:t>19.3-1</w:t>
      </w:r>
      <w:r>
        <w:rPr>
          <w:rFonts w:ascii="Times New Roman" w:hAnsi="Times New Roman" w:eastAsia="黑体" w:cs="Times New Roman"/>
          <w:bCs/>
          <w:color w:val="auto"/>
          <w:highlight w:val="none"/>
        </w:rPr>
        <w:t xml:space="preserve">  </w:t>
      </w:r>
      <w:r>
        <w:rPr>
          <w:rFonts w:hint="eastAsia" w:ascii="Times New Roman" w:hAnsi="Times New Roman" w:eastAsia="黑体" w:cs="Times New Roman"/>
          <w:bCs/>
          <w:color w:val="auto"/>
          <w:highlight w:val="none"/>
        </w:rPr>
        <w:t>2</w:t>
      </w:r>
      <w:r>
        <w:rPr>
          <w:rFonts w:ascii="Times New Roman" w:hAnsi="Times New Roman" w:eastAsia="黑体" w:cs="Times New Roman"/>
          <w:bCs/>
          <w:color w:val="auto"/>
          <w:highlight w:val="none"/>
        </w:rPr>
        <w:t>号高炉平面布置图</w:t>
      </w:r>
    </w:p>
    <w:p w14:paraId="16AEECD2">
      <w:pPr>
        <w:shd w:val="clear"/>
        <w:wordWrap w:val="0"/>
        <w:autoSpaceDE w:val="0"/>
        <w:autoSpaceDN w:val="0"/>
        <w:rPr>
          <w:rFonts w:ascii="Times New Roman" w:hAnsi="Times New Roman" w:cs="Times New Roman"/>
          <w:bCs/>
          <w:color w:val="auto"/>
          <w:kern w:val="0"/>
          <w:highlight w:val="none"/>
          <w:lang w:bidi="zh-CN"/>
        </w:rPr>
      </w:pPr>
      <w:r>
        <w:rPr>
          <w:rFonts w:hint="eastAsia" w:ascii="Times New Roman" w:hAnsi="Times New Roman" w:cs="Times New Roman"/>
          <w:bCs/>
          <w:color w:val="auto"/>
          <w:kern w:val="0"/>
          <w:highlight w:val="none"/>
          <w:lang w:bidi="zh-CN"/>
        </w:rPr>
        <w:t>（</w:t>
      </w:r>
      <w:r>
        <w:rPr>
          <w:rFonts w:ascii="Times New Roman" w:hAnsi="Times New Roman" w:cs="Times New Roman"/>
          <w:bCs/>
          <w:color w:val="auto"/>
          <w:kern w:val="0"/>
          <w:highlight w:val="none"/>
          <w:lang w:bidi="zh-CN"/>
        </w:rPr>
        <w:t>3）土石方平衡</w:t>
      </w:r>
    </w:p>
    <w:p w14:paraId="23E73A55">
      <w:pPr>
        <w:shd w:val="clear"/>
        <w:wordWrap w:val="0"/>
        <w:autoSpaceDE w:val="0"/>
        <w:autoSpaceDN w:val="0"/>
        <w:rPr>
          <w:rFonts w:ascii="Times New Roman" w:hAnsi="Times New Roman" w:cs="Times New Roman"/>
          <w:bCs/>
          <w:color w:val="auto"/>
          <w:kern w:val="0"/>
          <w:highlight w:val="none"/>
          <w:lang w:bidi="zh-CN"/>
        </w:rPr>
      </w:pPr>
      <w:r>
        <w:rPr>
          <w:rFonts w:ascii="Times New Roman" w:hAnsi="Times New Roman" w:cs="Times New Roman"/>
          <w:bCs/>
          <w:color w:val="auto"/>
          <w:kern w:val="0"/>
          <w:highlight w:val="none"/>
          <w:lang w:bidi="zh-CN"/>
        </w:rPr>
        <w:t>本工程新建设施区域地形标高与现有场地一致。土石方主要为建筑物基础开挖余土及拆迁产生的建筑垃圾。</w:t>
      </w:r>
    </w:p>
    <w:p w14:paraId="11AD29EF">
      <w:pPr>
        <w:shd w:val="clear"/>
        <w:wordWrap w:val="0"/>
        <w:autoSpaceDE w:val="0"/>
        <w:autoSpaceDN w:val="0"/>
        <w:rPr>
          <w:rFonts w:ascii="Times New Roman" w:hAnsi="Times New Roman" w:cs="Times New Roman"/>
          <w:bCs/>
          <w:color w:val="auto"/>
          <w:kern w:val="0"/>
          <w:highlight w:val="none"/>
          <w:lang w:bidi="zh-CN"/>
        </w:rPr>
      </w:pPr>
      <w:r>
        <w:rPr>
          <w:rFonts w:ascii="Times New Roman" w:hAnsi="Times New Roman" w:cs="Times New Roman"/>
          <w:bCs/>
          <w:color w:val="auto"/>
          <w:kern w:val="0"/>
          <w:highlight w:val="none"/>
          <w:lang w:bidi="zh-CN"/>
        </w:rPr>
        <w:t>无法回收利用的拆迁建筑垃圾统一拉运至酒钢建筑垃圾处理场合理处置，弃方拉运后的水保防治责任由酒钢建筑垃圾处置场负责。</w:t>
      </w:r>
    </w:p>
    <w:p w14:paraId="4F92896F">
      <w:pPr>
        <w:shd w:val="clear"/>
        <w:wordWrap w:val="0"/>
        <w:autoSpaceDE w:val="0"/>
        <w:autoSpaceDN w:val="0"/>
        <w:rPr>
          <w:rFonts w:ascii="Times New Roman" w:hAnsi="Times New Roman" w:cs="Times New Roman"/>
          <w:bCs/>
          <w:color w:val="auto"/>
          <w:kern w:val="0"/>
          <w:highlight w:val="none"/>
          <w:lang w:bidi="zh-CN"/>
        </w:rPr>
      </w:pPr>
      <w:r>
        <w:rPr>
          <w:rFonts w:hint="eastAsia" w:ascii="Times New Roman" w:hAnsi="Times New Roman" w:cs="Times New Roman"/>
          <w:bCs/>
          <w:color w:val="auto"/>
          <w:kern w:val="0"/>
          <w:highlight w:val="none"/>
          <w:lang w:bidi="zh-CN"/>
        </w:rPr>
        <w:t>（</w:t>
      </w:r>
      <w:r>
        <w:rPr>
          <w:rFonts w:ascii="Times New Roman" w:hAnsi="Times New Roman" w:cs="Times New Roman"/>
          <w:bCs/>
          <w:color w:val="auto"/>
          <w:kern w:val="0"/>
          <w:highlight w:val="none"/>
          <w:lang w:bidi="zh-CN"/>
        </w:rPr>
        <w:t>4）本工程不设取土（料）场，所需建筑材料均为外购。</w:t>
      </w:r>
    </w:p>
    <w:p w14:paraId="6D899411">
      <w:pPr>
        <w:shd w:val="clear"/>
        <w:wordWrap w:val="0"/>
        <w:autoSpaceDE w:val="0"/>
        <w:autoSpaceDN w:val="0"/>
        <w:rPr>
          <w:rFonts w:ascii="Times New Roman" w:hAnsi="Times New Roman" w:cs="Times New Roman"/>
          <w:bCs/>
          <w:color w:val="auto"/>
          <w:kern w:val="0"/>
          <w:highlight w:val="none"/>
          <w:lang w:bidi="zh-CN"/>
        </w:rPr>
      </w:pPr>
      <w:r>
        <w:rPr>
          <w:rFonts w:hint="eastAsia" w:ascii="Times New Roman" w:hAnsi="Times New Roman" w:cs="Times New Roman"/>
          <w:bCs/>
          <w:color w:val="auto"/>
          <w:kern w:val="0"/>
          <w:highlight w:val="none"/>
          <w:lang w:bidi="zh-CN"/>
        </w:rPr>
        <w:t>（</w:t>
      </w:r>
      <w:r>
        <w:rPr>
          <w:rFonts w:ascii="Times New Roman" w:hAnsi="Times New Roman" w:cs="Times New Roman"/>
          <w:bCs/>
          <w:color w:val="auto"/>
          <w:kern w:val="0"/>
          <w:highlight w:val="none"/>
          <w:lang w:bidi="zh-CN"/>
        </w:rPr>
        <w:t>5）弃土（渣）场</w:t>
      </w:r>
    </w:p>
    <w:p w14:paraId="17C53A4A">
      <w:pPr>
        <w:shd w:val="clear"/>
        <w:wordWrap w:val="0"/>
        <w:autoSpaceDE w:val="0"/>
        <w:autoSpaceDN w:val="0"/>
        <w:rPr>
          <w:rFonts w:ascii="Times New Roman" w:hAnsi="Times New Roman" w:cs="Times New Roman"/>
          <w:bCs/>
          <w:color w:val="auto"/>
          <w:kern w:val="0"/>
          <w:highlight w:val="none"/>
          <w:lang w:bidi="zh-CN"/>
        </w:rPr>
      </w:pPr>
      <w:r>
        <w:rPr>
          <w:rFonts w:ascii="Times New Roman" w:hAnsi="Times New Roman" w:cs="Times New Roman"/>
          <w:bCs/>
          <w:color w:val="auto"/>
          <w:kern w:val="0"/>
          <w:highlight w:val="none"/>
          <w:lang w:bidi="zh-CN"/>
        </w:rPr>
        <w:t>本项目不设置弃渣场，弃方清运至酒钢建筑垃圾处理场。酒钢建筑垃圾处理场位于嘉峪关市嘉北工业园区八昼夜滩，日处理建筑垃圾80t/d。酒钢工业垃圾场占地类型为荒漠戈壁，弃渣场对周边公共设施、工业企业、居民点等的安全无影响；弃渣场位置不涉及水土流失重点预防区和重点治理区。</w:t>
      </w:r>
    </w:p>
    <w:p w14:paraId="4FF11050">
      <w:pPr>
        <w:shd w:val="clear"/>
        <w:wordWrap w:val="0"/>
        <w:autoSpaceDE w:val="0"/>
        <w:autoSpaceDN w:val="0"/>
        <w:rPr>
          <w:rFonts w:ascii="Times New Roman" w:hAnsi="Times New Roman" w:cs="Times New Roman"/>
          <w:bCs/>
          <w:color w:val="auto"/>
          <w:kern w:val="0"/>
          <w:highlight w:val="none"/>
          <w:lang w:bidi="zh-CN"/>
        </w:rPr>
      </w:pPr>
      <w:r>
        <w:rPr>
          <w:rFonts w:hint="eastAsia" w:ascii="Times New Roman" w:hAnsi="Times New Roman" w:cs="Times New Roman"/>
          <w:bCs/>
          <w:color w:val="auto"/>
          <w:kern w:val="0"/>
          <w:highlight w:val="none"/>
          <w:lang w:bidi="zh-CN"/>
        </w:rPr>
        <w:t>（</w:t>
      </w:r>
      <w:r>
        <w:rPr>
          <w:rFonts w:ascii="Times New Roman" w:hAnsi="Times New Roman" w:cs="Times New Roman"/>
          <w:bCs/>
          <w:color w:val="auto"/>
          <w:kern w:val="0"/>
          <w:highlight w:val="none"/>
          <w:lang w:bidi="zh-CN"/>
        </w:rPr>
        <w:t>6）主体工程施工方法与工艺</w:t>
      </w:r>
    </w:p>
    <w:p w14:paraId="0BC1F7FF">
      <w:pPr>
        <w:shd w:val="clear"/>
        <w:wordWrap w:val="0"/>
        <w:autoSpaceDE w:val="0"/>
        <w:autoSpaceDN w:val="0"/>
        <w:rPr>
          <w:rFonts w:ascii="Times New Roman" w:hAnsi="Times New Roman" w:cs="Times New Roman"/>
          <w:bCs/>
          <w:color w:val="auto"/>
          <w:kern w:val="0"/>
          <w:highlight w:val="none"/>
          <w:lang w:bidi="zh-CN"/>
        </w:rPr>
      </w:pPr>
      <w:r>
        <w:rPr>
          <w:rFonts w:ascii="Times New Roman" w:hAnsi="Times New Roman" w:cs="Times New Roman"/>
          <w:bCs/>
          <w:color w:val="auto"/>
          <w:kern w:val="0"/>
          <w:highlight w:val="none"/>
          <w:lang w:bidi="zh-CN"/>
        </w:rPr>
        <w:t>主体工程在设计方面体现了</w:t>
      </w:r>
      <w:r>
        <w:rPr>
          <w:rFonts w:hint="eastAsia" w:ascii="Times New Roman" w:hAnsi="Times New Roman" w:cs="Times New Roman"/>
          <w:bCs/>
          <w:color w:val="auto"/>
          <w:kern w:val="0"/>
          <w:highlight w:val="none"/>
          <w:lang w:bidi="zh-CN"/>
        </w:rPr>
        <w:t>“</w:t>
      </w:r>
      <w:r>
        <w:rPr>
          <w:rFonts w:ascii="Times New Roman" w:hAnsi="Times New Roman" w:cs="Times New Roman"/>
          <w:bCs/>
          <w:color w:val="auto"/>
          <w:kern w:val="0"/>
          <w:highlight w:val="none"/>
          <w:lang w:bidi="zh-CN"/>
        </w:rPr>
        <w:t>环保、和谐</w:t>
      </w:r>
      <w:r>
        <w:rPr>
          <w:rFonts w:hint="eastAsia" w:ascii="Times New Roman" w:hAnsi="Times New Roman" w:cs="Times New Roman"/>
          <w:bCs/>
          <w:color w:val="auto"/>
          <w:kern w:val="0"/>
          <w:highlight w:val="none"/>
          <w:lang w:bidi="zh-CN"/>
        </w:rPr>
        <w:t>”</w:t>
      </w:r>
      <w:r>
        <w:rPr>
          <w:rFonts w:ascii="Times New Roman" w:hAnsi="Times New Roman" w:cs="Times New Roman"/>
          <w:bCs/>
          <w:color w:val="auto"/>
          <w:kern w:val="0"/>
          <w:highlight w:val="none"/>
          <w:lang w:bidi="zh-CN"/>
        </w:rPr>
        <w:t>的新理念，在施工组织、施工方法与工艺方面进行了科学的规划与合理安排，并制定出相应的管理制度。施工组织设计上无水土保持限制性因素。</w:t>
      </w:r>
    </w:p>
    <w:p w14:paraId="35897F5C">
      <w:pPr>
        <w:shd w:val="clear"/>
        <w:wordWrap w:val="0"/>
        <w:autoSpaceDE w:val="0"/>
        <w:autoSpaceDN w:val="0"/>
        <w:rPr>
          <w:rFonts w:ascii="Times New Roman" w:hAnsi="Times New Roman" w:cs="Times New Roman"/>
          <w:bCs/>
          <w:color w:val="auto"/>
          <w:kern w:val="0"/>
          <w:highlight w:val="none"/>
          <w:lang w:bidi="zh-CN"/>
        </w:rPr>
      </w:pPr>
      <w:r>
        <w:rPr>
          <w:rFonts w:ascii="Times New Roman" w:hAnsi="Times New Roman" w:cs="Times New Roman"/>
          <w:bCs/>
          <w:color w:val="auto"/>
          <w:kern w:val="0"/>
          <w:highlight w:val="none"/>
          <w:lang w:bidi="zh-CN"/>
        </w:rPr>
        <w:t>项目在建设中将严格控制扰动地表和植被损坏范围、减少工程占地、加强工程管理、优化施工工艺，加强水土保持监督执法，在方案设计过程中同时提高防治标准控制水土流失。</w:t>
      </w:r>
    </w:p>
    <w:p w14:paraId="38B42414">
      <w:pPr>
        <w:shd w:val="clear"/>
        <w:wordWrap w:val="0"/>
        <w:autoSpaceDE w:val="0"/>
        <w:autoSpaceDN w:val="0"/>
        <w:rPr>
          <w:rFonts w:ascii="Times New Roman" w:hAnsi="Times New Roman" w:cs="Times New Roman"/>
          <w:bCs/>
          <w:color w:val="auto"/>
          <w:kern w:val="0"/>
          <w:highlight w:val="none"/>
          <w:lang w:bidi="zh-CN"/>
        </w:rPr>
      </w:pPr>
      <w:r>
        <w:rPr>
          <w:rFonts w:ascii="Times New Roman" w:hAnsi="Times New Roman" w:cs="Times New Roman"/>
          <w:bCs/>
          <w:color w:val="auto"/>
          <w:kern w:val="0"/>
          <w:highlight w:val="none"/>
          <w:lang w:bidi="zh-CN"/>
        </w:rPr>
        <w:t>从工程施工工艺、方法分析，项目建设采取通常施工工艺，挖掘主要以机械施工为主，平整场地以机械为主配合人工施工。</w:t>
      </w:r>
    </w:p>
    <w:p w14:paraId="5C985553">
      <w:pPr>
        <w:keepNext/>
        <w:keepLines/>
        <w:numPr>
          <w:ilvl w:val="2"/>
          <w:numId w:val="0"/>
        </w:numPr>
        <w:shd w:val="clear"/>
        <w:adjustRightInd w:val="0"/>
        <w:spacing w:before="120"/>
        <w:textAlignment w:val="baseline"/>
        <w:outlineLvl w:val="2"/>
        <w:rPr>
          <w:rFonts w:ascii="Times New Roman" w:hAnsi="Times New Roman" w:cs="Times New Roman"/>
          <w:bCs/>
          <w:color w:val="auto"/>
          <w:kern w:val="0"/>
          <w:highlight w:val="none"/>
          <w:lang w:bidi="zh-CN"/>
        </w:rPr>
      </w:pPr>
      <w:r>
        <w:rPr>
          <w:rFonts w:hint="eastAsia" w:ascii="Times New Roman" w:hAnsi="Times New Roman" w:cs="Times New Roman"/>
          <w:bCs/>
          <w:color w:val="auto"/>
          <w:kern w:val="0"/>
          <w:highlight w:val="none"/>
          <w:lang w:bidi="zh-CN"/>
        </w:rPr>
        <w:t>19.3.2水土保持措施</w:t>
      </w:r>
    </w:p>
    <w:p w14:paraId="57DE5E61">
      <w:pPr>
        <w:shd w:val="clear"/>
        <w:wordWrap w:val="0"/>
        <w:autoSpaceDE w:val="0"/>
        <w:autoSpaceDN w:val="0"/>
        <w:rPr>
          <w:rFonts w:ascii="Times New Roman" w:hAnsi="Times New Roman" w:cs="Times New Roman"/>
          <w:bCs/>
          <w:color w:val="auto"/>
          <w:kern w:val="0"/>
          <w:highlight w:val="none"/>
          <w:lang w:bidi="zh-CN"/>
        </w:rPr>
      </w:pPr>
      <w:r>
        <w:rPr>
          <w:rFonts w:ascii="Times New Roman" w:hAnsi="Times New Roman" w:cs="Times New Roman"/>
          <w:bCs/>
          <w:color w:val="auto"/>
          <w:kern w:val="0"/>
          <w:highlight w:val="none"/>
          <w:lang w:bidi="zh-CN"/>
        </w:rPr>
        <w:t>本工程大部分设施原地改造，新建内容主要为：新建</w:t>
      </w:r>
      <w:r>
        <w:rPr>
          <w:rFonts w:hint="eastAsia" w:ascii="Times New Roman" w:hAnsi="Times New Roman" w:cs="Times New Roman"/>
          <w:bCs/>
          <w:color w:val="auto"/>
          <w:kern w:val="0"/>
          <w:highlight w:val="none"/>
          <w:lang w:bidi="zh-CN"/>
        </w:rPr>
        <w:t>2</w:t>
      </w:r>
      <w:r>
        <w:rPr>
          <w:rFonts w:ascii="Times New Roman" w:hAnsi="Times New Roman" w:cs="Times New Roman"/>
          <w:bCs/>
          <w:color w:val="auto"/>
          <w:kern w:val="0"/>
          <w:highlight w:val="none"/>
          <w:lang w:bidi="zh-CN"/>
        </w:rPr>
        <w:t>号高炉出铁场除尘、</w:t>
      </w:r>
      <w:r>
        <w:rPr>
          <w:rFonts w:hint="eastAsia" w:ascii="Times New Roman" w:hAnsi="Times New Roman" w:cs="Times New Roman"/>
          <w:bCs/>
          <w:color w:val="auto"/>
          <w:kern w:val="0"/>
          <w:highlight w:val="none"/>
          <w:lang w:bidi="zh-CN"/>
        </w:rPr>
        <w:t>新建集中灰仓及平台等。</w:t>
      </w:r>
      <w:r>
        <w:rPr>
          <w:rFonts w:ascii="Times New Roman" w:hAnsi="Times New Roman" w:cs="Times New Roman"/>
          <w:bCs/>
          <w:color w:val="auto"/>
          <w:kern w:val="0"/>
          <w:highlight w:val="none"/>
          <w:lang w:bidi="zh-CN"/>
        </w:rPr>
        <w:t>新建内容主要施工特点：施工期原有构建筑物拆迁、基础土方开挖、填筑动用土石方量较大，对土壤扰动剧烈。易发生风力侵蚀，易发生水土流失。</w:t>
      </w:r>
    </w:p>
    <w:p w14:paraId="02A46243">
      <w:pPr>
        <w:shd w:val="clear"/>
        <w:rPr>
          <w:color w:val="auto"/>
          <w:highlight w:val="none"/>
        </w:rPr>
      </w:pPr>
      <w:bookmarkStart w:id="1904" w:name="_Toc26169"/>
      <w:r>
        <w:rPr>
          <w:rFonts w:hint="eastAsia"/>
          <w:color w:val="auto"/>
          <w:highlight w:val="none"/>
        </w:rPr>
        <w:t>1、</w:t>
      </w:r>
      <w:r>
        <w:rPr>
          <w:color w:val="auto"/>
          <w:highlight w:val="none"/>
        </w:rPr>
        <w:t>水土保持措施</w:t>
      </w:r>
      <w:bookmarkEnd w:id="1904"/>
    </w:p>
    <w:p w14:paraId="5B021775">
      <w:pPr>
        <w:shd w:val="clear"/>
        <w:wordWrap w:val="0"/>
        <w:autoSpaceDE w:val="0"/>
        <w:autoSpaceDN w:val="0"/>
        <w:rPr>
          <w:rFonts w:ascii="Times New Roman" w:hAnsi="Times New Roman" w:cs="Times New Roman"/>
          <w:bCs/>
          <w:color w:val="auto"/>
          <w:kern w:val="0"/>
          <w:highlight w:val="none"/>
          <w:lang w:bidi="zh-CN"/>
        </w:rPr>
      </w:pPr>
      <w:r>
        <w:rPr>
          <w:rFonts w:ascii="Times New Roman" w:hAnsi="Times New Roman" w:cs="Times New Roman"/>
          <w:bCs/>
          <w:color w:val="auto"/>
          <w:kern w:val="0"/>
          <w:highlight w:val="none"/>
          <w:lang w:bidi="zh-CN"/>
        </w:rPr>
        <w:t>本工程水土流失综合防治体系由主体工程中已具备水土保持功能的措施和本方案新增的水土保持措施构成。水土保持措施由工程措施、植物措施和临时措施相结合的综合防护措施，在时间上、空间上形成水土保持措施体系。具体措施如下：</w:t>
      </w:r>
    </w:p>
    <w:p w14:paraId="0D1DD916">
      <w:pPr>
        <w:shd w:val="clear"/>
        <w:rPr>
          <w:color w:val="auto"/>
          <w:highlight w:val="none"/>
        </w:rPr>
      </w:pPr>
      <w:bookmarkStart w:id="1905" w:name="_Toc17738"/>
      <w:r>
        <w:rPr>
          <w:color w:val="auto"/>
          <w:highlight w:val="none"/>
        </w:rPr>
        <w:t>（</w:t>
      </w:r>
      <w:r>
        <w:rPr>
          <w:rFonts w:hint="eastAsia"/>
          <w:color w:val="auto"/>
          <w:highlight w:val="none"/>
        </w:rPr>
        <w:t>1</w:t>
      </w:r>
      <w:r>
        <w:rPr>
          <w:color w:val="auto"/>
          <w:highlight w:val="none"/>
        </w:rPr>
        <w:t>）地面硬化</w:t>
      </w:r>
      <w:bookmarkEnd w:id="1905"/>
    </w:p>
    <w:p w14:paraId="16E0F449">
      <w:pPr>
        <w:shd w:val="clear"/>
        <w:wordWrap w:val="0"/>
        <w:autoSpaceDE w:val="0"/>
        <w:autoSpaceDN w:val="0"/>
        <w:rPr>
          <w:rFonts w:ascii="Times New Roman" w:hAnsi="Times New Roman" w:cs="Times New Roman"/>
          <w:bCs/>
          <w:color w:val="auto"/>
          <w:kern w:val="0"/>
          <w:highlight w:val="none"/>
          <w:lang w:bidi="zh-CN"/>
        </w:rPr>
      </w:pPr>
      <w:r>
        <w:rPr>
          <w:rFonts w:ascii="Times New Roman" w:hAnsi="Times New Roman" w:cs="Times New Roman"/>
          <w:bCs/>
          <w:color w:val="auto"/>
          <w:kern w:val="0"/>
          <w:highlight w:val="none"/>
          <w:lang w:bidi="zh-CN"/>
        </w:rPr>
        <w:t xml:space="preserve">新建除尘器区、冷却塔区除建构筑物外，地面后期均硬化。 </w:t>
      </w:r>
    </w:p>
    <w:p w14:paraId="68F8FD79">
      <w:pPr>
        <w:shd w:val="clear"/>
        <w:rPr>
          <w:color w:val="auto"/>
          <w:highlight w:val="none"/>
        </w:rPr>
      </w:pPr>
      <w:bookmarkStart w:id="1906" w:name="_Toc26094"/>
      <w:r>
        <w:rPr>
          <w:color w:val="auto"/>
          <w:highlight w:val="none"/>
        </w:rPr>
        <w:t>（</w:t>
      </w:r>
      <w:r>
        <w:rPr>
          <w:rFonts w:hint="eastAsia"/>
          <w:color w:val="auto"/>
          <w:highlight w:val="none"/>
        </w:rPr>
        <w:t>2</w:t>
      </w:r>
      <w:r>
        <w:rPr>
          <w:color w:val="auto"/>
          <w:highlight w:val="none"/>
        </w:rPr>
        <w:t>）堆土苫盖</w:t>
      </w:r>
      <w:bookmarkEnd w:id="1906"/>
    </w:p>
    <w:p w14:paraId="54AC571E">
      <w:pPr>
        <w:shd w:val="clear"/>
        <w:wordWrap w:val="0"/>
        <w:autoSpaceDE w:val="0"/>
        <w:autoSpaceDN w:val="0"/>
        <w:rPr>
          <w:rFonts w:ascii="Times New Roman" w:hAnsi="Times New Roman" w:cs="Times New Roman"/>
          <w:bCs/>
          <w:color w:val="auto"/>
          <w:kern w:val="0"/>
          <w:highlight w:val="none"/>
          <w:lang w:bidi="zh-CN"/>
        </w:rPr>
      </w:pPr>
      <w:r>
        <w:rPr>
          <w:rFonts w:ascii="Times New Roman" w:hAnsi="Times New Roman" w:cs="Times New Roman"/>
          <w:bCs/>
          <w:color w:val="auto"/>
          <w:kern w:val="0"/>
          <w:highlight w:val="none"/>
          <w:lang w:bidi="zh-CN"/>
        </w:rPr>
        <w:t>本区临时堆土主要来源于建构筑物基础开挖产生的土方。</w:t>
      </w:r>
    </w:p>
    <w:p w14:paraId="0BE4C9E2">
      <w:pPr>
        <w:shd w:val="clear"/>
        <w:wordWrap w:val="0"/>
        <w:autoSpaceDE w:val="0"/>
        <w:autoSpaceDN w:val="0"/>
        <w:rPr>
          <w:rFonts w:ascii="Times New Roman" w:hAnsi="Times New Roman" w:cs="Times New Roman"/>
          <w:bCs/>
          <w:color w:val="auto"/>
          <w:kern w:val="0"/>
          <w:highlight w:val="none"/>
          <w:lang w:bidi="zh-CN"/>
        </w:rPr>
      </w:pPr>
      <w:r>
        <w:rPr>
          <w:rFonts w:ascii="Times New Roman" w:hAnsi="Times New Roman" w:cs="Times New Roman"/>
          <w:bCs/>
          <w:color w:val="auto"/>
          <w:kern w:val="0"/>
          <w:highlight w:val="none"/>
          <w:lang w:bidi="zh-CN"/>
        </w:rPr>
        <w:t>施工期的临时堆存土石方采取临时防护措施，堆放场地应尽量少占地，减少扰动破坏。堆放时按照</w:t>
      </w:r>
      <w:r>
        <w:rPr>
          <w:rFonts w:hint="eastAsia" w:ascii="Times New Roman" w:hAnsi="Times New Roman" w:cs="Times New Roman"/>
          <w:bCs/>
          <w:color w:val="auto"/>
          <w:kern w:val="0"/>
          <w:highlight w:val="none"/>
          <w:lang w:bidi="zh-CN"/>
        </w:rPr>
        <w:t>“</w:t>
      </w:r>
      <w:r>
        <w:rPr>
          <w:rFonts w:ascii="Times New Roman" w:hAnsi="Times New Roman" w:cs="Times New Roman"/>
          <w:bCs/>
          <w:color w:val="auto"/>
          <w:kern w:val="0"/>
          <w:highlight w:val="none"/>
          <w:lang w:bidi="zh-CN"/>
        </w:rPr>
        <w:t>先挡后弃</w:t>
      </w:r>
      <w:r>
        <w:rPr>
          <w:rFonts w:hint="eastAsia" w:ascii="Times New Roman" w:hAnsi="Times New Roman" w:cs="Times New Roman"/>
          <w:bCs/>
          <w:color w:val="auto"/>
          <w:kern w:val="0"/>
          <w:highlight w:val="none"/>
          <w:lang w:bidi="zh-CN"/>
        </w:rPr>
        <w:t>”</w:t>
      </w:r>
      <w:r>
        <w:rPr>
          <w:rFonts w:ascii="Times New Roman" w:hAnsi="Times New Roman" w:cs="Times New Roman"/>
          <w:bCs/>
          <w:color w:val="auto"/>
          <w:kern w:val="0"/>
          <w:highlight w:val="none"/>
          <w:lang w:bidi="zh-CN"/>
        </w:rPr>
        <w:t>的原则，在堆放临时堆土前对临时堆土周边设置临时挡土设施，堆土体表面用密目网苫盖，防止风力侵蚀。</w:t>
      </w:r>
    </w:p>
    <w:p w14:paraId="763D3B55">
      <w:pPr>
        <w:shd w:val="clear"/>
        <w:rPr>
          <w:color w:val="auto"/>
          <w:highlight w:val="none"/>
        </w:rPr>
      </w:pPr>
      <w:bookmarkStart w:id="1907" w:name="_Toc14889"/>
      <w:r>
        <w:rPr>
          <w:color w:val="auto"/>
          <w:highlight w:val="none"/>
        </w:rPr>
        <w:t>（</w:t>
      </w:r>
      <w:r>
        <w:rPr>
          <w:rFonts w:hint="eastAsia"/>
          <w:color w:val="auto"/>
          <w:highlight w:val="none"/>
        </w:rPr>
        <w:t>3</w:t>
      </w:r>
      <w:r>
        <w:rPr>
          <w:color w:val="auto"/>
          <w:highlight w:val="none"/>
        </w:rPr>
        <w:t>）洒水除尘</w:t>
      </w:r>
      <w:bookmarkEnd w:id="1907"/>
    </w:p>
    <w:p w14:paraId="2922D453">
      <w:pPr>
        <w:shd w:val="clear"/>
        <w:wordWrap w:val="0"/>
        <w:autoSpaceDE w:val="0"/>
        <w:autoSpaceDN w:val="0"/>
        <w:rPr>
          <w:rFonts w:ascii="Times New Roman" w:hAnsi="Times New Roman" w:cs="Times New Roman"/>
          <w:bCs/>
          <w:color w:val="auto"/>
          <w:kern w:val="0"/>
          <w:highlight w:val="none"/>
          <w:lang w:bidi="zh-CN"/>
        </w:rPr>
      </w:pPr>
      <w:r>
        <w:rPr>
          <w:rFonts w:ascii="Times New Roman" w:hAnsi="Times New Roman" w:cs="Times New Roman"/>
          <w:bCs/>
          <w:color w:val="auto"/>
          <w:kern w:val="0"/>
          <w:highlight w:val="none"/>
          <w:lang w:bidi="zh-CN"/>
        </w:rPr>
        <w:t>在施工期期对场地进行洒水抑尘，每天洒水至少1次，具体洒水次数及洒水量根据实际天气情况进行调整。</w:t>
      </w:r>
    </w:p>
    <w:p w14:paraId="411AB45C">
      <w:pPr>
        <w:shd w:val="clear"/>
        <w:rPr>
          <w:color w:val="auto"/>
          <w:highlight w:val="none"/>
        </w:rPr>
      </w:pPr>
      <w:bookmarkStart w:id="1908" w:name="_Toc3057"/>
      <w:r>
        <w:rPr>
          <w:color w:val="auto"/>
          <w:highlight w:val="none"/>
        </w:rPr>
        <w:t>（</w:t>
      </w:r>
      <w:r>
        <w:rPr>
          <w:rFonts w:hint="eastAsia"/>
          <w:color w:val="auto"/>
          <w:highlight w:val="none"/>
        </w:rPr>
        <w:t>4</w:t>
      </w:r>
      <w:r>
        <w:rPr>
          <w:color w:val="auto"/>
          <w:highlight w:val="none"/>
        </w:rPr>
        <w:t>）运输车辆苫盖</w:t>
      </w:r>
      <w:bookmarkEnd w:id="1908"/>
    </w:p>
    <w:p w14:paraId="79162C74">
      <w:pPr>
        <w:shd w:val="clear"/>
        <w:wordWrap w:val="0"/>
        <w:autoSpaceDE w:val="0"/>
        <w:autoSpaceDN w:val="0"/>
        <w:rPr>
          <w:rFonts w:ascii="Times New Roman" w:hAnsi="Times New Roman" w:cs="Times New Roman"/>
          <w:bCs/>
          <w:color w:val="auto"/>
          <w:kern w:val="0"/>
          <w:highlight w:val="none"/>
          <w:lang w:bidi="zh-CN"/>
        </w:rPr>
      </w:pPr>
      <w:r>
        <w:rPr>
          <w:rFonts w:ascii="Times New Roman" w:hAnsi="Times New Roman" w:cs="Times New Roman"/>
          <w:bCs/>
          <w:color w:val="auto"/>
          <w:kern w:val="0"/>
          <w:highlight w:val="none"/>
          <w:lang w:bidi="zh-CN"/>
        </w:rPr>
        <w:t>本工程要求在砂石料运输过程中，车厢用防尘网苫盖，防止物料洒落造成水土流失。</w:t>
      </w:r>
    </w:p>
    <w:p w14:paraId="7A4EC4A2">
      <w:pPr>
        <w:shd w:val="clear"/>
        <w:rPr>
          <w:color w:val="auto"/>
          <w:highlight w:val="none"/>
        </w:rPr>
      </w:pPr>
      <w:bookmarkStart w:id="1909" w:name="_Toc26173"/>
      <w:r>
        <w:rPr>
          <w:rFonts w:hint="eastAsia"/>
          <w:color w:val="auto"/>
          <w:highlight w:val="none"/>
        </w:rPr>
        <w:t>2、</w:t>
      </w:r>
      <w:r>
        <w:rPr>
          <w:color w:val="auto"/>
          <w:highlight w:val="none"/>
        </w:rPr>
        <w:t>施工方法</w:t>
      </w:r>
      <w:bookmarkEnd w:id="1909"/>
    </w:p>
    <w:p w14:paraId="69E4D7FC">
      <w:pPr>
        <w:shd w:val="clear"/>
        <w:wordWrap w:val="0"/>
        <w:autoSpaceDE w:val="0"/>
        <w:autoSpaceDN w:val="0"/>
        <w:rPr>
          <w:rFonts w:ascii="Times New Roman" w:hAnsi="Times New Roman" w:cs="Times New Roman"/>
          <w:bCs/>
          <w:color w:val="auto"/>
          <w:kern w:val="0"/>
          <w:highlight w:val="none"/>
          <w:lang w:bidi="zh-CN"/>
        </w:rPr>
      </w:pPr>
      <w:r>
        <w:rPr>
          <w:rFonts w:ascii="Times New Roman" w:hAnsi="Times New Roman" w:cs="Times New Roman"/>
          <w:bCs/>
          <w:color w:val="auto"/>
          <w:kern w:val="0"/>
          <w:highlight w:val="none"/>
          <w:lang w:bidi="zh-CN"/>
        </w:rPr>
        <w:t>本方案防治措施主要有工程措施、绿化措施和临时防护措施，不同的措施其施工组织形式不同，应区别对待。施工时应根据各防治区域具体的工程措施合理安排各施工工序，减少或避免各工序间的相互干扰，与主体工程施工一并进行。</w:t>
      </w:r>
    </w:p>
    <w:p w14:paraId="4501FA2A">
      <w:pPr>
        <w:shd w:val="clear"/>
        <w:rPr>
          <w:color w:val="auto"/>
          <w:highlight w:val="none"/>
        </w:rPr>
      </w:pPr>
      <w:bookmarkStart w:id="1910" w:name="_Toc31197"/>
      <w:r>
        <w:rPr>
          <w:color w:val="auto"/>
          <w:highlight w:val="none"/>
        </w:rPr>
        <w:t>临时防护措施</w:t>
      </w:r>
      <w:bookmarkEnd w:id="1910"/>
    </w:p>
    <w:p w14:paraId="5BA01735">
      <w:pPr>
        <w:shd w:val="clear"/>
        <w:wordWrap w:val="0"/>
        <w:autoSpaceDE w:val="0"/>
        <w:autoSpaceDN w:val="0"/>
        <w:rPr>
          <w:rFonts w:ascii="Times New Roman" w:hAnsi="Times New Roman" w:cs="Times New Roman"/>
          <w:bCs/>
          <w:color w:val="auto"/>
          <w:kern w:val="0"/>
          <w:highlight w:val="none"/>
          <w:lang w:bidi="zh-CN"/>
        </w:rPr>
      </w:pPr>
      <w:r>
        <w:rPr>
          <w:rFonts w:ascii="Times New Roman" w:hAnsi="Times New Roman" w:cs="Times New Roman"/>
          <w:bCs/>
          <w:color w:val="auto"/>
          <w:kern w:val="0"/>
          <w:highlight w:val="none"/>
          <w:lang w:bidi="zh-CN"/>
        </w:rPr>
        <w:t>（1）苫盖：对裸露的临时堆渣面，为防治风蚀，应按设计要求，采用密目防尘网苫盖，苫盖过程中不留裸露面。</w:t>
      </w:r>
    </w:p>
    <w:p w14:paraId="4D4187D9">
      <w:pPr>
        <w:shd w:val="clear"/>
        <w:wordWrap w:val="0"/>
        <w:autoSpaceDE w:val="0"/>
        <w:autoSpaceDN w:val="0"/>
        <w:rPr>
          <w:rFonts w:ascii="Times New Roman" w:hAnsi="Times New Roman" w:cs="Times New Roman"/>
          <w:bCs/>
          <w:color w:val="auto"/>
          <w:kern w:val="0"/>
          <w:highlight w:val="none"/>
          <w:lang w:bidi="zh-CN"/>
        </w:rPr>
      </w:pPr>
      <w:r>
        <w:rPr>
          <w:rFonts w:ascii="Times New Roman" w:hAnsi="Times New Roman" w:cs="Times New Roman"/>
          <w:bCs/>
          <w:color w:val="auto"/>
          <w:kern w:val="0"/>
          <w:highlight w:val="none"/>
          <w:lang w:bidi="zh-CN"/>
        </w:rPr>
        <w:t>（2）洒水抑尘：施工单位应依据天气情况及作业条件进行适当洒水抑尘，以减少扬尘造成的风蚀。</w:t>
      </w:r>
    </w:p>
    <w:p w14:paraId="78E4F605">
      <w:pPr>
        <w:shd w:val="clear"/>
        <w:rPr>
          <w:color w:val="auto"/>
          <w:highlight w:val="none"/>
        </w:rPr>
      </w:pPr>
      <w:bookmarkStart w:id="1911" w:name="_Toc818"/>
      <w:r>
        <w:rPr>
          <w:rFonts w:hint="eastAsia"/>
          <w:color w:val="auto"/>
          <w:highlight w:val="none"/>
        </w:rPr>
        <w:t>3、</w:t>
      </w:r>
      <w:r>
        <w:rPr>
          <w:color w:val="auto"/>
          <w:highlight w:val="none"/>
        </w:rPr>
        <w:t>施工质量</w:t>
      </w:r>
      <w:bookmarkEnd w:id="1911"/>
    </w:p>
    <w:p w14:paraId="1E1013E6">
      <w:pPr>
        <w:shd w:val="clear"/>
        <w:wordWrap w:val="0"/>
        <w:autoSpaceDE w:val="0"/>
        <w:autoSpaceDN w:val="0"/>
        <w:rPr>
          <w:rFonts w:ascii="Times New Roman" w:hAnsi="Times New Roman" w:cs="Times New Roman"/>
          <w:bCs/>
          <w:color w:val="auto"/>
          <w:kern w:val="0"/>
          <w:highlight w:val="none"/>
          <w:lang w:bidi="zh-CN"/>
        </w:rPr>
      </w:pPr>
      <w:r>
        <w:rPr>
          <w:rFonts w:ascii="Times New Roman" w:hAnsi="Times New Roman" w:cs="Times New Roman"/>
          <w:bCs/>
          <w:color w:val="auto"/>
          <w:kern w:val="0"/>
          <w:highlight w:val="none"/>
          <w:lang w:bidi="zh-CN"/>
        </w:rPr>
        <w:t>水土保持工程实施后，各项治理措施必须符合规定的质量要求，并经规定的质量测定方法确定后，才能作为治理成果进行数量统计。根据《开发建设项目水土保持设施验收技术规程》（GB/T22490-2008）等的相关规定：水保各项治理措施的基本要求是总体布局合理，各项措施位置符合规划要求，规格、尺寸、质量使用材料、施工方法符合施工和设计标准经暴雨考验后基本完好。</w:t>
      </w:r>
    </w:p>
    <w:p w14:paraId="4D52F0D9">
      <w:pPr>
        <w:shd w:val="clear"/>
        <w:rPr>
          <w:color w:val="auto"/>
          <w:highlight w:val="none"/>
        </w:rPr>
      </w:pPr>
      <w:bookmarkStart w:id="1912" w:name="_Toc9923"/>
      <w:bookmarkStart w:id="1913" w:name="_Toc29122"/>
      <w:bookmarkStart w:id="1914" w:name="_Toc516655837"/>
      <w:bookmarkStart w:id="1915" w:name="_Toc9859"/>
      <w:bookmarkStart w:id="1916" w:name="_Toc25304"/>
      <w:bookmarkStart w:id="1917" w:name="_Toc29837"/>
      <w:bookmarkStart w:id="1918" w:name="_Toc6918"/>
      <w:r>
        <w:rPr>
          <w:rFonts w:hint="eastAsia"/>
          <w:color w:val="auto"/>
          <w:highlight w:val="none"/>
        </w:rPr>
        <w:t>4、</w:t>
      </w:r>
      <w:r>
        <w:rPr>
          <w:color w:val="auto"/>
          <w:highlight w:val="none"/>
        </w:rPr>
        <w:t>实施进度</w:t>
      </w:r>
      <w:bookmarkEnd w:id="1912"/>
      <w:bookmarkEnd w:id="1913"/>
      <w:bookmarkEnd w:id="1914"/>
      <w:bookmarkEnd w:id="1915"/>
      <w:bookmarkEnd w:id="1916"/>
      <w:bookmarkEnd w:id="1917"/>
      <w:bookmarkEnd w:id="1918"/>
    </w:p>
    <w:p w14:paraId="6A839F15">
      <w:pPr>
        <w:shd w:val="clear"/>
        <w:wordWrap w:val="0"/>
        <w:autoSpaceDE w:val="0"/>
        <w:autoSpaceDN w:val="0"/>
        <w:rPr>
          <w:rFonts w:ascii="Times New Roman" w:hAnsi="Times New Roman" w:cs="Times New Roman"/>
          <w:bCs/>
          <w:color w:val="auto"/>
          <w:kern w:val="0"/>
          <w:highlight w:val="none"/>
          <w:lang w:bidi="zh-CN"/>
        </w:rPr>
      </w:pPr>
      <w:r>
        <w:rPr>
          <w:rFonts w:ascii="Times New Roman" w:hAnsi="Times New Roman" w:cs="Times New Roman"/>
          <w:bCs/>
          <w:color w:val="auto"/>
          <w:kern w:val="0"/>
          <w:highlight w:val="none"/>
          <w:lang w:bidi="zh-CN"/>
        </w:rPr>
        <w:t>本方案水保工程实施进度安排采取以下原则：</w:t>
      </w:r>
    </w:p>
    <w:p w14:paraId="19DE5E5D">
      <w:pPr>
        <w:shd w:val="clear"/>
        <w:wordWrap w:val="0"/>
        <w:autoSpaceDE w:val="0"/>
        <w:autoSpaceDN w:val="0"/>
        <w:rPr>
          <w:rFonts w:ascii="Times New Roman" w:hAnsi="Times New Roman" w:cs="Times New Roman"/>
          <w:bCs/>
          <w:color w:val="auto"/>
          <w:kern w:val="0"/>
          <w:highlight w:val="none"/>
          <w:lang w:bidi="zh-CN"/>
        </w:rPr>
      </w:pPr>
      <w:r>
        <w:rPr>
          <w:rFonts w:ascii="Times New Roman" w:hAnsi="Times New Roman" w:cs="Times New Roman"/>
          <w:bCs/>
          <w:color w:val="auto"/>
          <w:kern w:val="0"/>
          <w:highlight w:val="none"/>
          <w:lang w:bidi="zh-CN"/>
        </w:rPr>
        <w:t>（1）坚持</w:t>
      </w:r>
      <w:r>
        <w:rPr>
          <w:rFonts w:hint="eastAsia" w:ascii="Times New Roman" w:hAnsi="Times New Roman" w:cs="Times New Roman"/>
          <w:bCs/>
          <w:color w:val="auto"/>
          <w:kern w:val="0"/>
          <w:highlight w:val="none"/>
          <w:lang w:bidi="zh-CN"/>
        </w:rPr>
        <w:t>“</w:t>
      </w:r>
      <w:r>
        <w:rPr>
          <w:rFonts w:ascii="Times New Roman" w:hAnsi="Times New Roman" w:cs="Times New Roman"/>
          <w:bCs/>
          <w:color w:val="auto"/>
          <w:kern w:val="0"/>
          <w:highlight w:val="none"/>
          <w:lang w:bidi="zh-CN"/>
        </w:rPr>
        <w:t>三同时</w:t>
      </w:r>
      <w:r>
        <w:rPr>
          <w:rFonts w:hint="eastAsia" w:ascii="Times New Roman" w:hAnsi="Times New Roman" w:cs="Times New Roman"/>
          <w:bCs/>
          <w:color w:val="auto"/>
          <w:kern w:val="0"/>
          <w:highlight w:val="none"/>
          <w:lang w:bidi="zh-CN"/>
        </w:rPr>
        <w:t>”</w:t>
      </w:r>
      <w:r>
        <w:rPr>
          <w:rFonts w:ascii="Times New Roman" w:hAnsi="Times New Roman" w:cs="Times New Roman"/>
          <w:bCs/>
          <w:color w:val="auto"/>
          <w:kern w:val="0"/>
          <w:highlight w:val="none"/>
          <w:lang w:bidi="zh-CN"/>
        </w:rPr>
        <w:t>制度，水土保持措施配合主体工程同步实施、有序安排、密切衔接；</w:t>
      </w:r>
    </w:p>
    <w:p w14:paraId="6C0CB53B">
      <w:pPr>
        <w:shd w:val="clear"/>
        <w:wordWrap w:val="0"/>
        <w:autoSpaceDE w:val="0"/>
        <w:autoSpaceDN w:val="0"/>
        <w:rPr>
          <w:rFonts w:ascii="Times New Roman" w:hAnsi="Times New Roman" w:cs="Times New Roman"/>
          <w:bCs/>
          <w:color w:val="auto"/>
          <w:kern w:val="0"/>
          <w:highlight w:val="none"/>
          <w:lang w:bidi="zh-CN"/>
        </w:rPr>
      </w:pPr>
      <w:r>
        <w:rPr>
          <w:rFonts w:ascii="Times New Roman" w:hAnsi="Times New Roman" w:cs="Times New Roman"/>
          <w:bCs/>
          <w:color w:val="auto"/>
          <w:kern w:val="0"/>
          <w:highlight w:val="none"/>
          <w:lang w:bidi="zh-CN"/>
        </w:rPr>
        <w:t>（2）坚持“因地制宜、因害设防”的原则，按照项目建设的水土流失特点，优先安排水土流失严重区域的防治措施；</w:t>
      </w:r>
    </w:p>
    <w:p w14:paraId="6DD3A69F">
      <w:pPr>
        <w:shd w:val="clear"/>
        <w:wordWrap w:val="0"/>
        <w:autoSpaceDE w:val="0"/>
        <w:autoSpaceDN w:val="0"/>
        <w:rPr>
          <w:rFonts w:ascii="Times New Roman" w:hAnsi="Times New Roman" w:cs="Times New Roman"/>
          <w:bCs/>
          <w:color w:val="auto"/>
          <w:kern w:val="0"/>
          <w:highlight w:val="none"/>
          <w:lang w:bidi="zh-CN"/>
        </w:rPr>
      </w:pPr>
      <w:r>
        <w:rPr>
          <w:rFonts w:ascii="Times New Roman" w:hAnsi="Times New Roman" w:cs="Times New Roman"/>
          <w:bCs/>
          <w:color w:val="auto"/>
          <w:kern w:val="0"/>
          <w:highlight w:val="none"/>
          <w:lang w:bidi="zh-CN"/>
        </w:rPr>
        <w:t>（3）在措施实施安排上，工程措施和临时防护措施应根据轻重缓急统筹考虑。</w:t>
      </w:r>
    </w:p>
    <w:sectPr>
      <w:footerReference r:id="rId8" w:type="default"/>
      <w:pgSz w:w="11906" w:h="16838"/>
      <w:pgMar w:top="1418" w:right="1085" w:bottom="1134" w:left="1134" w:header="624" w:footer="992" w:gutter="567"/>
      <w:pgBorders>
        <w:top w:val="none" w:sz="0" w:space="0"/>
        <w:left w:val="none" w:sz="0" w:space="0"/>
        <w:bottom w:val="none" w:sz="0" w:space="0"/>
        <w:right w:val="none" w:sz="0" w:space="0"/>
      </w:pgBorders>
      <w:cols w:space="708"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6745B98-E122-4ABC-A6BD-FC225D1F8DED}"/>
  </w:font>
  <w:font w:name="黑体">
    <w:panose1 w:val="02010609060101010101"/>
    <w:charset w:val="86"/>
    <w:family w:val="auto"/>
    <w:pitch w:val="default"/>
    <w:sig w:usb0="800002BF" w:usb1="38CF7CFA" w:usb2="00000016" w:usb3="00000000" w:csb0="00040001" w:csb1="00000000"/>
    <w:embedRegular r:id="rId2" w:fontKey="{EA12862B-3565-4704-BD91-B8AC7F58B3A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A75AF9A-EBCC-4C84-8642-3717AE19F7EE}"/>
  </w:font>
  <w:font w:name="幼圆">
    <w:altName w:val="宋体"/>
    <w:panose1 w:val="02010509060101010101"/>
    <w:charset w:val="86"/>
    <w:family w:val="modern"/>
    <w:pitch w:val="default"/>
    <w:sig w:usb0="00000000" w:usb1="00000000" w:usb2="00000000" w:usb3="00000000" w:csb0="00040000" w:csb1="00000000"/>
  </w:font>
  <w:font w:name="仿宋_GB2312">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embedRegular r:id="rId4" w:fontKey="{0A732231-4391-4D93-90FC-6FCC24637947}"/>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Calibri Light">
    <w:panose1 w:val="020F03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Microsoft YaHei UI">
    <w:panose1 w:val="020B0503020204020204"/>
    <w:charset w:val="86"/>
    <w:family w:val="swiss"/>
    <w:pitch w:val="default"/>
    <w:sig w:usb0="80000287" w:usb1="2ACF3C50" w:usb2="00000016" w:usb3="00000000" w:csb0="0004001F" w:csb1="00000000"/>
  </w:font>
  <w:font w:name="华文宋体">
    <w:altName w:val="宋体"/>
    <w:panose1 w:val="02010600040101010101"/>
    <w:charset w:val="86"/>
    <w:family w:val="auto"/>
    <w:pitch w:val="default"/>
    <w:sig w:usb0="00000000" w:usb1="00000000" w:usb2="00000000" w:usb3="00000000" w:csb0="0004009F" w:csb1="DFD70000"/>
  </w:font>
  <w:font w:name="仿宋体">
    <w:altName w:val="宋体"/>
    <w:panose1 w:val="00000000000000000000"/>
    <w:charset w:val="86"/>
    <w:family w:val="roman"/>
    <w:pitch w:val="default"/>
    <w:sig w:usb0="00000000" w:usb1="00000000" w:usb2="00000010"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楷体_GB2312">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embedRegular r:id="rId5" w:fontKey="{CE2FF5D5-9C5B-42A6-9F9E-38B8444A2A0F}"/>
  </w:font>
  <w:font w:name="华文中宋">
    <w:panose1 w:val="02010600040101010101"/>
    <w:charset w:val="86"/>
    <w:family w:val="auto"/>
    <w:pitch w:val="default"/>
    <w:sig w:usb0="00000287" w:usb1="080F0000" w:usb2="00000000" w:usb3="00000000" w:csb0="0004009F" w:csb1="DFD70000"/>
    <w:embedRegular r:id="rId6" w:fontKey="{4DC0CAA7-ED7B-4BC0-8FB9-E2557A15AB0B}"/>
  </w:font>
  <w:font w:name="仿宋">
    <w:panose1 w:val="02010609060101010101"/>
    <w:charset w:val="86"/>
    <w:family w:val="modern"/>
    <w:pitch w:val="default"/>
    <w:sig w:usb0="800002BF" w:usb1="38CF7CFA" w:usb2="00000016" w:usb3="00000000" w:csb0="00040001" w:csb1="00000000"/>
    <w:embedRegular r:id="rId7" w:fontKey="{D4D2BD87-E0DE-4B47-A7E9-EB1F54131D3E}"/>
  </w:font>
  <w:font w:name="微软雅黑">
    <w:panose1 w:val="020B0503020204020204"/>
    <w:charset w:val="86"/>
    <w:family w:val="swiss"/>
    <w:pitch w:val="default"/>
    <w:sig w:usb0="80000287" w:usb1="2ACF3C50" w:usb2="00000016" w:usb3="00000000" w:csb0="0004001F" w:csb1="00000000"/>
    <w:embedRegular r:id="rId8" w:fontKey="{F380C24F-F62B-461C-8C25-78BC8C01D21B}"/>
  </w:font>
  <w:font w:name="方正小标宋简体">
    <w:panose1 w:val="03000509000000000000"/>
    <w:charset w:val="86"/>
    <w:family w:val="script"/>
    <w:pitch w:val="default"/>
    <w:sig w:usb0="00000001" w:usb1="080E0000" w:usb2="00000000" w:usb3="00000000" w:csb0="00040000" w:csb1="00000000"/>
    <w:embedRegular r:id="rId9" w:fontKey="{4EDE3DC1-433E-43B6-9EDF-E78D30E92580}"/>
  </w:font>
  <w:font w:name="Microsoft JhengHei">
    <w:panose1 w:val="020B0604030504040204"/>
    <w:charset w:val="88"/>
    <w:family w:val="swiss"/>
    <w:pitch w:val="default"/>
    <w:sig w:usb0="000002A7" w:usb1="28CF4400" w:usb2="00000016" w:usb3="00000000" w:csb0="00100009" w:csb1="00000000"/>
    <w:embedRegular r:id="rId10" w:fontKey="{36D68310-D0E9-487B-86ED-9AB1142B4905}"/>
  </w:font>
  <w:font w:name="Cambria Math">
    <w:panose1 w:val="02040503050406030204"/>
    <w:charset w:val="00"/>
    <w:family w:val="roman"/>
    <w:pitch w:val="default"/>
    <w:sig w:usb0="E00006FF" w:usb1="420024FF" w:usb2="02000000" w:usb3="00000000" w:csb0="2000019F" w:csb1="00000000"/>
    <w:embedRegular r:id="rId11" w:fontKey="{E28F9859-5B3E-4901-A859-32D52E0DF1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CF114">
    <w:pPr>
      <w:pStyle w:val="39"/>
      <w:ind w:firstLine="360"/>
      <w:jc w:val="center"/>
    </w:pPr>
    <w:r>
      <w:fldChar w:fldCharType="begin"/>
    </w:r>
    <w:r>
      <w:instrText xml:space="preserve"> PAGE   \* MERGEFORMAT </w:instrText>
    </w:r>
    <w:r>
      <w:fldChar w:fldCharType="separate"/>
    </w:r>
    <w:r>
      <w:rPr>
        <w:lang w:val="zh-CN"/>
      </w:rPr>
      <w:t>49</w:t>
    </w:r>
    <w:r>
      <w:fldChar w:fldCharType="end"/>
    </w:r>
  </w:p>
  <w:p w14:paraId="34AEFFD5">
    <w:pPr>
      <w:pStyle w:val="3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B24C3">
    <w:pPr>
      <w:pStyle w:val="39"/>
      <w:ind w:firstLine="360"/>
      <w:jc w:val="center"/>
    </w:pPr>
    <w:r>
      <w:fldChar w:fldCharType="begin"/>
    </w:r>
    <w:r>
      <w:instrText xml:space="preserve"> PAGE   \* MERGEFORMAT </w:instrText>
    </w:r>
    <w:r>
      <w:fldChar w:fldCharType="separate"/>
    </w:r>
    <w:r>
      <w:rPr>
        <w:lang w:val="zh-CN"/>
      </w:rPr>
      <w:t>278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C6BA1">
    <w:pPr>
      <w:pStyle w:val="39"/>
      <w:ind w:firstLine="360"/>
      <w:jc w:val="center"/>
    </w:pPr>
    <w:r>
      <w:fldChar w:fldCharType="begin"/>
    </w:r>
    <w:r>
      <w:instrText xml:space="preserve"> PAGE   \* MERGEFORMAT </w:instrText>
    </w:r>
    <w:r>
      <w:fldChar w:fldCharType="separate"/>
    </w:r>
    <w:r>
      <w:rPr>
        <w:lang w:val="zh-CN"/>
      </w:rPr>
      <w:t>390</w:t>
    </w:r>
    <w:r>
      <w:fldChar w:fldCharType="end"/>
    </w:r>
  </w:p>
  <w:p w14:paraId="47FBD8A7">
    <w:pPr>
      <w:pStyle w:val="3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230BF">
    <w:pPr>
      <w:pBdr>
        <w:bottom w:val="none" w:color="auto" w:sz="0" w:space="0"/>
      </w:pBdr>
      <w:spacing w:before="3" w:line="240" w:lineRule="auto"/>
      <w:ind w:left="0" w:leftChars="0" w:right="18" w:firstLine="0" w:firstLineChars="0"/>
      <w:jc w:val="both"/>
      <w:rPr>
        <w:rFonts w:hint="eastAsia" w:ascii="Microsoft JhengHei"/>
        <w:b/>
        <w:sz w:val="18"/>
        <w:szCs w:val="20"/>
        <w:lang w:eastAsia="zh-CN"/>
      </w:rPr>
    </w:pPr>
    <w:r>
      <w:rPr>
        <w:rFonts w:hint="eastAsia" w:ascii="Microsoft JhengHei"/>
        <w:b/>
        <w:sz w:val="18"/>
        <w:szCs w:val="20"/>
        <w:lang w:eastAsia="zh-CN"/>
      </w:rPr>
      <w:t>酒钢集团宏兴钢铁股份有限公司</w:t>
    </w:r>
  </w:p>
  <w:p w14:paraId="7F9DC092">
    <w:pPr>
      <w:pBdr>
        <w:bottom w:val="single" w:color="auto" w:sz="4" w:space="0"/>
      </w:pBdr>
      <w:spacing w:before="3" w:line="240" w:lineRule="auto"/>
      <w:ind w:left="0" w:leftChars="0" w:right="18" w:firstLine="0" w:firstLineChars="0"/>
      <w:jc w:val="both"/>
    </w:pPr>
    <w:r>
      <w:rPr>
        <w:rFonts w:hint="eastAsia" w:ascii="Microsoft JhengHei"/>
        <w:b/>
        <w:sz w:val="18"/>
        <w:szCs w:val="20"/>
        <w:lang w:eastAsia="zh-CN"/>
      </w:rPr>
      <w:t>炼铁厂2号高炉优化升级及超低排放改造项目</w:t>
    </w:r>
    <w:r>
      <w:rPr>
        <w:rFonts w:hint="eastAsia" w:ascii="Microsoft JhengHei"/>
        <w:b/>
        <w:sz w:val="18"/>
        <w:szCs w:val="20"/>
        <w:lang w:val="en-US" w:eastAsia="zh-CN"/>
      </w:rPr>
      <w:t>高炉</w:t>
    </w:r>
    <w:r>
      <w:rPr>
        <w:rFonts w:hint="eastAsia" w:ascii="Microsoft JhengHei"/>
        <w:b/>
        <w:sz w:val="18"/>
        <w:szCs w:val="20"/>
        <w:lang w:eastAsia="zh-CN"/>
      </w:rPr>
      <w:t>主体</w:t>
    </w:r>
    <w:r>
      <w:rPr>
        <w:rFonts w:hint="eastAsia" w:ascii="Microsoft JhengHei"/>
        <w:b/>
        <w:sz w:val="18"/>
        <w:szCs w:val="20"/>
        <w:lang w:val="en-US" w:eastAsia="zh-CN"/>
      </w:rPr>
      <w:t>工程</w:t>
    </w:r>
    <w:r>
      <w:rPr>
        <w:rFonts w:hint="eastAsia" w:ascii="Microsoft JhengHei"/>
        <w:b/>
        <w:sz w:val="18"/>
        <w:szCs w:val="20"/>
        <w:lang w:eastAsia="zh-CN"/>
      </w:rPr>
      <w:t>EPC总承</w:t>
    </w:r>
    <w:r>
      <w:rPr>
        <w:rFonts w:hint="eastAsia" w:ascii="Microsoft JhengHei"/>
        <w:b/>
        <w:sz w:val="18"/>
        <w:szCs w:val="20"/>
        <w:lang w:val="en-US" w:eastAsia="zh-CN"/>
      </w:rPr>
      <w:t>包</w:t>
    </w:r>
  </w:p>
  <w:p w14:paraId="106FAC1B">
    <w:pPr>
      <w:pStyle w:val="4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BECDF5"/>
    <w:multiLevelType w:val="singleLevel"/>
    <w:tmpl w:val="97BECDF5"/>
    <w:lvl w:ilvl="0" w:tentative="0">
      <w:start w:val="6"/>
      <w:numFmt w:val="decimal"/>
      <w:suff w:val="nothing"/>
      <w:lvlText w:val="（%1）"/>
      <w:lvlJc w:val="left"/>
    </w:lvl>
  </w:abstractNum>
  <w:abstractNum w:abstractNumId="1">
    <w:nsid w:val="99BD8746"/>
    <w:multiLevelType w:val="singleLevel"/>
    <w:tmpl w:val="99BD8746"/>
    <w:lvl w:ilvl="0" w:tentative="0">
      <w:start w:val="1"/>
      <w:numFmt w:val="bullet"/>
      <w:lvlText w:val=""/>
      <w:lvlJc w:val="left"/>
      <w:pPr>
        <w:ind w:left="420" w:hanging="420"/>
      </w:pPr>
      <w:rPr>
        <w:rFonts w:hint="default" w:ascii="Wingdings" w:hAnsi="Wingdings"/>
      </w:rPr>
    </w:lvl>
  </w:abstractNum>
  <w:abstractNum w:abstractNumId="2">
    <w:nsid w:val="9F80D3C3"/>
    <w:multiLevelType w:val="singleLevel"/>
    <w:tmpl w:val="9F80D3C3"/>
    <w:lvl w:ilvl="0" w:tentative="0">
      <w:start w:val="1"/>
      <w:numFmt w:val="decimal"/>
      <w:suff w:val="space"/>
      <w:lvlText w:val="(%1)"/>
      <w:lvlJc w:val="left"/>
    </w:lvl>
  </w:abstractNum>
  <w:abstractNum w:abstractNumId="3">
    <w:nsid w:val="A274F9BD"/>
    <w:multiLevelType w:val="singleLevel"/>
    <w:tmpl w:val="A274F9BD"/>
    <w:lvl w:ilvl="0" w:tentative="0">
      <w:start w:val="8"/>
      <w:numFmt w:val="decimal"/>
      <w:suff w:val="nothing"/>
      <w:lvlText w:val="（%1）"/>
      <w:lvlJc w:val="left"/>
    </w:lvl>
  </w:abstractNum>
  <w:abstractNum w:abstractNumId="4">
    <w:nsid w:val="CDC19940"/>
    <w:multiLevelType w:val="singleLevel"/>
    <w:tmpl w:val="CDC19940"/>
    <w:lvl w:ilvl="0" w:tentative="0">
      <w:start w:val="1"/>
      <w:numFmt w:val="decimal"/>
      <w:suff w:val="space"/>
      <w:lvlText w:val="%1."/>
      <w:lvlJc w:val="left"/>
      <w:pPr>
        <w:ind w:left="-420"/>
      </w:pPr>
    </w:lvl>
  </w:abstractNum>
  <w:abstractNum w:abstractNumId="5">
    <w:nsid w:val="FFFFFFFB"/>
    <w:multiLevelType w:val="multilevel"/>
    <w:tmpl w:val="FFFFFFFB"/>
    <w:lvl w:ilvl="0" w:tentative="0">
      <w:start w:val="1"/>
      <w:numFmt w:val="decimal"/>
      <w:lvlText w:val="%1."/>
      <w:legacy w:legacy="1" w:legacySpace="144" w:legacyIndent="0"/>
      <w:lvlJc w:val="left"/>
      <w:pPr>
        <w:ind w:left="0" w:firstLine="0"/>
      </w:pPr>
    </w:lvl>
    <w:lvl w:ilvl="1" w:tentative="0">
      <w:start w:val="1"/>
      <w:numFmt w:val="decimal"/>
      <w:lvlText w:val="%1.%2"/>
      <w:legacy w:legacy="1" w:legacySpace="144" w:legacyIndent="0"/>
      <w:lvlJc w:val="left"/>
      <w:pPr>
        <w:ind w:left="0" w:firstLine="0"/>
      </w:pPr>
    </w:lvl>
    <w:lvl w:ilvl="2" w:tentative="0">
      <w:start w:val="1"/>
      <w:numFmt w:val="decimal"/>
      <w:lvlText w:val="%1.%2.%3"/>
      <w:legacy w:legacy="1" w:legacySpace="144" w:legacyIndent="0"/>
      <w:lvlJc w:val="left"/>
      <w:pPr>
        <w:ind w:left="0" w:firstLine="0"/>
      </w:pPr>
    </w:lvl>
    <w:lvl w:ilvl="3" w:tentative="0">
      <w:start w:val="1"/>
      <w:numFmt w:val="decimal"/>
      <w:lvlText w:val="%1.%2.%3.%4"/>
      <w:legacy w:legacy="1" w:legacySpace="144" w:legacyIndent="0"/>
      <w:lvlJc w:val="left"/>
      <w:pPr>
        <w:ind w:left="0" w:firstLine="0"/>
      </w:pPr>
    </w:lvl>
    <w:lvl w:ilvl="4" w:tentative="0">
      <w:start w:val="1"/>
      <w:numFmt w:val="decimal"/>
      <w:lvlText w:val="%1.%2.%3.%4.%5"/>
      <w:legacy w:legacy="1" w:legacySpace="144" w:legacyIndent="0"/>
      <w:lvlJc w:val="left"/>
      <w:pPr>
        <w:ind w:left="0" w:firstLine="0"/>
      </w:pPr>
    </w:lvl>
    <w:lvl w:ilvl="5" w:tentative="0">
      <w:start w:val="1"/>
      <w:numFmt w:val="decimal"/>
      <w:pStyle w:val="9"/>
      <w:lvlText w:val="%1.%2.%3.%4.%5.%6"/>
      <w:legacy w:legacy="1" w:legacySpace="144" w:legacyIndent="0"/>
      <w:lvlJc w:val="left"/>
      <w:pPr>
        <w:ind w:left="0" w:firstLine="0"/>
      </w:pPr>
    </w:lvl>
    <w:lvl w:ilvl="6" w:tentative="0">
      <w:start w:val="1"/>
      <w:numFmt w:val="decimal"/>
      <w:pStyle w:val="10"/>
      <w:lvlText w:val="%1.%2.%3.%4.%5.%6.%7"/>
      <w:legacy w:legacy="1" w:legacySpace="144" w:legacyIndent="0"/>
      <w:lvlJc w:val="left"/>
      <w:pPr>
        <w:ind w:left="0" w:firstLine="0"/>
      </w:pPr>
    </w:lvl>
    <w:lvl w:ilvl="7" w:tentative="0">
      <w:start w:val="1"/>
      <w:numFmt w:val="decimal"/>
      <w:pStyle w:val="11"/>
      <w:lvlText w:val="%1.%2.%3.%4.%5.%6.%7.%8"/>
      <w:legacy w:legacy="1" w:legacySpace="144" w:legacyIndent="0"/>
      <w:lvlJc w:val="left"/>
      <w:pPr>
        <w:ind w:left="0" w:firstLine="0"/>
      </w:pPr>
    </w:lvl>
    <w:lvl w:ilvl="8" w:tentative="0">
      <w:start w:val="1"/>
      <w:numFmt w:val="decimal"/>
      <w:pStyle w:val="12"/>
      <w:lvlText w:val="%1.%2.%3.%4.%5.%6.%7.%8.%9"/>
      <w:legacy w:legacy="1" w:legacySpace="144" w:legacyIndent="0"/>
      <w:lvlJc w:val="left"/>
      <w:pPr>
        <w:ind w:left="0" w:firstLine="0"/>
      </w:pPr>
    </w:lvl>
  </w:abstractNum>
  <w:abstractNum w:abstractNumId="6">
    <w:nsid w:val="00000009"/>
    <w:multiLevelType w:val="singleLevel"/>
    <w:tmpl w:val="00000009"/>
    <w:lvl w:ilvl="0" w:tentative="0">
      <w:start w:val="1"/>
      <w:numFmt w:val="decimal"/>
      <w:suff w:val="nothing"/>
      <w:lvlText w:val="%1）"/>
      <w:lvlJc w:val="left"/>
    </w:lvl>
  </w:abstractNum>
  <w:abstractNum w:abstractNumId="7">
    <w:nsid w:val="00000012"/>
    <w:multiLevelType w:val="singleLevel"/>
    <w:tmpl w:val="00000012"/>
    <w:lvl w:ilvl="0" w:tentative="0">
      <w:start w:val="1"/>
      <w:numFmt w:val="decimal"/>
      <w:suff w:val="nothing"/>
      <w:lvlText w:val="（%1）"/>
      <w:lvlJc w:val="left"/>
      <w:pPr>
        <w:ind w:left="720"/>
      </w:pPr>
    </w:lvl>
  </w:abstractNum>
  <w:abstractNum w:abstractNumId="8">
    <w:nsid w:val="03F32B58"/>
    <w:multiLevelType w:val="singleLevel"/>
    <w:tmpl w:val="03F32B58"/>
    <w:lvl w:ilvl="0" w:tentative="0">
      <w:start w:val="2"/>
      <w:numFmt w:val="decimal"/>
      <w:suff w:val="nothing"/>
      <w:lvlText w:val="%1）"/>
      <w:lvlJc w:val="left"/>
    </w:lvl>
  </w:abstractNum>
  <w:abstractNum w:abstractNumId="9">
    <w:nsid w:val="0BDB706C"/>
    <w:multiLevelType w:val="multilevel"/>
    <w:tmpl w:val="0BDB706C"/>
    <w:lvl w:ilvl="0" w:tentative="0">
      <w:start w:val="1"/>
      <w:numFmt w:val="decimal"/>
      <w:pStyle w:val="106"/>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0C8A405B"/>
    <w:multiLevelType w:val="multilevel"/>
    <w:tmpl w:val="0C8A405B"/>
    <w:lvl w:ilvl="0" w:tentative="0">
      <w:start w:val="1"/>
      <w:numFmt w:val="decimal"/>
      <w:lvlText w:val="%1)"/>
      <w:lvlJc w:val="left"/>
      <w:pPr>
        <w:ind w:left="2263" w:hanging="420"/>
      </w:pPr>
      <w:rPr>
        <w:rFonts w:hint="default" w:ascii="Times New Roman" w:hAnsi="Times New Roman" w:cs="Times New Roman"/>
      </w:rPr>
    </w:lvl>
    <w:lvl w:ilvl="1" w:tentative="0">
      <w:start w:val="1"/>
      <w:numFmt w:val="lowerLetter"/>
      <w:lvlText w:val="%2)"/>
      <w:lvlJc w:val="left"/>
      <w:pPr>
        <w:ind w:left="1400" w:hanging="420"/>
      </w:pPr>
      <w:rPr>
        <w:rFonts w:hint="default" w:ascii="Times New Roman" w:hAnsi="Times New Roman" w:cs="Times New Roman"/>
      </w:rPr>
    </w:lvl>
    <w:lvl w:ilvl="2" w:tentative="0">
      <w:start w:val="1"/>
      <w:numFmt w:val="lowerRoman"/>
      <w:lvlText w:val="%3."/>
      <w:lvlJc w:val="right"/>
      <w:pPr>
        <w:ind w:left="1820" w:hanging="420"/>
      </w:pPr>
      <w:rPr>
        <w:rFonts w:hint="default" w:ascii="Times New Roman" w:hAnsi="Times New Roman" w:cs="Times New Roman"/>
      </w:rPr>
    </w:lvl>
    <w:lvl w:ilvl="3" w:tentative="0">
      <w:start w:val="1"/>
      <w:numFmt w:val="decimal"/>
      <w:lvlText w:val="%4."/>
      <w:lvlJc w:val="left"/>
      <w:pPr>
        <w:ind w:left="2240" w:hanging="420"/>
      </w:pPr>
      <w:rPr>
        <w:rFonts w:hint="default" w:ascii="Times New Roman" w:hAnsi="Times New Roman" w:cs="Times New Roman"/>
      </w:rPr>
    </w:lvl>
    <w:lvl w:ilvl="4" w:tentative="0">
      <w:start w:val="1"/>
      <w:numFmt w:val="lowerLetter"/>
      <w:lvlText w:val="%5)"/>
      <w:lvlJc w:val="left"/>
      <w:pPr>
        <w:ind w:left="2660" w:hanging="420"/>
      </w:pPr>
      <w:rPr>
        <w:rFonts w:hint="default" w:ascii="Times New Roman" w:hAnsi="Times New Roman" w:cs="Times New Roman"/>
      </w:rPr>
    </w:lvl>
    <w:lvl w:ilvl="5" w:tentative="0">
      <w:start w:val="1"/>
      <w:numFmt w:val="lowerRoman"/>
      <w:lvlText w:val="%6."/>
      <w:lvlJc w:val="right"/>
      <w:pPr>
        <w:ind w:left="3080" w:hanging="420"/>
      </w:pPr>
      <w:rPr>
        <w:rFonts w:hint="default" w:ascii="Times New Roman" w:hAnsi="Times New Roman" w:cs="Times New Roman"/>
      </w:rPr>
    </w:lvl>
    <w:lvl w:ilvl="6" w:tentative="0">
      <w:start w:val="1"/>
      <w:numFmt w:val="decimal"/>
      <w:lvlText w:val="%7."/>
      <w:lvlJc w:val="left"/>
      <w:pPr>
        <w:ind w:left="3500" w:hanging="420"/>
      </w:pPr>
      <w:rPr>
        <w:rFonts w:hint="default" w:ascii="Times New Roman" w:hAnsi="Times New Roman" w:cs="Times New Roman"/>
      </w:rPr>
    </w:lvl>
    <w:lvl w:ilvl="7" w:tentative="0">
      <w:start w:val="1"/>
      <w:numFmt w:val="lowerLetter"/>
      <w:lvlText w:val="%8)"/>
      <w:lvlJc w:val="left"/>
      <w:pPr>
        <w:ind w:left="3920" w:hanging="420"/>
      </w:pPr>
      <w:rPr>
        <w:rFonts w:hint="default" w:ascii="Times New Roman" w:hAnsi="Times New Roman" w:cs="Times New Roman"/>
      </w:rPr>
    </w:lvl>
    <w:lvl w:ilvl="8" w:tentative="0">
      <w:start w:val="1"/>
      <w:numFmt w:val="lowerRoman"/>
      <w:lvlText w:val="%9."/>
      <w:lvlJc w:val="right"/>
      <w:pPr>
        <w:ind w:left="4340" w:hanging="420"/>
      </w:pPr>
      <w:rPr>
        <w:rFonts w:hint="default" w:ascii="Times New Roman" w:hAnsi="Times New Roman" w:cs="Times New Roman"/>
      </w:rPr>
    </w:lvl>
  </w:abstractNum>
  <w:abstractNum w:abstractNumId="11">
    <w:nsid w:val="0D0E0B56"/>
    <w:multiLevelType w:val="multilevel"/>
    <w:tmpl w:val="0D0E0B56"/>
    <w:lvl w:ilvl="0" w:tentative="0">
      <w:start w:val="1"/>
      <w:numFmt w:val="lowerLetter"/>
      <w:pStyle w:val="15"/>
      <w:lvlText w:val="%1)"/>
      <w:lvlJc w:val="left"/>
      <w:pPr>
        <w:tabs>
          <w:tab w:val="left" w:pos="987"/>
        </w:tabs>
        <w:ind w:left="987" w:hanging="420"/>
      </w:pPr>
    </w:lvl>
    <w:lvl w:ilvl="1" w:tentative="0">
      <w:start w:val="1"/>
      <w:numFmt w:val="lowerLetter"/>
      <w:lvlText w:val="%2)"/>
      <w:lvlJc w:val="left"/>
      <w:pPr>
        <w:tabs>
          <w:tab w:val="left" w:pos="1407"/>
        </w:tabs>
        <w:ind w:left="1407" w:hanging="420"/>
      </w:pPr>
    </w:lvl>
    <w:lvl w:ilvl="2" w:tentative="0">
      <w:start w:val="1"/>
      <w:numFmt w:val="lowerRoman"/>
      <w:lvlText w:val="%3."/>
      <w:lvlJc w:val="right"/>
      <w:pPr>
        <w:tabs>
          <w:tab w:val="left" w:pos="1827"/>
        </w:tabs>
        <w:ind w:left="1827" w:hanging="420"/>
      </w:pPr>
    </w:lvl>
    <w:lvl w:ilvl="3" w:tentative="0">
      <w:start w:val="1"/>
      <w:numFmt w:val="decimal"/>
      <w:lvlText w:val="%4."/>
      <w:lvlJc w:val="left"/>
      <w:pPr>
        <w:tabs>
          <w:tab w:val="left" w:pos="2247"/>
        </w:tabs>
        <w:ind w:left="2247" w:hanging="420"/>
      </w:pPr>
    </w:lvl>
    <w:lvl w:ilvl="4" w:tentative="0">
      <w:start w:val="1"/>
      <w:numFmt w:val="lowerLetter"/>
      <w:lvlText w:val="%5)"/>
      <w:lvlJc w:val="left"/>
      <w:pPr>
        <w:tabs>
          <w:tab w:val="left" w:pos="2667"/>
        </w:tabs>
        <w:ind w:left="2667" w:hanging="420"/>
      </w:pPr>
    </w:lvl>
    <w:lvl w:ilvl="5" w:tentative="0">
      <w:start w:val="1"/>
      <w:numFmt w:val="lowerRoman"/>
      <w:lvlText w:val="%6."/>
      <w:lvlJc w:val="right"/>
      <w:pPr>
        <w:tabs>
          <w:tab w:val="left" w:pos="3087"/>
        </w:tabs>
        <w:ind w:left="3087" w:hanging="420"/>
      </w:pPr>
    </w:lvl>
    <w:lvl w:ilvl="6" w:tentative="0">
      <w:start w:val="1"/>
      <w:numFmt w:val="decimal"/>
      <w:lvlText w:val="%7."/>
      <w:lvlJc w:val="left"/>
      <w:pPr>
        <w:tabs>
          <w:tab w:val="left" w:pos="3507"/>
        </w:tabs>
        <w:ind w:left="3507" w:hanging="420"/>
      </w:pPr>
    </w:lvl>
    <w:lvl w:ilvl="7" w:tentative="0">
      <w:start w:val="1"/>
      <w:numFmt w:val="lowerLetter"/>
      <w:lvlText w:val="%8)"/>
      <w:lvlJc w:val="left"/>
      <w:pPr>
        <w:tabs>
          <w:tab w:val="left" w:pos="3927"/>
        </w:tabs>
        <w:ind w:left="3927" w:hanging="420"/>
      </w:pPr>
    </w:lvl>
    <w:lvl w:ilvl="8" w:tentative="0">
      <w:start w:val="1"/>
      <w:numFmt w:val="lowerRoman"/>
      <w:lvlText w:val="%9."/>
      <w:lvlJc w:val="right"/>
      <w:pPr>
        <w:tabs>
          <w:tab w:val="left" w:pos="4347"/>
        </w:tabs>
        <w:ind w:left="4347" w:hanging="420"/>
      </w:pPr>
    </w:lvl>
  </w:abstractNum>
  <w:abstractNum w:abstractNumId="12">
    <w:nsid w:val="14AA0324"/>
    <w:multiLevelType w:val="multilevel"/>
    <w:tmpl w:val="14AA0324"/>
    <w:lvl w:ilvl="0" w:tentative="0">
      <w:start w:val="1"/>
      <w:numFmt w:val="decimal"/>
      <w:pStyle w:val="36"/>
      <w:lvlText w:val="（%1）"/>
      <w:lvlJc w:val="left"/>
      <w:pPr>
        <w:tabs>
          <w:tab w:val="left" w:pos="720"/>
        </w:tabs>
        <w:ind w:left="72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268915C3"/>
    <w:multiLevelType w:val="multilevel"/>
    <w:tmpl w:val="268915C3"/>
    <w:lvl w:ilvl="0" w:tentative="0">
      <w:start w:val="1"/>
      <w:numFmt w:val="decimal"/>
      <w:pStyle w:val="224"/>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29D16602"/>
    <w:multiLevelType w:val="multilevel"/>
    <w:tmpl w:val="29D16602"/>
    <w:lvl w:ilvl="0" w:tentative="0">
      <w:start w:val="1"/>
      <w:numFmt w:val="decimal"/>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5">
    <w:nsid w:val="31862B04"/>
    <w:multiLevelType w:val="multilevel"/>
    <w:tmpl w:val="31862B04"/>
    <w:lvl w:ilvl="0" w:tentative="0">
      <w:start w:val="1"/>
      <w:numFmt w:val="decimal"/>
      <w:lvlText w:val="%1)"/>
      <w:lvlJc w:val="left"/>
      <w:pPr>
        <w:ind w:left="980" w:hanging="420"/>
      </w:pPr>
      <w:rPr>
        <w:rFonts w:hint="default" w:ascii="Times New Roman" w:hAnsi="Times New Roman" w:cs="Times New Roman"/>
      </w:rPr>
    </w:lvl>
    <w:lvl w:ilvl="1" w:tentative="0">
      <w:start w:val="1"/>
      <w:numFmt w:val="lowerLetter"/>
      <w:lvlText w:val="%2)"/>
      <w:lvlJc w:val="left"/>
      <w:pPr>
        <w:ind w:left="1400" w:hanging="420"/>
      </w:pPr>
      <w:rPr>
        <w:rFonts w:hint="default" w:ascii="Times New Roman" w:hAnsi="Times New Roman" w:cs="Times New Roman"/>
      </w:rPr>
    </w:lvl>
    <w:lvl w:ilvl="2" w:tentative="0">
      <w:start w:val="1"/>
      <w:numFmt w:val="lowerRoman"/>
      <w:lvlText w:val="%3."/>
      <w:lvlJc w:val="right"/>
      <w:pPr>
        <w:ind w:left="1820" w:hanging="420"/>
      </w:pPr>
      <w:rPr>
        <w:rFonts w:hint="default" w:ascii="Times New Roman" w:hAnsi="Times New Roman" w:cs="Times New Roman"/>
      </w:rPr>
    </w:lvl>
    <w:lvl w:ilvl="3" w:tentative="0">
      <w:start w:val="1"/>
      <w:numFmt w:val="decimal"/>
      <w:lvlText w:val="%4."/>
      <w:lvlJc w:val="left"/>
      <w:pPr>
        <w:ind w:left="2240" w:hanging="420"/>
      </w:pPr>
      <w:rPr>
        <w:rFonts w:hint="default" w:ascii="Times New Roman" w:hAnsi="Times New Roman" w:cs="Times New Roman"/>
      </w:rPr>
    </w:lvl>
    <w:lvl w:ilvl="4" w:tentative="0">
      <w:start w:val="1"/>
      <w:numFmt w:val="lowerLetter"/>
      <w:lvlText w:val="%5)"/>
      <w:lvlJc w:val="left"/>
      <w:pPr>
        <w:ind w:left="2660" w:hanging="420"/>
      </w:pPr>
      <w:rPr>
        <w:rFonts w:hint="default" w:ascii="Times New Roman" w:hAnsi="Times New Roman" w:cs="Times New Roman"/>
      </w:rPr>
    </w:lvl>
    <w:lvl w:ilvl="5" w:tentative="0">
      <w:start w:val="1"/>
      <w:numFmt w:val="lowerRoman"/>
      <w:lvlText w:val="%6."/>
      <w:lvlJc w:val="right"/>
      <w:pPr>
        <w:ind w:left="3080" w:hanging="420"/>
      </w:pPr>
      <w:rPr>
        <w:rFonts w:hint="default" w:ascii="Times New Roman" w:hAnsi="Times New Roman" w:cs="Times New Roman"/>
      </w:rPr>
    </w:lvl>
    <w:lvl w:ilvl="6" w:tentative="0">
      <w:start w:val="1"/>
      <w:numFmt w:val="decimal"/>
      <w:lvlText w:val="%7."/>
      <w:lvlJc w:val="left"/>
      <w:pPr>
        <w:ind w:left="3500" w:hanging="420"/>
      </w:pPr>
      <w:rPr>
        <w:rFonts w:hint="default" w:ascii="Times New Roman" w:hAnsi="Times New Roman" w:cs="Times New Roman"/>
      </w:rPr>
    </w:lvl>
    <w:lvl w:ilvl="7" w:tentative="0">
      <w:start w:val="1"/>
      <w:numFmt w:val="lowerLetter"/>
      <w:lvlText w:val="%8)"/>
      <w:lvlJc w:val="left"/>
      <w:pPr>
        <w:ind w:left="3920" w:hanging="420"/>
      </w:pPr>
      <w:rPr>
        <w:rFonts w:hint="default" w:ascii="Times New Roman" w:hAnsi="Times New Roman" w:cs="Times New Roman"/>
      </w:rPr>
    </w:lvl>
    <w:lvl w:ilvl="8" w:tentative="0">
      <w:start w:val="1"/>
      <w:numFmt w:val="lowerRoman"/>
      <w:lvlText w:val="%9."/>
      <w:lvlJc w:val="right"/>
      <w:pPr>
        <w:ind w:left="4340" w:hanging="420"/>
      </w:pPr>
      <w:rPr>
        <w:rFonts w:hint="default" w:ascii="Times New Roman" w:hAnsi="Times New Roman" w:cs="Times New Roman"/>
      </w:rPr>
    </w:lvl>
  </w:abstractNum>
  <w:abstractNum w:abstractNumId="16">
    <w:nsid w:val="45021B3A"/>
    <w:multiLevelType w:val="multilevel"/>
    <w:tmpl w:val="45021B3A"/>
    <w:lvl w:ilvl="0" w:tentative="0">
      <w:start w:val="1"/>
      <w:numFmt w:val="decimal"/>
      <w:pStyle w:val="157"/>
      <w:lvlText w:val="%1、"/>
      <w:lvlJc w:val="left"/>
      <w:pPr>
        <w:tabs>
          <w:tab w:val="left" w:pos="1290"/>
        </w:tabs>
        <w:ind w:left="129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48B931E6"/>
    <w:multiLevelType w:val="multilevel"/>
    <w:tmpl w:val="48B931E6"/>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4E196AC1"/>
    <w:multiLevelType w:val="multilevel"/>
    <w:tmpl w:val="4E196AC1"/>
    <w:lvl w:ilvl="0" w:tentative="0">
      <w:start w:val="1"/>
      <w:numFmt w:val="decimal"/>
      <w:pStyle w:val="148"/>
      <w:lvlText w:val="4.%1"/>
      <w:lvlJc w:val="left"/>
      <w:pPr>
        <w:tabs>
          <w:tab w:val="left" w:pos="360"/>
        </w:tabs>
        <w:ind w:left="0" w:firstLine="0"/>
      </w:pPr>
      <w:rPr>
        <w:b/>
        <w:i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67F3C025"/>
    <w:multiLevelType w:val="singleLevel"/>
    <w:tmpl w:val="67F3C025"/>
    <w:lvl w:ilvl="0" w:tentative="0">
      <w:start w:val="1"/>
      <w:numFmt w:val="decimal"/>
      <w:suff w:val="nothing"/>
      <w:lvlText w:val="（%1）"/>
      <w:lvlJc w:val="left"/>
    </w:lvl>
  </w:abstractNum>
  <w:abstractNum w:abstractNumId="20">
    <w:nsid w:val="6A5A46DB"/>
    <w:multiLevelType w:val="singleLevel"/>
    <w:tmpl w:val="6A5A46DB"/>
    <w:lvl w:ilvl="0" w:tentative="0">
      <w:start w:val="1"/>
      <w:numFmt w:val="bullet"/>
      <w:pStyle w:val="29"/>
      <w:lvlText w:val=""/>
      <w:lvlJc w:val="left"/>
      <w:pPr>
        <w:tabs>
          <w:tab w:val="left" w:pos="425"/>
        </w:tabs>
        <w:ind w:left="425" w:hanging="425"/>
      </w:pPr>
      <w:rPr>
        <w:rFonts w:hint="default" w:ascii="Wingdings" w:hAnsi="Wingdings"/>
      </w:rPr>
    </w:lvl>
  </w:abstractNum>
  <w:abstractNum w:abstractNumId="21">
    <w:nsid w:val="6CFC47CE"/>
    <w:multiLevelType w:val="multilevel"/>
    <w:tmpl w:val="6CFC47CE"/>
    <w:lvl w:ilvl="0" w:tentative="0">
      <w:start w:val="1"/>
      <w:numFmt w:val="decimal"/>
      <w:lvlText w:val="%1)"/>
      <w:lvlJc w:val="left"/>
      <w:pPr>
        <w:ind w:left="980" w:hanging="420"/>
      </w:pPr>
      <w:rPr>
        <w:rFonts w:hint="default" w:ascii="Times New Roman" w:hAnsi="Times New Roman" w:cs="Times New Roman"/>
      </w:rPr>
    </w:lvl>
    <w:lvl w:ilvl="1" w:tentative="0">
      <w:start w:val="1"/>
      <w:numFmt w:val="lowerLetter"/>
      <w:lvlText w:val="%2)"/>
      <w:lvlJc w:val="left"/>
      <w:pPr>
        <w:ind w:left="1400" w:hanging="420"/>
      </w:pPr>
      <w:rPr>
        <w:rFonts w:hint="default" w:ascii="Times New Roman" w:hAnsi="Times New Roman" w:cs="Times New Roman"/>
      </w:rPr>
    </w:lvl>
    <w:lvl w:ilvl="2" w:tentative="0">
      <w:start w:val="1"/>
      <w:numFmt w:val="lowerRoman"/>
      <w:lvlText w:val="%3."/>
      <w:lvlJc w:val="right"/>
      <w:pPr>
        <w:ind w:left="1820" w:hanging="420"/>
      </w:pPr>
      <w:rPr>
        <w:rFonts w:hint="default" w:ascii="Times New Roman" w:hAnsi="Times New Roman" w:cs="Times New Roman"/>
      </w:rPr>
    </w:lvl>
    <w:lvl w:ilvl="3" w:tentative="0">
      <w:start w:val="1"/>
      <w:numFmt w:val="decimal"/>
      <w:lvlText w:val="%4."/>
      <w:lvlJc w:val="left"/>
      <w:pPr>
        <w:ind w:left="2240" w:hanging="420"/>
      </w:pPr>
      <w:rPr>
        <w:rFonts w:hint="default" w:ascii="Times New Roman" w:hAnsi="Times New Roman" w:cs="Times New Roman"/>
      </w:rPr>
    </w:lvl>
    <w:lvl w:ilvl="4" w:tentative="0">
      <w:start w:val="1"/>
      <w:numFmt w:val="lowerLetter"/>
      <w:lvlText w:val="%5)"/>
      <w:lvlJc w:val="left"/>
      <w:pPr>
        <w:ind w:left="2660" w:hanging="420"/>
      </w:pPr>
      <w:rPr>
        <w:rFonts w:hint="default" w:ascii="Times New Roman" w:hAnsi="Times New Roman" w:cs="Times New Roman"/>
      </w:rPr>
    </w:lvl>
    <w:lvl w:ilvl="5" w:tentative="0">
      <w:start w:val="1"/>
      <w:numFmt w:val="lowerRoman"/>
      <w:lvlText w:val="%6."/>
      <w:lvlJc w:val="right"/>
      <w:pPr>
        <w:ind w:left="3080" w:hanging="420"/>
      </w:pPr>
      <w:rPr>
        <w:rFonts w:hint="default" w:ascii="Times New Roman" w:hAnsi="Times New Roman" w:cs="Times New Roman"/>
      </w:rPr>
    </w:lvl>
    <w:lvl w:ilvl="6" w:tentative="0">
      <w:start w:val="1"/>
      <w:numFmt w:val="decimal"/>
      <w:lvlText w:val="%7."/>
      <w:lvlJc w:val="left"/>
      <w:pPr>
        <w:ind w:left="3500" w:hanging="420"/>
      </w:pPr>
      <w:rPr>
        <w:rFonts w:hint="default" w:ascii="Times New Roman" w:hAnsi="Times New Roman" w:cs="Times New Roman"/>
      </w:rPr>
    </w:lvl>
    <w:lvl w:ilvl="7" w:tentative="0">
      <w:start w:val="1"/>
      <w:numFmt w:val="lowerLetter"/>
      <w:lvlText w:val="%8)"/>
      <w:lvlJc w:val="left"/>
      <w:pPr>
        <w:ind w:left="3920" w:hanging="420"/>
      </w:pPr>
      <w:rPr>
        <w:rFonts w:hint="default" w:ascii="Times New Roman" w:hAnsi="Times New Roman" w:cs="Times New Roman"/>
      </w:rPr>
    </w:lvl>
    <w:lvl w:ilvl="8" w:tentative="0">
      <w:start w:val="1"/>
      <w:numFmt w:val="lowerRoman"/>
      <w:lvlText w:val="%9."/>
      <w:lvlJc w:val="right"/>
      <w:pPr>
        <w:ind w:left="4340" w:hanging="420"/>
      </w:pPr>
      <w:rPr>
        <w:rFonts w:hint="default" w:ascii="Times New Roman" w:hAnsi="Times New Roman" w:cs="Times New Roman"/>
      </w:rPr>
    </w:lvl>
  </w:abstractNum>
  <w:abstractNum w:abstractNumId="22">
    <w:nsid w:val="758F12F8"/>
    <w:multiLevelType w:val="singleLevel"/>
    <w:tmpl w:val="758F12F8"/>
    <w:lvl w:ilvl="0" w:tentative="0">
      <w:start w:val="3"/>
      <w:numFmt w:val="decimal"/>
      <w:suff w:val="nothing"/>
      <w:lvlText w:val="%1、"/>
      <w:lvlJc w:val="left"/>
    </w:lvl>
  </w:abstractNum>
  <w:abstractNum w:abstractNumId="23">
    <w:nsid w:val="75CE378B"/>
    <w:multiLevelType w:val="multilevel"/>
    <w:tmpl w:val="75CE378B"/>
    <w:lvl w:ilvl="0" w:tentative="0">
      <w:start w:val="1"/>
      <w:numFmt w:val="decimal"/>
      <w:pStyle w:val="25"/>
      <w:lvlText w:val="%1."/>
      <w:lvlJc w:val="left"/>
      <w:pPr>
        <w:tabs>
          <w:tab w:val="left" w:pos="360"/>
        </w:tabs>
        <w:ind w:left="360" w:hanging="360"/>
      </w:pPr>
      <w:rPr>
        <w:rFonts w:hAnsi="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5"/>
  </w:num>
  <w:num w:numId="2">
    <w:abstractNumId w:val="11"/>
  </w:num>
  <w:num w:numId="3">
    <w:abstractNumId w:val="23"/>
  </w:num>
  <w:num w:numId="4">
    <w:abstractNumId w:val="20"/>
  </w:num>
  <w:num w:numId="5">
    <w:abstractNumId w:val="12"/>
  </w:num>
  <w:num w:numId="6">
    <w:abstractNumId w:val="9"/>
  </w:num>
  <w:num w:numId="7">
    <w:abstractNumId w:val="18"/>
  </w:num>
  <w:num w:numId="8">
    <w:abstractNumId w:val="16"/>
  </w:num>
  <w:num w:numId="9">
    <w:abstractNumId w:val="13"/>
  </w:num>
  <w:num w:numId="10">
    <w:abstractNumId w:val="2"/>
  </w:num>
  <w:num w:numId="11">
    <w:abstractNumId w:val="0"/>
  </w:num>
  <w:num w:numId="12">
    <w:abstractNumId w:val="22"/>
  </w:num>
  <w:num w:numId="13">
    <w:abstractNumId w:val="19"/>
  </w:num>
  <w:num w:numId="14">
    <w:abstractNumId w:val="8"/>
  </w:num>
  <w:num w:numId="15">
    <w:abstractNumId w:val="6"/>
  </w:num>
  <w:num w:numId="16">
    <w:abstractNumId w:val="7"/>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4"/>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17"/>
  </w:num>
  <w:num w:numId="25">
    <w:abstractNumId w:val="9"/>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14"/>
  </w:num>
  <w:num w:numId="30">
    <w:abstractNumId w:val="1"/>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20"/>
  <w:drawingGridVerticalSpacing w:val="156"/>
  <w:displayHorizontalDrawingGridEvery w:val="1"/>
  <w:displayVerticalDrawingGridEvery w:val="1"/>
  <w:noPunctuationKerning w:val="1"/>
  <w:characterSpacingControl w:val="compressPunctuation"/>
  <w:noLineBreaksAfter w:lang="zh-CN" w:val="([{·‘“〈《「『【〔〖（．［｛￡￥"/>
  <w:noLineBreaksBefore w:lang="zh-CN" w:val="!),.:;?]}¨·ˇˉ―‖’”…∶、。〃々〉》」』】〕〗！＂＇），．：；？］｀｜｝～￠"/>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ODJlYjYzYTMyOTU2ZTgyMWQ5NjRkMWJlYjU2N2QifQ=="/>
  </w:docVars>
  <w:rsids>
    <w:rsidRoot w:val="00172A27"/>
    <w:rsid w:val="00000BF0"/>
    <w:rsid w:val="00000E70"/>
    <w:rsid w:val="00001201"/>
    <w:rsid w:val="0000154D"/>
    <w:rsid w:val="00001A61"/>
    <w:rsid w:val="00001FE5"/>
    <w:rsid w:val="00002002"/>
    <w:rsid w:val="0000212B"/>
    <w:rsid w:val="000033DC"/>
    <w:rsid w:val="0000375D"/>
    <w:rsid w:val="000037B6"/>
    <w:rsid w:val="0000391C"/>
    <w:rsid w:val="00003B8B"/>
    <w:rsid w:val="00003FB1"/>
    <w:rsid w:val="00004001"/>
    <w:rsid w:val="00004100"/>
    <w:rsid w:val="0000440D"/>
    <w:rsid w:val="00005181"/>
    <w:rsid w:val="000053D1"/>
    <w:rsid w:val="000058F2"/>
    <w:rsid w:val="000059F0"/>
    <w:rsid w:val="00005D06"/>
    <w:rsid w:val="00006830"/>
    <w:rsid w:val="00006841"/>
    <w:rsid w:val="000071CB"/>
    <w:rsid w:val="000072A5"/>
    <w:rsid w:val="0000757E"/>
    <w:rsid w:val="000076F1"/>
    <w:rsid w:val="0000777F"/>
    <w:rsid w:val="00007ECB"/>
    <w:rsid w:val="00007F96"/>
    <w:rsid w:val="00010110"/>
    <w:rsid w:val="000105BE"/>
    <w:rsid w:val="0001085E"/>
    <w:rsid w:val="00010930"/>
    <w:rsid w:val="000109F1"/>
    <w:rsid w:val="00011B53"/>
    <w:rsid w:val="000120EA"/>
    <w:rsid w:val="00012810"/>
    <w:rsid w:val="00012A5A"/>
    <w:rsid w:val="00012B4E"/>
    <w:rsid w:val="00012FC4"/>
    <w:rsid w:val="000134B6"/>
    <w:rsid w:val="000134E9"/>
    <w:rsid w:val="00013581"/>
    <w:rsid w:val="0001367E"/>
    <w:rsid w:val="00013701"/>
    <w:rsid w:val="00013A27"/>
    <w:rsid w:val="00013B5C"/>
    <w:rsid w:val="00014119"/>
    <w:rsid w:val="00014176"/>
    <w:rsid w:val="00014413"/>
    <w:rsid w:val="000144DC"/>
    <w:rsid w:val="00014A6D"/>
    <w:rsid w:val="000150A0"/>
    <w:rsid w:val="0001510B"/>
    <w:rsid w:val="0001512D"/>
    <w:rsid w:val="000155A5"/>
    <w:rsid w:val="00015913"/>
    <w:rsid w:val="00016216"/>
    <w:rsid w:val="00016245"/>
    <w:rsid w:val="0001652F"/>
    <w:rsid w:val="000166C5"/>
    <w:rsid w:val="00016A4F"/>
    <w:rsid w:val="00016E5C"/>
    <w:rsid w:val="00017083"/>
    <w:rsid w:val="000174E3"/>
    <w:rsid w:val="00017552"/>
    <w:rsid w:val="000175A8"/>
    <w:rsid w:val="000175CA"/>
    <w:rsid w:val="00020353"/>
    <w:rsid w:val="000205C0"/>
    <w:rsid w:val="000219C4"/>
    <w:rsid w:val="00021D02"/>
    <w:rsid w:val="000220D4"/>
    <w:rsid w:val="00022388"/>
    <w:rsid w:val="00022925"/>
    <w:rsid w:val="00023427"/>
    <w:rsid w:val="0002386E"/>
    <w:rsid w:val="00023D3F"/>
    <w:rsid w:val="00023E98"/>
    <w:rsid w:val="00023EAA"/>
    <w:rsid w:val="00023F28"/>
    <w:rsid w:val="00024170"/>
    <w:rsid w:val="000252D3"/>
    <w:rsid w:val="00025645"/>
    <w:rsid w:val="000256FC"/>
    <w:rsid w:val="0002571A"/>
    <w:rsid w:val="00025941"/>
    <w:rsid w:val="00025EAB"/>
    <w:rsid w:val="00026344"/>
    <w:rsid w:val="00026E2D"/>
    <w:rsid w:val="00026EF9"/>
    <w:rsid w:val="0002722E"/>
    <w:rsid w:val="0002734D"/>
    <w:rsid w:val="0002766D"/>
    <w:rsid w:val="000276F5"/>
    <w:rsid w:val="00027709"/>
    <w:rsid w:val="00027D31"/>
    <w:rsid w:val="00027FC5"/>
    <w:rsid w:val="00030244"/>
    <w:rsid w:val="000305B6"/>
    <w:rsid w:val="000306F2"/>
    <w:rsid w:val="00030F7D"/>
    <w:rsid w:val="00030F98"/>
    <w:rsid w:val="00031276"/>
    <w:rsid w:val="0003129D"/>
    <w:rsid w:val="00031E8F"/>
    <w:rsid w:val="000324A3"/>
    <w:rsid w:val="0003278A"/>
    <w:rsid w:val="0003297A"/>
    <w:rsid w:val="00032BE6"/>
    <w:rsid w:val="00033447"/>
    <w:rsid w:val="00033717"/>
    <w:rsid w:val="000344EB"/>
    <w:rsid w:val="000345CC"/>
    <w:rsid w:val="00034732"/>
    <w:rsid w:val="00034920"/>
    <w:rsid w:val="00035018"/>
    <w:rsid w:val="00035268"/>
    <w:rsid w:val="0003583A"/>
    <w:rsid w:val="000358AD"/>
    <w:rsid w:val="00035A6D"/>
    <w:rsid w:val="00036842"/>
    <w:rsid w:val="00036947"/>
    <w:rsid w:val="00036F47"/>
    <w:rsid w:val="00037277"/>
    <w:rsid w:val="0003735E"/>
    <w:rsid w:val="0003771F"/>
    <w:rsid w:val="00037B61"/>
    <w:rsid w:val="00037D02"/>
    <w:rsid w:val="000401F9"/>
    <w:rsid w:val="000404E2"/>
    <w:rsid w:val="00040814"/>
    <w:rsid w:val="00040835"/>
    <w:rsid w:val="00040913"/>
    <w:rsid w:val="0004091A"/>
    <w:rsid w:val="00040F1D"/>
    <w:rsid w:val="0004110A"/>
    <w:rsid w:val="00041256"/>
    <w:rsid w:val="00041729"/>
    <w:rsid w:val="00041839"/>
    <w:rsid w:val="0004183A"/>
    <w:rsid w:val="00041E94"/>
    <w:rsid w:val="00041EEF"/>
    <w:rsid w:val="00041F25"/>
    <w:rsid w:val="00042178"/>
    <w:rsid w:val="00042237"/>
    <w:rsid w:val="000425BC"/>
    <w:rsid w:val="000429F8"/>
    <w:rsid w:val="00042B54"/>
    <w:rsid w:val="00042CFE"/>
    <w:rsid w:val="0004329D"/>
    <w:rsid w:val="0004359A"/>
    <w:rsid w:val="00043CE3"/>
    <w:rsid w:val="00043E34"/>
    <w:rsid w:val="00043F7D"/>
    <w:rsid w:val="0004401F"/>
    <w:rsid w:val="000442B1"/>
    <w:rsid w:val="00044366"/>
    <w:rsid w:val="00044587"/>
    <w:rsid w:val="000445C4"/>
    <w:rsid w:val="000446E7"/>
    <w:rsid w:val="00044831"/>
    <w:rsid w:val="00044A7A"/>
    <w:rsid w:val="00044F04"/>
    <w:rsid w:val="00045201"/>
    <w:rsid w:val="000452E1"/>
    <w:rsid w:val="00045342"/>
    <w:rsid w:val="00045614"/>
    <w:rsid w:val="00045945"/>
    <w:rsid w:val="000459BF"/>
    <w:rsid w:val="0004605B"/>
    <w:rsid w:val="000460D0"/>
    <w:rsid w:val="00046402"/>
    <w:rsid w:val="00046498"/>
    <w:rsid w:val="0004652F"/>
    <w:rsid w:val="00046E2D"/>
    <w:rsid w:val="0004735F"/>
    <w:rsid w:val="00047F9C"/>
    <w:rsid w:val="0005005B"/>
    <w:rsid w:val="00050837"/>
    <w:rsid w:val="00050917"/>
    <w:rsid w:val="00050C7D"/>
    <w:rsid w:val="0005165A"/>
    <w:rsid w:val="00051811"/>
    <w:rsid w:val="0005181D"/>
    <w:rsid w:val="00051C39"/>
    <w:rsid w:val="00051C4D"/>
    <w:rsid w:val="00052354"/>
    <w:rsid w:val="00052459"/>
    <w:rsid w:val="000527E0"/>
    <w:rsid w:val="00052FE9"/>
    <w:rsid w:val="00053003"/>
    <w:rsid w:val="00053392"/>
    <w:rsid w:val="00053583"/>
    <w:rsid w:val="00053C97"/>
    <w:rsid w:val="00054ED4"/>
    <w:rsid w:val="00055729"/>
    <w:rsid w:val="000560B8"/>
    <w:rsid w:val="000560F4"/>
    <w:rsid w:val="0005639F"/>
    <w:rsid w:val="00056600"/>
    <w:rsid w:val="00056804"/>
    <w:rsid w:val="00056B5F"/>
    <w:rsid w:val="00056BA3"/>
    <w:rsid w:val="00056EE0"/>
    <w:rsid w:val="0005701F"/>
    <w:rsid w:val="000570EB"/>
    <w:rsid w:val="00057209"/>
    <w:rsid w:val="0005727E"/>
    <w:rsid w:val="0005741A"/>
    <w:rsid w:val="0005748D"/>
    <w:rsid w:val="00057A6D"/>
    <w:rsid w:val="00057E6E"/>
    <w:rsid w:val="000608EA"/>
    <w:rsid w:val="00060A4C"/>
    <w:rsid w:val="00060A55"/>
    <w:rsid w:val="00060E6F"/>
    <w:rsid w:val="0006105A"/>
    <w:rsid w:val="0006141E"/>
    <w:rsid w:val="00061525"/>
    <w:rsid w:val="00061F22"/>
    <w:rsid w:val="00062455"/>
    <w:rsid w:val="00062569"/>
    <w:rsid w:val="00062572"/>
    <w:rsid w:val="000626F4"/>
    <w:rsid w:val="00062AE1"/>
    <w:rsid w:val="00063DF1"/>
    <w:rsid w:val="0006436A"/>
    <w:rsid w:val="0006449E"/>
    <w:rsid w:val="00064CE9"/>
    <w:rsid w:val="00064E0C"/>
    <w:rsid w:val="00064E22"/>
    <w:rsid w:val="00064F0F"/>
    <w:rsid w:val="00064F7C"/>
    <w:rsid w:val="00065246"/>
    <w:rsid w:val="000653DE"/>
    <w:rsid w:val="00065611"/>
    <w:rsid w:val="00065808"/>
    <w:rsid w:val="00066E45"/>
    <w:rsid w:val="000676E7"/>
    <w:rsid w:val="000678CA"/>
    <w:rsid w:val="00067ACB"/>
    <w:rsid w:val="0007037A"/>
    <w:rsid w:val="00070601"/>
    <w:rsid w:val="00070B75"/>
    <w:rsid w:val="00070FAD"/>
    <w:rsid w:val="0007131E"/>
    <w:rsid w:val="00071B67"/>
    <w:rsid w:val="0007204F"/>
    <w:rsid w:val="00072152"/>
    <w:rsid w:val="000726A7"/>
    <w:rsid w:val="0007286A"/>
    <w:rsid w:val="0007298A"/>
    <w:rsid w:val="00072BCD"/>
    <w:rsid w:val="00072D84"/>
    <w:rsid w:val="0007300B"/>
    <w:rsid w:val="00073056"/>
    <w:rsid w:val="00073C49"/>
    <w:rsid w:val="000743F9"/>
    <w:rsid w:val="000747E8"/>
    <w:rsid w:val="00074861"/>
    <w:rsid w:val="00074923"/>
    <w:rsid w:val="00075200"/>
    <w:rsid w:val="00075495"/>
    <w:rsid w:val="00075F36"/>
    <w:rsid w:val="00075F7D"/>
    <w:rsid w:val="00075F88"/>
    <w:rsid w:val="000763B1"/>
    <w:rsid w:val="0007642D"/>
    <w:rsid w:val="00076587"/>
    <w:rsid w:val="00076806"/>
    <w:rsid w:val="000768D8"/>
    <w:rsid w:val="00076E9A"/>
    <w:rsid w:val="00077017"/>
    <w:rsid w:val="0007715E"/>
    <w:rsid w:val="000772D1"/>
    <w:rsid w:val="00077D16"/>
    <w:rsid w:val="00077E82"/>
    <w:rsid w:val="00077FCA"/>
    <w:rsid w:val="00080296"/>
    <w:rsid w:val="000803DC"/>
    <w:rsid w:val="00080576"/>
    <w:rsid w:val="00080EA8"/>
    <w:rsid w:val="000817DA"/>
    <w:rsid w:val="00081B11"/>
    <w:rsid w:val="00081B2F"/>
    <w:rsid w:val="000822E5"/>
    <w:rsid w:val="000824E4"/>
    <w:rsid w:val="0008286C"/>
    <w:rsid w:val="000829BD"/>
    <w:rsid w:val="00083201"/>
    <w:rsid w:val="00083422"/>
    <w:rsid w:val="00083460"/>
    <w:rsid w:val="000841F7"/>
    <w:rsid w:val="000846EE"/>
    <w:rsid w:val="0008510E"/>
    <w:rsid w:val="000853FB"/>
    <w:rsid w:val="0008580F"/>
    <w:rsid w:val="00085A86"/>
    <w:rsid w:val="00085AA4"/>
    <w:rsid w:val="00085B43"/>
    <w:rsid w:val="00085B4A"/>
    <w:rsid w:val="000861BE"/>
    <w:rsid w:val="0008625C"/>
    <w:rsid w:val="0008631A"/>
    <w:rsid w:val="00086DB1"/>
    <w:rsid w:val="00087021"/>
    <w:rsid w:val="000874B5"/>
    <w:rsid w:val="0008761D"/>
    <w:rsid w:val="000876D7"/>
    <w:rsid w:val="00087D04"/>
    <w:rsid w:val="0009057D"/>
    <w:rsid w:val="000908DF"/>
    <w:rsid w:val="00090B3F"/>
    <w:rsid w:val="00090E04"/>
    <w:rsid w:val="000913DD"/>
    <w:rsid w:val="00091A9E"/>
    <w:rsid w:val="00091FA5"/>
    <w:rsid w:val="00092347"/>
    <w:rsid w:val="00092CA6"/>
    <w:rsid w:val="0009306F"/>
    <w:rsid w:val="000930A9"/>
    <w:rsid w:val="00093864"/>
    <w:rsid w:val="00093B4F"/>
    <w:rsid w:val="00093D9E"/>
    <w:rsid w:val="0009451E"/>
    <w:rsid w:val="0009481B"/>
    <w:rsid w:val="000948C7"/>
    <w:rsid w:val="00094BBB"/>
    <w:rsid w:val="0009506D"/>
    <w:rsid w:val="0009513F"/>
    <w:rsid w:val="00095D26"/>
    <w:rsid w:val="00095D5E"/>
    <w:rsid w:val="00095E08"/>
    <w:rsid w:val="0009652F"/>
    <w:rsid w:val="00097076"/>
    <w:rsid w:val="00097261"/>
    <w:rsid w:val="0009731F"/>
    <w:rsid w:val="0009798F"/>
    <w:rsid w:val="00097E94"/>
    <w:rsid w:val="000A0217"/>
    <w:rsid w:val="000A05B3"/>
    <w:rsid w:val="000A0B20"/>
    <w:rsid w:val="000A0E69"/>
    <w:rsid w:val="000A0E75"/>
    <w:rsid w:val="000A10BF"/>
    <w:rsid w:val="000A13C3"/>
    <w:rsid w:val="000A213B"/>
    <w:rsid w:val="000A2A6D"/>
    <w:rsid w:val="000A36EE"/>
    <w:rsid w:val="000A3871"/>
    <w:rsid w:val="000A3992"/>
    <w:rsid w:val="000A3B04"/>
    <w:rsid w:val="000A3D42"/>
    <w:rsid w:val="000A3EA9"/>
    <w:rsid w:val="000A448E"/>
    <w:rsid w:val="000A4872"/>
    <w:rsid w:val="000A4AB5"/>
    <w:rsid w:val="000A4BB8"/>
    <w:rsid w:val="000A5322"/>
    <w:rsid w:val="000A542C"/>
    <w:rsid w:val="000A57CA"/>
    <w:rsid w:val="000A58A2"/>
    <w:rsid w:val="000A5A31"/>
    <w:rsid w:val="000A6A3A"/>
    <w:rsid w:val="000A6C8A"/>
    <w:rsid w:val="000A6DA1"/>
    <w:rsid w:val="000A6EB9"/>
    <w:rsid w:val="000A7101"/>
    <w:rsid w:val="000A7664"/>
    <w:rsid w:val="000B057A"/>
    <w:rsid w:val="000B07B0"/>
    <w:rsid w:val="000B0919"/>
    <w:rsid w:val="000B10A2"/>
    <w:rsid w:val="000B148F"/>
    <w:rsid w:val="000B15B9"/>
    <w:rsid w:val="000B1DE5"/>
    <w:rsid w:val="000B1FBF"/>
    <w:rsid w:val="000B2005"/>
    <w:rsid w:val="000B21BD"/>
    <w:rsid w:val="000B22E0"/>
    <w:rsid w:val="000B2475"/>
    <w:rsid w:val="000B24CE"/>
    <w:rsid w:val="000B2EFC"/>
    <w:rsid w:val="000B2F17"/>
    <w:rsid w:val="000B3192"/>
    <w:rsid w:val="000B34F6"/>
    <w:rsid w:val="000B36B8"/>
    <w:rsid w:val="000B39D1"/>
    <w:rsid w:val="000B3EBA"/>
    <w:rsid w:val="000B4098"/>
    <w:rsid w:val="000B4290"/>
    <w:rsid w:val="000B4BC6"/>
    <w:rsid w:val="000B4E84"/>
    <w:rsid w:val="000B505B"/>
    <w:rsid w:val="000B53D3"/>
    <w:rsid w:val="000B5852"/>
    <w:rsid w:val="000B5B1F"/>
    <w:rsid w:val="000B669A"/>
    <w:rsid w:val="000B685A"/>
    <w:rsid w:val="000B68E6"/>
    <w:rsid w:val="000B6974"/>
    <w:rsid w:val="000B7814"/>
    <w:rsid w:val="000B7BCF"/>
    <w:rsid w:val="000C0281"/>
    <w:rsid w:val="000C0471"/>
    <w:rsid w:val="000C0569"/>
    <w:rsid w:val="000C0821"/>
    <w:rsid w:val="000C08EC"/>
    <w:rsid w:val="000C155B"/>
    <w:rsid w:val="000C16F5"/>
    <w:rsid w:val="000C1AA0"/>
    <w:rsid w:val="000C1E3C"/>
    <w:rsid w:val="000C207F"/>
    <w:rsid w:val="000C2144"/>
    <w:rsid w:val="000C236E"/>
    <w:rsid w:val="000C2CD1"/>
    <w:rsid w:val="000C2E1C"/>
    <w:rsid w:val="000C3520"/>
    <w:rsid w:val="000C3552"/>
    <w:rsid w:val="000C38DD"/>
    <w:rsid w:val="000C3E08"/>
    <w:rsid w:val="000C461E"/>
    <w:rsid w:val="000C4A1A"/>
    <w:rsid w:val="000C4A61"/>
    <w:rsid w:val="000C4A8E"/>
    <w:rsid w:val="000C4CE5"/>
    <w:rsid w:val="000C4D21"/>
    <w:rsid w:val="000C4E36"/>
    <w:rsid w:val="000C4F5C"/>
    <w:rsid w:val="000C547B"/>
    <w:rsid w:val="000C5892"/>
    <w:rsid w:val="000C5A43"/>
    <w:rsid w:val="000C5DCD"/>
    <w:rsid w:val="000C5E84"/>
    <w:rsid w:val="000C6391"/>
    <w:rsid w:val="000C7088"/>
    <w:rsid w:val="000C72B8"/>
    <w:rsid w:val="000C7651"/>
    <w:rsid w:val="000C769A"/>
    <w:rsid w:val="000C790D"/>
    <w:rsid w:val="000C7C46"/>
    <w:rsid w:val="000C7CCF"/>
    <w:rsid w:val="000D016D"/>
    <w:rsid w:val="000D0229"/>
    <w:rsid w:val="000D027E"/>
    <w:rsid w:val="000D0475"/>
    <w:rsid w:val="000D0544"/>
    <w:rsid w:val="000D0693"/>
    <w:rsid w:val="000D088A"/>
    <w:rsid w:val="000D0938"/>
    <w:rsid w:val="000D0971"/>
    <w:rsid w:val="000D0C1E"/>
    <w:rsid w:val="000D135D"/>
    <w:rsid w:val="000D1498"/>
    <w:rsid w:val="000D14D7"/>
    <w:rsid w:val="000D1528"/>
    <w:rsid w:val="000D1C13"/>
    <w:rsid w:val="000D2209"/>
    <w:rsid w:val="000D247F"/>
    <w:rsid w:val="000D2893"/>
    <w:rsid w:val="000D2D49"/>
    <w:rsid w:val="000D3041"/>
    <w:rsid w:val="000D31D9"/>
    <w:rsid w:val="000D36C9"/>
    <w:rsid w:val="000D37C9"/>
    <w:rsid w:val="000D3DA0"/>
    <w:rsid w:val="000D3F82"/>
    <w:rsid w:val="000D41CB"/>
    <w:rsid w:val="000D4450"/>
    <w:rsid w:val="000D455B"/>
    <w:rsid w:val="000D48DE"/>
    <w:rsid w:val="000D4FFA"/>
    <w:rsid w:val="000D5290"/>
    <w:rsid w:val="000D57C9"/>
    <w:rsid w:val="000D5B09"/>
    <w:rsid w:val="000D5C21"/>
    <w:rsid w:val="000D5CD7"/>
    <w:rsid w:val="000D68A3"/>
    <w:rsid w:val="000D7918"/>
    <w:rsid w:val="000D799F"/>
    <w:rsid w:val="000D7A24"/>
    <w:rsid w:val="000D7DF2"/>
    <w:rsid w:val="000D7F94"/>
    <w:rsid w:val="000E0105"/>
    <w:rsid w:val="000E02AE"/>
    <w:rsid w:val="000E04A6"/>
    <w:rsid w:val="000E0784"/>
    <w:rsid w:val="000E094C"/>
    <w:rsid w:val="000E0A3B"/>
    <w:rsid w:val="000E0AB0"/>
    <w:rsid w:val="000E0C20"/>
    <w:rsid w:val="000E0D71"/>
    <w:rsid w:val="000E1473"/>
    <w:rsid w:val="000E22FA"/>
    <w:rsid w:val="000E253E"/>
    <w:rsid w:val="000E266C"/>
    <w:rsid w:val="000E266F"/>
    <w:rsid w:val="000E27AA"/>
    <w:rsid w:val="000E2964"/>
    <w:rsid w:val="000E29D0"/>
    <w:rsid w:val="000E2C12"/>
    <w:rsid w:val="000E2D99"/>
    <w:rsid w:val="000E3A8C"/>
    <w:rsid w:val="000E3C28"/>
    <w:rsid w:val="000E3C9C"/>
    <w:rsid w:val="000E42D1"/>
    <w:rsid w:val="000E44B1"/>
    <w:rsid w:val="000E4868"/>
    <w:rsid w:val="000E4C8B"/>
    <w:rsid w:val="000E5232"/>
    <w:rsid w:val="000E5A05"/>
    <w:rsid w:val="000E5B8D"/>
    <w:rsid w:val="000E5E13"/>
    <w:rsid w:val="000E6507"/>
    <w:rsid w:val="000E6982"/>
    <w:rsid w:val="000E6A91"/>
    <w:rsid w:val="000E6FA0"/>
    <w:rsid w:val="000E712F"/>
    <w:rsid w:val="000F0112"/>
    <w:rsid w:val="000F060E"/>
    <w:rsid w:val="000F0918"/>
    <w:rsid w:val="000F095F"/>
    <w:rsid w:val="000F09B7"/>
    <w:rsid w:val="000F09FF"/>
    <w:rsid w:val="000F0D56"/>
    <w:rsid w:val="000F10A2"/>
    <w:rsid w:val="000F1423"/>
    <w:rsid w:val="000F1490"/>
    <w:rsid w:val="000F17BD"/>
    <w:rsid w:val="000F1A3A"/>
    <w:rsid w:val="000F1C81"/>
    <w:rsid w:val="000F204B"/>
    <w:rsid w:val="000F21BC"/>
    <w:rsid w:val="000F2612"/>
    <w:rsid w:val="000F2764"/>
    <w:rsid w:val="000F2F3A"/>
    <w:rsid w:val="000F356F"/>
    <w:rsid w:val="000F3650"/>
    <w:rsid w:val="000F3773"/>
    <w:rsid w:val="000F38CB"/>
    <w:rsid w:val="000F3934"/>
    <w:rsid w:val="000F4049"/>
    <w:rsid w:val="000F498C"/>
    <w:rsid w:val="000F4AEC"/>
    <w:rsid w:val="000F4FFB"/>
    <w:rsid w:val="000F58E2"/>
    <w:rsid w:val="000F596E"/>
    <w:rsid w:val="000F5A61"/>
    <w:rsid w:val="000F5ABD"/>
    <w:rsid w:val="000F5AEF"/>
    <w:rsid w:val="000F5F9C"/>
    <w:rsid w:val="000F6149"/>
    <w:rsid w:val="000F6457"/>
    <w:rsid w:val="000F652C"/>
    <w:rsid w:val="000F6794"/>
    <w:rsid w:val="000F7081"/>
    <w:rsid w:val="000F7159"/>
    <w:rsid w:val="000F738E"/>
    <w:rsid w:val="000F7A18"/>
    <w:rsid w:val="00101007"/>
    <w:rsid w:val="00101094"/>
    <w:rsid w:val="00101357"/>
    <w:rsid w:val="001013F8"/>
    <w:rsid w:val="00101E14"/>
    <w:rsid w:val="00101E93"/>
    <w:rsid w:val="00102B94"/>
    <w:rsid w:val="00103317"/>
    <w:rsid w:val="00103389"/>
    <w:rsid w:val="00103722"/>
    <w:rsid w:val="00103CB7"/>
    <w:rsid w:val="00104269"/>
    <w:rsid w:val="001045BD"/>
    <w:rsid w:val="00104F62"/>
    <w:rsid w:val="00105887"/>
    <w:rsid w:val="00105CD6"/>
    <w:rsid w:val="001061E7"/>
    <w:rsid w:val="001063C0"/>
    <w:rsid w:val="001066FF"/>
    <w:rsid w:val="00106778"/>
    <w:rsid w:val="00106B17"/>
    <w:rsid w:val="00106E45"/>
    <w:rsid w:val="0010799A"/>
    <w:rsid w:val="00107C96"/>
    <w:rsid w:val="00107FD1"/>
    <w:rsid w:val="0011035A"/>
    <w:rsid w:val="0011081F"/>
    <w:rsid w:val="00110915"/>
    <w:rsid w:val="00110D86"/>
    <w:rsid w:val="0011125F"/>
    <w:rsid w:val="00111335"/>
    <w:rsid w:val="001115D3"/>
    <w:rsid w:val="001116CB"/>
    <w:rsid w:val="0011174A"/>
    <w:rsid w:val="001120F4"/>
    <w:rsid w:val="00112B14"/>
    <w:rsid w:val="00112DAB"/>
    <w:rsid w:val="00113282"/>
    <w:rsid w:val="001138A1"/>
    <w:rsid w:val="00114235"/>
    <w:rsid w:val="00114637"/>
    <w:rsid w:val="00114774"/>
    <w:rsid w:val="001155A5"/>
    <w:rsid w:val="00115B8A"/>
    <w:rsid w:val="00115F73"/>
    <w:rsid w:val="00116262"/>
    <w:rsid w:val="00116298"/>
    <w:rsid w:val="00116AA1"/>
    <w:rsid w:val="00116D99"/>
    <w:rsid w:val="00117008"/>
    <w:rsid w:val="001170BA"/>
    <w:rsid w:val="00117341"/>
    <w:rsid w:val="0011776B"/>
    <w:rsid w:val="001200E0"/>
    <w:rsid w:val="001204A3"/>
    <w:rsid w:val="001209B0"/>
    <w:rsid w:val="00120FD7"/>
    <w:rsid w:val="001212C0"/>
    <w:rsid w:val="00121334"/>
    <w:rsid w:val="00121ACE"/>
    <w:rsid w:val="001225F9"/>
    <w:rsid w:val="00122681"/>
    <w:rsid w:val="00122856"/>
    <w:rsid w:val="00122C5C"/>
    <w:rsid w:val="00123503"/>
    <w:rsid w:val="00123C89"/>
    <w:rsid w:val="00123DA1"/>
    <w:rsid w:val="00123E29"/>
    <w:rsid w:val="00124104"/>
    <w:rsid w:val="00124374"/>
    <w:rsid w:val="001243FD"/>
    <w:rsid w:val="0012440F"/>
    <w:rsid w:val="00124DA7"/>
    <w:rsid w:val="00124EFC"/>
    <w:rsid w:val="00124FAC"/>
    <w:rsid w:val="00125849"/>
    <w:rsid w:val="0012585E"/>
    <w:rsid w:val="0012587C"/>
    <w:rsid w:val="0012621F"/>
    <w:rsid w:val="00126AF7"/>
    <w:rsid w:val="00126E2B"/>
    <w:rsid w:val="00126EDC"/>
    <w:rsid w:val="001279EE"/>
    <w:rsid w:val="00127A8A"/>
    <w:rsid w:val="00127D30"/>
    <w:rsid w:val="00130315"/>
    <w:rsid w:val="00130566"/>
    <w:rsid w:val="00130799"/>
    <w:rsid w:val="00130DED"/>
    <w:rsid w:val="0013154B"/>
    <w:rsid w:val="00131594"/>
    <w:rsid w:val="00131601"/>
    <w:rsid w:val="001316B9"/>
    <w:rsid w:val="0013172E"/>
    <w:rsid w:val="001319F2"/>
    <w:rsid w:val="00131B46"/>
    <w:rsid w:val="00131C30"/>
    <w:rsid w:val="001325B9"/>
    <w:rsid w:val="00132674"/>
    <w:rsid w:val="00132A52"/>
    <w:rsid w:val="00132CC9"/>
    <w:rsid w:val="00132FE4"/>
    <w:rsid w:val="001330A0"/>
    <w:rsid w:val="00133454"/>
    <w:rsid w:val="001334FB"/>
    <w:rsid w:val="00133656"/>
    <w:rsid w:val="00133DC4"/>
    <w:rsid w:val="00134180"/>
    <w:rsid w:val="001343CC"/>
    <w:rsid w:val="001344DA"/>
    <w:rsid w:val="0013454A"/>
    <w:rsid w:val="00134DA1"/>
    <w:rsid w:val="00134EDE"/>
    <w:rsid w:val="00134FAF"/>
    <w:rsid w:val="001353EE"/>
    <w:rsid w:val="0013590C"/>
    <w:rsid w:val="00135955"/>
    <w:rsid w:val="0013657D"/>
    <w:rsid w:val="00136D4F"/>
    <w:rsid w:val="00136E3A"/>
    <w:rsid w:val="00137372"/>
    <w:rsid w:val="00137608"/>
    <w:rsid w:val="001376D6"/>
    <w:rsid w:val="00137E90"/>
    <w:rsid w:val="001401E8"/>
    <w:rsid w:val="001402B2"/>
    <w:rsid w:val="001406D8"/>
    <w:rsid w:val="00140738"/>
    <w:rsid w:val="001409F9"/>
    <w:rsid w:val="001409FD"/>
    <w:rsid w:val="00140BE5"/>
    <w:rsid w:val="00140DE8"/>
    <w:rsid w:val="00140FA7"/>
    <w:rsid w:val="00141198"/>
    <w:rsid w:val="00141ADF"/>
    <w:rsid w:val="00141B3A"/>
    <w:rsid w:val="00141BBF"/>
    <w:rsid w:val="00142048"/>
    <w:rsid w:val="001427F4"/>
    <w:rsid w:val="001428AD"/>
    <w:rsid w:val="00142967"/>
    <w:rsid w:val="00142A86"/>
    <w:rsid w:val="001433E5"/>
    <w:rsid w:val="001435B3"/>
    <w:rsid w:val="00143A12"/>
    <w:rsid w:val="00143F78"/>
    <w:rsid w:val="00144F11"/>
    <w:rsid w:val="00144F5C"/>
    <w:rsid w:val="0014513A"/>
    <w:rsid w:val="001454AF"/>
    <w:rsid w:val="00145768"/>
    <w:rsid w:val="001457AB"/>
    <w:rsid w:val="00145879"/>
    <w:rsid w:val="00145DA3"/>
    <w:rsid w:val="0014604D"/>
    <w:rsid w:val="001464A1"/>
    <w:rsid w:val="00146574"/>
    <w:rsid w:val="00146585"/>
    <w:rsid w:val="001466CF"/>
    <w:rsid w:val="001468DE"/>
    <w:rsid w:val="00146C01"/>
    <w:rsid w:val="00146FC7"/>
    <w:rsid w:val="001476A0"/>
    <w:rsid w:val="00147743"/>
    <w:rsid w:val="00147C68"/>
    <w:rsid w:val="00147D50"/>
    <w:rsid w:val="001500B1"/>
    <w:rsid w:val="00150A43"/>
    <w:rsid w:val="00150A5D"/>
    <w:rsid w:val="00150EE4"/>
    <w:rsid w:val="001511D9"/>
    <w:rsid w:val="00152174"/>
    <w:rsid w:val="0015284E"/>
    <w:rsid w:val="0015345C"/>
    <w:rsid w:val="00153C0E"/>
    <w:rsid w:val="00154982"/>
    <w:rsid w:val="00154B85"/>
    <w:rsid w:val="00154F9E"/>
    <w:rsid w:val="0015513B"/>
    <w:rsid w:val="001551F2"/>
    <w:rsid w:val="0015547E"/>
    <w:rsid w:val="0015567A"/>
    <w:rsid w:val="0015590B"/>
    <w:rsid w:val="001566FA"/>
    <w:rsid w:val="00156A05"/>
    <w:rsid w:val="00157013"/>
    <w:rsid w:val="001575E1"/>
    <w:rsid w:val="00157C1B"/>
    <w:rsid w:val="00157CDB"/>
    <w:rsid w:val="00157D27"/>
    <w:rsid w:val="001603B4"/>
    <w:rsid w:val="00160C4E"/>
    <w:rsid w:val="00160E4A"/>
    <w:rsid w:val="00161490"/>
    <w:rsid w:val="001615DE"/>
    <w:rsid w:val="001626F0"/>
    <w:rsid w:val="00162EC6"/>
    <w:rsid w:val="00163439"/>
    <w:rsid w:val="00163629"/>
    <w:rsid w:val="001637D3"/>
    <w:rsid w:val="0016409C"/>
    <w:rsid w:val="001641B5"/>
    <w:rsid w:val="00164667"/>
    <w:rsid w:val="00164833"/>
    <w:rsid w:val="00164C6F"/>
    <w:rsid w:val="00164E8E"/>
    <w:rsid w:val="0016501B"/>
    <w:rsid w:val="001651C1"/>
    <w:rsid w:val="001653C6"/>
    <w:rsid w:val="001653EC"/>
    <w:rsid w:val="0016558C"/>
    <w:rsid w:val="001656A7"/>
    <w:rsid w:val="00165A74"/>
    <w:rsid w:val="00165CA9"/>
    <w:rsid w:val="00165FCB"/>
    <w:rsid w:val="00166575"/>
    <w:rsid w:val="00166737"/>
    <w:rsid w:val="001667B5"/>
    <w:rsid w:val="00166EE7"/>
    <w:rsid w:val="0016743C"/>
    <w:rsid w:val="00167570"/>
    <w:rsid w:val="00167AD3"/>
    <w:rsid w:val="00167E79"/>
    <w:rsid w:val="00170180"/>
    <w:rsid w:val="00170552"/>
    <w:rsid w:val="001708B2"/>
    <w:rsid w:val="0017095E"/>
    <w:rsid w:val="00170966"/>
    <w:rsid w:val="00170F25"/>
    <w:rsid w:val="0017101B"/>
    <w:rsid w:val="0017137C"/>
    <w:rsid w:val="00171738"/>
    <w:rsid w:val="0017178C"/>
    <w:rsid w:val="001721E5"/>
    <w:rsid w:val="0017265B"/>
    <w:rsid w:val="001726DA"/>
    <w:rsid w:val="00172A27"/>
    <w:rsid w:val="00172E64"/>
    <w:rsid w:val="001733A5"/>
    <w:rsid w:val="0017497D"/>
    <w:rsid w:val="00175173"/>
    <w:rsid w:val="001751A3"/>
    <w:rsid w:val="001754BD"/>
    <w:rsid w:val="00175609"/>
    <w:rsid w:val="001757DB"/>
    <w:rsid w:val="0017595C"/>
    <w:rsid w:val="00175A92"/>
    <w:rsid w:val="00175D78"/>
    <w:rsid w:val="00175F34"/>
    <w:rsid w:val="001765C8"/>
    <w:rsid w:val="001765FF"/>
    <w:rsid w:val="00176657"/>
    <w:rsid w:val="00176DC8"/>
    <w:rsid w:val="00177086"/>
    <w:rsid w:val="00177146"/>
    <w:rsid w:val="001804C7"/>
    <w:rsid w:val="00180AB5"/>
    <w:rsid w:val="00180CDC"/>
    <w:rsid w:val="00180D2C"/>
    <w:rsid w:val="00181229"/>
    <w:rsid w:val="00181235"/>
    <w:rsid w:val="00182120"/>
    <w:rsid w:val="0018233A"/>
    <w:rsid w:val="00182996"/>
    <w:rsid w:val="00182CA2"/>
    <w:rsid w:val="001833B7"/>
    <w:rsid w:val="0018345A"/>
    <w:rsid w:val="001835A9"/>
    <w:rsid w:val="00183608"/>
    <w:rsid w:val="00183CB8"/>
    <w:rsid w:val="00183E80"/>
    <w:rsid w:val="001841C3"/>
    <w:rsid w:val="001842C2"/>
    <w:rsid w:val="00184578"/>
    <w:rsid w:val="00184C9A"/>
    <w:rsid w:val="00185197"/>
    <w:rsid w:val="0018536E"/>
    <w:rsid w:val="001857D2"/>
    <w:rsid w:val="00185931"/>
    <w:rsid w:val="00185A8D"/>
    <w:rsid w:val="00185FF2"/>
    <w:rsid w:val="00186840"/>
    <w:rsid w:val="00186C85"/>
    <w:rsid w:val="00186F78"/>
    <w:rsid w:val="0018713E"/>
    <w:rsid w:val="00187575"/>
    <w:rsid w:val="00187BF2"/>
    <w:rsid w:val="00187F57"/>
    <w:rsid w:val="0019005F"/>
    <w:rsid w:val="00190256"/>
    <w:rsid w:val="00190381"/>
    <w:rsid w:val="001908E8"/>
    <w:rsid w:val="00190DAA"/>
    <w:rsid w:val="001912F4"/>
    <w:rsid w:val="001918A5"/>
    <w:rsid w:val="00191A6E"/>
    <w:rsid w:val="00191DDC"/>
    <w:rsid w:val="00192145"/>
    <w:rsid w:val="00192189"/>
    <w:rsid w:val="00192A03"/>
    <w:rsid w:val="00192FE7"/>
    <w:rsid w:val="00193A8D"/>
    <w:rsid w:val="00193DFA"/>
    <w:rsid w:val="00193E93"/>
    <w:rsid w:val="0019408C"/>
    <w:rsid w:val="0019435F"/>
    <w:rsid w:val="0019456B"/>
    <w:rsid w:val="0019492D"/>
    <w:rsid w:val="0019496A"/>
    <w:rsid w:val="00194A16"/>
    <w:rsid w:val="00194C5D"/>
    <w:rsid w:val="00194EF1"/>
    <w:rsid w:val="0019524E"/>
    <w:rsid w:val="00195E17"/>
    <w:rsid w:val="001960EA"/>
    <w:rsid w:val="0019619D"/>
    <w:rsid w:val="001963DB"/>
    <w:rsid w:val="00196BA5"/>
    <w:rsid w:val="00196F42"/>
    <w:rsid w:val="00197D07"/>
    <w:rsid w:val="001A037E"/>
    <w:rsid w:val="001A051A"/>
    <w:rsid w:val="001A0D79"/>
    <w:rsid w:val="001A1107"/>
    <w:rsid w:val="001A12C2"/>
    <w:rsid w:val="001A146A"/>
    <w:rsid w:val="001A17ED"/>
    <w:rsid w:val="001A1C0D"/>
    <w:rsid w:val="001A1C57"/>
    <w:rsid w:val="001A1DC0"/>
    <w:rsid w:val="001A21EA"/>
    <w:rsid w:val="001A228F"/>
    <w:rsid w:val="001A23C8"/>
    <w:rsid w:val="001A26E2"/>
    <w:rsid w:val="001A2B00"/>
    <w:rsid w:val="001A2BA4"/>
    <w:rsid w:val="001A32C5"/>
    <w:rsid w:val="001A393A"/>
    <w:rsid w:val="001A3B37"/>
    <w:rsid w:val="001A3C7B"/>
    <w:rsid w:val="001A4766"/>
    <w:rsid w:val="001A4E0D"/>
    <w:rsid w:val="001A4F07"/>
    <w:rsid w:val="001A4F4A"/>
    <w:rsid w:val="001A562F"/>
    <w:rsid w:val="001A6376"/>
    <w:rsid w:val="001A6AFC"/>
    <w:rsid w:val="001A6DB5"/>
    <w:rsid w:val="001A7074"/>
    <w:rsid w:val="001A738B"/>
    <w:rsid w:val="001A7478"/>
    <w:rsid w:val="001A76AC"/>
    <w:rsid w:val="001A7804"/>
    <w:rsid w:val="001A7E34"/>
    <w:rsid w:val="001B0872"/>
    <w:rsid w:val="001B0A27"/>
    <w:rsid w:val="001B0D53"/>
    <w:rsid w:val="001B1128"/>
    <w:rsid w:val="001B1403"/>
    <w:rsid w:val="001B15C5"/>
    <w:rsid w:val="001B1998"/>
    <w:rsid w:val="001B1C70"/>
    <w:rsid w:val="001B2093"/>
    <w:rsid w:val="001B21E5"/>
    <w:rsid w:val="001B2A8B"/>
    <w:rsid w:val="001B2BE8"/>
    <w:rsid w:val="001B2CE0"/>
    <w:rsid w:val="001B34AB"/>
    <w:rsid w:val="001B40A4"/>
    <w:rsid w:val="001B4496"/>
    <w:rsid w:val="001B45D7"/>
    <w:rsid w:val="001B51BE"/>
    <w:rsid w:val="001B5D2A"/>
    <w:rsid w:val="001B6296"/>
    <w:rsid w:val="001B69B3"/>
    <w:rsid w:val="001B6CED"/>
    <w:rsid w:val="001B712A"/>
    <w:rsid w:val="001C0239"/>
    <w:rsid w:val="001C0D06"/>
    <w:rsid w:val="001C228F"/>
    <w:rsid w:val="001C2353"/>
    <w:rsid w:val="001C2536"/>
    <w:rsid w:val="001C2649"/>
    <w:rsid w:val="001C28E8"/>
    <w:rsid w:val="001C2A2D"/>
    <w:rsid w:val="001C2BCB"/>
    <w:rsid w:val="001C3661"/>
    <w:rsid w:val="001C37AF"/>
    <w:rsid w:val="001C37DC"/>
    <w:rsid w:val="001C387F"/>
    <w:rsid w:val="001C416B"/>
    <w:rsid w:val="001C42B4"/>
    <w:rsid w:val="001C472D"/>
    <w:rsid w:val="001C54BF"/>
    <w:rsid w:val="001C59D8"/>
    <w:rsid w:val="001C5BEC"/>
    <w:rsid w:val="001C6579"/>
    <w:rsid w:val="001C66A8"/>
    <w:rsid w:val="001C6701"/>
    <w:rsid w:val="001C684B"/>
    <w:rsid w:val="001C7425"/>
    <w:rsid w:val="001C7514"/>
    <w:rsid w:val="001D0BC0"/>
    <w:rsid w:val="001D0CC8"/>
    <w:rsid w:val="001D11D8"/>
    <w:rsid w:val="001D121A"/>
    <w:rsid w:val="001D1EC2"/>
    <w:rsid w:val="001D2225"/>
    <w:rsid w:val="001D2407"/>
    <w:rsid w:val="001D272F"/>
    <w:rsid w:val="001D33BB"/>
    <w:rsid w:val="001D36E4"/>
    <w:rsid w:val="001D3875"/>
    <w:rsid w:val="001D3A99"/>
    <w:rsid w:val="001D3D4C"/>
    <w:rsid w:val="001D439F"/>
    <w:rsid w:val="001D482D"/>
    <w:rsid w:val="001D50C7"/>
    <w:rsid w:val="001D52E5"/>
    <w:rsid w:val="001D5D6A"/>
    <w:rsid w:val="001D5E04"/>
    <w:rsid w:val="001D5E59"/>
    <w:rsid w:val="001D5F82"/>
    <w:rsid w:val="001D6A0C"/>
    <w:rsid w:val="001D6AE7"/>
    <w:rsid w:val="001D6E14"/>
    <w:rsid w:val="001D7282"/>
    <w:rsid w:val="001D7381"/>
    <w:rsid w:val="001D7D8B"/>
    <w:rsid w:val="001D7F43"/>
    <w:rsid w:val="001E0312"/>
    <w:rsid w:val="001E032C"/>
    <w:rsid w:val="001E0581"/>
    <w:rsid w:val="001E061E"/>
    <w:rsid w:val="001E1E97"/>
    <w:rsid w:val="001E248F"/>
    <w:rsid w:val="001E3041"/>
    <w:rsid w:val="001E3226"/>
    <w:rsid w:val="001E3AB9"/>
    <w:rsid w:val="001E3ACC"/>
    <w:rsid w:val="001E3CC7"/>
    <w:rsid w:val="001E3DB7"/>
    <w:rsid w:val="001E4306"/>
    <w:rsid w:val="001E477A"/>
    <w:rsid w:val="001E48F5"/>
    <w:rsid w:val="001E4C5E"/>
    <w:rsid w:val="001E4DAA"/>
    <w:rsid w:val="001E504C"/>
    <w:rsid w:val="001E5F73"/>
    <w:rsid w:val="001E6255"/>
    <w:rsid w:val="001E6293"/>
    <w:rsid w:val="001E650A"/>
    <w:rsid w:val="001E66EE"/>
    <w:rsid w:val="001E6B57"/>
    <w:rsid w:val="001E732C"/>
    <w:rsid w:val="001E74DF"/>
    <w:rsid w:val="001E7919"/>
    <w:rsid w:val="001E79CF"/>
    <w:rsid w:val="001E7C7D"/>
    <w:rsid w:val="001F0343"/>
    <w:rsid w:val="001F051F"/>
    <w:rsid w:val="001F08AA"/>
    <w:rsid w:val="001F0911"/>
    <w:rsid w:val="001F0A27"/>
    <w:rsid w:val="001F0D1D"/>
    <w:rsid w:val="001F181A"/>
    <w:rsid w:val="001F1B0E"/>
    <w:rsid w:val="001F1BED"/>
    <w:rsid w:val="001F1C89"/>
    <w:rsid w:val="001F215C"/>
    <w:rsid w:val="001F26BE"/>
    <w:rsid w:val="001F2735"/>
    <w:rsid w:val="001F27AB"/>
    <w:rsid w:val="001F29A5"/>
    <w:rsid w:val="001F2CAC"/>
    <w:rsid w:val="001F2EAD"/>
    <w:rsid w:val="001F3295"/>
    <w:rsid w:val="001F340F"/>
    <w:rsid w:val="001F3D96"/>
    <w:rsid w:val="001F4205"/>
    <w:rsid w:val="001F42A7"/>
    <w:rsid w:val="001F4785"/>
    <w:rsid w:val="001F4809"/>
    <w:rsid w:val="001F4B05"/>
    <w:rsid w:val="001F5092"/>
    <w:rsid w:val="001F57EE"/>
    <w:rsid w:val="001F5AD1"/>
    <w:rsid w:val="001F5C4E"/>
    <w:rsid w:val="001F5DCD"/>
    <w:rsid w:val="001F5EEB"/>
    <w:rsid w:val="001F6227"/>
    <w:rsid w:val="001F65F9"/>
    <w:rsid w:val="001F65FF"/>
    <w:rsid w:val="001F6BA5"/>
    <w:rsid w:val="001F6BD3"/>
    <w:rsid w:val="001F6DA4"/>
    <w:rsid w:val="001F6F58"/>
    <w:rsid w:val="001F72C9"/>
    <w:rsid w:val="001F7341"/>
    <w:rsid w:val="001F789E"/>
    <w:rsid w:val="001F7AA0"/>
    <w:rsid w:val="001F7E79"/>
    <w:rsid w:val="002003B3"/>
    <w:rsid w:val="002007F3"/>
    <w:rsid w:val="002008D4"/>
    <w:rsid w:val="00201225"/>
    <w:rsid w:val="00201274"/>
    <w:rsid w:val="00201FE0"/>
    <w:rsid w:val="002022C0"/>
    <w:rsid w:val="002024F3"/>
    <w:rsid w:val="002025FD"/>
    <w:rsid w:val="00202AFA"/>
    <w:rsid w:val="00202F88"/>
    <w:rsid w:val="00203394"/>
    <w:rsid w:val="002038B2"/>
    <w:rsid w:val="00203D51"/>
    <w:rsid w:val="00203E32"/>
    <w:rsid w:val="00204399"/>
    <w:rsid w:val="002044FD"/>
    <w:rsid w:val="00204977"/>
    <w:rsid w:val="00204DD6"/>
    <w:rsid w:val="00204EC5"/>
    <w:rsid w:val="00205151"/>
    <w:rsid w:val="0020561C"/>
    <w:rsid w:val="00205825"/>
    <w:rsid w:val="00205E6B"/>
    <w:rsid w:val="00205EE7"/>
    <w:rsid w:val="002065E4"/>
    <w:rsid w:val="0020707B"/>
    <w:rsid w:val="00207193"/>
    <w:rsid w:val="00207255"/>
    <w:rsid w:val="00207295"/>
    <w:rsid w:val="002079E8"/>
    <w:rsid w:val="00207CAA"/>
    <w:rsid w:val="00207E2F"/>
    <w:rsid w:val="00207F9B"/>
    <w:rsid w:val="002101AF"/>
    <w:rsid w:val="00210471"/>
    <w:rsid w:val="00210989"/>
    <w:rsid w:val="002116B6"/>
    <w:rsid w:val="002123B2"/>
    <w:rsid w:val="0021293F"/>
    <w:rsid w:val="00212E08"/>
    <w:rsid w:val="00213046"/>
    <w:rsid w:val="00213F22"/>
    <w:rsid w:val="0021414B"/>
    <w:rsid w:val="00214180"/>
    <w:rsid w:val="0021497D"/>
    <w:rsid w:val="00214D9C"/>
    <w:rsid w:val="00214E17"/>
    <w:rsid w:val="00214FF4"/>
    <w:rsid w:val="002151AD"/>
    <w:rsid w:val="00215AA9"/>
    <w:rsid w:val="00215BE4"/>
    <w:rsid w:val="00215C44"/>
    <w:rsid w:val="00216154"/>
    <w:rsid w:val="002166EE"/>
    <w:rsid w:val="0021677C"/>
    <w:rsid w:val="0021699A"/>
    <w:rsid w:val="00216BA2"/>
    <w:rsid w:val="00216BD4"/>
    <w:rsid w:val="002171A7"/>
    <w:rsid w:val="00217FAF"/>
    <w:rsid w:val="0022007A"/>
    <w:rsid w:val="0022044F"/>
    <w:rsid w:val="00220892"/>
    <w:rsid w:val="00220AAE"/>
    <w:rsid w:val="00221008"/>
    <w:rsid w:val="00221372"/>
    <w:rsid w:val="00221DBD"/>
    <w:rsid w:val="00221F3E"/>
    <w:rsid w:val="00221F61"/>
    <w:rsid w:val="002220DB"/>
    <w:rsid w:val="002224D8"/>
    <w:rsid w:val="002225EF"/>
    <w:rsid w:val="0022291A"/>
    <w:rsid w:val="002236C5"/>
    <w:rsid w:val="002238B0"/>
    <w:rsid w:val="00223E87"/>
    <w:rsid w:val="002241CE"/>
    <w:rsid w:val="002246C2"/>
    <w:rsid w:val="00225924"/>
    <w:rsid w:val="00225AC4"/>
    <w:rsid w:val="00225DEE"/>
    <w:rsid w:val="002260C9"/>
    <w:rsid w:val="00226307"/>
    <w:rsid w:val="0022673D"/>
    <w:rsid w:val="00226AD5"/>
    <w:rsid w:val="00226F46"/>
    <w:rsid w:val="002272DC"/>
    <w:rsid w:val="00227560"/>
    <w:rsid w:val="002276B0"/>
    <w:rsid w:val="002276EF"/>
    <w:rsid w:val="002277DF"/>
    <w:rsid w:val="00227A00"/>
    <w:rsid w:val="00227B67"/>
    <w:rsid w:val="002303F9"/>
    <w:rsid w:val="002305F1"/>
    <w:rsid w:val="00230695"/>
    <w:rsid w:val="0023076F"/>
    <w:rsid w:val="0023084A"/>
    <w:rsid w:val="00230887"/>
    <w:rsid w:val="002312B4"/>
    <w:rsid w:val="002313A3"/>
    <w:rsid w:val="002315D1"/>
    <w:rsid w:val="002315DA"/>
    <w:rsid w:val="002318D7"/>
    <w:rsid w:val="0023240F"/>
    <w:rsid w:val="002325C6"/>
    <w:rsid w:val="00232858"/>
    <w:rsid w:val="0023292D"/>
    <w:rsid w:val="00232EE6"/>
    <w:rsid w:val="002332B7"/>
    <w:rsid w:val="00233CEE"/>
    <w:rsid w:val="00233E1D"/>
    <w:rsid w:val="00233FDC"/>
    <w:rsid w:val="0023419B"/>
    <w:rsid w:val="00234BD2"/>
    <w:rsid w:val="00234F62"/>
    <w:rsid w:val="002351F5"/>
    <w:rsid w:val="00235357"/>
    <w:rsid w:val="00235370"/>
    <w:rsid w:val="002354E2"/>
    <w:rsid w:val="00235685"/>
    <w:rsid w:val="00235C8D"/>
    <w:rsid w:val="00235EA7"/>
    <w:rsid w:val="002362F7"/>
    <w:rsid w:val="00236394"/>
    <w:rsid w:val="002366B2"/>
    <w:rsid w:val="002372B4"/>
    <w:rsid w:val="002376EE"/>
    <w:rsid w:val="0023788A"/>
    <w:rsid w:val="00237BC6"/>
    <w:rsid w:val="00237C3B"/>
    <w:rsid w:val="00237C93"/>
    <w:rsid w:val="00237FA8"/>
    <w:rsid w:val="00240589"/>
    <w:rsid w:val="002405B6"/>
    <w:rsid w:val="00240658"/>
    <w:rsid w:val="00240697"/>
    <w:rsid w:val="002408BC"/>
    <w:rsid w:val="00240B0D"/>
    <w:rsid w:val="00241199"/>
    <w:rsid w:val="00241465"/>
    <w:rsid w:val="00241A62"/>
    <w:rsid w:val="0024234A"/>
    <w:rsid w:val="00242828"/>
    <w:rsid w:val="00242B59"/>
    <w:rsid w:val="00242CC7"/>
    <w:rsid w:val="00242DB6"/>
    <w:rsid w:val="00242E33"/>
    <w:rsid w:val="002432D0"/>
    <w:rsid w:val="0024338F"/>
    <w:rsid w:val="00243A10"/>
    <w:rsid w:val="0024441C"/>
    <w:rsid w:val="00244C57"/>
    <w:rsid w:val="0024558B"/>
    <w:rsid w:val="002455BA"/>
    <w:rsid w:val="0024595A"/>
    <w:rsid w:val="00245D5C"/>
    <w:rsid w:val="00245F9D"/>
    <w:rsid w:val="0024611E"/>
    <w:rsid w:val="002462DE"/>
    <w:rsid w:val="0024687C"/>
    <w:rsid w:val="002468F5"/>
    <w:rsid w:val="00246D7D"/>
    <w:rsid w:val="002470E9"/>
    <w:rsid w:val="002473B0"/>
    <w:rsid w:val="00247938"/>
    <w:rsid w:val="00247A74"/>
    <w:rsid w:val="00247D5B"/>
    <w:rsid w:val="00250137"/>
    <w:rsid w:val="0025127F"/>
    <w:rsid w:val="002513AB"/>
    <w:rsid w:val="002513DB"/>
    <w:rsid w:val="0025145E"/>
    <w:rsid w:val="002515E5"/>
    <w:rsid w:val="00251791"/>
    <w:rsid w:val="0025193B"/>
    <w:rsid w:val="00251A0E"/>
    <w:rsid w:val="00251E45"/>
    <w:rsid w:val="002529C7"/>
    <w:rsid w:val="00252A0D"/>
    <w:rsid w:val="00253A07"/>
    <w:rsid w:val="00253D7E"/>
    <w:rsid w:val="00253E8D"/>
    <w:rsid w:val="00253F67"/>
    <w:rsid w:val="00254009"/>
    <w:rsid w:val="00254449"/>
    <w:rsid w:val="00254492"/>
    <w:rsid w:val="00254778"/>
    <w:rsid w:val="002549C2"/>
    <w:rsid w:val="00254DB5"/>
    <w:rsid w:val="00254E66"/>
    <w:rsid w:val="00254EC0"/>
    <w:rsid w:val="00254FD4"/>
    <w:rsid w:val="002553EA"/>
    <w:rsid w:val="002555ED"/>
    <w:rsid w:val="002559B3"/>
    <w:rsid w:val="00255A45"/>
    <w:rsid w:val="00255DF2"/>
    <w:rsid w:val="00255EE8"/>
    <w:rsid w:val="002560D6"/>
    <w:rsid w:val="002563A0"/>
    <w:rsid w:val="002564B2"/>
    <w:rsid w:val="002565EE"/>
    <w:rsid w:val="00256790"/>
    <w:rsid w:val="00256D6D"/>
    <w:rsid w:val="00257198"/>
    <w:rsid w:val="0025737E"/>
    <w:rsid w:val="00257451"/>
    <w:rsid w:val="00257F10"/>
    <w:rsid w:val="00260109"/>
    <w:rsid w:val="002601DE"/>
    <w:rsid w:val="0026032B"/>
    <w:rsid w:val="00260761"/>
    <w:rsid w:val="00260DDA"/>
    <w:rsid w:val="00260F5F"/>
    <w:rsid w:val="002610B7"/>
    <w:rsid w:val="00261142"/>
    <w:rsid w:val="002617B6"/>
    <w:rsid w:val="00261874"/>
    <w:rsid w:val="00261EA5"/>
    <w:rsid w:val="00261F6B"/>
    <w:rsid w:val="00262095"/>
    <w:rsid w:val="0026213E"/>
    <w:rsid w:val="002621D4"/>
    <w:rsid w:val="00262229"/>
    <w:rsid w:val="0026239F"/>
    <w:rsid w:val="0026293F"/>
    <w:rsid w:val="00262ACF"/>
    <w:rsid w:val="00262B54"/>
    <w:rsid w:val="00262B63"/>
    <w:rsid w:val="00263018"/>
    <w:rsid w:val="0026332B"/>
    <w:rsid w:val="002636E8"/>
    <w:rsid w:val="00263B6C"/>
    <w:rsid w:val="0026408E"/>
    <w:rsid w:val="00264238"/>
    <w:rsid w:val="0026440E"/>
    <w:rsid w:val="0026445C"/>
    <w:rsid w:val="002647C2"/>
    <w:rsid w:val="002648CC"/>
    <w:rsid w:val="00264F2B"/>
    <w:rsid w:val="002650DF"/>
    <w:rsid w:val="002653E8"/>
    <w:rsid w:val="00265686"/>
    <w:rsid w:val="0026580F"/>
    <w:rsid w:val="00265A56"/>
    <w:rsid w:val="00265D52"/>
    <w:rsid w:val="00265D63"/>
    <w:rsid w:val="00265EE9"/>
    <w:rsid w:val="00266058"/>
    <w:rsid w:val="0026645D"/>
    <w:rsid w:val="002664E9"/>
    <w:rsid w:val="00266DD2"/>
    <w:rsid w:val="00266F56"/>
    <w:rsid w:val="00267497"/>
    <w:rsid w:val="002676B3"/>
    <w:rsid w:val="00267B37"/>
    <w:rsid w:val="00267F8F"/>
    <w:rsid w:val="002701A7"/>
    <w:rsid w:val="00270593"/>
    <w:rsid w:val="0027074B"/>
    <w:rsid w:val="0027084D"/>
    <w:rsid w:val="00270F1D"/>
    <w:rsid w:val="0027135D"/>
    <w:rsid w:val="00271362"/>
    <w:rsid w:val="0027147C"/>
    <w:rsid w:val="002717E2"/>
    <w:rsid w:val="00271899"/>
    <w:rsid w:val="00271B59"/>
    <w:rsid w:val="00271F4C"/>
    <w:rsid w:val="00271F6E"/>
    <w:rsid w:val="002720C9"/>
    <w:rsid w:val="002728A3"/>
    <w:rsid w:val="002729F6"/>
    <w:rsid w:val="00272AA0"/>
    <w:rsid w:val="00272D52"/>
    <w:rsid w:val="002731D5"/>
    <w:rsid w:val="00273514"/>
    <w:rsid w:val="00273931"/>
    <w:rsid w:val="00273973"/>
    <w:rsid w:val="002739F1"/>
    <w:rsid w:val="00273E9C"/>
    <w:rsid w:val="002740D4"/>
    <w:rsid w:val="002741BA"/>
    <w:rsid w:val="00274589"/>
    <w:rsid w:val="0027487B"/>
    <w:rsid w:val="002748AC"/>
    <w:rsid w:val="00274C52"/>
    <w:rsid w:val="00274C58"/>
    <w:rsid w:val="00275184"/>
    <w:rsid w:val="0027555A"/>
    <w:rsid w:val="00275586"/>
    <w:rsid w:val="002756F9"/>
    <w:rsid w:val="002758CD"/>
    <w:rsid w:val="00276292"/>
    <w:rsid w:val="00276342"/>
    <w:rsid w:val="0027636A"/>
    <w:rsid w:val="00276906"/>
    <w:rsid w:val="002769E6"/>
    <w:rsid w:val="00276E15"/>
    <w:rsid w:val="00277352"/>
    <w:rsid w:val="00277471"/>
    <w:rsid w:val="0028014B"/>
    <w:rsid w:val="002804DE"/>
    <w:rsid w:val="00280701"/>
    <w:rsid w:val="00280AA4"/>
    <w:rsid w:val="00280C84"/>
    <w:rsid w:val="00280CA1"/>
    <w:rsid w:val="00280FFC"/>
    <w:rsid w:val="002813DE"/>
    <w:rsid w:val="00281D5F"/>
    <w:rsid w:val="00281DE3"/>
    <w:rsid w:val="00282052"/>
    <w:rsid w:val="002826E2"/>
    <w:rsid w:val="002828B3"/>
    <w:rsid w:val="00282ACB"/>
    <w:rsid w:val="00282C6E"/>
    <w:rsid w:val="00282D56"/>
    <w:rsid w:val="00283EC7"/>
    <w:rsid w:val="002840F4"/>
    <w:rsid w:val="002843BB"/>
    <w:rsid w:val="00284625"/>
    <w:rsid w:val="002847ED"/>
    <w:rsid w:val="002849AE"/>
    <w:rsid w:val="0028518D"/>
    <w:rsid w:val="002851CD"/>
    <w:rsid w:val="002854C0"/>
    <w:rsid w:val="00285D3F"/>
    <w:rsid w:val="002863EF"/>
    <w:rsid w:val="00286DE4"/>
    <w:rsid w:val="0028746B"/>
    <w:rsid w:val="00287D83"/>
    <w:rsid w:val="00290228"/>
    <w:rsid w:val="00290307"/>
    <w:rsid w:val="002904F8"/>
    <w:rsid w:val="00290550"/>
    <w:rsid w:val="00290647"/>
    <w:rsid w:val="00290A24"/>
    <w:rsid w:val="00290C5B"/>
    <w:rsid w:val="00290CBB"/>
    <w:rsid w:val="00290D77"/>
    <w:rsid w:val="00290DA6"/>
    <w:rsid w:val="00290F13"/>
    <w:rsid w:val="002910EA"/>
    <w:rsid w:val="00291209"/>
    <w:rsid w:val="0029193B"/>
    <w:rsid w:val="00291AF3"/>
    <w:rsid w:val="00291CA1"/>
    <w:rsid w:val="0029229D"/>
    <w:rsid w:val="00292416"/>
    <w:rsid w:val="00292A1F"/>
    <w:rsid w:val="00293147"/>
    <w:rsid w:val="00293356"/>
    <w:rsid w:val="00293A01"/>
    <w:rsid w:val="00293A46"/>
    <w:rsid w:val="00293C0E"/>
    <w:rsid w:val="00293F01"/>
    <w:rsid w:val="0029408A"/>
    <w:rsid w:val="002942BA"/>
    <w:rsid w:val="002947F7"/>
    <w:rsid w:val="002949D0"/>
    <w:rsid w:val="00294CC7"/>
    <w:rsid w:val="00294FAB"/>
    <w:rsid w:val="00295072"/>
    <w:rsid w:val="002950E1"/>
    <w:rsid w:val="0029537A"/>
    <w:rsid w:val="002953DC"/>
    <w:rsid w:val="002958A9"/>
    <w:rsid w:val="00295CB8"/>
    <w:rsid w:val="00295DE3"/>
    <w:rsid w:val="00295E55"/>
    <w:rsid w:val="00296104"/>
    <w:rsid w:val="00296782"/>
    <w:rsid w:val="00296800"/>
    <w:rsid w:val="00296CFB"/>
    <w:rsid w:val="00296FC0"/>
    <w:rsid w:val="0029734C"/>
    <w:rsid w:val="002975E5"/>
    <w:rsid w:val="00297771"/>
    <w:rsid w:val="002A0794"/>
    <w:rsid w:val="002A0A86"/>
    <w:rsid w:val="002A0B92"/>
    <w:rsid w:val="002A0D57"/>
    <w:rsid w:val="002A0F2D"/>
    <w:rsid w:val="002A0F82"/>
    <w:rsid w:val="002A1435"/>
    <w:rsid w:val="002A1655"/>
    <w:rsid w:val="002A1AFE"/>
    <w:rsid w:val="002A1D37"/>
    <w:rsid w:val="002A219F"/>
    <w:rsid w:val="002A2371"/>
    <w:rsid w:val="002A27E0"/>
    <w:rsid w:val="002A2AEE"/>
    <w:rsid w:val="002A2E08"/>
    <w:rsid w:val="002A4264"/>
    <w:rsid w:val="002A4303"/>
    <w:rsid w:val="002A484F"/>
    <w:rsid w:val="002A518D"/>
    <w:rsid w:val="002A55CF"/>
    <w:rsid w:val="002A574D"/>
    <w:rsid w:val="002A5A62"/>
    <w:rsid w:val="002A5B4B"/>
    <w:rsid w:val="002A602C"/>
    <w:rsid w:val="002A6125"/>
    <w:rsid w:val="002A63E1"/>
    <w:rsid w:val="002A653C"/>
    <w:rsid w:val="002A6BE8"/>
    <w:rsid w:val="002A707B"/>
    <w:rsid w:val="002A716A"/>
    <w:rsid w:val="002A71E2"/>
    <w:rsid w:val="002A7707"/>
    <w:rsid w:val="002A7745"/>
    <w:rsid w:val="002A785B"/>
    <w:rsid w:val="002A7BD7"/>
    <w:rsid w:val="002B019F"/>
    <w:rsid w:val="002B03BF"/>
    <w:rsid w:val="002B04F3"/>
    <w:rsid w:val="002B0788"/>
    <w:rsid w:val="002B0804"/>
    <w:rsid w:val="002B0E52"/>
    <w:rsid w:val="002B1016"/>
    <w:rsid w:val="002B1162"/>
    <w:rsid w:val="002B12B4"/>
    <w:rsid w:val="002B174E"/>
    <w:rsid w:val="002B1F41"/>
    <w:rsid w:val="002B23F8"/>
    <w:rsid w:val="002B2E64"/>
    <w:rsid w:val="002B2F88"/>
    <w:rsid w:val="002B307E"/>
    <w:rsid w:val="002B30B0"/>
    <w:rsid w:val="002B3680"/>
    <w:rsid w:val="002B36E7"/>
    <w:rsid w:val="002B38BE"/>
    <w:rsid w:val="002B3937"/>
    <w:rsid w:val="002B3BD9"/>
    <w:rsid w:val="002B3D2E"/>
    <w:rsid w:val="002B4382"/>
    <w:rsid w:val="002B438D"/>
    <w:rsid w:val="002B4B9D"/>
    <w:rsid w:val="002B5D32"/>
    <w:rsid w:val="002B7007"/>
    <w:rsid w:val="002B7ABD"/>
    <w:rsid w:val="002B7E36"/>
    <w:rsid w:val="002B7F6A"/>
    <w:rsid w:val="002C0503"/>
    <w:rsid w:val="002C0A34"/>
    <w:rsid w:val="002C1905"/>
    <w:rsid w:val="002C1918"/>
    <w:rsid w:val="002C1BEE"/>
    <w:rsid w:val="002C1D9F"/>
    <w:rsid w:val="002C21FF"/>
    <w:rsid w:val="002C340B"/>
    <w:rsid w:val="002C35FD"/>
    <w:rsid w:val="002C3918"/>
    <w:rsid w:val="002C3C2C"/>
    <w:rsid w:val="002C4135"/>
    <w:rsid w:val="002C4248"/>
    <w:rsid w:val="002C451E"/>
    <w:rsid w:val="002C4891"/>
    <w:rsid w:val="002C4FC3"/>
    <w:rsid w:val="002C5262"/>
    <w:rsid w:val="002C5537"/>
    <w:rsid w:val="002C5732"/>
    <w:rsid w:val="002C5F90"/>
    <w:rsid w:val="002C5FF3"/>
    <w:rsid w:val="002C6A6F"/>
    <w:rsid w:val="002C6C8E"/>
    <w:rsid w:val="002C71F0"/>
    <w:rsid w:val="002C7B88"/>
    <w:rsid w:val="002C7C8B"/>
    <w:rsid w:val="002D0262"/>
    <w:rsid w:val="002D02B8"/>
    <w:rsid w:val="002D0ACD"/>
    <w:rsid w:val="002D0B56"/>
    <w:rsid w:val="002D1362"/>
    <w:rsid w:val="002D1E66"/>
    <w:rsid w:val="002D20BC"/>
    <w:rsid w:val="002D2375"/>
    <w:rsid w:val="002D24C7"/>
    <w:rsid w:val="002D26D5"/>
    <w:rsid w:val="002D29E6"/>
    <w:rsid w:val="002D2BBA"/>
    <w:rsid w:val="002D2C7C"/>
    <w:rsid w:val="002D2D8D"/>
    <w:rsid w:val="002D2DCD"/>
    <w:rsid w:val="002D343E"/>
    <w:rsid w:val="002D3783"/>
    <w:rsid w:val="002D3894"/>
    <w:rsid w:val="002D3EB0"/>
    <w:rsid w:val="002D43A1"/>
    <w:rsid w:val="002D43D2"/>
    <w:rsid w:val="002D4546"/>
    <w:rsid w:val="002D4571"/>
    <w:rsid w:val="002D47A1"/>
    <w:rsid w:val="002D48F2"/>
    <w:rsid w:val="002D4CEA"/>
    <w:rsid w:val="002D51FB"/>
    <w:rsid w:val="002D5341"/>
    <w:rsid w:val="002D593F"/>
    <w:rsid w:val="002D598D"/>
    <w:rsid w:val="002D5B79"/>
    <w:rsid w:val="002D5DE1"/>
    <w:rsid w:val="002D5F72"/>
    <w:rsid w:val="002D6205"/>
    <w:rsid w:val="002D62BA"/>
    <w:rsid w:val="002D6979"/>
    <w:rsid w:val="002D6C1A"/>
    <w:rsid w:val="002D6C31"/>
    <w:rsid w:val="002D7120"/>
    <w:rsid w:val="002D7154"/>
    <w:rsid w:val="002D7739"/>
    <w:rsid w:val="002D7C77"/>
    <w:rsid w:val="002E005C"/>
    <w:rsid w:val="002E09ED"/>
    <w:rsid w:val="002E0CEE"/>
    <w:rsid w:val="002E1261"/>
    <w:rsid w:val="002E1747"/>
    <w:rsid w:val="002E1893"/>
    <w:rsid w:val="002E215E"/>
    <w:rsid w:val="002E24B4"/>
    <w:rsid w:val="002E24EF"/>
    <w:rsid w:val="002E2504"/>
    <w:rsid w:val="002E263E"/>
    <w:rsid w:val="002E2968"/>
    <w:rsid w:val="002E2B45"/>
    <w:rsid w:val="002E2E0E"/>
    <w:rsid w:val="002E307D"/>
    <w:rsid w:val="002E3275"/>
    <w:rsid w:val="002E3613"/>
    <w:rsid w:val="002E39B5"/>
    <w:rsid w:val="002E440A"/>
    <w:rsid w:val="002E4DB4"/>
    <w:rsid w:val="002E59AF"/>
    <w:rsid w:val="002E5A33"/>
    <w:rsid w:val="002E5B28"/>
    <w:rsid w:val="002E5F16"/>
    <w:rsid w:val="002E6415"/>
    <w:rsid w:val="002E6461"/>
    <w:rsid w:val="002E66CD"/>
    <w:rsid w:val="002E6A55"/>
    <w:rsid w:val="002E6BB4"/>
    <w:rsid w:val="002E6C14"/>
    <w:rsid w:val="002E75F2"/>
    <w:rsid w:val="002E7C61"/>
    <w:rsid w:val="002F0296"/>
    <w:rsid w:val="002F117F"/>
    <w:rsid w:val="002F128B"/>
    <w:rsid w:val="002F12CE"/>
    <w:rsid w:val="002F14B3"/>
    <w:rsid w:val="002F14F7"/>
    <w:rsid w:val="002F17AE"/>
    <w:rsid w:val="002F1E2F"/>
    <w:rsid w:val="002F25AC"/>
    <w:rsid w:val="002F26E9"/>
    <w:rsid w:val="002F2B81"/>
    <w:rsid w:val="002F2BEC"/>
    <w:rsid w:val="002F2E6A"/>
    <w:rsid w:val="002F33BC"/>
    <w:rsid w:val="002F38A8"/>
    <w:rsid w:val="002F38D4"/>
    <w:rsid w:val="002F3B0B"/>
    <w:rsid w:val="002F3D38"/>
    <w:rsid w:val="002F3F03"/>
    <w:rsid w:val="002F445A"/>
    <w:rsid w:val="002F4795"/>
    <w:rsid w:val="002F4E76"/>
    <w:rsid w:val="002F4F67"/>
    <w:rsid w:val="002F50B1"/>
    <w:rsid w:val="002F50F5"/>
    <w:rsid w:val="002F526D"/>
    <w:rsid w:val="002F59CC"/>
    <w:rsid w:val="002F5FE5"/>
    <w:rsid w:val="002F6229"/>
    <w:rsid w:val="002F6428"/>
    <w:rsid w:val="002F6F0C"/>
    <w:rsid w:val="002F7981"/>
    <w:rsid w:val="00300553"/>
    <w:rsid w:val="00301417"/>
    <w:rsid w:val="003014DD"/>
    <w:rsid w:val="003018FA"/>
    <w:rsid w:val="00301E74"/>
    <w:rsid w:val="003021F5"/>
    <w:rsid w:val="00302F96"/>
    <w:rsid w:val="00303091"/>
    <w:rsid w:val="00303704"/>
    <w:rsid w:val="00303E69"/>
    <w:rsid w:val="00303F5C"/>
    <w:rsid w:val="00304259"/>
    <w:rsid w:val="003043CD"/>
    <w:rsid w:val="0030490F"/>
    <w:rsid w:val="0030494F"/>
    <w:rsid w:val="0030519E"/>
    <w:rsid w:val="00305257"/>
    <w:rsid w:val="0030544E"/>
    <w:rsid w:val="003059F8"/>
    <w:rsid w:val="00305A80"/>
    <w:rsid w:val="003060CE"/>
    <w:rsid w:val="0030630A"/>
    <w:rsid w:val="0030639E"/>
    <w:rsid w:val="00306445"/>
    <w:rsid w:val="00307049"/>
    <w:rsid w:val="00307340"/>
    <w:rsid w:val="0030755F"/>
    <w:rsid w:val="0030767F"/>
    <w:rsid w:val="00307904"/>
    <w:rsid w:val="00307988"/>
    <w:rsid w:val="00307ED0"/>
    <w:rsid w:val="00307FED"/>
    <w:rsid w:val="00310246"/>
    <w:rsid w:val="00310283"/>
    <w:rsid w:val="00310B90"/>
    <w:rsid w:val="00310DC3"/>
    <w:rsid w:val="0031152F"/>
    <w:rsid w:val="00311E38"/>
    <w:rsid w:val="00311F4E"/>
    <w:rsid w:val="00311FAA"/>
    <w:rsid w:val="003124B8"/>
    <w:rsid w:val="00312CDA"/>
    <w:rsid w:val="003133CE"/>
    <w:rsid w:val="003134E7"/>
    <w:rsid w:val="00313BB5"/>
    <w:rsid w:val="00314162"/>
    <w:rsid w:val="0031433C"/>
    <w:rsid w:val="00314A5D"/>
    <w:rsid w:val="00314BBF"/>
    <w:rsid w:val="00314CF8"/>
    <w:rsid w:val="0031501C"/>
    <w:rsid w:val="0031581B"/>
    <w:rsid w:val="003164BB"/>
    <w:rsid w:val="003165D4"/>
    <w:rsid w:val="003168C6"/>
    <w:rsid w:val="00316DC9"/>
    <w:rsid w:val="00317442"/>
    <w:rsid w:val="00317E0B"/>
    <w:rsid w:val="00317E1E"/>
    <w:rsid w:val="00320331"/>
    <w:rsid w:val="003203D3"/>
    <w:rsid w:val="00320C9C"/>
    <w:rsid w:val="00320D14"/>
    <w:rsid w:val="00320D9B"/>
    <w:rsid w:val="00321589"/>
    <w:rsid w:val="003218C0"/>
    <w:rsid w:val="003219BC"/>
    <w:rsid w:val="00321AA7"/>
    <w:rsid w:val="00321F10"/>
    <w:rsid w:val="00321FFB"/>
    <w:rsid w:val="0032262F"/>
    <w:rsid w:val="0032290A"/>
    <w:rsid w:val="00322D77"/>
    <w:rsid w:val="00322EEA"/>
    <w:rsid w:val="0032307D"/>
    <w:rsid w:val="00323176"/>
    <w:rsid w:val="00323216"/>
    <w:rsid w:val="00323311"/>
    <w:rsid w:val="003234A4"/>
    <w:rsid w:val="003235F3"/>
    <w:rsid w:val="00323B78"/>
    <w:rsid w:val="00323C18"/>
    <w:rsid w:val="00323CBC"/>
    <w:rsid w:val="00324218"/>
    <w:rsid w:val="0032421B"/>
    <w:rsid w:val="00324A03"/>
    <w:rsid w:val="00324C77"/>
    <w:rsid w:val="00324CB2"/>
    <w:rsid w:val="00324EC2"/>
    <w:rsid w:val="0032552A"/>
    <w:rsid w:val="00325C1B"/>
    <w:rsid w:val="00325CDC"/>
    <w:rsid w:val="00326064"/>
    <w:rsid w:val="003265E0"/>
    <w:rsid w:val="00326BED"/>
    <w:rsid w:val="00326BEE"/>
    <w:rsid w:val="003271EE"/>
    <w:rsid w:val="00327206"/>
    <w:rsid w:val="00327803"/>
    <w:rsid w:val="0032781D"/>
    <w:rsid w:val="00327898"/>
    <w:rsid w:val="00327C1D"/>
    <w:rsid w:val="00327D80"/>
    <w:rsid w:val="0033010D"/>
    <w:rsid w:val="003301F0"/>
    <w:rsid w:val="00330B85"/>
    <w:rsid w:val="00330C4B"/>
    <w:rsid w:val="00330C4D"/>
    <w:rsid w:val="0033101A"/>
    <w:rsid w:val="0033104C"/>
    <w:rsid w:val="003311A8"/>
    <w:rsid w:val="00331554"/>
    <w:rsid w:val="00331B7F"/>
    <w:rsid w:val="0033233E"/>
    <w:rsid w:val="0033273E"/>
    <w:rsid w:val="00332898"/>
    <w:rsid w:val="003332CC"/>
    <w:rsid w:val="0033373E"/>
    <w:rsid w:val="00333956"/>
    <w:rsid w:val="003339A0"/>
    <w:rsid w:val="003339DD"/>
    <w:rsid w:val="00333BC4"/>
    <w:rsid w:val="00333D56"/>
    <w:rsid w:val="00333E6C"/>
    <w:rsid w:val="00333FF3"/>
    <w:rsid w:val="003340E7"/>
    <w:rsid w:val="00334D3D"/>
    <w:rsid w:val="00334D5C"/>
    <w:rsid w:val="0033501F"/>
    <w:rsid w:val="003355FA"/>
    <w:rsid w:val="00335675"/>
    <w:rsid w:val="003358DD"/>
    <w:rsid w:val="00335D99"/>
    <w:rsid w:val="00335FBB"/>
    <w:rsid w:val="003365E7"/>
    <w:rsid w:val="00336B7B"/>
    <w:rsid w:val="00336BA1"/>
    <w:rsid w:val="003375D2"/>
    <w:rsid w:val="00337A53"/>
    <w:rsid w:val="00337CB4"/>
    <w:rsid w:val="00337F5B"/>
    <w:rsid w:val="003403A5"/>
    <w:rsid w:val="00340607"/>
    <w:rsid w:val="00340D16"/>
    <w:rsid w:val="00340E8F"/>
    <w:rsid w:val="003410BD"/>
    <w:rsid w:val="00341429"/>
    <w:rsid w:val="003415E1"/>
    <w:rsid w:val="00341EB0"/>
    <w:rsid w:val="00342882"/>
    <w:rsid w:val="0034289D"/>
    <w:rsid w:val="00343519"/>
    <w:rsid w:val="003440AE"/>
    <w:rsid w:val="003441AD"/>
    <w:rsid w:val="003443A5"/>
    <w:rsid w:val="00344654"/>
    <w:rsid w:val="00344E27"/>
    <w:rsid w:val="00344E67"/>
    <w:rsid w:val="003455EA"/>
    <w:rsid w:val="003456FB"/>
    <w:rsid w:val="00345C21"/>
    <w:rsid w:val="00345DDC"/>
    <w:rsid w:val="00345E00"/>
    <w:rsid w:val="00345F21"/>
    <w:rsid w:val="00346396"/>
    <w:rsid w:val="00346612"/>
    <w:rsid w:val="003466D9"/>
    <w:rsid w:val="00346836"/>
    <w:rsid w:val="00346EF5"/>
    <w:rsid w:val="00347979"/>
    <w:rsid w:val="00347BB0"/>
    <w:rsid w:val="003500F0"/>
    <w:rsid w:val="00350874"/>
    <w:rsid w:val="00350C3B"/>
    <w:rsid w:val="00350E04"/>
    <w:rsid w:val="003510CD"/>
    <w:rsid w:val="003516C6"/>
    <w:rsid w:val="00351A3A"/>
    <w:rsid w:val="00351B19"/>
    <w:rsid w:val="00351CEE"/>
    <w:rsid w:val="00352780"/>
    <w:rsid w:val="00352B05"/>
    <w:rsid w:val="00352ECB"/>
    <w:rsid w:val="00353696"/>
    <w:rsid w:val="003539C3"/>
    <w:rsid w:val="00353D26"/>
    <w:rsid w:val="00353F8B"/>
    <w:rsid w:val="00354078"/>
    <w:rsid w:val="003541AD"/>
    <w:rsid w:val="00354646"/>
    <w:rsid w:val="003546DE"/>
    <w:rsid w:val="003549DC"/>
    <w:rsid w:val="003549FA"/>
    <w:rsid w:val="00354B80"/>
    <w:rsid w:val="0035510A"/>
    <w:rsid w:val="00355312"/>
    <w:rsid w:val="00355480"/>
    <w:rsid w:val="00355808"/>
    <w:rsid w:val="00356011"/>
    <w:rsid w:val="0035601F"/>
    <w:rsid w:val="00356693"/>
    <w:rsid w:val="00356760"/>
    <w:rsid w:val="00356A8F"/>
    <w:rsid w:val="00356B81"/>
    <w:rsid w:val="00357283"/>
    <w:rsid w:val="00357A4B"/>
    <w:rsid w:val="00357D62"/>
    <w:rsid w:val="00357FB4"/>
    <w:rsid w:val="0036006A"/>
    <w:rsid w:val="00360150"/>
    <w:rsid w:val="0036018B"/>
    <w:rsid w:val="00360292"/>
    <w:rsid w:val="003602DA"/>
    <w:rsid w:val="0036054D"/>
    <w:rsid w:val="003609F3"/>
    <w:rsid w:val="00360C18"/>
    <w:rsid w:val="00360D3A"/>
    <w:rsid w:val="00360ED1"/>
    <w:rsid w:val="00360F69"/>
    <w:rsid w:val="00360F6D"/>
    <w:rsid w:val="00361019"/>
    <w:rsid w:val="00361028"/>
    <w:rsid w:val="00361104"/>
    <w:rsid w:val="00361361"/>
    <w:rsid w:val="00361ABB"/>
    <w:rsid w:val="00361BDF"/>
    <w:rsid w:val="0036213C"/>
    <w:rsid w:val="00362622"/>
    <w:rsid w:val="00362A82"/>
    <w:rsid w:val="0036309C"/>
    <w:rsid w:val="00363513"/>
    <w:rsid w:val="003638EA"/>
    <w:rsid w:val="00363B5F"/>
    <w:rsid w:val="00363BB3"/>
    <w:rsid w:val="003640D8"/>
    <w:rsid w:val="0036470B"/>
    <w:rsid w:val="00364AAF"/>
    <w:rsid w:val="00364B61"/>
    <w:rsid w:val="00364E1C"/>
    <w:rsid w:val="003654BC"/>
    <w:rsid w:val="00365692"/>
    <w:rsid w:val="00365BF6"/>
    <w:rsid w:val="00365C97"/>
    <w:rsid w:val="00365E70"/>
    <w:rsid w:val="00366F1F"/>
    <w:rsid w:val="0036701A"/>
    <w:rsid w:val="003674DD"/>
    <w:rsid w:val="00367767"/>
    <w:rsid w:val="00367994"/>
    <w:rsid w:val="00367B09"/>
    <w:rsid w:val="00367D74"/>
    <w:rsid w:val="003701EB"/>
    <w:rsid w:val="003705A9"/>
    <w:rsid w:val="003708B4"/>
    <w:rsid w:val="00370973"/>
    <w:rsid w:val="00371F22"/>
    <w:rsid w:val="00371FEA"/>
    <w:rsid w:val="00372B1E"/>
    <w:rsid w:val="00372FE8"/>
    <w:rsid w:val="003735CC"/>
    <w:rsid w:val="00373AE7"/>
    <w:rsid w:val="00373B0F"/>
    <w:rsid w:val="00373B2F"/>
    <w:rsid w:val="0037420F"/>
    <w:rsid w:val="003746D8"/>
    <w:rsid w:val="00374741"/>
    <w:rsid w:val="00374853"/>
    <w:rsid w:val="003749E3"/>
    <w:rsid w:val="00374B22"/>
    <w:rsid w:val="00374CC9"/>
    <w:rsid w:val="00374DD0"/>
    <w:rsid w:val="00375448"/>
    <w:rsid w:val="00375924"/>
    <w:rsid w:val="003762B4"/>
    <w:rsid w:val="0037664B"/>
    <w:rsid w:val="003767D7"/>
    <w:rsid w:val="00376992"/>
    <w:rsid w:val="00376C83"/>
    <w:rsid w:val="0037743F"/>
    <w:rsid w:val="003774CE"/>
    <w:rsid w:val="003775BF"/>
    <w:rsid w:val="00380648"/>
    <w:rsid w:val="00380838"/>
    <w:rsid w:val="003808DE"/>
    <w:rsid w:val="00380F75"/>
    <w:rsid w:val="0038120A"/>
    <w:rsid w:val="003812A5"/>
    <w:rsid w:val="00381376"/>
    <w:rsid w:val="00381A9A"/>
    <w:rsid w:val="00381C6E"/>
    <w:rsid w:val="00381E16"/>
    <w:rsid w:val="00382315"/>
    <w:rsid w:val="003827E3"/>
    <w:rsid w:val="003829A7"/>
    <w:rsid w:val="003833CD"/>
    <w:rsid w:val="0038390F"/>
    <w:rsid w:val="00383A9A"/>
    <w:rsid w:val="00384922"/>
    <w:rsid w:val="00384F7A"/>
    <w:rsid w:val="00385192"/>
    <w:rsid w:val="00385300"/>
    <w:rsid w:val="003855F4"/>
    <w:rsid w:val="0038584C"/>
    <w:rsid w:val="00385B15"/>
    <w:rsid w:val="00385BE9"/>
    <w:rsid w:val="00385C21"/>
    <w:rsid w:val="00385E58"/>
    <w:rsid w:val="0038642F"/>
    <w:rsid w:val="0038648E"/>
    <w:rsid w:val="003864A9"/>
    <w:rsid w:val="00386F1C"/>
    <w:rsid w:val="00387169"/>
    <w:rsid w:val="00387204"/>
    <w:rsid w:val="003876C7"/>
    <w:rsid w:val="00387A96"/>
    <w:rsid w:val="00387E04"/>
    <w:rsid w:val="00387FD2"/>
    <w:rsid w:val="00390182"/>
    <w:rsid w:val="00390C70"/>
    <w:rsid w:val="00391202"/>
    <w:rsid w:val="003918F8"/>
    <w:rsid w:val="00391985"/>
    <w:rsid w:val="00391D8F"/>
    <w:rsid w:val="00391FBA"/>
    <w:rsid w:val="00391FFA"/>
    <w:rsid w:val="003926C4"/>
    <w:rsid w:val="00392C58"/>
    <w:rsid w:val="003934C2"/>
    <w:rsid w:val="00393580"/>
    <w:rsid w:val="00393C15"/>
    <w:rsid w:val="0039432B"/>
    <w:rsid w:val="00394576"/>
    <w:rsid w:val="00395430"/>
    <w:rsid w:val="00395906"/>
    <w:rsid w:val="00395969"/>
    <w:rsid w:val="00395B65"/>
    <w:rsid w:val="003964E3"/>
    <w:rsid w:val="00396B8F"/>
    <w:rsid w:val="00396D2B"/>
    <w:rsid w:val="00396EDF"/>
    <w:rsid w:val="00397821"/>
    <w:rsid w:val="003A0126"/>
    <w:rsid w:val="003A0130"/>
    <w:rsid w:val="003A0210"/>
    <w:rsid w:val="003A06A0"/>
    <w:rsid w:val="003A06E8"/>
    <w:rsid w:val="003A06F5"/>
    <w:rsid w:val="003A1433"/>
    <w:rsid w:val="003A148F"/>
    <w:rsid w:val="003A1571"/>
    <w:rsid w:val="003A188C"/>
    <w:rsid w:val="003A1CB1"/>
    <w:rsid w:val="003A2488"/>
    <w:rsid w:val="003A258D"/>
    <w:rsid w:val="003A2B5B"/>
    <w:rsid w:val="003A2C29"/>
    <w:rsid w:val="003A3156"/>
    <w:rsid w:val="003A3961"/>
    <w:rsid w:val="003A3ACB"/>
    <w:rsid w:val="003A3BD7"/>
    <w:rsid w:val="003A3D23"/>
    <w:rsid w:val="003A524B"/>
    <w:rsid w:val="003A53CE"/>
    <w:rsid w:val="003A5586"/>
    <w:rsid w:val="003A5AD8"/>
    <w:rsid w:val="003A5D43"/>
    <w:rsid w:val="003A5EA9"/>
    <w:rsid w:val="003A6360"/>
    <w:rsid w:val="003A6BD8"/>
    <w:rsid w:val="003A7551"/>
    <w:rsid w:val="003A757A"/>
    <w:rsid w:val="003A76F3"/>
    <w:rsid w:val="003A77AC"/>
    <w:rsid w:val="003A7AC2"/>
    <w:rsid w:val="003A7CBB"/>
    <w:rsid w:val="003B0135"/>
    <w:rsid w:val="003B0863"/>
    <w:rsid w:val="003B0BB9"/>
    <w:rsid w:val="003B0F6D"/>
    <w:rsid w:val="003B0FFF"/>
    <w:rsid w:val="003B1104"/>
    <w:rsid w:val="003B17BB"/>
    <w:rsid w:val="003B1A12"/>
    <w:rsid w:val="003B1E2E"/>
    <w:rsid w:val="003B2498"/>
    <w:rsid w:val="003B2AF3"/>
    <w:rsid w:val="003B2C65"/>
    <w:rsid w:val="003B3400"/>
    <w:rsid w:val="003B3C88"/>
    <w:rsid w:val="003B3D68"/>
    <w:rsid w:val="003B3E10"/>
    <w:rsid w:val="003B4244"/>
    <w:rsid w:val="003B4359"/>
    <w:rsid w:val="003B47B0"/>
    <w:rsid w:val="003B49A6"/>
    <w:rsid w:val="003B4B69"/>
    <w:rsid w:val="003B4BFC"/>
    <w:rsid w:val="003B4CDB"/>
    <w:rsid w:val="003B4F16"/>
    <w:rsid w:val="003B5155"/>
    <w:rsid w:val="003B5482"/>
    <w:rsid w:val="003B548D"/>
    <w:rsid w:val="003B5891"/>
    <w:rsid w:val="003B5A24"/>
    <w:rsid w:val="003B62DF"/>
    <w:rsid w:val="003B6B31"/>
    <w:rsid w:val="003B6B90"/>
    <w:rsid w:val="003B6CE9"/>
    <w:rsid w:val="003B6E0A"/>
    <w:rsid w:val="003B7526"/>
    <w:rsid w:val="003B77D1"/>
    <w:rsid w:val="003B781C"/>
    <w:rsid w:val="003B78A8"/>
    <w:rsid w:val="003B7CD4"/>
    <w:rsid w:val="003B7D9F"/>
    <w:rsid w:val="003B7E73"/>
    <w:rsid w:val="003C002D"/>
    <w:rsid w:val="003C0177"/>
    <w:rsid w:val="003C018F"/>
    <w:rsid w:val="003C0F1A"/>
    <w:rsid w:val="003C1170"/>
    <w:rsid w:val="003C135E"/>
    <w:rsid w:val="003C16E4"/>
    <w:rsid w:val="003C18DA"/>
    <w:rsid w:val="003C1982"/>
    <w:rsid w:val="003C1AEE"/>
    <w:rsid w:val="003C1E54"/>
    <w:rsid w:val="003C28CF"/>
    <w:rsid w:val="003C3229"/>
    <w:rsid w:val="003C33DC"/>
    <w:rsid w:val="003C34FC"/>
    <w:rsid w:val="003C3670"/>
    <w:rsid w:val="003C390A"/>
    <w:rsid w:val="003C415E"/>
    <w:rsid w:val="003C4456"/>
    <w:rsid w:val="003C4673"/>
    <w:rsid w:val="003C4D61"/>
    <w:rsid w:val="003C4FAF"/>
    <w:rsid w:val="003C569D"/>
    <w:rsid w:val="003C6392"/>
    <w:rsid w:val="003C69DD"/>
    <w:rsid w:val="003C6EC8"/>
    <w:rsid w:val="003C6F6D"/>
    <w:rsid w:val="003C6FC6"/>
    <w:rsid w:val="003C70EA"/>
    <w:rsid w:val="003C7C10"/>
    <w:rsid w:val="003D04DF"/>
    <w:rsid w:val="003D054E"/>
    <w:rsid w:val="003D0A19"/>
    <w:rsid w:val="003D11D5"/>
    <w:rsid w:val="003D179C"/>
    <w:rsid w:val="003D1A4E"/>
    <w:rsid w:val="003D1B36"/>
    <w:rsid w:val="003D1E0C"/>
    <w:rsid w:val="003D210D"/>
    <w:rsid w:val="003D23EE"/>
    <w:rsid w:val="003D24C2"/>
    <w:rsid w:val="003D2AB7"/>
    <w:rsid w:val="003D3027"/>
    <w:rsid w:val="003D33D8"/>
    <w:rsid w:val="003D3754"/>
    <w:rsid w:val="003D3A8E"/>
    <w:rsid w:val="003D3BDB"/>
    <w:rsid w:val="003D3C23"/>
    <w:rsid w:val="003D3D63"/>
    <w:rsid w:val="003D422C"/>
    <w:rsid w:val="003D45CB"/>
    <w:rsid w:val="003D4D77"/>
    <w:rsid w:val="003D4FEA"/>
    <w:rsid w:val="003D53C4"/>
    <w:rsid w:val="003D5497"/>
    <w:rsid w:val="003D5704"/>
    <w:rsid w:val="003D5742"/>
    <w:rsid w:val="003D61F5"/>
    <w:rsid w:val="003D653E"/>
    <w:rsid w:val="003D674C"/>
    <w:rsid w:val="003D6831"/>
    <w:rsid w:val="003D683B"/>
    <w:rsid w:val="003D6B64"/>
    <w:rsid w:val="003D6BE9"/>
    <w:rsid w:val="003D6D58"/>
    <w:rsid w:val="003D7323"/>
    <w:rsid w:val="003D758A"/>
    <w:rsid w:val="003D76B0"/>
    <w:rsid w:val="003D77E2"/>
    <w:rsid w:val="003D7935"/>
    <w:rsid w:val="003D7AA9"/>
    <w:rsid w:val="003D7B8F"/>
    <w:rsid w:val="003D7F6D"/>
    <w:rsid w:val="003E0132"/>
    <w:rsid w:val="003E0594"/>
    <w:rsid w:val="003E0A83"/>
    <w:rsid w:val="003E0C5C"/>
    <w:rsid w:val="003E2509"/>
    <w:rsid w:val="003E2994"/>
    <w:rsid w:val="003E299F"/>
    <w:rsid w:val="003E3009"/>
    <w:rsid w:val="003E3299"/>
    <w:rsid w:val="003E37BD"/>
    <w:rsid w:val="003E3DBA"/>
    <w:rsid w:val="003E3F71"/>
    <w:rsid w:val="003E4605"/>
    <w:rsid w:val="003E4678"/>
    <w:rsid w:val="003E47AE"/>
    <w:rsid w:val="003E48AA"/>
    <w:rsid w:val="003E4B4F"/>
    <w:rsid w:val="003E4D7E"/>
    <w:rsid w:val="003E5083"/>
    <w:rsid w:val="003E54C2"/>
    <w:rsid w:val="003E5C72"/>
    <w:rsid w:val="003E5C99"/>
    <w:rsid w:val="003E607D"/>
    <w:rsid w:val="003E684E"/>
    <w:rsid w:val="003E697E"/>
    <w:rsid w:val="003E6F9F"/>
    <w:rsid w:val="003E705B"/>
    <w:rsid w:val="003E70BE"/>
    <w:rsid w:val="003E7262"/>
    <w:rsid w:val="003E78F6"/>
    <w:rsid w:val="003E7FA9"/>
    <w:rsid w:val="003F0406"/>
    <w:rsid w:val="003F04BC"/>
    <w:rsid w:val="003F06F2"/>
    <w:rsid w:val="003F074A"/>
    <w:rsid w:val="003F0BA9"/>
    <w:rsid w:val="003F0CA5"/>
    <w:rsid w:val="003F0E7C"/>
    <w:rsid w:val="003F179A"/>
    <w:rsid w:val="003F1E34"/>
    <w:rsid w:val="003F2038"/>
    <w:rsid w:val="003F2264"/>
    <w:rsid w:val="003F2554"/>
    <w:rsid w:val="003F25F7"/>
    <w:rsid w:val="003F269F"/>
    <w:rsid w:val="003F26B8"/>
    <w:rsid w:val="003F2749"/>
    <w:rsid w:val="003F2D51"/>
    <w:rsid w:val="003F3273"/>
    <w:rsid w:val="003F3974"/>
    <w:rsid w:val="003F3994"/>
    <w:rsid w:val="003F3AF3"/>
    <w:rsid w:val="003F3B52"/>
    <w:rsid w:val="003F4459"/>
    <w:rsid w:val="003F46AD"/>
    <w:rsid w:val="003F4769"/>
    <w:rsid w:val="003F4C94"/>
    <w:rsid w:val="003F5284"/>
    <w:rsid w:val="003F5788"/>
    <w:rsid w:val="003F57F1"/>
    <w:rsid w:val="003F5B7F"/>
    <w:rsid w:val="003F5FC5"/>
    <w:rsid w:val="003F633B"/>
    <w:rsid w:val="003F64EA"/>
    <w:rsid w:val="003F68C8"/>
    <w:rsid w:val="003F68F1"/>
    <w:rsid w:val="003F6943"/>
    <w:rsid w:val="003F6A8B"/>
    <w:rsid w:val="003F6E48"/>
    <w:rsid w:val="003F73BC"/>
    <w:rsid w:val="003F7474"/>
    <w:rsid w:val="003F7BFB"/>
    <w:rsid w:val="00400269"/>
    <w:rsid w:val="004002B2"/>
    <w:rsid w:val="00400546"/>
    <w:rsid w:val="0040068B"/>
    <w:rsid w:val="00400EA3"/>
    <w:rsid w:val="00401187"/>
    <w:rsid w:val="0040127C"/>
    <w:rsid w:val="004012B7"/>
    <w:rsid w:val="00401B80"/>
    <w:rsid w:val="00401D49"/>
    <w:rsid w:val="00401E44"/>
    <w:rsid w:val="00402002"/>
    <w:rsid w:val="004021FE"/>
    <w:rsid w:val="00402942"/>
    <w:rsid w:val="0040297F"/>
    <w:rsid w:val="004029BD"/>
    <w:rsid w:val="00402D1A"/>
    <w:rsid w:val="00402E75"/>
    <w:rsid w:val="00402EA3"/>
    <w:rsid w:val="00403332"/>
    <w:rsid w:val="00403649"/>
    <w:rsid w:val="004038AC"/>
    <w:rsid w:val="00403E5B"/>
    <w:rsid w:val="00404448"/>
    <w:rsid w:val="00404DAE"/>
    <w:rsid w:val="004050C3"/>
    <w:rsid w:val="00405104"/>
    <w:rsid w:val="0040530D"/>
    <w:rsid w:val="00405568"/>
    <w:rsid w:val="00405B8D"/>
    <w:rsid w:val="00405DD5"/>
    <w:rsid w:val="00405F79"/>
    <w:rsid w:val="004060E2"/>
    <w:rsid w:val="0040669A"/>
    <w:rsid w:val="00406873"/>
    <w:rsid w:val="00406F8A"/>
    <w:rsid w:val="00407402"/>
    <w:rsid w:val="00407D14"/>
    <w:rsid w:val="0041023A"/>
    <w:rsid w:val="00410574"/>
    <w:rsid w:val="004106E9"/>
    <w:rsid w:val="00410793"/>
    <w:rsid w:val="00410DF2"/>
    <w:rsid w:val="0041100B"/>
    <w:rsid w:val="0041163D"/>
    <w:rsid w:val="004118C0"/>
    <w:rsid w:val="00411BDE"/>
    <w:rsid w:val="0041220C"/>
    <w:rsid w:val="0041222A"/>
    <w:rsid w:val="00412361"/>
    <w:rsid w:val="00412A5F"/>
    <w:rsid w:val="00412B60"/>
    <w:rsid w:val="00412BAC"/>
    <w:rsid w:val="00412CD3"/>
    <w:rsid w:val="00412CDB"/>
    <w:rsid w:val="00412FC8"/>
    <w:rsid w:val="00413910"/>
    <w:rsid w:val="00413BEE"/>
    <w:rsid w:val="0041429C"/>
    <w:rsid w:val="004143DC"/>
    <w:rsid w:val="00414B15"/>
    <w:rsid w:val="00414F4B"/>
    <w:rsid w:val="004150D0"/>
    <w:rsid w:val="00415888"/>
    <w:rsid w:val="004158EC"/>
    <w:rsid w:val="00415A2C"/>
    <w:rsid w:val="00416086"/>
    <w:rsid w:val="00416160"/>
    <w:rsid w:val="00416882"/>
    <w:rsid w:val="004168BE"/>
    <w:rsid w:val="00416F63"/>
    <w:rsid w:val="00417A66"/>
    <w:rsid w:val="00420614"/>
    <w:rsid w:val="00420959"/>
    <w:rsid w:val="00420A2E"/>
    <w:rsid w:val="00420A86"/>
    <w:rsid w:val="00420D5A"/>
    <w:rsid w:val="0042112A"/>
    <w:rsid w:val="00421491"/>
    <w:rsid w:val="00421AE4"/>
    <w:rsid w:val="00421B90"/>
    <w:rsid w:val="00421BF2"/>
    <w:rsid w:val="0042282F"/>
    <w:rsid w:val="00423587"/>
    <w:rsid w:val="00423650"/>
    <w:rsid w:val="00423A8D"/>
    <w:rsid w:val="00424017"/>
    <w:rsid w:val="00424123"/>
    <w:rsid w:val="0042446A"/>
    <w:rsid w:val="00424634"/>
    <w:rsid w:val="0042500C"/>
    <w:rsid w:val="00425E6E"/>
    <w:rsid w:val="00426066"/>
    <w:rsid w:val="0042632C"/>
    <w:rsid w:val="0042641A"/>
    <w:rsid w:val="004268E3"/>
    <w:rsid w:val="00426B73"/>
    <w:rsid w:val="00426F49"/>
    <w:rsid w:val="004270A9"/>
    <w:rsid w:val="004276BF"/>
    <w:rsid w:val="00427809"/>
    <w:rsid w:val="004301D6"/>
    <w:rsid w:val="00430B43"/>
    <w:rsid w:val="00430B70"/>
    <w:rsid w:val="00430C3B"/>
    <w:rsid w:val="00430DEB"/>
    <w:rsid w:val="00430FB4"/>
    <w:rsid w:val="00431088"/>
    <w:rsid w:val="004313F0"/>
    <w:rsid w:val="004315A2"/>
    <w:rsid w:val="00431781"/>
    <w:rsid w:val="0043196C"/>
    <w:rsid w:val="00431D74"/>
    <w:rsid w:val="00431F54"/>
    <w:rsid w:val="0043296A"/>
    <w:rsid w:val="00432A2B"/>
    <w:rsid w:val="00432D7A"/>
    <w:rsid w:val="00433056"/>
    <w:rsid w:val="00434267"/>
    <w:rsid w:val="00434456"/>
    <w:rsid w:val="00434796"/>
    <w:rsid w:val="0043498D"/>
    <w:rsid w:val="00434A61"/>
    <w:rsid w:val="00434C24"/>
    <w:rsid w:val="00434EBA"/>
    <w:rsid w:val="00434EE9"/>
    <w:rsid w:val="00434F15"/>
    <w:rsid w:val="00435163"/>
    <w:rsid w:val="0043545B"/>
    <w:rsid w:val="004358B0"/>
    <w:rsid w:val="00435C59"/>
    <w:rsid w:val="00435D32"/>
    <w:rsid w:val="00435E93"/>
    <w:rsid w:val="0043614F"/>
    <w:rsid w:val="004368E0"/>
    <w:rsid w:val="004369F0"/>
    <w:rsid w:val="00436CAD"/>
    <w:rsid w:val="00436E4B"/>
    <w:rsid w:val="004374B9"/>
    <w:rsid w:val="0043767C"/>
    <w:rsid w:val="00437992"/>
    <w:rsid w:val="00437999"/>
    <w:rsid w:val="00437AAC"/>
    <w:rsid w:val="0044075E"/>
    <w:rsid w:val="00440823"/>
    <w:rsid w:val="0044156F"/>
    <w:rsid w:val="00441949"/>
    <w:rsid w:val="00441B1A"/>
    <w:rsid w:val="00441C47"/>
    <w:rsid w:val="00442003"/>
    <w:rsid w:val="004420D2"/>
    <w:rsid w:val="0044266E"/>
    <w:rsid w:val="004428B4"/>
    <w:rsid w:val="00443B5D"/>
    <w:rsid w:val="00443C31"/>
    <w:rsid w:val="004441F7"/>
    <w:rsid w:val="00444328"/>
    <w:rsid w:val="004445DD"/>
    <w:rsid w:val="00444628"/>
    <w:rsid w:val="00444800"/>
    <w:rsid w:val="00444CDE"/>
    <w:rsid w:val="004451A5"/>
    <w:rsid w:val="004459A9"/>
    <w:rsid w:val="00445B14"/>
    <w:rsid w:val="00445B58"/>
    <w:rsid w:val="00446293"/>
    <w:rsid w:val="00446815"/>
    <w:rsid w:val="00446A49"/>
    <w:rsid w:val="00446EFC"/>
    <w:rsid w:val="00447002"/>
    <w:rsid w:val="004471B0"/>
    <w:rsid w:val="0044722A"/>
    <w:rsid w:val="004473C8"/>
    <w:rsid w:val="00447499"/>
    <w:rsid w:val="00447C3C"/>
    <w:rsid w:val="00447CC8"/>
    <w:rsid w:val="00447D05"/>
    <w:rsid w:val="00447F61"/>
    <w:rsid w:val="00447FDA"/>
    <w:rsid w:val="0045039D"/>
    <w:rsid w:val="00450E7D"/>
    <w:rsid w:val="00450FDF"/>
    <w:rsid w:val="0045141C"/>
    <w:rsid w:val="004514BF"/>
    <w:rsid w:val="00451AA7"/>
    <w:rsid w:val="00451F01"/>
    <w:rsid w:val="00452242"/>
    <w:rsid w:val="004525EC"/>
    <w:rsid w:val="00452788"/>
    <w:rsid w:val="004533AC"/>
    <w:rsid w:val="00453509"/>
    <w:rsid w:val="004536F6"/>
    <w:rsid w:val="0045412B"/>
    <w:rsid w:val="0045435D"/>
    <w:rsid w:val="00454361"/>
    <w:rsid w:val="00454A13"/>
    <w:rsid w:val="00454FEC"/>
    <w:rsid w:val="004552AA"/>
    <w:rsid w:val="0045532A"/>
    <w:rsid w:val="00455571"/>
    <w:rsid w:val="004556C9"/>
    <w:rsid w:val="00455768"/>
    <w:rsid w:val="00455C42"/>
    <w:rsid w:val="00455F78"/>
    <w:rsid w:val="00456247"/>
    <w:rsid w:val="00456434"/>
    <w:rsid w:val="00456CD2"/>
    <w:rsid w:val="00456CD6"/>
    <w:rsid w:val="0045702E"/>
    <w:rsid w:val="00457C6C"/>
    <w:rsid w:val="00457D29"/>
    <w:rsid w:val="004600EB"/>
    <w:rsid w:val="004601D5"/>
    <w:rsid w:val="004605A2"/>
    <w:rsid w:val="00460941"/>
    <w:rsid w:val="004609D4"/>
    <w:rsid w:val="00460CAC"/>
    <w:rsid w:val="00461339"/>
    <w:rsid w:val="004614A1"/>
    <w:rsid w:val="0046160A"/>
    <w:rsid w:val="00461671"/>
    <w:rsid w:val="00462164"/>
    <w:rsid w:val="004622BD"/>
    <w:rsid w:val="00462652"/>
    <w:rsid w:val="00462CBA"/>
    <w:rsid w:val="00462E3A"/>
    <w:rsid w:val="00463890"/>
    <w:rsid w:val="00463FB2"/>
    <w:rsid w:val="00464172"/>
    <w:rsid w:val="00464A94"/>
    <w:rsid w:val="00464B15"/>
    <w:rsid w:val="00465406"/>
    <w:rsid w:val="00465642"/>
    <w:rsid w:val="004658C5"/>
    <w:rsid w:val="00466614"/>
    <w:rsid w:val="0046668C"/>
    <w:rsid w:val="0046679A"/>
    <w:rsid w:val="00466851"/>
    <w:rsid w:val="00466B08"/>
    <w:rsid w:val="00467576"/>
    <w:rsid w:val="00470264"/>
    <w:rsid w:val="00470276"/>
    <w:rsid w:val="0047102F"/>
    <w:rsid w:val="004711DF"/>
    <w:rsid w:val="00471E52"/>
    <w:rsid w:val="0047246F"/>
    <w:rsid w:val="004731F7"/>
    <w:rsid w:val="00473947"/>
    <w:rsid w:val="00473E65"/>
    <w:rsid w:val="004743D2"/>
    <w:rsid w:val="00474F2E"/>
    <w:rsid w:val="00475012"/>
    <w:rsid w:val="00475039"/>
    <w:rsid w:val="004755C3"/>
    <w:rsid w:val="004759A1"/>
    <w:rsid w:val="00475FE1"/>
    <w:rsid w:val="00476DA1"/>
    <w:rsid w:val="004773B6"/>
    <w:rsid w:val="00477664"/>
    <w:rsid w:val="004776E9"/>
    <w:rsid w:val="00477A23"/>
    <w:rsid w:val="00477DB5"/>
    <w:rsid w:val="004802A8"/>
    <w:rsid w:val="004809CC"/>
    <w:rsid w:val="0048139A"/>
    <w:rsid w:val="00481C3E"/>
    <w:rsid w:val="004823A5"/>
    <w:rsid w:val="00483402"/>
    <w:rsid w:val="00483556"/>
    <w:rsid w:val="004837DB"/>
    <w:rsid w:val="004840C0"/>
    <w:rsid w:val="004841B1"/>
    <w:rsid w:val="004841FE"/>
    <w:rsid w:val="0048437C"/>
    <w:rsid w:val="00484A58"/>
    <w:rsid w:val="00484B3F"/>
    <w:rsid w:val="004857AF"/>
    <w:rsid w:val="0048588E"/>
    <w:rsid w:val="00485AE5"/>
    <w:rsid w:val="00486ADF"/>
    <w:rsid w:val="00486E9C"/>
    <w:rsid w:val="00486E9F"/>
    <w:rsid w:val="00486F92"/>
    <w:rsid w:val="00487A78"/>
    <w:rsid w:val="00490406"/>
    <w:rsid w:val="004909AC"/>
    <w:rsid w:val="00490DF4"/>
    <w:rsid w:val="00490F6A"/>
    <w:rsid w:val="0049107E"/>
    <w:rsid w:val="004911B9"/>
    <w:rsid w:val="00491535"/>
    <w:rsid w:val="0049174E"/>
    <w:rsid w:val="004917C6"/>
    <w:rsid w:val="00492121"/>
    <w:rsid w:val="004926D5"/>
    <w:rsid w:val="0049285B"/>
    <w:rsid w:val="00492D71"/>
    <w:rsid w:val="00492DC6"/>
    <w:rsid w:val="00492EA5"/>
    <w:rsid w:val="00493060"/>
    <w:rsid w:val="00493926"/>
    <w:rsid w:val="0049392C"/>
    <w:rsid w:val="00493A7A"/>
    <w:rsid w:val="00493BD7"/>
    <w:rsid w:val="00493CCA"/>
    <w:rsid w:val="00493FCE"/>
    <w:rsid w:val="0049415C"/>
    <w:rsid w:val="00494176"/>
    <w:rsid w:val="004943F5"/>
    <w:rsid w:val="00494720"/>
    <w:rsid w:val="00494813"/>
    <w:rsid w:val="00494F78"/>
    <w:rsid w:val="004950D0"/>
    <w:rsid w:val="00495327"/>
    <w:rsid w:val="00495585"/>
    <w:rsid w:val="0049566C"/>
    <w:rsid w:val="00495682"/>
    <w:rsid w:val="00495EF0"/>
    <w:rsid w:val="0049619A"/>
    <w:rsid w:val="004961ED"/>
    <w:rsid w:val="00496304"/>
    <w:rsid w:val="00496B06"/>
    <w:rsid w:val="00496C78"/>
    <w:rsid w:val="00497103"/>
    <w:rsid w:val="004973A1"/>
    <w:rsid w:val="00497409"/>
    <w:rsid w:val="00497667"/>
    <w:rsid w:val="00497AF8"/>
    <w:rsid w:val="00497CE9"/>
    <w:rsid w:val="00497EB4"/>
    <w:rsid w:val="00497EB8"/>
    <w:rsid w:val="004A0592"/>
    <w:rsid w:val="004A09E7"/>
    <w:rsid w:val="004A0F7F"/>
    <w:rsid w:val="004A134B"/>
    <w:rsid w:val="004A1679"/>
    <w:rsid w:val="004A1C6C"/>
    <w:rsid w:val="004A2219"/>
    <w:rsid w:val="004A28B3"/>
    <w:rsid w:val="004A2A0A"/>
    <w:rsid w:val="004A3160"/>
    <w:rsid w:val="004A33EB"/>
    <w:rsid w:val="004A3581"/>
    <w:rsid w:val="004A35BA"/>
    <w:rsid w:val="004A3B8F"/>
    <w:rsid w:val="004A4822"/>
    <w:rsid w:val="004A5834"/>
    <w:rsid w:val="004A5C16"/>
    <w:rsid w:val="004A6900"/>
    <w:rsid w:val="004A6C1E"/>
    <w:rsid w:val="004A75F1"/>
    <w:rsid w:val="004A7752"/>
    <w:rsid w:val="004A7AE5"/>
    <w:rsid w:val="004A7BAC"/>
    <w:rsid w:val="004A7D29"/>
    <w:rsid w:val="004A7E6D"/>
    <w:rsid w:val="004A7F32"/>
    <w:rsid w:val="004B0222"/>
    <w:rsid w:val="004B02B9"/>
    <w:rsid w:val="004B0AC1"/>
    <w:rsid w:val="004B0E43"/>
    <w:rsid w:val="004B11FE"/>
    <w:rsid w:val="004B1217"/>
    <w:rsid w:val="004B1415"/>
    <w:rsid w:val="004B17B6"/>
    <w:rsid w:val="004B1AF4"/>
    <w:rsid w:val="004B25CE"/>
    <w:rsid w:val="004B2A7F"/>
    <w:rsid w:val="004B2FAF"/>
    <w:rsid w:val="004B302B"/>
    <w:rsid w:val="004B31CF"/>
    <w:rsid w:val="004B36F6"/>
    <w:rsid w:val="004B3736"/>
    <w:rsid w:val="004B43BD"/>
    <w:rsid w:val="004B4437"/>
    <w:rsid w:val="004B452D"/>
    <w:rsid w:val="004B47C3"/>
    <w:rsid w:val="004B48F8"/>
    <w:rsid w:val="004B4B23"/>
    <w:rsid w:val="004B4BFA"/>
    <w:rsid w:val="004B502F"/>
    <w:rsid w:val="004B5271"/>
    <w:rsid w:val="004B58DD"/>
    <w:rsid w:val="004B5FCC"/>
    <w:rsid w:val="004B6125"/>
    <w:rsid w:val="004B64B1"/>
    <w:rsid w:val="004B68D9"/>
    <w:rsid w:val="004B69EE"/>
    <w:rsid w:val="004B6B14"/>
    <w:rsid w:val="004B6CB8"/>
    <w:rsid w:val="004B6F71"/>
    <w:rsid w:val="004B714A"/>
    <w:rsid w:val="004B720A"/>
    <w:rsid w:val="004B7220"/>
    <w:rsid w:val="004B7288"/>
    <w:rsid w:val="004B789C"/>
    <w:rsid w:val="004B791B"/>
    <w:rsid w:val="004B7A24"/>
    <w:rsid w:val="004B7C29"/>
    <w:rsid w:val="004C0138"/>
    <w:rsid w:val="004C0247"/>
    <w:rsid w:val="004C080F"/>
    <w:rsid w:val="004C112C"/>
    <w:rsid w:val="004C13C4"/>
    <w:rsid w:val="004C1610"/>
    <w:rsid w:val="004C1E91"/>
    <w:rsid w:val="004C207B"/>
    <w:rsid w:val="004C230B"/>
    <w:rsid w:val="004C2334"/>
    <w:rsid w:val="004C2370"/>
    <w:rsid w:val="004C2387"/>
    <w:rsid w:val="004C26E6"/>
    <w:rsid w:val="004C280C"/>
    <w:rsid w:val="004C2827"/>
    <w:rsid w:val="004C2DFB"/>
    <w:rsid w:val="004C2F81"/>
    <w:rsid w:val="004C31AB"/>
    <w:rsid w:val="004C3764"/>
    <w:rsid w:val="004C38DC"/>
    <w:rsid w:val="004C3A68"/>
    <w:rsid w:val="004C3AA1"/>
    <w:rsid w:val="004C43C6"/>
    <w:rsid w:val="004C44B1"/>
    <w:rsid w:val="004C46B0"/>
    <w:rsid w:val="004C4CAA"/>
    <w:rsid w:val="004C50ED"/>
    <w:rsid w:val="004C6035"/>
    <w:rsid w:val="004C641A"/>
    <w:rsid w:val="004C65DC"/>
    <w:rsid w:val="004C6834"/>
    <w:rsid w:val="004C6953"/>
    <w:rsid w:val="004C6A96"/>
    <w:rsid w:val="004C6AD9"/>
    <w:rsid w:val="004C70A7"/>
    <w:rsid w:val="004C7391"/>
    <w:rsid w:val="004C795F"/>
    <w:rsid w:val="004C7968"/>
    <w:rsid w:val="004C7D06"/>
    <w:rsid w:val="004D0369"/>
    <w:rsid w:val="004D066C"/>
    <w:rsid w:val="004D06E0"/>
    <w:rsid w:val="004D0810"/>
    <w:rsid w:val="004D0BDF"/>
    <w:rsid w:val="004D10DB"/>
    <w:rsid w:val="004D1BC6"/>
    <w:rsid w:val="004D2448"/>
    <w:rsid w:val="004D281A"/>
    <w:rsid w:val="004D3403"/>
    <w:rsid w:val="004D362E"/>
    <w:rsid w:val="004D38C8"/>
    <w:rsid w:val="004D3973"/>
    <w:rsid w:val="004D3A53"/>
    <w:rsid w:val="004D4669"/>
    <w:rsid w:val="004D487F"/>
    <w:rsid w:val="004D4A71"/>
    <w:rsid w:val="004D4B79"/>
    <w:rsid w:val="004D4BCF"/>
    <w:rsid w:val="004D5147"/>
    <w:rsid w:val="004D544E"/>
    <w:rsid w:val="004D5992"/>
    <w:rsid w:val="004D5A1D"/>
    <w:rsid w:val="004D5AEB"/>
    <w:rsid w:val="004D61AF"/>
    <w:rsid w:val="004D6300"/>
    <w:rsid w:val="004D65B1"/>
    <w:rsid w:val="004D6602"/>
    <w:rsid w:val="004D7128"/>
    <w:rsid w:val="004D71DB"/>
    <w:rsid w:val="004D7579"/>
    <w:rsid w:val="004E0EA7"/>
    <w:rsid w:val="004E0F66"/>
    <w:rsid w:val="004E107E"/>
    <w:rsid w:val="004E136A"/>
    <w:rsid w:val="004E14B2"/>
    <w:rsid w:val="004E1589"/>
    <w:rsid w:val="004E1654"/>
    <w:rsid w:val="004E27F2"/>
    <w:rsid w:val="004E292F"/>
    <w:rsid w:val="004E2DF0"/>
    <w:rsid w:val="004E2EBC"/>
    <w:rsid w:val="004E3059"/>
    <w:rsid w:val="004E33F0"/>
    <w:rsid w:val="004E36C1"/>
    <w:rsid w:val="004E383C"/>
    <w:rsid w:val="004E3D19"/>
    <w:rsid w:val="004E4225"/>
    <w:rsid w:val="004E42DC"/>
    <w:rsid w:val="004E50D4"/>
    <w:rsid w:val="004E52D7"/>
    <w:rsid w:val="004E5540"/>
    <w:rsid w:val="004E5B8F"/>
    <w:rsid w:val="004E5BEB"/>
    <w:rsid w:val="004E6258"/>
    <w:rsid w:val="004E6AFE"/>
    <w:rsid w:val="004E6B10"/>
    <w:rsid w:val="004E6C6E"/>
    <w:rsid w:val="004E7636"/>
    <w:rsid w:val="004E7999"/>
    <w:rsid w:val="004E7C3F"/>
    <w:rsid w:val="004F052A"/>
    <w:rsid w:val="004F0623"/>
    <w:rsid w:val="004F0AD9"/>
    <w:rsid w:val="004F0E84"/>
    <w:rsid w:val="004F0FB9"/>
    <w:rsid w:val="004F1F97"/>
    <w:rsid w:val="004F212E"/>
    <w:rsid w:val="004F2DC6"/>
    <w:rsid w:val="004F323C"/>
    <w:rsid w:val="004F366E"/>
    <w:rsid w:val="004F380A"/>
    <w:rsid w:val="004F3964"/>
    <w:rsid w:val="004F3B0F"/>
    <w:rsid w:val="004F3D91"/>
    <w:rsid w:val="004F3FBB"/>
    <w:rsid w:val="004F40B2"/>
    <w:rsid w:val="004F41F5"/>
    <w:rsid w:val="004F499A"/>
    <w:rsid w:val="004F4D57"/>
    <w:rsid w:val="004F507B"/>
    <w:rsid w:val="004F58E2"/>
    <w:rsid w:val="004F6027"/>
    <w:rsid w:val="004F6445"/>
    <w:rsid w:val="004F6829"/>
    <w:rsid w:val="004F6A5B"/>
    <w:rsid w:val="004F6C4E"/>
    <w:rsid w:val="004F6FCD"/>
    <w:rsid w:val="004F7564"/>
    <w:rsid w:val="004F75A7"/>
    <w:rsid w:val="004F7643"/>
    <w:rsid w:val="004F7AF7"/>
    <w:rsid w:val="00500193"/>
    <w:rsid w:val="005005E3"/>
    <w:rsid w:val="00500628"/>
    <w:rsid w:val="00501A88"/>
    <w:rsid w:val="00501E02"/>
    <w:rsid w:val="0050214B"/>
    <w:rsid w:val="00502165"/>
    <w:rsid w:val="00502188"/>
    <w:rsid w:val="005025DB"/>
    <w:rsid w:val="005028D4"/>
    <w:rsid w:val="00502998"/>
    <w:rsid w:val="00503875"/>
    <w:rsid w:val="00503E5C"/>
    <w:rsid w:val="00504323"/>
    <w:rsid w:val="00504643"/>
    <w:rsid w:val="005046A2"/>
    <w:rsid w:val="00504CC4"/>
    <w:rsid w:val="00504E0E"/>
    <w:rsid w:val="00505189"/>
    <w:rsid w:val="005051C9"/>
    <w:rsid w:val="005051E1"/>
    <w:rsid w:val="0050585F"/>
    <w:rsid w:val="005058A6"/>
    <w:rsid w:val="00505E83"/>
    <w:rsid w:val="00505F04"/>
    <w:rsid w:val="00506C30"/>
    <w:rsid w:val="00506D6D"/>
    <w:rsid w:val="00506EFE"/>
    <w:rsid w:val="005072B6"/>
    <w:rsid w:val="005072FD"/>
    <w:rsid w:val="00507C2B"/>
    <w:rsid w:val="00510636"/>
    <w:rsid w:val="005106B6"/>
    <w:rsid w:val="00510D48"/>
    <w:rsid w:val="0051119E"/>
    <w:rsid w:val="00511307"/>
    <w:rsid w:val="00511609"/>
    <w:rsid w:val="005119AA"/>
    <w:rsid w:val="00511BAE"/>
    <w:rsid w:val="00512244"/>
    <w:rsid w:val="00512337"/>
    <w:rsid w:val="00512809"/>
    <w:rsid w:val="00512B1E"/>
    <w:rsid w:val="00513029"/>
    <w:rsid w:val="005135F3"/>
    <w:rsid w:val="0051381E"/>
    <w:rsid w:val="00513A79"/>
    <w:rsid w:val="00513B70"/>
    <w:rsid w:val="00513BC6"/>
    <w:rsid w:val="00513C0E"/>
    <w:rsid w:val="00514141"/>
    <w:rsid w:val="00514239"/>
    <w:rsid w:val="00514E50"/>
    <w:rsid w:val="005159E3"/>
    <w:rsid w:val="00515E06"/>
    <w:rsid w:val="00516056"/>
    <w:rsid w:val="00516079"/>
    <w:rsid w:val="00516170"/>
    <w:rsid w:val="0051679F"/>
    <w:rsid w:val="005167A6"/>
    <w:rsid w:val="00516A82"/>
    <w:rsid w:val="00517153"/>
    <w:rsid w:val="005173A5"/>
    <w:rsid w:val="005174BF"/>
    <w:rsid w:val="00517F6A"/>
    <w:rsid w:val="00517FB7"/>
    <w:rsid w:val="005203FF"/>
    <w:rsid w:val="00520F1B"/>
    <w:rsid w:val="00520F99"/>
    <w:rsid w:val="00520FCB"/>
    <w:rsid w:val="00521071"/>
    <w:rsid w:val="0052131A"/>
    <w:rsid w:val="005217BC"/>
    <w:rsid w:val="005217EB"/>
    <w:rsid w:val="00521BC7"/>
    <w:rsid w:val="00521F36"/>
    <w:rsid w:val="0052251C"/>
    <w:rsid w:val="00522CD0"/>
    <w:rsid w:val="00522D71"/>
    <w:rsid w:val="00522EA5"/>
    <w:rsid w:val="00522FEC"/>
    <w:rsid w:val="005231E9"/>
    <w:rsid w:val="0052350F"/>
    <w:rsid w:val="00523631"/>
    <w:rsid w:val="005237D4"/>
    <w:rsid w:val="00523937"/>
    <w:rsid w:val="00523FEB"/>
    <w:rsid w:val="00524646"/>
    <w:rsid w:val="00524B6C"/>
    <w:rsid w:val="00524CD9"/>
    <w:rsid w:val="00524E56"/>
    <w:rsid w:val="0052500A"/>
    <w:rsid w:val="00525B1A"/>
    <w:rsid w:val="00525DAE"/>
    <w:rsid w:val="00525E56"/>
    <w:rsid w:val="00525F6C"/>
    <w:rsid w:val="005264C3"/>
    <w:rsid w:val="005265E1"/>
    <w:rsid w:val="00526890"/>
    <w:rsid w:val="005268AC"/>
    <w:rsid w:val="00526A58"/>
    <w:rsid w:val="005270CC"/>
    <w:rsid w:val="0052723D"/>
    <w:rsid w:val="00527895"/>
    <w:rsid w:val="005278BA"/>
    <w:rsid w:val="00527B5A"/>
    <w:rsid w:val="0053020B"/>
    <w:rsid w:val="005305BA"/>
    <w:rsid w:val="005306A2"/>
    <w:rsid w:val="00530E0A"/>
    <w:rsid w:val="0053118C"/>
    <w:rsid w:val="005319DA"/>
    <w:rsid w:val="00531AAB"/>
    <w:rsid w:val="0053238E"/>
    <w:rsid w:val="0053254C"/>
    <w:rsid w:val="00532C6B"/>
    <w:rsid w:val="00532EB5"/>
    <w:rsid w:val="00533064"/>
    <w:rsid w:val="005332D9"/>
    <w:rsid w:val="00533802"/>
    <w:rsid w:val="005340BA"/>
    <w:rsid w:val="0053411B"/>
    <w:rsid w:val="00534E21"/>
    <w:rsid w:val="00535390"/>
    <w:rsid w:val="00535739"/>
    <w:rsid w:val="005359CA"/>
    <w:rsid w:val="00535A2C"/>
    <w:rsid w:val="00535E65"/>
    <w:rsid w:val="00536D4F"/>
    <w:rsid w:val="00537077"/>
    <w:rsid w:val="005374B4"/>
    <w:rsid w:val="005375BB"/>
    <w:rsid w:val="005376EA"/>
    <w:rsid w:val="005377E6"/>
    <w:rsid w:val="00537905"/>
    <w:rsid w:val="00537D95"/>
    <w:rsid w:val="00537FE1"/>
    <w:rsid w:val="00540107"/>
    <w:rsid w:val="00540397"/>
    <w:rsid w:val="00540447"/>
    <w:rsid w:val="00540516"/>
    <w:rsid w:val="00540561"/>
    <w:rsid w:val="005406DF"/>
    <w:rsid w:val="00540D8E"/>
    <w:rsid w:val="005418AF"/>
    <w:rsid w:val="00541A5C"/>
    <w:rsid w:val="00541B1E"/>
    <w:rsid w:val="00541D3A"/>
    <w:rsid w:val="00543019"/>
    <w:rsid w:val="0054305B"/>
    <w:rsid w:val="00543195"/>
    <w:rsid w:val="00543487"/>
    <w:rsid w:val="00543884"/>
    <w:rsid w:val="00543CC1"/>
    <w:rsid w:val="00543CF4"/>
    <w:rsid w:val="00543EFB"/>
    <w:rsid w:val="005448F1"/>
    <w:rsid w:val="00544D6E"/>
    <w:rsid w:val="00545013"/>
    <w:rsid w:val="00545272"/>
    <w:rsid w:val="00545422"/>
    <w:rsid w:val="005454E3"/>
    <w:rsid w:val="0054650E"/>
    <w:rsid w:val="0054668E"/>
    <w:rsid w:val="00546E98"/>
    <w:rsid w:val="005474C5"/>
    <w:rsid w:val="0055003B"/>
    <w:rsid w:val="005506F9"/>
    <w:rsid w:val="005512D7"/>
    <w:rsid w:val="00551B66"/>
    <w:rsid w:val="00551E21"/>
    <w:rsid w:val="00552386"/>
    <w:rsid w:val="00552502"/>
    <w:rsid w:val="0055263A"/>
    <w:rsid w:val="00552838"/>
    <w:rsid w:val="00552BDF"/>
    <w:rsid w:val="00552BF3"/>
    <w:rsid w:val="00553218"/>
    <w:rsid w:val="005535C9"/>
    <w:rsid w:val="00553743"/>
    <w:rsid w:val="00553D27"/>
    <w:rsid w:val="00553DCC"/>
    <w:rsid w:val="00554622"/>
    <w:rsid w:val="00555590"/>
    <w:rsid w:val="005557D1"/>
    <w:rsid w:val="00555E1F"/>
    <w:rsid w:val="00556412"/>
    <w:rsid w:val="00556625"/>
    <w:rsid w:val="00556643"/>
    <w:rsid w:val="005566B2"/>
    <w:rsid w:val="00556D7D"/>
    <w:rsid w:val="00556F48"/>
    <w:rsid w:val="00557030"/>
    <w:rsid w:val="00557071"/>
    <w:rsid w:val="0055746D"/>
    <w:rsid w:val="00557B7C"/>
    <w:rsid w:val="00557BA0"/>
    <w:rsid w:val="00557F15"/>
    <w:rsid w:val="005601D9"/>
    <w:rsid w:val="00560872"/>
    <w:rsid w:val="00560CEC"/>
    <w:rsid w:val="00560DB6"/>
    <w:rsid w:val="00560EB8"/>
    <w:rsid w:val="0056151D"/>
    <w:rsid w:val="00561D75"/>
    <w:rsid w:val="005626FD"/>
    <w:rsid w:val="005639F0"/>
    <w:rsid w:val="005645A5"/>
    <w:rsid w:val="005646AA"/>
    <w:rsid w:val="005648A1"/>
    <w:rsid w:val="00564992"/>
    <w:rsid w:val="00564BAF"/>
    <w:rsid w:val="00564D1E"/>
    <w:rsid w:val="005650F1"/>
    <w:rsid w:val="0056522B"/>
    <w:rsid w:val="0056537F"/>
    <w:rsid w:val="00565528"/>
    <w:rsid w:val="00565E49"/>
    <w:rsid w:val="00565F7C"/>
    <w:rsid w:val="0056618B"/>
    <w:rsid w:val="0056675B"/>
    <w:rsid w:val="005669ED"/>
    <w:rsid w:val="00566BF6"/>
    <w:rsid w:val="00566F34"/>
    <w:rsid w:val="00567021"/>
    <w:rsid w:val="005675EB"/>
    <w:rsid w:val="005676C1"/>
    <w:rsid w:val="00567C33"/>
    <w:rsid w:val="00567FFE"/>
    <w:rsid w:val="00570076"/>
    <w:rsid w:val="0057029B"/>
    <w:rsid w:val="005704DD"/>
    <w:rsid w:val="005707C5"/>
    <w:rsid w:val="00570B39"/>
    <w:rsid w:val="00570DAF"/>
    <w:rsid w:val="00571044"/>
    <w:rsid w:val="005711BB"/>
    <w:rsid w:val="005711D5"/>
    <w:rsid w:val="00571375"/>
    <w:rsid w:val="00571B59"/>
    <w:rsid w:val="005720DA"/>
    <w:rsid w:val="00572795"/>
    <w:rsid w:val="00572846"/>
    <w:rsid w:val="00573198"/>
    <w:rsid w:val="00573764"/>
    <w:rsid w:val="005739CD"/>
    <w:rsid w:val="00573C33"/>
    <w:rsid w:val="00573D18"/>
    <w:rsid w:val="00573F80"/>
    <w:rsid w:val="00574057"/>
    <w:rsid w:val="00574169"/>
    <w:rsid w:val="00574337"/>
    <w:rsid w:val="00574508"/>
    <w:rsid w:val="005746FA"/>
    <w:rsid w:val="00574A2E"/>
    <w:rsid w:val="00574D91"/>
    <w:rsid w:val="00574E21"/>
    <w:rsid w:val="0057585F"/>
    <w:rsid w:val="00575CC3"/>
    <w:rsid w:val="00576063"/>
    <w:rsid w:val="00576356"/>
    <w:rsid w:val="0057642B"/>
    <w:rsid w:val="00576B85"/>
    <w:rsid w:val="00576E2C"/>
    <w:rsid w:val="0057702D"/>
    <w:rsid w:val="005772E2"/>
    <w:rsid w:val="00577442"/>
    <w:rsid w:val="0057761F"/>
    <w:rsid w:val="00580088"/>
    <w:rsid w:val="005803C6"/>
    <w:rsid w:val="005803C7"/>
    <w:rsid w:val="0058059B"/>
    <w:rsid w:val="00580727"/>
    <w:rsid w:val="00580972"/>
    <w:rsid w:val="00580C9F"/>
    <w:rsid w:val="00580DEB"/>
    <w:rsid w:val="005817F6"/>
    <w:rsid w:val="00581CE1"/>
    <w:rsid w:val="00581F5E"/>
    <w:rsid w:val="00582302"/>
    <w:rsid w:val="0058236A"/>
    <w:rsid w:val="00582B05"/>
    <w:rsid w:val="00582FF6"/>
    <w:rsid w:val="0058313B"/>
    <w:rsid w:val="0058340A"/>
    <w:rsid w:val="00583643"/>
    <w:rsid w:val="00583E36"/>
    <w:rsid w:val="00584060"/>
    <w:rsid w:val="0058433A"/>
    <w:rsid w:val="0058481D"/>
    <w:rsid w:val="005848EB"/>
    <w:rsid w:val="00584EA5"/>
    <w:rsid w:val="0058501D"/>
    <w:rsid w:val="00585A0B"/>
    <w:rsid w:val="0058602D"/>
    <w:rsid w:val="00586CCE"/>
    <w:rsid w:val="005870B4"/>
    <w:rsid w:val="0058715A"/>
    <w:rsid w:val="00587353"/>
    <w:rsid w:val="00587F39"/>
    <w:rsid w:val="00590038"/>
    <w:rsid w:val="005903AA"/>
    <w:rsid w:val="00590433"/>
    <w:rsid w:val="0059095C"/>
    <w:rsid w:val="005910BD"/>
    <w:rsid w:val="0059145F"/>
    <w:rsid w:val="00591562"/>
    <w:rsid w:val="00591794"/>
    <w:rsid w:val="00592022"/>
    <w:rsid w:val="00592B09"/>
    <w:rsid w:val="00592B71"/>
    <w:rsid w:val="00592CF3"/>
    <w:rsid w:val="00592D2D"/>
    <w:rsid w:val="00592E7B"/>
    <w:rsid w:val="00593358"/>
    <w:rsid w:val="0059369E"/>
    <w:rsid w:val="00593F8F"/>
    <w:rsid w:val="00594296"/>
    <w:rsid w:val="0059454B"/>
    <w:rsid w:val="00594AE1"/>
    <w:rsid w:val="00594C5F"/>
    <w:rsid w:val="00594E5E"/>
    <w:rsid w:val="00594F2C"/>
    <w:rsid w:val="00595E29"/>
    <w:rsid w:val="00596758"/>
    <w:rsid w:val="00596A85"/>
    <w:rsid w:val="00596BEA"/>
    <w:rsid w:val="00596E93"/>
    <w:rsid w:val="00597310"/>
    <w:rsid w:val="005974DB"/>
    <w:rsid w:val="005A03CA"/>
    <w:rsid w:val="005A03CC"/>
    <w:rsid w:val="005A044C"/>
    <w:rsid w:val="005A06E1"/>
    <w:rsid w:val="005A09D7"/>
    <w:rsid w:val="005A0D5D"/>
    <w:rsid w:val="005A102C"/>
    <w:rsid w:val="005A1105"/>
    <w:rsid w:val="005A15E6"/>
    <w:rsid w:val="005A1643"/>
    <w:rsid w:val="005A1692"/>
    <w:rsid w:val="005A1F73"/>
    <w:rsid w:val="005A207C"/>
    <w:rsid w:val="005A23EA"/>
    <w:rsid w:val="005A25CD"/>
    <w:rsid w:val="005A273D"/>
    <w:rsid w:val="005A30A0"/>
    <w:rsid w:val="005A3920"/>
    <w:rsid w:val="005A3923"/>
    <w:rsid w:val="005A3CF8"/>
    <w:rsid w:val="005A3FBA"/>
    <w:rsid w:val="005A40C3"/>
    <w:rsid w:val="005A4122"/>
    <w:rsid w:val="005A448F"/>
    <w:rsid w:val="005A44D3"/>
    <w:rsid w:val="005A4B54"/>
    <w:rsid w:val="005A5157"/>
    <w:rsid w:val="005A562D"/>
    <w:rsid w:val="005A5783"/>
    <w:rsid w:val="005A5E7C"/>
    <w:rsid w:val="005A5EF8"/>
    <w:rsid w:val="005A6275"/>
    <w:rsid w:val="005A67C0"/>
    <w:rsid w:val="005A6953"/>
    <w:rsid w:val="005A6A5E"/>
    <w:rsid w:val="005A7279"/>
    <w:rsid w:val="005A7333"/>
    <w:rsid w:val="005A7F8C"/>
    <w:rsid w:val="005B029D"/>
    <w:rsid w:val="005B03D8"/>
    <w:rsid w:val="005B0446"/>
    <w:rsid w:val="005B0659"/>
    <w:rsid w:val="005B0B2F"/>
    <w:rsid w:val="005B0D12"/>
    <w:rsid w:val="005B0D86"/>
    <w:rsid w:val="005B170A"/>
    <w:rsid w:val="005B18EE"/>
    <w:rsid w:val="005B1D61"/>
    <w:rsid w:val="005B1DA3"/>
    <w:rsid w:val="005B217D"/>
    <w:rsid w:val="005B222D"/>
    <w:rsid w:val="005B2B16"/>
    <w:rsid w:val="005B2E3E"/>
    <w:rsid w:val="005B30EA"/>
    <w:rsid w:val="005B31B9"/>
    <w:rsid w:val="005B344E"/>
    <w:rsid w:val="005B352E"/>
    <w:rsid w:val="005B368E"/>
    <w:rsid w:val="005B3EC5"/>
    <w:rsid w:val="005B3F04"/>
    <w:rsid w:val="005B4446"/>
    <w:rsid w:val="005B44BA"/>
    <w:rsid w:val="005B45F4"/>
    <w:rsid w:val="005B4779"/>
    <w:rsid w:val="005B5025"/>
    <w:rsid w:val="005B59AC"/>
    <w:rsid w:val="005B59ED"/>
    <w:rsid w:val="005B5EC6"/>
    <w:rsid w:val="005B6816"/>
    <w:rsid w:val="005B6A64"/>
    <w:rsid w:val="005B7086"/>
    <w:rsid w:val="005B7150"/>
    <w:rsid w:val="005B72A1"/>
    <w:rsid w:val="005B7951"/>
    <w:rsid w:val="005B7A50"/>
    <w:rsid w:val="005B7A61"/>
    <w:rsid w:val="005B7ADB"/>
    <w:rsid w:val="005B7BAA"/>
    <w:rsid w:val="005C00DD"/>
    <w:rsid w:val="005C03A6"/>
    <w:rsid w:val="005C03E1"/>
    <w:rsid w:val="005C0664"/>
    <w:rsid w:val="005C099C"/>
    <w:rsid w:val="005C0EC7"/>
    <w:rsid w:val="005C1634"/>
    <w:rsid w:val="005C16BA"/>
    <w:rsid w:val="005C18A5"/>
    <w:rsid w:val="005C1EF7"/>
    <w:rsid w:val="005C244A"/>
    <w:rsid w:val="005C25F0"/>
    <w:rsid w:val="005C2AE2"/>
    <w:rsid w:val="005C2AE7"/>
    <w:rsid w:val="005C2EF4"/>
    <w:rsid w:val="005C35B5"/>
    <w:rsid w:val="005C37EB"/>
    <w:rsid w:val="005C39F7"/>
    <w:rsid w:val="005C3A3C"/>
    <w:rsid w:val="005C4445"/>
    <w:rsid w:val="005C456D"/>
    <w:rsid w:val="005C4BFE"/>
    <w:rsid w:val="005C4F01"/>
    <w:rsid w:val="005C4FE9"/>
    <w:rsid w:val="005C5F55"/>
    <w:rsid w:val="005C5FBB"/>
    <w:rsid w:val="005C609C"/>
    <w:rsid w:val="005C63CC"/>
    <w:rsid w:val="005C6718"/>
    <w:rsid w:val="005C6738"/>
    <w:rsid w:val="005C676D"/>
    <w:rsid w:val="005C6B24"/>
    <w:rsid w:val="005C6B50"/>
    <w:rsid w:val="005C6C96"/>
    <w:rsid w:val="005C6E4D"/>
    <w:rsid w:val="005C700F"/>
    <w:rsid w:val="005C73D4"/>
    <w:rsid w:val="005C7488"/>
    <w:rsid w:val="005C78A8"/>
    <w:rsid w:val="005C78AF"/>
    <w:rsid w:val="005C79BE"/>
    <w:rsid w:val="005C7A75"/>
    <w:rsid w:val="005D005D"/>
    <w:rsid w:val="005D01BA"/>
    <w:rsid w:val="005D023D"/>
    <w:rsid w:val="005D05ED"/>
    <w:rsid w:val="005D06F9"/>
    <w:rsid w:val="005D0F4B"/>
    <w:rsid w:val="005D1050"/>
    <w:rsid w:val="005D1246"/>
    <w:rsid w:val="005D15E7"/>
    <w:rsid w:val="005D1890"/>
    <w:rsid w:val="005D18EE"/>
    <w:rsid w:val="005D2A9A"/>
    <w:rsid w:val="005D306D"/>
    <w:rsid w:val="005D317A"/>
    <w:rsid w:val="005D45E9"/>
    <w:rsid w:val="005D4743"/>
    <w:rsid w:val="005D4868"/>
    <w:rsid w:val="005D4A40"/>
    <w:rsid w:val="005D4AB8"/>
    <w:rsid w:val="005D4F1F"/>
    <w:rsid w:val="005D535F"/>
    <w:rsid w:val="005D536F"/>
    <w:rsid w:val="005D5878"/>
    <w:rsid w:val="005D58B1"/>
    <w:rsid w:val="005D5B95"/>
    <w:rsid w:val="005D5F22"/>
    <w:rsid w:val="005D629A"/>
    <w:rsid w:val="005D691B"/>
    <w:rsid w:val="005D773C"/>
    <w:rsid w:val="005D7A43"/>
    <w:rsid w:val="005D7C9B"/>
    <w:rsid w:val="005D7D78"/>
    <w:rsid w:val="005E014A"/>
    <w:rsid w:val="005E0B93"/>
    <w:rsid w:val="005E1136"/>
    <w:rsid w:val="005E191E"/>
    <w:rsid w:val="005E1C8C"/>
    <w:rsid w:val="005E1F0B"/>
    <w:rsid w:val="005E1F39"/>
    <w:rsid w:val="005E2828"/>
    <w:rsid w:val="005E2EAE"/>
    <w:rsid w:val="005E3130"/>
    <w:rsid w:val="005E316A"/>
    <w:rsid w:val="005E354C"/>
    <w:rsid w:val="005E378C"/>
    <w:rsid w:val="005E3B0A"/>
    <w:rsid w:val="005E3DAA"/>
    <w:rsid w:val="005E3DCE"/>
    <w:rsid w:val="005E442E"/>
    <w:rsid w:val="005E447A"/>
    <w:rsid w:val="005E4531"/>
    <w:rsid w:val="005E4AF0"/>
    <w:rsid w:val="005E4B07"/>
    <w:rsid w:val="005E4DD9"/>
    <w:rsid w:val="005E4DDE"/>
    <w:rsid w:val="005E501B"/>
    <w:rsid w:val="005E5750"/>
    <w:rsid w:val="005E676E"/>
    <w:rsid w:val="005E6895"/>
    <w:rsid w:val="005E6E2C"/>
    <w:rsid w:val="005E6F9F"/>
    <w:rsid w:val="005E721C"/>
    <w:rsid w:val="005E7744"/>
    <w:rsid w:val="005E7BF5"/>
    <w:rsid w:val="005F108F"/>
    <w:rsid w:val="005F2451"/>
    <w:rsid w:val="005F2977"/>
    <w:rsid w:val="005F2EC8"/>
    <w:rsid w:val="005F30F3"/>
    <w:rsid w:val="005F3DA9"/>
    <w:rsid w:val="005F3F44"/>
    <w:rsid w:val="005F41C7"/>
    <w:rsid w:val="005F46AD"/>
    <w:rsid w:val="005F56A0"/>
    <w:rsid w:val="005F5D88"/>
    <w:rsid w:val="005F6485"/>
    <w:rsid w:val="005F6492"/>
    <w:rsid w:val="005F6544"/>
    <w:rsid w:val="005F65DA"/>
    <w:rsid w:val="005F695F"/>
    <w:rsid w:val="005F69A0"/>
    <w:rsid w:val="005F6C9D"/>
    <w:rsid w:val="005F6D58"/>
    <w:rsid w:val="005F7065"/>
    <w:rsid w:val="005F720F"/>
    <w:rsid w:val="005F798C"/>
    <w:rsid w:val="00600256"/>
    <w:rsid w:val="00600443"/>
    <w:rsid w:val="00600514"/>
    <w:rsid w:val="0060062E"/>
    <w:rsid w:val="006009C6"/>
    <w:rsid w:val="00600C1D"/>
    <w:rsid w:val="0060188E"/>
    <w:rsid w:val="0060192A"/>
    <w:rsid w:val="00603059"/>
    <w:rsid w:val="006032EC"/>
    <w:rsid w:val="00603B12"/>
    <w:rsid w:val="00603CE3"/>
    <w:rsid w:val="00604484"/>
    <w:rsid w:val="00604503"/>
    <w:rsid w:val="00604802"/>
    <w:rsid w:val="00604856"/>
    <w:rsid w:val="006048D0"/>
    <w:rsid w:val="00604ACA"/>
    <w:rsid w:val="00605019"/>
    <w:rsid w:val="006050D7"/>
    <w:rsid w:val="0060591D"/>
    <w:rsid w:val="00605B24"/>
    <w:rsid w:val="00605E1F"/>
    <w:rsid w:val="00605F0C"/>
    <w:rsid w:val="0060610C"/>
    <w:rsid w:val="006062E0"/>
    <w:rsid w:val="0060675C"/>
    <w:rsid w:val="00606E9E"/>
    <w:rsid w:val="00606F36"/>
    <w:rsid w:val="00607246"/>
    <w:rsid w:val="006072D0"/>
    <w:rsid w:val="006074B8"/>
    <w:rsid w:val="0060798A"/>
    <w:rsid w:val="00607A5F"/>
    <w:rsid w:val="00607B3A"/>
    <w:rsid w:val="00607B5E"/>
    <w:rsid w:val="00607B92"/>
    <w:rsid w:val="0061023D"/>
    <w:rsid w:val="006105BD"/>
    <w:rsid w:val="00610813"/>
    <w:rsid w:val="006109D4"/>
    <w:rsid w:val="00610FD0"/>
    <w:rsid w:val="006113F4"/>
    <w:rsid w:val="00611A88"/>
    <w:rsid w:val="00611ACE"/>
    <w:rsid w:val="00611DB0"/>
    <w:rsid w:val="00611F19"/>
    <w:rsid w:val="00612147"/>
    <w:rsid w:val="0061237C"/>
    <w:rsid w:val="00612DB1"/>
    <w:rsid w:val="00612F8D"/>
    <w:rsid w:val="006131E3"/>
    <w:rsid w:val="006133F9"/>
    <w:rsid w:val="00613B6D"/>
    <w:rsid w:val="00613D57"/>
    <w:rsid w:val="00613E8F"/>
    <w:rsid w:val="00614077"/>
    <w:rsid w:val="006146E0"/>
    <w:rsid w:val="0061473E"/>
    <w:rsid w:val="0061566F"/>
    <w:rsid w:val="00615A6E"/>
    <w:rsid w:val="00615C0F"/>
    <w:rsid w:val="006160C9"/>
    <w:rsid w:val="006161CD"/>
    <w:rsid w:val="00616A6F"/>
    <w:rsid w:val="00616B3A"/>
    <w:rsid w:val="0061749E"/>
    <w:rsid w:val="00617566"/>
    <w:rsid w:val="006175C6"/>
    <w:rsid w:val="00617619"/>
    <w:rsid w:val="00617CED"/>
    <w:rsid w:val="00617DB5"/>
    <w:rsid w:val="00620297"/>
    <w:rsid w:val="0062099C"/>
    <w:rsid w:val="00620A6E"/>
    <w:rsid w:val="00621192"/>
    <w:rsid w:val="006218FF"/>
    <w:rsid w:val="00621C92"/>
    <w:rsid w:val="00622278"/>
    <w:rsid w:val="006226E4"/>
    <w:rsid w:val="00622849"/>
    <w:rsid w:val="00622AC1"/>
    <w:rsid w:val="00622DAE"/>
    <w:rsid w:val="006233B2"/>
    <w:rsid w:val="006237C4"/>
    <w:rsid w:val="00623BC3"/>
    <w:rsid w:val="00624048"/>
    <w:rsid w:val="0062468E"/>
    <w:rsid w:val="00625275"/>
    <w:rsid w:val="00625487"/>
    <w:rsid w:val="00625B04"/>
    <w:rsid w:val="006269F4"/>
    <w:rsid w:val="00626E83"/>
    <w:rsid w:val="006274A3"/>
    <w:rsid w:val="006279E6"/>
    <w:rsid w:val="00627F93"/>
    <w:rsid w:val="006300E2"/>
    <w:rsid w:val="006307D4"/>
    <w:rsid w:val="00630A29"/>
    <w:rsid w:val="006312C0"/>
    <w:rsid w:val="00631573"/>
    <w:rsid w:val="00631822"/>
    <w:rsid w:val="00631827"/>
    <w:rsid w:val="00631B8B"/>
    <w:rsid w:val="00631CD0"/>
    <w:rsid w:val="00631E16"/>
    <w:rsid w:val="006323FC"/>
    <w:rsid w:val="00632646"/>
    <w:rsid w:val="0063271B"/>
    <w:rsid w:val="00632EBA"/>
    <w:rsid w:val="006336B0"/>
    <w:rsid w:val="0063394E"/>
    <w:rsid w:val="00633CFA"/>
    <w:rsid w:val="00633EA9"/>
    <w:rsid w:val="00634451"/>
    <w:rsid w:val="006345B8"/>
    <w:rsid w:val="0063465F"/>
    <w:rsid w:val="00634A62"/>
    <w:rsid w:val="00634B4B"/>
    <w:rsid w:val="00635060"/>
    <w:rsid w:val="006350EC"/>
    <w:rsid w:val="0063514B"/>
    <w:rsid w:val="0063548A"/>
    <w:rsid w:val="006354D0"/>
    <w:rsid w:val="00635652"/>
    <w:rsid w:val="00635A5F"/>
    <w:rsid w:val="00635BAF"/>
    <w:rsid w:val="00635E3D"/>
    <w:rsid w:val="00635E4A"/>
    <w:rsid w:val="00636388"/>
    <w:rsid w:val="006364C7"/>
    <w:rsid w:val="00636AA9"/>
    <w:rsid w:val="00636C44"/>
    <w:rsid w:val="00637812"/>
    <w:rsid w:val="00637A44"/>
    <w:rsid w:val="0064019D"/>
    <w:rsid w:val="00640452"/>
    <w:rsid w:val="00640527"/>
    <w:rsid w:val="00640686"/>
    <w:rsid w:val="00640AC7"/>
    <w:rsid w:val="00640D8B"/>
    <w:rsid w:val="00640E35"/>
    <w:rsid w:val="00640EF6"/>
    <w:rsid w:val="00641201"/>
    <w:rsid w:val="00641232"/>
    <w:rsid w:val="006415D2"/>
    <w:rsid w:val="00641A4A"/>
    <w:rsid w:val="00641DA6"/>
    <w:rsid w:val="00641E69"/>
    <w:rsid w:val="00641F04"/>
    <w:rsid w:val="00641F8A"/>
    <w:rsid w:val="00642340"/>
    <w:rsid w:val="0064279F"/>
    <w:rsid w:val="00642A4B"/>
    <w:rsid w:val="00642C2B"/>
    <w:rsid w:val="00642FB7"/>
    <w:rsid w:val="006439C9"/>
    <w:rsid w:val="00643A77"/>
    <w:rsid w:val="00643E79"/>
    <w:rsid w:val="006441BF"/>
    <w:rsid w:val="00644511"/>
    <w:rsid w:val="0064465C"/>
    <w:rsid w:val="006446AA"/>
    <w:rsid w:val="00645843"/>
    <w:rsid w:val="0064587C"/>
    <w:rsid w:val="00645AF1"/>
    <w:rsid w:val="00645DD6"/>
    <w:rsid w:val="00646396"/>
    <w:rsid w:val="006464C9"/>
    <w:rsid w:val="00646500"/>
    <w:rsid w:val="00646BE6"/>
    <w:rsid w:val="00646D42"/>
    <w:rsid w:val="00646E08"/>
    <w:rsid w:val="006472D3"/>
    <w:rsid w:val="00647496"/>
    <w:rsid w:val="00647725"/>
    <w:rsid w:val="00647736"/>
    <w:rsid w:val="006477C0"/>
    <w:rsid w:val="00647F0D"/>
    <w:rsid w:val="00647F6C"/>
    <w:rsid w:val="00650020"/>
    <w:rsid w:val="00650163"/>
    <w:rsid w:val="00650904"/>
    <w:rsid w:val="00650C40"/>
    <w:rsid w:val="006510B3"/>
    <w:rsid w:val="006510B7"/>
    <w:rsid w:val="006515EE"/>
    <w:rsid w:val="00651951"/>
    <w:rsid w:val="00651A73"/>
    <w:rsid w:val="00651F83"/>
    <w:rsid w:val="00652C9F"/>
    <w:rsid w:val="0065302A"/>
    <w:rsid w:val="00653893"/>
    <w:rsid w:val="00653D6E"/>
    <w:rsid w:val="00654181"/>
    <w:rsid w:val="00654A2B"/>
    <w:rsid w:val="00654DC1"/>
    <w:rsid w:val="00654F58"/>
    <w:rsid w:val="00655023"/>
    <w:rsid w:val="006552C4"/>
    <w:rsid w:val="00655550"/>
    <w:rsid w:val="00655B25"/>
    <w:rsid w:val="00655E7C"/>
    <w:rsid w:val="0065609C"/>
    <w:rsid w:val="006562F5"/>
    <w:rsid w:val="0065666B"/>
    <w:rsid w:val="00656C48"/>
    <w:rsid w:val="00656CEA"/>
    <w:rsid w:val="006570F8"/>
    <w:rsid w:val="00657100"/>
    <w:rsid w:val="0065715C"/>
    <w:rsid w:val="0065719D"/>
    <w:rsid w:val="00657338"/>
    <w:rsid w:val="00660890"/>
    <w:rsid w:val="00660ADB"/>
    <w:rsid w:val="006611E1"/>
    <w:rsid w:val="006611F6"/>
    <w:rsid w:val="0066173B"/>
    <w:rsid w:val="0066178A"/>
    <w:rsid w:val="00661B08"/>
    <w:rsid w:val="00661CE4"/>
    <w:rsid w:val="00662352"/>
    <w:rsid w:val="0066255C"/>
    <w:rsid w:val="00662584"/>
    <w:rsid w:val="00662A2B"/>
    <w:rsid w:val="00662ABA"/>
    <w:rsid w:val="00662BB9"/>
    <w:rsid w:val="00662C28"/>
    <w:rsid w:val="0066317A"/>
    <w:rsid w:val="00663294"/>
    <w:rsid w:val="00664282"/>
    <w:rsid w:val="006643C4"/>
    <w:rsid w:val="00664912"/>
    <w:rsid w:val="00664EAF"/>
    <w:rsid w:val="00665086"/>
    <w:rsid w:val="0066544F"/>
    <w:rsid w:val="0066548A"/>
    <w:rsid w:val="0066572C"/>
    <w:rsid w:val="00665892"/>
    <w:rsid w:val="00665A11"/>
    <w:rsid w:val="00665A2B"/>
    <w:rsid w:val="00665AE8"/>
    <w:rsid w:val="00666901"/>
    <w:rsid w:val="00667532"/>
    <w:rsid w:val="0066778A"/>
    <w:rsid w:val="006703D2"/>
    <w:rsid w:val="00670485"/>
    <w:rsid w:val="006709A2"/>
    <w:rsid w:val="00670D81"/>
    <w:rsid w:val="0067167C"/>
    <w:rsid w:val="006720AD"/>
    <w:rsid w:val="0067212E"/>
    <w:rsid w:val="00672525"/>
    <w:rsid w:val="00672557"/>
    <w:rsid w:val="006728DD"/>
    <w:rsid w:val="00672FA4"/>
    <w:rsid w:val="006734C9"/>
    <w:rsid w:val="006734E6"/>
    <w:rsid w:val="0067355E"/>
    <w:rsid w:val="00673A63"/>
    <w:rsid w:val="00673C95"/>
    <w:rsid w:val="00674051"/>
    <w:rsid w:val="00674902"/>
    <w:rsid w:val="006752FB"/>
    <w:rsid w:val="006753B3"/>
    <w:rsid w:val="00675661"/>
    <w:rsid w:val="00675820"/>
    <w:rsid w:val="00675C5D"/>
    <w:rsid w:val="00675D4E"/>
    <w:rsid w:val="00675FE7"/>
    <w:rsid w:val="00675FF3"/>
    <w:rsid w:val="00676219"/>
    <w:rsid w:val="00676483"/>
    <w:rsid w:val="006766B4"/>
    <w:rsid w:val="006772D2"/>
    <w:rsid w:val="006772E8"/>
    <w:rsid w:val="0067731B"/>
    <w:rsid w:val="00677473"/>
    <w:rsid w:val="00677B37"/>
    <w:rsid w:val="00677E8F"/>
    <w:rsid w:val="00680302"/>
    <w:rsid w:val="00680A8E"/>
    <w:rsid w:val="0068145F"/>
    <w:rsid w:val="00681B89"/>
    <w:rsid w:val="00682800"/>
    <w:rsid w:val="00682AA7"/>
    <w:rsid w:val="0068312A"/>
    <w:rsid w:val="0068314D"/>
    <w:rsid w:val="0068324F"/>
    <w:rsid w:val="006839F0"/>
    <w:rsid w:val="00683C3B"/>
    <w:rsid w:val="00684109"/>
    <w:rsid w:val="0068480E"/>
    <w:rsid w:val="00684A97"/>
    <w:rsid w:val="00684FC6"/>
    <w:rsid w:val="006850B5"/>
    <w:rsid w:val="006850CE"/>
    <w:rsid w:val="006851F6"/>
    <w:rsid w:val="00685450"/>
    <w:rsid w:val="006857A7"/>
    <w:rsid w:val="00685E0A"/>
    <w:rsid w:val="00685E7A"/>
    <w:rsid w:val="00685F78"/>
    <w:rsid w:val="00685F88"/>
    <w:rsid w:val="00686B0D"/>
    <w:rsid w:val="00686CFE"/>
    <w:rsid w:val="0068758B"/>
    <w:rsid w:val="00687809"/>
    <w:rsid w:val="00687D63"/>
    <w:rsid w:val="00687DA8"/>
    <w:rsid w:val="00690BA5"/>
    <w:rsid w:val="00690FE0"/>
    <w:rsid w:val="006910B6"/>
    <w:rsid w:val="0069124E"/>
    <w:rsid w:val="00691592"/>
    <w:rsid w:val="0069166A"/>
    <w:rsid w:val="00691B0F"/>
    <w:rsid w:val="00691B7D"/>
    <w:rsid w:val="00691BD1"/>
    <w:rsid w:val="00691E0B"/>
    <w:rsid w:val="00691F93"/>
    <w:rsid w:val="00692011"/>
    <w:rsid w:val="006923FA"/>
    <w:rsid w:val="006928D7"/>
    <w:rsid w:val="00692E0D"/>
    <w:rsid w:val="00692ECF"/>
    <w:rsid w:val="00692F0B"/>
    <w:rsid w:val="00693322"/>
    <w:rsid w:val="00693357"/>
    <w:rsid w:val="00693697"/>
    <w:rsid w:val="00693B27"/>
    <w:rsid w:val="00693F27"/>
    <w:rsid w:val="00694248"/>
    <w:rsid w:val="00694A4C"/>
    <w:rsid w:val="006950C9"/>
    <w:rsid w:val="00695CD4"/>
    <w:rsid w:val="00695EEA"/>
    <w:rsid w:val="00696315"/>
    <w:rsid w:val="00696AFE"/>
    <w:rsid w:val="00696FAC"/>
    <w:rsid w:val="00697063"/>
    <w:rsid w:val="00697470"/>
    <w:rsid w:val="006976DB"/>
    <w:rsid w:val="006979FF"/>
    <w:rsid w:val="00697C74"/>
    <w:rsid w:val="006A01D8"/>
    <w:rsid w:val="006A044E"/>
    <w:rsid w:val="006A0B44"/>
    <w:rsid w:val="006A0D60"/>
    <w:rsid w:val="006A0ED3"/>
    <w:rsid w:val="006A1894"/>
    <w:rsid w:val="006A1BD4"/>
    <w:rsid w:val="006A1BEE"/>
    <w:rsid w:val="006A1E46"/>
    <w:rsid w:val="006A2177"/>
    <w:rsid w:val="006A25FD"/>
    <w:rsid w:val="006A3463"/>
    <w:rsid w:val="006A3487"/>
    <w:rsid w:val="006A405F"/>
    <w:rsid w:val="006A407F"/>
    <w:rsid w:val="006A4327"/>
    <w:rsid w:val="006A4721"/>
    <w:rsid w:val="006A486F"/>
    <w:rsid w:val="006A4DA1"/>
    <w:rsid w:val="006A4FA5"/>
    <w:rsid w:val="006A51EE"/>
    <w:rsid w:val="006A554B"/>
    <w:rsid w:val="006A5C47"/>
    <w:rsid w:val="006A5DB2"/>
    <w:rsid w:val="006A5E19"/>
    <w:rsid w:val="006A6669"/>
    <w:rsid w:val="006A66AB"/>
    <w:rsid w:val="006A6D35"/>
    <w:rsid w:val="006A73AF"/>
    <w:rsid w:val="006A76C6"/>
    <w:rsid w:val="006A7967"/>
    <w:rsid w:val="006B000C"/>
    <w:rsid w:val="006B05F1"/>
    <w:rsid w:val="006B081F"/>
    <w:rsid w:val="006B08FC"/>
    <w:rsid w:val="006B0ABA"/>
    <w:rsid w:val="006B10AB"/>
    <w:rsid w:val="006B125A"/>
    <w:rsid w:val="006B159C"/>
    <w:rsid w:val="006B16BD"/>
    <w:rsid w:val="006B186B"/>
    <w:rsid w:val="006B1AA5"/>
    <w:rsid w:val="006B1CAC"/>
    <w:rsid w:val="006B1D85"/>
    <w:rsid w:val="006B1EB5"/>
    <w:rsid w:val="006B2735"/>
    <w:rsid w:val="006B2907"/>
    <w:rsid w:val="006B2C7A"/>
    <w:rsid w:val="006B2D36"/>
    <w:rsid w:val="006B2FA0"/>
    <w:rsid w:val="006B322C"/>
    <w:rsid w:val="006B3477"/>
    <w:rsid w:val="006B365A"/>
    <w:rsid w:val="006B37FD"/>
    <w:rsid w:val="006B3E12"/>
    <w:rsid w:val="006B415C"/>
    <w:rsid w:val="006B4A5F"/>
    <w:rsid w:val="006B4F8C"/>
    <w:rsid w:val="006B4FA2"/>
    <w:rsid w:val="006B56AF"/>
    <w:rsid w:val="006B5F72"/>
    <w:rsid w:val="006B622C"/>
    <w:rsid w:val="006B634F"/>
    <w:rsid w:val="006B67BC"/>
    <w:rsid w:val="006B67C2"/>
    <w:rsid w:val="006B6802"/>
    <w:rsid w:val="006B6B36"/>
    <w:rsid w:val="006B7042"/>
    <w:rsid w:val="006B7443"/>
    <w:rsid w:val="006B74A2"/>
    <w:rsid w:val="006B7585"/>
    <w:rsid w:val="006B7726"/>
    <w:rsid w:val="006B785B"/>
    <w:rsid w:val="006B794A"/>
    <w:rsid w:val="006B7DBF"/>
    <w:rsid w:val="006B7EF7"/>
    <w:rsid w:val="006C031C"/>
    <w:rsid w:val="006C0AE6"/>
    <w:rsid w:val="006C1924"/>
    <w:rsid w:val="006C1A7C"/>
    <w:rsid w:val="006C1B57"/>
    <w:rsid w:val="006C1C04"/>
    <w:rsid w:val="006C1FF9"/>
    <w:rsid w:val="006C22CE"/>
    <w:rsid w:val="006C290A"/>
    <w:rsid w:val="006C2FE0"/>
    <w:rsid w:val="006C304B"/>
    <w:rsid w:val="006C34B4"/>
    <w:rsid w:val="006C3524"/>
    <w:rsid w:val="006C44A0"/>
    <w:rsid w:val="006C51E8"/>
    <w:rsid w:val="006C5237"/>
    <w:rsid w:val="006C5487"/>
    <w:rsid w:val="006C5665"/>
    <w:rsid w:val="006C61C2"/>
    <w:rsid w:val="006C6608"/>
    <w:rsid w:val="006C682A"/>
    <w:rsid w:val="006C6E90"/>
    <w:rsid w:val="006C7126"/>
    <w:rsid w:val="006C7775"/>
    <w:rsid w:val="006C79A4"/>
    <w:rsid w:val="006C7B1B"/>
    <w:rsid w:val="006C7BF6"/>
    <w:rsid w:val="006D01ED"/>
    <w:rsid w:val="006D0643"/>
    <w:rsid w:val="006D0BDD"/>
    <w:rsid w:val="006D0CE3"/>
    <w:rsid w:val="006D121E"/>
    <w:rsid w:val="006D1291"/>
    <w:rsid w:val="006D2844"/>
    <w:rsid w:val="006D2F6F"/>
    <w:rsid w:val="006D3197"/>
    <w:rsid w:val="006D3349"/>
    <w:rsid w:val="006D33AE"/>
    <w:rsid w:val="006D34D8"/>
    <w:rsid w:val="006D375D"/>
    <w:rsid w:val="006D3D8C"/>
    <w:rsid w:val="006D3DA7"/>
    <w:rsid w:val="006D3E54"/>
    <w:rsid w:val="006D4172"/>
    <w:rsid w:val="006D481F"/>
    <w:rsid w:val="006D4B13"/>
    <w:rsid w:val="006D58B5"/>
    <w:rsid w:val="006D5AB4"/>
    <w:rsid w:val="006D5D1B"/>
    <w:rsid w:val="006D61F2"/>
    <w:rsid w:val="006D6339"/>
    <w:rsid w:val="006D6496"/>
    <w:rsid w:val="006D6601"/>
    <w:rsid w:val="006D6867"/>
    <w:rsid w:val="006D6B67"/>
    <w:rsid w:val="006D6D42"/>
    <w:rsid w:val="006D6F84"/>
    <w:rsid w:val="006D722C"/>
    <w:rsid w:val="006D7405"/>
    <w:rsid w:val="006E0A82"/>
    <w:rsid w:val="006E0FC0"/>
    <w:rsid w:val="006E1298"/>
    <w:rsid w:val="006E17BE"/>
    <w:rsid w:val="006E1A98"/>
    <w:rsid w:val="006E204C"/>
    <w:rsid w:val="006E236B"/>
    <w:rsid w:val="006E2450"/>
    <w:rsid w:val="006E295A"/>
    <w:rsid w:val="006E2A84"/>
    <w:rsid w:val="006E3E46"/>
    <w:rsid w:val="006E4162"/>
    <w:rsid w:val="006E41EA"/>
    <w:rsid w:val="006E45D0"/>
    <w:rsid w:val="006E4882"/>
    <w:rsid w:val="006E4D10"/>
    <w:rsid w:val="006E4EDD"/>
    <w:rsid w:val="006E4FC1"/>
    <w:rsid w:val="006E50B0"/>
    <w:rsid w:val="006E5129"/>
    <w:rsid w:val="006E563A"/>
    <w:rsid w:val="006E579D"/>
    <w:rsid w:val="006E6809"/>
    <w:rsid w:val="006E6D92"/>
    <w:rsid w:val="006E6DCE"/>
    <w:rsid w:val="006E6F4B"/>
    <w:rsid w:val="006E7064"/>
    <w:rsid w:val="006E7279"/>
    <w:rsid w:val="006E77E0"/>
    <w:rsid w:val="006E7DBD"/>
    <w:rsid w:val="006F026E"/>
    <w:rsid w:val="006F08C2"/>
    <w:rsid w:val="006F0C3C"/>
    <w:rsid w:val="006F0CC7"/>
    <w:rsid w:val="006F1047"/>
    <w:rsid w:val="006F1120"/>
    <w:rsid w:val="006F1223"/>
    <w:rsid w:val="006F162F"/>
    <w:rsid w:val="006F1740"/>
    <w:rsid w:val="006F1879"/>
    <w:rsid w:val="006F1B26"/>
    <w:rsid w:val="006F1BC0"/>
    <w:rsid w:val="006F1DED"/>
    <w:rsid w:val="006F1F3E"/>
    <w:rsid w:val="006F2209"/>
    <w:rsid w:val="006F2B1F"/>
    <w:rsid w:val="006F3224"/>
    <w:rsid w:val="006F40F7"/>
    <w:rsid w:val="006F4108"/>
    <w:rsid w:val="006F4257"/>
    <w:rsid w:val="006F4DBC"/>
    <w:rsid w:val="006F5068"/>
    <w:rsid w:val="006F519D"/>
    <w:rsid w:val="006F5657"/>
    <w:rsid w:val="006F5B24"/>
    <w:rsid w:val="006F5DA5"/>
    <w:rsid w:val="006F5E92"/>
    <w:rsid w:val="006F6262"/>
    <w:rsid w:val="006F6604"/>
    <w:rsid w:val="006F66DD"/>
    <w:rsid w:val="006F6761"/>
    <w:rsid w:val="006F6BBE"/>
    <w:rsid w:val="006F6CFA"/>
    <w:rsid w:val="006F6D1B"/>
    <w:rsid w:val="006F799F"/>
    <w:rsid w:val="006F7CDE"/>
    <w:rsid w:val="007009ED"/>
    <w:rsid w:val="007014C9"/>
    <w:rsid w:val="007016F9"/>
    <w:rsid w:val="00701D03"/>
    <w:rsid w:val="00702488"/>
    <w:rsid w:val="0070298C"/>
    <w:rsid w:val="00702C38"/>
    <w:rsid w:val="00702D99"/>
    <w:rsid w:val="00703367"/>
    <w:rsid w:val="00703809"/>
    <w:rsid w:val="007038A0"/>
    <w:rsid w:val="00703C59"/>
    <w:rsid w:val="00703E17"/>
    <w:rsid w:val="00704CED"/>
    <w:rsid w:val="00704FBB"/>
    <w:rsid w:val="007056B1"/>
    <w:rsid w:val="00705812"/>
    <w:rsid w:val="00706019"/>
    <w:rsid w:val="007061C9"/>
    <w:rsid w:val="007064A0"/>
    <w:rsid w:val="00706503"/>
    <w:rsid w:val="00706C8D"/>
    <w:rsid w:val="00706DDD"/>
    <w:rsid w:val="00707501"/>
    <w:rsid w:val="00707F25"/>
    <w:rsid w:val="007105D3"/>
    <w:rsid w:val="007107DA"/>
    <w:rsid w:val="00710F2B"/>
    <w:rsid w:val="007113F1"/>
    <w:rsid w:val="00711ABF"/>
    <w:rsid w:val="00711C32"/>
    <w:rsid w:val="0071210F"/>
    <w:rsid w:val="00712549"/>
    <w:rsid w:val="00712A16"/>
    <w:rsid w:val="00712B68"/>
    <w:rsid w:val="00712BD4"/>
    <w:rsid w:val="00712C33"/>
    <w:rsid w:val="00713046"/>
    <w:rsid w:val="007137A1"/>
    <w:rsid w:val="00713C1F"/>
    <w:rsid w:val="00714779"/>
    <w:rsid w:val="00714909"/>
    <w:rsid w:val="007149F5"/>
    <w:rsid w:val="00714A3D"/>
    <w:rsid w:val="00715098"/>
    <w:rsid w:val="007151D1"/>
    <w:rsid w:val="007151E8"/>
    <w:rsid w:val="007152D7"/>
    <w:rsid w:val="007155CD"/>
    <w:rsid w:val="00715733"/>
    <w:rsid w:val="00715DDF"/>
    <w:rsid w:val="00715E5E"/>
    <w:rsid w:val="00715F7A"/>
    <w:rsid w:val="00715FE8"/>
    <w:rsid w:val="007161AE"/>
    <w:rsid w:val="007163DE"/>
    <w:rsid w:val="007164EC"/>
    <w:rsid w:val="00716C24"/>
    <w:rsid w:val="0071756B"/>
    <w:rsid w:val="007175AD"/>
    <w:rsid w:val="0071761E"/>
    <w:rsid w:val="007176F9"/>
    <w:rsid w:val="007179C5"/>
    <w:rsid w:val="00717BAB"/>
    <w:rsid w:val="00717C1C"/>
    <w:rsid w:val="00717DFF"/>
    <w:rsid w:val="0072017A"/>
    <w:rsid w:val="00720254"/>
    <w:rsid w:val="0072040A"/>
    <w:rsid w:val="00720684"/>
    <w:rsid w:val="007206C4"/>
    <w:rsid w:val="00720742"/>
    <w:rsid w:val="007207D2"/>
    <w:rsid w:val="00720E20"/>
    <w:rsid w:val="0072123C"/>
    <w:rsid w:val="00721260"/>
    <w:rsid w:val="00721347"/>
    <w:rsid w:val="0072163E"/>
    <w:rsid w:val="00721AD5"/>
    <w:rsid w:val="00722689"/>
    <w:rsid w:val="007228EB"/>
    <w:rsid w:val="007228FB"/>
    <w:rsid w:val="00722AB4"/>
    <w:rsid w:val="0072323B"/>
    <w:rsid w:val="00723892"/>
    <w:rsid w:val="00723AB1"/>
    <w:rsid w:val="00723FD5"/>
    <w:rsid w:val="007241CF"/>
    <w:rsid w:val="00724A36"/>
    <w:rsid w:val="00724EC7"/>
    <w:rsid w:val="0072542C"/>
    <w:rsid w:val="007258A7"/>
    <w:rsid w:val="0072597E"/>
    <w:rsid w:val="00725BA7"/>
    <w:rsid w:val="00725BF2"/>
    <w:rsid w:val="0072626A"/>
    <w:rsid w:val="0072632D"/>
    <w:rsid w:val="00726368"/>
    <w:rsid w:val="0072660D"/>
    <w:rsid w:val="0072691E"/>
    <w:rsid w:val="007276C0"/>
    <w:rsid w:val="00727AD8"/>
    <w:rsid w:val="00727DD8"/>
    <w:rsid w:val="00727DEA"/>
    <w:rsid w:val="00730295"/>
    <w:rsid w:val="007307CA"/>
    <w:rsid w:val="00730D7E"/>
    <w:rsid w:val="00731058"/>
    <w:rsid w:val="00731962"/>
    <w:rsid w:val="00731AAA"/>
    <w:rsid w:val="007328F2"/>
    <w:rsid w:val="00732E54"/>
    <w:rsid w:val="007332C5"/>
    <w:rsid w:val="00733AAE"/>
    <w:rsid w:val="00733D21"/>
    <w:rsid w:val="00733E0D"/>
    <w:rsid w:val="00734878"/>
    <w:rsid w:val="0073543F"/>
    <w:rsid w:val="007354DB"/>
    <w:rsid w:val="00735B18"/>
    <w:rsid w:val="00736164"/>
    <w:rsid w:val="00736530"/>
    <w:rsid w:val="00736590"/>
    <w:rsid w:val="007367C4"/>
    <w:rsid w:val="00736BAB"/>
    <w:rsid w:val="00736E7C"/>
    <w:rsid w:val="00737396"/>
    <w:rsid w:val="00737410"/>
    <w:rsid w:val="007375BA"/>
    <w:rsid w:val="007375E7"/>
    <w:rsid w:val="00737969"/>
    <w:rsid w:val="00737CE1"/>
    <w:rsid w:val="00737D39"/>
    <w:rsid w:val="00740380"/>
    <w:rsid w:val="00740A39"/>
    <w:rsid w:val="00741183"/>
    <w:rsid w:val="00741444"/>
    <w:rsid w:val="00741764"/>
    <w:rsid w:val="00741787"/>
    <w:rsid w:val="0074180E"/>
    <w:rsid w:val="00741AD6"/>
    <w:rsid w:val="00741FFF"/>
    <w:rsid w:val="007420AA"/>
    <w:rsid w:val="0074296B"/>
    <w:rsid w:val="00743354"/>
    <w:rsid w:val="007438BD"/>
    <w:rsid w:val="00743B9C"/>
    <w:rsid w:val="007441E5"/>
    <w:rsid w:val="00744200"/>
    <w:rsid w:val="007445A6"/>
    <w:rsid w:val="00744802"/>
    <w:rsid w:val="00744971"/>
    <w:rsid w:val="00744A44"/>
    <w:rsid w:val="007451CE"/>
    <w:rsid w:val="007455D9"/>
    <w:rsid w:val="007456E2"/>
    <w:rsid w:val="00747232"/>
    <w:rsid w:val="0074727B"/>
    <w:rsid w:val="00747A5B"/>
    <w:rsid w:val="00747DC0"/>
    <w:rsid w:val="007500B5"/>
    <w:rsid w:val="007500E5"/>
    <w:rsid w:val="00750A12"/>
    <w:rsid w:val="007511B8"/>
    <w:rsid w:val="007512E9"/>
    <w:rsid w:val="00751875"/>
    <w:rsid w:val="00751A69"/>
    <w:rsid w:val="007521DF"/>
    <w:rsid w:val="007526D8"/>
    <w:rsid w:val="007527CA"/>
    <w:rsid w:val="00752921"/>
    <w:rsid w:val="00752CAC"/>
    <w:rsid w:val="00752D09"/>
    <w:rsid w:val="00752E6B"/>
    <w:rsid w:val="00752E87"/>
    <w:rsid w:val="007535A2"/>
    <w:rsid w:val="00753736"/>
    <w:rsid w:val="00754460"/>
    <w:rsid w:val="0075452B"/>
    <w:rsid w:val="007546E9"/>
    <w:rsid w:val="007557AA"/>
    <w:rsid w:val="007559FD"/>
    <w:rsid w:val="00755C60"/>
    <w:rsid w:val="00756133"/>
    <w:rsid w:val="00756325"/>
    <w:rsid w:val="007577A8"/>
    <w:rsid w:val="007577B5"/>
    <w:rsid w:val="007577E6"/>
    <w:rsid w:val="007578B3"/>
    <w:rsid w:val="00757A9A"/>
    <w:rsid w:val="00757C8E"/>
    <w:rsid w:val="00760288"/>
    <w:rsid w:val="00760506"/>
    <w:rsid w:val="0076053D"/>
    <w:rsid w:val="007606A5"/>
    <w:rsid w:val="00760B21"/>
    <w:rsid w:val="00760D4F"/>
    <w:rsid w:val="007612D0"/>
    <w:rsid w:val="00761812"/>
    <w:rsid w:val="007618B2"/>
    <w:rsid w:val="0076298A"/>
    <w:rsid w:val="00762E0E"/>
    <w:rsid w:val="00762E84"/>
    <w:rsid w:val="007632BA"/>
    <w:rsid w:val="007633C7"/>
    <w:rsid w:val="007633F7"/>
    <w:rsid w:val="00763593"/>
    <w:rsid w:val="00763BB8"/>
    <w:rsid w:val="00764253"/>
    <w:rsid w:val="00764274"/>
    <w:rsid w:val="007642AD"/>
    <w:rsid w:val="00764803"/>
    <w:rsid w:val="00764817"/>
    <w:rsid w:val="00764835"/>
    <w:rsid w:val="00764F13"/>
    <w:rsid w:val="0076586A"/>
    <w:rsid w:val="00765C13"/>
    <w:rsid w:val="00765D4C"/>
    <w:rsid w:val="0076629E"/>
    <w:rsid w:val="007666FC"/>
    <w:rsid w:val="00766717"/>
    <w:rsid w:val="007676C1"/>
    <w:rsid w:val="0076773E"/>
    <w:rsid w:val="007679EE"/>
    <w:rsid w:val="00767A38"/>
    <w:rsid w:val="00767C90"/>
    <w:rsid w:val="00767DF3"/>
    <w:rsid w:val="0077002C"/>
    <w:rsid w:val="00770241"/>
    <w:rsid w:val="007703F3"/>
    <w:rsid w:val="0077084F"/>
    <w:rsid w:val="007708D8"/>
    <w:rsid w:val="0077094A"/>
    <w:rsid w:val="00770AC2"/>
    <w:rsid w:val="007710CF"/>
    <w:rsid w:val="007712D1"/>
    <w:rsid w:val="00771A44"/>
    <w:rsid w:val="00771AE8"/>
    <w:rsid w:val="00771BE8"/>
    <w:rsid w:val="00771C3F"/>
    <w:rsid w:val="007721EF"/>
    <w:rsid w:val="0077242D"/>
    <w:rsid w:val="00773109"/>
    <w:rsid w:val="0077347E"/>
    <w:rsid w:val="007735DD"/>
    <w:rsid w:val="007735E7"/>
    <w:rsid w:val="00773BBC"/>
    <w:rsid w:val="00773C18"/>
    <w:rsid w:val="00774193"/>
    <w:rsid w:val="0077429E"/>
    <w:rsid w:val="00774523"/>
    <w:rsid w:val="00774AE0"/>
    <w:rsid w:val="00774CED"/>
    <w:rsid w:val="0077575A"/>
    <w:rsid w:val="007759E0"/>
    <w:rsid w:val="00776406"/>
    <w:rsid w:val="007765F2"/>
    <w:rsid w:val="00776A41"/>
    <w:rsid w:val="00776C99"/>
    <w:rsid w:val="00776D76"/>
    <w:rsid w:val="00776EAF"/>
    <w:rsid w:val="00777068"/>
    <w:rsid w:val="00777784"/>
    <w:rsid w:val="00777870"/>
    <w:rsid w:val="00777C1F"/>
    <w:rsid w:val="00780266"/>
    <w:rsid w:val="007804F4"/>
    <w:rsid w:val="007810CD"/>
    <w:rsid w:val="007810CE"/>
    <w:rsid w:val="00781557"/>
    <w:rsid w:val="00782317"/>
    <w:rsid w:val="00782EFB"/>
    <w:rsid w:val="00783488"/>
    <w:rsid w:val="007836AB"/>
    <w:rsid w:val="00783C6A"/>
    <w:rsid w:val="007846B3"/>
    <w:rsid w:val="00784AA0"/>
    <w:rsid w:val="007850D9"/>
    <w:rsid w:val="007851E0"/>
    <w:rsid w:val="007859EA"/>
    <w:rsid w:val="00785A4D"/>
    <w:rsid w:val="00786AD6"/>
    <w:rsid w:val="00786D07"/>
    <w:rsid w:val="00787028"/>
    <w:rsid w:val="007873B0"/>
    <w:rsid w:val="00787425"/>
    <w:rsid w:val="007878E3"/>
    <w:rsid w:val="0078797E"/>
    <w:rsid w:val="00787D91"/>
    <w:rsid w:val="00787F29"/>
    <w:rsid w:val="0079006F"/>
    <w:rsid w:val="007900BB"/>
    <w:rsid w:val="00790606"/>
    <w:rsid w:val="00790B04"/>
    <w:rsid w:val="00791139"/>
    <w:rsid w:val="007912FD"/>
    <w:rsid w:val="00791334"/>
    <w:rsid w:val="00791561"/>
    <w:rsid w:val="007916F2"/>
    <w:rsid w:val="007919C3"/>
    <w:rsid w:val="00791D85"/>
    <w:rsid w:val="00792049"/>
    <w:rsid w:val="0079246D"/>
    <w:rsid w:val="007926B5"/>
    <w:rsid w:val="007927B4"/>
    <w:rsid w:val="0079280D"/>
    <w:rsid w:val="007928AF"/>
    <w:rsid w:val="00792947"/>
    <w:rsid w:val="00792AEC"/>
    <w:rsid w:val="00792EEF"/>
    <w:rsid w:val="007931CF"/>
    <w:rsid w:val="007935B1"/>
    <w:rsid w:val="007938DB"/>
    <w:rsid w:val="007939D1"/>
    <w:rsid w:val="00793D3C"/>
    <w:rsid w:val="00793D6C"/>
    <w:rsid w:val="007940C3"/>
    <w:rsid w:val="00794469"/>
    <w:rsid w:val="007946D6"/>
    <w:rsid w:val="007947B7"/>
    <w:rsid w:val="00795378"/>
    <w:rsid w:val="0079553F"/>
    <w:rsid w:val="007955B1"/>
    <w:rsid w:val="00795AC4"/>
    <w:rsid w:val="00795D10"/>
    <w:rsid w:val="00795DB1"/>
    <w:rsid w:val="00795EA0"/>
    <w:rsid w:val="007964E5"/>
    <w:rsid w:val="00796E39"/>
    <w:rsid w:val="00797108"/>
    <w:rsid w:val="00797122"/>
    <w:rsid w:val="00797439"/>
    <w:rsid w:val="00797810"/>
    <w:rsid w:val="00797AC7"/>
    <w:rsid w:val="00797FC2"/>
    <w:rsid w:val="00797FD9"/>
    <w:rsid w:val="007A0515"/>
    <w:rsid w:val="007A0953"/>
    <w:rsid w:val="007A09BA"/>
    <w:rsid w:val="007A0C47"/>
    <w:rsid w:val="007A0C58"/>
    <w:rsid w:val="007A0C83"/>
    <w:rsid w:val="007A17D1"/>
    <w:rsid w:val="007A1A47"/>
    <w:rsid w:val="007A1E84"/>
    <w:rsid w:val="007A29EE"/>
    <w:rsid w:val="007A3027"/>
    <w:rsid w:val="007A397B"/>
    <w:rsid w:val="007A3AB1"/>
    <w:rsid w:val="007A3F73"/>
    <w:rsid w:val="007A45C1"/>
    <w:rsid w:val="007A4E70"/>
    <w:rsid w:val="007A4F79"/>
    <w:rsid w:val="007A5173"/>
    <w:rsid w:val="007A539C"/>
    <w:rsid w:val="007A540D"/>
    <w:rsid w:val="007A5C31"/>
    <w:rsid w:val="007A5F10"/>
    <w:rsid w:val="007A6060"/>
    <w:rsid w:val="007A60F4"/>
    <w:rsid w:val="007A6144"/>
    <w:rsid w:val="007A642F"/>
    <w:rsid w:val="007A66FA"/>
    <w:rsid w:val="007A6B08"/>
    <w:rsid w:val="007A6DB7"/>
    <w:rsid w:val="007A72D7"/>
    <w:rsid w:val="007A7314"/>
    <w:rsid w:val="007A7DAC"/>
    <w:rsid w:val="007B0231"/>
    <w:rsid w:val="007B05EA"/>
    <w:rsid w:val="007B0A8F"/>
    <w:rsid w:val="007B0D2C"/>
    <w:rsid w:val="007B0DAA"/>
    <w:rsid w:val="007B1019"/>
    <w:rsid w:val="007B12D7"/>
    <w:rsid w:val="007B141D"/>
    <w:rsid w:val="007B1A73"/>
    <w:rsid w:val="007B2090"/>
    <w:rsid w:val="007B25BA"/>
    <w:rsid w:val="007B2786"/>
    <w:rsid w:val="007B27DD"/>
    <w:rsid w:val="007B2985"/>
    <w:rsid w:val="007B2D2A"/>
    <w:rsid w:val="007B2E79"/>
    <w:rsid w:val="007B2EF2"/>
    <w:rsid w:val="007B3241"/>
    <w:rsid w:val="007B3515"/>
    <w:rsid w:val="007B379A"/>
    <w:rsid w:val="007B37B5"/>
    <w:rsid w:val="007B38E1"/>
    <w:rsid w:val="007B3955"/>
    <w:rsid w:val="007B3D07"/>
    <w:rsid w:val="007B3FA0"/>
    <w:rsid w:val="007B4010"/>
    <w:rsid w:val="007B584B"/>
    <w:rsid w:val="007B5C26"/>
    <w:rsid w:val="007B7513"/>
    <w:rsid w:val="007B768A"/>
    <w:rsid w:val="007B775A"/>
    <w:rsid w:val="007B7FB3"/>
    <w:rsid w:val="007C038B"/>
    <w:rsid w:val="007C0416"/>
    <w:rsid w:val="007C0704"/>
    <w:rsid w:val="007C089E"/>
    <w:rsid w:val="007C0BF2"/>
    <w:rsid w:val="007C2267"/>
    <w:rsid w:val="007C229D"/>
    <w:rsid w:val="007C2540"/>
    <w:rsid w:val="007C25A4"/>
    <w:rsid w:val="007C28EF"/>
    <w:rsid w:val="007C293C"/>
    <w:rsid w:val="007C2A49"/>
    <w:rsid w:val="007C2B9C"/>
    <w:rsid w:val="007C3934"/>
    <w:rsid w:val="007C3BA3"/>
    <w:rsid w:val="007C43D7"/>
    <w:rsid w:val="007C44B8"/>
    <w:rsid w:val="007C4600"/>
    <w:rsid w:val="007C5334"/>
    <w:rsid w:val="007C580B"/>
    <w:rsid w:val="007C58AE"/>
    <w:rsid w:val="007C5D0D"/>
    <w:rsid w:val="007C6CCA"/>
    <w:rsid w:val="007C6DE6"/>
    <w:rsid w:val="007C6E69"/>
    <w:rsid w:val="007C7245"/>
    <w:rsid w:val="007D00E3"/>
    <w:rsid w:val="007D01D7"/>
    <w:rsid w:val="007D0633"/>
    <w:rsid w:val="007D07C4"/>
    <w:rsid w:val="007D0B0A"/>
    <w:rsid w:val="007D0EB6"/>
    <w:rsid w:val="007D0F37"/>
    <w:rsid w:val="007D0F6A"/>
    <w:rsid w:val="007D14C4"/>
    <w:rsid w:val="007D1ABB"/>
    <w:rsid w:val="007D1CDF"/>
    <w:rsid w:val="007D1ECB"/>
    <w:rsid w:val="007D20E5"/>
    <w:rsid w:val="007D20F5"/>
    <w:rsid w:val="007D2452"/>
    <w:rsid w:val="007D2845"/>
    <w:rsid w:val="007D2E19"/>
    <w:rsid w:val="007D3C42"/>
    <w:rsid w:val="007D3CE5"/>
    <w:rsid w:val="007D3D07"/>
    <w:rsid w:val="007D3ED9"/>
    <w:rsid w:val="007D41E8"/>
    <w:rsid w:val="007D4D55"/>
    <w:rsid w:val="007D4F7C"/>
    <w:rsid w:val="007D5156"/>
    <w:rsid w:val="007D5324"/>
    <w:rsid w:val="007D542D"/>
    <w:rsid w:val="007D5436"/>
    <w:rsid w:val="007D623E"/>
    <w:rsid w:val="007D6461"/>
    <w:rsid w:val="007D6ED5"/>
    <w:rsid w:val="007D72A1"/>
    <w:rsid w:val="007D72C0"/>
    <w:rsid w:val="007D7676"/>
    <w:rsid w:val="007E029D"/>
    <w:rsid w:val="007E0508"/>
    <w:rsid w:val="007E0687"/>
    <w:rsid w:val="007E07FC"/>
    <w:rsid w:val="007E0A5F"/>
    <w:rsid w:val="007E11A9"/>
    <w:rsid w:val="007E17A5"/>
    <w:rsid w:val="007E185E"/>
    <w:rsid w:val="007E2062"/>
    <w:rsid w:val="007E2128"/>
    <w:rsid w:val="007E212F"/>
    <w:rsid w:val="007E22C8"/>
    <w:rsid w:val="007E2403"/>
    <w:rsid w:val="007E2A14"/>
    <w:rsid w:val="007E325E"/>
    <w:rsid w:val="007E344E"/>
    <w:rsid w:val="007E3462"/>
    <w:rsid w:val="007E35B3"/>
    <w:rsid w:val="007E37EB"/>
    <w:rsid w:val="007E3ED7"/>
    <w:rsid w:val="007E483B"/>
    <w:rsid w:val="007E488A"/>
    <w:rsid w:val="007E51E9"/>
    <w:rsid w:val="007E52EE"/>
    <w:rsid w:val="007E57B9"/>
    <w:rsid w:val="007E598A"/>
    <w:rsid w:val="007E5EA7"/>
    <w:rsid w:val="007E62AD"/>
    <w:rsid w:val="007E6FF8"/>
    <w:rsid w:val="007E72DC"/>
    <w:rsid w:val="007E76D0"/>
    <w:rsid w:val="007E78BD"/>
    <w:rsid w:val="007E7BE9"/>
    <w:rsid w:val="007F0041"/>
    <w:rsid w:val="007F03FE"/>
    <w:rsid w:val="007F11C0"/>
    <w:rsid w:val="007F1725"/>
    <w:rsid w:val="007F1957"/>
    <w:rsid w:val="007F19CE"/>
    <w:rsid w:val="007F1C8F"/>
    <w:rsid w:val="007F1CAE"/>
    <w:rsid w:val="007F1F33"/>
    <w:rsid w:val="007F2145"/>
    <w:rsid w:val="007F245F"/>
    <w:rsid w:val="007F26DD"/>
    <w:rsid w:val="007F2AE8"/>
    <w:rsid w:val="007F2B64"/>
    <w:rsid w:val="007F2B90"/>
    <w:rsid w:val="007F300D"/>
    <w:rsid w:val="007F3737"/>
    <w:rsid w:val="007F3D48"/>
    <w:rsid w:val="007F3FD8"/>
    <w:rsid w:val="007F4022"/>
    <w:rsid w:val="007F45B0"/>
    <w:rsid w:val="007F4760"/>
    <w:rsid w:val="007F4B65"/>
    <w:rsid w:val="007F4DA3"/>
    <w:rsid w:val="007F4E08"/>
    <w:rsid w:val="007F4E0F"/>
    <w:rsid w:val="007F511B"/>
    <w:rsid w:val="007F553E"/>
    <w:rsid w:val="007F5742"/>
    <w:rsid w:val="007F64BC"/>
    <w:rsid w:val="007F69FF"/>
    <w:rsid w:val="007F6D06"/>
    <w:rsid w:val="007F6F53"/>
    <w:rsid w:val="007F70C9"/>
    <w:rsid w:val="007F70E1"/>
    <w:rsid w:val="007F70FB"/>
    <w:rsid w:val="007F7546"/>
    <w:rsid w:val="007F7F42"/>
    <w:rsid w:val="00800131"/>
    <w:rsid w:val="0080024F"/>
    <w:rsid w:val="008008B4"/>
    <w:rsid w:val="008009F6"/>
    <w:rsid w:val="00800A5C"/>
    <w:rsid w:val="00801026"/>
    <w:rsid w:val="008012F0"/>
    <w:rsid w:val="008013A5"/>
    <w:rsid w:val="00801455"/>
    <w:rsid w:val="00801819"/>
    <w:rsid w:val="008018AF"/>
    <w:rsid w:val="00801B69"/>
    <w:rsid w:val="00801DE8"/>
    <w:rsid w:val="00801E43"/>
    <w:rsid w:val="008020BC"/>
    <w:rsid w:val="0080221C"/>
    <w:rsid w:val="00802256"/>
    <w:rsid w:val="008022D2"/>
    <w:rsid w:val="00802725"/>
    <w:rsid w:val="00802BF9"/>
    <w:rsid w:val="00802F60"/>
    <w:rsid w:val="008033C0"/>
    <w:rsid w:val="00803411"/>
    <w:rsid w:val="008035A2"/>
    <w:rsid w:val="008036A0"/>
    <w:rsid w:val="00803705"/>
    <w:rsid w:val="00803844"/>
    <w:rsid w:val="00804475"/>
    <w:rsid w:val="00804691"/>
    <w:rsid w:val="008048C0"/>
    <w:rsid w:val="00804D95"/>
    <w:rsid w:val="00804F16"/>
    <w:rsid w:val="0080539A"/>
    <w:rsid w:val="0080574E"/>
    <w:rsid w:val="0080591C"/>
    <w:rsid w:val="00805ACF"/>
    <w:rsid w:val="00806669"/>
    <w:rsid w:val="00806D3B"/>
    <w:rsid w:val="00807222"/>
    <w:rsid w:val="00807679"/>
    <w:rsid w:val="00810054"/>
    <w:rsid w:val="00810BE1"/>
    <w:rsid w:val="00811534"/>
    <w:rsid w:val="00811598"/>
    <w:rsid w:val="008115B8"/>
    <w:rsid w:val="008119B4"/>
    <w:rsid w:val="00811B38"/>
    <w:rsid w:val="00811B45"/>
    <w:rsid w:val="00811BAD"/>
    <w:rsid w:val="00811D84"/>
    <w:rsid w:val="008124D0"/>
    <w:rsid w:val="0081257E"/>
    <w:rsid w:val="00812B59"/>
    <w:rsid w:val="00812EF5"/>
    <w:rsid w:val="00812F7C"/>
    <w:rsid w:val="00813286"/>
    <w:rsid w:val="00813374"/>
    <w:rsid w:val="00813688"/>
    <w:rsid w:val="0081420B"/>
    <w:rsid w:val="00814F07"/>
    <w:rsid w:val="00815806"/>
    <w:rsid w:val="0081582E"/>
    <w:rsid w:val="00815CF6"/>
    <w:rsid w:val="00815F13"/>
    <w:rsid w:val="00815F28"/>
    <w:rsid w:val="008161AF"/>
    <w:rsid w:val="00816CEE"/>
    <w:rsid w:val="00816FDD"/>
    <w:rsid w:val="00817FC6"/>
    <w:rsid w:val="008204B9"/>
    <w:rsid w:val="00820F1A"/>
    <w:rsid w:val="008211EB"/>
    <w:rsid w:val="00821240"/>
    <w:rsid w:val="00821481"/>
    <w:rsid w:val="00821628"/>
    <w:rsid w:val="00821852"/>
    <w:rsid w:val="00821880"/>
    <w:rsid w:val="00821A3A"/>
    <w:rsid w:val="00821D75"/>
    <w:rsid w:val="00821DD3"/>
    <w:rsid w:val="0082285A"/>
    <w:rsid w:val="00823AB6"/>
    <w:rsid w:val="00823B2B"/>
    <w:rsid w:val="0082404D"/>
    <w:rsid w:val="00824219"/>
    <w:rsid w:val="0082434E"/>
    <w:rsid w:val="008247B3"/>
    <w:rsid w:val="00824815"/>
    <w:rsid w:val="00824AC3"/>
    <w:rsid w:val="0082532A"/>
    <w:rsid w:val="00825CA5"/>
    <w:rsid w:val="00825FED"/>
    <w:rsid w:val="0082632E"/>
    <w:rsid w:val="0082690D"/>
    <w:rsid w:val="00826D28"/>
    <w:rsid w:val="00826E4F"/>
    <w:rsid w:val="00826F96"/>
    <w:rsid w:val="0082719F"/>
    <w:rsid w:val="00827379"/>
    <w:rsid w:val="00827864"/>
    <w:rsid w:val="00827898"/>
    <w:rsid w:val="00827F41"/>
    <w:rsid w:val="0083003F"/>
    <w:rsid w:val="0083008C"/>
    <w:rsid w:val="00830386"/>
    <w:rsid w:val="00830CB7"/>
    <w:rsid w:val="008311EA"/>
    <w:rsid w:val="00831377"/>
    <w:rsid w:val="00831511"/>
    <w:rsid w:val="00831579"/>
    <w:rsid w:val="00831696"/>
    <w:rsid w:val="008318F4"/>
    <w:rsid w:val="00831A74"/>
    <w:rsid w:val="00832854"/>
    <w:rsid w:val="00832A50"/>
    <w:rsid w:val="00832CA5"/>
    <w:rsid w:val="008331B3"/>
    <w:rsid w:val="008333B5"/>
    <w:rsid w:val="008333C5"/>
    <w:rsid w:val="00833488"/>
    <w:rsid w:val="00833672"/>
    <w:rsid w:val="00833794"/>
    <w:rsid w:val="0083424C"/>
    <w:rsid w:val="008344C3"/>
    <w:rsid w:val="00834538"/>
    <w:rsid w:val="008348E5"/>
    <w:rsid w:val="00834E59"/>
    <w:rsid w:val="0083502F"/>
    <w:rsid w:val="00835124"/>
    <w:rsid w:val="00835CDE"/>
    <w:rsid w:val="00835E60"/>
    <w:rsid w:val="00835F98"/>
    <w:rsid w:val="00836800"/>
    <w:rsid w:val="00836ABC"/>
    <w:rsid w:val="00836FDA"/>
    <w:rsid w:val="008375F0"/>
    <w:rsid w:val="0083770A"/>
    <w:rsid w:val="00837D81"/>
    <w:rsid w:val="00837DA8"/>
    <w:rsid w:val="00837DB0"/>
    <w:rsid w:val="00840023"/>
    <w:rsid w:val="008400FF"/>
    <w:rsid w:val="008402CA"/>
    <w:rsid w:val="008402FF"/>
    <w:rsid w:val="008405E7"/>
    <w:rsid w:val="00841B51"/>
    <w:rsid w:val="00842252"/>
    <w:rsid w:val="008427A9"/>
    <w:rsid w:val="008428FD"/>
    <w:rsid w:val="00842B19"/>
    <w:rsid w:val="00842EDF"/>
    <w:rsid w:val="00843546"/>
    <w:rsid w:val="0084365F"/>
    <w:rsid w:val="00843D1B"/>
    <w:rsid w:val="00843D7D"/>
    <w:rsid w:val="00843E46"/>
    <w:rsid w:val="00843F79"/>
    <w:rsid w:val="00844179"/>
    <w:rsid w:val="008442E3"/>
    <w:rsid w:val="008443F2"/>
    <w:rsid w:val="0084465F"/>
    <w:rsid w:val="00844764"/>
    <w:rsid w:val="00844865"/>
    <w:rsid w:val="00844A8D"/>
    <w:rsid w:val="00844F7B"/>
    <w:rsid w:val="00845197"/>
    <w:rsid w:val="00845BEA"/>
    <w:rsid w:val="0084628B"/>
    <w:rsid w:val="008464DC"/>
    <w:rsid w:val="008467D8"/>
    <w:rsid w:val="00846F85"/>
    <w:rsid w:val="00846F94"/>
    <w:rsid w:val="008475A6"/>
    <w:rsid w:val="008477D2"/>
    <w:rsid w:val="00847A86"/>
    <w:rsid w:val="0085043C"/>
    <w:rsid w:val="00850457"/>
    <w:rsid w:val="00850925"/>
    <w:rsid w:val="00850E11"/>
    <w:rsid w:val="00850EDD"/>
    <w:rsid w:val="008523EB"/>
    <w:rsid w:val="0085283D"/>
    <w:rsid w:val="00852D49"/>
    <w:rsid w:val="008531F4"/>
    <w:rsid w:val="008533B4"/>
    <w:rsid w:val="0085366F"/>
    <w:rsid w:val="008536AB"/>
    <w:rsid w:val="008539BB"/>
    <w:rsid w:val="00853A3B"/>
    <w:rsid w:val="00853A4B"/>
    <w:rsid w:val="00853D90"/>
    <w:rsid w:val="00853F58"/>
    <w:rsid w:val="008540A9"/>
    <w:rsid w:val="0085421A"/>
    <w:rsid w:val="0085450B"/>
    <w:rsid w:val="00854588"/>
    <w:rsid w:val="00854AA5"/>
    <w:rsid w:val="00855134"/>
    <w:rsid w:val="00855C9D"/>
    <w:rsid w:val="00855F1E"/>
    <w:rsid w:val="0085604A"/>
    <w:rsid w:val="0085617C"/>
    <w:rsid w:val="008561EA"/>
    <w:rsid w:val="008568AE"/>
    <w:rsid w:val="008569A5"/>
    <w:rsid w:val="00856AA5"/>
    <w:rsid w:val="00856F74"/>
    <w:rsid w:val="0085747B"/>
    <w:rsid w:val="00857584"/>
    <w:rsid w:val="00857DA4"/>
    <w:rsid w:val="00857EFA"/>
    <w:rsid w:val="00860752"/>
    <w:rsid w:val="008607BA"/>
    <w:rsid w:val="00860F73"/>
    <w:rsid w:val="00860FF2"/>
    <w:rsid w:val="00861174"/>
    <w:rsid w:val="00861620"/>
    <w:rsid w:val="00861721"/>
    <w:rsid w:val="00861BF7"/>
    <w:rsid w:val="00861C3D"/>
    <w:rsid w:val="00861EE1"/>
    <w:rsid w:val="008620E5"/>
    <w:rsid w:val="008621A0"/>
    <w:rsid w:val="00862745"/>
    <w:rsid w:val="008629DE"/>
    <w:rsid w:val="00863716"/>
    <w:rsid w:val="00863813"/>
    <w:rsid w:val="00863E60"/>
    <w:rsid w:val="0086414B"/>
    <w:rsid w:val="008643F7"/>
    <w:rsid w:val="008646FA"/>
    <w:rsid w:val="00864FDE"/>
    <w:rsid w:val="0086544F"/>
    <w:rsid w:val="008657A8"/>
    <w:rsid w:val="0086587D"/>
    <w:rsid w:val="008659CE"/>
    <w:rsid w:val="008659D8"/>
    <w:rsid w:val="008662D9"/>
    <w:rsid w:val="0086680F"/>
    <w:rsid w:val="0086695D"/>
    <w:rsid w:val="00866A4A"/>
    <w:rsid w:val="0086752E"/>
    <w:rsid w:val="0086760A"/>
    <w:rsid w:val="0086782E"/>
    <w:rsid w:val="00867D77"/>
    <w:rsid w:val="008701F3"/>
    <w:rsid w:val="008703E5"/>
    <w:rsid w:val="00870E1C"/>
    <w:rsid w:val="0087101D"/>
    <w:rsid w:val="0087151A"/>
    <w:rsid w:val="008719C9"/>
    <w:rsid w:val="00871AEC"/>
    <w:rsid w:val="00871BEF"/>
    <w:rsid w:val="00871F11"/>
    <w:rsid w:val="00871F13"/>
    <w:rsid w:val="00871FBC"/>
    <w:rsid w:val="00872B1C"/>
    <w:rsid w:val="00873B6F"/>
    <w:rsid w:val="00873F61"/>
    <w:rsid w:val="008741C0"/>
    <w:rsid w:val="008743B0"/>
    <w:rsid w:val="00874872"/>
    <w:rsid w:val="00874A3E"/>
    <w:rsid w:val="008750E6"/>
    <w:rsid w:val="00875116"/>
    <w:rsid w:val="00875E79"/>
    <w:rsid w:val="0087629F"/>
    <w:rsid w:val="00876434"/>
    <w:rsid w:val="00876517"/>
    <w:rsid w:val="0087651A"/>
    <w:rsid w:val="00876F43"/>
    <w:rsid w:val="008770D8"/>
    <w:rsid w:val="00877FD9"/>
    <w:rsid w:val="00880009"/>
    <w:rsid w:val="0088021E"/>
    <w:rsid w:val="00880788"/>
    <w:rsid w:val="0088087E"/>
    <w:rsid w:val="00881098"/>
    <w:rsid w:val="0088114D"/>
    <w:rsid w:val="00881947"/>
    <w:rsid w:val="00881F22"/>
    <w:rsid w:val="008824B2"/>
    <w:rsid w:val="00882617"/>
    <w:rsid w:val="00882E0A"/>
    <w:rsid w:val="00883B3A"/>
    <w:rsid w:val="00883FAE"/>
    <w:rsid w:val="008841A7"/>
    <w:rsid w:val="008848D5"/>
    <w:rsid w:val="00884E4A"/>
    <w:rsid w:val="00885CBF"/>
    <w:rsid w:val="00885E69"/>
    <w:rsid w:val="00886008"/>
    <w:rsid w:val="008863C4"/>
    <w:rsid w:val="0088672A"/>
    <w:rsid w:val="00886B0B"/>
    <w:rsid w:val="00887541"/>
    <w:rsid w:val="008901C4"/>
    <w:rsid w:val="0089044E"/>
    <w:rsid w:val="008907C1"/>
    <w:rsid w:val="00890E0F"/>
    <w:rsid w:val="00891536"/>
    <w:rsid w:val="00892680"/>
    <w:rsid w:val="008927A8"/>
    <w:rsid w:val="00892B7E"/>
    <w:rsid w:val="00892EC4"/>
    <w:rsid w:val="008930CB"/>
    <w:rsid w:val="00893137"/>
    <w:rsid w:val="00893AE9"/>
    <w:rsid w:val="00893C57"/>
    <w:rsid w:val="00893F61"/>
    <w:rsid w:val="008940FB"/>
    <w:rsid w:val="00894C60"/>
    <w:rsid w:val="008951C2"/>
    <w:rsid w:val="00895478"/>
    <w:rsid w:val="0089571B"/>
    <w:rsid w:val="008960BA"/>
    <w:rsid w:val="00896158"/>
    <w:rsid w:val="0089654F"/>
    <w:rsid w:val="0089660E"/>
    <w:rsid w:val="008967E7"/>
    <w:rsid w:val="00896D32"/>
    <w:rsid w:val="00897653"/>
    <w:rsid w:val="008976B8"/>
    <w:rsid w:val="00897A41"/>
    <w:rsid w:val="00897C2D"/>
    <w:rsid w:val="00897DF6"/>
    <w:rsid w:val="008A043A"/>
    <w:rsid w:val="008A060F"/>
    <w:rsid w:val="008A08AD"/>
    <w:rsid w:val="008A08FB"/>
    <w:rsid w:val="008A0C4E"/>
    <w:rsid w:val="008A1253"/>
    <w:rsid w:val="008A179A"/>
    <w:rsid w:val="008A1FA3"/>
    <w:rsid w:val="008A2645"/>
    <w:rsid w:val="008A289D"/>
    <w:rsid w:val="008A2EBF"/>
    <w:rsid w:val="008A3547"/>
    <w:rsid w:val="008A37FD"/>
    <w:rsid w:val="008A38CA"/>
    <w:rsid w:val="008A3EE7"/>
    <w:rsid w:val="008A41CA"/>
    <w:rsid w:val="008A4327"/>
    <w:rsid w:val="008A43E4"/>
    <w:rsid w:val="008A4814"/>
    <w:rsid w:val="008A4C8C"/>
    <w:rsid w:val="008A4D88"/>
    <w:rsid w:val="008A4DD2"/>
    <w:rsid w:val="008A4DD4"/>
    <w:rsid w:val="008A4EE4"/>
    <w:rsid w:val="008A4FBC"/>
    <w:rsid w:val="008A5177"/>
    <w:rsid w:val="008A530B"/>
    <w:rsid w:val="008A5356"/>
    <w:rsid w:val="008A55F7"/>
    <w:rsid w:val="008A5957"/>
    <w:rsid w:val="008A596D"/>
    <w:rsid w:val="008A5BAA"/>
    <w:rsid w:val="008A5C7F"/>
    <w:rsid w:val="008A5DB3"/>
    <w:rsid w:val="008A5E34"/>
    <w:rsid w:val="008A5E3C"/>
    <w:rsid w:val="008A5E66"/>
    <w:rsid w:val="008A640C"/>
    <w:rsid w:val="008A6C6A"/>
    <w:rsid w:val="008A7383"/>
    <w:rsid w:val="008A73C6"/>
    <w:rsid w:val="008A7C02"/>
    <w:rsid w:val="008B1286"/>
    <w:rsid w:val="008B1A0D"/>
    <w:rsid w:val="008B1A8B"/>
    <w:rsid w:val="008B1B87"/>
    <w:rsid w:val="008B1CC1"/>
    <w:rsid w:val="008B20EE"/>
    <w:rsid w:val="008B273F"/>
    <w:rsid w:val="008B2750"/>
    <w:rsid w:val="008B2D31"/>
    <w:rsid w:val="008B31B4"/>
    <w:rsid w:val="008B3571"/>
    <w:rsid w:val="008B35AE"/>
    <w:rsid w:val="008B3EA0"/>
    <w:rsid w:val="008B40BE"/>
    <w:rsid w:val="008B40E2"/>
    <w:rsid w:val="008B420C"/>
    <w:rsid w:val="008B4299"/>
    <w:rsid w:val="008B5300"/>
    <w:rsid w:val="008B599A"/>
    <w:rsid w:val="008B6053"/>
    <w:rsid w:val="008B6302"/>
    <w:rsid w:val="008B662B"/>
    <w:rsid w:val="008B6976"/>
    <w:rsid w:val="008B69C6"/>
    <w:rsid w:val="008B6ED4"/>
    <w:rsid w:val="008B70E6"/>
    <w:rsid w:val="008B750D"/>
    <w:rsid w:val="008B765D"/>
    <w:rsid w:val="008B7C8E"/>
    <w:rsid w:val="008B7E12"/>
    <w:rsid w:val="008C076E"/>
    <w:rsid w:val="008C0946"/>
    <w:rsid w:val="008C0BA3"/>
    <w:rsid w:val="008C0FAA"/>
    <w:rsid w:val="008C1903"/>
    <w:rsid w:val="008C1948"/>
    <w:rsid w:val="008C1A25"/>
    <w:rsid w:val="008C1A7C"/>
    <w:rsid w:val="008C1ED3"/>
    <w:rsid w:val="008C2702"/>
    <w:rsid w:val="008C28C9"/>
    <w:rsid w:val="008C2991"/>
    <w:rsid w:val="008C2A32"/>
    <w:rsid w:val="008C2BF3"/>
    <w:rsid w:val="008C3AB2"/>
    <w:rsid w:val="008C3B19"/>
    <w:rsid w:val="008C3FD8"/>
    <w:rsid w:val="008C462B"/>
    <w:rsid w:val="008C4E9E"/>
    <w:rsid w:val="008C524E"/>
    <w:rsid w:val="008C5438"/>
    <w:rsid w:val="008C56BF"/>
    <w:rsid w:val="008C5891"/>
    <w:rsid w:val="008C5AD2"/>
    <w:rsid w:val="008C5C91"/>
    <w:rsid w:val="008C5D25"/>
    <w:rsid w:val="008C5E35"/>
    <w:rsid w:val="008C621F"/>
    <w:rsid w:val="008C6548"/>
    <w:rsid w:val="008C65AB"/>
    <w:rsid w:val="008C65E0"/>
    <w:rsid w:val="008C69C2"/>
    <w:rsid w:val="008C6B43"/>
    <w:rsid w:val="008C6DC5"/>
    <w:rsid w:val="008C76F7"/>
    <w:rsid w:val="008C799A"/>
    <w:rsid w:val="008C7C18"/>
    <w:rsid w:val="008C7D39"/>
    <w:rsid w:val="008C7FF6"/>
    <w:rsid w:val="008D092F"/>
    <w:rsid w:val="008D0E9D"/>
    <w:rsid w:val="008D1031"/>
    <w:rsid w:val="008D10CA"/>
    <w:rsid w:val="008D15FC"/>
    <w:rsid w:val="008D1790"/>
    <w:rsid w:val="008D17DD"/>
    <w:rsid w:val="008D18F7"/>
    <w:rsid w:val="008D1BC0"/>
    <w:rsid w:val="008D1DCE"/>
    <w:rsid w:val="008D20BC"/>
    <w:rsid w:val="008D26AC"/>
    <w:rsid w:val="008D2B38"/>
    <w:rsid w:val="008D2C9A"/>
    <w:rsid w:val="008D31D2"/>
    <w:rsid w:val="008D34AC"/>
    <w:rsid w:val="008D39B9"/>
    <w:rsid w:val="008D3BA1"/>
    <w:rsid w:val="008D4020"/>
    <w:rsid w:val="008D4129"/>
    <w:rsid w:val="008D435C"/>
    <w:rsid w:val="008D4417"/>
    <w:rsid w:val="008D4713"/>
    <w:rsid w:val="008D4FB2"/>
    <w:rsid w:val="008D502D"/>
    <w:rsid w:val="008D5829"/>
    <w:rsid w:val="008D5BCB"/>
    <w:rsid w:val="008D5C26"/>
    <w:rsid w:val="008D5C63"/>
    <w:rsid w:val="008D6C22"/>
    <w:rsid w:val="008D71AB"/>
    <w:rsid w:val="008D7471"/>
    <w:rsid w:val="008D7592"/>
    <w:rsid w:val="008D75DF"/>
    <w:rsid w:val="008D78E1"/>
    <w:rsid w:val="008E01DA"/>
    <w:rsid w:val="008E07AC"/>
    <w:rsid w:val="008E08F6"/>
    <w:rsid w:val="008E0FE9"/>
    <w:rsid w:val="008E14DB"/>
    <w:rsid w:val="008E1584"/>
    <w:rsid w:val="008E2C39"/>
    <w:rsid w:val="008E2EAA"/>
    <w:rsid w:val="008E30DB"/>
    <w:rsid w:val="008E38F6"/>
    <w:rsid w:val="008E3BA3"/>
    <w:rsid w:val="008E4046"/>
    <w:rsid w:val="008E45F7"/>
    <w:rsid w:val="008E4A09"/>
    <w:rsid w:val="008E4B8F"/>
    <w:rsid w:val="008E553F"/>
    <w:rsid w:val="008E59F9"/>
    <w:rsid w:val="008E5A05"/>
    <w:rsid w:val="008E5E1E"/>
    <w:rsid w:val="008E5F6E"/>
    <w:rsid w:val="008E60D7"/>
    <w:rsid w:val="008E6436"/>
    <w:rsid w:val="008E68D1"/>
    <w:rsid w:val="008E6F85"/>
    <w:rsid w:val="008E6FF5"/>
    <w:rsid w:val="008E77DC"/>
    <w:rsid w:val="008E7B3B"/>
    <w:rsid w:val="008E7BAB"/>
    <w:rsid w:val="008F0234"/>
    <w:rsid w:val="008F046C"/>
    <w:rsid w:val="008F0EDF"/>
    <w:rsid w:val="008F1020"/>
    <w:rsid w:val="008F184D"/>
    <w:rsid w:val="008F1B58"/>
    <w:rsid w:val="008F1EA0"/>
    <w:rsid w:val="008F1F8C"/>
    <w:rsid w:val="008F244C"/>
    <w:rsid w:val="008F2480"/>
    <w:rsid w:val="008F2B24"/>
    <w:rsid w:val="008F3277"/>
    <w:rsid w:val="008F332C"/>
    <w:rsid w:val="008F4927"/>
    <w:rsid w:val="008F51F5"/>
    <w:rsid w:val="008F5332"/>
    <w:rsid w:val="008F5582"/>
    <w:rsid w:val="008F56F9"/>
    <w:rsid w:val="008F5710"/>
    <w:rsid w:val="008F5C8A"/>
    <w:rsid w:val="008F5D97"/>
    <w:rsid w:val="008F5E88"/>
    <w:rsid w:val="008F633D"/>
    <w:rsid w:val="008F76CA"/>
    <w:rsid w:val="008F77A2"/>
    <w:rsid w:val="008F7872"/>
    <w:rsid w:val="008F7E56"/>
    <w:rsid w:val="009000CC"/>
    <w:rsid w:val="00900355"/>
    <w:rsid w:val="00900517"/>
    <w:rsid w:val="009006CB"/>
    <w:rsid w:val="00900DE6"/>
    <w:rsid w:val="009010A4"/>
    <w:rsid w:val="00901111"/>
    <w:rsid w:val="0090133D"/>
    <w:rsid w:val="00901C1C"/>
    <w:rsid w:val="009020D0"/>
    <w:rsid w:val="009021E1"/>
    <w:rsid w:val="00902ABE"/>
    <w:rsid w:val="00902E1B"/>
    <w:rsid w:val="00902F58"/>
    <w:rsid w:val="00902FAC"/>
    <w:rsid w:val="0090305A"/>
    <w:rsid w:val="00903F13"/>
    <w:rsid w:val="0090441C"/>
    <w:rsid w:val="00904822"/>
    <w:rsid w:val="00904BEA"/>
    <w:rsid w:val="00904D2A"/>
    <w:rsid w:val="0090520A"/>
    <w:rsid w:val="009056D7"/>
    <w:rsid w:val="0090575B"/>
    <w:rsid w:val="00905841"/>
    <w:rsid w:val="00905C4A"/>
    <w:rsid w:val="00905C83"/>
    <w:rsid w:val="00905F1D"/>
    <w:rsid w:val="00905F4E"/>
    <w:rsid w:val="009060BF"/>
    <w:rsid w:val="00906242"/>
    <w:rsid w:val="0090624A"/>
    <w:rsid w:val="0090642E"/>
    <w:rsid w:val="0090654A"/>
    <w:rsid w:val="00906654"/>
    <w:rsid w:val="00906944"/>
    <w:rsid w:val="00906B88"/>
    <w:rsid w:val="00906B8D"/>
    <w:rsid w:val="00906C34"/>
    <w:rsid w:val="00906D6A"/>
    <w:rsid w:val="009076FF"/>
    <w:rsid w:val="00907B6D"/>
    <w:rsid w:val="00907B80"/>
    <w:rsid w:val="009100E0"/>
    <w:rsid w:val="009106F4"/>
    <w:rsid w:val="0091074E"/>
    <w:rsid w:val="009108F9"/>
    <w:rsid w:val="00911276"/>
    <w:rsid w:val="00911724"/>
    <w:rsid w:val="00911A1F"/>
    <w:rsid w:val="00911E75"/>
    <w:rsid w:val="00911EA0"/>
    <w:rsid w:val="00912A99"/>
    <w:rsid w:val="00912DC3"/>
    <w:rsid w:val="00912DD0"/>
    <w:rsid w:val="00912E7D"/>
    <w:rsid w:val="0091352F"/>
    <w:rsid w:val="009138B2"/>
    <w:rsid w:val="0091395F"/>
    <w:rsid w:val="00913D85"/>
    <w:rsid w:val="00913ED1"/>
    <w:rsid w:val="009143C5"/>
    <w:rsid w:val="00914702"/>
    <w:rsid w:val="00914899"/>
    <w:rsid w:val="00914C7C"/>
    <w:rsid w:val="00914FE8"/>
    <w:rsid w:val="00915351"/>
    <w:rsid w:val="00915AC3"/>
    <w:rsid w:val="00916A38"/>
    <w:rsid w:val="00916CE5"/>
    <w:rsid w:val="00916E6B"/>
    <w:rsid w:val="00916E9C"/>
    <w:rsid w:val="0091717F"/>
    <w:rsid w:val="00917E9B"/>
    <w:rsid w:val="00917F5E"/>
    <w:rsid w:val="009203A5"/>
    <w:rsid w:val="009206AD"/>
    <w:rsid w:val="00920908"/>
    <w:rsid w:val="00920DF6"/>
    <w:rsid w:val="00920E55"/>
    <w:rsid w:val="009213E6"/>
    <w:rsid w:val="009215D6"/>
    <w:rsid w:val="00921C77"/>
    <w:rsid w:val="009220AE"/>
    <w:rsid w:val="009221DB"/>
    <w:rsid w:val="0092276B"/>
    <w:rsid w:val="00922B03"/>
    <w:rsid w:val="00922B5B"/>
    <w:rsid w:val="009230C4"/>
    <w:rsid w:val="00923580"/>
    <w:rsid w:val="00923FA6"/>
    <w:rsid w:val="00923FF8"/>
    <w:rsid w:val="0092400A"/>
    <w:rsid w:val="00924503"/>
    <w:rsid w:val="00924957"/>
    <w:rsid w:val="00925163"/>
    <w:rsid w:val="009252B4"/>
    <w:rsid w:val="00925819"/>
    <w:rsid w:val="00925B03"/>
    <w:rsid w:val="00926049"/>
    <w:rsid w:val="00926D7B"/>
    <w:rsid w:val="00927387"/>
    <w:rsid w:val="0092788E"/>
    <w:rsid w:val="00930031"/>
    <w:rsid w:val="00930BDC"/>
    <w:rsid w:val="00930C54"/>
    <w:rsid w:val="00931130"/>
    <w:rsid w:val="00931222"/>
    <w:rsid w:val="0093132D"/>
    <w:rsid w:val="009315AC"/>
    <w:rsid w:val="00931DC2"/>
    <w:rsid w:val="00931FED"/>
    <w:rsid w:val="00932156"/>
    <w:rsid w:val="0093217B"/>
    <w:rsid w:val="00932202"/>
    <w:rsid w:val="00932658"/>
    <w:rsid w:val="009328B8"/>
    <w:rsid w:val="00932DE6"/>
    <w:rsid w:val="00932F2E"/>
    <w:rsid w:val="009335A9"/>
    <w:rsid w:val="00933A51"/>
    <w:rsid w:val="00933BB8"/>
    <w:rsid w:val="00933BF4"/>
    <w:rsid w:val="00933CF0"/>
    <w:rsid w:val="00933F45"/>
    <w:rsid w:val="009342AA"/>
    <w:rsid w:val="009349F7"/>
    <w:rsid w:val="00934BD6"/>
    <w:rsid w:val="00934EB1"/>
    <w:rsid w:val="009350F1"/>
    <w:rsid w:val="00935119"/>
    <w:rsid w:val="0093531D"/>
    <w:rsid w:val="00935487"/>
    <w:rsid w:val="00935563"/>
    <w:rsid w:val="00935639"/>
    <w:rsid w:val="009358D9"/>
    <w:rsid w:val="00935EB7"/>
    <w:rsid w:val="00936086"/>
    <w:rsid w:val="00936161"/>
    <w:rsid w:val="0093639E"/>
    <w:rsid w:val="00936534"/>
    <w:rsid w:val="0093698B"/>
    <w:rsid w:val="00936992"/>
    <w:rsid w:val="00936A32"/>
    <w:rsid w:val="00936D85"/>
    <w:rsid w:val="009373C4"/>
    <w:rsid w:val="009377D4"/>
    <w:rsid w:val="00937D6E"/>
    <w:rsid w:val="00937F6F"/>
    <w:rsid w:val="00940BAA"/>
    <w:rsid w:val="00940E55"/>
    <w:rsid w:val="00940E6C"/>
    <w:rsid w:val="0094109A"/>
    <w:rsid w:val="009410C7"/>
    <w:rsid w:val="00941177"/>
    <w:rsid w:val="009411F5"/>
    <w:rsid w:val="00942DD8"/>
    <w:rsid w:val="00942EAE"/>
    <w:rsid w:val="00943729"/>
    <w:rsid w:val="00943DA1"/>
    <w:rsid w:val="00943DC3"/>
    <w:rsid w:val="0094420D"/>
    <w:rsid w:val="0094435F"/>
    <w:rsid w:val="00944726"/>
    <w:rsid w:val="00945304"/>
    <w:rsid w:val="0094574C"/>
    <w:rsid w:val="00945DD7"/>
    <w:rsid w:val="00946031"/>
    <w:rsid w:val="009469D5"/>
    <w:rsid w:val="00946AC1"/>
    <w:rsid w:val="00946E3E"/>
    <w:rsid w:val="00946F89"/>
    <w:rsid w:val="00947A22"/>
    <w:rsid w:val="00947D69"/>
    <w:rsid w:val="009502A4"/>
    <w:rsid w:val="00950487"/>
    <w:rsid w:val="0095061C"/>
    <w:rsid w:val="0095065B"/>
    <w:rsid w:val="00950785"/>
    <w:rsid w:val="00950AFE"/>
    <w:rsid w:val="00950B77"/>
    <w:rsid w:val="009512B7"/>
    <w:rsid w:val="0095162A"/>
    <w:rsid w:val="00952381"/>
    <w:rsid w:val="00952567"/>
    <w:rsid w:val="009526DF"/>
    <w:rsid w:val="0095296A"/>
    <w:rsid w:val="00952A15"/>
    <w:rsid w:val="00952B98"/>
    <w:rsid w:val="00952FC1"/>
    <w:rsid w:val="009535F6"/>
    <w:rsid w:val="00953F15"/>
    <w:rsid w:val="009540F2"/>
    <w:rsid w:val="00954171"/>
    <w:rsid w:val="00954BB6"/>
    <w:rsid w:val="00954E3A"/>
    <w:rsid w:val="00955A2F"/>
    <w:rsid w:val="00956028"/>
    <w:rsid w:val="00956240"/>
    <w:rsid w:val="009563F5"/>
    <w:rsid w:val="0095682F"/>
    <w:rsid w:val="00956ACD"/>
    <w:rsid w:val="00956D1A"/>
    <w:rsid w:val="00956F6A"/>
    <w:rsid w:val="00956F92"/>
    <w:rsid w:val="00957644"/>
    <w:rsid w:val="0095795C"/>
    <w:rsid w:val="00957A98"/>
    <w:rsid w:val="00957B22"/>
    <w:rsid w:val="009603D2"/>
    <w:rsid w:val="00960F31"/>
    <w:rsid w:val="00961190"/>
    <w:rsid w:val="009616A6"/>
    <w:rsid w:val="009618E8"/>
    <w:rsid w:val="00961ACE"/>
    <w:rsid w:val="00961C30"/>
    <w:rsid w:val="00961DAB"/>
    <w:rsid w:val="00962580"/>
    <w:rsid w:val="0096262F"/>
    <w:rsid w:val="0096263B"/>
    <w:rsid w:val="00962C2C"/>
    <w:rsid w:val="00962D82"/>
    <w:rsid w:val="009631DC"/>
    <w:rsid w:val="009636FD"/>
    <w:rsid w:val="00963781"/>
    <w:rsid w:val="00963A9D"/>
    <w:rsid w:val="0096474A"/>
    <w:rsid w:val="0096490A"/>
    <w:rsid w:val="00964BE1"/>
    <w:rsid w:val="0096549C"/>
    <w:rsid w:val="009655B0"/>
    <w:rsid w:val="00965745"/>
    <w:rsid w:val="00965CE2"/>
    <w:rsid w:val="00965F44"/>
    <w:rsid w:val="00966726"/>
    <w:rsid w:val="0096689F"/>
    <w:rsid w:val="0096701C"/>
    <w:rsid w:val="00967051"/>
    <w:rsid w:val="009674F3"/>
    <w:rsid w:val="0096778E"/>
    <w:rsid w:val="009679F3"/>
    <w:rsid w:val="0097008B"/>
    <w:rsid w:val="009705D0"/>
    <w:rsid w:val="009710C1"/>
    <w:rsid w:val="009718BD"/>
    <w:rsid w:val="00971AA2"/>
    <w:rsid w:val="00971CCF"/>
    <w:rsid w:val="00971E56"/>
    <w:rsid w:val="00971F1B"/>
    <w:rsid w:val="0097263B"/>
    <w:rsid w:val="0097288D"/>
    <w:rsid w:val="00972EB6"/>
    <w:rsid w:val="0097315A"/>
    <w:rsid w:val="0097327A"/>
    <w:rsid w:val="0097373E"/>
    <w:rsid w:val="00973DFB"/>
    <w:rsid w:val="00974123"/>
    <w:rsid w:val="00974568"/>
    <w:rsid w:val="00974A54"/>
    <w:rsid w:val="00974B73"/>
    <w:rsid w:val="00974D08"/>
    <w:rsid w:val="00974F00"/>
    <w:rsid w:val="00975420"/>
    <w:rsid w:val="00976718"/>
    <w:rsid w:val="00976C9F"/>
    <w:rsid w:val="00976D32"/>
    <w:rsid w:val="00976E57"/>
    <w:rsid w:val="0097716E"/>
    <w:rsid w:val="00977F68"/>
    <w:rsid w:val="0098005B"/>
    <w:rsid w:val="0098006B"/>
    <w:rsid w:val="0098012E"/>
    <w:rsid w:val="009807BC"/>
    <w:rsid w:val="00980BC5"/>
    <w:rsid w:val="00980C59"/>
    <w:rsid w:val="00980CDF"/>
    <w:rsid w:val="00980F69"/>
    <w:rsid w:val="00981906"/>
    <w:rsid w:val="009819EA"/>
    <w:rsid w:val="00981DF6"/>
    <w:rsid w:val="00982A57"/>
    <w:rsid w:val="00982B1B"/>
    <w:rsid w:val="00982EEC"/>
    <w:rsid w:val="009837E9"/>
    <w:rsid w:val="009838BB"/>
    <w:rsid w:val="0098409D"/>
    <w:rsid w:val="0098418E"/>
    <w:rsid w:val="009842A8"/>
    <w:rsid w:val="00984318"/>
    <w:rsid w:val="00984C71"/>
    <w:rsid w:val="009850C9"/>
    <w:rsid w:val="00985177"/>
    <w:rsid w:val="009856A0"/>
    <w:rsid w:val="009859A8"/>
    <w:rsid w:val="009859EB"/>
    <w:rsid w:val="00985AD9"/>
    <w:rsid w:val="00985FA2"/>
    <w:rsid w:val="0098613A"/>
    <w:rsid w:val="00986172"/>
    <w:rsid w:val="00986216"/>
    <w:rsid w:val="00986FB7"/>
    <w:rsid w:val="00987124"/>
    <w:rsid w:val="009872E9"/>
    <w:rsid w:val="009875E2"/>
    <w:rsid w:val="009876AA"/>
    <w:rsid w:val="00987714"/>
    <w:rsid w:val="00987AE1"/>
    <w:rsid w:val="00987B9C"/>
    <w:rsid w:val="0099009A"/>
    <w:rsid w:val="00990446"/>
    <w:rsid w:val="0099055B"/>
    <w:rsid w:val="0099064E"/>
    <w:rsid w:val="00990BA1"/>
    <w:rsid w:val="00990EBA"/>
    <w:rsid w:val="00991748"/>
    <w:rsid w:val="009918F1"/>
    <w:rsid w:val="00991A17"/>
    <w:rsid w:val="00991A2C"/>
    <w:rsid w:val="00991CB1"/>
    <w:rsid w:val="00991D1A"/>
    <w:rsid w:val="0099215B"/>
    <w:rsid w:val="009925E2"/>
    <w:rsid w:val="00992A01"/>
    <w:rsid w:val="00992C64"/>
    <w:rsid w:val="009936E0"/>
    <w:rsid w:val="00993A5E"/>
    <w:rsid w:val="00993B10"/>
    <w:rsid w:val="00994295"/>
    <w:rsid w:val="0099436B"/>
    <w:rsid w:val="009946CE"/>
    <w:rsid w:val="00994C02"/>
    <w:rsid w:val="00994C1B"/>
    <w:rsid w:val="0099518F"/>
    <w:rsid w:val="0099568B"/>
    <w:rsid w:val="009956AA"/>
    <w:rsid w:val="00995826"/>
    <w:rsid w:val="009958D2"/>
    <w:rsid w:val="009959FF"/>
    <w:rsid w:val="00995B7F"/>
    <w:rsid w:val="00995E42"/>
    <w:rsid w:val="00995EF5"/>
    <w:rsid w:val="00995F6D"/>
    <w:rsid w:val="00996028"/>
    <w:rsid w:val="0099626E"/>
    <w:rsid w:val="00997028"/>
    <w:rsid w:val="0099709B"/>
    <w:rsid w:val="00997188"/>
    <w:rsid w:val="009974BB"/>
    <w:rsid w:val="00997A9A"/>
    <w:rsid w:val="00997AE0"/>
    <w:rsid w:val="00997C1F"/>
    <w:rsid w:val="00997E56"/>
    <w:rsid w:val="009A0387"/>
    <w:rsid w:val="009A04F5"/>
    <w:rsid w:val="009A07C6"/>
    <w:rsid w:val="009A0804"/>
    <w:rsid w:val="009A08BD"/>
    <w:rsid w:val="009A0E8E"/>
    <w:rsid w:val="009A1274"/>
    <w:rsid w:val="009A1291"/>
    <w:rsid w:val="009A15D0"/>
    <w:rsid w:val="009A18C5"/>
    <w:rsid w:val="009A19BF"/>
    <w:rsid w:val="009A1A57"/>
    <w:rsid w:val="009A1D29"/>
    <w:rsid w:val="009A1EA5"/>
    <w:rsid w:val="009A2121"/>
    <w:rsid w:val="009A280D"/>
    <w:rsid w:val="009A2889"/>
    <w:rsid w:val="009A28B6"/>
    <w:rsid w:val="009A2924"/>
    <w:rsid w:val="009A2A76"/>
    <w:rsid w:val="009A2F15"/>
    <w:rsid w:val="009A312D"/>
    <w:rsid w:val="009A3A97"/>
    <w:rsid w:val="009A3AA6"/>
    <w:rsid w:val="009A40EC"/>
    <w:rsid w:val="009A4233"/>
    <w:rsid w:val="009A4287"/>
    <w:rsid w:val="009A4295"/>
    <w:rsid w:val="009A4321"/>
    <w:rsid w:val="009A438D"/>
    <w:rsid w:val="009A4FC0"/>
    <w:rsid w:val="009A51C6"/>
    <w:rsid w:val="009A59C3"/>
    <w:rsid w:val="009A5C1F"/>
    <w:rsid w:val="009A5D86"/>
    <w:rsid w:val="009A6268"/>
    <w:rsid w:val="009A6814"/>
    <w:rsid w:val="009A6E4C"/>
    <w:rsid w:val="009A6E9E"/>
    <w:rsid w:val="009A72C8"/>
    <w:rsid w:val="009A748C"/>
    <w:rsid w:val="009A7661"/>
    <w:rsid w:val="009A7761"/>
    <w:rsid w:val="009A77AB"/>
    <w:rsid w:val="009A7A61"/>
    <w:rsid w:val="009A7EA5"/>
    <w:rsid w:val="009A7F25"/>
    <w:rsid w:val="009B034B"/>
    <w:rsid w:val="009B038F"/>
    <w:rsid w:val="009B0B3F"/>
    <w:rsid w:val="009B0BD2"/>
    <w:rsid w:val="009B0CA9"/>
    <w:rsid w:val="009B0CC4"/>
    <w:rsid w:val="009B1180"/>
    <w:rsid w:val="009B13E3"/>
    <w:rsid w:val="009B193D"/>
    <w:rsid w:val="009B1AF1"/>
    <w:rsid w:val="009B1BFC"/>
    <w:rsid w:val="009B1E22"/>
    <w:rsid w:val="009B23DA"/>
    <w:rsid w:val="009B24B5"/>
    <w:rsid w:val="009B2599"/>
    <w:rsid w:val="009B2A3D"/>
    <w:rsid w:val="009B2E79"/>
    <w:rsid w:val="009B3361"/>
    <w:rsid w:val="009B33FF"/>
    <w:rsid w:val="009B36EC"/>
    <w:rsid w:val="009B3A82"/>
    <w:rsid w:val="009B3A93"/>
    <w:rsid w:val="009B3E4C"/>
    <w:rsid w:val="009B40EC"/>
    <w:rsid w:val="009B4127"/>
    <w:rsid w:val="009B42DB"/>
    <w:rsid w:val="009B496D"/>
    <w:rsid w:val="009B4978"/>
    <w:rsid w:val="009B4F45"/>
    <w:rsid w:val="009B4F89"/>
    <w:rsid w:val="009B508F"/>
    <w:rsid w:val="009B517D"/>
    <w:rsid w:val="009B51B4"/>
    <w:rsid w:val="009B5BD1"/>
    <w:rsid w:val="009B62A7"/>
    <w:rsid w:val="009B62CC"/>
    <w:rsid w:val="009B6685"/>
    <w:rsid w:val="009B6899"/>
    <w:rsid w:val="009B70A5"/>
    <w:rsid w:val="009B71A4"/>
    <w:rsid w:val="009B7277"/>
    <w:rsid w:val="009B7712"/>
    <w:rsid w:val="009B7D80"/>
    <w:rsid w:val="009B7E09"/>
    <w:rsid w:val="009B7F67"/>
    <w:rsid w:val="009C02B9"/>
    <w:rsid w:val="009C0B93"/>
    <w:rsid w:val="009C0E41"/>
    <w:rsid w:val="009C1101"/>
    <w:rsid w:val="009C122C"/>
    <w:rsid w:val="009C1331"/>
    <w:rsid w:val="009C14ED"/>
    <w:rsid w:val="009C14F6"/>
    <w:rsid w:val="009C1661"/>
    <w:rsid w:val="009C1744"/>
    <w:rsid w:val="009C1EE3"/>
    <w:rsid w:val="009C1F95"/>
    <w:rsid w:val="009C2164"/>
    <w:rsid w:val="009C2219"/>
    <w:rsid w:val="009C2C77"/>
    <w:rsid w:val="009C315C"/>
    <w:rsid w:val="009C34C0"/>
    <w:rsid w:val="009C36D7"/>
    <w:rsid w:val="009C386D"/>
    <w:rsid w:val="009C4068"/>
    <w:rsid w:val="009C408D"/>
    <w:rsid w:val="009C42C0"/>
    <w:rsid w:val="009C44C8"/>
    <w:rsid w:val="009C4A29"/>
    <w:rsid w:val="009C4A4C"/>
    <w:rsid w:val="009C5759"/>
    <w:rsid w:val="009C5B18"/>
    <w:rsid w:val="009C6791"/>
    <w:rsid w:val="009C68BD"/>
    <w:rsid w:val="009C6957"/>
    <w:rsid w:val="009C73EA"/>
    <w:rsid w:val="009C761C"/>
    <w:rsid w:val="009C770C"/>
    <w:rsid w:val="009C7926"/>
    <w:rsid w:val="009C7F15"/>
    <w:rsid w:val="009D0463"/>
    <w:rsid w:val="009D0637"/>
    <w:rsid w:val="009D0B71"/>
    <w:rsid w:val="009D0BF2"/>
    <w:rsid w:val="009D1099"/>
    <w:rsid w:val="009D1114"/>
    <w:rsid w:val="009D11C2"/>
    <w:rsid w:val="009D1BC2"/>
    <w:rsid w:val="009D1CD7"/>
    <w:rsid w:val="009D1F45"/>
    <w:rsid w:val="009D202D"/>
    <w:rsid w:val="009D245B"/>
    <w:rsid w:val="009D2543"/>
    <w:rsid w:val="009D2554"/>
    <w:rsid w:val="009D262F"/>
    <w:rsid w:val="009D3598"/>
    <w:rsid w:val="009D4050"/>
    <w:rsid w:val="009D4653"/>
    <w:rsid w:val="009D46B0"/>
    <w:rsid w:val="009D5537"/>
    <w:rsid w:val="009D55CD"/>
    <w:rsid w:val="009D55FD"/>
    <w:rsid w:val="009D592C"/>
    <w:rsid w:val="009D5D29"/>
    <w:rsid w:val="009D6157"/>
    <w:rsid w:val="009D6811"/>
    <w:rsid w:val="009D68B4"/>
    <w:rsid w:val="009D7244"/>
    <w:rsid w:val="009D7B87"/>
    <w:rsid w:val="009E0073"/>
    <w:rsid w:val="009E014C"/>
    <w:rsid w:val="009E01B0"/>
    <w:rsid w:val="009E05B6"/>
    <w:rsid w:val="009E07D8"/>
    <w:rsid w:val="009E0CB8"/>
    <w:rsid w:val="009E0E4B"/>
    <w:rsid w:val="009E11AE"/>
    <w:rsid w:val="009E1316"/>
    <w:rsid w:val="009E13FA"/>
    <w:rsid w:val="009E1F30"/>
    <w:rsid w:val="009E20F6"/>
    <w:rsid w:val="009E2746"/>
    <w:rsid w:val="009E2C65"/>
    <w:rsid w:val="009E335D"/>
    <w:rsid w:val="009E34FD"/>
    <w:rsid w:val="009E357C"/>
    <w:rsid w:val="009E35C5"/>
    <w:rsid w:val="009E3DE3"/>
    <w:rsid w:val="009E3FBC"/>
    <w:rsid w:val="009E4689"/>
    <w:rsid w:val="009E47CF"/>
    <w:rsid w:val="009E4985"/>
    <w:rsid w:val="009E4F8B"/>
    <w:rsid w:val="009E5119"/>
    <w:rsid w:val="009E5428"/>
    <w:rsid w:val="009E544D"/>
    <w:rsid w:val="009E5DDA"/>
    <w:rsid w:val="009E62D6"/>
    <w:rsid w:val="009E722F"/>
    <w:rsid w:val="009E72A3"/>
    <w:rsid w:val="009E7B8B"/>
    <w:rsid w:val="009E7FDC"/>
    <w:rsid w:val="009F066B"/>
    <w:rsid w:val="009F06E0"/>
    <w:rsid w:val="009F093A"/>
    <w:rsid w:val="009F0AF5"/>
    <w:rsid w:val="009F0D5C"/>
    <w:rsid w:val="009F0E1C"/>
    <w:rsid w:val="009F0E61"/>
    <w:rsid w:val="009F1166"/>
    <w:rsid w:val="009F2085"/>
    <w:rsid w:val="009F23A6"/>
    <w:rsid w:val="009F24C1"/>
    <w:rsid w:val="009F24EE"/>
    <w:rsid w:val="009F2557"/>
    <w:rsid w:val="009F2A13"/>
    <w:rsid w:val="009F2CD1"/>
    <w:rsid w:val="009F31A4"/>
    <w:rsid w:val="009F3D9E"/>
    <w:rsid w:val="009F4506"/>
    <w:rsid w:val="009F457C"/>
    <w:rsid w:val="009F4A38"/>
    <w:rsid w:val="009F4D1B"/>
    <w:rsid w:val="009F4FB8"/>
    <w:rsid w:val="009F5231"/>
    <w:rsid w:val="009F5529"/>
    <w:rsid w:val="009F56C3"/>
    <w:rsid w:val="009F5E2E"/>
    <w:rsid w:val="009F5F41"/>
    <w:rsid w:val="009F63CD"/>
    <w:rsid w:val="009F63F0"/>
    <w:rsid w:val="009F66F6"/>
    <w:rsid w:val="009F670C"/>
    <w:rsid w:val="009F72F5"/>
    <w:rsid w:val="009F762A"/>
    <w:rsid w:val="009F7697"/>
    <w:rsid w:val="009F7A6B"/>
    <w:rsid w:val="009F7F79"/>
    <w:rsid w:val="00A00323"/>
    <w:rsid w:val="00A0052F"/>
    <w:rsid w:val="00A0057A"/>
    <w:rsid w:val="00A00851"/>
    <w:rsid w:val="00A0167C"/>
    <w:rsid w:val="00A01838"/>
    <w:rsid w:val="00A01A2D"/>
    <w:rsid w:val="00A01BC9"/>
    <w:rsid w:val="00A01CFC"/>
    <w:rsid w:val="00A01EEB"/>
    <w:rsid w:val="00A02964"/>
    <w:rsid w:val="00A02CFF"/>
    <w:rsid w:val="00A036FF"/>
    <w:rsid w:val="00A03C5C"/>
    <w:rsid w:val="00A04283"/>
    <w:rsid w:val="00A042F7"/>
    <w:rsid w:val="00A0431C"/>
    <w:rsid w:val="00A0442D"/>
    <w:rsid w:val="00A04599"/>
    <w:rsid w:val="00A04682"/>
    <w:rsid w:val="00A04769"/>
    <w:rsid w:val="00A04831"/>
    <w:rsid w:val="00A04BEF"/>
    <w:rsid w:val="00A04D4C"/>
    <w:rsid w:val="00A04DB1"/>
    <w:rsid w:val="00A04F0E"/>
    <w:rsid w:val="00A051F1"/>
    <w:rsid w:val="00A058C9"/>
    <w:rsid w:val="00A05973"/>
    <w:rsid w:val="00A05C84"/>
    <w:rsid w:val="00A05F28"/>
    <w:rsid w:val="00A0619D"/>
    <w:rsid w:val="00A065BA"/>
    <w:rsid w:val="00A0682D"/>
    <w:rsid w:val="00A068D5"/>
    <w:rsid w:val="00A06952"/>
    <w:rsid w:val="00A07549"/>
    <w:rsid w:val="00A07669"/>
    <w:rsid w:val="00A07791"/>
    <w:rsid w:val="00A07E12"/>
    <w:rsid w:val="00A110B2"/>
    <w:rsid w:val="00A11419"/>
    <w:rsid w:val="00A11C7F"/>
    <w:rsid w:val="00A11EB5"/>
    <w:rsid w:val="00A120E1"/>
    <w:rsid w:val="00A123FE"/>
    <w:rsid w:val="00A12BCA"/>
    <w:rsid w:val="00A12C42"/>
    <w:rsid w:val="00A12D79"/>
    <w:rsid w:val="00A1358A"/>
    <w:rsid w:val="00A136DC"/>
    <w:rsid w:val="00A1390C"/>
    <w:rsid w:val="00A13EBC"/>
    <w:rsid w:val="00A13EE7"/>
    <w:rsid w:val="00A13FD4"/>
    <w:rsid w:val="00A14458"/>
    <w:rsid w:val="00A14D3B"/>
    <w:rsid w:val="00A14D68"/>
    <w:rsid w:val="00A155A3"/>
    <w:rsid w:val="00A16496"/>
    <w:rsid w:val="00A1664D"/>
    <w:rsid w:val="00A16B6A"/>
    <w:rsid w:val="00A16F33"/>
    <w:rsid w:val="00A16FD9"/>
    <w:rsid w:val="00A17CEA"/>
    <w:rsid w:val="00A17E7E"/>
    <w:rsid w:val="00A207D1"/>
    <w:rsid w:val="00A20BAC"/>
    <w:rsid w:val="00A20DAC"/>
    <w:rsid w:val="00A20F56"/>
    <w:rsid w:val="00A21455"/>
    <w:rsid w:val="00A216A1"/>
    <w:rsid w:val="00A21DB5"/>
    <w:rsid w:val="00A225E9"/>
    <w:rsid w:val="00A22785"/>
    <w:rsid w:val="00A22933"/>
    <w:rsid w:val="00A231FB"/>
    <w:rsid w:val="00A23B28"/>
    <w:rsid w:val="00A23CC4"/>
    <w:rsid w:val="00A240B9"/>
    <w:rsid w:val="00A247A5"/>
    <w:rsid w:val="00A24894"/>
    <w:rsid w:val="00A248A0"/>
    <w:rsid w:val="00A24A4E"/>
    <w:rsid w:val="00A25449"/>
    <w:rsid w:val="00A25669"/>
    <w:rsid w:val="00A258D7"/>
    <w:rsid w:val="00A26128"/>
    <w:rsid w:val="00A26AC3"/>
    <w:rsid w:val="00A273E5"/>
    <w:rsid w:val="00A3043D"/>
    <w:rsid w:val="00A31A8E"/>
    <w:rsid w:val="00A31B34"/>
    <w:rsid w:val="00A32303"/>
    <w:rsid w:val="00A3233C"/>
    <w:rsid w:val="00A323F9"/>
    <w:rsid w:val="00A3294F"/>
    <w:rsid w:val="00A32FF7"/>
    <w:rsid w:val="00A33013"/>
    <w:rsid w:val="00A33847"/>
    <w:rsid w:val="00A339A0"/>
    <w:rsid w:val="00A34151"/>
    <w:rsid w:val="00A34219"/>
    <w:rsid w:val="00A343DC"/>
    <w:rsid w:val="00A34423"/>
    <w:rsid w:val="00A34522"/>
    <w:rsid w:val="00A3457F"/>
    <w:rsid w:val="00A34801"/>
    <w:rsid w:val="00A352D6"/>
    <w:rsid w:val="00A35B8D"/>
    <w:rsid w:val="00A35D0C"/>
    <w:rsid w:val="00A35D19"/>
    <w:rsid w:val="00A35E48"/>
    <w:rsid w:val="00A3623D"/>
    <w:rsid w:val="00A3666F"/>
    <w:rsid w:val="00A36C45"/>
    <w:rsid w:val="00A36C98"/>
    <w:rsid w:val="00A36F4A"/>
    <w:rsid w:val="00A36FF9"/>
    <w:rsid w:val="00A37039"/>
    <w:rsid w:val="00A372BB"/>
    <w:rsid w:val="00A37B8F"/>
    <w:rsid w:val="00A400C3"/>
    <w:rsid w:val="00A40BE6"/>
    <w:rsid w:val="00A410EF"/>
    <w:rsid w:val="00A411F2"/>
    <w:rsid w:val="00A414E5"/>
    <w:rsid w:val="00A41953"/>
    <w:rsid w:val="00A41AA1"/>
    <w:rsid w:val="00A41C0C"/>
    <w:rsid w:val="00A421AA"/>
    <w:rsid w:val="00A424A8"/>
    <w:rsid w:val="00A428A3"/>
    <w:rsid w:val="00A4317E"/>
    <w:rsid w:val="00A43483"/>
    <w:rsid w:val="00A435C0"/>
    <w:rsid w:val="00A435E7"/>
    <w:rsid w:val="00A43682"/>
    <w:rsid w:val="00A43EC7"/>
    <w:rsid w:val="00A446A5"/>
    <w:rsid w:val="00A44B61"/>
    <w:rsid w:val="00A44E14"/>
    <w:rsid w:val="00A453E0"/>
    <w:rsid w:val="00A459A1"/>
    <w:rsid w:val="00A45D11"/>
    <w:rsid w:val="00A461D5"/>
    <w:rsid w:val="00A469A8"/>
    <w:rsid w:val="00A46AC6"/>
    <w:rsid w:val="00A46C15"/>
    <w:rsid w:val="00A475BA"/>
    <w:rsid w:val="00A47A51"/>
    <w:rsid w:val="00A47EA8"/>
    <w:rsid w:val="00A5007B"/>
    <w:rsid w:val="00A5029B"/>
    <w:rsid w:val="00A50623"/>
    <w:rsid w:val="00A50778"/>
    <w:rsid w:val="00A50889"/>
    <w:rsid w:val="00A513C0"/>
    <w:rsid w:val="00A51403"/>
    <w:rsid w:val="00A51593"/>
    <w:rsid w:val="00A51A20"/>
    <w:rsid w:val="00A51C64"/>
    <w:rsid w:val="00A51CE0"/>
    <w:rsid w:val="00A51D05"/>
    <w:rsid w:val="00A51D0A"/>
    <w:rsid w:val="00A52088"/>
    <w:rsid w:val="00A52DB9"/>
    <w:rsid w:val="00A52EDE"/>
    <w:rsid w:val="00A531CF"/>
    <w:rsid w:val="00A53D0A"/>
    <w:rsid w:val="00A53FD8"/>
    <w:rsid w:val="00A54897"/>
    <w:rsid w:val="00A54A5B"/>
    <w:rsid w:val="00A54DA9"/>
    <w:rsid w:val="00A55804"/>
    <w:rsid w:val="00A56330"/>
    <w:rsid w:val="00A56361"/>
    <w:rsid w:val="00A565BE"/>
    <w:rsid w:val="00A565D1"/>
    <w:rsid w:val="00A56AE2"/>
    <w:rsid w:val="00A56F90"/>
    <w:rsid w:val="00A57064"/>
    <w:rsid w:val="00A5770D"/>
    <w:rsid w:val="00A57BF7"/>
    <w:rsid w:val="00A57D0C"/>
    <w:rsid w:val="00A60796"/>
    <w:rsid w:val="00A60ED7"/>
    <w:rsid w:val="00A610DA"/>
    <w:rsid w:val="00A6150B"/>
    <w:rsid w:val="00A61A13"/>
    <w:rsid w:val="00A61A32"/>
    <w:rsid w:val="00A61C1C"/>
    <w:rsid w:val="00A61C35"/>
    <w:rsid w:val="00A61D9E"/>
    <w:rsid w:val="00A61FC9"/>
    <w:rsid w:val="00A620F4"/>
    <w:rsid w:val="00A623DD"/>
    <w:rsid w:val="00A62A4B"/>
    <w:rsid w:val="00A62DD5"/>
    <w:rsid w:val="00A62F7B"/>
    <w:rsid w:val="00A62FFE"/>
    <w:rsid w:val="00A63319"/>
    <w:rsid w:val="00A635A3"/>
    <w:rsid w:val="00A63784"/>
    <w:rsid w:val="00A64112"/>
    <w:rsid w:val="00A641B5"/>
    <w:rsid w:val="00A649BF"/>
    <w:rsid w:val="00A64A65"/>
    <w:rsid w:val="00A65269"/>
    <w:rsid w:val="00A6550A"/>
    <w:rsid w:val="00A65677"/>
    <w:rsid w:val="00A65802"/>
    <w:rsid w:val="00A658CF"/>
    <w:rsid w:val="00A65B6F"/>
    <w:rsid w:val="00A65CBB"/>
    <w:rsid w:val="00A66127"/>
    <w:rsid w:val="00A66DA8"/>
    <w:rsid w:val="00A67635"/>
    <w:rsid w:val="00A67772"/>
    <w:rsid w:val="00A677A3"/>
    <w:rsid w:val="00A67A04"/>
    <w:rsid w:val="00A67EB1"/>
    <w:rsid w:val="00A7015E"/>
    <w:rsid w:val="00A70526"/>
    <w:rsid w:val="00A70E74"/>
    <w:rsid w:val="00A71592"/>
    <w:rsid w:val="00A7195E"/>
    <w:rsid w:val="00A71EA7"/>
    <w:rsid w:val="00A721DA"/>
    <w:rsid w:val="00A722A1"/>
    <w:rsid w:val="00A725F9"/>
    <w:rsid w:val="00A725FE"/>
    <w:rsid w:val="00A726CB"/>
    <w:rsid w:val="00A72B78"/>
    <w:rsid w:val="00A73328"/>
    <w:rsid w:val="00A736C3"/>
    <w:rsid w:val="00A7373D"/>
    <w:rsid w:val="00A73F1D"/>
    <w:rsid w:val="00A74BE2"/>
    <w:rsid w:val="00A75531"/>
    <w:rsid w:val="00A757A2"/>
    <w:rsid w:val="00A758B8"/>
    <w:rsid w:val="00A75B80"/>
    <w:rsid w:val="00A75BD8"/>
    <w:rsid w:val="00A75CFC"/>
    <w:rsid w:val="00A75DA2"/>
    <w:rsid w:val="00A75DCF"/>
    <w:rsid w:val="00A76300"/>
    <w:rsid w:val="00A76759"/>
    <w:rsid w:val="00A770A4"/>
    <w:rsid w:val="00A773C0"/>
    <w:rsid w:val="00A773C6"/>
    <w:rsid w:val="00A7744A"/>
    <w:rsid w:val="00A77500"/>
    <w:rsid w:val="00A77681"/>
    <w:rsid w:val="00A779E2"/>
    <w:rsid w:val="00A77F13"/>
    <w:rsid w:val="00A804D6"/>
    <w:rsid w:val="00A8057C"/>
    <w:rsid w:val="00A809F6"/>
    <w:rsid w:val="00A80BF8"/>
    <w:rsid w:val="00A80E2B"/>
    <w:rsid w:val="00A8184E"/>
    <w:rsid w:val="00A81B2F"/>
    <w:rsid w:val="00A81DFF"/>
    <w:rsid w:val="00A825CB"/>
    <w:rsid w:val="00A82998"/>
    <w:rsid w:val="00A82FEE"/>
    <w:rsid w:val="00A83CFA"/>
    <w:rsid w:val="00A83FC2"/>
    <w:rsid w:val="00A84458"/>
    <w:rsid w:val="00A8489B"/>
    <w:rsid w:val="00A84E54"/>
    <w:rsid w:val="00A85649"/>
    <w:rsid w:val="00A85EE0"/>
    <w:rsid w:val="00A8603A"/>
    <w:rsid w:val="00A862EE"/>
    <w:rsid w:val="00A86395"/>
    <w:rsid w:val="00A864D7"/>
    <w:rsid w:val="00A86840"/>
    <w:rsid w:val="00A872F8"/>
    <w:rsid w:val="00A8738E"/>
    <w:rsid w:val="00A87C87"/>
    <w:rsid w:val="00A87E5D"/>
    <w:rsid w:val="00A90462"/>
    <w:rsid w:val="00A909CB"/>
    <w:rsid w:val="00A90D5A"/>
    <w:rsid w:val="00A90E29"/>
    <w:rsid w:val="00A91060"/>
    <w:rsid w:val="00A9140E"/>
    <w:rsid w:val="00A914D9"/>
    <w:rsid w:val="00A9161E"/>
    <w:rsid w:val="00A91698"/>
    <w:rsid w:val="00A917DB"/>
    <w:rsid w:val="00A91E64"/>
    <w:rsid w:val="00A9216A"/>
    <w:rsid w:val="00A9227F"/>
    <w:rsid w:val="00A926A9"/>
    <w:rsid w:val="00A9295D"/>
    <w:rsid w:val="00A92C8B"/>
    <w:rsid w:val="00A92FC4"/>
    <w:rsid w:val="00A93230"/>
    <w:rsid w:val="00A93337"/>
    <w:rsid w:val="00A93E97"/>
    <w:rsid w:val="00A9516E"/>
    <w:rsid w:val="00A95552"/>
    <w:rsid w:val="00A95AFB"/>
    <w:rsid w:val="00A95C46"/>
    <w:rsid w:val="00A96061"/>
    <w:rsid w:val="00A9658D"/>
    <w:rsid w:val="00A96591"/>
    <w:rsid w:val="00A96BD5"/>
    <w:rsid w:val="00A97930"/>
    <w:rsid w:val="00A97B26"/>
    <w:rsid w:val="00A97FC7"/>
    <w:rsid w:val="00AA003B"/>
    <w:rsid w:val="00AA02D1"/>
    <w:rsid w:val="00AA075A"/>
    <w:rsid w:val="00AA0ACF"/>
    <w:rsid w:val="00AA202C"/>
    <w:rsid w:val="00AA2175"/>
    <w:rsid w:val="00AA2235"/>
    <w:rsid w:val="00AA2427"/>
    <w:rsid w:val="00AA25C3"/>
    <w:rsid w:val="00AA2A31"/>
    <w:rsid w:val="00AA2FD9"/>
    <w:rsid w:val="00AA34F2"/>
    <w:rsid w:val="00AA3786"/>
    <w:rsid w:val="00AA3828"/>
    <w:rsid w:val="00AA4083"/>
    <w:rsid w:val="00AA41A3"/>
    <w:rsid w:val="00AA46B5"/>
    <w:rsid w:val="00AA4E60"/>
    <w:rsid w:val="00AA51A5"/>
    <w:rsid w:val="00AA521A"/>
    <w:rsid w:val="00AA5C34"/>
    <w:rsid w:val="00AA6047"/>
    <w:rsid w:val="00AA61E7"/>
    <w:rsid w:val="00AA6B3E"/>
    <w:rsid w:val="00AA6B4B"/>
    <w:rsid w:val="00AA6D1C"/>
    <w:rsid w:val="00AA6F8E"/>
    <w:rsid w:val="00AA74F9"/>
    <w:rsid w:val="00AA7555"/>
    <w:rsid w:val="00AA7C8F"/>
    <w:rsid w:val="00AB035E"/>
    <w:rsid w:val="00AB0500"/>
    <w:rsid w:val="00AB0ABB"/>
    <w:rsid w:val="00AB0F53"/>
    <w:rsid w:val="00AB16E8"/>
    <w:rsid w:val="00AB195F"/>
    <w:rsid w:val="00AB1C97"/>
    <w:rsid w:val="00AB1FB1"/>
    <w:rsid w:val="00AB21B3"/>
    <w:rsid w:val="00AB25B9"/>
    <w:rsid w:val="00AB292D"/>
    <w:rsid w:val="00AB356D"/>
    <w:rsid w:val="00AB35E5"/>
    <w:rsid w:val="00AB3634"/>
    <w:rsid w:val="00AB3D6F"/>
    <w:rsid w:val="00AB3E33"/>
    <w:rsid w:val="00AB4AED"/>
    <w:rsid w:val="00AB4F45"/>
    <w:rsid w:val="00AB5370"/>
    <w:rsid w:val="00AB5724"/>
    <w:rsid w:val="00AB572E"/>
    <w:rsid w:val="00AB581C"/>
    <w:rsid w:val="00AB5D5C"/>
    <w:rsid w:val="00AB600B"/>
    <w:rsid w:val="00AB7289"/>
    <w:rsid w:val="00AB748B"/>
    <w:rsid w:val="00AB75B1"/>
    <w:rsid w:val="00AB7CB6"/>
    <w:rsid w:val="00AC0123"/>
    <w:rsid w:val="00AC0427"/>
    <w:rsid w:val="00AC04F4"/>
    <w:rsid w:val="00AC06A8"/>
    <w:rsid w:val="00AC06BF"/>
    <w:rsid w:val="00AC06C8"/>
    <w:rsid w:val="00AC0CB9"/>
    <w:rsid w:val="00AC159E"/>
    <w:rsid w:val="00AC24F2"/>
    <w:rsid w:val="00AC291F"/>
    <w:rsid w:val="00AC33EE"/>
    <w:rsid w:val="00AC3491"/>
    <w:rsid w:val="00AC36FB"/>
    <w:rsid w:val="00AC3BAF"/>
    <w:rsid w:val="00AC3FE0"/>
    <w:rsid w:val="00AC4604"/>
    <w:rsid w:val="00AC4BAC"/>
    <w:rsid w:val="00AC4C84"/>
    <w:rsid w:val="00AC4F70"/>
    <w:rsid w:val="00AC5658"/>
    <w:rsid w:val="00AC5975"/>
    <w:rsid w:val="00AC5AC6"/>
    <w:rsid w:val="00AC5E50"/>
    <w:rsid w:val="00AC60AB"/>
    <w:rsid w:val="00AC6159"/>
    <w:rsid w:val="00AC640B"/>
    <w:rsid w:val="00AC6568"/>
    <w:rsid w:val="00AC65BD"/>
    <w:rsid w:val="00AC6790"/>
    <w:rsid w:val="00AC6811"/>
    <w:rsid w:val="00AC68E8"/>
    <w:rsid w:val="00AC7169"/>
    <w:rsid w:val="00AC7225"/>
    <w:rsid w:val="00AC7899"/>
    <w:rsid w:val="00AC7B5F"/>
    <w:rsid w:val="00AC7C42"/>
    <w:rsid w:val="00AC7CA6"/>
    <w:rsid w:val="00AC7F15"/>
    <w:rsid w:val="00AD02CA"/>
    <w:rsid w:val="00AD0BDD"/>
    <w:rsid w:val="00AD16A2"/>
    <w:rsid w:val="00AD1B50"/>
    <w:rsid w:val="00AD1D20"/>
    <w:rsid w:val="00AD1D28"/>
    <w:rsid w:val="00AD1EDA"/>
    <w:rsid w:val="00AD201B"/>
    <w:rsid w:val="00AD2205"/>
    <w:rsid w:val="00AD2802"/>
    <w:rsid w:val="00AD2BAD"/>
    <w:rsid w:val="00AD2CC3"/>
    <w:rsid w:val="00AD33A5"/>
    <w:rsid w:val="00AD3C13"/>
    <w:rsid w:val="00AD4454"/>
    <w:rsid w:val="00AD445A"/>
    <w:rsid w:val="00AD4725"/>
    <w:rsid w:val="00AD4A03"/>
    <w:rsid w:val="00AD4D87"/>
    <w:rsid w:val="00AD4E1B"/>
    <w:rsid w:val="00AD52EC"/>
    <w:rsid w:val="00AD5742"/>
    <w:rsid w:val="00AD595E"/>
    <w:rsid w:val="00AD5EA9"/>
    <w:rsid w:val="00AD5F00"/>
    <w:rsid w:val="00AD6012"/>
    <w:rsid w:val="00AD631C"/>
    <w:rsid w:val="00AD662F"/>
    <w:rsid w:val="00AD6932"/>
    <w:rsid w:val="00AD6B2C"/>
    <w:rsid w:val="00AD6C70"/>
    <w:rsid w:val="00AD6D13"/>
    <w:rsid w:val="00AD6F3E"/>
    <w:rsid w:val="00AD734D"/>
    <w:rsid w:val="00AD74E0"/>
    <w:rsid w:val="00AD76F7"/>
    <w:rsid w:val="00AD7DEA"/>
    <w:rsid w:val="00AE049E"/>
    <w:rsid w:val="00AE092F"/>
    <w:rsid w:val="00AE0ADA"/>
    <w:rsid w:val="00AE11F5"/>
    <w:rsid w:val="00AE13AB"/>
    <w:rsid w:val="00AE15DE"/>
    <w:rsid w:val="00AE1624"/>
    <w:rsid w:val="00AE1775"/>
    <w:rsid w:val="00AE18C6"/>
    <w:rsid w:val="00AE1997"/>
    <w:rsid w:val="00AE1AF0"/>
    <w:rsid w:val="00AE2128"/>
    <w:rsid w:val="00AE215D"/>
    <w:rsid w:val="00AE22F7"/>
    <w:rsid w:val="00AE2567"/>
    <w:rsid w:val="00AE28B7"/>
    <w:rsid w:val="00AE2CD2"/>
    <w:rsid w:val="00AE2DB5"/>
    <w:rsid w:val="00AE3DA7"/>
    <w:rsid w:val="00AE3E12"/>
    <w:rsid w:val="00AE40D5"/>
    <w:rsid w:val="00AE4901"/>
    <w:rsid w:val="00AE4B34"/>
    <w:rsid w:val="00AE4D80"/>
    <w:rsid w:val="00AE4E0E"/>
    <w:rsid w:val="00AE550E"/>
    <w:rsid w:val="00AE555E"/>
    <w:rsid w:val="00AE5A7B"/>
    <w:rsid w:val="00AE5AD5"/>
    <w:rsid w:val="00AE5CB5"/>
    <w:rsid w:val="00AE6518"/>
    <w:rsid w:val="00AE6849"/>
    <w:rsid w:val="00AE6B0C"/>
    <w:rsid w:val="00AE6C3B"/>
    <w:rsid w:val="00AE7137"/>
    <w:rsid w:val="00AE7408"/>
    <w:rsid w:val="00AE7472"/>
    <w:rsid w:val="00AE7B23"/>
    <w:rsid w:val="00AF00C7"/>
    <w:rsid w:val="00AF0696"/>
    <w:rsid w:val="00AF0A2D"/>
    <w:rsid w:val="00AF0A8B"/>
    <w:rsid w:val="00AF0EE4"/>
    <w:rsid w:val="00AF11EA"/>
    <w:rsid w:val="00AF1746"/>
    <w:rsid w:val="00AF18F8"/>
    <w:rsid w:val="00AF1CB2"/>
    <w:rsid w:val="00AF1FEB"/>
    <w:rsid w:val="00AF28E1"/>
    <w:rsid w:val="00AF2D6E"/>
    <w:rsid w:val="00AF30E2"/>
    <w:rsid w:val="00AF3158"/>
    <w:rsid w:val="00AF3163"/>
    <w:rsid w:val="00AF35FA"/>
    <w:rsid w:val="00AF3784"/>
    <w:rsid w:val="00AF38C7"/>
    <w:rsid w:val="00AF41D9"/>
    <w:rsid w:val="00AF4808"/>
    <w:rsid w:val="00AF4C57"/>
    <w:rsid w:val="00AF4D0A"/>
    <w:rsid w:val="00AF4E95"/>
    <w:rsid w:val="00AF4ED8"/>
    <w:rsid w:val="00AF520E"/>
    <w:rsid w:val="00AF5604"/>
    <w:rsid w:val="00AF578D"/>
    <w:rsid w:val="00AF5864"/>
    <w:rsid w:val="00AF59E5"/>
    <w:rsid w:val="00AF5D08"/>
    <w:rsid w:val="00AF6678"/>
    <w:rsid w:val="00AF6813"/>
    <w:rsid w:val="00AF6891"/>
    <w:rsid w:val="00AF69A7"/>
    <w:rsid w:val="00AF6A32"/>
    <w:rsid w:val="00AF6F9A"/>
    <w:rsid w:val="00AF7CD1"/>
    <w:rsid w:val="00B00285"/>
    <w:rsid w:val="00B0062A"/>
    <w:rsid w:val="00B00DE5"/>
    <w:rsid w:val="00B01DC6"/>
    <w:rsid w:val="00B01F6D"/>
    <w:rsid w:val="00B0206C"/>
    <w:rsid w:val="00B02448"/>
    <w:rsid w:val="00B0257A"/>
    <w:rsid w:val="00B0267B"/>
    <w:rsid w:val="00B02A8E"/>
    <w:rsid w:val="00B033C3"/>
    <w:rsid w:val="00B0356D"/>
    <w:rsid w:val="00B036C0"/>
    <w:rsid w:val="00B038F4"/>
    <w:rsid w:val="00B03C2D"/>
    <w:rsid w:val="00B03E1B"/>
    <w:rsid w:val="00B04177"/>
    <w:rsid w:val="00B04D5B"/>
    <w:rsid w:val="00B04D7D"/>
    <w:rsid w:val="00B04DD6"/>
    <w:rsid w:val="00B04F45"/>
    <w:rsid w:val="00B050D1"/>
    <w:rsid w:val="00B050FC"/>
    <w:rsid w:val="00B05141"/>
    <w:rsid w:val="00B05695"/>
    <w:rsid w:val="00B05726"/>
    <w:rsid w:val="00B05BCB"/>
    <w:rsid w:val="00B05EE3"/>
    <w:rsid w:val="00B06300"/>
    <w:rsid w:val="00B06553"/>
    <w:rsid w:val="00B065CA"/>
    <w:rsid w:val="00B06838"/>
    <w:rsid w:val="00B06CF9"/>
    <w:rsid w:val="00B06FE2"/>
    <w:rsid w:val="00B07133"/>
    <w:rsid w:val="00B074C6"/>
    <w:rsid w:val="00B07780"/>
    <w:rsid w:val="00B0799D"/>
    <w:rsid w:val="00B07DBD"/>
    <w:rsid w:val="00B07E44"/>
    <w:rsid w:val="00B07E8F"/>
    <w:rsid w:val="00B102ED"/>
    <w:rsid w:val="00B10684"/>
    <w:rsid w:val="00B10B1E"/>
    <w:rsid w:val="00B10EFA"/>
    <w:rsid w:val="00B11069"/>
    <w:rsid w:val="00B1111F"/>
    <w:rsid w:val="00B1144D"/>
    <w:rsid w:val="00B11861"/>
    <w:rsid w:val="00B1194E"/>
    <w:rsid w:val="00B11C14"/>
    <w:rsid w:val="00B11EB6"/>
    <w:rsid w:val="00B11F9E"/>
    <w:rsid w:val="00B1233D"/>
    <w:rsid w:val="00B123E7"/>
    <w:rsid w:val="00B125AD"/>
    <w:rsid w:val="00B125F8"/>
    <w:rsid w:val="00B1266A"/>
    <w:rsid w:val="00B129F6"/>
    <w:rsid w:val="00B12AD2"/>
    <w:rsid w:val="00B1340B"/>
    <w:rsid w:val="00B134CD"/>
    <w:rsid w:val="00B13BA7"/>
    <w:rsid w:val="00B14127"/>
    <w:rsid w:val="00B14144"/>
    <w:rsid w:val="00B148F1"/>
    <w:rsid w:val="00B1558D"/>
    <w:rsid w:val="00B15F1A"/>
    <w:rsid w:val="00B162D4"/>
    <w:rsid w:val="00B16C9D"/>
    <w:rsid w:val="00B17006"/>
    <w:rsid w:val="00B17294"/>
    <w:rsid w:val="00B17821"/>
    <w:rsid w:val="00B17A46"/>
    <w:rsid w:val="00B17B34"/>
    <w:rsid w:val="00B17EC7"/>
    <w:rsid w:val="00B20328"/>
    <w:rsid w:val="00B208D3"/>
    <w:rsid w:val="00B20D8E"/>
    <w:rsid w:val="00B20E70"/>
    <w:rsid w:val="00B211E5"/>
    <w:rsid w:val="00B21370"/>
    <w:rsid w:val="00B21670"/>
    <w:rsid w:val="00B21753"/>
    <w:rsid w:val="00B21799"/>
    <w:rsid w:val="00B217F4"/>
    <w:rsid w:val="00B21EAC"/>
    <w:rsid w:val="00B22412"/>
    <w:rsid w:val="00B228A7"/>
    <w:rsid w:val="00B23829"/>
    <w:rsid w:val="00B23A52"/>
    <w:rsid w:val="00B23C2C"/>
    <w:rsid w:val="00B23FBE"/>
    <w:rsid w:val="00B2406E"/>
    <w:rsid w:val="00B24250"/>
    <w:rsid w:val="00B25142"/>
    <w:rsid w:val="00B251EA"/>
    <w:rsid w:val="00B25499"/>
    <w:rsid w:val="00B25847"/>
    <w:rsid w:val="00B259C4"/>
    <w:rsid w:val="00B25B4C"/>
    <w:rsid w:val="00B26AC0"/>
    <w:rsid w:val="00B26BA3"/>
    <w:rsid w:val="00B27199"/>
    <w:rsid w:val="00B2724A"/>
    <w:rsid w:val="00B27613"/>
    <w:rsid w:val="00B27933"/>
    <w:rsid w:val="00B27961"/>
    <w:rsid w:val="00B27974"/>
    <w:rsid w:val="00B27982"/>
    <w:rsid w:val="00B27AED"/>
    <w:rsid w:val="00B27DB5"/>
    <w:rsid w:val="00B3000E"/>
    <w:rsid w:val="00B30AF2"/>
    <w:rsid w:val="00B30C31"/>
    <w:rsid w:val="00B30EAA"/>
    <w:rsid w:val="00B314F2"/>
    <w:rsid w:val="00B31862"/>
    <w:rsid w:val="00B31872"/>
    <w:rsid w:val="00B31BFD"/>
    <w:rsid w:val="00B31F0A"/>
    <w:rsid w:val="00B326A5"/>
    <w:rsid w:val="00B32F3E"/>
    <w:rsid w:val="00B33075"/>
    <w:rsid w:val="00B332AA"/>
    <w:rsid w:val="00B338C1"/>
    <w:rsid w:val="00B3399D"/>
    <w:rsid w:val="00B33C96"/>
    <w:rsid w:val="00B34061"/>
    <w:rsid w:val="00B34617"/>
    <w:rsid w:val="00B35775"/>
    <w:rsid w:val="00B35D97"/>
    <w:rsid w:val="00B362B1"/>
    <w:rsid w:val="00B3633D"/>
    <w:rsid w:val="00B36808"/>
    <w:rsid w:val="00B36985"/>
    <w:rsid w:val="00B370E0"/>
    <w:rsid w:val="00B40481"/>
    <w:rsid w:val="00B40625"/>
    <w:rsid w:val="00B408E1"/>
    <w:rsid w:val="00B40B3F"/>
    <w:rsid w:val="00B40B7F"/>
    <w:rsid w:val="00B411A3"/>
    <w:rsid w:val="00B41492"/>
    <w:rsid w:val="00B415B1"/>
    <w:rsid w:val="00B41791"/>
    <w:rsid w:val="00B41B6D"/>
    <w:rsid w:val="00B421A7"/>
    <w:rsid w:val="00B424A2"/>
    <w:rsid w:val="00B42536"/>
    <w:rsid w:val="00B43187"/>
    <w:rsid w:val="00B4321C"/>
    <w:rsid w:val="00B434D5"/>
    <w:rsid w:val="00B438E8"/>
    <w:rsid w:val="00B43CAE"/>
    <w:rsid w:val="00B43F30"/>
    <w:rsid w:val="00B44350"/>
    <w:rsid w:val="00B445EE"/>
    <w:rsid w:val="00B4472B"/>
    <w:rsid w:val="00B44C34"/>
    <w:rsid w:val="00B44F2F"/>
    <w:rsid w:val="00B45261"/>
    <w:rsid w:val="00B45673"/>
    <w:rsid w:val="00B46795"/>
    <w:rsid w:val="00B4689A"/>
    <w:rsid w:val="00B47075"/>
    <w:rsid w:val="00B470FF"/>
    <w:rsid w:val="00B473F3"/>
    <w:rsid w:val="00B47C28"/>
    <w:rsid w:val="00B47C60"/>
    <w:rsid w:val="00B47D27"/>
    <w:rsid w:val="00B47F5E"/>
    <w:rsid w:val="00B50198"/>
    <w:rsid w:val="00B50659"/>
    <w:rsid w:val="00B5076F"/>
    <w:rsid w:val="00B50F0E"/>
    <w:rsid w:val="00B50F54"/>
    <w:rsid w:val="00B5100A"/>
    <w:rsid w:val="00B512DC"/>
    <w:rsid w:val="00B5151D"/>
    <w:rsid w:val="00B5167A"/>
    <w:rsid w:val="00B51B4E"/>
    <w:rsid w:val="00B52219"/>
    <w:rsid w:val="00B52993"/>
    <w:rsid w:val="00B52A29"/>
    <w:rsid w:val="00B53152"/>
    <w:rsid w:val="00B535CD"/>
    <w:rsid w:val="00B535D7"/>
    <w:rsid w:val="00B5379C"/>
    <w:rsid w:val="00B53806"/>
    <w:rsid w:val="00B53E9C"/>
    <w:rsid w:val="00B5446D"/>
    <w:rsid w:val="00B5462E"/>
    <w:rsid w:val="00B547CC"/>
    <w:rsid w:val="00B54847"/>
    <w:rsid w:val="00B54C57"/>
    <w:rsid w:val="00B555CA"/>
    <w:rsid w:val="00B5571B"/>
    <w:rsid w:val="00B56570"/>
    <w:rsid w:val="00B56BCE"/>
    <w:rsid w:val="00B57AD4"/>
    <w:rsid w:val="00B600B9"/>
    <w:rsid w:val="00B6032E"/>
    <w:rsid w:val="00B606D1"/>
    <w:rsid w:val="00B60815"/>
    <w:rsid w:val="00B609EE"/>
    <w:rsid w:val="00B60C8E"/>
    <w:rsid w:val="00B60D7B"/>
    <w:rsid w:val="00B6176C"/>
    <w:rsid w:val="00B61BDD"/>
    <w:rsid w:val="00B6239D"/>
    <w:rsid w:val="00B6278C"/>
    <w:rsid w:val="00B627EF"/>
    <w:rsid w:val="00B62923"/>
    <w:rsid w:val="00B62BB0"/>
    <w:rsid w:val="00B62D9C"/>
    <w:rsid w:val="00B636B5"/>
    <w:rsid w:val="00B638A4"/>
    <w:rsid w:val="00B643F9"/>
    <w:rsid w:val="00B64DEA"/>
    <w:rsid w:val="00B65059"/>
    <w:rsid w:val="00B651A7"/>
    <w:rsid w:val="00B651B7"/>
    <w:rsid w:val="00B66240"/>
    <w:rsid w:val="00B66355"/>
    <w:rsid w:val="00B66A23"/>
    <w:rsid w:val="00B67140"/>
    <w:rsid w:val="00B672BC"/>
    <w:rsid w:val="00B6749F"/>
    <w:rsid w:val="00B67526"/>
    <w:rsid w:val="00B67567"/>
    <w:rsid w:val="00B676CA"/>
    <w:rsid w:val="00B676E1"/>
    <w:rsid w:val="00B677C5"/>
    <w:rsid w:val="00B67864"/>
    <w:rsid w:val="00B67A09"/>
    <w:rsid w:val="00B67BCD"/>
    <w:rsid w:val="00B709CA"/>
    <w:rsid w:val="00B709FB"/>
    <w:rsid w:val="00B71010"/>
    <w:rsid w:val="00B711F5"/>
    <w:rsid w:val="00B71285"/>
    <w:rsid w:val="00B712C7"/>
    <w:rsid w:val="00B71667"/>
    <w:rsid w:val="00B71BDD"/>
    <w:rsid w:val="00B71F1E"/>
    <w:rsid w:val="00B71F6A"/>
    <w:rsid w:val="00B7270E"/>
    <w:rsid w:val="00B739CC"/>
    <w:rsid w:val="00B73A55"/>
    <w:rsid w:val="00B73D38"/>
    <w:rsid w:val="00B7445D"/>
    <w:rsid w:val="00B74FC1"/>
    <w:rsid w:val="00B750BC"/>
    <w:rsid w:val="00B75198"/>
    <w:rsid w:val="00B752AA"/>
    <w:rsid w:val="00B75DB3"/>
    <w:rsid w:val="00B75DC1"/>
    <w:rsid w:val="00B76696"/>
    <w:rsid w:val="00B76737"/>
    <w:rsid w:val="00B767B2"/>
    <w:rsid w:val="00B76B34"/>
    <w:rsid w:val="00B76CD0"/>
    <w:rsid w:val="00B76D45"/>
    <w:rsid w:val="00B775C4"/>
    <w:rsid w:val="00B776F3"/>
    <w:rsid w:val="00B7788D"/>
    <w:rsid w:val="00B800CC"/>
    <w:rsid w:val="00B8015D"/>
    <w:rsid w:val="00B803B7"/>
    <w:rsid w:val="00B80473"/>
    <w:rsid w:val="00B80675"/>
    <w:rsid w:val="00B80907"/>
    <w:rsid w:val="00B810CB"/>
    <w:rsid w:val="00B8122B"/>
    <w:rsid w:val="00B815C1"/>
    <w:rsid w:val="00B81FAF"/>
    <w:rsid w:val="00B8228E"/>
    <w:rsid w:val="00B829D3"/>
    <w:rsid w:val="00B82CF7"/>
    <w:rsid w:val="00B82DCF"/>
    <w:rsid w:val="00B82FF5"/>
    <w:rsid w:val="00B83235"/>
    <w:rsid w:val="00B835F5"/>
    <w:rsid w:val="00B8362E"/>
    <w:rsid w:val="00B8363E"/>
    <w:rsid w:val="00B838EF"/>
    <w:rsid w:val="00B8419C"/>
    <w:rsid w:val="00B844FC"/>
    <w:rsid w:val="00B84612"/>
    <w:rsid w:val="00B8473B"/>
    <w:rsid w:val="00B8476D"/>
    <w:rsid w:val="00B84791"/>
    <w:rsid w:val="00B8485F"/>
    <w:rsid w:val="00B84876"/>
    <w:rsid w:val="00B849B3"/>
    <w:rsid w:val="00B84B69"/>
    <w:rsid w:val="00B84ED2"/>
    <w:rsid w:val="00B85587"/>
    <w:rsid w:val="00B85796"/>
    <w:rsid w:val="00B8609C"/>
    <w:rsid w:val="00B86605"/>
    <w:rsid w:val="00B8684A"/>
    <w:rsid w:val="00B86A82"/>
    <w:rsid w:val="00B86B23"/>
    <w:rsid w:val="00B86E02"/>
    <w:rsid w:val="00B87349"/>
    <w:rsid w:val="00B873D8"/>
    <w:rsid w:val="00B875DE"/>
    <w:rsid w:val="00B87918"/>
    <w:rsid w:val="00B90230"/>
    <w:rsid w:val="00B90350"/>
    <w:rsid w:val="00B90B5A"/>
    <w:rsid w:val="00B91431"/>
    <w:rsid w:val="00B9152A"/>
    <w:rsid w:val="00B916E9"/>
    <w:rsid w:val="00B91C1A"/>
    <w:rsid w:val="00B927EE"/>
    <w:rsid w:val="00B92B48"/>
    <w:rsid w:val="00B9345D"/>
    <w:rsid w:val="00B935EE"/>
    <w:rsid w:val="00B938DB"/>
    <w:rsid w:val="00B93BE9"/>
    <w:rsid w:val="00B93D19"/>
    <w:rsid w:val="00B94561"/>
    <w:rsid w:val="00B945FE"/>
    <w:rsid w:val="00B94D34"/>
    <w:rsid w:val="00B94F3C"/>
    <w:rsid w:val="00B95167"/>
    <w:rsid w:val="00B953E8"/>
    <w:rsid w:val="00B954C5"/>
    <w:rsid w:val="00B95948"/>
    <w:rsid w:val="00B95C25"/>
    <w:rsid w:val="00B95C50"/>
    <w:rsid w:val="00B96720"/>
    <w:rsid w:val="00B9692F"/>
    <w:rsid w:val="00B96A6B"/>
    <w:rsid w:val="00B96AC7"/>
    <w:rsid w:val="00B96C4F"/>
    <w:rsid w:val="00B96C55"/>
    <w:rsid w:val="00B96E45"/>
    <w:rsid w:val="00B96EA0"/>
    <w:rsid w:val="00B96EF1"/>
    <w:rsid w:val="00B96F28"/>
    <w:rsid w:val="00B97D6D"/>
    <w:rsid w:val="00BA084B"/>
    <w:rsid w:val="00BA091D"/>
    <w:rsid w:val="00BA0DF1"/>
    <w:rsid w:val="00BA0FB3"/>
    <w:rsid w:val="00BA1405"/>
    <w:rsid w:val="00BA15D6"/>
    <w:rsid w:val="00BA15E0"/>
    <w:rsid w:val="00BA1B8D"/>
    <w:rsid w:val="00BA2118"/>
    <w:rsid w:val="00BA2339"/>
    <w:rsid w:val="00BA27FF"/>
    <w:rsid w:val="00BA2D6C"/>
    <w:rsid w:val="00BA3261"/>
    <w:rsid w:val="00BA34FF"/>
    <w:rsid w:val="00BA35B7"/>
    <w:rsid w:val="00BA373A"/>
    <w:rsid w:val="00BA37CB"/>
    <w:rsid w:val="00BA3909"/>
    <w:rsid w:val="00BA3CCA"/>
    <w:rsid w:val="00BA3D0C"/>
    <w:rsid w:val="00BA43D3"/>
    <w:rsid w:val="00BA4B46"/>
    <w:rsid w:val="00BA4F22"/>
    <w:rsid w:val="00BA517A"/>
    <w:rsid w:val="00BA51CF"/>
    <w:rsid w:val="00BA5294"/>
    <w:rsid w:val="00BA532F"/>
    <w:rsid w:val="00BA58D5"/>
    <w:rsid w:val="00BA591C"/>
    <w:rsid w:val="00BA5A20"/>
    <w:rsid w:val="00BA6612"/>
    <w:rsid w:val="00BA678E"/>
    <w:rsid w:val="00BA6816"/>
    <w:rsid w:val="00BA6CD0"/>
    <w:rsid w:val="00BA6F78"/>
    <w:rsid w:val="00BA7BDB"/>
    <w:rsid w:val="00BA7BFF"/>
    <w:rsid w:val="00BB091D"/>
    <w:rsid w:val="00BB0A42"/>
    <w:rsid w:val="00BB0DFE"/>
    <w:rsid w:val="00BB0E97"/>
    <w:rsid w:val="00BB115D"/>
    <w:rsid w:val="00BB11DA"/>
    <w:rsid w:val="00BB14EB"/>
    <w:rsid w:val="00BB1609"/>
    <w:rsid w:val="00BB1764"/>
    <w:rsid w:val="00BB2560"/>
    <w:rsid w:val="00BB2AF7"/>
    <w:rsid w:val="00BB34A9"/>
    <w:rsid w:val="00BB34B0"/>
    <w:rsid w:val="00BB351A"/>
    <w:rsid w:val="00BB375F"/>
    <w:rsid w:val="00BB3B1E"/>
    <w:rsid w:val="00BB3D31"/>
    <w:rsid w:val="00BB4460"/>
    <w:rsid w:val="00BB46C2"/>
    <w:rsid w:val="00BB492C"/>
    <w:rsid w:val="00BB4A84"/>
    <w:rsid w:val="00BB4AC2"/>
    <w:rsid w:val="00BB52C4"/>
    <w:rsid w:val="00BB571A"/>
    <w:rsid w:val="00BB5A10"/>
    <w:rsid w:val="00BB5A69"/>
    <w:rsid w:val="00BB5CD5"/>
    <w:rsid w:val="00BB5F8B"/>
    <w:rsid w:val="00BB6013"/>
    <w:rsid w:val="00BB6063"/>
    <w:rsid w:val="00BB625C"/>
    <w:rsid w:val="00BB6540"/>
    <w:rsid w:val="00BB65B3"/>
    <w:rsid w:val="00BB6AE7"/>
    <w:rsid w:val="00BB6B33"/>
    <w:rsid w:val="00BB6CF9"/>
    <w:rsid w:val="00BB6D35"/>
    <w:rsid w:val="00BB7025"/>
    <w:rsid w:val="00BB75C0"/>
    <w:rsid w:val="00BB7FF1"/>
    <w:rsid w:val="00BC085E"/>
    <w:rsid w:val="00BC09DE"/>
    <w:rsid w:val="00BC0ECA"/>
    <w:rsid w:val="00BC13B0"/>
    <w:rsid w:val="00BC154B"/>
    <w:rsid w:val="00BC1BC5"/>
    <w:rsid w:val="00BC204B"/>
    <w:rsid w:val="00BC215F"/>
    <w:rsid w:val="00BC2604"/>
    <w:rsid w:val="00BC26C3"/>
    <w:rsid w:val="00BC26FF"/>
    <w:rsid w:val="00BC3269"/>
    <w:rsid w:val="00BC3BDF"/>
    <w:rsid w:val="00BC3C45"/>
    <w:rsid w:val="00BC3CC7"/>
    <w:rsid w:val="00BC3DA5"/>
    <w:rsid w:val="00BC3E7A"/>
    <w:rsid w:val="00BC4B1A"/>
    <w:rsid w:val="00BC4B50"/>
    <w:rsid w:val="00BC509F"/>
    <w:rsid w:val="00BC53C1"/>
    <w:rsid w:val="00BC563A"/>
    <w:rsid w:val="00BC5652"/>
    <w:rsid w:val="00BC5EC3"/>
    <w:rsid w:val="00BC6A31"/>
    <w:rsid w:val="00BC6DC8"/>
    <w:rsid w:val="00BC6E97"/>
    <w:rsid w:val="00BC7F8B"/>
    <w:rsid w:val="00BD0042"/>
    <w:rsid w:val="00BD01F4"/>
    <w:rsid w:val="00BD03EA"/>
    <w:rsid w:val="00BD066C"/>
    <w:rsid w:val="00BD0B61"/>
    <w:rsid w:val="00BD0CD1"/>
    <w:rsid w:val="00BD1029"/>
    <w:rsid w:val="00BD10AB"/>
    <w:rsid w:val="00BD13DD"/>
    <w:rsid w:val="00BD169F"/>
    <w:rsid w:val="00BD17B6"/>
    <w:rsid w:val="00BD17CC"/>
    <w:rsid w:val="00BD194A"/>
    <w:rsid w:val="00BD21AC"/>
    <w:rsid w:val="00BD22C3"/>
    <w:rsid w:val="00BD2A75"/>
    <w:rsid w:val="00BD2D45"/>
    <w:rsid w:val="00BD318B"/>
    <w:rsid w:val="00BD3397"/>
    <w:rsid w:val="00BD411D"/>
    <w:rsid w:val="00BD43BD"/>
    <w:rsid w:val="00BD49A3"/>
    <w:rsid w:val="00BD5161"/>
    <w:rsid w:val="00BD5834"/>
    <w:rsid w:val="00BD5948"/>
    <w:rsid w:val="00BD5F82"/>
    <w:rsid w:val="00BD68AC"/>
    <w:rsid w:val="00BD6C77"/>
    <w:rsid w:val="00BD7914"/>
    <w:rsid w:val="00BD7927"/>
    <w:rsid w:val="00BD7AFE"/>
    <w:rsid w:val="00BD7F48"/>
    <w:rsid w:val="00BE0345"/>
    <w:rsid w:val="00BE051A"/>
    <w:rsid w:val="00BE0A64"/>
    <w:rsid w:val="00BE0BA0"/>
    <w:rsid w:val="00BE16B4"/>
    <w:rsid w:val="00BE1BB7"/>
    <w:rsid w:val="00BE1D46"/>
    <w:rsid w:val="00BE2300"/>
    <w:rsid w:val="00BE24F6"/>
    <w:rsid w:val="00BE27C0"/>
    <w:rsid w:val="00BE2902"/>
    <w:rsid w:val="00BE2CD0"/>
    <w:rsid w:val="00BE3E36"/>
    <w:rsid w:val="00BE3F1D"/>
    <w:rsid w:val="00BE431B"/>
    <w:rsid w:val="00BE46F8"/>
    <w:rsid w:val="00BE48F4"/>
    <w:rsid w:val="00BE4B3D"/>
    <w:rsid w:val="00BE4F9A"/>
    <w:rsid w:val="00BE559C"/>
    <w:rsid w:val="00BE5C9E"/>
    <w:rsid w:val="00BE61D5"/>
    <w:rsid w:val="00BE64A5"/>
    <w:rsid w:val="00BE65D5"/>
    <w:rsid w:val="00BE6A04"/>
    <w:rsid w:val="00BE6E87"/>
    <w:rsid w:val="00BE6F4B"/>
    <w:rsid w:val="00BE733A"/>
    <w:rsid w:val="00BE74A8"/>
    <w:rsid w:val="00BE7A65"/>
    <w:rsid w:val="00BF0079"/>
    <w:rsid w:val="00BF0428"/>
    <w:rsid w:val="00BF08A9"/>
    <w:rsid w:val="00BF0A85"/>
    <w:rsid w:val="00BF0AD5"/>
    <w:rsid w:val="00BF0C70"/>
    <w:rsid w:val="00BF0CF4"/>
    <w:rsid w:val="00BF0D64"/>
    <w:rsid w:val="00BF0DA9"/>
    <w:rsid w:val="00BF0F4B"/>
    <w:rsid w:val="00BF1854"/>
    <w:rsid w:val="00BF1AAB"/>
    <w:rsid w:val="00BF2086"/>
    <w:rsid w:val="00BF2546"/>
    <w:rsid w:val="00BF2969"/>
    <w:rsid w:val="00BF2A12"/>
    <w:rsid w:val="00BF2D9B"/>
    <w:rsid w:val="00BF359D"/>
    <w:rsid w:val="00BF3B1A"/>
    <w:rsid w:val="00BF3C99"/>
    <w:rsid w:val="00BF3D54"/>
    <w:rsid w:val="00BF4042"/>
    <w:rsid w:val="00BF4069"/>
    <w:rsid w:val="00BF420D"/>
    <w:rsid w:val="00BF4232"/>
    <w:rsid w:val="00BF4EA4"/>
    <w:rsid w:val="00BF4EE4"/>
    <w:rsid w:val="00BF4F8C"/>
    <w:rsid w:val="00BF51DE"/>
    <w:rsid w:val="00BF52E9"/>
    <w:rsid w:val="00BF55F7"/>
    <w:rsid w:val="00BF5682"/>
    <w:rsid w:val="00BF57F1"/>
    <w:rsid w:val="00BF5C9E"/>
    <w:rsid w:val="00BF644D"/>
    <w:rsid w:val="00BF6A73"/>
    <w:rsid w:val="00BF7202"/>
    <w:rsid w:val="00BF7396"/>
    <w:rsid w:val="00BF7996"/>
    <w:rsid w:val="00BF79DD"/>
    <w:rsid w:val="00BF7D7E"/>
    <w:rsid w:val="00C00282"/>
    <w:rsid w:val="00C003F5"/>
    <w:rsid w:val="00C00573"/>
    <w:rsid w:val="00C00878"/>
    <w:rsid w:val="00C00A42"/>
    <w:rsid w:val="00C00B0E"/>
    <w:rsid w:val="00C00B42"/>
    <w:rsid w:val="00C014C9"/>
    <w:rsid w:val="00C01AA7"/>
    <w:rsid w:val="00C01D7D"/>
    <w:rsid w:val="00C01F2C"/>
    <w:rsid w:val="00C02034"/>
    <w:rsid w:val="00C020D5"/>
    <w:rsid w:val="00C025BF"/>
    <w:rsid w:val="00C028D4"/>
    <w:rsid w:val="00C02A08"/>
    <w:rsid w:val="00C02F65"/>
    <w:rsid w:val="00C03178"/>
    <w:rsid w:val="00C0319D"/>
    <w:rsid w:val="00C031D8"/>
    <w:rsid w:val="00C03408"/>
    <w:rsid w:val="00C03843"/>
    <w:rsid w:val="00C03AF3"/>
    <w:rsid w:val="00C042F4"/>
    <w:rsid w:val="00C04498"/>
    <w:rsid w:val="00C045A5"/>
    <w:rsid w:val="00C048BB"/>
    <w:rsid w:val="00C04A67"/>
    <w:rsid w:val="00C0504C"/>
    <w:rsid w:val="00C05345"/>
    <w:rsid w:val="00C05BD9"/>
    <w:rsid w:val="00C05FC4"/>
    <w:rsid w:val="00C062AD"/>
    <w:rsid w:val="00C06372"/>
    <w:rsid w:val="00C0734D"/>
    <w:rsid w:val="00C07619"/>
    <w:rsid w:val="00C07C1B"/>
    <w:rsid w:val="00C07E55"/>
    <w:rsid w:val="00C102FD"/>
    <w:rsid w:val="00C106D1"/>
    <w:rsid w:val="00C107E9"/>
    <w:rsid w:val="00C111E2"/>
    <w:rsid w:val="00C11237"/>
    <w:rsid w:val="00C1133C"/>
    <w:rsid w:val="00C113E2"/>
    <w:rsid w:val="00C11A18"/>
    <w:rsid w:val="00C11BBD"/>
    <w:rsid w:val="00C11E50"/>
    <w:rsid w:val="00C1234B"/>
    <w:rsid w:val="00C12422"/>
    <w:rsid w:val="00C13032"/>
    <w:rsid w:val="00C13339"/>
    <w:rsid w:val="00C13516"/>
    <w:rsid w:val="00C138A5"/>
    <w:rsid w:val="00C138A6"/>
    <w:rsid w:val="00C1392A"/>
    <w:rsid w:val="00C13961"/>
    <w:rsid w:val="00C13ECC"/>
    <w:rsid w:val="00C14509"/>
    <w:rsid w:val="00C14660"/>
    <w:rsid w:val="00C146ED"/>
    <w:rsid w:val="00C1498D"/>
    <w:rsid w:val="00C14F6D"/>
    <w:rsid w:val="00C152C6"/>
    <w:rsid w:val="00C1535D"/>
    <w:rsid w:val="00C15921"/>
    <w:rsid w:val="00C1601E"/>
    <w:rsid w:val="00C16039"/>
    <w:rsid w:val="00C1685D"/>
    <w:rsid w:val="00C16975"/>
    <w:rsid w:val="00C16A29"/>
    <w:rsid w:val="00C16AE6"/>
    <w:rsid w:val="00C16CD2"/>
    <w:rsid w:val="00C17265"/>
    <w:rsid w:val="00C1796F"/>
    <w:rsid w:val="00C17A82"/>
    <w:rsid w:val="00C17A90"/>
    <w:rsid w:val="00C17BF4"/>
    <w:rsid w:val="00C17E6C"/>
    <w:rsid w:val="00C20064"/>
    <w:rsid w:val="00C20548"/>
    <w:rsid w:val="00C206A3"/>
    <w:rsid w:val="00C20951"/>
    <w:rsid w:val="00C212D5"/>
    <w:rsid w:val="00C213D3"/>
    <w:rsid w:val="00C214C2"/>
    <w:rsid w:val="00C2171F"/>
    <w:rsid w:val="00C21C2F"/>
    <w:rsid w:val="00C21FF8"/>
    <w:rsid w:val="00C22C89"/>
    <w:rsid w:val="00C22F26"/>
    <w:rsid w:val="00C237E6"/>
    <w:rsid w:val="00C23A7E"/>
    <w:rsid w:val="00C23DF8"/>
    <w:rsid w:val="00C24224"/>
    <w:rsid w:val="00C2435B"/>
    <w:rsid w:val="00C249C8"/>
    <w:rsid w:val="00C24D04"/>
    <w:rsid w:val="00C24D1F"/>
    <w:rsid w:val="00C24F87"/>
    <w:rsid w:val="00C25047"/>
    <w:rsid w:val="00C25370"/>
    <w:rsid w:val="00C25510"/>
    <w:rsid w:val="00C25BA6"/>
    <w:rsid w:val="00C25E6B"/>
    <w:rsid w:val="00C264EE"/>
    <w:rsid w:val="00C26D56"/>
    <w:rsid w:val="00C2798C"/>
    <w:rsid w:val="00C27EFA"/>
    <w:rsid w:val="00C27FA4"/>
    <w:rsid w:val="00C301E3"/>
    <w:rsid w:val="00C304AB"/>
    <w:rsid w:val="00C30601"/>
    <w:rsid w:val="00C30E3D"/>
    <w:rsid w:val="00C31203"/>
    <w:rsid w:val="00C31E1B"/>
    <w:rsid w:val="00C31E3C"/>
    <w:rsid w:val="00C31F4F"/>
    <w:rsid w:val="00C32AE4"/>
    <w:rsid w:val="00C3317A"/>
    <w:rsid w:val="00C33344"/>
    <w:rsid w:val="00C33364"/>
    <w:rsid w:val="00C33A62"/>
    <w:rsid w:val="00C33E85"/>
    <w:rsid w:val="00C345CA"/>
    <w:rsid w:val="00C34796"/>
    <w:rsid w:val="00C352EB"/>
    <w:rsid w:val="00C35460"/>
    <w:rsid w:val="00C35780"/>
    <w:rsid w:val="00C35933"/>
    <w:rsid w:val="00C3597E"/>
    <w:rsid w:val="00C35B4A"/>
    <w:rsid w:val="00C35E41"/>
    <w:rsid w:val="00C35EAF"/>
    <w:rsid w:val="00C35FBC"/>
    <w:rsid w:val="00C361A5"/>
    <w:rsid w:val="00C3631E"/>
    <w:rsid w:val="00C36487"/>
    <w:rsid w:val="00C364ED"/>
    <w:rsid w:val="00C36C50"/>
    <w:rsid w:val="00C36FD5"/>
    <w:rsid w:val="00C37159"/>
    <w:rsid w:val="00C373C1"/>
    <w:rsid w:val="00C375FD"/>
    <w:rsid w:val="00C379DE"/>
    <w:rsid w:val="00C4033D"/>
    <w:rsid w:val="00C4040C"/>
    <w:rsid w:val="00C40461"/>
    <w:rsid w:val="00C4096E"/>
    <w:rsid w:val="00C4150D"/>
    <w:rsid w:val="00C417C5"/>
    <w:rsid w:val="00C41AD9"/>
    <w:rsid w:val="00C41E73"/>
    <w:rsid w:val="00C42046"/>
    <w:rsid w:val="00C42647"/>
    <w:rsid w:val="00C427DC"/>
    <w:rsid w:val="00C42A77"/>
    <w:rsid w:val="00C42C17"/>
    <w:rsid w:val="00C43162"/>
    <w:rsid w:val="00C433A4"/>
    <w:rsid w:val="00C436A5"/>
    <w:rsid w:val="00C43C7B"/>
    <w:rsid w:val="00C43EC1"/>
    <w:rsid w:val="00C44051"/>
    <w:rsid w:val="00C4411F"/>
    <w:rsid w:val="00C44234"/>
    <w:rsid w:val="00C445D0"/>
    <w:rsid w:val="00C44970"/>
    <w:rsid w:val="00C44E8B"/>
    <w:rsid w:val="00C450B6"/>
    <w:rsid w:val="00C45151"/>
    <w:rsid w:val="00C4522B"/>
    <w:rsid w:val="00C45559"/>
    <w:rsid w:val="00C45708"/>
    <w:rsid w:val="00C45B0C"/>
    <w:rsid w:val="00C45F8D"/>
    <w:rsid w:val="00C45F9A"/>
    <w:rsid w:val="00C460BE"/>
    <w:rsid w:val="00C465E2"/>
    <w:rsid w:val="00C470AA"/>
    <w:rsid w:val="00C472EA"/>
    <w:rsid w:val="00C4761A"/>
    <w:rsid w:val="00C47971"/>
    <w:rsid w:val="00C47A8C"/>
    <w:rsid w:val="00C47CBE"/>
    <w:rsid w:val="00C502F9"/>
    <w:rsid w:val="00C5066B"/>
    <w:rsid w:val="00C509A4"/>
    <w:rsid w:val="00C51355"/>
    <w:rsid w:val="00C5185B"/>
    <w:rsid w:val="00C518D9"/>
    <w:rsid w:val="00C51A9F"/>
    <w:rsid w:val="00C51C0F"/>
    <w:rsid w:val="00C51C79"/>
    <w:rsid w:val="00C52CFD"/>
    <w:rsid w:val="00C53390"/>
    <w:rsid w:val="00C53488"/>
    <w:rsid w:val="00C5359F"/>
    <w:rsid w:val="00C538EC"/>
    <w:rsid w:val="00C53ADA"/>
    <w:rsid w:val="00C54111"/>
    <w:rsid w:val="00C54336"/>
    <w:rsid w:val="00C5437A"/>
    <w:rsid w:val="00C543EF"/>
    <w:rsid w:val="00C5491D"/>
    <w:rsid w:val="00C5499D"/>
    <w:rsid w:val="00C54C78"/>
    <w:rsid w:val="00C54F06"/>
    <w:rsid w:val="00C5500B"/>
    <w:rsid w:val="00C550D7"/>
    <w:rsid w:val="00C550DD"/>
    <w:rsid w:val="00C55385"/>
    <w:rsid w:val="00C555B4"/>
    <w:rsid w:val="00C55FD9"/>
    <w:rsid w:val="00C56114"/>
    <w:rsid w:val="00C564BB"/>
    <w:rsid w:val="00C567A9"/>
    <w:rsid w:val="00C568A6"/>
    <w:rsid w:val="00C568E3"/>
    <w:rsid w:val="00C56A97"/>
    <w:rsid w:val="00C5703E"/>
    <w:rsid w:val="00C57A04"/>
    <w:rsid w:val="00C57A66"/>
    <w:rsid w:val="00C607AD"/>
    <w:rsid w:val="00C60A7F"/>
    <w:rsid w:val="00C60B78"/>
    <w:rsid w:val="00C6106C"/>
    <w:rsid w:val="00C6130E"/>
    <w:rsid w:val="00C6136A"/>
    <w:rsid w:val="00C6155E"/>
    <w:rsid w:val="00C61830"/>
    <w:rsid w:val="00C6207C"/>
    <w:rsid w:val="00C628DF"/>
    <w:rsid w:val="00C629BC"/>
    <w:rsid w:val="00C62CD7"/>
    <w:rsid w:val="00C62E1C"/>
    <w:rsid w:val="00C63042"/>
    <w:rsid w:val="00C63219"/>
    <w:rsid w:val="00C63720"/>
    <w:rsid w:val="00C63765"/>
    <w:rsid w:val="00C638C6"/>
    <w:rsid w:val="00C6391C"/>
    <w:rsid w:val="00C640E1"/>
    <w:rsid w:val="00C653A4"/>
    <w:rsid w:val="00C653A5"/>
    <w:rsid w:val="00C65457"/>
    <w:rsid w:val="00C65934"/>
    <w:rsid w:val="00C65CE9"/>
    <w:rsid w:val="00C65DC0"/>
    <w:rsid w:val="00C66841"/>
    <w:rsid w:val="00C672C9"/>
    <w:rsid w:val="00C674EA"/>
    <w:rsid w:val="00C67F47"/>
    <w:rsid w:val="00C70878"/>
    <w:rsid w:val="00C70950"/>
    <w:rsid w:val="00C70EB9"/>
    <w:rsid w:val="00C71232"/>
    <w:rsid w:val="00C71293"/>
    <w:rsid w:val="00C712A2"/>
    <w:rsid w:val="00C712E7"/>
    <w:rsid w:val="00C7161A"/>
    <w:rsid w:val="00C7170A"/>
    <w:rsid w:val="00C71711"/>
    <w:rsid w:val="00C71987"/>
    <w:rsid w:val="00C71C3D"/>
    <w:rsid w:val="00C7206B"/>
    <w:rsid w:val="00C72150"/>
    <w:rsid w:val="00C72303"/>
    <w:rsid w:val="00C736A7"/>
    <w:rsid w:val="00C73849"/>
    <w:rsid w:val="00C73A81"/>
    <w:rsid w:val="00C741D8"/>
    <w:rsid w:val="00C742E3"/>
    <w:rsid w:val="00C74C54"/>
    <w:rsid w:val="00C74F8B"/>
    <w:rsid w:val="00C754A4"/>
    <w:rsid w:val="00C75E9E"/>
    <w:rsid w:val="00C768E9"/>
    <w:rsid w:val="00C76A4C"/>
    <w:rsid w:val="00C76C0C"/>
    <w:rsid w:val="00C76C2C"/>
    <w:rsid w:val="00C77209"/>
    <w:rsid w:val="00C7726E"/>
    <w:rsid w:val="00C772EB"/>
    <w:rsid w:val="00C7771F"/>
    <w:rsid w:val="00C77BF2"/>
    <w:rsid w:val="00C77DED"/>
    <w:rsid w:val="00C802A5"/>
    <w:rsid w:val="00C80347"/>
    <w:rsid w:val="00C80517"/>
    <w:rsid w:val="00C80F60"/>
    <w:rsid w:val="00C8108F"/>
    <w:rsid w:val="00C8161C"/>
    <w:rsid w:val="00C81AE8"/>
    <w:rsid w:val="00C81C01"/>
    <w:rsid w:val="00C820B8"/>
    <w:rsid w:val="00C820DF"/>
    <w:rsid w:val="00C8236B"/>
    <w:rsid w:val="00C823B4"/>
    <w:rsid w:val="00C824AE"/>
    <w:rsid w:val="00C8266A"/>
    <w:rsid w:val="00C82900"/>
    <w:rsid w:val="00C82CD0"/>
    <w:rsid w:val="00C82DE8"/>
    <w:rsid w:val="00C83593"/>
    <w:rsid w:val="00C83618"/>
    <w:rsid w:val="00C83896"/>
    <w:rsid w:val="00C83E81"/>
    <w:rsid w:val="00C843DD"/>
    <w:rsid w:val="00C8458D"/>
    <w:rsid w:val="00C846A2"/>
    <w:rsid w:val="00C846AC"/>
    <w:rsid w:val="00C84846"/>
    <w:rsid w:val="00C849BE"/>
    <w:rsid w:val="00C84D4F"/>
    <w:rsid w:val="00C85168"/>
    <w:rsid w:val="00C8524F"/>
    <w:rsid w:val="00C8534A"/>
    <w:rsid w:val="00C857F2"/>
    <w:rsid w:val="00C8581D"/>
    <w:rsid w:val="00C85D95"/>
    <w:rsid w:val="00C85F3F"/>
    <w:rsid w:val="00C861F1"/>
    <w:rsid w:val="00C86E7E"/>
    <w:rsid w:val="00C86EF6"/>
    <w:rsid w:val="00C874D7"/>
    <w:rsid w:val="00C8763F"/>
    <w:rsid w:val="00C87B0C"/>
    <w:rsid w:val="00C90116"/>
    <w:rsid w:val="00C905A2"/>
    <w:rsid w:val="00C90972"/>
    <w:rsid w:val="00C90C4D"/>
    <w:rsid w:val="00C90C74"/>
    <w:rsid w:val="00C90DA7"/>
    <w:rsid w:val="00C90EA6"/>
    <w:rsid w:val="00C90F55"/>
    <w:rsid w:val="00C91277"/>
    <w:rsid w:val="00C91376"/>
    <w:rsid w:val="00C91DC0"/>
    <w:rsid w:val="00C92373"/>
    <w:rsid w:val="00C92675"/>
    <w:rsid w:val="00C92790"/>
    <w:rsid w:val="00C949D6"/>
    <w:rsid w:val="00C94F9E"/>
    <w:rsid w:val="00C95363"/>
    <w:rsid w:val="00C954D0"/>
    <w:rsid w:val="00C95AD8"/>
    <w:rsid w:val="00C95B92"/>
    <w:rsid w:val="00C961BB"/>
    <w:rsid w:val="00C962AF"/>
    <w:rsid w:val="00C962F2"/>
    <w:rsid w:val="00C9701F"/>
    <w:rsid w:val="00C97758"/>
    <w:rsid w:val="00C978FC"/>
    <w:rsid w:val="00CA0147"/>
    <w:rsid w:val="00CA028F"/>
    <w:rsid w:val="00CA049D"/>
    <w:rsid w:val="00CA086E"/>
    <w:rsid w:val="00CA09E6"/>
    <w:rsid w:val="00CA0B42"/>
    <w:rsid w:val="00CA17CB"/>
    <w:rsid w:val="00CA244E"/>
    <w:rsid w:val="00CA261C"/>
    <w:rsid w:val="00CA282D"/>
    <w:rsid w:val="00CA29CC"/>
    <w:rsid w:val="00CA2B61"/>
    <w:rsid w:val="00CA3194"/>
    <w:rsid w:val="00CA3616"/>
    <w:rsid w:val="00CA372D"/>
    <w:rsid w:val="00CA3810"/>
    <w:rsid w:val="00CA3997"/>
    <w:rsid w:val="00CA3B4C"/>
    <w:rsid w:val="00CA3BF3"/>
    <w:rsid w:val="00CA3F72"/>
    <w:rsid w:val="00CA4119"/>
    <w:rsid w:val="00CA4582"/>
    <w:rsid w:val="00CA46F5"/>
    <w:rsid w:val="00CA49BF"/>
    <w:rsid w:val="00CA4D04"/>
    <w:rsid w:val="00CA508A"/>
    <w:rsid w:val="00CA53A6"/>
    <w:rsid w:val="00CA5A63"/>
    <w:rsid w:val="00CA5ADF"/>
    <w:rsid w:val="00CA5B31"/>
    <w:rsid w:val="00CA5C1D"/>
    <w:rsid w:val="00CA5C32"/>
    <w:rsid w:val="00CA63A4"/>
    <w:rsid w:val="00CA64D2"/>
    <w:rsid w:val="00CA7065"/>
    <w:rsid w:val="00CA74B6"/>
    <w:rsid w:val="00CA788D"/>
    <w:rsid w:val="00CA7A76"/>
    <w:rsid w:val="00CA7A83"/>
    <w:rsid w:val="00CA7C13"/>
    <w:rsid w:val="00CA7EE4"/>
    <w:rsid w:val="00CB0394"/>
    <w:rsid w:val="00CB0D11"/>
    <w:rsid w:val="00CB0E82"/>
    <w:rsid w:val="00CB1D90"/>
    <w:rsid w:val="00CB1EEC"/>
    <w:rsid w:val="00CB1FA8"/>
    <w:rsid w:val="00CB202D"/>
    <w:rsid w:val="00CB2D8D"/>
    <w:rsid w:val="00CB32C2"/>
    <w:rsid w:val="00CB3409"/>
    <w:rsid w:val="00CB3E6E"/>
    <w:rsid w:val="00CB485C"/>
    <w:rsid w:val="00CB4DC3"/>
    <w:rsid w:val="00CB4F1F"/>
    <w:rsid w:val="00CB55A2"/>
    <w:rsid w:val="00CB5832"/>
    <w:rsid w:val="00CB59BB"/>
    <w:rsid w:val="00CB5B77"/>
    <w:rsid w:val="00CB5BAC"/>
    <w:rsid w:val="00CB5DB0"/>
    <w:rsid w:val="00CB68B1"/>
    <w:rsid w:val="00CB734D"/>
    <w:rsid w:val="00CB735F"/>
    <w:rsid w:val="00CB74CB"/>
    <w:rsid w:val="00CB7976"/>
    <w:rsid w:val="00CB7D91"/>
    <w:rsid w:val="00CB7F18"/>
    <w:rsid w:val="00CC05F3"/>
    <w:rsid w:val="00CC070A"/>
    <w:rsid w:val="00CC0E81"/>
    <w:rsid w:val="00CC0F11"/>
    <w:rsid w:val="00CC0F4F"/>
    <w:rsid w:val="00CC13A0"/>
    <w:rsid w:val="00CC14E3"/>
    <w:rsid w:val="00CC1B9B"/>
    <w:rsid w:val="00CC23FD"/>
    <w:rsid w:val="00CC27F8"/>
    <w:rsid w:val="00CC284E"/>
    <w:rsid w:val="00CC2BCE"/>
    <w:rsid w:val="00CC2DDE"/>
    <w:rsid w:val="00CC3491"/>
    <w:rsid w:val="00CC3557"/>
    <w:rsid w:val="00CC3719"/>
    <w:rsid w:val="00CC37FC"/>
    <w:rsid w:val="00CC3D7D"/>
    <w:rsid w:val="00CC3DE5"/>
    <w:rsid w:val="00CC3E12"/>
    <w:rsid w:val="00CC3F6C"/>
    <w:rsid w:val="00CC4058"/>
    <w:rsid w:val="00CC43FC"/>
    <w:rsid w:val="00CC449E"/>
    <w:rsid w:val="00CC4633"/>
    <w:rsid w:val="00CC4BEF"/>
    <w:rsid w:val="00CC4DB1"/>
    <w:rsid w:val="00CC5044"/>
    <w:rsid w:val="00CC519B"/>
    <w:rsid w:val="00CC5546"/>
    <w:rsid w:val="00CC5598"/>
    <w:rsid w:val="00CC563F"/>
    <w:rsid w:val="00CC593C"/>
    <w:rsid w:val="00CC59A3"/>
    <w:rsid w:val="00CC5BBE"/>
    <w:rsid w:val="00CC5E2D"/>
    <w:rsid w:val="00CC5F94"/>
    <w:rsid w:val="00CC6989"/>
    <w:rsid w:val="00CC6C33"/>
    <w:rsid w:val="00CC6F91"/>
    <w:rsid w:val="00CC7233"/>
    <w:rsid w:val="00CC73DD"/>
    <w:rsid w:val="00CC7482"/>
    <w:rsid w:val="00CC7CEB"/>
    <w:rsid w:val="00CC7D94"/>
    <w:rsid w:val="00CD02EE"/>
    <w:rsid w:val="00CD0A6D"/>
    <w:rsid w:val="00CD0CEB"/>
    <w:rsid w:val="00CD0F93"/>
    <w:rsid w:val="00CD1484"/>
    <w:rsid w:val="00CD1631"/>
    <w:rsid w:val="00CD172A"/>
    <w:rsid w:val="00CD1739"/>
    <w:rsid w:val="00CD1755"/>
    <w:rsid w:val="00CD297B"/>
    <w:rsid w:val="00CD2A74"/>
    <w:rsid w:val="00CD2C62"/>
    <w:rsid w:val="00CD2E24"/>
    <w:rsid w:val="00CD373A"/>
    <w:rsid w:val="00CD40D6"/>
    <w:rsid w:val="00CD4289"/>
    <w:rsid w:val="00CD4414"/>
    <w:rsid w:val="00CD4FB4"/>
    <w:rsid w:val="00CD50ED"/>
    <w:rsid w:val="00CD52DC"/>
    <w:rsid w:val="00CD579A"/>
    <w:rsid w:val="00CD5815"/>
    <w:rsid w:val="00CD5A1B"/>
    <w:rsid w:val="00CD5DEC"/>
    <w:rsid w:val="00CD6174"/>
    <w:rsid w:val="00CD6203"/>
    <w:rsid w:val="00CD6AFF"/>
    <w:rsid w:val="00CD7409"/>
    <w:rsid w:val="00CD7923"/>
    <w:rsid w:val="00CD7ADE"/>
    <w:rsid w:val="00CE015B"/>
    <w:rsid w:val="00CE0762"/>
    <w:rsid w:val="00CE0D29"/>
    <w:rsid w:val="00CE0DDC"/>
    <w:rsid w:val="00CE109B"/>
    <w:rsid w:val="00CE16B0"/>
    <w:rsid w:val="00CE17C6"/>
    <w:rsid w:val="00CE17EF"/>
    <w:rsid w:val="00CE1B1E"/>
    <w:rsid w:val="00CE1B24"/>
    <w:rsid w:val="00CE20BB"/>
    <w:rsid w:val="00CE2435"/>
    <w:rsid w:val="00CE2A79"/>
    <w:rsid w:val="00CE2C96"/>
    <w:rsid w:val="00CE2F2A"/>
    <w:rsid w:val="00CE3215"/>
    <w:rsid w:val="00CE3B52"/>
    <w:rsid w:val="00CE3BD3"/>
    <w:rsid w:val="00CE46D7"/>
    <w:rsid w:val="00CE46DE"/>
    <w:rsid w:val="00CE492A"/>
    <w:rsid w:val="00CE4E9E"/>
    <w:rsid w:val="00CE4F80"/>
    <w:rsid w:val="00CE51C0"/>
    <w:rsid w:val="00CE5910"/>
    <w:rsid w:val="00CE5ABC"/>
    <w:rsid w:val="00CE5DB7"/>
    <w:rsid w:val="00CE5F06"/>
    <w:rsid w:val="00CE626E"/>
    <w:rsid w:val="00CE674E"/>
    <w:rsid w:val="00CE6A8B"/>
    <w:rsid w:val="00CE6DC5"/>
    <w:rsid w:val="00CE6EBE"/>
    <w:rsid w:val="00CE7AF4"/>
    <w:rsid w:val="00CE7BE8"/>
    <w:rsid w:val="00CE7C4F"/>
    <w:rsid w:val="00CF0061"/>
    <w:rsid w:val="00CF03CC"/>
    <w:rsid w:val="00CF0472"/>
    <w:rsid w:val="00CF1201"/>
    <w:rsid w:val="00CF1832"/>
    <w:rsid w:val="00CF1C4D"/>
    <w:rsid w:val="00CF1D16"/>
    <w:rsid w:val="00CF2F3D"/>
    <w:rsid w:val="00CF372C"/>
    <w:rsid w:val="00CF3881"/>
    <w:rsid w:val="00CF3C0E"/>
    <w:rsid w:val="00CF3FE8"/>
    <w:rsid w:val="00CF416A"/>
    <w:rsid w:val="00CF428C"/>
    <w:rsid w:val="00CF4A53"/>
    <w:rsid w:val="00CF4C4E"/>
    <w:rsid w:val="00CF4F17"/>
    <w:rsid w:val="00CF4F9F"/>
    <w:rsid w:val="00CF546A"/>
    <w:rsid w:val="00CF57D5"/>
    <w:rsid w:val="00CF5D66"/>
    <w:rsid w:val="00CF5E3C"/>
    <w:rsid w:val="00CF5EEE"/>
    <w:rsid w:val="00CF5FB9"/>
    <w:rsid w:val="00CF6205"/>
    <w:rsid w:val="00CF66FD"/>
    <w:rsid w:val="00CF6A96"/>
    <w:rsid w:val="00CF6D29"/>
    <w:rsid w:val="00CF7115"/>
    <w:rsid w:val="00CF7760"/>
    <w:rsid w:val="00CF77BD"/>
    <w:rsid w:val="00CF78FE"/>
    <w:rsid w:val="00CF7A09"/>
    <w:rsid w:val="00CF7C06"/>
    <w:rsid w:val="00D00040"/>
    <w:rsid w:val="00D00F14"/>
    <w:rsid w:val="00D01697"/>
    <w:rsid w:val="00D020A2"/>
    <w:rsid w:val="00D020DC"/>
    <w:rsid w:val="00D022BE"/>
    <w:rsid w:val="00D02FD1"/>
    <w:rsid w:val="00D03CA1"/>
    <w:rsid w:val="00D03E81"/>
    <w:rsid w:val="00D040D9"/>
    <w:rsid w:val="00D042A0"/>
    <w:rsid w:val="00D04327"/>
    <w:rsid w:val="00D04A35"/>
    <w:rsid w:val="00D04E3C"/>
    <w:rsid w:val="00D050EB"/>
    <w:rsid w:val="00D05195"/>
    <w:rsid w:val="00D05988"/>
    <w:rsid w:val="00D05FA7"/>
    <w:rsid w:val="00D0605E"/>
    <w:rsid w:val="00D060C9"/>
    <w:rsid w:val="00D0646C"/>
    <w:rsid w:val="00D065BE"/>
    <w:rsid w:val="00D065D2"/>
    <w:rsid w:val="00D0662A"/>
    <w:rsid w:val="00D06714"/>
    <w:rsid w:val="00D06F29"/>
    <w:rsid w:val="00D06FF3"/>
    <w:rsid w:val="00D071C5"/>
    <w:rsid w:val="00D072BF"/>
    <w:rsid w:val="00D074B4"/>
    <w:rsid w:val="00D076DA"/>
    <w:rsid w:val="00D07711"/>
    <w:rsid w:val="00D07821"/>
    <w:rsid w:val="00D07ADB"/>
    <w:rsid w:val="00D07EC3"/>
    <w:rsid w:val="00D07FA9"/>
    <w:rsid w:val="00D103E8"/>
    <w:rsid w:val="00D10404"/>
    <w:rsid w:val="00D119B4"/>
    <w:rsid w:val="00D12161"/>
    <w:rsid w:val="00D12B54"/>
    <w:rsid w:val="00D12C38"/>
    <w:rsid w:val="00D12EFA"/>
    <w:rsid w:val="00D135AE"/>
    <w:rsid w:val="00D1373A"/>
    <w:rsid w:val="00D1395B"/>
    <w:rsid w:val="00D13E2D"/>
    <w:rsid w:val="00D1467F"/>
    <w:rsid w:val="00D146E8"/>
    <w:rsid w:val="00D14E39"/>
    <w:rsid w:val="00D14F79"/>
    <w:rsid w:val="00D15176"/>
    <w:rsid w:val="00D15279"/>
    <w:rsid w:val="00D15791"/>
    <w:rsid w:val="00D15B67"/>
    <w:rsid w:val="00D1634C"/>
    <w:rsid w:val="00D16430"/>
    <w:rsid w:val="00D16550"/>
    <w:rsid w:val="00D1680D"/>
    <w:rsid w:val="00D16BA9"/>
    <w:rsid w:val="00D16C47"/>
    <w:rsid w:val="00D16CFD"/>
    <w:rsid w:val="00D17709"/>
    <w:rsid w:val="00D2010C"/>
    <w:rsid w:val="00D2024D"/>
    <w:rsid w:val="00D20566"/>
    <w:rsid w:val="00D20580"/>
    <w:rsid w:val="00D2062A"/>
    <w:rsid w:val="00D2066C"/>
    <w:rsid w:val="00D21569"/>
    <w:rsid w:val="00D21AB5"/>
    <w:rsid w:val="00D21D72"/>
    <w:rsid w:val="00D22679"/>
    <w:rsid w:val="00D22867"/>
    <w:rsid w:val="00D23335"/>
    <w:rsid w:val="00D2384E"/>
    <w:rsid w:val="00D23984"/>
    <w:rsid w:val="00D24620"/>
    <w:rsid w:val="00D248F4"/>
    <w:rsid w:val="00D24C50"/>
    <w:rsid w:val="00D24D05"/>
    <w:rsid w:val="00D2539A"/>
    <w:rsid w:val="00D253EA"/>
    <w:rsid w:val="00D25501"/>
    <w:rsid w:val="00D25742"/>
    <w:rsid w:val="00D25967"/>
    <w:rsid w:val="00D25A7A"/>
    <w:rsid w:val="00D25DED"/>
    <w:rsid w:val="00D260CF"/>
    <w:rsid w:val="00D261A9"/>
    <w:rsid w:val="00D26780"/>
    <w:rsid w:val="00D2678E"/>
    <w:rsid w:val="00D26867"/>
    <w:rsid w:val="00D26C09"/>
    <w:rsid w:val="00D26C39"/>
    <w:rsid w:val="00D26CB8"/>
    <w:rsid w:val="00D26DDD"/>
    <w:rsid w:val="00D26FDA"/>
    <w:rsid w:val="00D2716C"/>
    <w:rsid w:val="00D27D69"/>
    <w:rsid w:val="00D30003"/>
    <w:rsid w:val="00D30307"/>
    <w:rsid w:val="00D30317"/>
    <w:rsid w:val="00D307BA"/>
    <w:rsid w:val="00D30AB3"/>
    <w:rsid w:val="00D30E9E"/>
    <w:rsid w:val="00D30EB4"/>
    <w:rsid w:val="00D30FAC"/>
    <w:rsid w:val="00D31093"/>
    <w:rsid w:val="00D31099"/>
    <w:rsid w:val="00D31179"/>
    <w:rsid w:val="00D31215"/>
    <w:rsid w:val="00D313C1"/>
    <w:rsid w:val="00D31431"/>
    <w:rsid w:val="00D3144D"/>
    <w:rsid w:val="00D3161D"/>
    <w:rsid w:val="00D3190A"/>
    <w:rsid w:val="00D31D98"/>
    <w:rsid w:val="00D32506"/>
    <w:rsid w:val="00D331BC"/>
    <w:rsid w:val="00D3324B"/>
    <w:rsid w:val="00D3355D"/>
    <w:rsid w:val="00D33FA6"/>
    <w:rsid w:val="00D3412C"/>
    <w:rsid w:val="00D34213"/>
    <w:rsid w:val="00D34235"/>
    <w:rsid w:val="00D34E08"/>
    <w:rsid w:val="00D3563B"/>
    <w:rsid w:val="00D356F0"/>
    <w:rsid w:val="00D35DC5"/>
    <w:rsid w:val="00D369E6"/>
    <w:rsid w:val="00D36B14"/>
    <w:rsid w:val="00D36B25"/>
    <w:rsid w:val="00D36BB9"/>
    <w:rsid w:val="00D36CA3"/>
    <w:rsid w:val="00D37302"/>
    <w:rsid w:val="00D37439"/>
    <w:rsid w:val="00D37492"/>
    <w:rsid w:val="00D3764A"/>
    <w:rsid w:val="00D37695"/>
    <w:rsid w:val="00D37B82"/>
    <w:rsid w:val="00D37DED"/>
    <w:rsid w:val="00D4040D"/>
    <w:rsid w:val="00D409CD"/>
    <w:rsid w:val="00D4125D"/>
    <w:rsid w:val="00D4126F"/>
    <w:rsid w:val="00D41550"/>
    <w:rsid w:val="00D41727"/>
    <w:rsid w:val="00D419F2"/>
    <w:rsid w:val="00D41A71"/>
    <w:rsid w:val="00D41C6D"/>
    <w:rsid w:val="00D41D42"/>
    <w:rsid w:val="00D41E70"/>
    <w:rsid w:val="00D428AD"/>
    <w:rsid w:val="00D43449"/>
    <w:rsid w:val="00D43716"/>
    <w:rsid w:val="00D439BC"/>
    <w:rsid w:val="00D44BAA"/>
    <w:rsid w:val="00D44EA8"/>
    <w:rsid w:val="00D45D95"/>
    <w:rsid w:val="00D45E48"/>
    <w:rsid w:val="00D45EDB"/>
    <w:rsid w:val="00D46413"/>
    <w:rsid w:val="00D46C87"/>
    <w:rsid w:val="00D46D2B"/>
    <w:rsid w:val="00D472CB"/>
    <w:rsid w:val="00D4752B"/>
    <w:rsid w:val="00D47647"/>
    <w:rsid w:val="00D47938"/>
    <w:rsid w:val="00D479E1"/>
    <w:rsid w:val="00D47B18"/>
    <w:rsid w:val="00D47C49"/>
    <w:rsid w:val="00D5090B"/>
    <w:rsid w:val="00D50BF2"/>
    <w:rsid w:val="00D5125E"/>
    <w:rsid w:val="00D512BA"/>
    <w:rsid w:val="00D51736"/>
    <w:rsid w:val="00D524BD"/>
    <w:rsid w:val="00D525BD"/>
    <w:rsid w:val="00D52FC0"/>
    <w:rsid w:val="00D53080"/>
    <w:rsid w:val="00D5355C"/>
    <w:rsid w:val="00D538E1"/>
    <w:rsid w:val="00D53C42"/>
    <w:rsid w:val="00D53E3F"/>
    <w:rsid w:val="00D53FAE"/>
    <w:rsid w:val="00D542AD"/>
    <w:rsid w:val="00D54CCB"/>
    <w:rsid w:val="00D551BF"/>
    <w:rsid w:val="00D5529F"/>
    <w:rsid w:val="00D559A2"/>
    <w:rsid w:val="00D55A2C"/>
    <w:rsid w:val="00D55DA3"/>
    <w:rsid w:val="00D565A1"/>
    <w:rsid w:val="00D56CCD"/>
    <w:rsid w:val="00D57286"/>
    <w:rsid w:val="00D574DF"/>
    <w:rsid w:val="00D57888"/>
    <w:rsid w:val="00D6043C"/>
    <w:rsid w:val="00D60992"/>
    <w:rsid w:val="00D60DCE"/>
    <w:rsid w:val="00D612E8"/>
    <w:rsid w:val="00D614DC"/>
    <w:rsid w:val="00D61501"/>
    <w:rsid w:val="00D61683"/>
    <w:rsid w:val="00D62065"/>
    <w:rsid w:val="00D62456"/>
    <w:rsid w:val="00D624E2"/>
    <w:rsid w:val="00D628DB"/>
    <w:rsid w:val="00D62F07"/>
    <w:rsid w:val="00D6307E"/>
    <w:rsid w:val="00D630A2"/>
    <w:rsid w:val="00D63177"/>
    <w:rsid w:val="00D6333E"/>
    <w:rsid w:val="00D63425"/>
    <w:rsid w:val="00D63594"/>
    <w:rsid w:val="00D635C3"/>
    <w:rsid w:val="00D63740"/>
    <w:rsid w:val="00D63B57"/>
    <w:rsid w:val="00D63CDA"/>
    <w:rsid w:val="00D6431B"/>
    <w:rsid w:val="00D64BAD"/>
    <w:rsid w:val="00D65183"/>
    <w:rsid w:val="00D658FA"/>
    <w:rsid w:val="00D65939"/>
    <w:rsid w:val="00D65D9C"/>
    <w:rsid w:val="00D65F86"/>
    <w:rsid w:val="00D6600C"/>
    <w:rsid w:val="00D66497"/>
    <w:rsid w:val="00D66707"/>
    <w:rsid w:val="00D670D0"/>
    <w:rsid w:val="00D674DA"/>
    <w:rsid w:val="00D67713"/>
    <w:rsid w:val="00D67805"/>
    <w:rsid w:val="00D67AB4"/>
    <w:rsid w:val="00D67AC5"/>
    <w:rsid w:val="00D67CA4"/>
    <w:rsid w:val="00D67E2B"/>
    <w:rsid w:val="00D67FAD"/>
    <w:rsid w:val="00D7069E"/>
    <w:rsid w:val="00D708ED"/>
    <w:rsid w:val="00D70962"/>
    <w:rsid w:val="00D709E5"/>
    <w:rsid w:val="00D70C42"/>
    <w:rsid w:val="00D70D98"/>
    <w:rsid w:val="00D70FC4"/>
    <w:rsid w:val="00D71542"/>
    <w:rsid w:val="00D71AB9"/>
    <w:rsid w:val="00D71B4C"/>
    <w:rsid w:val="00D730E0"/>
    <w:rsid w:val="00D7317D"/>
    <w:rsid w:val="00D732C6"/>
    <w:rsid w:val="00D7345C"/>
    <w:rsid w:val="00D734F6"/>
    <w:rsid w:val="00D73926"/>
    <w:rsid w:val="00D74510"/>
    <w:rsid w:val="00D74689"/>
    <w:rsid w:val="00D74862"/>
    <w:rsid w:val="00D74A80"/>
    <w:rsid w:val="00D74B5C"/>
    <w:rsid w:val="00D74B68"/>
    <w:rsid w:val="00D750A5"/>
    <w:rsid w:val="00D750EB"/>
    <w:rsid w:val="00D75459"/>
    <w:rsid w:val="00D75A80"/>
    <w:rsid w:val="00D75C4A"/>
    <w:rsid w:val="00D76779"/>
    <w:rsid w:val="00D76EC1"/>
    <w:rsid w:val="00D76FED"/>
    <w:rsid w:val="00D7790F"/>
    <w:rsid w:val="00D77A54"/>
    <w:rsid w:val="00D77D87"/>
    <w:rsid w:val="00D77DA3"/>
    <w:rsid w:val="00D80902"/>
    <w:rsid w:val="00D80D4F"/>
    <w:rsid w:val="00D8138E"/>
    <w:rsid w:val="00D8145A"/>
    <w:rsid w:val="00D81ABB"/>
    <w:rsid w:val="00D81B60"/>
    <w:rsid w:val="00D81E4B"/>
    <w:rsid w:val="00D822BC"/>
    <w:rsid w:val="00D8283F"/>
    <w:rsid w:val="00D82B5B"/>
    <w:rsid w:val="00D82F23"/>
    <w:rsid w:val="00D83293"/>
    <w:rsid w:val="00D834EF"/>
    <w:rsid w:val="00D8372A"/>
    <w:rsid w:val="00D837F1"/>
    <w:rsid w:val="00D8387B"/>
    <w:rsid w:val="00D83B9F"/>
    <w:rsid w:val="00D840F1"/>
    <w:rsid w:val="00D843A6"/>
    <w:rsid w:val="00D85582"/>
    <w:rsid w:val="00D85A1C"/>
    <w:rsid w:val="00D85F69"/>
    <w:rsid w:val="00D863EC"/>
    <w:rsid w:val="00D86741"/>
    <w:rsid w:val="00D8679B"/>
    <w:rsid w:val="00D86A38"/>
    <w:rsid w:val="00D86D3D"/>
    <w:rsid w:val="00D8732D"/>
    <w:rsid w:val="00D87590"/>
    <w:rsid w:val="00D8766B"/>
    <w:rsid w:val="00D877CF"/>
    <w:rsid w:val="00D906A0"/>
    <w:rsid w:val="00D906E6"/>
    <w:rsid w:val="00D90B19"/>
    <w:rsid w:val="00D90B57"/>
    <w:rsid w:val="00D9160E"/>
    <w:rsid w:val="00D91618"/>
    <w:rsid w:val="00D918F1"/>
    <w:rsid w:val="00D919C1"/>
    <w:rsid w:val="00D91AB1"/>
    <w:rsid w:val="00D91DBE"/>
    <w:rsid w:val="00D91DCC"/>
    <w:rsid w:val="00D92A43"/>
    <w:rsid w:val="00D9331D"/>
    <w:rsid w:val="00D93B23"/>
    <w:rsid w:val="00D93DFF"/>
    <w:rsid w:val="00D94541"/>
    <w:rsid w:val="00D947FB"/>
    <w:rsid w:val="00D94AB4"/>
    <w:rsid w:val="00D953E0"/>
    <w:rsid w:val="00D9544D"/>
    <w:rsid w:val="00D9579C"/>
    <w:rsid w:val="00D9584B"/>
    <w:rsid w:val="00D95F42"/>
    <w:rsid w:val="00D961D2"/>
    <w:rsid w:val="00D961FA"/>
    <w:rsid w:val="00D9621B"/>
    <w:rsid w:val="00D96335"/>
    <w:rsid w:val="00D969F5"/>
    <w:rsid w:val="00D96CD1"/>
    <w:rsid w:val="00D96D8D"/>
    <w:rsid w:val="00D9752E"/>
    <w:rsid w:val="00DA017C"/>
    <w:rsid w:val="00DA081A"/>
    <w:rsid w:val="00DA102B"/>
    <w:rsid w:val="00DA17F0"/>
    <w:rsid w:val="00DA18B2"/>
    <w:rsid w:val="00DA1AD4"/>
    <w:rsid w:val="00DA21D8"/>
    <w:rsid w:val="00DA237A"/>
    <w:rsid w:val="00DA2E3B"/>
    <w:rsid w:val="00DA30CB"/>
    <w:rsid w:val="00DA323C"/>
    <w:rsid w:val="00DA32B4"/>
    <w:rsid w:val="00DA3BB4"/>
    <w:rsid w:val="00DA3C0F"/>
    <w:rsid w:val="00DA4A3B"/>
    <w:rsid w:val="00DA4B58"/>
    <w:rsid w:val="00DA4E26"/>
    <w:rsid w:val="00DA5025"/>
    <w:rsid w:val="00DA54A3"/>
    <w:rsid w:val="00DA58AA"/>
    <w:rsid w:val="00DA5AF2"/>
    <w:rsid w:val="00DA6F13"/>
    <w:rsid w:val="00DA7016"/>
    <w:rsid w:val="00DA7E6A"/>
    <w:rsid w:val="00DB033E"/>
    <w:rsid w:val="00DB0434"/>
    <w:rsid w:val="00DB0EF7"/>
    <w:rsid w:val="00DB10C9"/>
    <w:rsid w:val="00DB1254"/>
    <w:rsid w:val="00DB1BCC"/>
    <w:rsid w:val="00DB1D9E"/>
    <w:rsid w:val="00DB211C"/>
    <w:rsid w:val="00DB2693"/>
    <w:rsid w:val="00DB2A45"/>
    <w:rsid w:val="00DB2E20"/>
    <w:rsid w:val="00DB2ECB"/>
    <w:rsid w:val="00DB336E"/>
    <w:rsid w:val="00DB395C"/>
    <w:rsid w:val="00DB39F0"/>
    <w:rsid w:val="00DB3B33"/>
    <w:rsid w:val="00DB4081"/>
    <w:rsid w:val="00DB4847"/>
    <w:rsid w:val="00DB49D4"/>
    <w:rsid w:val="00DB4CFE"/>
    <w:rsid w:val="00DB5244"/>
    <w:rsid w:val="00DB5B96"/>
    <w:rsid w:val="00DB5D1A"/>
    <w:rsid w:val="00DB5FB8"/>
    <w:rsid w:val="00DB61AA"/>
    <w:rsid w:val="00DB65AF"/>
    <w:rsid w:val="00DB66C4"/>
    <w:rsid w:val="00DB69DA"/>
    <w:rsid w:val="00DB7449"/>
    <w:rsid w:val="00DB74EC"/>
    <w:rsid w:val="00DC0419"/>
    <w:rsid w:val="00DC0488"/>
    <w:rsid w:val="00DC1119"/>
    <w:rsid w:val="00DC12F9"/>
    <w:rsid w:val="00DC1A5B"/>
    <w:rsid w:val="00DC1AFC"/>
    <w:rsid w:val="00DC1BBD"/>
    <w:rsid w:val="00DC1C4C"/>
    <w:rsid w:val="00DC1D46"/>
    <w:rsid w:val="00DC2290"/>
    <w:rsid w:val="00DC25BD"/>
    <w:rsid w:val="00DC2836"/>
    <w:rsid w:val="00DC3352"/>
    <w:rsid w:val="00DC3353"/>
    <w:rsid w:val="00DC33B6"/>
    <w:rsid w:val="00DC34DA"/>
    <w:rsid w:val="00DC36DB"/>
    <w:rsid w:val="00DC37C8"/>
    <w:rsid w:val="00DC4CFB"/>
    <w:rsid w:val="00DC4F79"/>
    <w:rsid w:val="00DC5120"/>
    <w:rsid w:val="00DC62EB"/>
    <w:rsid w:val="00DC673A"/>
    <w:rsid w:val="00DC6764"/>
    <w:rsid w:val="00DC6D6C"/>
    <w:rsid w:val="00DC70D8"/>
    <w:rsid w:val="00DC72A4"/>
    <w:rsid w:val="00DC73E4"/>
    <w:rsid w:val="00DC7410"/>
    <w:rsid w:val="00DD01A5"/>
    <w:rsid w:val="00DD0819"/>
    <w:rsid w:val="00DD091D"/>
    <w:rsid w:val="00DD0F29"/>
    <w:rsid w:val="00DD10A9"/>
    <w:rsid w:val="00DD1342"/>
    <w:rsid w:val="00DD14E8"/>
    <w:rsid w:val="00DD1871"/>
    <w:rsid w:val="00DD2214"/>
    <w:rsid w:val="00DD2389"/>
    <w:rsid w:val="00DD2471"/>
    <w:rsid w:val="00DD2670"/>
    <w:rsid w:val="00DD2989"/>
    <w:rsid w:val="00DD2C03"/>
    <w:rsid w:val="00DD2CAD"/>
    <w:rsid w:val="00DD2EDB"/>
    <w:rsid w:val="00DD3880"/>
    <w:rsid w:val="00DD3D08"/>
    <w:rsid w:val="00DD40C1"/>
    <w:rsid w:val="00DD4506"/>
    <w:rsid w:val="00DD4CC1"/>
    <w:rsid w:val="00DD50B5"/>
    <w:rsid w:val="00DD531E"/>
    <w:rsid w:val="00DD535E"/>
    <w:rsid w:val="00DD53C3"/>
    <w:rsid w:val="00DD5508"/>
    <w:rsid w:val="00DD6363"/>
    <w:rsid w:val="00DD6ABD"/>
    <w:rsid w:val="00DD6D06"/>
    <w:rsid w:val="00DD7244"/>
    <w:rsid w:val="00DE05E1"/>
    <w:rsid w:val="00DE0635"/>
    <w:rsid w:val="00DE0B02"/>
    <w:rsid w:val="00DE0FB3"/>
    <w:rsid w:val="00DE1486"/>
    <w:rsid w:val="00DE14C8"/>
    <w:rsid w:val="00DE1C75"/>
    <w:rsid w:val="00DE202D"/>
    <w:rsid w:val="00DE2531"/>
    <w:rsid w:val="00DE2B2F"/>
    <w:rsid w:val="00DE2B4A"/>
    <w:rsid w:val="00DE3609"/>
    <w:rsid w:val="00DE36A5"/>
    <w:rsid w:val="00DE3A40"/>
    <w:rsid w:val="00DE3BBE"/>
    <w:rsid w:val="00DE3CF2"/>
    <w:rsid w:val="00DE4140"/>
    <w:rsid w:val="00DE4224"/>
    <w:rsid w:val="00DE4264"/>
    <w:rsid w:val="00DE44BC"/>
    <w:rsid w:val="00DE498D"/>
    <w:rsid w:val="00DE4CD0"/>
    <w:rsid w:val="00DE4DF9"/>
    <w:rsid w:val="00DE5097"/>
    <w:rsid w:val="00DE588C"/>
    <w:rsid w:val="00DE58AB"/>
    <w:rsid w:val="00DE593B"/>
    <w:rsid w:val="00DE595A"/>
    <w:rsid w:val="00DE5DA6"/>
    <w:rsid w:val="00DE5EA9"/>
    <w:rsid w:val="00DE63C7"/>
    <w:rsid w:val="00DE6A17"/>
    <w:rsid w:val="00DE6A28"/>
    <w:rsid w:val="00DE6AA5"/>
    <w:rsid w:val="00DE6B48"/>
    <w:rsid w:val="00DE750A"/>
    <w:rsid w:val="00DE77A3"/>
    <w:rsid w:val="00DE7822"/>
    <w:rsid w:val="00DE7894"/>
    <w:rsid w:val="00DF0099"/>
    <w:rsid w:val="00DF0794"/>
    <w:rsid w:val="00DF0F22"/>
    <w:rsid w:val="00DF0F79"/>
    <w:rsid w:val="00DF0FCC"/>
    <w:rsid w:val="00DF1793"/>
    <w:rsid w:val="00DF1BBE"/>
    <w:rsid w:val="00DF1E61"/>
    <w:rsid w:val="00DF2BFC"/>
    <w:rsid w:val="00DF333D"/>
    <w:rsid w:val="00DF33F4"/>
    <w:rsid w:val="00DF3676"/>
    <w:rsid w:val="00DF4434"/>
    <w:rsid w:val="00DF4977"/>
    <w:rsid w:val="00DF54B1"/>
    <w:rsid w:val="00DF5624"/>
    <w:rsid w:val="00DF675C"/>
    <w:rsid w:val="00DF68AE"/>
    <w:rsid w:val="00DF6FA2"/>
    <w:rsid w:val="00DF7B33"/>
    <w:rsid w:val="00DF7F60"/>
    <w:rsid w:val="00E00540"/>
    <w:rsid w:val="00E00D6E"/>
    <w:rsid w:val="00E018C3"/>
    <w:rsid w:val="00E02172"/>
    <w:rsid w:val="00E0292F"/>
    <w:rsid w:val="00E02AE7"/>
    <w:rsid w:val="00E02BFD"/>
    <w:rsid w:val="00E02F28"/>
    <w:rsid w:val="00E03DA2"/>
    <w:rsid w:val="00E03F9D"/>
    <w:rsid w:val="00E041F8"/>
    <w:rsid w:val="00E044CF"/>
    <w:rsid w:val="00E049C9"/>
    <w:rsid w:val="00E04B3A"/>
    <w:rsid w:val="00E04D81"/>
    <w:rsid w:val="00E04E48"/>
    <w:rsid w:val="00E04E9D"/>
    <w:rsid w:val="00E05833"/>
    <w:rsid w:val="00E059A6"/>
    <w:rsid w:val="00E05AA9"/>
    <w:rsid w:val="00E05C77"/>
    <w:rsid w:val="00E06280"/>
    <w:rsid w:val="00E064EC"/>
    <w:rsid w:val="00E065D6"/>
    <w:rsid w:val="00E0663E"/>
    <w:rsid w:val="00E06C40"/>
    <w:rsid w:val="00E06D34"/>
    <w:rsid w:val="00E06D71"/>
    <w:rsid w:val="00E0709C"/>
    <w:rsid w:val="00E07308"/>
    <w:rsid w:val="00E073B8"/>
    <w:rsid w:val="00E076D2"/>
    <w:rsid w:val="00E07BFA"/>
    <w:rsid w:val="00E1031F"/>
    <w:rsid w:val="00E10759"/>
    <w:rsid w:val="00E10A85"/>
    <w:rsid w:val="00E10DF7"/>
    <w:rsid w:val="00E11CEE"/>
    <w:rsid w:val="00E1200A"/>
    <w:rsid w:val="00E120EC"/>
    <w:rsid w:val="00E12257"/>
    <w:rsid w:val="00E128BC"/>
    <w:rsid w:val="00E12CE6"/>
    <w:rsid w:val="00E12D94"/>
    <w:rsid w:val="00E13C2B"/>
    <w:rsid w:val="00E1475C"/>
    <w:rsid w:val="00E14811"/>
    <w:rsid w:val="00E14953"/>
    <w:rsid w:val="00E14BBB"/>
    <w:rsid w:val="00E15755"/>
    <w:rsid w:val="00E15AB4"/>
    <w:rsid w:val="00E15B96"/>
    <w:rsid w:val="00E16305"/>
    <w:rsid w:val="00E16414"/>
    <w:rsid w:val="00E16510"/>
    <w:rsid w:val="00E165B5"/>
    <w:rsid w:val="00E169C5"/>
    <w:rsid w:val="00E16ADD"/>
    <w:rsid w:val="00E16C20"/>
    <w:rsid w:val="00E16E17"/>
    <w:rsid w:val="00E17186"/>
    <w:rsid w:val="00E172CC"/>
    <w:rsid w:val="00E17322"/>
    <w:rsid w:val="00E17436"/>
    <w:rsid w:val="00E176A6"/>
    <w:rsid w:val="00E1795F"/>
    <w:rsid w:val="00E201CE"/>
    <w:rsid w:val="00E2031C"/>
    <w:rsid w:val="00E2046F"/>
    <w:rsid w:val="00E20895"/>
    <w:rsid w:val="00E20A26"/>
    <w:rsid w:val="00E20BF6"/>
    <w:rsid w:val="00E20CA5"/>
    <w:rsid w:val="00E21162"/>
    <w:rsid w:val="00E219DD"/>
    <w:rsid w:val="00E21D70"/>
    <w:rsid w:val="00E21DEB"/>
    <w:rsid w:val="00E21EAE"/>
    <w:rsid w:val="00E21EB5"/>
    <w:rsid w:val="00E233C8"/>
    <w:rsid w:val="00E2347F"/>
    <w:rsid w:val="00E2348D"/>
    <w:rsid w:val="00E237F9"/>
    <w:rsid w:val="00E23899"/>
    <w:rsid w:val="00E23A2B"/>
    <w:rsid w:val="00E2443B"/>
    <w:rsid w:val="00E246A4"/>
    <w:rsid w:val="00E25081"/>
    <w:rsid w:val="00E253E3"/>
    <w:rsid w:val="00E25442"/>
    <w:rsid w:val="00E254F2"/>
    <w:rsid w:val="00E2579F"/>
    <w:rsid w:val="00E25A03"/>
    <w:rsid w:val="00E25D29"/>
    <w:rsid w:val="00E2651C"/>
    <w:rsid w:val="00E267E2"/>
    <w:rsid w:val="00E2715D"/>
    <w:rsid w:val="00E277AF"/>
    <w:rsid w:val="00E27837"/>
    <w:rsid w:val="00E2787F"/>
    <w:rsid w:val="00E278CC"/>
    <w:rsid w:val="00E278EB"/>
    <w:rsid w:val="00E27A58"/>
    <w:rsid w:val="00E3037A"/>
    <w:rsid w:val="00E3065F"/>
    <w:rsid w:val="00E30689"/>
    <w:rsid w:val="00E315D4"/>
    <w:rsid w:val="00E31873"/>
    <w:rsid w:val="00E31922"/>
    <w:rsid w:val="00E319EB"/>
    <w:rsid w:val="00E31BDA"/>
    <w:rsid w:val="00E32E49"/>
    <w:rsid w:val="00E32FA7"/>
    <w:rsid w:val="00E3373F"/>
    <w:rsid w:val="00E33BC4"/>
    <w:rsid w:val="00E33EC5"/>
    <w:rsid w:val="00E3405C"/>
    <w:rsid w:val="00E341F7"/>
    <w:rsid w:val="00E34271"/>
    <w:rsid w:val="00E34276"/>
    <w:rsid w:val="00E3429D"/>
    <w:rsid w:val="00E34457"/>
    <w:rsid w:val="00E345AC"/>
    <w:rsid w:val="00E3490E"/>
    <w:rsid w:val="00E34E1B"/>
    <w:rsid w:val="00E35373"/>
    <w:rsid w:val="00E35686"/>
    <w:rsid w:val="00E35C6F"/>
    <w:rsid w:val="00E35E1C"/>
    <w:rsid w:val="00E36AF1"/>
    <w:rsid w:val="00E36B52"/>
    <w:rsid w:val="00E36BB5"/>
    <w:rsid w:val="00E36FF3"/>
    <w:rsid w:val="00E36FF6"/>
    <w:rsid w:val="00E37634"/>
    <w:rsid w:val="00E37BB7"/>
    <w:rsid w:val="00E37D27"/>
    <w:rsid w:val="00E37D47"/>
    <w:rsid w:val="00E37F25"/>
    <w:rsid w:val="00E402FF"/>
    <w:rsid w:val="00E404AB"/>
    <w:rsid w:val="00E40E8F"/>
    <w:rsid w:val="00E40EB0"/>
    <w:rsid w:val="00E41833"/>
    <w:rsid w:val="00E41BE3"/>
    <w:rsid w:val="00E41F9F"/>
    <w:rsid w:val="00E4203D"/>
    <w:rsid w:val="00E420E3"/>
    <w:rsid w:val="00E42427"/>
    <w:rsid w:val="00E4258E"/>
    <w:rsid w:val="00E42FF3"/>
    <w:rsid w:val="00E430D5"/>
    <w:rsid w:val="00E43746"/>
    <w:rsid w:val="00E43798"/>
    <w:rsid w:val="00E43BF7"/>
    <w:rsid w:val="00E43C43"/>
    <w:rsid w:val="00E4419D"/>
    <w:rsid w:val="00E446F8"/>
    <w:rsid w:val="00E44921"/>
    <w:rsid w:val="00E44F21"/>
    <w:rsid w:val="00E44F3B"/>
    <w:rsid w:val="00E45118"/>
    <w:rsid w:val="00E46726"/>
    <w:rsid w:val="00E46993"/>
    <w:rsid w:val="00E478F4"/>
    <w:rsid w:val="00E47BAA"/>
    <w:rsid w:val="00E50121"/>
    <w:rsid w:val="00E50AE0"/>
    <w:rsid w:val="00E50BFF"/>
    <w:rsid w:val="00E50DBB"/>
    <w:rsid w:val="00E50F52"/>
    <w:rsid w:val="00E5194C"/>
    <w:rsid w:val="00E52175"/>
    <w:rsid w:val="00E521F9"/>
    <w:rsid w:val="00E52824"/>
    <w:rsid w:val="00E529B0"/>
    <w:rsid w:val="00E52A05"/>
    <w:rsid w:val="00E53E9B"/>
    <w:rsid w:val="00E54118"/>
    <w:rsid w:val="00E54151"/>
    <w:rsid w:val="00E541EE"/>
    <w:rsid w:val="00E54C33"/>
    <w:rsid w:val="00E54CD0"/>
    <w:rsid w:val="00E54CDF"/>
    <w:rsid w:val="00E55245"/>
    <w:rsid w:val="00E55BD0"/>
    <w:rsid w:val="00E562A4"/>
    <w:rsid w:val="00E566B5"/>
    <w:rsid w:val="00E56B30"/>
    <w:rsid w:val="00E56C24"/>
    <w:rsid w:val="00E56F32"/>
    <w:rsid w:val="00E571EF"/>
    <w:rsid w:val="00E57305"/>
    <w:rsid w:val="00E576AE"/>
    <w:rsid w:val="00E57A67"/>
    <w:rsid w:val="00E6079F"/>
    <w:rsid w:val="00E608FF"/>
    <w:rsid w:val="00E60D22"/>
    <w:rsid w:val="00E61746"/>
    <w:rsid w:val="00E617DD"/>
    <w:rsid w:val="00E618CF"/>
    <w:rsid w:val="00E61A23"/>
    <w:rsid w:val="00E61E0C"/>
    <w:rsid w:val="00E61F57"/>
    <w:rsid w:val="00E61F6D"/>
    <w:rsid w:val="00E62218"/>
    <w:rsid w:val="00E623B9"/>
    <w:rsid w:val="00E62679"/>
    <w:rsid w:val="00E62ACD"/>
    <w:rsid w:val="00E6300A"/>
    <w:rsid w:val="00E6320F"/>
    <w:rsid w:val="00E63365"/>
    <w:rsid w:val="00E63557"/>
    <w:rsid w:val="00E63862"/>
    <w:rsid w:val="00E63993"/>
    <w:rsid w:val="00E639C6"/>
    <w:rsid w:val="00E639F3"/>
    <w:rsid w:val="00E63AF7"/>
    <w:rsid w:val="00E63E9E"/>
    <w:rsid w:val="00E6424F"/>
    <w:rsid w:val="00E6480D"/>
    <w:rsid w:val="00E64F17"/>
    <w:rsid w:val="00E650AC"/>
    <w:rsid w:val="00E65216"/>
    <w:rsid w:val="00E65435"/>
    <w:rsid w:val="00E655A2"/>
    <w:rsid w:val="00E6565B"/>
    <w:rsid w:val="00E65C8A"/>
    <w:rsid w:val="00E65DB4"/>
    <w:rsid w:val="00E65F4E"/>
    <w:rsid w:val="00E66050"/>
    <w:rsid w:val="00E6786A"/>
    <w:rsid w:val="00E67AB2"/>
    <w:rsid w:val="00E70494"/>
    <w:rsid w:val="00E70747"/>
    <w:rsid w:val="00E707BC"/>
    <w:rsid w:val="00E70876"/>
    <w:rsid w:val="00E70C0E"/>
    <w:rsid w:val="00E7110E"/>
    <w:rsid w:val="00E7139E"/>
    <w:rsid w:val="00E71AFA"/>
    <w:rsid w:val="00E726BF"/>
    <w:rsid w:val="00E7369C"/>
    <w:rsid w:val="00E73912"/>
    <w:rsid w:val="00E73C2E"/>
    <w:rsid w:val="00E74525"/>
    <w:rsid w:val="00E75588"/>
    <w:rsid w:val="00E7576A"/>
    <w:rsid w:val="00E7591F"/>
    <w:rsid w:val="00E7627F"/>
    <w:rsid w:val="00E7641D"/>
    <w:rsid w:val="00E766D1"/>
    <w:rsid w:val="00E773D8"/>
    <w:rsid w:val="00E77857"/>
    <w:rsid w:val="00E779E3"/>
    <w:rsid w:val="00E77A65"/>
    <w:rsid w:val="00E77BD4"/>
    <w:rsid w:val="00E803F9"/>
    <w:rsid w:val="00E808FC"/>
    <w:rsid w:val="00E81546"/>
    <w:rsid w:val="00E81F49"/>
    <w:rsid w:val="00E820CD"/>
    <w:rsid w:val="00E825DB"/>
    <w:rsid w:val="00E83364"/>
    <w:rsid w:val="00E837C3"/>
    <w:rsid w:val="00E83D00"/>
    <w:rsid w:val="00E83D95"/>
    <w:rsid w:val="00E83DBD"/>
    <w:rsid w:val="00E84316"/>
    <w:rsid w:val="00E84673"/>
    <w:rsid w:val="00E8474F"/>
    <w:rsid w:val="00E84A7B"/>
    <w:rsid w:val="00E84D03"/>
    <w:rsid w:val="00E851BF"/>
    <w:rsid w:val="00E859DE"/>
    <w:rsid w:val="00E8642D"/>
    <w:rsid w:val="00E866BD"/>
    <w:rsid w:val="00E870EC"/>
    <w:rsid w:val="00E8742F"/>
    <w:rsid w:val="00E87869"/>
    <w:rsid w:val="00E90487"/>
    <w:rsid w:val="00E90C6E"/>
    <w:rsid w:val="00E90F2E"/>
    <w:rsid w:val="00E91215"/>
    <w:rsid w:val="00E912B8"/>
    <w:rsid w:val="00E915ED"/>
    <w:rsid w:val="00E91624"/>
    <w:rsid w:val="00E91AC8"/>
    <w:rsid w:val="00E91B84"/>
    <w:rsid w:val="00E91C46"/>
    <w:rsid w:val="00E91C59"/>
    <w:rsid w:val="00E91CFA"/>
    <w:rsid w:val="00E91E21"/>
    <w:rsid w:val="00E920FF"/>
    <w:rsid w:val="00E921C4"/>
    <w:rsid w:val="00E92218"/>
    <w:rsid w:val="00E922AE"/>
    <w:rsid w:val="00E923D6"/>
    <w:rsid w:val="00E929A6"/>
    <w:rsid w:val="00E92B3C"/>
    <w:rsid w:val="00E92DF4"/>
    <w:rsid w:val="00E93523"/>
    <w:rsid w:val="00E93A80"/>
    <w:rsid w:val="00E9410F"/>
    <w:rsid w:val="00E94B79"/>
    <w:rsid w:val="00E94E83"/>
    <w:rsid w:val="00E94F20"/>
    <w:rsid w:val="00E9514B"/>
    <w:rsid w:val="00E954D5"/>
    <w:rsid w:val="00E95B10"/>
    <w:rsid w:val="00E96651"/>
    <w:rsid w:val="00E967D4"/>
    <w:rsid w:val="00E96996"/>
    <w:rsid w:val="00E96E20"/>
    <w:rsid w:val="00E97837"/>
    <w:rsid w:val="00E97CB6"/>
    <w:rsid w:val="00EA0690"/>
    <w:rsid w:val="00EA0834"/>
    <w:rsid w:val="00EA0EE3"/>
    <w:rsid w:val="00EA10EB"/>
    <w:rsid w:val="00EA11E9"/>
    <w:rsid w:val="00EA1281"/>
    <w:rsid w:val="00EA152F"/>
    <w:rsid w:val="00EA1A32"/>
    <w:rsid w:val="00EA1CB4"/>
    <w:rsid w:val="00EA218A"/>
    <w:rsid w:val="00EA2240"/>
    <w:rsid w:val="00EA2430"/>
    <w:rsid w:val="00EA2778"/>
    <w:rsid w:val="00EA283B"/>
    <w:rsid w:val="00EA293F"/>
    <w:rsid w:val="00EA29B2"/>
    <w:rsid w:val="00EA371B"/>
    <w:rsid w:val="00EA3E46"/>
    <w:rsid w:val="00EA41B8"/>
    <w:rsid w:val="00EA41FC"/>
    <w:rsid w:val="00EA42BE"/>
    <w:rsid w:val="00EA4467"/>
    <w:rsid w:val="00EA47A7"/>
    <w:rsid w:val="00EA4CD5"/>
    <w:rsid w:val="00EA5360"/>
    <w:rsid w:val="00EA58B4"/>
    <w:rsid w:val="00EA59B5"/>
    <w:rsid w:val="00EA5FDA"/>
    <w:rsid w:val="00EA6183"/>
    <w:rsid w:val="00EA6214"/>
    <w:rsid w:val="00EA63B2"/>
    <w:rsid w:val="00EA6560"/>
    <w:rsid w:val="00EA678D"/>
    <w:rsid w:val="00EA7599"/>
    <w:rsid w:val="00EA786F"/>
    <w:rsid w:val="00EA7F36"/>
    <w:rsid w:val="00EB0221"/>
    <w:rsid w:val="00EB0F73"/>
    <w:rsid w:val="00EB1326"/>
    <w:rsid w:val="00EB1429"/>
    <w:rsid w:val="00EB1647"/>
    <w:rsid w:val="00EB1774"/>
    <w:rsid w:val="00EB20EF"/>
    <w:rsid w:val="00EB27C5"/>
    <w:rsid w:val="00EB2868"/>
    <w:rsid w:val="00EB286D"/>
    <w:rsid w:val="00EB35CE"/>
    <w:rsid w:val="00EB3A67"/>
    <w:rsid w:val="00EB3E3F"/>
    <w:rsid w:val="00EB439B"/>
    <w:rsid w:val="00EB4517"/>
    <w:rsid w:val="00EB4CFF"/>
    <w:rsid w:val="00EB5027"/>
    <w:rsid w:val="00EB52C2"/>
    <w:rsid w:val="00EB602A"/>
    <w:rsid w:val="00EB6561"/>
    <w:rsid w:val="00EB68B0"/>
    <w:rsid w:val="00EB720E"/>
    <w:rsid w:val="00EB74F2"/>
    <w:rsid w:val="00EB7C58"/>
    <w:rsid w:val="00EC08A5"/>
    <w:rsid w:val="00EC0A8B"/>
    <w:rsid w:val="00EC0C17"/>
    <w:rsid w:val="00EC1085"/>
    <w:rsid w:val="00EC12CE"/>
    <w:rsid w:val="00EC16BB"/>
    <w:rsid w:val="00EC27CB"/>
    <w:rsid w:val="00EC2850"/>
    <w:rsid w:val="00EC3ACE"/>
    <w:rsid w:val="00EC3BA8"/>
    <w:rsid w:val="00EC3E85"/>
    <w:rsid w:val="00EC4198"/>
    <w:rsid w:val="00EC439A"/>
    <w:rsid w:val="00EC460D"/>
    <w:rsid w:val="00EC5C65"/>
    <w:rsid w:val="00EC5DB4"/>
    <w:rsid w:val="00EC6204"/>
    <w:rsid w:val="00EC6327"/>
    <w:rsid w:val="00EC64B8"/>
    <w:rsid w:val="00EC6B77"/>
    <w:rsid w:val="00EC6E23"/>
    <w:rsid w:val="00EC7049"/>
    <w:rsid w:val="00EC725E"/>
    <w:rsid w:val="00EC76EC"/>
    <w:rsid w:val="00EC775E"/>
    <w:rsid w:val="00EC7B44"/>
    <w:rsid w:val="00ED00A8"/>
    <w:rsid w:val="00ED0369"/>
    <w:rsid w:val="00ED0890"/>
    <w:rsid w:val="00ED13CF"/>
    <w:rsid w:val="00ED13FE"/>
    <w:rsid w:val="00ED18B0"/>
    <w:rsid w:val="00ED2494"/>
    <w:rsid w:val="00ED2817"/>
    <w:rsid w:val="00ED2E95"/>
    <w:rsid w:val="00ED30E8"/>
    <w:rsid w:val="00ED3161"/>
    <w:rsid w:val="00ED31F3"/>
    <w:rsid w:val="00ED33DA"/>
    <w:rsid w:val="00ED341B"/>
    <w:rsid w:val="00ED3BB8"/>
    <w:rsid w:val="00ED3C02"/>
    <w:rsid w:val="00ED3C19"/>
    <w:rsid w:val="00ED3E70"/>
    <w:rsid w:val="00ED4089"/>
    <w:rsid w:val="00ED469D"/>
    <w:rsid w:val="00ED4C1E"/>
    <w:rsid w:val="00ED4FED"/>
    <w:rsid w:val="00ED52F2"/>
    <w:rsid w:val="00ED543A"/>
    <w:rsid w:val="00ED5F9C"/>
    <w:rsid w:val="00ED64EF"/>
    <w:rsid w:val="00ED6D4A"/>
    <w:rsid w:val="00ED6ED7"/>
    <w:rsid w:val="00ED73AD"/>
    <w:rsid w:val="00EE03B8"/>
    <w:rsid w:val="00EE0437"/>
    <w:rsid w:val="00EE050A"/>
    <w:rsid w:val="00EE0B87"/>
    <w:rsid w:val="00EE0CE6"/>
    <w:rsid w:val="00EE11F0"/>
    <w:rsid w:val="00EE1247"/>
    <w:rsid w:val="00EE14FE"/>
    <w:rsid w:val="00EE1962"/>
    <w:rsid w:val="00EE19AA"/>
    <w:rsid w:val="00EE1CBC"/>
    <w:rsid w:val="00EE205C"/>
    <w:rsid w:val="00EE208D"/>
    <w:rsid w:val="00EE20D4"/>
    <w:rsid w:val="00EE270B"/>
    <w:rsid w:val="00EE329F"/>
    <w:rsid w:val="00EE389A"/>
    <w:rsid w:val="00EE3DF9"/>
    <w:rsid w:val="00EE4531"/>
    <w:rsid w:val="00EE539D"/>
    <w:rsid w:val="00EE55C9"/>
    <w:rsid w:val="00EE6975"/>
    <w:rsid w:val="00EE71B5"/>
    <w:rsid w:val="00EE71E7"/>
    <w:rsid w:val="00EE7319"/>
    <w:rsid w:val="00EE737C"/>
    <w:rsid w:val="00EE73E7"/>
    <w:rsid w:val="00EE7599"/>
    <w:rsid w:val="00EE7764"/>
    <w:rsid w:val="00EE785C"/>
    <w:rsid w:val="00EE796E"/>
    <w:rsid w:val="00EE7A6B"/>
    <w:rsid w:val="00EE7DD7"/>
    <w:rsid w:val="00EF0386"/>
    <w:rsid w:val="00EF0398"/>
    <w:rsid w:val="00EF0564"/>
    <w:rsid w:val="00EF0704"/>
    <w:rsid w:val="00EF0707"/>
    <w:rsid w:val="00EF0D87"/>
    <w:rsid w:val="00EF0E06"/>
    <w:rsid w:val="00EF0FF0"/>
    <w:rsid w:val="00EF15A6"/>
    <w:rsid w:val="00EF178A"/>
    <w:rsid w:val="00EF1BDF"/>
    <w:rsid w:val="00EF1E97"/>
    <w:rsid w:val="00EF2318"/>
    <w:rsid w:val="00EF27B1"/>
    <w:rsid w:val="00EF2C6E"/>
    <w:rsid w:val="00EF38CE"/>
    <w:rsid w:val="00EF38E9"/>
    <w:rsid w:val="00EF3A76"/>
    <w:rsid w:val="00EF3A96"/>
    <w:rsid w:val="00EF3CAB"/>
    <w:rsid w:val="00EF3F86"/>
    <w:rsid w:val="00EF40CC"/>
    <w:rsid w:val="00EF40DA"/>
    <w:rsid w:val="00EF413C"/>
    <w:rsid w:val="00EF44D0"/>
    <w:rsid w:val="00EF4640"/>
    <w:rsid w:val="00EF4657"/>
    <w:rsid w:val="00EF4A4E"/>
    <w:rsid w:val="00EF4D5D"/>
    <w:rsid w:val="00EF541E"/>
    <w:rsid w:val="00EF5677"/>
    <w:rsid w:val="00EF5B40"/>
    <w:rsid w:val="00EF64B8"/>
    <w:rsid w:val="00EF6614"/>
    <w:rsid w:val="00EF7D28"/>
    <w:rsid w:val="00F00219"/>
    <w:rsid w:val="00F0028C"/>
    <w:rsid w:val="00F0054F"/>
    <w:rsid w:val="00F00933"/>
    <w:rsid w:val="00F0103A"/>
    <w:rsid w:val="00F01B83"/>
    <w:rsid w:val="00F01CC3"/>
    <w:rsid w:val="00F0210D"/>
    <w:rsid w:val="00F02383"/>
    <w:rsid w:val="00F02816"/>
    <w:rsid w:val="00F0284F"/>
    <w:rsid w:val="00F028BC"/>
    <w:rsid w:val="00F02F0F"/>
    <w:rsid w:val="00F0308F"/>
    <w:rsid w:val="00F0314C"/>
    <w:rsid w:val="00F031E7"/>
    <w:rsid w:val="00F034D0"/>
    <w:rsid w:val="00F0355D"/>
    <w:rsid w:val="00F03C4E"/>
    <w:rsid w:val="00F040E8"/>
    <w:rsid w:val="00F04418"/>
    <w:rsid w:val="00F04486"/>
    <w:rsid w:val="00F04525"/>
    <w:rsid w:val="00F04610"/>
    <w:rsid w:val="00F04632"/>
    <w:rsid w:val="00F04640"/>
    <w:rsid w:val="00F048F7"/>
    <w:rsid w:val="00F04CD3"/>
    <w:rsid w:val="00F04E1A"/>
    <w:rsid w:val="00F0501D"/>
    <w:rsid w:val="00F057F0"/>
    <w:rsid w:val="00F05B34"/>
    <w:rsid w:val="00F05BFB"/>
    <w:rsid w:val="00F05EA1"/>
    <w:rsid w:val="00F0608D"/>
    <w:rsid w:val="00F06153"/>
    <w:rsid w:val="00F06509"/>
    <w:rsid w:val="00F06733"/>
    <w:rsid w:val="00F06A3A"/>
    <w:rsid w:val="00F06BF5"/>
    <w:rsid w:val="00F06EAB"/>
    <w:rsid w:val="00F06EAC"/>
    <w:rsid w:val="00F070BC"/>
    <w:rsid w:val="00F07CFC"/>
    <w:rsid w:val="00F07DB1"/>
    <w:rsid w:val="00F10391"/>
    <w:rsid w:val="00F103DB"/>
    <w:rsid w:val="00F10684"/>
    <w:rsid w:val="00F10ADD"/>
    <w:rsid w:val="00F10ED4"/>
    <w:rsid w:val="00F116EF"/>
    <w:rsid w:val="00F11754"/>
    <w:rsid w:val="00F11A38"/>
    <w:rsid w:val="00F13113"/>
    <w:rsid w:val="00F13391"/>
    <w:rsid w:val="00F133D7"/>
    <w:rsid w:val="00F140A5"/>
    <w:rsid w:val="00F147F1"/>
    <w:rsid w:val="00F14A58"/>
    <w:rsid w:val="00F14E51"/>
    <w:rsid w:val="00F14F8B"/>
    <w:rsid w:val="00F157B8"/>
    <w:rsid w:val="00F15A02"/>
    <w:rsid w:val="00F15F32"/>
    <w:rsid w:val="00F16259"/>
    <w:rsid w:val="00F16376"/>
    <w:rsid w:val="00F1683F"/>
    <w:rsid w:val="00F16A26"/>
    <w:rsid w:val="00F16B2A"/>
    <w:rsid w:val="00F16BCA"/>
    <w:rsid w:val="00F16FFE"/>
    <w:rsid w:val="00F1702C"/>
    <w:rsid w:val="00F17288"/>
    <w:rsid w:val="00F17574"/>
    <w:rsid w:val="00F1792B"/>
    <w:rsid w:val="00F17D8F"/>
    <w:rsid w:val="00F17EA0"/>
    <w:rsid w:val="00F20135"/>
    <w:rsid w:val="00F20513"/>
    <w:rsid w:val="00F20F09"/>
    <w:rsid w:val="00F21087"/>
    <w:rsid w:val="00F213E1"/>
    <w:rsid w:val="00F21957"/>
    <w:rsid w:val="00F2197E"/>
    <w:rsid w:val="00F21F23"/>
    <w:rsid w:val="00F21FE7"/>
    <w:rsid w:val="00F2250B"/>
    <w:rsid w:val="00F231DE"/>
    <w:rsid w:val="00F2348D"/>
    <w:rsid w:val="00F234EE"/>
    <w:rsid w:val="00F2369E"/>
    <w:rsid w:val="00F23C3C"/>
    <w:rsid w:val="00F23E7B"/>
    <w:rsid w:val="00F244D8"/>
    <w:rsid w:val="00F2469A"/>
    <w:rsid w:val="00F246F3"/>
    <w:rsid w:val="00F2494C"/>
    <w:rsid w:val="00F24A5D"/>
    <w:rsid w:val="00F24D11"/>
    <w:rsid w:val="00F24EAA"/>
    <w:rsid w:val="00F24EE7"/>
    <w:rsid w:val="00F25724"/>
    <w:rsid w:val="00F26098"/>
    <w:rsid w:val="00F2616F"/>
    <w:rsid w:val="00F2655B"/>
    <w:rsid w:val="00F26612"/>
    <w:rsid w:val="00F266E9"/>
    <w:rsid w:val="00F26896"/>
    <w:rsid w:val="00F268B2"/>
    <w:rsid w:val="00F27338"/>
    <w:rsid w:val="00F27F67"/>
    <w:rsid w:val="00F3028B"/>
    <w:rsid w:val="00F306E8"/>
    <w:rsid w:val="00F30879"/>
    <w:rsid w:val="00F30BBE"/>
    <w:rsid w:val="00F30D3A"/>
    <w:rsid w:val="00F31151"/>
    <w:rsid w:val="00F317E8"/>
    <w:rsid w:val="00F3189D"/>
    <w:rsid w:val="00F31AAE"/>
    <w:rsid w:val="00F32CFA"/>
    <w:rsid w:val="00F3301B"/>
    <w:rsid w:val="00F3316A"/>
    <w:rsid w:val="00F33516"/>
    <w:rsid w:val="00F3371B"/>
    <w:rsid w:val="00F33AED"/>
    <w:rsid w:val="00F33CA4"/>
    <w:rsid w:val="00F33F2C"/>
    <w:rsid w:val="00F34020"/>
    <w:rsid w:val="00F34629"/>
    <w:rsid w:val="00F34BE1"/>
    <w:rsid w:val="00F35038"/>
    <w:rsid w:val="00F350FA"/>
    <w:rsid w:val="00F35344"/>
    <w:rsid w:val="00F35512"/>
    <w:rsid w:val="00F357F0"/>
    <w:rsid w:val="00F35891"/>
    <w:rsid w:val="00F35B52"/>
    <w:rsid w:val="00F35DB8"/>
    <w:rsid w:val="00F35F86"/>
    <w:rsid w:val="00F3646B"/>
    <w:rsid w:val="00F3654A"/>
    <w:rsid w:val="00F365B9"/>
    <w:rsid w:val="00F3666F"/>
    <w:rsid w:val="00F367AF"/>
    <w:rsid w:val="00F36809"/>
    <w:rsid w:val="00F368D3"/>
    <w:rsid w:val="00F369AE"/>
    <w:rsid w:val="00F3763A"/>
    <w:rsid w:val="00F3789E"/>
    <w:rsid w:val="00F3789F"/>
    <w:rsid w:val="00F37AA4"/>
    <w:rsid w:val="00F40371"/>
    <w:rsid w:val="00F41105"/>
    <w:rsid w:val="00F41133"/>
    <w:rsid w:val="00F41AEF"/>
    <w:rsid w:val="00F41FBB"/>
    <w:rsid w:val="00F42223"/>
    <w:rsid w:val="00F424CA"/>
    <w:rsid w:val="00F42DE7"/>
    <w:rsid w:val="00F43636"/>
    <w:rsid w:val="00F43945"/>
    <w:rsid w:val="00F4397A"/>
    <w:rsid w:val="00F43A39"/>
    <w:rsid w:val="00F43A7F"/>
    <w:rsid w:val="00F43AD4"/>
    <w:rsid w:val="00F44576"/>
    <w:rsid w:val="00F445B9"/>
    <w:rsid w:val="00F446C1"/>
    <w:rsid w:val="00F446D6"/>
    <w:rsid w:val="00F44D11"/>
    <w:rsid w:val="00F450A1"/>
    <w:rsid w:val="00F450A2"/>
    <w:rsid w:val="00F45784"/>
    <w:rsid w:val="00F45994"/>
    <w:rsid w:val="00F4625A"/>
    <w:rsid w:val="00F4643D"/>
    <w:rsid w:val="00F46CCC"/>
    <w:rsid w:val="00F46D9F"/>
    <w:rsid w:val="00F47557"/>
    <w:rsid w:val="00F475C9"/>
    <w:rsid w:val="00F47817"/>
    <w:rsid w:val="00F47B28"/>
    <w:rsid w:val="00F50345"/>
    <w:rsid w:val="00F5039F"/>
    <w:rsid w:val="00F50D69"/>
    <w:rsid w:val="00F511F9"/>
    <w:rsid w:val="00F51489"/>
    <w:rsid w:val="00F5181B"/>
    <w:rsid w:val="00F51E88"/>
    <w:rsid w:val="00F51FC3"/>
    <w:rsid w:val="00F52684"/>
    <w:rsid w:val="00F528C8"/>
    <w:rsid w:val="00F52B7F"/>
    <w:rsid w:val="00F52C43"/>
    <w:rsid w:val="00F53A36"/>
    <w:rsid w:val="00F53A88"/>
    <w:rsid w:val="00F53E1C"/>
    <w:rsid w:val="00F549B4"/>
    <w:rsid w:val="00F54B2C"/>
    <w:rsid w:val="00F5525A"/>
    <w:rsid w:val="00F554BE"/>
    <w:rsid w:val="00F55644"/>
    <w:rsid w:val="00F55AC7"/>
    <w:rsid w:val="00F55C84"/>
    <w:rsid w:val="00F55EE1"/>
    <w:rsid w:val="00F5628C"/>
    <w:rsid w:val="00F56620"/>
    <w:rsid w:val="00F56A55"/>
    <w:rsid w:val="00F56F48"/>
    <w:rsid w:val="00F577D7"/>
    <w:rsid w:val="00F5783A"/>
    <w:rsid w:val="00F57A13"/>
    <w:rsid w:val="00F57D65"/>
    <w:rsid w:val="00F57E86"/>
    <w:rsid w:val="00F6039B"/>
    <w:rsid w:val="00F60457"/>
    <w:rsid w:val="00F6061C"/>
    <w:rsid w:val="00F60984"/>
    <w:rsid w:val="00F60A86"/>
    <w:rsid w:val="00F60DF0"/>
    <w:rsid w:val="00F60FE1"/>
    <w:rsid w:val="00F6137F"/>
    <w:rsid w:val="00F618C8"/>
    <w:rsid w:val="00F619AC"/>
    <w:rsid w:val="00F61C38"/>
    <w:rsid w:val="00F62112"/>
    <w:rsid w:val="00F62A57"/>
    <w:rsid w:val="00F63357"/>
    <w:rsid w:val="00F633FF"/>
    <w:rsid w:val="00F63749"/>
    <w:rsid w:val="00F63AC4"/>
    <w:rsid w:val="00F63BDE"/>
    <w:rsid w:val="00F63C3A"/>
    <w:rsid w:val="00F63CAA"/>
    <w:rsid w:val="00F6422A"/>
    <w:rsid w:val="00F6516E"/>
    <w:rsid w:val="00F65950"/>
    <w:rsid w:val="00F65AE7"/>
    <w:rsid w:val="00F65B0C"/>
    <w:rsid w:val="00F65C2F"/>
    <w:rsid w:val="00F65C81"/>
    <w:rsid w:val="00F65CC0"/>
    <w:rsid w:val="00F66244"/>
    <w:rsid w:val="00F6627D"/>
    <w:rsid w:val="00F66AC5"/>
    <w:rsid w:val="00F66E91"/>
    <w:rsid w:val="00F670C6"/>
    <w:rsid w:val="00F67698"/>
    <w:rsid w:val="00F67760"/>
    <w:rsid w:val="00F67911"/>
    <w:rsid w:val="00F67AA5"/>
    <w:rsid w:val="00F700F2"/>
    <w:rsid w:val="00F703FF"/>
    <w:rsid w:val="00F70858"/>
    <w:rsid w:val="00F708FF"/>
    <w:rsid w:val="00F70D53"/>
    <w:rsid w:val="00F70DD2"/>
    <w:rsid w:val="00F714E4"/>
    <w:rsid w:val="00F71A3B"/>
    <w:rsid w:val="00F72486"/>
    <w:rsid w:val="00F724BA"/>
    <w:rsid w:val="00F72722"/>
    <w:rsid w:val="00F72A5D"/>
    <w:rsid w:val="00F72E77"/>
    <w:rsid w:val="00F73073"/>
    <w:rsid w:val="00F736C3"/>
    <w:rsid w:val="00F73739"/>
    <w:rsid w:val="00F73B84"/>
    <w:rsid w:val="00F73C82"/>
    <w:rsid w:val="00F73D6E"/>
    <w:rsid w:val="00F746D1"/>
    <w:rsid w:val="00F74A47"/>
    <w:rsid w:val="00F74D78"/>
    <w:rsid w:val="00F75490"/>
    <w:rsid w:val="00F75B62"/>
    <w:rsid w:val="00F75D9A"/>
    <w:rsid w:val="00F75F84"/>
    <w:rsid w:val="00F76149"/>
    <w:rsid w:val="00F763F2"/>
    <w:rsid w:val="00F766D4"/>
    <w:rsid w:val="00F76B27"/>
    <w:rsid w:val="00F76F99"/>
    <w:rsid w:val="00F76FFE"/>
    <w:rsid w:val="00F775C2"/>
    <w:rsid w:val="00F77682"/>
    <w:rsid w:val="00F77A1F"/>
    <w:rsid w:val="00F77C6E"/>
    <w:rsid w:val="00F77FF6"/>
    <w:rsid w:val="00F801F5"/>
    <w:rsid w:val="00F8022F"/>
    <w:rsid w:val="00F808A3"/>
    <w:rsid w:val="00F81225"/>
    <w:rsid w:val="00F8152C"/>
    <w:rsid w:val="00F81AAC"/>
    <w:rsid w:val="00F81B78"/>
    <w:rsid w:val="00F820CE"/>
    <w:rsid w:val="00F8220B"/>
    <w:rsid w:val="00F828CD"/>
    <w:rsid w:val="00F82BDE"/>
    <w:rsid w:val="00F82C5F"/>
    <w:rsid w:val="00F82E11"/>
    <w:rsid w:val="00F831AF"/>
    <w:rsid w:val="00F836B3"/>
    <w:rsid w:val="00F83747"/>
    <w:rsid w:val="00F83A56"/>
    <w:rsid w:val="00F83B52"/>
    <w:rsid w:val="00F83B98"/>
    <w:rsid w:val="00F84341"/>
    <w:rsid w:val="00F85056"/>
    <w:rsid w:val="00F85247"/>
    <w:rsid w:val="00F85939"/>
    <w:rsid w:val="00F85BE2"/>
    <w:rsid w:val="00F85E28"/>
    <w:rsid w:val="00F8603A"/>
    <w:rsid w:val="00F86529"/>
    <w:rsid w:val="00F865AB"/>
    <w:rsid w:val="00F86EFC"/>
    <w:rsid w:val="00F87258"/>
    <w:rsid w:val="00F8785F"/>
    <w:rsid w:val="00F901ED"/>
    <w:rsid w:val="00F90282"/>
    <w:rsid w:val="00F90377"/>
    <w:rsid w:val="00F903C7"/>
    <w:rsid w:val="00F905C3"/>
    <w:rsid w:val="00F90785"/>
    <w:rsid w:val="00F90817"/>
    <w:rsid w:val="00F90846"/>
    <w:rsid w:val="00F90DBC"/>
    <w:rsid w:val="00F91113"/>
    <w:rsid w:val="00F914BC"/>
    <w:rsid w:val="00F916AE"/>
    <w:rsid w:val="00F916DE"/>
    <w:rsid w:val="00F91931"/>
    <w:rsid w:val="00F91B14"/>
    <w:rsid w:val="00F91D13"/>
    <w:rsid w:val="00F91F61"/>
    <w:rsid w:val="00F92662"/>
    <w:rsid w:val="00F926B9"/>
    <w:rsid w:val="00F92A74"/>
    <w:rsid w:val="00F93292"/>
    <w:rsid w:val="00F933A0"/>
    <w:rsid w:val="00F9377C"/>
    <w:rsid w:val="00F9396E"/>
    <w:rsid w:val="00F944C5"/>
    <w:rsid w:val="00F9467E"/>
    <w:rsid w:val="00F947A1"/>
    <w:rsid w:val="00F95293"/>
    <w:rsid w:val="00F95E8F"/>
    <w:rsid w:val="00F95F4C"/>
    <w:rsid w:val="00F95F90"/>
    <w:rsid w:val="00F961AB"/>
    <w:rsid w:val="00F964BB"/>
    <w:rsid w:val="00F9661B"/>
    <w:rsid w:val="00F9670F"/>
    <w:rsid w:val="00F967FB"/>
    <w:rsid w:val="00F96C9A"/>
    <w:rsid w:val="00F9715C"/>
    <w:rsid w:val="00F97623"/>
    <w:rsid w:val="00F97889"/>
    <w:rsid w:val="00F97A08"/>
    <w:rsid w:val="00F97CE5"/>
    <w:rsid w:val="00F97F47"/>
    <w:rsid w:val="00FA011E"/>
    <w:rsid w:val="00FA099D"/>
    <w:rsid w:val="00FA0BF2"/>
    <w:rsid w:val="00FA0E2B"/>
    <w:rsid w:val="00FA0FAC"/>
    <w:rsid w:val="00FA100E"/>
    <w:rsid w:val="00FA1200"/>
    <w:rsid w:val="00FA1239"/>
    <w:rsid w:val="00FA1769"/>
    <w:rsid w:val="00FA19BE"/>
    <w:rsid w:val="00FA1C4D"/>
    <w:rsid w:val="00FA1ECF"/>
    <w:rsid w:val="00FA20D8"/>
    <w:rsid w:val="00FA217D"/>
    <w:rsid w:val="00FA262D"/>
    <w:rsid w:val="00FA268A"/>
    <w:rsid w:val="00FA28DC"/>
    <w:rsid w:val="00FA2AA8"/>
    <w:rsid w:val="00FA2DE4"/>
    <w:rsid w:val="00FA2E41"/>
    <w:rsid w:val="00FA3AD8"/>
    <w:rsid w:val="00FA3D12"/>
    <w:rsid w:val="00FA3E1B"/>
    <w:rsid w:val="00FA42C4"/>
    <w:rsid w:val="00FA459C"/>
    <w:rsid w:val="00FA5006"/>
    <w:rsid w:val="00FA535F"/>
    <w:rsid w:val="00FA56C8"/>
    <w:rsid w:val="00FA6875"/>
    <w:rsid w:val="00FA695B"/>
    <w:rsid w:val="00FA6D98"/>
    <w:rsid w:val="00FA6E8E"/>
    <w:rsid w:val="00FA6F47"/>
    <w:rsid w:val="00FA7A93"/>
    <w:rsid w:val="00FA7B23"/>
    <w:rsid w:val="00FA7B8C"/>
    <w:rsid w:val="00FB0A3F"/>
    <w:rsid w:val="00FB0DA1"/>
    <w:rsid w:val="00FB25F8"/>
    <w:rsid w:val="00FB25FF"/>
    <w:rsid w:val="00FB29E4"/>
    <w:rsid w:val="00FB2EBB"/>
    <w:rsid w:val="00FB332E"/>
    <w:rsid w:val="00FB3337"/>
    <w:rsid w:val="00FB389B"/>
    <w:rsid w:val="00FB397A"/>
    <w:rsid w:val="00FB39EE"/>
    <w:rsid w:val="00FB3B1A"/>
    <w:rsid w:val="00FB3BFE"/>
    <w:rsid w:val="00FB4436"/>
    <w:rsid w:val="00FB44D0"/>
    <w:rsid w:val="00FB46C4"/>
    <w:rsid w:val="00FB4D90"/>
    <w:rsid w:val="00FB533A"/>
    <w:rsid w:val="00FB5D80"/>
    <w:rsid w:val="00FB6111"/>
    <w:rsid w:val="00FB657B"/>
    <w:rsid w:val="00FB6773"/>
    <w:rsid w:val="00FB6937"/>
    <w:rsid w:val="00FB6981"/>
    <w:rsid w:val="00FB6A38"/>
    <w:rsid w:val="00FB6BB3"/>
    <w:rsid w:val="00FB749B"/>
    <w:rsid w:val="00FB74BF"/>
    <w:rsid w:val="00FB751A"/>
    <w:rsid w:val="00FB769A"/>
    <w:rsid w:val="00FB7F05"/>
    <w:rsid w:val="00FC0B73"/>
    <w:rsid w:val="00FC0CB3"/>
    <w:rsid w:val="00FC0CD8"/>
    <w:rsid w:val="00FC0DB7"/>
    <w:rsid w:val="00FC10BF"/>
    <w:rsid w:val="00FC128C"/>
    <w:rsid w:val="00FC17C1"/>
    <w:rsid w:val="00FC1BE9"/>
    <w:rsid w:val="00FC1DEA"/>
    <w:rsid w:val="00FC2106"/>
    <w:rsid w:val="00FC22F6"/>
    <w:rsid w:val="00FC2734"/>
    <w:rsid w:val="00FC2D4D"/>
    <w:rsid w:val="00FC2DF3"/>
    <w:rsid w:val="00FC319D"/>
    <w:rsid w:val="00FC3984"/>
    <w:rsid w:val="00FC3A37"/>
    <w:rsid w:val="00FC3B01"/>
    <w:rsid w:val="00FC3E2D"/>
    <w:rsid w:val="00FC4063"/>
    <w:rsid w:val="00FC42CD"/>
    <w:rsid w:val="00FC457C"/>
    <w:rsid w:val="00FC46DF"/>
    <w:rsid w:val="00FC47CF"/>
    <w:rsid w:val="00FC495F"/>
    <w:rsid w:val="00FC4C3F"/>
    <w:rsid w:val="00FC4C68"/>
    <w:rsid w:val="00FC5824"/>
    <w:rsid w:val="00FC5BBB"/>
    <w:rsid w:val="00FC5CD9"/>
    <w:rsid w:val="00FC5EA4"/>
    <w:rsid w:val="00FC5FEF"/>
    <w:rsid w:val="00FC68F8"/>
    <w:rsid w:val="00FC68FD"/>
    <w:rsid w:val="00FC6A4E"/>
    <w:rsid w:val="00FC6A64"/>
    <w:rsid w:val="00FC6EB7"/>
    <w:rsid w:val="00FC6FA3"/>
    <w:rsid w:val="00FC705C"/>
    <w:rsid w:val="00FC70D9"/>
    <w:rsid w:val="00FC71DE"/>
    <w:rsid w:val="00FC77F6"/>
    <w:rsid w:val="00FC7C4C"/>
    <w:rsid w:val="00FD00A2"/>
    <w:rsid w:val="00FD02AC"/>
    <w:rsid w:val="00FD05C5"/>
    <w:rsid w:val="00FD074D"/>
    <w:rsid w:val="00FD0B11"/>
    <w:rsid w:val="00FD1094"/>
    <w:rsid w:val="00FD1284"/>
    <w:rsid w:val="00FD1842"/>
    <w:rsid w:val="00FD1BFE"/>
    <w:rsid w:val="00FD1D47"/>
    <w:rsid w:val="00FD212A"/>
    <w:rsid w:val="00FD2151"/>
    <w:rsid w:val="00FD25DC"/>
    <w:rsid w:val="00FD2832"/>
    <w:rsid w:val="00FD289F"/>
    <w:rsid w:val="00FD2B58"/>
    <w:rsid w:val="00FD2C93"/>
    <w:rsid w:val="00FD2D9D"/>
    <w:rsid w:val="00FD305A"/>
    <w:rsid w:val="00FD3091"/>
    <w:rsid w:val="00FD31B4"/>
    <w:rsid w:val="00FD3501"/>
    <w:rsid w:val="00FD3BB3"/>
    <w:rsid w:val="00FD4576"/>
    <w:rsid w:val="00FD4D13"/>
    <w:rsid w:val="00FD4F4B"/>
    <w:rsid w:val="00FD52A2"/>
    <w:rsid w:val="00FD53AA"/>
    <w:rsid w:val="00FD55F3"/>
    <w:rsid w:val="00FD5622"/>
    <w:rsid w:val="00FD5E3E"/>
    <w:rsid w:val="00FD630A"/>
    <w:rsid w:val="00FD64C9"/>
    <w:rsid w:val="00FD6632"/>
    <w:rsid w:val="00FD687A"/>
    <w:rsid w:val="00FD7271"/>
    <w:rsid w:val="00FD729C"/>
    <w:rsid w:val="00FD7383"/>
    <w:rsid w:val="00FD73A6"/>
    <w:rsid w:val="00FD73DD"/>
    <w:rsid w:val="00FD741F"/>
    <w:rsid w:val="00FD790D"/>
    <w:rsid w:val="00FD7CE8"/>
    <w:rsid w:val="00FD7ED7"/>
    <w:rsid w:val="00FD7FE9"/>
    <w:rsid w:val="00FE0416"/>
    <w:rsid w:val="00FE0720"/>
    <w:rsid w:val="00FE0A02"/>
    <w:rsid w:val="00FE13F2"/>
    <w:rsid w:val="00FE1597"/>
    <w:rsid w:val="00FE182C"/>
    <w:rsid w:val="00FE1A13"/>
    <w:rsid w:val="00FE1A4C"/>
    <w:rsid w:val="00FE1ADC"/>
    <w:rsid w:val="00FE1BC3"/>
    <w:rsid w:val="00FE242F"/>
    <w:rsid w:val="00FE244E"/>
    <w:rsid w:val="00FE24F0"/>
    <w:rsid w:val="00FE25BD"/>
    <w:rsid w:val="00FE3144"/>
    <w:rsid w:val="00FE336B"/>
    <w:rsid w:val="00FE448C"/>
    <w:rsid w:val="00FE45F0"/>
    <w:rsid w:val="00FE464E"/>
    <w:rsid w:val="00FE4B9E"/>
    <w:rsid w:val="00FE4BCC"/>
    <w:rsid w:val="00FE57AA"/>
    <w:rsid w:val="00FE5AA1"/>
    <w:rsid w:val="00FE627E"/>
    <w:rsid w:val="00FE62BF"/>
    <w:rsid w:val="00FE66F1"/>
    <w:rsid w:val="00FE7038"/>
    <w:rsid w:val="00FE7825"/>
    <w:rsid w:val="00FE7954"/>
    <w:rsid w:val="00FE7A43"/>
    <w:rsid w:val="00FF081D"/>
    <w:rsid w:val="00FF0A09"/>
    <w:rsid w:val="00FF0A45"/>
    <w:rsid w:val="00FF0B44"/>
    <w:rsid w:val="00FF10A5"/>
    <w:rsid w:val="00FF12F9"/>
    <w:rsid w:val="00FF1412"/>
    <w:rsid w:val="00FF1471"/>
    <w:rsid w:val="00FF169A"/>
    <w:rsid w:val="00FF2056"/>
    <w:rsid w:val="00FF20AE"/>
    <w:rsid w:val="00FF213A"/>
    <w:rsid w:val="00FF2310"/>
    <w:rsid w:val="00FF258A"/>
    <w:rsid w:val="00FF2FB1"/>
    <w:rsid w:val="00FF334E"/>
    <w:rsid w:val="00FF339C"/>
    <w:rsid w:val="00FF3EED"/>
    <w:rsid w:val="00FF3F0E"/>
    <w:rsid w:val="00FF4957"/>
    <w:rsid w:val="00FF4B53"/>
    <w:rsid w:val="00FF4F8C"/>
    <w:rsid w:val="00FF5256"/>
    <w:rsid w:val="00FF5816"/>
    <w:rsid w:val="00FF5CA0"/>
    <w:rsid w:val="00FF60E6"/>
    <w:rsid w:val="00FF6342"/>
    <w:rsid w:val="00FF645D"/>
    <w:rsid w:val="00FF6A85"/>
    <w:rsid w:val="00FF6C61"/>
    <w:rsid w:val="00FF6D27"/>
    <w:rsid w:val="00FF705B"/>
    <w:rsid w:val="00FF7795"/>
    <w:rsid w:val="00FF7B3F"/>
    <w:rsid w:val="00FF7B5C"/>
    <w:rsid w:val="00FF7BB2"/>
    <w:rsid w:val="01042CD0"/>
    <w:rsid w:val="010C03FA"/>
    <w:rsid w:val="011B5037"/>
    <w:rsid w:val="01554E25"/>
    <w:rsid w:val="01747006"/>
    <w:rsid w:val="01AE548E"/>
    <w:rsid w:val="01E9718A"/>
    <w:rsid w:val="01FF06FF"/>
    <w:rsid w:val="02144AA8"/>
    <w:rsid w:val="022721E2"/>
    <w:rsid w:val="027569C8"/>
    <w:rsid w:val="02E3529A"/>
    <w:rsid w:val="02FC1988"/>
    <w:rsid w:val="03000CF0"/>
    <w:rsid w:val="035010C2"/>
    <w:rsid w:val="038E216F"/>
    <w:rsid w:val="03F31E32"/>
    <w:rsid w:val="0422358A"/>
    <w:rsid w:val="049F0E39"/>
    <w:rsid w:val="050D1FE2"/>
    <w:rsid w:val="0518191E"/>
    <w:rsid w:val="053623A1"/>
    <w:rsid w:val="054B6E70"/>
    <w:rsid w:val="0560202F"/>
    <w:rsid w:val="05786D65"/>
    <w:rsid w:val="057F7F21"/>
    <w:rsid w:val="06A343C7"/>
    <w:rsid w:val="06D870D9"/>
    <w:rsid w:val="0762151E"/>
    <w:rsid w:val="079B3783"/>
    <w:rsid w:val="07E500C1"/>
    <w:rsid w:val="085D2ED7"/>
    <w:rsid w:val="085E413B"/>
    <w:rsid w:val="0874438D"/>
    <w:rsid w:val="0893430B"/>
    <w:rsid w:val="08DD3489"/>
    <w:rsid w:val="08ED22BF"/>
    <w:rsid w:val="09343CEB"/>
    <w:rsid w:val="09390E96"/>
    <w:rsid w:val="09514A16"/>
    <w:rsid w:val="09CF45BE"/>
    <w:rsid w:val="09FA16A9"/>
    <w:rsid w:val="0A0A2C42"/>
    <w:rsid w:val="0A314FFA"/>
    <w:rsid w:val="0A7F6991"/>
    <w:rsid w:val="0B11083C"/>
    <w:rsid w:val="0B1D5C9E"/>
    <w:rsid w:val="0B1E06FC"/>
    <w:rsid w:val="0B30764A"/>
    <w:rsid w:val="0B535F1C"/>
    <w:rsid w:val="0B8671FE"/>
    <w:rsid w:val="0C175B36"/>
    <w:rsid w:val="0D6C40D7"/>
    <w:rsid w:val="0D723229"/>
    <w:rsid w:val="0DA16035"/>
    <w:rsid w:val="0DDC25F9"/>
    <w:rsid w:val="0E4F1937"/>
    <w:rsid w:val="0E614385"/>
    <w:rsid w:val="0EDF3699"/>
    <w:rsid w:val="0EE83C31"/>
    <w:rsid w:val="0F606F73"/>
    <w:rsid w:val="0F6B47D2"/>
    <w:rsid w:val="0F84445E"/>
    <w:rsid w:val="0F8676D2"/>
    <w:rsid w:val="0FC508F1"/>
    <w:rsid w:val="0FDC6702"/>
    <w:rsid w:val="103A04BC"/>
    <w:rsid w:val="10526CA9"/>
    <w:rsid w:val="109116E8"/>
    <w:rsid w:val="10BD35C7"/>
    <w:rsid w:val="10C70663"/>
    <w:rsid w:val="112F7006"/>
    <w:rsid w:val="117D15B6"/>
    <w:rsid w:val="11D850E5"/>
    <w:rsid w:val="1237239D"/>
    <w:rsid w:val="124239EA"/>
    <w:rsid w:val="129C5ECF"/>
    <w:rsid w:val="12AC0A3D"/>
    <w:rsid w:val="12FD1787"/>
    <w:rsid w:val="132A7986"/>
    <w:rsid w:val="13C73F07"/>
    <w:rsid w:val="13F32C02"/>
    <w:rsid w:val="146E49D9"/>
    <w:rsid w:val="14723093"/>
    <w:rsid w:val="14A64372"/>
    <w:rsid w:val="151C79D7"/>
    <w:rsid w:val="153B4ABB"/>
    <w:rsid w:val="157B180B"/>
    <w:rsid w:val="15D3111A"/>
    <w:rsid w:val="15E95A5B"/>
    <w:rsid w:val="1608404E"/>
    <w:rsid w:val="16190D9A"/>
    <w:rsid w:val="167D50E0"/>
    <w:rsid w:val="171921C4"/>
    <w:rsid w:val="17A821AF"/>
    <w:rsid w:val="17AB53D7"/>
    <w:rsid w:val="17B374D2"/>
    <w:rsid w:val="181C1CA4"/>
    <w:rsid w:val="18290900"/>
    <w:rsid w:val="188A0ED1"/>
    <w:rsid w:val="189A1040"/>
    <w:rsid w:val="19031E69"/>
    <w:rsid w:val="19210EC6"/>
    <w:rsid w:val="194E7425"/>
    <w:rsid w:val="19C10DC0"/>
    <w:rsid w:val="1A7776CD"/>
    <w:rsid w:val="1A7C1108"/>
    <w:rsid w:val="1A8F5EC9"/>
    <w:rsid w:val="1AC437A4"/>
    <w:rsid w:val="1AD2662F"/>
    <w:rsid w:val="1B5468D6"/>
    <w:rsid w:val="1B5A2F12"/>
    <w:rsid w:val="1B633DA2"/>
    <w:rsid w:val="1C327A5A"/>
    <w:rsid w:val="1C7B1D99"/>
    <w:rsid w:val="1CD0148D"/>
    <w:rsid w:val="1D5079C0"/>
    <w:rsid w:val="1D72256A"/>
    <w:rsid w:val="1D941541"/>
    <w:rsid w:val="1DD53B90"/>
    <w:rsid w:val="1E032872"/>
    <w:rsid w:val="1E09697A"/>
    <w:rsid w:val="1E200B52"/>
    <w:rsid w:val="1E8B03F7"/>
    <w:rsid w:val="1ECD0914"/>
    <w:rsid w:val="1EDA06F3"/>
    <w:rsid w:val="1EE23129"/>
    <w:rsid w:val="1FA44783"/>
    <w:rsid w:val="1FB9657A"/>
    <w:rsid w:val="1FBD4805"/>
    <w:rsid w:val="1FE6111D"/>
    <w:rsid w:val="1FE92CBA"/>
    <w:rsid w:val="203E6F7B"/>
    <w:rsid w:val="20D6632E"/>
    <w:rsid w:val="20F27F4F"/>
    <w:rsid w:val="211420E8"/>
    <w:rsid w:val="21186326"/>
    <w:rsid w:val="211C409C"/>
    <w:rsid w:val="212A6264"/>
    <w:rsid w:val="214A5B4C"/>
    <w:rsid w:val="21D3730A"/>
    <w:rsid w:val="21EB4566"/>
    <w:rsid w:val="220A1E3A"/>
    <w:rsid w:val="224F5270"/>
    <w:rsid w:val="226C4195"/>
    <w:rsid w:val="226D489A"/>
    <w:rsid w:val="229534EC"/>
    <w:rsid w:val="22B26751"/>
    <w:rsid w:val="22DF57F7"/>
    <w:rsid w:val="22FD0F8A"/>
    <w:rsid w:val="230F329D"/>
    <w:rsid w:val="234B1015"/>
    <w:rsid w:val="24933D40"/>
    <w:rsid w:val="249A6818"/>
    <w:rsid w:val="257607A7"/>
    <w:rsid w:val="25F7374B"/>
    <w:rsid w:val="26745EEA"/>
    <w:rsid w:val="267C7838"/>
    <w:rsid w:val="268F3346"/>
    <w:rsid w:val="26973610"/>
    <w:rsid w:val="26F52684"/>
    <w:rsid w:val="273D7D84"/>
    <w:rsid w:val="276B793B"/>
    <w:rsid w:val="276E503D"/>
    <w:rsid w:val="278B2163"/>
    <w:rsid w:val="27953C6B"/>
    <w:rsid w:val="27AD0A03"/>
    <w:rsid w:val="280520B8"/>
    <w:rsid w:val="284514DE"/>
    <w:rsid w:val="28953297"/>
    <w:rsid w:val="28BC0562"/>
    <w:rsid w:val="28D937C7"/>
    <w:rsid w:val="28DC7F0B"/>
    <w:rsid w:val="298D3324"/>
    <w:rsid w:val="299407E6"/>
    <w:rsid w:val="29B80978"/>
    <w:rsid w:val="29E365A7"/>
    <w:rsid w:val="2A111855"/>
    <w:rsid w:val="2A2E4796"/>
    <w:rsid w:val="2A9E6EDB"/>
    <w:rsid w:val="2ACB0718"/>
    <w:rsid w:val="2ADE3BF7"/>
    <w:rsid w:val="2B1D3A02"/>
    <w:rsid w:val="2B3B3735"/>
    <w:rsid w:val="2B630F10"/>
    <w:rsid w:val="2BB16E26"/>
    <w:rsid w:val="2BFF288E"/>
    <w:rsid w:val="2C0729D3"/>
    <w:rsid w:val="2C0A32C7"/>
    <w:rsid w:val="2C18286B"/>
    <w:rsid w:val="2CEC1188"/>
    <w:rsid w:val="2D31066C"/>
    <w:rsid w:val="2D7144B4"/>
    <w:rsid w:val="2D9A72D1"/>
    <w:rsid w:val="2DB00085"/>
    <w:rsid w:val="2EEC5C4B"/>
    <w:rsid w:val="2F0329F8"/>
    <w:rsid w:val="2F2B6970"/>
    <w:rsid w:val="2FAB2869"/>
    <w:rsid w:val="2FC173D6"/>
    <w:rsid w:val="3014615B"/>
    <w:rsid w:val="306F705B"/>
    <w:rsid w:val="307C13CD"/>
    <w:rsid w:val="30D84CAE"/>
    <w:rsid w:val="30E04085"/>
    <w:rsid w:val="30E53099"/>
    <w:rsid w:val="30E57854"/>
    <w:rsid w:val="31247616"/>
    <w:rsid w:val="315D7567"/>
    <w:rsid w:val="31606004"/>
    <w:rsid w:val="31A42876"/>
    <w:rsid w:val="31BB3A83"/>
    <w:rsid w:val="31DB0472"/>
    <w:rsid w:val="32366912"/>
    <w:rsid w:val="32C9545C"/>
    <w:rsid w:val="331C108E"/>
    <w:rsid w:val="3321758E"/>
    <w:rsid w:val="332D7CE1"/>
    <w:rsid w:val="33447BF8"/>
    <w:rsid w:val="337B0888"/>
    <w:rsid w:val="337B7C71"/>
    <w:rsid w:val="33872119"/>
    <w:rsid w:val="338C0F14"/>
    <w:rsid w:val="33C42623"/>
    <w:rsid w:val="33CE3B81"/>
    <w:rsid w:val="33E52369"/>
    <w:rsid w:val="340D23B7"/>
    <w:rsid w:val="342967D6"/>
    <w:rsid w:val="34432D0E"/>
    <w:rsid w:val="344D02C4"/>
    <w:rsid w:val="34511841"/>
    <w:rsid w:val="347A51A5"/>
    <w:rsid w:val="34B477DC"/>
    <w:rsid w:val="34E31EB8"/>
    <w:rsid w:val="350C30F6"/>
    <w:rsid w:val="356D37B7"/>
    <w:rsid w:val="35B54F2D"/>
    <w:rsid w:val="35CF32D1"/>
    <w:rsid w:val="35DB71C9"/>
    <w:rsid w:val="35E15335"/>
    <w:rsid w:val="36376685"/>
    <w:rsid w:val="3659703F"/>
    <w:rsid w:val="36724A3B"/>
    <w:rsid w:val="369C0311"/>
    <w:rsid w:val="36B72FF8"/>
    <w:rsid w:val="37143AC3"/>
    <w:rsid w:val="37A2784F"/>
    <w:rsid w:val="383C0358"/>
    <w:rsid w:val="385E424E"/>
    <w:rsid w:val="387243E8"/>
    <w:rsid w:val="38B847FD"/>
    <w:rsid w:val="38BA5660"/>
    <w:rsid w:val="38FF284A"/>
    <w:rsid w:val="39A64269"/>
    <w:rsid w:val="39A8477C"/>
    <w:rsid w:val="39B13FD4"/>
    <w:rsid w:val="39EB190D"/>
    <w:rsid w:val="3A535CE8"/>
    <w:rsid w:val="3A7E7E88"/>
    <w:rsid w:val="3AE716E6"/>
    <w:rsid w:val="3AF7216C"/>
    <w:rsid w:val="3AF9280D"/>
    <w:rsid w:val="3B043A1D"/>
    <w:rsid w:val="3B2219DE"/>
    <w:rsid w:val="3BA548E8"/>
    <w:rsid w:val="3BC74D76"/>
    <w:rsid w:val="3BD7278A"/>
    <w:rsid w:val="3C0D7B4F"/>
    <w:rsid w:val="3C136FD8"/>
    <w:rsid w:val="3C6D60E4"/>
    <w:rsid w:val="3C6F4AD6"/>
    <w:rsid w:val="3CA15EC7"/>
    <w:rsid w:val="3D4F2586"/>
    <w:rsid w:val="3DCB77BE"/>
    <w:rsid w:val="3DCC66DC"/>
    <w:rsid w:val="3DE67168"/>
    <w:rsid w:val="3DFF1244"/>
    <w:rsid w:val="3E037C4A"/>
    <w:rsid w:val="3E1972AC"/>
    <w:rsid w:val="3E611052"/>
    <w:rsid w:val="3E615142"/>
    <w:rsid w:val="3E793658"/>
    <w:rsid w:val="3EFD22F1"/>
    <w:rsid w:val="3FC57633"/>
    <w:rsid w:val="3FE51083"/>
    <w:rsid w:val="40060AAB"/>
    <w:rsid w:val="401834FD"/>
    <w:rsid w:val="404A5F84"/>
    <w:rsid w:val="405351FD"/>
    <w:rsid w:val="40694322"/>
    <w:rsid w:val="40A7462F"/>
    <w:rsid w:val="40CB28E7"/>
    <w:rsid w:val="40F21478"/>
    <w:rsid w:val="41045CEA"/>
    <w:rsid w:val="413E0B35"/>
    <w:rsid w:val="41D10632"/>
    <w:rsid w:val="41DA29E3"/>
    <w:rsid w:val="41E72552"/>
    <w:rsid w:val="423E1C04"/>
    <w:rsid w:val="43142278"/>
    <w:rsid w:val="435E4D96"/>
    <w:rsid w:val="438511F3"/>
    <w:rsid w:val="43DA545B"/>
    <w:rsid w:val="44294141"/>
    <w:rsid w:val="444B2880"/>
    <w:rsid w:val="449763DF"/>
    <w:rsid w:val="449B0822"/>
    <w:rsid w:val="44B942C9"/>
    <w:rsid w:val="44E74F0A"/>
    <w:rsid w:val="44F376CB"/>
    <w:rsid w:val="44F43321"/>
    <w:rsid w:val="44F82776"/>
    <w:rsid w:val="450A56A6"/>
    <w:rsid w:val="454357EA"/>
    <w:rsid w:val="456E42F3"/>
    <w:rsid w:val="459205B9"/>
    <w:rsid w:val="45C2367D"/>
    <w:rsid w:val="4642364B"/>
    <w:rsid w:val="465515D1"/>
    <w:rsid w:val="46714CAE"/>
    <w:rsid w:val="467821D7"/>
    <w:rsid w:val="4684342B"/>
    <w:rsid w:val="468F0BB3"/>
    <w:rsid w:val="469621A4"/>
    <w:rsid w:val="46AC166F"/>
    <w:rsid w:val="46AF3F14"/>
    <w:rsid w:val="46B328E6"/>
    <w:rsid w:val="470B7412"/>
    <w:rsid w:val="477C5823"/>
    <w:rsid w:val="47847926"/>
    <w:rsid w:val="47F7442C"/>
    <w:rsid w:val="48675E0C"/>
    <w:rsid w:val="48A27EE4"/>
    <w:rsid w:val="48EE70EB"/>
    <w:rsid w:val="48F03C4E"/>
    <w:rsid w:val="48FC21D7"/>
    <w:rsid w:val="48FC60D7"/>
    <w:rsid w:val="48FF4671"/>
    <w:rsid w:val="493E1FBF"/>
    <w:rsid w:val="4A4D5792"/>
    <w:rsid w:val="4AAD166B"/>
    <w:rsid w:val="4AFC4AAA"/>
    <w:rsid w:val="4B8A2B86"/>
    <w:rsid w:val="4BC575AB"/>
    <w:rsid w:val="4BD8774E"/>
    <w:rsid w:val="4BE55496"/>
    <w:rsid w:val="4C415487"/>
    <w:rsid w:val="4CB176B1"/>
    <w:rsid w:val="4CCE5220"/>
    <w:rsid w:val="4D011F1C"/>
    <w:rsid w:val="4D69106A"/>
    <w:rsid w:val="4D873F9A"/>
    <w:rsid w:val="4D8A132F"/>
    <w:rsid w:val="4DCA613C"/>
    <w:rsid w:val="4DFF0F98"/>
    <w:rsid w:val="4E1B0EC5"/>
    <w:rsid w:val="4E6F711A"/>
    <w:rsid w:val="4EB2540E"/>
    <w:rsid w:val="4F9C668A"/>
    <w:rsid w:val="4FA619FC"/>
    <w:rsid w:val="4FB45613"/>
    <w:rsid w:val="50175272"/>
    <w:rsid w:val="50A521E7"/>
    <w:rsid w:val="50C06A09"/>
    <w:rsid w:val="50CF6F4F"/>
    <w:rsid w:val="50DB1DF5"/>
    <w:rsid w:val="5100202F"/>
    <w:rsid w:val="51494551"/>
    <w:rsid w:val="518006CD"/>
    <w:rsid w:val="51844B18"/>
    <w:rsid w:val="51930CE1"/>
    <w:rsid w:val="51A32F70"/>
    <w:rsid w:val="51AA7B07"/>
    <w:rsid w:val="51E84640"/>
    <w:rsid w:val="52057B3B"/>
    <w:rsid w:val="523B4A14"/>
    <w:rsid w:val="52665469"/>
    <w:rsid w:val="53442233"/>
    <w:rsid w:val="53AD2B12"/>
    <w:rsid w:val="53C83B27"/>
    <w:rsid w:val="548228F1"/>
    <w:rsid w:val="54D46BBA"/>
    <w:rsid w:val="55896F0C"/>
    <w:rsid w:val="55F03C6C"/>
    <w:rsid w:val="566447F4"/>
    <w:rsid w:val="566E23D0"/>
    <w:rsid w:val="56751C04"/>
    <w:rsid w:val="56A71D6F"/>
    <w:rsid w:val="56A738C9"/>
    <w:rsid w:val="56D24F79"/>
    <w:rsid w:val="56D26C7F"/>
    <w:rsid w:val="56E634DC"/>
    <w:rsid w:val="56EF512A"/>
    <w:rsid w:val="572459C0"/>
    <w:rsid w:val="577E1158"/>
    <w:rsid w:val="57B62F9B"/>
    <w:rsid w:val="58755818"/>
    <w:rsid w:val="587F77A3"/>
    <w:rsid w:val="591E0B2C"/>
    <w:rsid w:val="59321004"/>
    <w:rsid w:val="593D0BD7"/>
    <w:rsid w:val="596B7358"/>
    <w:rsid w:val="597D65C9"/>
    <w:rsid w:val="59F73BA6"/>
    <w:rsid w:val="5A3A3C09"/>
    <w:rsid w:val="5A89319F"/>
    <w:rsid w:val="5B014B7F"/>
    <w:rsid w:val="5B201627"/>
    <w:rsid w:val="5B4C7A7A"/>
    <w:rsid w:val="5B7A1D88"/>
    <w:rsid w:val="5B9A1605"/>
    <w:rsid w:val="5BA81D4B"/>
    <w:rsid w:val="5BA97FD1"/>
    <w:rsid w:val="5BDA36D5"/>
    <w:rsid w:val="5C51642B"/>
    <w:rsid w:val="5C6333F6"/>
    <w:rsid w:val="5C8040B4"/>
    <w:rsid w:val="5D021534"/>
    <w:rsid w:val="5D05402F"/>
    <w:rsid w:val="5D6D330A"/>
    <w:rsid w:val="5D7D09B7"/>
    <w:rsid w:val="5DBF2B02"/>
    <w:rsid w:val="5E0C22F9"/>
    <w:rsid w:val="5E296ACC"/>
    <w:rsid w:val="5E4C4C10"/>
    <w:rsid w:val="5E54067D"/>
    <w:rsid w:val="5E613A39"/>
    <w:rsid w:val="5F3640B8"/>
    <w:rsid w:val="5F572300"/>
    <w:rsid w:val="600C6D21"/>
    <w:rsid w:val="60577E87"/>
    <w:rsid w:val="607C4517"/>
    <w:rsid w:val="608B45FD"/>
    <w:rsid w:val="60BA0DEB"/>
    <w:rsid w:val="60D666B1"/>
    <w:rsid w:val="61184187"/>
    <w:rsid w:val="618566F0"/>
    <w:rsid w:val="61882809"/>
    <w:rsid w:val="618C36C1"/>
    <w:rsid w:val="618F6052"/>
    <w:rsid w:val="61DC274E"/>
    <w:rsid w:val="62046068"/>
    <w:rsid w:val="624D30C1"/>
    <w:rsid w:val="6291770A"/>
    <w:rsid w:val="62D87AD3"/>
    <w:rsid w:val="62F15D85"/>
    <w:rsid w:val="633E167E"/>
    <w:rsid w:val="638141D2"/>
    <w:rsid w:val="63C515F0"/>
    <w:rsid w:val="64170EFC"/>
    <w:rsid w:val="6465671C"/>
    <w:rsid w:val="64791FA7"/>
    <w:rsid w:val="647C6129"/>
    <w:rsid w:val="649901A7"/>
    <w:rsid w:val="64B905C4"/>
    <w:rsid w:val="64F43F17"/>
    <w:rsid w:val="64FE3226"/>
    <w:rsid w:val="6506007F"/>
    <w:rsid w:val="652606F8"/>
    <w:rsid w:val="653A2DDA"/>
    <w:rsid w:val="653D3D97"/>
    <w:rsid w:val="654941B2"/>
    <w:rsid w:val="655430CD"/>
    <w:rsid w:val="66D8151D"/>
    <w:rsid w:val="6787202D"/>
    <w:rsid w:val="67C67F7E"/>
    <w:rsid w:val="687A53FA"/>
    <w:rsid w:val="69066B40"/>
    <w:rsid w:val="69481E2A"/>
    <w:rsid w:val="694A65BB"/>
    <w:rsid w:val="69661730"/>
    <w:rsid w:val="69710487"/>
    <w:rsid w:val="69AC2446"/>
    <w:rsid w:val="6A39765B"/>
    <w:rsid w:val="6A767E80"/>
    <w:rsid w:val="6AAA4C19"/>
    <w:rsid w:val="6AB26742"/>
    <w:rsid w:val="6AB44E49"/>
    <w:rsid w:val="6B6C0452"/>
    <w:rsid w:val="6BAC13E3"/>
    <w:rsid w:val="6BAC4F3F"/>
    <w:rsid w:val="6C2F5781"/>
    <w:rsid w:val="6C345F04"/>
    <w:rsid w:val="6C623944"/>
    <w:rsid w:val="6C6D0DC9"/>
    <w:rsid w:val="6CB43503"/>
    <w:rsid w:val="6CC53872"/>
    <w:rsid w:val="6CE9756E"/>
    <w:rsid w:val="6D3263C3"/>
    <w:rsid w:val="6D3F03E8"/>
    <w:rsid w:val="6D6052D1"/>
    <w:rsid w:val="6D9D5488"/>
    <w:rsid w:val="6E297BD0"/>
    <w:rsid w:val="6E3D77B1"/>
    <w:rsid w:val="6E686999"/>
    <w:rsid w:val="6ECD2CDB"/>
    <w:rsid w:val="6F160EA7"/>
    <w:rsid w:val="6F1B2B08"/>
    <w:rsid w:val="6F1D51E8"/>
    <w:rsid w:val="6F540B08"/>
    <w:rsid w:val="6F6C1389"/>
    <w:rsid w:val="6FFD24BB"/>
    <w:rsid w:val="704D5DCD"/>
    <w:rsid w:val="70634290"/>
    <w:rsid w:val="707B1F72"/>
    <w:rsid w:val="70FD2B0F"/>
    <w:rsid w:val="71141C10"/>
    <w:rsid w:val="711D0EF8"/>
    <w:rsid w:val="71302AFD"/>
    <w:rsid w:val="71715903"/>
    <w:rsid w:val="71C00596"/>
    <w:rsid w:val="71C65411"/>
    <w:rsid w:val="72294BB0"/>
    <w:rsid w:val="722E29DB"/>
    <w:rsid w:val="725566F5"/>
    <w:rsid w:val="72700134"/>
    <w:rsid w:val="72A31DEA"/>
    <w:rsid w:val="72B92933"/>
    <w:rsid w:val="72E83CC4"/>
    <w:rsid w:val="7323502F"/>
    <w:rsid w:val="737D67F3"/>
    <w:rsid w:val="73F40B77"/>
    <w:rsid w:val="74971F31"/>
    <w:rsid w:val="74A638A4"/>
    <w:rsid w:val="74CC682B"/>
    <w:rsid w:val="74D75053"/>
    <w:rsid w:val="7509355E"/>
    <w:rsid w:val="750E2950"/>
    <w:rsid w:val="75227263"/>
    <w:rsid w:val="75244D8A"/>
    <w:rsid w:val="753D61E0"/>
    <w:rsid w:val="758C3B7E"/>
    <w:rsid w:val="75C1376F"/>
    <w:rsid w:val="75D10F36"/>
    <w:rsid w:val="762A1722"/>
    <w:rsid w:val="76356E29"/>
    <w:rsid w:val="766B50CF"/>
    <w:rsid w:val="77700253"/>
    <w:rsid w:val="77D74B02"/>
    <w:rsid w:val="77DE101C"/>
    <w:rsid w:val="78302864"/>
    <w:rsid w:val="784B2779"/>
    <w:rsid w:val="787A6932"/>
    <w:rsid w:val="78DD775D"/>
    <w:rsid w:val="792332D0"/>
    <w:rsid w:val="796A0560"/>
    <w:rsid w:val="79A11B0F"/>
    <w:rsid w:val="79A41D0D"/>
    <w:rsid w:val="79B53932"/>
    <w:rsid w:val="7A186D5D"/>
    <w:rsid w:val="7A312611"/>
    <w:rsid w:val="7B103AE8"/>
    <w:rsid w:val="7B172453"/>
    <w:rsid w:val="7B600470"/>
    <w:rsid w:val="7B827A6B"/>
    <w:rsid w:val="7B8D6FFB"/>
    <w:rsid w:val="7BA3642D"/>
    <w:rsid w:val="7C2263C9"/>
    <w:rsid w:val="7C3E24BB"/>
    <w:rsid w:val="7C703D67"/>
    <w:rsid w:val="7C9A763B"/>
    <w:rsid w:val="7CAD7B87"/>
    <w:rsid w:val="7CBC78FC"/>
    <w:rsid w:val="7D256B17"/>
    <w:rsid w:val="7DEA39B9"/>
    <w:rsid w:val="7E260D58"/>
    <w:rsid w:val="7EBD4301"/>
    <w:rsid w:val="7F1109E0"/>
    <w:rsid w:val="7F2257ED"/>
    <w:rsid w:val="7F731471"/>
    <w:rsid w:val="7F9855B6"/>
    <w:rsid w:val="7FA63D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59"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480" w:firstLineChars="200"/>
    </w:pPr>
    <w:rPr>
      <w:rFonts w:ascii="宋体" w:hAnsi="宋体" w:eastAsia="宋体" w:cs="Arial"/>
      <w:kern w:val="2"/>
      <w:sz w:val="24"/>
      <w:szCs w:val="24"/>
      <w:lang w:val="en-US" w:eastAsia="zh-CN" w:bidi="ar-SA"/>
    </w:rPr>
  </w:style>
  <w:style w:type="paragraph" w:styleId="3">
    <w:name w:val="heading 1"/>
    <w:basedOn w:val="1"/>
    <w:next w:val="1"/>
    <w:link w:val="425"/>
    <w:autoRedefine/>
    <w:qFormat/>
    <w:uiPriority w:val="0"/>
    <w:pPr>
      <w:keepNext/>
      <w:keepLines/>
      <w:spacing w:before="340" w:after="330" w:line="576" w:lineRule="auto"/>
      <w:outlineLvl w:val="0"/>
    </w:pPr>
    <w:rPr>
      <w:rFonts w:cs="宋体"/>
      <w:kern w:val="44"/>
      <w:sz w:val="44"/>
      <w:szCs w:val="44"/>
    </w:rPr>
  </w:style>
  <w:style w:type="paragraph" w:styleId="4">
    <w:name w:val="heading 2"/>
    <w:basedOn w:val="1"/>
    <w:next w:val="5"/>
    <w:link w:val="375"/>
    <w:autoRedefine/>
    <w:qFormat/>
    <w:uiPriority w:val="0"/>
    <w:pPr>
      <w:keepNext/>
      <w:keepLines/>
      <w:tabs>
        <w:tab w:val="center" w:pos="4253"/>
      </w:tabs>
      <w:spacing w:before="60" w:after="60" w:line="500" w:lineRule="exact"/>
      <w:outlineLvl w:val="1"/>
    </w:pPr>
    <w:rPr>
      <w:rFonts w:cs="宋体"/>
      <w:kern w:val="28"/>
      <w:sz w:val="28"/>
    </w:rPr>
  </w:style>
  <w:style w:type="paragraph" w:styleId="6">
    <w:name w:val="heading 3"/>
    <w:basedOn w:val="1"/>
    <w:next w:val="1"/>
    <w:link w:val="511"/>
    <w:autoRedefine/>
    <w:qFormat/>
    <w:uiPriority w:val="0"/>
    <w:pPr>
      <w:keepNext/>
      <w:keepLines/>
      <w:spacing w:before="260" w:after="260" w:line="416" w:lineRule="auto"/>
      <w:outlineLvl w:val="2"/>
    </w:pPr>
    <w:rPr>
      <w:rFonts w:ascii="Times New Roman" w:hAnsi="Times New Roman" w:cs="Times New Roman"/>
      <w:b/>
      <w:bCs/>
      <w:sz w:val="32"/>
      <w:szCs w:val="32"/>
    </w:rPr>
  </w:style>
  <w:style w:type="paragraph" w:styleId="7">
    <w:name w:val="heading 4"/>
    <w:basedOn w:val="1"/>
    <w:next w:val="1"/>
    <w:link w:val="207"/>
    <w:autoRedefine/>
    <w:qFormat/>
    <w:uiPriority w:val="0"/>
    <w:pPr>
      <w:keepNext/>
      <w:keepLines/>
      <w:snapToGrid w:val="0"/>
      <w:outlineLvl w:val="3"/>
    </w:pPr>
    <w:rPr>
      <w:b/>
      <w:color w:val="FF0000"/>
      <w:spacing w:val="-10"/>
      <w:kern w:val="28"/>
      <w:szCs w:val="24"/>
    </w:rPr>
  </w:style>
  <w:style w:type="paragraph" w:styleId="8">
    <w:name w:val="heading 5"/>
    <w:basedOn w:val="1"/>
    <w:next w:val="1"/>
    <w:link w:val="107"/>
    <w:autoRedefine/>
    <w:qFormat/>
    <w:uiPriority w:val="0"/>
    <w:pPr>
      <w:keepNext/>
      <w:keepLines/>
      <w:spacing w:before="280" w:after="290" w:line="376" w:lineRule="auto"/>
      <w:outlineLvl w:val="4"/>
    </w:pPr>
    <w:rPr>
      <w:rFonts w:ascii="Times New Roman" w:hAnsi="Times New Roman" w:cs="Times New Roman"/>
      <w:b/>
      <w:bCs/>
      <w:sz w:val="28"/>
      <w:szCs w:val="28"/>
    </w:rPr>
  </w:style>
  <w:style w:type="paragraph" w:styleId="9">
    <w:name w:val="heading 6"/>
    <w:basedOn w:val="1"/>
    <w:next w:val="1"/>
    <w:link w:val="305"/>
    <w:autoRedefine/>
    <w:qFormat/>
    <w:uiPriority w:val="0"/>
    <w:pPr>
      <w:keepNext/>
      <w:keepLines/>
      <w:numPr>
        <w:ilvl w:val="5"/>
        <w:numId w:val="1"/>
      </w:numPr>
      <w:tabs>
        <w:tab w:val="left" w:pos="0"/>
      </w:tabs>
      <w:adjustRightInd w:val="0"/>
      <w:spacing w:before="240" w:after="64" w:line="320" w:lineRule="atLeast"/>
      <w:outlineLvl w:val="5"/>
    </w:pPr>
    <w:rPr>
      <w:rFonts w:ascii="Arial" w:hAnsi="Arial" w:eastAsia="黑体" w:cs="Times New Roman"/>
      <w:b/>
      <w:kern w:val="0"/>
      <w:szCs w:val="20"/>
    </w:rPr>
  </w:style>
  <w:style w:type="paragraph" w:styleId="10">
    <w:name w:val="heading 7"/>
    <w:basedOn w:val="1"/>
    <w:next w:val="1"/>
    <w:link w:val="195"/>
    <w:autoRedefine/>
    <w:qFormat/>
    <w:uiPriority w:val="0"/>
    <w:pPr>
      <w:keepNext/>
      <w:keepLines/>
      <w:numPr>
        <w:ilvl w:val="6"/>
        <w:numId w:val="1"/>
      </w:numPr>
      <w:adjustRightInd w:val="0"/>
      <w:spacing w:before="240" w:after="64" w:line="320" w:lineRule="atLeast"/>
      <w:outlineLvl w:val="6"/>
    </w:pPr>
    <w:rPr>
      <w:rFonts w:ascii="Times New Roman" w:hAnsi="Times New Roman" w:cs="Times New Roman"/>
      <w:b/>
      <w:kern w:val="0"/>
      <w:szCs w:val="20"/>
    </w:rPr>
  </w:style>
  <w:style w:type="paragraph" w:styleId="11">
    <w:name w:val="heading 8"/>
    <w:basedOn w:val="1"/>
    <w:next w:val="1"/>
    <w:link w:val="427"/>
    <w:autoRedefine/>
    <w:qFormat/>
    <w:uiPriority w:val="0"/>
    <w:pPr>
      <w:keepNext/>
      <w:keepLines/>
      <w:numPr>
        <w:ilvl w:val="7"/>
        <w:numId w:val="1"/>
      </w:numPr>
      <w:adjustRightInd w:val="0"/>
      <w:spacing w:before="240" w:after="64" w:line="320" w:lineRule="atLeast"/>
      <w:outlineLvl w:val="7"/>
    </w:pPr>
    <w:rPr>
      <w:rFonts w:ascii="Arial" w:hAnsi="Arial" w:eastAsia="黑体" w:cs="Times New Roman"/>
      <w:kern w:val="0"/>
      <w:szCs w:val="20"/>
    </w:rPr>
  </w:style>
  <w:style w:type="paragraph" w:styleId="12">
    <w:name w:val="heading 9"/>
    <w:basedOn w:val="1"/>
    <w:next w:val="1"/>
    <w:link w:val="429"/>
    <w:autoRedefine/>
    <w:qFormat/>
    <w:uiPriority w:val="0"/>
    <w:pPr>
      <w:keepNext/>
      <w:keepLines/>
      <w:numPr>
        <w:ilvl w:val="8"/>
        <w:numId w:val="1"/>
      </w:numPr>
      <w:adjustRightInd w:val="0"/>
      <w:spacing w:before="240" w:after="64" w:line="320" w:lineRule="atLeast"/>
      <w:outlineLvl w:val="8"/>
    </w:pPr>
    <w:rPr>
      <w:rFonts w:ascii="Arial" w:hAnsi="Arial" w:eastAsia="黑体" w:cs="Times New Roman"/>
      <w:kern w:val="0"/>
      <w:sz w:val="21"/>
      <w:szCs w:val="20"/>
    </w:rPr>
  </w:style>
  <w:style w:type="character" w:default="1" w:styleId="63">
    <w:name w:val="Default Paragraph Font"/>
    <w:autoRedefine/>
    <w:semiHidden/>
    <w:unhideWhenUsed/>
    <w:qFormat/>
    <w:uiPriority w:val="1"/>
  </w:style>
  <w:style w:type="table" w:default="1" w:styleId="60">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1"/>
    <w:next w:val="1"/>
    <w:autoRedefine/>
    <w:qFormat/>
    <w:uiPriority w:val="99"/>
    <w:pPr>
      <w:adjustRightInd/>
      <w:spacing w:line="360" w:lineRule="auto"/>
      <w:ind w:firstLine="420" w:firstLineChars="200"/>
      <w:jc w:val="both"/>
    </w:pPr>
    <w:rPr>
      <w:kern w:val="2"/>
    </w:rPr>
  </w:style>
  <w:style w:type="paragraph" w:styleId="5">
    <w:name w:val="Normal Indent"/>
    <w:basedOn w:val="1"/>
    <w:link w:val="151"/>
    <w:autoRedefine/>
    <w:qFormat/>
    <w:uiPriority w:val="0"/>
    <w:pPr>
      <w:ind w:firstLine="420"/>
    </w:pPr>
    <w:rPr>
      <w:rFonts w:ascii="Times New Roman" w:hAnsi="Times New Roman" w:cs="Times New Roman"/>
      <w:sz w:val="21"/>
      <w:szCs w:val="20"/>
    </w:rPr>
  </w:style>
  <w:style w:type="paragraph" w:styleId="13">
    <w:name w:val="toc 7"/>
    <w:basedOn w:val="1"/>
    <w:next w:val="1"/>
    <w:autoRedefine/>
    <w:qFormat/>
    <w:uiPriority w:val="39"/>
    <w:pPr>
      <w:ind w:left="1200" w:leftChars="1200"/>
    </w:pPr>
    <w:rPr>
      <w:rFonts w:ascii="Calibri" w:hAnsi="Calibri"/>
      <w:szCs w:val="22"/>
    </w:rPr>
  </w:style>
  <w:style w:type="paragraph" w:styleId="14">
    <w:name w:val="table of authorities"/>
    <w:basedOn w:val="1"/>
    <w:next w:val="1"/>
    <w:autoRedefine/>
    <w:qFormat/>
    <w:uiPriority w:val="0"/>
    <w:pPr>
      <w:ind w:left="420" w:leftChars="200"/>
    </w:pPr>
  </w:style>
  <w:style w:type="paragraph" w:styleId="15">
    <w:name w:val="List Bullet 4"/>
    <w:basedOn w:val="1"/>
    <w:autoRedefine/>
    <w:qFormat/>
    <w:uiPriority w:val="0"/>
    <w:pPr>
      <w:numPr>
        <w:ilvl w:val="0"/>
        <w:numId w:val="2"/>
      </w:numPr>
    </w:pPr>
  </w:style>
  <w:style w:type="paragraph" w:styleId="16">
    <w:name w:val="index 8"/>
    <w:basedOn w:val="1"/>
    <w:next w:val="1"/>
    <w:autoRedefine/>
    <w:qFormat/>
    <w:uiPriority w:val="0"/>
    <w:pPr>
      <w:ind w:left="1400" w:leftChars="1400"/>
    </w:pPr>
  </w:style>
  <w:style w:type="paragraph" w:styleId="17">
    <w:name w:val="caption"/>
    <w:basedOn w:val="1"/>
    <w:next w:val="1"/>
    <w:autoRedefine/>
    <w:qFormat/>
    <w:uiPriority w:val="0"/>
    <w:rPr>
      <w:b/>
      <w:bCs/>
      <w:color w:val="4F81BD"/>
      <w:sz w:val="18"/>
      <w:szCs w:val="18"/>
    </w:rPr>
  </w:style>
  <w:style w:type="paragraph" w:styleId="18">
    <w:name w:val="index 5"/>
    <w:basedOn w:val="1"/>
    <w:next w:val="1"/>
    <w:autoRedefine/>
    <w:qFormat/>
    <w:uiPriority w:val="0"/>
    <w:pPr>
      <w:ind w:left="800" w:leftChars="800"/>
    </w:pPr>
  </w:style>
  <w:style w:type="paragraph" w:styleId="19">
    <w:name w:val="List Bullet"/>
    <w:basedOn w:val="1"/>
    <w:autoRedefine/>
    <w:qFormat/>
    <w:uiPriority w:val="0"/>
    <w:pPr>
      <w:ind w:firstLine="720" w:firstLineChars="257"/>
    </w:pPr>
    <w:rPr>
      <w:sz w:val="28"/>
    </w:rPr>
  </w:style>
  <w:style w:type="paragraph" w:styleId="20">
    <w:name w:val="Document Map"/>
    <w:basedOn w:val="1"/>
    <w:link w:val="182"/>
    <w:autoRedefine/>
    <w:qFormat/>
    <w:uiPriority w:val="0"/>
    <w:pPr>
      <w:shd w:val="clear" w:color="auto" w:fill="000080"/>
    </w:pPr>
    <w:rPr>
      <w:rFonts w:cs="Times New Roman"/>
      <w:sz w:val="21"/>
    </w:rPr>
  </w:style>
  <w:style w:type="paragraph" w:styleId="21">
    <w:name w:val="toa heading"/>
    <w:basedOn w:val="1"/>
    <w:next w:val="1"/>
    <w:autoRedefine/>
    <w:qFormat/>
    <w:uiPriority w:val="0"/>
    <w:pPr>
      <w:spacing w:before="120"/>
    </w:pPr>
    <w:rPr>
      <w:rFonts w:ascii="Arial" w:hAnsi="Arial"/>
      <w:b/>
    </w:rPr>
  </w:style>
  <w:style w:type="paragraph" w:styleId="22">
    <w:name w:val="annotation text"/>
    <w:basedOn w:val="1"/>
    <w:link w:val="284"/>
    <w:autoRedefine/>
    <w:qFormat/>
    <w:uiPriority w:val="99"/>
    <w:rPr>
      <w:rFonts w:ascii="Calibri" w:hAnsi="Calibri" w:cs="Times New Roman"/>
      <w:sz w:val="21"/>
      <w:szCs w:val="22"/>
    </w:rPr>
  </w:style>
  <w:style w:type="paragraph" w:styleId="23">
    <w:name w:val="index 6"/>
    <w:basedOn w:val="1"/>
    <w:next w:val="1"/>
    <w:autoRedefine/>
    <w:qFormat/>
    <w:uiPriority w:val="0"/>
    <w:pPr>
      <w:ind w:left="1000" w:leftChars="1000"/>
    </w:pPr>
  </w:style>
  <w:style w:type="paragraph" w:styleId="24">
    <w:name w:val="Body Text 3"/>
    <w:basedOn w:val="1"/>
    <w:link w:val="301"/>
    <w:autoRedefine/>
    <w:qFormat/>
    <w:uiPriority w:val="0"/>
    <w:pPr>
      <w:autoSpaceDE w:val="0"/>
      <w:autoSpaceDN w:val="0"/>
      <w:textAlignment w:val="bottom"/>
    </w:pPr>
    <w:rPr>
      <w:rFonts w:hAnsi="Times New Roman" w:cs="Times New Roman"/>
      <w:color w:val="000000"/>
      <w:sz w:val="28"/>
      <w:szCs w:val="20"/>
    </w:rPr>
  </w:style>
  <w:style w:type="paragraph" w:styleId="25">
    <w:name w:val="List Bullet 3"/>
    <w:basedOn w:val="1"/>
    <w:autoRedefine/>
    <w:qFormat/>
    <w:uiPriority w:val="0"/>
    <w:pPr>
      <w:numPr>
        <w:ilvl w:val="0"/>
        <w:numId w:val="3"/>
      </w:numPr>
    </w:pPr>
  </w:style>
  <w:style w:type="paragraph" w:styleId="26">
    <w:name w:val="Body Text"/>
    <w:basedOn w:val="1"/>
    <w:next w:val="1"/>
    <w:link w:val="322"/>
    <w:autoRedefine/>
    <w:qFormat/>
    <w:uiPriority w:val="0"/>
    <w:pPr>
      <w:tabs>
        <w:tab w:val="left" w:pos="630"/>
      </w:tabs>
    </w:pPr>
    <w:rPr>
      <w:rFonts w:ascii="Times New Roman" w:hAnsi="Times New Roman" w:cs="Times New Roman"/>
      <w:sz w:val="28"/>
      <w:szCs w:val="20"/>
    </w:rPr>
  </w:style>
  <w:style w:type="paragraph" w:styleId="27">
    <w:name w:val="Body Text Indent"/>
    <w:basedOn w:val="1"/>
    <w:link w:val="460"/>
    <w:autoRedefine/>
    <w:qFormat/>
    <w:uiPriority w:val="0"/>
    <w:pPr>
      <w:ind w:firstLine="560"/>
    </w:pPr>
    <w:rPr>
      <w:rFonts w:ascii="Times New Roman" w:hAnsi="Times New Roman" w:cs="Times New Roman"/>
      <w:sz w:val="28"/>
    </w:rPr>
  </w:style>
  <w:style w:type="paragraph" w:styleId="28">
    <w:name w:val="Block Text"/>
    <w:basedOn w:val="1"/>
    <w:autoRedefine/>
    <w:qFormat/>
    <w:uiPriority w:val="0"/>
    <w:pPr>
      <w:adjustRightInd w:val="0"/>
      <w:spacing w:line="400" w:lineRule="exact"/>
      <w:ind w:left="-20" w:leftChars="-20" w:right="-20" w:rightChars="-20"/>
    </w:pPr>
    <w:rPr>
      <w:kern w:val="0"/>
      <w:szCs w:val="28"/>
    </w:rPr>
  </w:style>
  <w:style w:type="paragraph" w:styleId="29">
    <w:name w:val="List Bullet 2"/>
    <w:basedOn w:val="1"/>
    <w:autoRedefine/>
    <w:qFormat/>
    <w:uiPriority w:val="0"/>
    <w:pPr>
      <w:numPr>
        <w:ilvl w:val="0"/>
        <w:numId w:val="4"/>
      </w:numPr>
    </w:pPr>
    <w:rPr>
      <w:sz w:val="28"/>
    </w:rPr>
  </w:style>
  <w:style w:type="paragraph" w:styleId="30">
    <w:name w:val="index 4"/>
    <w:basedOn w:val="1"/>
    <w:next w:val="1"/>
    <w:autoRedefine/>
    <w:qFormat/>
    <w:uiPriority w:val="0"/>
    <w:pPr>
      <w:ind w:left="600" w:leftChars="600"/>
    </w:pPr>
  </w:style>
  <w:style w:type="paragraph" w:styleId="31">
    <w:name w:val="toc 5"/>
    <w:basedOn w:val="1"/>
    <w:next w:val="1"/>
    <w:autoRedefine/>
    <w:qFormat/>
    <w:uiPriority w:val="39"/>
    <w:pPr>
      <w:ind w:left="800" w:leftChars="800"/>
    </w:pPr>
    <w:rPr>
      <w:rFonts w:ascii="Calibri" w:hAnsi="Calibri"/>
      <w:szCs w:val="22"/>
    </w:rPr>
  </w:style>
  <w:style w:type="paragraph" w:styleId="32">
    <w:name w:val="toc 3"/>
    <w:basedOn w:val="1"/>
    <w:next w:val="1"/>
    <w:autoRedefine/>
    <w:qFormat/>
    <w:uiPriority w:val="39"/>
    <w:pPr>
      <w:ind w:left="840" w:leftChars="400"/>
    </w:pPr>
  </w:style>
  <w:style w:type="paragraph" w:styleId="33">
    <w:name w:val="Plain Text"/>
    <w:basedOn w:val="1"/>
    <w:link w:val="444"/>
    <w:autoRedefine/>
    <w:qFormat/>
    <w:uiPriority w:val="0"/>
    <w:rPr>
      <w:rFonts w:hAnsi="Courier New" w:cs="Times New Roman"/>
      <w:sz w:val="28"/>
      <w:szCs w:val="20"/>
    </w:rPr>
  </w:style>
  <w:style w:type="paragraph" w:styleId="34">
    <w:name w:val="toc 8"/>
    <w:basedOn w:val="1"/>
    <w:next w:val="1"/>
    <w:autoRedefine/>
    <w:qFormat/>
    <w:uiPriority w:val="39"/>
    <w:pPr>
      <w:adjustRightInd w:val="0"/>
      <w:spacing w:line="360" w:lineRule="atLeast"/>
      <w:jc w:val="center"/>
    </w:pPr>
    <w:rPr>
      <w:kern w:val="0"/>
    </w:rPr>
  </w:style>
  <w:style w:type="paragraph" w:styleId="35">
    <w:name w:val="index 3"/>
    <w:basedOn w:val="1"/>
    <w:next w:val="1"/>
    <w:autoRedefine/>
    <w:qFormat/>
    <w:uiPriority w:val="0"/>
    <w:pPr>
      <w:ind w:left="400" w:leftChars="400"/>
    </w:pPr>
  </w:style>
  <w:style w:type="paragraph" w:styleId="36">
    <w:name w:val="Date"/>
    <w:basedOn w:val="1"/>
    <w:next w:val="1"/>
    <w:link w:val="324"/>
    <w:autoRedefine/>
    <w:qFormat/>
    <w:uiPriority w:val="0"/>
    <w:pPr>
      <w:numPr>
        <w:ilvl w:val="0"/>
        <w:numId w:val="5"/>
      </w:numPr>
      <w:adjustRightInd w:val="0"/>
      <w:spacing w:line="360" w:lineRule="atLeast"/>
      <w:ind w:left="0" w:leftChars="2500" w:firstLine="0"/>
    </w:pPr>
    <w:rPr>
      <w:rFonts w:ascii="Times New Roman" w:hAnsi="Times New Roman" w:eastAsia="黑体" w:cs="Times New Roman"/>
      <w:b/>
      <w:bCs/>
      <w:kern w:val="0"/>
      <w:sz w:val="36"/>
      <w:szCs w:val="20"/>
    </w:rPr>
  </w:style>
  <w:style w:type="paragraph" w:styleId="37">
    <w:name w:val="Body Text Indent 2"/>
    <w:basedOn w:val="1"/>
    <w:link w:val="158"/>
    <w:autoRedefine/>
    <w:qFormat/>
    <w:uiPriority w:val="0"/>
    <w:pPr>
      <w:spacing w:after="120" w:line="480" w:lineRule="auto"/>
      <w:ind w:left="420" w:leftChars="200"/>
    </w:pPr>
    <w:rPr>
      <w:rFonts w:ascii="Times New Roman" w:hAnsi="Times New Roman" w:cs="Times New Roman"/>
      <w:sz w:val="21"/>
      <w:szCs w:val="20"/>
    </w:rPr>
  </w:style>
  <w:style w:type="paragraph" w:styleId="38">
    <w:name w:val="Balloon Text"/>
    <w:basedOn w:val="1"/>
    <w:link w:val="354"/>
    <w:autoRedefine/>
    <w:qFormat/>
    <w:uiPriority w:val="99"/>
    <w:rPr>
      <w:rFonts w:cs="Times New Roman"/>
      <w:kern w:val="0"/>
      <w:sz w:val="18"/>
      <w:szCs w:val="20"/>
    </w:rPr>
  </w:style>
  <w:style w:type="paragraph" w:styleId="39">
    <w:name w:val="footer"/>
    <w:basedOn w:val="1"/>
    <w:link w:val="308"/>
    <w:autoRedefine/>
    <w:qFormat/>
    <w:uiPriority w:val="99"/>
    <w:pPr>
      <w:tabs>
        <w:tab w:val="center" w:pos="4153"/>
        <w:tab w:val="right" w:pos="8306"/>
      </w:tabs>
      <w:snapToGrid w:val="0"/>
    </w:pPr>
    <w:rPr>
      <w:rFonts w:ascii="Times New Roman" w:hAnsi="Times New Roman" w:cs="Times New Roman"/>
      <w:sz w:val="18"/>
      <w:szCs w:val="20"/>
    </w:rPr>
  </w:style>
  <w:style w:type="paragraph" w:styleId="40">
    <w:name w:val="header"/>
    <w:basedOn w:val="1"/>
    <w:link w:val="382"/>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rFonts w:ascii="Times New Roman" w:hAnsi="Times New Roman" w:cs="Times New Roman"/>
      <w:sz w:val="18"/>
      <w:szCs w:val="20"/>
    </w:rPr>
  </w:style>
  <w:style w:type="paragraph" w:styleId="41">
    <w:name w:val="toc 1"/>
    <w:basedOn w:val="1"/>
    <w:next w:val="1"/>
    <w:autoRedefine/>
    <w:qFormat/>
    <w:uiPriority w:val="39"/>
    <w:rPr>
      <w:color w:val="FF0000"/>
      <w:szCs w:val="21"/>
    </w:rPr>
  </w:style>
  <w:style w:type="paragraph" w:styleId="42">
    <w:name w:val="toc 4"/>
    <w:basedOn w:val="1"/>
    <w:next w:val="1"/>
    <w:autoRedefine/>
    <w:qFormat/>
    <w:uiPriority w:val="39"/>
    <w:pPr>
      <w:ind w:left="600" w:leftChars="600"/>
    </w:pPr>
    <w:rPr>
      <w:rFonts w:ascii="Calibri" w:hAnsi="Calibri"/>
      <w:szCs w:val="22"/>
    </w:rPr>
  </w:style>
  <w:style w:type="paragraph" w:styleId="43">
    <w:name w:val="index heading"/>
    <w:basedOn w:val="1"/>
    <w:next w:val="44"/>
    <w:autoRedefine/>
    <w:qFormat/>
    <w:uiPriority w:val="0"/>
  </w:style>
  <w:style w:type="paragraph" w:styleId="44">
    <w:name w:val="index 1"/>
    <w:basedOn w:val="1"/>
    <w:next w:val="1"/>
    <w:autoRedefine/>
    <w:qFormat/>
    <w:uiPriority w:val="0"/>
  </w:style>
  <w:style w:type="paragraph" w:styleId="45">
    <w:name w:val="Subtitle"/>
    <w:basedOn w:val="1"/>
    <w:link w:val="523"/>
    <w:autoRedefine/>
    <w:qFormat/>
    <w:uiPriority w:val="0"/>
    <w:pPr>
      <w:snapToGrid w:val="0"/>
      <w:spacing w:before="120" w:after="120"/>
      <w:jc w:val="center"/>
    </w:pPr>
    <w:rPr>
      <w:rFonts w:ascii="Arial" w:hAnsi="Arial" w:eastAsia="幼圆"/>
      <w:b/>
      <w:bCs/>
      <w:sz w:val="32"/>
      <w:szCs w:val="32"/>
    </w:rPr>
  </w:style>
  <w:style w:type="paragraph" w:styleId="46">
    <w:name w:val="List"/>
    <w:basedOn w:val="1"/>
    <w:autoRedefine/>
    <w:qFormat/>
    <w:uiPriority w:val="0"/>
    <w:pPr>
      <w:adjustRightInd w:val="0"/>
      <w:spacing w:before="60" w:after="60"/>
      <w:textAlignment w:val="baseline"/>
    </w:pPr>
    <w:rPr>
      <w:kern w:val="0"/>
      <w:sz w:val="28"/>
    </w:rPr>
  </w:style>
  <w:style w:type="paragraph" w:styleId="47">
    <w:name w:val="toc 6"/>
    <w:basedOn w:val="1"/>
    <w:next w:val="1"/>
    <w:autoRedefine/>
    <w:qFormat/>
    <w:uiPriority w:val="39"/>
    <w:pPr>
      <w:ind w:left="1000" w:leftChars="1000"/>
    </w:pPr>
    <w:rPr>
      <w:rFonts w:ascii="Calibri" w:hAnsi="Calibri"/>
      <w:szCs w:val="22"/>
    </w:rPr>
  </w:style>
  <w:style w:type="paragraph" w:styleId="48">
    <w:name w:val="Body Text Indent 3"/>
    <w:basedOn w:val="1"/>
    <w:link w:val="446"/>
    <w:autoRedefine/>
    <w:qFormat/>
    <w:uiPriority w:val="0"/>
    <w:pPr>
      <w:adjustRightInd w:val="0"/>
      <w:spacing w:line="560" w:lineRule="exact"/>
      <w:ind w:firstLine="560"/>
      <w:textAlignment w:val="baseline"/>
    </w:pPr>
    <w:rPr>
      <w:rFonts w:ascii="Times New Roman" w:hAnsi="Times New Roman" w:cs="Times New Roman"/>
      <w:kern w:val="0"/>
      <w:sz w:val="28"/>
      <w:szCs w:val="20"/>
    </w:rPr>
  </w:style>
  <w:style w:type="paragraph" w:styleId="49">
    <w:name w:val="index 7"/>
    <w:basedOn w:val="1"/>
    <w:next w:val="1"/>
    <w:autoRedefine/>
    <w:qFormat/>
    <w:uiPriority w:val="0"/>
    <w:pPr>
      <w:ind w:left="1200" w:leftChars="1200"/>
    </w:pPr>
  </w:style>
  <w:style w:type="paragraph" w:styleId="50">
    <w:name w:val="index 9"/>
    <w:basedOn w:val="1"/>
    <w:next w:val="1"/>
    <w:autoRedefine/>
    <w:qFormat/>
    <w:uiPriority w:val="0"/>
    <w:pPr>
      <w:ind w:left="1600" w:leftChars="1600"/>
    </w:pPr>
  </w:style>
  <w:style w:type="paragraph" w:styleId="51">
    <w:name w:val="table of figures"/>
    <w:basedOn w:val="1"/>
    <w:next w:val="1"/>
    <w:autoRedefine/>
    <w:qFormat/>
    <w:uiPriority w:val="0"/>
    <w:pPr>
      <w:ind w:left="840" w:leftChars="200" w:hanging="420" w:hangingChars="200"/>
    </w:pPr>
  </w:style>
  <w:style w:type="paragraph" w:styleId="52">
    <w:name w:val="toc 2"/>
    <w:basedOn w:val="1"/>
    <w:next w:val="1"/>
    <w:autoRedefine/>
    <w:qFormat/>
    <w:uiPriority w:val="39"/>
    <w:pPr>
      <w:ind w:left="420" w:leftChars="200"/>
    </w:pPr>
  </w:style>
  <w:style w:type="paragraph" w:styleId="53">
    <w:name w:val="toc 9"/>
    <w:basedOn w:val="1"/>
    <w:next w:val="1"/>
    <w:autoRedefine/>
    <w:qFormat/>
    <w:uiPriority w:val="39"/>
    <w:pPr>
      <w:ind w:left="1600" w:leftChars="1600"/>
    </w:pPr>
    <w:rPr>
      <w:rFonts w:ascii="Calibri" w:hAnsi="Calibri"/>
      <w:szCs w:val="22"/>
    </w:rPr>
  </w:style>
  <w:style w:type="paragraph" w:styleId="54">
    <w:name w:val="Body Text 2"/>
    <w:basedOn w:val="1"/>
    <w:link w:val="281"/>
    <w:autoRedefine/>
    <w:qFormat/>
    <w:uiPriority w:val="0"/>
    <w:pPr>
      <w:tabs>
        <w:tab w:val="left" w:pos="-360"/>
        <w:tab w:val="left" w:pos="360"/>
      </w:tabs>
      <w:snapToGrid w:val="0"/>
      <w:spacing w:line="500" w:lineRule="atLeast"/>
    </w:pPr>
    <w:rPr>
      <w:rFonts w:ascii="Times New Roman" w:hAnsi="Times New Roman" w:eastAsia="仿宋_GB2312" w:cs="Times New Roman"/>
      <w:kern w:val="0"/>
      <w:sz w:val="28"/>
    </w:rPr>
  </w:style>
  <w:style w:type="paragraph" w:styleId="55">
    <w:name w:val="Normal (Web)"/>
    <w:basedOn w:val="1"/>
    <w:autoRedefine/>
    <w:qFormat/>
    <w:uiPriority w:val="99"/>
    <w:pPr>
      <w:widowControl/>
      <w:spacing w:before="100" w:beforeAutospacing="1" w:after="100" w:afterAutospacing="1"/>
    </w:pPr>
    <w:rPr>
      <w:rFonts w:cs="宋体"/>
      <w:kern w:val="0"/>
    </w:rPr>
  </w:style>
  <w:style w:type="paragraph" w:styleId="56">
    <w:name w:val="index 2"/>
    <w:basedOn w:val="1"/>
    <w:next w:val="1"/>
    <w:autoRedefine/>
    <w:qFormat/>
    <w:uiPriority w:val="0"/>
    <w:pPr>
      <w:ind w:left="200" w:leftChars="200"/>
    </w:pPr>
  </w:style>
  <w:style w:type="paragraph" w:styleId="57">
    <w:name w:val="Title"/>
    <w:basedOn w:val="1"/>
    <w:next w:val="1"/>
    <w:link w:val="377"/>
    <w:autoRedefine/>
    <w:qFormat/>
    <w:uiPriority w:val="0"/>
    <w:pPr>
      <w:pBdr>
        <w:bottom w:val="single" w:color="4F81BD" w:sz="8" w:space="4"/>
      </w:pBdr>
      <w:spacing w:after="300"/>
    </w:pPr>
    <w:rPr>
      <w:rFonts w:ascii="Cambria" w:hAnsi="Cambria" w:cs="Times New Roman"/>
      <w:color w:val="17365D"/>
      <w:spacing w:val="5"/>
      <w:kern w:val="28"/>
      <w:sz w:val="52"/>
      <w:szCs w:val="20"/>
    </w:rPr>
  </w:style>
  <w:style w:type="paragraph" w:styleId="58">
    <w:name w:val="annotation subject"/>
    <w:basedOn w:val="22"/>
    <w:next w:val="22"/>
    <w:link w:val="155"/>
    <w:autoRedefine/>
    <w:qFormat/>
    <w:uiPriority w:val="0"/>
    <w:rPr>
      <w:rFonts w:ascii="宋体" w:hAnsi="宋体"/>
      <w:b/>
      <w:kern w:val="0"/>
      <w:sz w:val="20"/>
      <w:szCs w:val="24"/>
    </w:rPr>
  </w:style>
  <w:style w:type="paragraph" w:styleId="59">
    <w:name w:val="Body Text First Indent"/>
    <w:basedOn w:val="26"/>
    <w:next w:val="1"/>
    <w:autoRedefine/>
    <w:qFormat/>
    <w:uiPriority w:val="0"/>
    <w:pPr>
      <w:spacing w:after="120" w:line="240" w:lineRule="auto"/>
      <w:ind w:firstLine="420" w:firstLineChars="100"/>
    </w:pPr>
    <w:rPr>
      <w:szCs w:val="24"/>
    </w:rPr>
  </w:style>
  <w:style w:type="table" w:styleId="61">
    <w:name w:val="Table Grid"/>
    <w:basedOn w:val="60"/>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2">
    <w:name w:val="Table Theme"/>
    <w:basedOn w:val="6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4">
    <w:name w:val="Strong"/>
    <w:autoRedefine/>
    <w:qFormat/>
    <w:uiPriority w:val="0"/>
    <w:rPr>
      <w:b/>
    </w:rPr>
  </w:style>
  <w:style w:type="character" w:styleId="65">
    <w:name w:val="page number"/>
    <w:autoRedefine/>
    <w:qFormat/>
    <w:uiPriority w:val="0"/>
  </w:style>
  <w:style w:type="character" w:styleId="66">
    <w:name w:val="FollowedHyperlink"/>
    <w:autoRedefine/>
    <w:qFormat/>
    <w:uiPriority w:val="0"/>
    <w:rPr>
      <w:color w:val="800080"/>
      <w:u w:val="single"/>
    </w:rPr>
  </w:style>
  <w:style w:type="character" w:styleId="67">
    <w:name w:val="Emphasis"/>
    <w:autoRedefine/>
    <w:qFormat/>
    <w:uiPriority w:val="20"/>
    <w:rPr>
      <w:i/>
      <w:iCs/>
    </w:rPr>
  </w:style>
  <w:style w:type="character" w:styleId="68">
    <w:name w:val="Hyperlink"/>
    <w:autoRedefine/>
    <w:qFormat/>
    <w:uiPriority w:val="99"/>
    <w:rPr>
      <w:color w:val="0000FF"/>
      <w:u w:val="single"/>
    </w:rPr>
  </w:style>
  <w:style w:type="character" w:styleId="69">
    <w:name w:val="annotation reference"/>
    <w:autoRedefine/>
    <w:qFormat/>
    <w:uiPriority w:val="0"/>
    <w:rPr>
      <w:sz w:val="21"/>
      <w:szCs w:val="21"/>
    </w:rPr>
  </w:style>
  <w:style w:type="paragraph" w:customStyle="1" w:styleId="70">
    <w:name w:val="样式 样式 行距: 1.5 倍行距 + 两端对齐 Char"/>
    <w:basedOn w:val="1"/>
    <w:qFormat/>
    <w:uiPriority w:val="99"/>
    <w:pPr>
      <w:tabs>
        <w:tab w:val="left" w:pos="720"/>
      </w:tabs>
      <w:adjustRightInd w:val="0"/>
      <w:snapToGrid w:val="0"/>
      <w:ind w:firstLine="480" w:firstLineChars="200"/>
    </w:pPr>
    <w:rPr>
      <w:rFonts w:ascii="宋体" w:hAnsi="宋体" w:cs="宋体"/>
      <w:sz w:val="24"/>
    </w:rPr>
  </w:style>
  <w:style w:type="paragraph" w:customStyle="1" w:styleId="71">
    <w:name w:val="正文缩进1"/>
    <w:basedOn w:val="72"/>
    <w:autoRedefine/>
    <w:qFormat/>
    <w:uiPriority w:val="0"/>
    <w:pPr>
      <w:spacing w:line="348" w:lineRule="auto"/>
      <w:ind w:firstLine="539"/>
    </w:pPr>
    <w:rPr>
      <w:rFonts w:ascii="Times New Roman"/>
      <w:sz w:val="28"/>
    </w:rPr>
  </w:style>
  <w:style w:type="paragraph" w:customStyle="1" w:styleId="72">
    <w:name w:val="正文11"/>
    <w:next w:val="2"/>
    <w:autoRedefine/>
    <w:qFormat/>
    <w:uiPriority w:val="0"/>
    <w:pPr>
      <w:widowControl w:val="0"/>
      <w:adjustRightInd w:val="0"/>
      <w:spacing w:line="360" w:lineRule="atLeast"/>
    </w:pPr>
    <w:rPr>
      <w:rFonts w:ascii="宋体" w:hAnsi="Times New Roman" w:eastAsia="宋体" w:cs="Times New Roman"/>
      <w:sz w:val="34"/>
      <w:lang w:val="en-US" w:eastAsia="zh-CN" w:bidi="ar-SA"/>
    </w:rPr>
  </w:style>
  <w:style w:type="paragraph" w:customStyle="1" w:styleId="73">
    <w:name w:val="样式1"/>
    <w:basedOn w:val="37"/>
    <w:next w:val="7"/>
    <w:link w:val="291"/>
    <w:autoRedefine/>
    <w:qFormat/>
    <w:uiPriority w:val="0"/>
    <w:pPr>
      <w:spacing w:after="0" w:line="360" w:lineRule="auto"/>
      <w:ind w:left="0" w:leftChars="0"/>
    </w:pPr>
    <w:rPr>
      <w:rFonts w:ascii="宋体" w:hAnsi="宋体"/>
      <w:sz w:val="24"/>
    </w:rPr>
  </w:style>
  <w:style w:type="paragraph" w:customStyle="1" w:styleId="74">
    <w:name w:val="00 正文"/>
    <w:basedOn w:val="1"/>
    <w:link w:val="504"/>
    <w:autoRedefine/>
    <w:qFormat/>
    <w:uiPriority w:val="0"/>
    <w:pPr>
      <w:adjustRightInd w:val="0"/>
      <w:textAlignment w:val="baseline"/>
    </w:pPr>
    <w:rPr>
      <w:rFonts w:cs="Times New Roman"/>
      <w:bCs/>
      <w:kern w:val="0"/>
      <w:szCs w:val="20"/>
    </w:rPr>
  </w:style>
  <w:style w:type="paragraph" w:customStyle="1" w:styleId="75">
    <w:name w:val="List Paragraph1"/>
    <w:basedOn w:val="1"/>
    <w:autoRedefine/>
    <w:qFormat/>
    <w:uiPriority w:val="0"/>
    <w:pPr>
      <w:ind w:firstLine="420"/>
    </w:pPr>
    <w:rPr>
      <w:rFonts w:ascii="Calibri" w:hAnsi="Calibri"/>
    </w:rPr>
  </w:style>
  <w:style w:type="paragraph" w:customStyle="1" w:styleId="76">
    <w:name w:val="Char Char Char1 Char Char Char Char Char Char Char"/>
    <w:basedOn w:val="1"/>
    <w:autoRedefine/>
    <w:qFormat/>
    <w:uiPriority w:val="0"/>
    <w:pPr>
      <w:adjustRightInd w:val="0"/>
      <w:spacing w:line="312" w:lineRule="auto"/>
      <w:textAlignment w:val="baseline"/>
    </w:pPr>
    <w:rPr>
      <w:rFonts w:ascii="Tahoma" w:hAnsi="Tahoma"/>
      <w:kern w:val="0"/>
    </w:rPr>
  </w:style>
  <w:style w:type="paragraph" w:customStyle="1" w:styleId="77">
    <w:name w:val="xl118"/>
    <w:basedOn w:val="78"/>
    <w:autoRedefine/>
    <w:qFormat/>
    <w:uiPriority w:val="0"/>
    <w:pPr>
      <w:jc w:val="center"/>
      <w:textAlignment w:val="center"/>
    </w:pPr>
    <w:rPr>
      <w:rFonts w:ascii="Times New Roman" w:hAnsi="Times New Roman"/>
      <w:sz w:val="32"/>
    </w:rPr>
  </w:style>
  <w:style w:type="paragraph" w:customStyle="1" w:styleId="78">
    <w:name w:val="style0"/>
    <w:basedOn w:val="1"/>
    <w:autoRedefine/>
    <w:qFormat/>
    <w:uiPriority w:val="0"/>
    <w:pPr>
      <w:widowControl/>
      <w:spacing w:before="100" w:beforeAutospacing="1" w:after="100" w:afterAutospacing="1"/>
      <w:textAlignment w:val="bottom"/>
    </w:pPr>
    <w:rPr>
      <w:kern w:val="0"/>
    </w:rPr>
  </w:style>
  <w:style w:type="paragraph" w:customStyle="1" w:styleId="79">
    <w:name w:val="WPSOffice手动目录 1"/>
    <w:autoRedefine/>
    <w:qFormat/>
    <w:uiPriority w:val="0"/>
    <w:rPr>
      <w:rFonts w:ascii="Times New Roman" w:hAnsi="Times New Roman" w:eastAsia="宋体" w:cs="Times New Roman"/>
      <w:lang w:val="en-US" w:eastAsia="zh-CN" w:bidi="ar-SA"/>
    </w:rPr>
  </w:style>
  <w:style w:type="paragraph" w:customStyle="1" w:styleId="80">
    <w:name w:val="Char Char Char Char Char Char1 Char"/>
    <w:basedOn w:val="1"/>
    <w:autoRedefine/>
    <w:semiHidden/>
    <w:qFormat/>
    <w:uiPriority w:val="0"/>
  </w:style>
  <w:style w:type="paragraph" w:customStyle="1" w:styleId="81">
    <w:name w:val="目录"/>
    <w:basedOn w:val="1"/>
    <w:autoRedefine/>
    <w:qFormat/>
    <w:uiPriority w:val="0"/>
    <w:pPr>
      <w:tabs>
        <w:tab w:val="right" w:leader="dot" w:pos="8505"/>
      </w:tabs>
      <w:ind w:left="568" w:right="851" w:hanging="284"/>
    </w:pPr>
  </w:style>
  <w:style w:type="character" w:customStyle="1" w:styleId="82">
    <w:name w:val="页眉 字符"/>
    <w:autoRedefine/>
    <w:semiHidden/>
    <w:qFormat/>
    <w:uiPriority w:val="99"/>
    <w:rPr>
      <w:kern w:val="2"/>
      <w:sz w:val="18"/>
      <w:szCs w:val="18"/>
    </w:rPr>
  </w:style>
  <w:style w:type="paragraph" w:customStyle="1" w:styleId="83">
    <w:name w:val="xl75"/>
    <w:basedOn w:val="78"/>
    <w:autoRedefine/>
    <w:qFormat/>
    <w:uiPriority w:val="0"/>
    <w:pPr>
      <w:jc w:val="center"/>
      <w:textAlignment w:val="center"/>
    </w:pPr>
    <w:rPr>
      <w:rFonts w:ascii="Times New Roman" w:hAnsi="Times New Roman"/>
      <w:sz w:val="20"/>
    </w:rPr>
  </w:style>
  <w:style w:type="paragraph" w:customStyle="1" w:styleId="84">
    <w:name w:val="xl60"/>
    <w:basedOn w:val="78"/>
    <w:autoRedefine/>
    <w:qFormat/>
    <w:uiPriority w:val="0"/>
    <w:pPr>
      <w:pBdr>
        <w:top w:val="single" w:color="auto" w:sz="4" w:space="0"/>
        <w:left w:val="single" w:color="auto" w:sz="4" w:space="0"/>
        <w:bottom w:val="single" w:color="auto" w:sz="4" w:space="0"/>
        <w:right w:val="single" w:color="auto" w:sz="4" w:space="0"/>
      </w:pBdr>
      <w:jc w:val="center"/>
      <w:textAlignment w:val="center"/>
    </w:pPr>
    <w:rPr>
      <w:rFonts w:ascii="Times New Roman" w:hAnsi="Times New Roman"/>
      <w:color w:val="FF0000"/>
      <w:sz w:val="20"/>
    </w:rPr>
  </w:style>
  <w:style w:type="paragraph" w:customStyle="1" w:styleId="85">
    <w:name w:val="Char Char Char1 Char Char Char Char Char Char Char Char Char Char4"/>
    <w:basedOn w:val="1"/>
    <w:autoRedefine/>
    <w:qFormat/>
    <w:uiPriority w:val="0"/>
    <w:pPr>
      <w:adjustRightInd w:val="0"/>
      <w:snapToGrid w:val="0"/>
      <w:ind w:firstLine="200"/>
    </w:pPr>
    <w:rPr>
      <w:kern w:val="0"/>
      <w:sz w:val="28"/>
    </w:rPr>
  </w:style>
  <w:style w:type="character" w:customStyle="1" w:styleId="86">
    <w:name w:val="通钢，正文 Char"/>
    <w:link w:val="87"/>
    <w:autoRedefine/>
    <w:qFormat/>
    <w:uiPriority w:val="0"/>
    <w:rPr>
      <w:rFonts w:cs="Arial"/>
      <w:snapToGrid w:val="0"/>
      <w:sz w:val="28"/>
      <w:szCs w:val="28"/>
    </w:rPr>
  </w:style>
  <w:style w:type="paragraph" w:customStyle="1" w:styleId="87">
    <w:name w:val="通钢，正文"/>
    <w:basedOn w:val="1"/>
    <w:link w:val="86"/>
    <w:autoRedefine/>
    <w:qFormat/>
    <w:uiPriority w:val="0"/>
    <w:pPr>
      <w:adjustRightInd w:val="0"/>
      <w:snapToGrid w:val="0"/>
      <w:ind w:firstLine="560"/>
    </w:pPr>
    <w:rPr>
      <w:rFonts w:ascii="Times New Roman" w:hAnsi="Times New Roman" w:cs="Times New Roman"/>
      <w:snapToGrid w:val="0"/>
      <w:kern w:val="0"/>
      <w:sz w:val="28"/>
      <w:szCs w:val="28"/>
    </w:rPr>
  </w:style>
  <w:style w:type="character" w:customStyle="1" w:styleId="88">
    <w:name w:val="Char Char31"/>
    <w:autoRedefine/>
    <w:qFormat/>
    <w:uiPriority w:val="0"/>
    <w:rPr>
      <w:sz w:val="28"/>
    </w:rPr>
  </w:style>
  <w:style w:type="paragraph" w:customStyle="1" w:styleId="89">
    <w:name w:val="日期1"/>
    <w:basedOn w:val="1"/>
    <w:next w:val="1"/>
    <w:autoRedefine/>
    <w:qFormat/>
    <w:uiPriority w:val="0"/>
    <w:pPr>
      <w:adjustRightInd w:val="0"/>
      <w:spacing w:line="360" w:lineRule="atLeast"/>
      <w:textAlignment w:val="baseline"/>
    </w:pPr>
    <w:rPr>
      <w:rFonts w:eastAsia="仿宋_GB2312"/>
      <w:kern w:val="0"/>
      <w:sz w:val="28"/>
      <w:szCs w:val="28"/>
    </w:rPr>
  </w:style>
  <w:style w:type="character" w:customStyle="1" w:styleId="90">
    <w:name w:val="副标题 字符"/>
    <w:autoRedefine/>
    <w:qFormat/>
    <w:uiPriority w:val="11"/>
    <w:rPr>
      <w:rFonts w:ascii="等线 Light" w:hAnsi="等线 Light" w:eastAsia="宋体" w:cs="Times New Roman"/>
      <w:b/>
      <w:bCs/>
      <w:kern w:val="28"/>
      <w:sz w:val="32"/>
      <w:szCs w:val="32"/>
    </w:rPr>
  </w:style>
  <w:style w:type="paragraph" w:customStyle="1" w:styleId="91">
    <w:name w:val="xl97"/>
    <w:basedOn w:val="78"/>
    <w:autoRedefine/>
    <w:qFormat/>
    <w:uiPriority w:val="0"/>
    <w:pPr>
      <w:jc w:val="center"/>
      <w:textAlignment w:val="center"/>
    </w:pPr>
    <w:rPr>
      <w:rFonts w:ascii="Times New Roman" w:hAnsi="Times New Roman"/>
      <w:color w:val="000000"/>
      <w:sz w:val="20"/>
    </w:rPr>
  </w:style>
  <w:style w:type="paragraph" w:customStyle="1" w:styleId="92">
    <w:name w:val="xl57"/>
    <w:basedOn w:val="78"/>
    <w:autoRedefine/>
    <w:qFormat/>
    <w:uiPriority w:val="0"/>
    <w:pPr>
      <w:pBdr>
        <w:top w:val="single" w:color="auto" w:sz="4" w:space="0"/>
        <w:left w:val="single" w:color="auto" w:sz="4" w:space="0"/>
        <w:bottom w:val="single" w:color="auto" w:sz="4" w:space="0"/>
        <w:right w:val="single" w:color="auto" w:sz="4" w:space="0"/>
      </w:pBdr>
      <w:jc w:val="center"/>
      <w:textAlignment w:val="center"/>
    </w:pPr>
    <w:rPr>
      <w:rFonts w:ascii="Times New Roman" w:hAnsi="Times New Roman"/>
      <w:color w:val="FF6600"/>
    </w:rPr>
  </w:style>
  <w:style w:type="paragraph" w:customStyle="1" w:styleId="93">
    <w:name w:val="xl31"/>
    <w:basedOn w:val="78"/>
    <w:autoRedefine/>
    <w:qFormat/>
    <w:uiPriority w:val="0"/>
    <w:pPr>
      <w:pBdr>
        <w:top w:val="single" w:color="auto" w:sz="4" w:space="0"/>
        <w:left w:val="single" w:color="auto" w:sz="4" w:space="0"/>
        <w:bottom w:val="single" w:color="auto" w:sz="4" w:space="0"/>
        <w:right w:val="single" w:color="auto" w:sz="4" w:space="0"/>
      </w:pBdr>
      <w:jc w:val="center"/>
      <w:textAlignment w:val="center"/>
    </w:pPr>
    <w:rPr>
      <w:sz w:val="20"/>
    </w:rPr>
  </w:style>
  <w:style w:type="paragraph" w:customStyle="1" w:styleId="94">
    <w:name w:val="正文文本缩进 211"/>
    <w:basedOn w:val="1"/>
    <w:autoRedefine/>
    <w:qFormat/>
    <w:uiPriority w:val="0"/>
    <w:pPr>
      <w:shd w:val="solid" w:color="FFFFFF" w:fill="auto"/>
      <w:autoSpaceDE w:val="0"/>
      <w:autoSpaceDN w:val="0"/>
      <w:adjustRightInd w:val="0"/>
      <w:ind w:firstLine="600"/>
    </w:pPr>
    <w:rPr>
      <w:kern w:val="0"/>
      <w:sz w:val="28"/>
    </w:rPr>
  </w:style>
  <w:style w:type="character" w:customStyle="1" w:styleId="95">
    <w:name w:val="Char Char142"/>
    <w:autoRedefine/>
    <w:qFormat/>
    <w:uiPriority w:val="0"/>
    <w:rPr>
      <w:rFonts w:ascii="Times New Roman" w:hAnsi="Times New Roman"/>
      <w:color w:val="008000"/>
      <w:sz w:val="24"/>
      <w:szCs w:val="24"/>
    </w:rPr>
  </w:style>
  <w:style w:type="paragraph" w:customStyle="1" w:styleId="96">
    <w:name w:val="font6"/>
    <w:basedOn w:val="1"/>
    <w:autoRedefine/>
    <w:qFormat/>
    <w:uiPriority w:val="0"/>
    <w:pPr>
      <w:widowControl/>
      <w:spacing w:before="100" w:beforeAutospacing="1" w:after="100" w:afterAutospacing="1"/>
    </w:pPr>
    <w:rPr>
      <w:kern w:val="0"/>
    </w:rPr>
  </w:style>
  <w:style w:type="paragraph" w:customStyle="1" w:styleId="97">
    <w:name w:val="Char Char1 Char Char Char Char Char Char"/>
    <w:basedOn w:val="1"/>
    <w:autoRedefine/>
    <w:qFormat/>
    <w:uiPriority w:val="0"/>
    <w:pPr>
      <w:widowControl/>
      <w:spacing w:after="160" w:line="240" w:lineRule="exact"/>
    </w:pPr>
    <w:rPr>
      <w:kern w:val="0"/>
      <w:szCs w:val="21"/>
      <w:lang w:eastAsia="en-US"/>
    </w:rPr>
  </w:style>
  <w:style w:type="paragraph" w:customStyle="1" w:styleId="98">
    <w:name w:val="Char Char1"/>
    <w:basedOn w:val="1"/>
    <w:next w:val="1"/>
    <w:autoRedefine/>
    <w:qFormat/>
    <w:uiPriority w:val="0"/>
    <w:pPr>
      <w:ind w:firstLine="200"/>
    </w:pPr>
    <w:rPr>
      <w:rFonts w:cs="宋体"/>
    </w:rPr>
  </w:style>
  <w:style w:type="paragraph" w:customStyle="1" w:styleId="99">
    <w:name w:val="Char Char Char Char4"/>
    <w:basedOn w:val="1"/>
    <w:autoRedefine/>
    <w:qFormat/>
    <w:uiPriority w:val="0"/>
  </w:style>
  <w:style w:type="character" w:customStyle="1" w:styleId="100">
    <w:name w:val="Char Char11"/>
    <w:autoRedefine/>
    <w:qFormat/>
    <w:uiPriority w:val="0"/>
    <w:rPr>
      <w:rFonts w:ascii="Arial" w:hAnsi="Arial" w:eastAsia="黑体" w:cs="Arial"/>
      <w:sz w:val="24"/>
      <w:szCs w:val="24"/>
    </w:rPr>
  </w:style>
  <w:style w:type="paragraph" w:customStyle="1" w:styleId="101">
    <w:name w:val="xl29"/>
    <w:basedOn w:val="78"/>
    <w:autoRedefine/>
    <w:qFormat/>
    <w:uiPriority w:val="0"/>
    <w:pPr>
      <w:pBdr>
        <w:top w:val="single" w:color="auto" w:sz="4" w:space="0"/>
        <w:left w:val="single" w:color="auto" w:sz="4" w:space="0"/>
        <w:bottom w:val="single" w:color="auto" w:sz="4" w:space="0"/>
        <w:right w:val="single" w:color="auto" w:sz="4" w:space="0"/>
      </w:pBdr>
      <w:jc w:val="center"/>
      <w:textAlignment w:val="center"/>
    </w:pPr>
    <w:rPr>
      <w:sz w:val="20"/>
    </w:rPr>
  </w:style>
  <w:style w:type="character" w:customStyle="1" w:styleId="102">
    <w:name w:val="标题 3 字符"/>
    <w:autoRedefine/>
    <w:semiHidden/>
    <w:qFormat/>
    <w:uiPriority w:val="9"/>
    <w:rPr>
      <w:b/>
      <w:bCs/>
      <w:kern w:val="2"/>
      <w:sz w:val="32"/>
      <w:szCs w:val="32"/>
    </w:rPr>
  </w:style>
  <w:style w:type="paragraph" w:customStyle="1" w:styleId="103">
    <w:name w:val="样式 标题 1H1H11H12H13H14H15H16H17H111H121H18H19H110H1..."/>
    <w:basedOn w:val="3"/>
    <w:autoRedefine/>
    <w:qFormat/>
    <w:uiPriority w:val="0"/>
    <w:pPr>
      <w:spacing w:before="0" w:after="100" w:afterLines="100" w:line="360" w:lineRule="auto"/>
      <w:ind w:left="525" w:hanging="525"/>
    </w:pPr>
    <w:rPr>
      <w:rFonts w:ascii="Times New Roman" w:hAnsi="Times New Roman"/>
      <w:b/>
      <w:bCs/>
      <w:sz w:val="30"/>
      <w:szCs w:val="20"/>
    </w:rPr>
  </w:style>
  <w:style w:type="paragraph" w:customStyle="1" w:styleId="104">
    <w:name w:val="Char Char Char Char"/>
    <w:basedOn w:val="1"/>
    <w:autoRedefine/>
    <w:qFormat/>
    <w:uiPriority w:val="0"/>
    <w:pPr>
      <w:widowControl/>
      <w:spacing w:after="160" w:line="240" w:lineRule="exact"/>
    </w:pPr>
    <w:rPr>
      <w:rFonts w:ascii="Verdana" w:hAnsi="Verdana"/>
      <w:kern w:val="0"/>
      <w:sz w:val="20"/>
      <w:lang w:eastAsia="en-US"/>
    </w:rPr>
  </w:style>
  <w:style w:type="paragraph" w:customStyle="1" w:styleId="105">
    <w:name w:val="Char3"/>
    <w:basedOn w:val="1"/>
    <w:autoRedefine/>
    <w:qFormat/>
    <w:uiPriority w:val="0"/>
    <w:pPr>
      <w:widowControl/>
      <w:spacing w:after="160" w:line="240" w:lineRule="exact"/>
    </w:pPr>
    <w:rPr>
      <w:rFonts w:ascii="Verdana" w:hAnsi="Verdana" w:cs="Verdana"/>
      <w:kern w:val="0"/>
      <w:sz w:val="20"/>
      <w:lang w:eastAsia="en-US"/>
    </w:rPr>
  </w:style>
  <w:style w:type="paragraph" w:customStyle="1" w:styleId="106">
    <w:name w:val="正文序列 1 yss"/>
    <w:basedOn w:val="74"/>
    <w:autoRedefine/>
    <w:qFormat/>
    <w:uiPriority w:val="0"/>
    <w:pPr>
      <w:numPr>
        <w:ilvl w:val="0"/>
        <w:numId w:val="6"/>
      </w:numPr>
      <w:ind w:firstLine="0" w:firstLineChars="0"/>
    </w:pPr>
  </w:style>
  <w:style w:type="character" w:customStyle="1" w:styleId="107">
    <w:name w:val="标题 5 Char"/>
    <w:link w:val="8"/>
    <w:autoRedefine/>
    <w:qFormat/>
    <w:locked/>
    <w:uiPriority w:val="0"/>
    <w:rPr>
      <w:rFonts w:eastAsia="宋体"/>
      <w:b/>
      <w:bCs/>
      <w:kern w:val="2"/>
      <w:sz w:val="28"/>
      <w:szCs w:val="28"/>
      <w:lang w:val="en-US" w:eastAsia="zh-CN" w:bidi="ar-SA"/>
    </w:rPr>
  </w:style>
  <w:style w:type="paragraph" w:customStyle="1" w:styleId="108">
    <w:name w:val="Char Char Char Char Char Char Char"/>
    <w:basedOn w:val="1"/>
    <w:autoRedefine/>
    <w:qFormat/>
    <w:uiPriority w:val="0"/>
  </w:style>
  <w:style w:type="character" w:customStyle="1" w:styleId="109">
    <w:name w:val="Char Char32"/>
    <w:autoRedefine/>
    <w:qFormat/>
    <w:uiPriority w:val="0"/>
    <w:rPr>
      <w:sz w:val="28"/>
    </w:rPr>
  </w:style>
  <w:style w:type="paragraph" w:customStyle="1" w:styleId="110">
    <w:name w:val="Body Text 21"/>
    <w:basedOn w:val="1"/>
    <w:autoRedefine/>
    <w:qFormat/>
    <w:uiPriority w:val="0"/>
    <w:pPr>
      <w:adjustRightInd w:val="0"/>
      <w:jc w:val="center"/>
    </w:pPr>
    <w:rPr>
      <w:kern w:val="0"/>
    </w:rPr>
  </w:style>
  <w:style w:type="character" w:customStyle="1" w:styleId="111">
    <w:name w:val="标题 Char1"/>
    <w:autoRedefine/>
    <w:qFormat/>
    <w:uiPriority w:val="0"/>
    <w:rPr>
      <w:rFonts w:hint="default" w:ascii="Cambria" w:hAnsi="Cambria" w:eastAsia="宋体" w:cs="Times New Roman"/>
      <w:b/>
      <w:bCs/>
      <w:sz w:val="32"/>
      <w:szCs w:val="32"/>
    </w:rPr>
  </w:style>
  <w:style w:type="paragraph" w:customStyle="1" w:styleId="112">
    <w:name w:val="font14"/>
    <w:basedOn w:val="1"/>
    <w:autoRedefine/>
    <w:qFormat/>
    <w:uiPriority w:val="0"/>
    <w:pPr>
      <w:widowControl/>
      <w:spacing w:before="100" w:beforeAutospacing="1" w:after="100" w:afterAutospacing="1"/>
    </w:pPr>
    <w:rPr>
      <w:kern w:val="0"/>
      <w:sz w:val="20"/>
    </w:rPr>
  </w:style>
  <w:style w:type="paragraph" w:customStyle="1" w:styleId="113">
    <w:name w:val="xl102"/>
    <w:basedOn w:val="78"/>
    <w:autoRedefine/>
    <w:qFormat/>
    <w:uiPriority w:val="0"/>
    <w:pPr>
      <w:shd w:val="clear" w:color="auto" w:fill="FFFFFF"/>
      <w:jc w:val="center"/>
      <w:textAlignment w:val="center"/>
    </w:pPr>
    <w:rPr>
      <w:b/>
      <w:sz w:val="20"/>
    </w:rPr>
  </w:style>
  <w:style w:type="paragraph" w:customStyle="1" w:styleId="114">
    <w:name w:val="样式2"/>
    <w:basedOn w:val="1"/>
    <w:next w:val="73"/>
    <w:autoRedefine/>
    <w:qFormat/>
    <w:uiPriority w:val="0"/>
    <w:pPr>
      <w:tabs>
        <w:tab w:val="center" w:pos="6804"/>
        <w:tab w:val="right" w:pos="7371"/>
      </w:tabs>
      <w:overflowPunct w:val="0"/>
      <w:adjustRightInd w:val="0"/>
      <w:textAlignment w:val="baseline"/>
    </w:pPr>
    <w:rPr>
      <w:kern w:val="0"/>
      <w:sz w:val="28"/>
    </w:rPr>
  </w:style>
  <w:style w:type="character" w:customStyle="1" w:styleId="115">
    <w:name w:val="font71"/>
    <w:basedOn w:val="63"/>
    <w:autoRedefine/>
    <w:qFormat/>
    <w:uiPriority w:val="0"/>
    <w:rPr>
      <w:rFonts w:hint="eastAsia" w:ascii="宋体" w:hAnsi="宋体" w:eastAsia="宋体" w:cs="宋体"/>
      <w:color w:val="000000"/>
      <w:sz w:val="20"/>
      <w:szCs w:val="20"/>
      <w:u w:val="none"/>
      <w:vertAlign w:val="superscript"/>
    </w:rPr>
  </w:style>
  <w:style w:type="character" w:customStyle="1" w:styleId="116">
    <w:name w:val="Char Char152"/>
    <w:autoRedefine/>
    <w:qFormat/>
    <w:uiPriority w:val="0"/>
    <w:rPr>
      <w:rFonts w:ascii="Arial" w:hAnsi="Arial" w:eastAsia="黑体" w:cs="Arial"/>
      <w:b/>
      <w:bCs/>
      <w:kern w:val="2"/>
      <w:sz w:val="28"/>
      <w:szCs w:val="28"/>
    </w:rPr>
  </w:style>
  <w:style w:type="character" w:customStyle="1" w:styleId="117">
    <w:name w:val="标题 Char2"/>
    <w:autoRedefine/>
    <w:qFormat/>
    <w:uiPriority w:val="10"/>
    <w:rPr>
      <w:rFonts w:ascii="Cambria" w:hAnsi="Cambria" w:eastAsia="宋体" w:cs="Times New Roman"/>
      <w:b/>
      <w:bCs/>
      <w:sz w:val="32"/>
      <w:szCs w:val="32"/>
    </w:rPr>
  </w:style>
  <w:style w:type="character" w:customStyle="1" w:styleId="118">
    <w:name w:val="正文文本缩进 Char1"/>
    <w:autoRedefine/>
    <w:qFormat/>
    <w:uiPriority w:val="0"/>
    <w:rPr>
      <w:rFonts w:ascii="Times New Roman" w:hAnsi="Times New Roman"/>
      <w:kern w:val="2"/>
      <w:sz w:val="21"/>
      <w:szCs w:val="21"/>
    </w:rPr>
  </w:style>
  <w:style w:type="paragraph" w:customStyle="1" w:styleId="119">
    <w:name w:val="xl67"/>
    <w:basedOn w:val="78"/>
    <w:autoRedefine/>
    <w:qFormat/>
    <w:uiPriority w:val="0"/>
    <w:pPr>
      <w:jc w:val="center"/>
      <w:textAlignment w:val="auto"/>
    </w:pPr>
    <w:rPr>
      <w:color w:val="000000"/>
      <w:sz w:val="20"/>
    </w:rPr>
  </w:style>
  <w:style w:type="paragraph" w:customStyle="1" w:styleId="120">
    <w:name w:val="xl24"/>
    <w:basedOn w:val="78"/>
    <w:autoRedefine/>
    <w:qFormat/>
    <w:uiPriority w:val="0"/>
    <w:pPr>
      <w:pBdr>
        <w:bottom w:val="single" w:color="auto" w:sz="4" w:space="0"/>
      </w:pBdr>
      <w:textAlignment w:val="auto"/>
    </w:pPr>
  </w:style>
  <w:style w:type="character" w:customStyle="1" w:styleId="121">
    <w:name w:val="Char Char102"/>
    <w:autoRedefine/>
    <w:qFormat/>
    <w:uiPriority w:val="0"/>
    <w:rPr>
      <w:rFonts w:ascii="Arial" w:hAnsi="Arial" w:eastAsia="黑体" w:cs="Arial"/>
      <w:sz w:val="21"/>
      <w:szCs w:val="21"/>
    </w:rPr>
  </w:style>
  <w:style w:type="paragraph" w:customStyle="1" w:styleId="122">
    <w:name w:val="font12"/>
    <w:basedOn w:val="1"/>
    <w:autoRedefine/>
    <w:qFormat/>
    <w:uiPriority w:val="0"/>
    <w:pPr>
      <w:widowControl/>
      <w:spacing w:before="100" w:beforeAutospacing="1" w:after="100" w:afterAutospacing="1"/>
    </w:pPr>
    <w:rPr>
      <w:rFonts w:cs="宋体"/>
      <w:kern w:val="0"/>
      <w:sz w:val="18"/>
      <w:szCs w:val="18"/>
    </w:rPr>
  </w:style>
  <w:style w:type="character" w:customStyle="1" w:styleId="123">
    <w:name w:val="设计 正文 Char Char"/>
    <w:link w:val="124"/>
    <w:autoRedefine/>
    <w:qFormat/>
    <w:uiPriority w:val="0"/>
    <w:rPr>
      <w:sz w:val="28"/>
      <w:szCs w:val="28"/>
    </w:rPr>
  </w:style>
  <w:style w:type="paragraph" w:customStyle="1" w:styleId="124">
    <w:name w:val="3标题"/>
    <w:basedOn w:val="1"/>
    <w:link w:val="123"/>
    <w:autoRedefine/>
    <w:qFormat/>
    <w:uiPriority w:val="0"/>
    <w:pPr>
      <w:adjustRightInd w:val="0"/>
      <w:snapToGrid w:val="0"/>
      <w:spacing w:line="312" w:lineRule="auto"/>
      <w:ind w:firstLine="200"/>
      <w:jc w:val="both"/>
    </w:pPr>
    <w:rPr>
      <w:rFonts w:ascii="Times New Roman" w:hAnsi="Times New Roman" w:cs="Times New Roman"/>
      <w:kern w:val="0"/>
      <w:sz w:val="28"/>
      <w:szCs w:val="28"/>
    </w:rPr>
  </w:style>
  <w:style w:type="paragraph" w:customStyle="1" w:styleId="125">
    <w:name w:val="Char1 Char Char Char1"/>
    <w:basedOn w:val="1"/>
    <w:autoRedefine/>
    <w:qFormat/>
    <w:uiPriority w:val="0"/>
    <w:pPr>
      <w:snapToGrid w:val="0"/>
      <w:spacing w:line="440" w:lineRule="atLeast"/>
    </w:pPr>
  </w:style>
  <w:style w:type="character" w:customStyle="1" w:styleId="126">
    <w:name w:val="hps"/>
    <w:autoRedefine/>
    <w:qFormat/>
    <w:uiPriority w:val="0"/>
  </w:style>
  <w:style w:type="character" w:customStyle="1" w:styleId="127">
    <w:name w:val="Body Text Indent 2 Char"/>
    <w:autoRedefine/>
    <w:qFormat/>
    <w:locked/>
    <w:uiPriority w:val="0"/>
    <w:rPr>
      <w:rFonts w:eastAsia="宋体"/>
      <w:sz w:val="28"/>
    </w:rPr>
  </w:style>
  <w:style w:type="paragraph" w:styleId="128">
    <w:name w:val="List Paragraph"/>
    <w:basedOn w:val="1"/>
    <w:link w:val="447"/>
    <w:autoRedefine/>
    <w:qFormat/>
    <w:uiPriority w:val="34"/>
    <w:pPr>
      <w:ind w:firstLine="420"/>
    </w:pPr>
    <w:rPr>
      <w:rFonts w:ascii="Times New Roman" w:hAnsi="Times New Roman" w:cs="Times New Roman"/>
      <w:sz w:val="21"/>
    </w:rPr>
  </w:style>
  <w:style w:type="paragraph" w:customStyle="1" w:styleId="129">
    <w:name w:val="font0"/>
    <w:basedOn w:val="1"/>
    <w:autoRedefine/>
    <w:qFormat/>
    <w:uiPriority w:val="0"/>
    <w:pPr>
      <w:widowControl/>
      <w:spacing w:before="100" w:beforeAutospacing="1" w:after="100" w:afterAutospacing="1"/>
    </w:pPr>
    <w:rPr>
      <w:rFonts w:hint="eastAsia"/>
      <w:kern w:val="0"/>
    </w:rPr>
  </w:style>
  <w:style w:type="paragraph" w:customStyle="1" w:styleId="130">
    <w:name w:val="xl79"/>
    <w:basedOn w:val="78"/>
    <w:autoRedefine/>
    <w:qFormat/>
    <w:uiPriority w:val="0"/>
    <w:pPr>
      <w:jc w:val="center"/>
      <w:textAlignment w:val="center"/>
    </w:pPr>
    <w:rPr>
      <w:rFonts w:ascii="Times New Roman" w:hAnsi="Times New Roman"/>
      <w:sz w:val="20"/>
    </w:rPr>
  </w:style>
  <w:style w:type="paragraph" w:customStyle="1" w:styleId="131">
    <w:name w:val="xl33"/>
    <w:basedOn w:val="78"/>
    <w:autoRedefine/>
    <w:qFormat/>
    <w:uiPriority w:val="0"/>
    <w:pPr>
      <w:pBdr>
        <w:top w:val="single" w:color="auto" w:sz="4" w:space="0"/>
        <w:left w:val="single" w:color="auto" w:sz="4" w:space="0"/>
        <w:bottom w:val="single" w:color="auto" w:sz="4" w:space="0"/>
        <w:right w:val="single" w:color="auto" w:sz="4" w:space="0"/>
      </w:pBdr>
      <w:jc w:val="center"/>
      <w:textAlignment w:val="center"/>
    </w:pPr>
    <w:rPr>
      <w:rFonts w:ascii="Times New Roman" w:hAnsi="Times New Roman"/>
      <w:sz w:val="20"/>
    </w:rPr>
  </w:style>
  <w:style w:type="character" w:customStyle="1" w:styleId="132">
    <w:name w:val="表格文字 Char"/>
    <w:link w:val="133"/>
    <w:autoRedefine/>
    <w:qFormat/>
    <w:uiPriority w:val="0"/>
    <w:rPr>
      <w:kern w:val="2"/>
      <w:sz w:val="24"/>
      <w:szCs w:val="24"/>
    </w:rPr>
  </w:style>
  <w:style w:type="paragraph" w:customStyle="1" w:styleId="133">
    <w:name w:val="表格文字"/>
    <w:basedOn w:val="1"/>
    <w:link w:val="132"/>
    <w:autoRedefine/>
    <w:qFormat/>
    <w:uiPriority w:val="0"/>
    <w:pPr>
      <w:spacing w:line="400" w:lineRule="exact"/>
      <w:jc w:val="center"/>
    </w:pPr>
    <w:rPr>
      <w:rFonts w:ascii="Times New Roman" w:hAnsi="Times New Roman" w:cs="Times New Roman"/>
    </w:rPr>
  </w:style>
  <w:style w:type="paragraph" w:customStyle="1" w:styleId="134">
    <w:name w:val="Char Char Char1 Char Char Char Char Char Char Char Char Char Char3"/>
    <w:basedOn w:val="1"/>
    <w:autoRedefine/>
    <w:qFormat/>
    <w:uiPriority w:val="0"/>
    <w:pPr>
      <w:adjustRightInd w:val="0"/>
      <w:snapToGrid w:val="0"/>
      <w:ind w:firstLine="200"/>
    </w:pPr>
    <w:rPr>
      <w:kern w:val="0"/>
      <w:sz w:val="28"/>
    </w:rPr>
  </w:style>
  <w:style w:type="character" w:customStyle="1" w:styleId="135">
    <w:name w:val="批注主题 Char2"/>
    <w:autoRedefine/>
    <w:semiHidden/>
    <w:qFormat/>
    <w:uiPriority w:val="99"/>
    <w:rPr>
      <w:rFonts w:ascii="Times New Roman" w:hAnsi="Times New Roman" w:eastAsia="宋体" w:cs="Times New Roman"/>
      <w:b/>
      <w:bCs/>
      <w:szCs w:val="20"/>
    </w:rPr>
  </w:style>
  <w:style w:type="character" w:customStyle="1" w:styleId="136">
    <w:name w:val="批注框文本 字符"/>
    <w:autoRedefine/>
    <w:semiHidden/>
    <w:qFormat/>
    <w:uiPriority w:val="99"/>
    <w:rPr>
      <w:kern w:val="2"/>
      <w:sz w:val="18"/>
      <w:szCs w:val="18"/>
    </w:rPr>
  </w:style>
  <w:style w:type="paragraph" w:customStyle="1" w:styleId="137">
    <w:name w:val="表格小四"/>
    <w:basedOn w:val="1"/>
    <w:autoRedefine/>
    <w:qFormat/>
    <w:uiPriority w:val="0"/>
    <w:pPr>
      <w:adjustRightInd w:val="0"/>
      <w:snapToGrid w:val="0"/>
      <w:spacing w:before="62" w:beforeLines="20" w:after="62" w:afterLines="20"/>
      <w:jc w:val="center"/>
    </w:pPr>
    <w:rPr>
      <w:color w:val="000000"/>
      <w:spacing w:val="6"/>
    </w:rPr>
  </w:style>
  <w:style w:type="paragraph" w:customStyle="1" w:styleId="138">
    <w:name w:val="xl34"/>
    <w:basedOn w:val="78"/>
    <w:autoRedefine/>
    <w:qFormat/>
    <w:uiPriority w:val="0"/>
    <w:pPr>
      <w:pBdr>
        <w:top w:val="single" w:color="auto" w:sz="4" w:space="0"/>
        <w:left w:val="single" w:color="auto" w:sz="4" w:space="0"/>
        <w:bottom w:val="single" w:color="auto" w:sz="4" w:space="0"/>
        <w:right w:val="single" w:color="auto" w:sz="4" w:space="0"/>
      </w:pBdr>
      <w:jc w:val="center"/>
      <w:textAlignment w:val="center"/>
    </w:pPr>
    <w:rPr>
      <w:rFonts w:ascii="Times New Roman" w:hAnsi="Times New Roman"/>
      <w:sz w:val="20"/>
    </w:rPr>
  </w:style>
  <w:style w:type="paragraph" w:customStyle="1" w:styleId="139">
    <w:name w:val="1.1.1"/>
    <w:basedOn w:val="140"/>
    <w:next w:val="1"/>
    <w:autoRedefine/>
    <w:qFormat/>
    <w:uiPriority w:val="0"/>
    <w:pPr>
      <w:outlineLvl w:val="2"/>
    </w:pPr>
  </w:style>
  <w:style w:type="paragraph" w:customStyle="1" w:styleId="140">
    <w:name w:val="1.1"/>
    <w:basedOn w:val="141"/>
    <w:next w:val="1"/>
    <w:autoRedefine/>
    <w:qFormat/>
    <w:uiPriority w:val="0"/>
    <w:pPr>
      <w:keepNext/>
      <w:keepLines/>
      <w:outlineLvl w:val="1"/>
    </w:pPr>
    <w:rPr>
      <w:rFonts w:ascii="Times New Roman" w:hAnsi="Times New Roman"/>
      <w:b/>
      <w:bCs/>
      <w:kern w:val="44"/>
      <w:sz w:val="28"/>
      <w:szCs w:val="44"/>
    </w:rPr>
  </w:style>
  <w:style w:type="paragraph" w:customStyle="1" w:styleId="141">
    <w:name w:val="1"/>
    <w:basedOn w:val="1"/>
    <w:next w:val="33"/>
    <w:autoRedefine/>
    <w:qFormat/>
    <w:uiPriority w:val="0"/>
    <w:rPr>
      <w:rFonts w:hAnsi="Courier New"/>
    </w:rPr>
  </w:style>
  <w:style w:type="paragraph" w:customStyle="1" w:styleId="142">
    <w:name w:val="Char1 Char Char Char3"/>
    <w:basedOn w:val="1"/>
    <w:autoRedefine/>
    <w:qFormat/>
    <w:uiPriority w:val="0"/>
    <w:pPr>
      <w:snapToGrid w:val="0"/>
      <w:spacing w:line="440" w:lineRule="atLeast"/>
    </w:pPr>
  </w:style>
  <w:style w:type="paragraph" w:customStyle="1" w:styleId="143">
    <w:name w:val="font11"/>
    <w:basedOn w:val="1"/>
    <w:autoRedefine/>
    <w:qFormat/>
    <w:uiPriority w:val="0"/>
    <w:pPr>
      <w:widowControl/>
      <w:spacing w:before="100" w:beforeAutospacing="1" w:after="100" w:afterAutospacing="1"/>
    </w:pPr>
    <w:rPr>
      <w:kern w:val="0"/>
      <w:sz w:val="20"/>
    </w:rPr>
  </w:style>
  <w:style w:type="paragraph" w:customStyle="1" w:styleId="144">
    <w:name w:val="样式（编辑格式）"/>
    <w:basedOn w:val="3"/>
    <w:link w:val="202"/>
    <w:autoRedefine/>
    <w:qFormat/>
    <w:uiPriority w:val="0"/>
    <w:pPr>
      <w:spacing w:line="276" w:lineRule="auto"/>
    </w:pPr>
    <w:rPr>
      <w:rFonts w:ascii="黑体" w:hAnsi="Times New Roman" w:eastAsia="黑体" w:cs="黑体"/>
      <w:b/>
      <w:bCs/>
      <w:sz w:val="28"/>
      <w:szCs w:val="28"/>
    </w:rPr>
  </w:style>
  <w:style w:type="paragraph" w:customStyle="1" w:styleId="145">
    <w:name w:val="3级标题"/>
    <w:basedOn w:val="1"/>
    <w:link w:val="525"/>
    <w:autoRedefine/>
    <w:qFormat/>
    <w:uiPriority w:val="0"/>
    <w:pPr>
      <w:ind w:firstLine="0" w:firstLineChars="0"/>
      <w:outlineLvl w:val="2"/>
    </w:pPr>
    <w:rPr>
      <w:rFonts w:cs="Times New Roman"/>
      <w:szCs w:val="28"/>
    </w:rPr>
  </w:style>
  <w:style w:type="paragraph" w:customStyle="1" w:styleId="146">
    <w:name w:val="xl113"/>
    <w:basedOn w:val="78"/>
    <w:autoRedefine/>
    <w:qFormat/>
    <w:uiPriority w:val="0"/>
    <w:pPr>
      <w:textAlignment w:val="center"/>
    </w:pPr>
    <w:rPr>
      <w:sz w:val="20"/>
    </w:rPr>
  </w:style>
  <w:style w:type="paragraph" w:customStyle="1" w:styleId="147">
    <w:name w:val="xl44"/>
    <w:basedOn w:val="78"/>
    <w:autoRedefine/>
    <w:qFormat/>
    <w:uiPriority w:val="0"/>
    <w:pPr>
      <w:pBdr>
        <w:top w:val="single" w:color="auto" w:sz="4" w:space="0"/>
        <w:left w:val="single" w:color="auto" w:sz="4" w:space="0"/>
        <w:bottom w:val="single" w:color="auto" w:sz="4" w:space="0"/>
        <w:right w:val="single" w:color="auto" w:sz="4" w:space="0"/>
      </w:pBdr>
      <w:jc w:val="center"/>
      <w:textAlignment w:val="center"/>
    </w:pPr>
  </w:style>
  <w:style w:type="paragraph" w:customStyle="1" w:styleId="148">
    <w:name w:val="标题2"/>
    <w:basedOn w:val="3"/>
    <w:link w:val="340"/>
    <w:autoRedefine/>
    <w:qFormat/>
    <w:uiPriority w:val="0"/>
    <w:pPr>
      <w:numPr>
        <w:ilvl w:val="0"/>
        <w:numId w:val="7"/>
      </w:numPr>
      <w:spacing w:before="100" w:beforeAutospacing="1" w:after="100" w:afterAutospacing="1" w:line="240" w:lineRule="auto"/>
      <w:jc w:val="center"/>
    </w:pPr>
    <w:rPr>
      <w:rFonts w:ascii="Times New Roman" w:hAnsi="Times New Roman" w:cs="Times New Roman"/>
      <w:b/>
      <w:bCs/>
      <w:sz w:val="36"/>
    </w:rPr>
  </w:style>
  <w:style w:type="character" w:customStyle="1" w:styleId="149">
    <w:name w:val="标题 4 Char"/>
    <w:link w:val="150"/>
    <w:autoRedefine/>
    <w:qFormat/>
    <w:locked/>
    <w:uiPriority w:val="0"/>
    <w:rPr>
      <w:rFonts w:ascii="Calibri Light" w:hAnsi="Calibri Light" w:eastAsia="宋体"/>
      <w:b/>
      <w:bCs/>
      <w:color w:val="000000"/>
      <w:sz w:val="24"/>
      <w:szCs w:val="28"/>
      <w:lang w:bidi="ar-SA"/>
    </w:rPr>
  </w:style>
  <w:style w:type="paragraph" w:customStyle="1" w:styleId="150">
    <w:name w:val="标题 41"/>
    <w:basedOn w:val="1"/>
    <w:next w:val="1"/>
    <w:link w:val="149"/>
    <w:autoRedefine/>
    <w:qFormat/>
    <w:uiPriority w:val="0"/>
    <w:pPr>
      <w:keepNext/>
      <w:keepLines/>
      <w:ind w:firstLine="482"/>
      <w:outlineLvl w:val="3"/>
    </w:pPr>
    <w:rPr>
      <w:rFonts w:ascii="Calibri Light" w:hAnsi="Calibri Light" w:cs="Times New Roman"/>
      <w:b/>
      <w:bCs/>
      <w:color w:val="000000"/>
      <w:kern w:val="0"/>
      <w:szCs w:val="28"/>
    </w:rPr>
  </w:style>
  <w:style w:type="character" w:customStyle="1" w:styleId="151">
    <w:name w:val="正文缩进 Char"/>
    <w:link w:val="5"/>
    <w:autoRedefine/>
    <w:qFormat/>
    <w:uiPriority w:val="0"/>
    <w:rPr>
      <w:rFonts w:eastAsia="宋体"/>
      <w:kern w:val="2"/>
      <w:sz w:val="21"/>
      <w:lang w:val="en-US" w:eastAsia="zh-CN" w:bidi="ar-SA"/>
    </w:rPr>
  </w:style>
  <w:style w:type="paragraph" w:customStyle="1" w:styleId="152">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153">
    <w:name w:val="xl115"/>
    <w:basedOn w:val="78"/>
    <w:autoRedefine/>
    <w:qFormat/>
    <w:uiPriority w:val="0"/>
    <w:pPr>
      <w:shd w:val="clear" w:color="auto" w:fill="FFFF00"/>
      <w:jc w:val="center"/>
      <w:textAlignment w:val="auto"/>
    </w:pPr>
    <w:rPr>
      <w:b/>
      <w:sz w:val="20"/>
    </w:rPr>
  </w:style>
  <w:style w:type="paragraph" w:customStyle="1" w:styleId="154">
    <w:name w:val="Char Char Char Char Char Char Char3"/>
    <w:basedOn w:val="1"/>
    <w:autoRedefine/>
    <w:qFormat/>
    <w:uiPriority w:val="0"/>
  </w:style>
  <w:style w:type="character" w:customStyle="1" w:styleId="155">
    <w:name w:val="批注主题 Char1"/>
    <w:link w:val="58"/>
    <w:autoRedefine/>
    <w:qFormat/>
    <w:locked/>
    <w:uiPriority w:val="0"/>
    <w:rPr>
      <w:rFonts w:ascii="宋体" w:hAnsi="宋体" w:eastAsia="宋体"/>
      <w:b/>
      <w:szCs w:val="24"/>
      <w:lang w:bidi="ar-SA"/>
    </w:rPr>
  </w:style>
  <w:style w:type="paragraph" w:customStyle="1" w:styleId="156">
    <w:name w:val="Char41"/>
    <w:basedOn w:val="1"/>
    <w:autoRedefine/>
    <w:qFormat/>
    <w:uiPriority w:val="0"/>
    <w:pPr>
      <w:adjustRightInd w:val="0"/>
      <w:spacing w:line="360" w:lineRule="atLeast"/>
      <w:textAlignment w:val="baseline"/>
    </w:pPr>
    <w:rPr>
      <w:rFonts w:ascii="Tahoma" w:hAnsi="Tahoma"/>
      <w:kern w:val="0"/>
      <w:szCs w:val="20"/>
    </w:rPr>
  </w:style>
  <w:style w:type="paragraph" w:customStyle="1" w:styleId="157">
    <w:name w:val="xl51"/>
    <w:basedOn w:val="1"/>
    <w:autoRedefine/>
    <w:qFormat/>
    <w:uiPriority w:val="0"/>
    <w:pPr>
      <w:widowControl/>
      <w:numPr>
        <w:ilvl w:val="0"/>
        <w:numId w:val="8"/>
      </w:numPr>
      <w:pBdr>
        <w:top w:val="single" w:color="auto" w:sz="4" w:space="0"/>
        <w:left w:val="single" w:color="auto" w:sz="4" w:space="0"/>
        <w:bottom w:val="single" w:color="auto" w:sz="4" w:space="0"/>
        <w:right w:val="single" w:color="auto" w:sz="4" w:space="0"/>
      </w:pBdr>
      <w:spacing w:before="100" w:beforeAutospacing="1" w:after="100" w:afterAutospacing="1"/>
      <w:ind w:left="0" w:firstLine="0"/>
      <w:jc w:val="center"/>
    </w:pPr>
    <w:rPr>
      <w:rFonts w:cs="Arial Unicode MS"/>
      <w:kern w:val="0"/>
    </w:rPr>
  </w:style>
  <w:style w:type="character" w:customStyle="1" w:styleId="158">
    <w:name w:val="正文文本缩进 2 Char"/>
    <w:link w:val="37"/>
    <w:autoRedefine/>
    <w:qFormat/>
    <w:locked/>
    <w:uiPriority w:val="0"/>
    <w:rPr>
      <w:rFonts w:eastAsia="宋体"/>
      <w:kern w:val="2"/>
      <w:sz w:val="21"/>
      <w:lang w:val="en-US" w:eastAsia="zh-CN" w:bidi="ar-SA"/>
    </w:rPr>
  </w:style>
  <w:style w:type="character" w:customStyle="1" w:styleId="159">
    <w:name w:val="Char Char1211"/>
    <w:autoRedefine/>
    <w:qFormat/>
    <w:uiPriority w:val="0"/>
    <w:rPr>
      <w:kern w:val="2"/>
      <w:sz w:val="18"/>
      <w:szCs w:val="18"/>
    </w:rPr>
  </w:style>
  <w:style w:type="paragraph" w:customStyle="1" w:styleId="160">
    <w:name w:val="样式 宋体 小四"/>
    <w:basedOn w:val="1"/>
    <w:autoRedefine/>
    <w:qFormat/>
    <w:uiPriority w:val="0"/>
  </w:style>
  <w:style w:type="paragraph" w:customStyle="1" w:styleId="161">
    <w:name w:val="xl104"/>
    <w:basedOn w:val="78"/>
    <w:autoRedefine/>
    <w:qFormat/>
    <w:uiPriority w:val="0"/>
    <w:pPr>
      <w:jc w:val="center"/>
      <w:textAlignment w:val="center"/>
    </w:pPr>
    <w:rPr>
      <w:rFonts w:ascii="Times New Roman" w:hAnsi="Times New Roman"/>
      <w:color w:val="FF6600"/>
      <w:sz w:val="20"/>
    </w:rPr>
  </w:style>
  <w:style w:type="character" w:customStyle="1" w:styleId="162">
    <w:name w:val="Char Char"/>
    <w:autoRedefine/>
    <w:semiHidden/>
    <w:qFormat/>
    <w:locked/>
    <w:uiPriority w:val="0"/>
    <w:rPr>
      <w:rFonts w:ascii="宋体" w:hAnsi="宋体" w:eastAsia="宋体"/>
      <w:sz w:val="24"/>
      <w:lang w:val="en-US" w:eastAsia="zh-CN" w:bidi="ar-SA"/>
    </w:rPr>
  </w:style>
  <w:style w:type="paragraph" w:customStyle="1" w:styleId="163">
    <w:name w:val="xl65"/>
    <w:basedOn w:val="78"/>
    <w:autoRedefine/>
    <w:qFormat/>
    <w:uiPriority w:val="0"/>
    <w:pPr>
      <w:pBdr>
        <w:top w:val="single" w:color="auto" w:sz="4" w:space="0"/>
        <w:left w:val="single" w:color="auto" w:sz="4" w:space="0"/>
        <w:bottom w:val="single" w:color="auto" w:sz="4" w:space="0"/>
        <w:right w:val="single" w:color="auto" w:sz="4" w:space="0"/>
      </w:pBdr>
      <w:shd w:val="clear" w:color="auto" w:fill="FFFF00"/>
      <w:jc w:val="center"/>
      <w:textAlignment w:val="center"/>
    </w:pPr>
    <w:rPr>
      <w:sz w:val="20"/>
    </w:rPr>
  </w:style>
  <w:style w:type="paragraph" w:customStyle="1" w:styleId="164">
    <w:name w:val="xl112"/>
    <w:basedOn w:val="78"/>
    <w:autoRedefine/>
    <w:qFormat/>
    <w:uiPriority w:val="0"/>
    <w:pPr>
      <w:jc w:val="center"/>
      <w:textAlignment w:val="center"/>
    </w:pPr>
    <w:rPr>
      <w:rFonts w:ascii="Times New Roman" w:hAnsi="Times New Roman"/>
      <w:color w:val="000000"/>
      <w:sz w:val="20"/>
    </w:rPr>
  </w:style>
  <w:style w:type="character" w:customStyle="1" w:styleId="165">
    <w:name w:val="g Char Char"/>
    <w:autoRedefine/>
    <w:qFormat/>
    <w:locked/>
    <w:uiPriority w:val="0"/>
    <w:rPr>
      <w:kern w:val="2"/>
      <w:sz w:val="18"/>
      <w:szCs w:val="18"/>
    </w:rPr>
  </w:style>
  <w:style w:type="paragraph" w:customStyle="1" w:styleId="166">
    <w:name w:val="插图标题"/>
    <w:basedOn w:val="1"/>
    <w:autoRedefine/>
    <w:qFormat/>
    <w:uiPriority w:val="0"/>
    <w:pPr>
      <w:tabs>
        <w:tab w:val="left" w:pos="1134"/>
      </w:tabs>
      <w:jc w:val="center"/>
    </w:pPr>
    <w:rPr>
      <w:rFonts w:ascii="黑体" w:eastAsia="黑体"/>
    </w:rPr>
  </w:style>
  <w:style w:type="paragraph" w:customStyle="1" w:styleId="167">
    <w:name w:val="Char Char Char Char Char Char Char Char Char Char Char Char Char"/>
    <w:basedOn w:val="1"/>
    <w:autoRedefine/>
    <w:qFormat/>
    <w:uiPriority w:val="0"/>
    <w:rPr>
      <w:rFonts w:ascii="Tahoma" w:hAnsi="Tahoma"/>
    </w:rPr>
  </w:style>
  <w:style w:type="paragraph" w:customStyle="1" w:styleId="168">
    <w:name w:val="Char Char Char3"/>
    <w:basedOn w:val="1"/>
    <w:autoRedefine/>
    <w:qFormat/>
    <w:uiPriority w:val="0"/>
    <w:rPr>
      <w:rFonts w:ascii="Tahoma" w:hAnsi="Tahoma"/>
    </w:rPr>
  </w:style>
  <w:style w:type="character" w:customStyle="1" w:styleId="169">
    <w:name w:val="列出段落 字符"/>
    <w:autoRedefine/>
    <w:qFormat/>
    <w:uiPriority w:val="34"/>
    <w:rPr>
      <w:kern w:val="2"/>
      <w:sz w:val="21"/>
      <w:szCs w:val="24"/>
    </w:rPr>
  </w:style>
  <w:style w:type="paragraph" w:customStyle="1" w:styleId="170">
    <w:name w:val="Char Char Char Char3"/>
    <w:basedOn w:val="1"/>
    <w:autoRedefine/>
    <w:qFormat/>
    <w:uiPriority w:val="0"/>
  </w:style>
  <w:style w:type="paragraph" w:customStyle="1" w:styleId="171">
    <w:name w:val="4级标题"/>
    <w:next w:val="1"/>
    <w:autoRedefine/>
    <w:qFormat/>
    <w:uiPriority w:val="0"/>
    <w:pPr>
      <w:widowControl w:val="0"/>
      <w:spacing w:line="360" w:lineRule="auto"/>
      <w:outlineLvl w:val="3"/>
    </w:pPr>
    <w:rPr>
      <w:rFonts w:ascii="宋体" w:hAnsi="宋体" w:eastAsia="宋体" w:cs="Times New Roman"/>
      <w:kern w:val="2"/>
      <w:sz w:val="24"/>
      <w:szCs w:val="28"/>
      <w:lang w:val="en-US" w:eastAsia="zh-CN" w:bidi="ar-SA"/>
    </w:rPr>
  </w:style>
  <w:style w:type="paragraph" w:customStyle="1" w:styleId="172">
    <w:name w:val="xl98"/>
    <w:basedOn w:val="78"/>
    <w:autoRedefine/>
    <w:qFormat/>
    <w:uiPriority w:val="0"/>
    <w:pPr>
      <w:textAlignment w:val="auto"/>
    </w:pPr>
    <w:rPr>
      <w:sz w:val="20"/>
    </w:rPr>
  </w:style>
  <w:style w:type="paragraph" w:customStyle="1" w:styleId="173">
    <w:name w:val="xl117"/>
    <w:basedOn w:val="78"/>
    <w:autoRedefine/>
    <w:qFormat/>
    <w:uiPriority w:val="0"/>
    <w:pPr>
      <w:pBdr>
        <w:bottom w:val="single" w:color="auto" w:sz="4" w:space="0"/>
      </w:pBdr>
      <w:jc w:val="center"/>
      <w:textAlignment w:val="center"/>
    </w:pPr>
    <w:rPr>
      <w:rFonts w:ascii="Times New Roman" w:hAnsi="Times New Roman"/>
      <w:sz w:val="32"/>
    </w:rPr>
  </w:style>
  <w:style w:type="character" w:customStyle="1" w:styleId="174">
    <w:name w:val="Char Char1111"/>
    <w:autoRedefine/>
    <w:qFormat/>
    <w:uiPriority w:val="0"/>
    <w:rPr>
      <w:rFonts w:ascii="Arial" w:hAnsi="Arial" w:eastAsia="黑体" w:cs="Arial"/>
      <w:sz w:val="24"/>
      <w:szCs w:val="24"/>
    </w:rPr>
  </w:style>
  <w:style w:type="paragraph" w:customStyle="1" w:styleId="175">
    <w:name w:val="正文表标题"/>
    <w:next w:val="1"/>
    <w:autoRedefine/>
    <w:qFormat/>
    <w:uiPriority w:val="0"/>
    <w:pPr>
      <w:tabs>
        <w:tab w:val="left" w:pos="720"/>
      </w:tabs>
      <w:ind w:left="360" w:hanging="360"/>
      <w:jc w:val="center"/>
    </w:pPr>
    <w:rPr>
      <w:rFonts w:ascii="黑体" w:hAnsi="Times New Roman" w:eastAsia="黑体" w:cs="Times New Roman"/>
      <w:sz w:val="21"/>
      <w:lang w:val="en-US" w:eastAsia="zh-CN" w:bidi="ar-SA"/>
    </w:rPr>
  </w:style>
  <w:style w:type="paragraph" w:customStyle="1" w:styleId="176">
    <w:name w:val="文章标题"/>
    <w:basedOn w:val="3"/>
    <w:next w:val="1"/>
    <w:autoRedefine/>
    <w:qFormat/>
    <w:uiPriority w:val="0"/>
    <w:pPr>
      <w:spacing w:before="240" w:after="240" w:line="240" w:lineRule="auto"/>
      <w:jc w:val="center"/>
      <w:outlineLvl w:val="9"/>
    </w:pPr>
    <w:rPr>
      <w:rFonts w:hAnsi="Times New Roman" w:cs="Times New Roman"/>
      <w:b/>
      <w:color w:val="FF0000"/>
      <w:szCs w:val="20"/>
    </w:rPr>
  </w:style>
  <w:style w:type="character" w:customStyle="1" w:styleId="177">
    <w:name w:val="font101"/>
    <w:autoRedefine/>
    <w:qFormat/>
    <w:uiPriority w:val="0"/>
    <w:rPr>
      <w:rFonts w:hint="default" w:ascii="Times New Roman" w:hAnsi="Times New Roman" w:cs="Times New Roman"/>
      <w:color w:val="000000"/>
      <w:sz w:val="22"/>
      <w:szCs w:val="22"/>
      <w:u w:val="none"/>
    </w:rPr>
  </w:style>
  <w:style w:type="paragraph" w:customStyle="1" w:styleId="178">
    <w:name w:val="font10"/>
    <w:basedOn w:val="1"/>
    <w:autoRedefine/>
    <w:qFormat/>
    <w:uiPriority w:val="0"/>
    <w:pPr>
      <w:widowControl/>
      <w:spacing w:before="100" w:beforeAutospacing="1" w:after="100" w:afterAutospacing="1"/>
    </w:pPr>
    <w:rPr>
      <w:rFonts w:cs="宋体"/>
      <w:color w:val="FF0000"/>
      <w:kern w:val="0"/>
      <w:szCs w:val="21"/>
    </w:rPr>
  </w:style>
  <w:style w:type="paragraph" w:customStyle="1" w:styleId="179">
    <w:name w:val="标题3"/>
    <w:basedOn w:val="1"/>
    <w:next w:val="1"/>
    <w:autoRedefine/>
    <w:qFormat/>
    <w:uiPriority w:val="0"/>
    <w:pPr>
      <w:spacing w:line="312" w:lineRule="auto"/>
      <w:outlineLvl w:val="2"/>
    </w:pPr>
    <w:rPr>
      <w:rFonts w:ascii="黑体" w:hAnsi="Calibri" w:eastAsia="黑体"/>
      <w:sz w:val="28"/>
    </w:rPr>
  </w:style>
  <w:style w:type="paragraph" w:customStyle="1" w:styleId="180">
    <w:name w:val="文字1"/>
    <w:basedOn w:val="1"/>
    <w:autoRedefine/>
    <w:qFormat/>
    <w:uiPriority w:val="0"/>
    <w:pPr>
      <w:spacing w:line="480" w:lineRule="exact"/>
      <w:ind w:left="1"/>
    </w:pPr>
    <w:rPr>
      <w:color w:val="000000"/>
    </w:rPr>
  </w:style>
  <w:style w:type="paragraph" w:customStyle="1" w:styleId="181">
    <w:name w:val="font5"/>
    <w:basedOn w:val="1"/>
    <w:autoRedefine/>
    <w:qFormat/>
    <w:uiPriority w:val="0"/>
    <w:pPr>
      <w:widowControl/>
      <w:spacing w:before="100" w:beforeAutospacing="1" w:after="100" w:afterAutospacing="1"/>
    </w:pPr>
    <w:rPr>
      <w:rFonts w:cs="Arial Unicode MS"/>
      <w:kern w:val="0"/>
      <w:sz w:val="18"/>
      <w:szCs w:val="18"/>
    </w:rPr>
  </w:style>
  <w:style w:type="character" w:customStyle="1" w:styleId="182">
    <w:name w:val="文档结构图 Char"/>
    <w:link w:val="20"/>
    <w:autoRedefine/>
    <w:qFormat/>
    <w:locked/>
    <w:uiPriority w:val="0"/>
    <w:rPr>
      <w:rFonts w:ascii="宋体" w:hAnsi="宋体" w:eastAsia="宋体"/>
      <w:kern w:val="2"/>
      <w:sz w:val="21"/>
      <w:szCs w:val="24"/>
      <w:lang w:bidi="ar-SA"/>
    </w:rPr>
  </w:style>
  <w:style w:type="character" w:customStyle="1" w:styleId="183">
    <w:name w:val="正文文本缩进 Char2"/>
    <w:autoRedefine/>
    <w:semiHidden/>
    <w:qFormat/>
    <w:uiPriority w:val="99"/>
    <w:rPr>
      <w:rFonts w:ascii="Times New Roman" w:hAnsi="Times New Roman" w:eastAsia="宋体" w:cs="Times New Roman"/>
      <w:szCs w:val="20"/>
    </w:rPr>
  </w:style>
  <w:style w:type="character" w:customStyle="1" w:styleId="184">
    <w:name w:val="页脚 字符"/>
    <w:autoRedefine/>
    <w:semiHidden/>
    <w:qFormat/>
    <w:uiPriority w:val="99"/>
    <w:rPr>
      <w:kern w:val="2"/>
      <w:sz w:val="18"/>
      <w:szCs w:val="18"/>
    </w:rPr>
  </w:style>
  <w:style w:type="character" w:customStyle="1" w:styleId="185">
    <w:name w:val="正文文本缩进 3 字符"/>
    <w:autoRedefine/>
    <w:semiHidden/>
    <w:qFormat/>
    <w:uiPriority w:val="99"/>
    <w:rPr>
      <w:kern w:val="2"/>
      <w:sz w:val="16"/>
      <w:szCs w:val="16"/>
    </w:rPr>
  </w:style>
  <w:style w:type="paragraph" w:customStyle="1" w:styleId="186">
    <w:name w:val="封面标题"/>
    <w:basedOn w:val="1"/>
    <w:next w:val="187"/>
    <w:autoRedefine/>
    <w:qFormat/>
    <w:uiPriority w:val="0"/>
    <w:pPr>
      <w:jc w:val="center"/>
    </w:pPr>
    <w:rPr>
      <w:rFonts w:ascii="Arial" w:eastAsia="黑体"/>
      <w:color w:val="FF0000"/>
      <w:spacing w:val="20"/>
      <w:kern w:val="52"/>
      <w:sz w:val="52"/>
    </w:rPr>
  </w:style>
  <w:style w:type="paragraph" w:customStyle="1" w:styleId="187">
    <w:name w:val="封面落款"/>
    <w:basedOn w:val="1"/>
    <w:autoRedefine/>
    <w:qFormat/>
    <w:uiPriority w:val="0"/>
    <w:pPr>
      <w:jc w:val="center"/>
    </w:pPr>
    <w:rPr>
      <w:rFonts w:eastAsia="黑体"/>
      <w:color w:val="0000FF"/>
      <w:spacing w:val="20"/>
      <w:sz w:val="32"/>
    </w:rPr>
  </w:style>
  <w:style w:type="paragraph" w:customStyle="1" w:styleId="188">
    <w:name w:val="Char Char13"/>
    <w:basedOn w:val="1"/>
    <w:autoRedefine/>
    <w:qFormat/>
    <w:uiPriority w:val="0"/>
  </w:style>
  <w:style w:type="paragraph" w:customStyle="1" w:styleId="189">
    <w:name w:val="xl80"/>
    <w:basedOn w:val="78"/>
    <w:autoRedefine/>
    <w:qFormat/>
    <w:uiPriority w:val="0"/>
    <w:pPr>
      <w:jc w:val="center"/>
      <w:textAlignment w:val="center"/>
    </w:pPr>
    <w:rPr>
      <w:rFonts w:ascii="Times New Roman" w:hAnsi="Times New Roman"/>
      <w:color w:val="000000"/>
      <w:sz w:val="20"/>
    </w:rPr>
  </w:style>
  <w:style w:type="paragraph" w:customStyle="1" w:styleId="190">
    <w:name w:val="Char1 Char Char Char"/>
    <w:basedOn w:val="1"/>
    <w:autoRedefine/>
    <w:qFormat/>
    <w:uiPriority w:val="0"/>
    <w:pPr>
      <w:snapToGrid w:val="0"/>
      <w:spacing w:line="440" w:lineRule="atLeast"/>
    </w:pPr>
  </w:style>
  <w:style w:type="paragraph" w:customStyle="1" w:styleId="191">
    <w:name w:val="xl93"/>
    <w:basedOn w:val="78"/>
    <w:autoRedefine/>
    <w:qFormat/>
    <w:uiPriority w:val="0"/>
    <w:pPr>
      <w:jc w:val="center"/>
      <w:textAlignment w:val="auto"/>
    </w:pPr>
    <w:rPr>
      <w:sz w:val="20"/>
    </w:rPr>
  </w:style>
  <w:style w:type="paragraph" w:customStyle="1" w:styleId="192">
    <w:name w:val="Char Char Char Char Char Char Char1"/>
    <w:basedOn w:val="1"/>
    <w:autoRedefine/>
    <w:qFormat/>
    <w:uiPriority w:val="0"/>
  </w:style>
  <w:style w:type="character" w:customStyle="1" w:styleId="193">
    <w:name w:val="引用 Char1"/>
    <w:autoRedefine/>
    <w:qFormat/>
    <w:uiPriority w:val="0"/>
    <w:rPr>
      <w:i/>
      <w:iCs/>
      <w:color w:val="000000"/>
    </w:rPr>
  </w:style>
  <w:style w:type="paragraph" w:customStyle="1" w:styleId="194">
    <w:name w:val="xl52"/>
    <w:basedOn w:val="78"/>
    <w:autoRedefine/>
    <w:qFormat/>
    <w:uiPriority w:val="0"/>
    <w:pPr>
      <w:shd w:val="clear" w:color="auto" w:fill="FFFF99"/>
      <w:textAlignment w:val="auto"/>
    </w:pPr>
  </w:style>
  <w:style w:type="character" w:customStyle="1" w:styleId="195">
    <w:name w:val="标题 7 Char"/>
    <w:link w:val="10"/>
    <w:autoRedefine/>
    <w:qFormat/>
    <w:locked/>
    <w:uiPriority w:val="0"/>
    <w:rPr>
      <w:b/>
      <w:sz w:val="24"/>
    </w:rPr>
  </w:style>
  <w:style w:type="character" w:customStyle="1" w:styleId="196">
    <w:name w:val="正文文本缩进 字符"/>
    <w:autoRedefine/>
    <w:semiHidden/>
    <w:qFormat/>
    <w:uiPriority w:val="99"/>
    <w:rPr>
      <w:kern w:val="2"/>
      <w:sz w:val="21"/>
      <w:szCs w:val="22"/>
    </w:rPr>
  </w:style>
  <w:style w:type="paragraph" w:customStyle="1" w:styleId="197">
    <w:name w:val="正文文本 212"/>
    <w:basedOn w:val="1"/>
    <w:autoRedefine/>
    <w:qFormat/>
    <w:uiPriority w:val="0"/>
    <w:pPr>
      <w:adjustRightInd w:val="0"/>
      <w:jc w:val="center"/>
    </w:pPr>
    <w:rPr>
      <w:kern w:val="0"/>
    </w:rPr>
  </w:style>
  <w:style w:type="paragraph" w:customStyle="1" w:styleId="198">
    <w:name w:val="xl41"/>
    <w:basedOn w:val="78"/>
    <w:autoRedefine/>
    <w:qFormat/>
    <w:uiPriority w:val="0"/>
    <w:pPr>
      <w:pBdr>
        <w:top w:val="single" w:color="auto" w:sz="4" w:space="0"/>
        <w:left w:val="single" w:color="auto" w:sz="4" w:space="0"/>
        <w:bottom w:val="single" w:color="auto" w:sz="4" w:space="0"/>
        <w:right w:val="single" w:color="auto" w:sz="4" w:space="0"/>
      </w:pBdr>
      <w:jc w:val="center"/>
      <w:textAlignment w:val="center"/>
    </w:pPr>
    <w:rPr>
      <w:rFonts w:ascii="Times New Roman" w:hAnsi="Times New Roman"/>
      <w:sz w:val="20"/>
    </w:rPr>
  </w:style>
  <w:style w:type="character" w:customStyle="1" w:styleId="199">
    <w:name w:val="Char Char10"/>
    <w:autoRedefine/>
    <w:qFormat/>
    <w:uiPriority w:val="0"/>
    <w:rPr>
      <w:rFonts w:ascii="Arial" w:hAnsi="Arial" w:eastAsia="黑体" w:cs="Arial"/>
      <w:sz w:val="21"/>
      <w:szCs w:val="21"/>
    </w:rPr>
  </w:style>
  <w:style w:type="character" w:customStyle="1" w:styleId="200">
    <w:name w:val="g Char"/>
    <w:autoRedefine/>
    <w:qFormat/>
    <w:locked/>
    <w:uiPriority w:val="0"/>
    <w:rPr>
      <w:rFonts w:ascii="宋体" w:hAnsi="宋体" w:eastAsia="宋体"/>
      <w:kern w:val="2"/>
      <w:sz w:val="18"/>
      <w:szCs w:val="18"/>
      <w:lang w:bidi="ar-SA"/>
    </w:rPr>
  </w:style>
  <w:style w:type="paragraph" w:customStyle="1" w:styleId="201">
    <w:name w:val="样式 表格 + 居中"/>
    <w:basedOn w:val="1"/>
    <w:autoRedefine/>
    <w:qFormat/>
    <w:uiPriority w:val="0"/>
    <w:pPr>
      <w:jc w:val="center"/>
    </w:pPr>
    <w:rPr>
      <w:color w:val="000000"/>
      <w:szCs w:val="21"/>
    </w:rPr>
  </w:style>
  <w:style w:type="character" w:customStyle="1" w:styleId="202">
    <w:name w:val="样式（编辑格式） Char"/>
    <w:link w:val="144"/>
    <w:autoRedefine/>
    <w:qFormat/>
    <w:locked/>
    <w:uiPriority w:val="0"/>
    <w:rPr>
      <w:rFonts w:ascii="黑体" w:eastAsia="黑体" w:cs="黑体"/>
      <w:b/>
      <w:bCs/>
      <w:kern w:val="44"/>
      <w:sz w:val="28"/>
      <w:szCs w:val="28"/>
      <w:lang w:val="en-US" w:eastAsia="zh-CN" w:bidi="ar-SA"/>
    </w:rPr>
  </w:style>
  <w:style w:type="character" w:customStyle="1" w:styleId="203">
    <w:name w:val="Char Char122"/>
    <w:autoRedefine/>
    <w:qFormat/>
    <w:uiPriority w:val="0"/>
    <w:rPr>
      <w:rFonts w:ascii="Times New Roman" w:hAnsi="Times New Roman"/>
      <w:b/>
      <w:bCs/>
      <w:sz w:val="24"/>
      <w:szCs w:val="24"/>
    </w:rPr>
  </w:style>
  <w:style w:type="paragraph" w:customStyle="1" w:styleId="204">
    <w:name w:val="xl47"/>
    <w:basedOn w:val="78"/>
    <w:autoRedefine/>
    <w:qFormat/>
    <w:uiPriority w:val="0"/>
    <w:pPr>
      <w:pBdr>
        <w:top w:val="single" w:color="auto" w:sz="4" w:space="0"/>
        <w:left w:val="single" w:color="auto" w:sz="4" w:space="0"/>
        <w:bottom w:val="single" w:color="auto" w:sz="4" w:space="0"/>
        <w:right w:val="single" w:color="auto" w:sz="4" w:space="0"/>
      </w:pBdr>
      <w:textAlignment w:val="center"/>
    </w:pPr>
    <w:rPr>
      <w:sz w:val="20"/>
    </w:rPr>
  </w:style>
  <w:style w:type="paragraph" w:customStyle="1" w:styleId="205">
    <w:name w:val="xl58"/>
    <w:basedOn w:val="78"/>
    <w:autoRedefine/>
    <w:qFormat/>
    <w:uiPriority w:val="0"/>
    <w:pPr>
      <w:pBdr>
        <w:top w:val="single" w:color="auto" w:sz="4" w:space="0"/>
        <w:left w:val="single" w:color="auto" w:sz="4" w:space="0"/>
        <w:bottom w:val="single" w:color="auto" w:sz="4" w:space="0"/>
        <w:right w:val="single" w:color="auto" w:sz="4" w:space="0"/>
      </w:pBdr>
      <w:jc w:val="center"/>
      <w:textAlignment w:val="center"/>
    </w:pPr>
    <w:rPr>
      <w:rFonts w:ascii="Times New Roman" w:hAnsi="Times New Roman"/>
    </w:rPr>
  </w:style>
  <w:style w:type="paragraph" w:customStyle="1" w:styleId="206">
    <w:name w:val="Table Paragraph yss"/>
    <w:basedOn w:val="1"/>
    <w:autoRedefine/>
    <w:qFormat/>
    <w:uiPriority w:val="1"/>
    <w:pPr>
      <w:spacing w:line="240" w:lineRule="auto"/>
      <w:ind w:firstLine="0" w:firstLineChars="0"/>
      <w:jc w:val="both"/>
    </w:pPr>
    <w:rPr>
      <w:rFonts w:cs="Times New Roman"/>
      <w:bCs/>
      <w:sz w:val="28"/>
      <w:szCs w:val="28"/>
    </w:rPr>
  </w:style>
  <w:style w:type="character" w:customStyle="1" w:styleId="207">
    <w:name w:val="标题 4 Char1"/>
    <w:link w:val="7"/>
    <w:autoRedefine/>
    <w:qFormat/>
    <w:locked/>
    <w:uiPriority w:val="0"/>
    <w:rPr>
      <w:rFonts w:hAnsi="宋体"/>
      <w:b/>
      <w:bCs/>
      <w:color w:val="FF0000"/>
      <w:spacing w:val="-10"/>
      <w:kern w:val="28"/>
      <w:sz w:val="24"/>
      <w:szCs w:val="24"/>
      <w:lang w:val="en-US" w:eastAsia="zh-CN" w:bidi="ar-SA"/>
    </w:rPr>
  </w:style>
  <w:style w:type="paragraph" w:customStyle="1" w:styleId="208">
    <w:name w:val="TOC 标题1"/>
    <w:basedOn w:val="3"/>
    <w:next w:val="1"/>
    <w:autoRedefine/>
    <w:qFormat/>
    <w:uiPriority w:val="0"/>
    <w:pPr>
      <w:widowControl/>
      <w:spacing w:before="480" w:after="0" w:line="276" w:lineRule="auto"/>
      <w:outlineLvl w:val="9"/>
    </w:pPr>
    <w:rPr>
      <w:rFonts w:ascii="Cambria" w:hAnsi="Cambria" w:cs="Times New Roman"/>
      <w:b/>
      <w:bCs/>
      <w:color w:val="365F91"/>
      <w:kern w:val="0"/>
      <w:sz w:val="28"/>
      <w:szCs w:val="28"/>
    </w:rPr>
  </w:style>
  <w:style w:type="character" w:customStyle="1" w:styleId="209">
    <w:name w:val="纯文本 Char2"/>
    <w:autoRedefine/>
    <w:semiHidden/>
    <w:qFormat/>
    <w:uiPriority w:val="99"/>
    <w:rPr>
      <w:rFonts w:ascii="宋体" w:hAnsi="Courier New" w:eastAsia="宋体" w:cs="Courier New"/>
      <w:szCs w:val="21"/>
    </w:rPr>
  </w:style>
  <w:style w:type="character" w:customStyle="1" w:styleId="210">
    <w:name w:val="文档结构图 Char1"/>
    <w:autoRedefine/>
    <w:semiHidden/>
    <w:qFormat/>
    <w:uiPriority w:val="0"/>
    <w:rPr>
      <w:rFonts w:ascii="宋体"/>
      <w:kern w:val="2"/>
      <w:sz w:val="18"/>
      <w:szCs w:val="18"/>
    </w:rPr>
  </w:style>
  <w:style w:type="paragraph" w:customStyle="1" w:styleId="211">
    <w:name w:val="正文首行缩进11"/>
    <w:basedOn w:val="26"/>
    <w:autoRedefine/>
    <w:qFormat/>
    <w:uiPriority w:val="0"/>
    <w:pPr>
      <w:tabs>
        <w:tab w:val="clear" w:pos="630"/>
      </w:tabs>
      <w:adjustRightInd w:val="0"/>
      <w:spacing w:line="312" w:lineRule="auto"/>
      <w:ind w:firstLine="567"/>
      <w:textAlignment w:val="baseline"/>
    </w:pPr>
    <w:rPr>
      <w:kern w:val="0"/>
    </w:rPr>
  </w:style>
  <w:style w:type="paragraph" w:customStyle="1" w:styleId="212">
    <w:name w:val="xl55"/>
    <w:basedOn w:val="78"/>
    <w:autoRedefine/>
    <w:qFormat/>
    <w:uiPriority w:val="0"/>
    <w:pPr>
      <w:textAlignment w:val="auto"/>
    </w:pPr>
    <w:rPr>
      <w:color w:val="FF6600"/>
    </w:rPr>
  </w:style>
  <w:style w:type="character" w:customStyle="1" w:styleId="213">
    <w:name w:val="无间隔 Char"/>
    <w:link w:val="214"/>
    <w:autoRedefine/>
    <w:qFormat/>
    <w:uiPriority w:val="1"/>
    <w:rPr>
      <w:rFonts w:ascii="Calibri" w:hAnsi="Calibri"/>
      <w:sz w:val="22"/>
      <w:szCs w:val="22"/>
      <w:lang w:val="en-US" w:eastAsia="zh-CN" w:bidi="ar-SA"/>
    </w:rPr>
  </w:style>
  <w:style w:type="paragraph" w:styleId="214">
    <w:name w:val="No Spacing"/>
    <w:link w:val="213"/>
    <w:autoRedefine/>
    <w:qFormat/>
    <w:uiPriority w:val="1"/>
    <w:rPr>
      <w:rFonts w:ascii="Calibri" w:hAnsi="Calibri" w:eastAsia="宋体" w:cs="Times New Roman"/>
      <w:sz w:val="22"/>
      <w:szCs w:val="22"/>
      <w:lang w:val="en-US" w:eastAsia="zh-CN" w:bidi="ar-SA"/>
    </w:rPr>
  </w:style>
  <w:style w:type="paragraph" w:styleId="215">
    <w:name w:val="Quote"/>
    <w:basedOn w:val="1"/>
    <w:next w:val="1"/>
    <w:link w:val="479"/>
    <w:autoRedefine/>
    <w:qFormat/>
    <w:uiPriority w:val="0"/>
    <w:rPr>
      <w:rFonts w:ascii="Times New Roman" w:hAnsi="Times New Roman" w:cs="Times New Roman"/>
      <w:i/>
      <w:color w:val="000000"/>
      <w:kern w:val="0"/>
      <w:sz w:val="20"/>
      <w:szCs w:val="20"/>
    </w:rPr>
  </w:style>
  <w:style w:type="paragraph" w:customStyle="1" w:styleId="216">
    <w:name w:val="Char Char Char1 Char Char Char Char Char Char Char Char Char Char1"/>
    <w:basedOn w:val="1"/>
    <w:autoRedefine/>
    <w:qFormat/>
    <w:uiPriority w:val="0"/>
    <w:pPr>
      <w:adjustRightInd w:val="0"/>
      <w:snapToGrid w:val="0"/>
      <w:ind w:firstLine="200"/>
    </w:pPr>
    <w:rPr>
      <w:kern w:val="0"/>
      <w:sz w:val="28"/>
      <w:szCs w:val="28"/>
    </w:rPr>
  </w:style>
  <w:style w:type="character" w:customStyle="1" w:styleId="217">
    <w:name w:val="font21"/>
    <w:autoRedefine/>
    <w:qFormat/>
    <w:uiPriority w:val="0"/>
    <w:rPr>
      <w:rFonts w:hint="eastAsia" w:ascii="宋体" w:hAnsi="宋体" w:eastAsia="宋体" w:cs="宋体"/>
      <w:color w:val="000000"/>
      <w:sz w:val="22"/>
      <w:szCs w:val="22"/>
      <w:u w:val="none"/>
    </w:rPr>
  </w:style>
  <w:style w:type="character" w:customStyle="1" w:styleId="218">
    <w:name w:val="Char Char14"/>
    <w:autoRedefine/>
    <w:qFormat/>
    <w:uiPriority w:val="0"/>
    <w:rPr>
      <w:rFonts w:ascii="Times New Roman" w:hAnsi="Times New Roman"/>
      <w:color w:val="008000"/>
      <w:sz w:val="24"/>
      <w:szCs w:val="24"/>
    </w:rPr>
  </w:style>
  <w:style w:type="paragraph" w:customStyle="1" w:styleId="219">
    <w:name w:val="xl22"/>
    <w:basedOn w:val="1"/>
    <w:autoRedefine/>
    <w:qFormat/>
    <w:uiPriority w:val="0"/>
    <w:pPr>
      <w:widowControl/>
      <w:pBdr>
        <w:bottom w:val="single" w:color="auto" w:sz="4" w:space="0"/>
        <w:right w:val="single" w:color="auto" w:sz="4" w:space="0"/>
      </w:pBdr>
      <w:spacing w:before="100" w:after="100"/>
      <w:jc w:val="center"/>
    </w:pPr>
    <w:rPr>
      <w:rFonts w:ascii="仿宋_GB2312" w:eastAsia="仿宋_GB2312" w:cs="仿宋_GB2312"/>
      <w:kern w:val="0"/>
      <w:szCs w:val="21"/>
    </w:rPr>
  </w:style>
  <w:style w:type="character" w:customStyle="1" w:styleId="220">
    <w:name w:val="文档结构图 Char2"/>
    <w:autoRedefine/>
    <w:semiHidden/>
    <w:qFormat/>
    <w:uiPriority w:val="99"/>
    <w:rPr>
      <w:rFonts w:ascii="宋体" w:hAnsi="Times New Roman" w:eastAsia="宋体" w:cs="Times New Roman"/>
      <w:sz w:val="18"/>
      <w:szCs w:val="18"/>
    </w:rPr>
  </w:style>
  <w:style w:type="character" w:customStyle="1" w:styleId="221">
    <w:name w:val="font01"/>
    <w:autoRedefine/>
    <w:qFormat/>
    <w:uiPriority w:val="0"/>
    <w:rPr>
      <w:rFonts w:hint="eastAsia" w:ascii="宋体" w:hAnsi="宋体" w:eastAsia="宋体" w:cs="宋体"/>
      <w:color w:val="000000"/>
      <w:sz w:val="24"/>
      <w:szCs w:val="24"/>
      <w:u w:val="none"/>
    </w:rPr>
  </w:style>
  <w:style w:type="character" w:customStyle="1" w:styleId="222">
    <w:name w:val="标题 字符"/>
    <w:autoRedefine/>
    <w:qFormat/>
    <w:uiPriority w:val="10"/>
    <w:rPr>
      <w:rFonts w:ascii="等线 Light" w:hAnsi="等线 Light" w:eastAsia="宋体" w:cs="Times New Roman"/>
      <w:b/>
      <w:bCs/>
      <w:kern w:val="2"/>
      <w:sz w:val="32"/>
      <w:szCs w:val="32"/>
    </w:rPr>
  </w:style>
  <w:style w:type="paragraph" w:customStyle="1" w:styleId="223">
    <w:name w:val="Char Char Char Char Char Char1 Char1"/>
    <w:basedOn w:val="1"/>
    <w:autoRedefine/>
    <w:semiHidden/>
    <w:qFormat/>
    <w:uiPriority w:val="0"/>
  </w:style>
  <w:style w:type="paragraph" w:customStyle="1" w:styleId="224">
    <w:name w:val="样式 样式 标题 1H1H11H12H13H14H15H16H17H111H121H18H19H110H1... + 左侧:  ..."/>
    <w:basedOn w:val="1"/>
    <w:autoRedefine/>
    <w:qFormat/>
    <w:uiPriority w:val="0"/>
    <w:pPr>
      <w:keepNext/>
      <w:keepLines/>
      <w:numPr>
        <w:ilvl w:val="0"/>
        <w:numId w:val="9"/>
      </w:numPr>
      <w:spacing w:after="240" w:afterLines="100"/>
      <w:outlineLvl w:val="0"/>
    </w:pPr>
    <w:rPr>
      <w:rFonts w:cs="宋体"/>
      <w:b/>
      <w:bCs/>
      <w:kern w:val="44"/>
      <w:sz w:val="30"/>
    </w:rPr>
  </w:style>
  <w:style w:type="character" w:customStyle="1" w:styleId="225">
    <w:name w:val="正文文本首行缩进 字符"/>
    <w:autoRedefine/>
    <w:semiHidden/>
    <w:qFormat/>
    <w:uiPriority w:val="99"/>
  </w:style>
  <w:style w:type="paragraph" w:customStyle="1" w:styleId="226">
    <w:name w:val="Char1"/>
    <w:basedOn w:val="1"/>
    <w:autoRedefine/>
    <w:qFormat/>
    <w:uiPriority w:val="0"/>
    <w:rPr>
      <w:rFonts w:ascii="Arial" w:hAnsi="Arial"/>
      <w:sz w:val="20"/>
    </w:rPr>
  </w:style>
  <w:style w:type="paragraph" w:customStyle="1" w:styleId="227">
    <w:name w:val="表格样式1"/>
    <w:basedOn w:val="1"/>
    <w:link w:val="413"/>
    <w:autoRedefine/>
    <w:qFormat/>
    <w:uiPriority w:val="0"/>
    <w:pPr>
      <w:jc w:val="center"/>
    </w:pPr>
    <w:rPr>
      <w:rFonts w:cs="Times New Roman"/>
      <w:color w:val="000000"/>
      <w:szCs w:val="21"/>
      <w:u w:color="000000"/>
    </w:rPr>
  </w:style>
  <w:style w:type="paragraph" w:customStyle="1" w:styleId="228">
    <w:name w:val="xl42"/>
    <w:basedOn w:val="78"/>
    <w:autoRedefine/>
    <w:qFormat/>
    <w:uiPriority w:val="0"/>
    <w:pPr>
      <w:pBdr>
        <w:top w:val="single" w:color="auto" w:sz="4" w:space="0"/>
        <w:left w:val="single" w:color="auto" w:sz="4" w:space="0"/>
        <w:bottom w:val="single" w:color="auto" w:sz="4" w:space="0"/>
        <w:right w:val="single" w:color="auto" w:sz="4" w:space="0"/>
      </w:pBdr>
      <w:textAlignment w:val="center"/>
    </w:pPr>
  </w:style>
  <w:style w:type="paragraph" w:customStyle="1" w:styleId="229">
    <w:name w:val="font7"/>
    <w:basedOn w:val="1"/>
    <w:autoRedefine/>
    <w:qFormat/>
    <w:uiPriority w:val="0"/>
    <w:pPr>
      <w:widowControl/>
      <w:spacing w:before="100" w:beforeAutospacing="1" w:after="100" w:afterAutospacing="1"/>
    </w:pPr>
    <w:rPr>
      <w:color w:val="000000"/>
      <w:kern w:val="0"/>
    </w:rPr>
  </w:style>
  <w:style w:type="paragraph" w:customStyle="1" w:styleId="230">
    <w:name w:val="样式 初设1级标题 + 自动设置 段前: 0.5 行 段后: 0.5 行 行距: 多倍行距 1.3 字行"/>
    <w:basedOn w:val="1"/>
    <w:autoRedefine/>
    <w:qFormat/>
    <w:uiPriority w:val="0"/>
    <w:pPr>
      <w:keepNext/>
      <w:keepLines/>
      <w:adjustRightInd w:val="0"/>
      <w:spacing w:beforeLines="50" w:afterLines="50" w:line="312" w:lineRule="auto"/>
      <w:textAlignment w:val="baseline"/>
      <w:outlineLvl w:val="0"/>
    </w:pPr>
    <w:rPr>
      <w:rFonts w:cs="宋体"/>
      <w:bCs/>
      <w:snapToGrid w:val="0"/>
      <w:kern w:val="0"/>
      <w:sz w:val="28"/>
    </w:rPr>
  </w:style>
  <w:style w:type="paragraph" w:customStyle="1" w:styleId="231">
    <w:name w:val="Char Char Char1 Char Char Char Char Char Char Char1"/>
    <w:basedOn w:val="1"/>
    <w:autoRedefine/>
    <w:qFormat/>
    <w:uiPriority w:val="0"/>
    <w:pPr>
      <w:adjustRightInd w:val="0"/>
      <w:spacing w:line="312" w:lineRule="auto"/>
      <w:textAlignment w:val="baseline"/>
    </w:pPr>
    <w:rPr>
      <w:rFonts w:ascii="Tahoma" w:hAnsi="Tahoma"/>
      <w:kern w:val="0"/>
    </w:rPr>
  </w:style>
  <w:style w:type="character" w:customStyle="1" w:styleId="232">
    <w:name w:val="批注主题 字符"/>
    <w:autoRedefine/>
    <w:semiHidden/>
    <w:qFormat/>
    <w:uiPriority w:val="99"/>
    <w:rPr>
      <w:rFonts w:ascii="Times New Roman" w:hAnsi="Times New Roman" w:eastAsia="宋体"/>
      <w:b/>
      <w:bCs/>
      <w:kern w:val="2"/>
      <w:sz w:val="21"/>
    </w:rPr>
  </w:style>
  <w:style w:type="character" w:customStyle="1" w:styleId="233">
    <w:name w:val="引用 Char2"/>
    <w:autoRedefine/>
    <w:qFormat/>
    <w:uiPriority w:val="29"/>
    <w:rPr>
      <w:rFonts w:ascii="Times New Roman" w:hAnsi="Times New Roman" w:eastAsia="宋体" w:cs="Times New Roman"/>
      <w:i/>
      <w:iCs/>
      <w:color w:val="000000"/>
      <w:szCs w:val="20"/>
    </w:rPr>
  </w:style>
  <w:style w:type="paragraph" w:customStyle="1" w:styleId="234">
    <w:name w:val="p0"/>
    <w:basedOn w:val="1"/>
    <w:autoRedefine/>
    <w:qFormat/>
    <w:uiPriority w:val="0"/>
    <w:pPr>
      <w:widowControl/>
      <w:snapToGrid w:val="0"/>
      <w:ind w:firstLine="420"/>
    </w:pPr>
    <w:rPr>
      <w:rFonts w:cs="宋体"/>
      <w:kern w:val="0"/>
    </w:rPr>
  </w:style>
  <w:style w:type="paragraph" w:customStyle="1" w:styleId="235">
    <w:name w:val="纯文本1"/>
    <w:basedOn w:val="1"/>
    <w:autoRedefine/>
    <w:qFormat/>
    <w:uiPriority w:val="0"/>
    <w:pPr>
      <w:adjustRightInd w:val="0"/>
      <w:textAlignment w:val="baseline"/>
    </w:pPr>
    <w:rPr>
      <w:rFonts w:cs="宋体"/>
      <w:kern w:val="0"/>
      <w:szCs w:val="21"/>
    </w:rPr>
  </w:style>
  <w:style w:type="paragraph" w:customStyle="1" w:styleId="236">
    <w:name w:val="xl37"/>
    <w:basedOn w:val="78"/>
    <w:autoRedefine/>
    <w:qFormat/>
    <w:uiPriority w:val="0"/>
    <w:pPr>
      <w:pBdr>
        <w:top w:val="single" w:color="auto" w:sz="4" w:space="0"/>
        <w:left w:val="single" w:color="auto" w:sz="4" w:space="0"/>
        <w:bottom w:val="single" w:color="auto" w:sz="4" w:space="0"/>
        <w:right w:val="single" w:color="auto" w:sz="4" w:space="0"/>
      </w:pBdr>
      <w:textAlignment w:val="center"/>
    </w:pPr>
    <w:rPr>
      <w:rFonts w:ascii="Times New Roman" w:hAnsi="Times New Roman"/>
      <w:sz w:val="20"/>
    </w:rPr>
  </w:style>
  <w:style w:type="paragraph" w:customStyle="1" w:styleId="237">
    <w:name w:val="正文终"/>
    <w:basedOn w:val="1"/>
    <w:link w:val="532"/>
    <w:autoRedefine/>
    <w:qFormat/>
    <w:uiPriority w:val="0"/>
    <w:pPr>
      <w:adjustRightInd w:val="0"/>
      <w:snapToGrid w:val="0"/>
      <w:ind w:firstLine="200"/>
    </w:pPr>
    <w:rPr>
      <w:rFonts w:cs="Times New Roman"/>
    </w:rPr>
  </w:style>
  <w:style w:type="character" w:customStyle="1" w:styleId="238">
    <w:name w:val="普通正文 Char"/>
    <w:link w:val="239"/>
    <w:autoRedefine/>
    <w:qFormat/>
    <w:uiPriority w:val="0"/>
    <w:rPr>
      <w:rFonts w:ascii="宋体" w:hAnsi="宋体" w:cs="Arial"/>
      <w:sz w:val="28"/>
      <w:szCs w:val="28"/>
      <w:lang w:bidi="en-US"/>
    </w:rPr>
  </w:style>
  <w:style w:type="paragraph" w:customStyle="1" w:styleId="239">
    <w:name w:val="普通正文"/>
    <w:basedOn w:val="1"/>
    <w:link w:val="238"/>
    <w:autoRedefine/>
    <w:qFormat/>
    <w:uiPriority w:val="0"/>
    <w:pPr>
      <w:adjustRightInd w:val="0"/>
      <w:snapToGrid w:val="0"/>
      <w:ind w:firstLine="560"/>
    </w:pPr>
    <w:rPr>
      <w:kern w:val="0"/>
      <w:sz w:val="28"/>
      <w:szCs w:val="28"/>
      <w:lang w:bidi="en-US"/>
    </w:rPr>
  </w:style>
  <w:style w:type="paragraph" w:customStyle="1" w:styleId="240">
    <w:name w:val="xl82"/>
    <w:basedOn w:val="78"/>
    <w:autoRedefine/>
    <w:qFormat/>
    <w:uiPriority w:val="0"/>
    <w:pPr>
      <w:jc w:val="center"/>
      <w:textAlignment w:val="center"/>
    </w:pPr>
    <w:rPr>
      <w:rFonts w:ascii="Times New Roman" w:hAnsi="Times New Roman"/>
      <w:sz w:val="20"/>
    </w:rPr>
  </w:style>
  <w:style w:type="character" w:customStyle="1" w:styleId="241">
    <w:name w:val="纯文本 字符"/>
    <w:autoRedefine/>
    <w:semiHidden/>
    <w:qFormat/>
    <w:uiPriority w:val="99"/>
    <w:rPr>
      <w:rFonts w:ascii="宋体" w:hAnsi="Courier New" w:eastAsia="宋体" w:cs="Courier New"/>
      <w:kern w:val="2"/>
      <w:sz w:val="21"/>
      <w:szCs w:val="21"/>
    </w:rPr>
  </w:style>
  <w:style w:type="paragraph" w:customStyle="1" w:styleId="242">
    <w:name w:val="Char Char Char1 Char Char Char Char Char Char Char21"/>
    <w:basedOn w:val="1"/>
    <w:autoRedefine/>
    <w:qFormat/>
    <w:uiPriority w:val="0"/>
    <w:pPr>
      <w:adjustRightInd w:val="0"/>
      <w:spacing w:line="312" w:lineRule="auto"/>
      <w:textAlignment w:val="baseline"/>
    </w:pPr>
    <w:rPr>
      <w:rFonts w:ascii="Tahoma" w:hAnsi="Tahoma"/>
      <w:kern w:val="0"/>
    </w:rPr>
  </w:style>
  <w:style w:type="character" w:customStyle="1" w:styleId="243">
    <w:name w:val="Char Char131"/>
    <w:autoRedefine/>
    <w:qFormat/>
    <w:uiPriority w:val="0"/>
    <w:rPr>
      <w:rFonts w:ascii="Arial" w:hAnsi="Arial" w:eastAsia="黑体" w:cs="Arial"/>
      <w:b/>
      <w:bCs/>
      <w:sz w:val="24"/>
      <w:szCs w:val="24"/>
    </w:rPr>
  </w:style>
  <w:style w:type="paragraph" w:customStyle="1" w:styleId="244">
    <w:name w:val="样式 左侧:  -0.08 厘米 右侧:  -0.08 厘米"/>
    <w:basedOn w:val="1"/>
    <w:autoRedefine/>
    <w:qFormat/>
    <w:uiPriority w:val="0"/>
    <w:pPr>
      <w:tabs>
        <w:tab w:val="left" w:pos="1134"/>
        <w:tab w:val="left" w:pos="3100"/>
        <w:tab w:val="right" w:pos="7371"/>
      </w:tabs>
      <w:overflowPunct w:val="0"/>
      <w:adjustRightInd w:val="0"/>
      <w:spacing w:line="312" w:lineRule="auto"/>
      <w:ind w:right="278" w:firstLine="567"/>
      <w:textAlignment w:val="baseline"/>
    </w:pPr>
    <w:rPr>
      <w:rFonts w:cs="宋体"/>
      <w:kern w:val="0"/>
      <w:sz w:val="28"/>
    </w:rPr>
  </w:style>
  <w:style w:type="paragraph" w:customStyle="1" w:styleId="245">
    <w:name w:val="首行缩进:  2 字符2"/>
    <w:basedOn w:val="1"/>
    <w:autoRedefine/>
    <w:qFormat/>
    <w:uiPriority w:val="0"/>
    <w:pPr>
      <w:tabs>
        <w:tab w:val="left" w:pos="2940"/>
      </w:tabs>
      <w:ind w:right="-91" w:rightChars="-91" w:firstLine="211" w:firstLineChars="75"/>
    </w:pPr>
    <w:rPr>
      <w:color w:val="000000"/>
      <w:sz w:val="28"/>
    </w:rPr>
  </w:style>
  <w:style w:type="paragraph" w:customStyle="1" w:styleId="246">
    <w:name w:val="Char2"/>
    <w:basedOn w:val="1"/>
    <w:autoRedefine/>
    <w:qFormat/>
    <w:uiPriority w:val="0"/>
    <w:rPr>
      <w:rFonts w:ascii="Tahoma" w:hAnsi="Tahoma" w:cs="Tahoma"/>
    </w:rPr>
  </w:style>
  <w:style w:type="character" w:customStyle="1" w:styleId="247">
    <w:name w:val="副标题 Char2"/>
    <w:autoRedefine/>
    <w:qFormat/>
    <w:uiPriority w:val="11"/>
    <w:rPr>
      <w:rFonts w:ascii="Cambria" w:hAnsi="Cambria" w:eastAsia="宋体" w:cs="Times New Roman"/>
      <w:b/>
      <w:bCs/>
      <w:kern w:val="28"/>
      <w:sz w:val="32"/>
      <w:szCs w:val="32"/>
    </w:rPr>
  </w:style>
  <w:style w:type="character" w:customStyle="1" w:styleId="248">
    <w:name w:val="标题 8 字符"/>
    <w:autoRedefine/>
    <w:semiHidden/>
    <w:qFormat/>
    <w:uiPriority w:val="9"/>
    <w:rPr>
      <w:rFonts w:ascii="等线 Light" w:hAnsi="等线 Light" w:eastAsia="等线 Light" w:cs="Times New Roman"/>
      <w:kern w:val="2"/>
      <w:sz w:val="24"/>
      <w:szCs w:val="24"/>
    </w:rPr>
  </w:style>
  <w:style w:type="paragraph" w:customStyle="1" w:styleId="249">
    <w:name w:val="xl54"/>
    <w:basedOn w:val="78"/>
    <w:autoRedefine/>
    <w:qFormat/>
    <w:uiPriority w:val="0"/>
    <w:pPr>
      <w:pBdr>
        <w:top w:val="single" w:color="auto" w:sz="4" w:space="0"/>
        <w:left w:val="single" w:color="auto" w:sz="4" w:space="0"/>
        <w:bottom w:val="single" w:color="auto" w:sz="4" w:space="0"/>
        <w:right w:val="single" w:color="auto" w:sz="4" w:space="0"/>
      </w:pBdr>
      <w:jc w:val="center"/>
      <w:textAlignment w:val="auto"/>
    </w:pPr>
    <w:rPr>
      <w:rFonts w:ascii="Times New Roman" w:hAnsi="Times New Roman"/>
    </w:rPr>
  </w:style>
  <w:style w:type="paragraph" w:customStyle="1" w:styleId="250">
    <w:name w:val="样式 标题 2h2 + 黑色"/>
    <w:basedOn w:val="4"/>
    <w:autoRedefine/>
    <w:qFormat/>
    <w:uiPriority w:val="0"/>
    <w:pPr>
      <w:tabs>
        <w:tab w:val="center" w:pos="6804"/>
        <w:tab w:val="right" w:pos="7371"/>
      </w:tabs>
      <w:overflowPunct w:val="0"/>
      <w:adjustRightInd w:val="0"/>
      <w:spacing w:before="0" w:after="0" w:line="360" w:lineRule="auto"/>
      <w:ind w:left="567" w:hanging="567" w:firstLineChars="0"/>
      <w:textAlignment w:val="baseline"/>
    </w:pPr>
    <w:rPr>
      <w:rFonts w:ascii="Times New Roman" w:hAnsi="Times New Roman" w:cs="Times New Roman"/>
      <w:b/>
      <w:bCs/>
      <w:kern w:val="0"/>
      <w:sz w:val="24"/>
    </w:rPr>
  </w:style>
  <w:style w:type="paragraph" w:customStyle="1" w:styleId="251">
    <w:name w:val="样式 样式 样式 四号 行距: 多倍行距 1.45 字行2 + 首行缩进:  2 字符 + 首行缩进:  2 字符"/>
    <w:basedOn w:val="1"/>
    <w:autoRedefine/>
    <w:qFormat/>
    <w:uiPriority w:val="0"/>
    <w:pPr>
      <w:adjustRightInd w:val="0"/>
      <w:snapToGrid w:val="0"/>
      <w:spacing w:line="348" w:lineRule="auto"/>
      <w:ind w:firstLine="200"/>
      <w:textAlignment w:val="baseline"/>
    </w:pPr>
    <w:rPr>
      <w:rFonts w:cs="宋体"/>
      <w:kern w:val="0"/>
      <w:sz w:val="28"/>
    </w:rPr>
  </w:style>
  <w:style w:type="paragraph" w:customStyle="1" w:styleId="252">
    <w:name w:val="xl105"/>
    <w:basedOn w:val="78"/>
    <w:autoRedefine/>
    <w:qFormat/>
    <w:uiPriority w:val="0"/>
    <w:pPr>
      <w:jc w:val="center"/>
      <w:textAlignment w:val="auto"/>
    </w:pPr>
    <w:rPr>
      <w:rFonts w:ascii="Times New Roman" w:hAnsi="Times New Roman"/>
      <w:sz w:val="20"/>
    </w:rPr>
  </w:style>
  <w:style w:type="paragraph" w:customStyle="1" w:styleId="253">
    <w:name w:val="xl68"/>
    <w:basedOn w:val="78"/>
    <w:autoRedefine/>
    <w:qFormat/>
    <w:uiPriority w:val="0"/>
    <w:pPr>
      <w:pBdr>
        <w:top w:val="single" w:color="auto" w:sz="4" w:space="0"/>
        <w:left w:val="single" w:color="auto" w:sz="4" w:space="0"/>
        <w:right w:val="single" w:color="auto" w:sz="4" w:space="0"/>
      </w:pBdr>
      <w:jc w:val="center"/>
      <w:textAlignment w:val="center"/>
    </w:pPr>
    <w:rPr>
      <w:sz w:val="20"/>
    </w:rPr>
  </w:style>
  <w:style w:type="paragraph" w:customStyle="1" w:styleId="254">
    <w:name w:val="xl32"/>
    <w:basedOn w:val="78"/>
    <w:autoRedefine/>
    <w:qFormat/>
    <w:uiPriority w:val="0"/>
    <w:pPr>
      <w:pBdr>
        <w:top w:val="single" w:color="auto" w:sz="4" w:space="0"/>
        <w:left w:val="single" w:color="auto" w:sz="4" w:space="0"/>
        <w:bottom w:val="single" w:color="auto" w:sz="4" w:space="0"/>
        <w:right w:val="single" w:color="auto" w:sz="4" w:space="0"/>
      </w:pBdr>
      <w:jc w:val="center"/>
      <w:textAlignment w:val="center"/>
    </w:pPr>
    <w:rPr>
      <w:rFonts w:ascii="Times New Roman" w:hAnsi="Times New Roman"/>
      <w:b/>
      <w:sz w:val="20"/>
    </w:rPr>
  </w:style>
  <w:style w:type="paragraph" w:customStyle="1" w:styleId="255">
    <w:name w:val="List Paragraph2"/>
    <w:basedOn w:val="1"/>
    <w:link w:val="410"/>
    <w:autoRedefine/>
    <w:qFormat/>
    <w:uiPriority w:val="0"/>
    <w:pPr>
      <w:ind w:firstLine="420"/>
    </w:pPr>
    <w:rPr>
      <w:rFonts w:ascii="Times New Roman" w:hAnsi="Times New Roman" w:cs="Times New Roman"/>
      <w:sz w:val="21"/>
      <w:szCs w:val="21"/>
    </w:rPr>
  </w:style>
  <w:style w:type="paragraph" w:customStyle="1" w:styleId="256">
    <w:name w:val="xl45"/>
    <w:basedOn w:val="78"/>
    <w:autoRedefine/>
    <w:qFormat/>
    <w:uiPriority w:val="0"/>
    <w:pPr>
      <w:pBdr>
        <w:top w:val="single" w:color="auto" w:sz="4" w:space="0"/>
        <w:left w:val="single" w:color="auto" w:sz="4" w:space="0"/>
        <w:bottom w:val="single" w:color="auto" w:sz="4" w:space="0"/>
        <w:right w:val="single" w:color="auto" w:sz="4" w:space="0"/>
      </w:pBdr>
      <w:jc w:val="center"/>
      <w:textAlignment w:val="auto"/>
    </w:pPr>
    <w:rPr>
      <w:sz w:val="20"/>
    </w:rPr>
  </w:style>
  <w:style w:type="character" w:customStyle="1" w:styleId="257">
    <w:name w:val="正文首行缩进 Char Char Char Char1"/>
    <w:autoRedefine/>
    <w:qFormat/>
    <w:locked/>
    <w:uiPriority w:val="0"/>
    <w:rPr>
      <w:rFonts w:ascii="宋体" w:hAnsi="宋体" w:eastAsia="宋体"/>
      <w:kern w:val="2"/>
      <w:sz w:val="21"/>
      <w:szCs w:val="24"/>
      <w:lang w:bidi="ar-SA"/>
    </w:rPr>
  </w:style>
  <w:style w:type="paragraph" w:customStyle="1" w:styleId="258">
    <w:name w:val="xl66"/>
    <w:basedOn w:val="78"/>
    <w:autoRedefine/>
    <w:qFormat/>
    <w:uiPriority w:val="0"/>
    <w:pPr>
      <w:pBdr>
        <w:top w:val="single" w:color="auto" w:sz="4" w:space="0"/>
        <w:left w:val="single" w:color="auto" w:sz="4" w:space="0"/>
        <w:bottom w:val="single" w:color="auto" w:sz="4" w:space="0"/>
        <w:right w:val="single" w:color="auto" w:sz="4" w:space="0"/>
      </w:pBdr>
      <w:jc w:val="center"/>
      <w:textAlignment w:val="center"/>
    </w:pPr>
    <w:rPr>
      <w:rFonts w:ascii="Times New Roman" w:hAnsi="Times New Roman"/>
      <w:sz w:val="20"/>
    </w:rPr>
  </w:style>
  <w:style w:type="paragraph" w:customStyle="1" w:styleId="259">
    <w:name w:val="Char"/>
    <w:basedOn w:val="1"/>
    <w:autoRedefine/>
    <w:qFormat/>
    <w:uiPriority w:val="0"/>
  </w:style>
  <w:style w:type="paragraph" w:customStyle="1" w:styleId="260">
    <w:name w:val="表格"/>
    <w:basedOn w:val="1"/>
    <w:autoRedefine/>
    <w:qFormat/>
    <w:uiPriority w:val="0"/>
    <w:pPr>
      <w:tabs>
        <w:tab w:val="left" w:pos="1134"/>
      </w:tabs>
      <w:jc w:val="center"/>
    </w:pPr>
  </w:style>
  <w:style w:type="paragraph" w:customStyle="1" w:styleId="261">
    <w:name w:val="_Style 334"/>
    <w:next w:val="1"/>
    <w:autoRedefine/>
    <w:unhideWhenUsed/>
    <w:qFormat/>
    <w:uiPriority w:val="99"/>
    <w:pPr>
      <w:widowControl w:val="0"/>
      <w:ind w:firstLine="420" w:firstLineChars="200"/>
      <w:jc w:val="both"/>
    </w:pPr>
    <w:rPr>
      <w:rFonts w:ascii="Times New Roman" w:hAnsi="Times New Roman" w:eastAsia="宋体" w:cs="Times New Roman"/>
      <w:kern w:val="2"/>
      <w:sz w:val="21"/>
      <w:lang w:val="en-US" w:eastAsia="zh-CN" w:bidi="ar-SA"/>
    </w:rPr>
  </w:style>
  <w:style w:type="paragraph" w:customStyle="1" w:styleId="262">
    <w:name w:val="xl64"/>
    <w:basedOn w:val="78"/>
    <w:autoRedefine/>
    <w:qFormat/>
    <w:uiPriority w:val="0"/>
    <w:pPr>
      <w:pBdr>
        <w:top w:val="single" w:color="auto" w:sz="4" w:space="0"/>
        <w:left w:val="single" w:color="auto" w:sz="4" w:space="0"/>
        <w:bottom w:val="single" w:color="auto" w:sz="4" w:space="0"/>
        <w:right w:val="single" w:color="auto" w:sz="4" w:space="0"/>
      </w:pBdr>
      <w:shd w:val="clear" w:color="auto" w:fill="FFFF00"/>
      <w:jc w:val="center"/>
      <w:textAlignment w:val="auto"/>
    </w:pPr>
    <w:rPr>
      <w:rFonts w:ascii="Times New Roman" w:hAnsi="Times New Roman"/>
      <w:sz w:val="20"/>
    </w:rPr>
  </w:style>
  <w:style w:type="paragraph" w:customStyle="1" w:styleId="263">
    <w:name w:val="xl26"/>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264">
    <w:name w:val="Char Char17"/>
    <w:basedOn w:val="1"/>
    <w:next w:val="1"/>
    <w:autoRedefine/>
    <w:qFormat/>
    <w:uiPriority w:val="0"/>
    <w:pPr>
      <w:ind w:firstLine="200"/>
    </w:pPr>
    <w:rPr>
      <w:rFonts w:cs="宋体"/>
    </w:rPr>
  </w:style>
  <w:style w:type="paragraph" w:customStyle="1" w:styleId="265">
    <w:name w:val="Char Char Char"/>
    <w:basedOn w:val="1"/>
    <w:autoRedefine/>
    <w:qFormat/>
    <w:uiPriority w:val="0"/>
    <w:rPr>
      <w:rFonts w:ascii="Tahoma" w:hAnsi="Tahoma"/>
    </w:rPr>
  </w:style>
  <w:style w:type="character" w:customStyle="1" w:styleId="266">
    <w:name w:val="t_tag"/>
    <w:autoRedefine/>
    <w:qFormat/>
    <w:uiPriority w:val="0"/>
  </w:style>
  <w:style w:type="paragraph" w:customStyle="1" w:styleId="267">
    <w:name w:val="Normal_0"/>
    <w:autoRedefine/>
    <w:qFormat/>
    <w:uiPriority w:val="0"/>
    <w:pPr>
      <w:widowControl w:val="0"/>
      <w:adjustRightInd w:val="0"/>
      <w:spacing w:line="360" w:lineRule="atLeast"/>
    </w:pPr>
    <w:rPr>
      <w:rFonts w:ascii="宋体" w:hAnsi="Times New Roman" w:eastAsia="宋体" w:cs="Times New Roman"/>
      <w:sz w:val="34"/>
      <w:lang w:val="en-US" w:eastAsia="zh-CN" w:bidi="ar-SA"/>
    </w:rPr>
  </w:style>
  <w:style w:type="character" w:customStyle="1" w:styleId="268">
    <w:name w:val="正文首行缩进 Char2"/>
    <w:autoRedefine/>
    <w:semiHidden/>
    <w:qFormat/>
    <w:uiPriority w:val="99"/>
  </w:style>
  <w:style w:type="paragraph" w:customStyle="1" w:styleId="269">
    <w:name w:val="xl106"/>
    <w:basedOn w:val="78"/>
    <w:autoRedefine/>
    <w:qFormat/>
    <w:uiPriority w:val="0"/>
    <w:pPr>
      <w:textAlignment w:val="auto"/>
    </w:pPr>
    <w:rPr>
      <w:rFonts w:ascii="Times New Roman" w:hAnsi="Times New Roman"/>
    </w:rPr>
  </w:style>
  <w:style w:type="paragraph" w:customStyle="1" w:styleId="270">
    <w:name w:val="正文文本 213"/>
    <w:basedOn w:val="1"/>
    <w:autoRedefine/>
    <w:qFormat/>
    <w:uiPriority w:val="0"/>
    <w:pPr>
      <w:adjustRightInd w:val="0"/>
      <w:jc w:val="center"/>
    </w:pPr>
    <w:rPr>
      <w:kern w:val="0"/>
    </w:rPr>
  </w:style>
  <w:style w:type="character" w:customStyle="1" w:styleId="271">
    <w:name w:val="正文表格 Char Char"/>
    <w:autoRedefine/>
    <w:qFormat/>
    <w:uiPriority w:val="0"/>
    <w:rPr>
      <w:rFonts w:eastAsia="宋体"/>
      <w:sz w:val="28"/>
      <w:lang w:val="en-US" w:eastAsia="zh-CN" w:bidi="ar-SA"/>
    </w:rPr>
  </w:style>
  <w:style w:type="paragraph" w:customStyle="1" w:styleId="272">
    <w:name w:val="xl110"/>
    <w:basedOn w:val="78"/>
    <w:autoRedefine/>
    <w:qFormat/>
    <w:uiPriority w:val="0"/>
    <w:pPr>
      <w:jc w:val="center"/>
      <w:textAlignment w:val="auto"/>
    </w:pPr>
    <w:rPr>
      <w:rFonts w:ascii="Times New Roman" w:hAnsi="Times New Roman"/>
      <w:color w:val="FF6600"/>
    </w:rPr>
  </w:style>
  <w:style w:type="paragraph" w:customStyle="1" w:styleId="273">
    <w:name w:val="Char Char Char Char1"/>
    <w:basedOn w:val="1"/>
    <w:autoRedefine/>
    <w:qFormat/>
    <w:uiPriority w:val="0"/>
  </w:style>
  <w:style w:type="paragraph" w:customStyle="1" w:styleId="274">
    <w:name w:val="xl108"/>
    <w:basedOn w:val="78"/>
    <w:autoRedefine/>
    <w:qFormat/>
    <w:uiPriority w:val="0"/>
    <w:pPr>
      <w:textAlignment w:val="auto"/>
    </w:pPr>
    <w:rPr>
      <w:rFonts w:ascii="Times New Roman" w:hAnsi="Times New Roman"/>
      <w:sz w:val="20"/>
    </w:rPr>
  </w:style>
  <w:style w:type="paragraph" w:customStyle="1" w:styleId="275">
    <w:name w:val="Char Char Char Char Char Char Char21"/>
    <w:basedOn w:val="1"/>
    <w:autoRedefine/>
    <w:qFormat/>
    <w:uiPriority w:val="0"/>
  </w:style>
  <w:style w:type="paragraph" w:customStyle="1" w:styleId="276">
    <w:name w:val="a)"/>
    <w:basedOn w:val="1"/>
    <w:autoRedefine/>
    <w:qFormat/>
    <w:uiPriority w:val="0"/>
  </w:style>
  <w:style w:type="paragraph" w:customStyle="1" w:styleId="277">
    <w:name w:val="ccs正文"/>
    <w:basedOn w:val="1"/>
    <w:autoRedefine/>
    <w:qFormat/>
    <w:uiPriority w:val="0"/>
  </w:style>
  <w:style w:type="character" w:customStyle="1" w:styleId="278">
    <w:name w:val="headline-content2"/>
    <w:autoRedefine/>
    <w:qFormat/>
    <w:uiPriority w:val="0"/>
  </w:style>
  <w:style w:type="paragraph" w:customStyle="1" w:styleId="279">
    <w:name w:val="font18"/>
    <w:basedOn w:val="1"/>
    <w:autoRedefine/>
    <w:qFormat/>
    <w:uiPriority w:val="0"/>
    <w:pPr>
      <w:widowControl/>
      <w:spacing w:before="100" w:beforeAutospacing="1" w:after="100" w:afterAutospacing="1"/>
    </w:pPr>
    <w:rPr>
      <w:kern w:val="0"/>
      <w:sz w:val="22"/>
    </w:rPr>
  </w:style>
  <w:style w:type="paragraph" w:customStyle="1" w:styleId="280">
    <w:name w:val="5"/>
    <w:next w:val="1"/>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81">
    <w:name w:val="正文文本 2 Char"/>
    <w:link w:val="54"/>
    <w:autoRedefine/>
    <w:qFormat/>
    <w:uiPriority w:val="0"/>
    <w:rPr>
      <w:rFonts w:eastAsia="仿宋_GB2312"/>
      <w:sz w:val="28"/>
      <w:szCs w:val="24"/>
    </w:rPr>
  </w:style>
  <w:style w:type="paragraph" w:customStyle="1" w:styleId="282">
    <w:name w:val="font13"/>
    <w:basedOn w:val="1"/>
    <w:autoRedefine/>
    <w:qFormat/>
    <w:uiPriority w:val="0"/>
    <w:pPr>
      <w:widowControl/>
      <w:spacing w:before="100" w:beforeAutospacing="1" w:after="100" w:afterAutospacing="1"/>
    </w:pPr>
    <w:rPr>
      <w:kern w:val="0"/>
      <w:sz w:val="20"/>
    </w:rPr>
  </w:style>
  <w:style w:type="character" w:customStyle="1" w:styleId="283">
    <w:name w:val="批注文字 Char1"/>
    <w:autoRedefine/>
    <w:semiHidden/>
    <w:qFormat/>
    <w:uiPriority w:val="99"/>
    <w:rPr>
      <w:rFonts w:ascii="Times New Roman" w:hAnsi="Times New Roman" w:eastAsia="宋体" w:cs="Times New Roman"/>
      <w:szCs w:val="20"/>
    </w:rPr>
  </w:style>
  <w:style w:type="character" w:customStyle="1" w:styleId="284">
    <w:name w:val="批注文字 Char"/>
    <w:link w:val="22"/>
    <w:autoRedefine/>
    <w:qFormat/>
    <w:locked/>
    <w:uiPriority w:val="99"/>
    <w:rPr>
      <w:rFonts w:ascii="Calibri" w:hAnsi="Calibri" w:eastAsia="宋体"/>
      <w:kern w:val="2"/>
      <w:sz w:val="21"/>
      <w:szCs w:val="22"/>
      <w:lang w:val="en-US" w:eastAsia="zh-CN" w:bidi="ar-SA"/>
    </w:rPr>
  </w:style>
  <w:style w:type="paragraph" w:customStyle="1" w:styleId="285">
    <w:name w:val="正文首行缩进13"/>
    <w:basedOn w:val="26"/>
    <w:autoRedefine/>
    <w:qFormat/>
    <w:uiPriority w:val="0"/>
    <w:pPr>
      <w:tabs>
        <w:tab w:val="clear" w:pos="630"/>
      </w:tabs>
      <w:adjustRightInd w:val="0"/>
      <w:spacing w:line="312" w:lineRule="auto"/>
      <w:ind w:firstLine="567"/>
      <w:textAlignment w:val="baseline"/>
    </w:pPr>
    <w:rPr>
      <w:rFonts w:ascii="Calibri" w:hAnsi="Calibri"/>
      <w:kern w:val="0"/>
      <w:szCs w:val="22"/>
    </w:rPr>
  </w:style>
  <w:style w:type="paragraph" w:customStyle="1" w:styleId="286">
    <w:name w:val="zwwz"/>
    <w:basedOn w:val="1"/>
    <w:autoRedefine/>
    <w:qFormat/>
    <w:uiPriority w:val="0"/>
    <w:pPr>
      <w:adjustRightInd w:val="0"/>
      <w:ind w:firstLine="567"/>
      <w:textAlignment w:val="baseline"/>
    </w:pPr>
    <w:rPr>
      <w:spacing w:val="10"/>
      <w:kern w:val="0"/>
      <w:sz w:val="28"/>
      <w:szCs w:val="28"/>
    </w:rPr>
  </w:style>
  <w:style w:type="character" w:customStyle="1" w:styleId="287">
    <w:name w:val="apple-converted-space"/>
    <w:autoRedefine/>
    <w:qFormat/>
    <w:uiPriority w:val="0"/>
  </w:style>
  <w:style w:type="paragraph" w:customStyle="1" w:styleId="288">
    <w:name w:val="xl103"/>
    <w:basedOn w:val="78"/>
    <w:autoRedefine/>
    <w:qFormat/>
    <w:uiPriority w:val="0"/>
    <w:pPr>
      <w:textAlignment w:val="center"/>
    </w:pPr>
    <w:rPr>
      <w:rFonts w:ascii="Times New Roman" w:hAnsi="Times New Roman"/>
      <w:sz w:val="20"/>
    </w:rPr>
  </w:style>
  <w:style w:type="paragraph" w:customStyle="1" w:styleId="289">
    <w:name w:val="xl116"/>
    <w:basedOn w:val="78"/>
    <w:autoRedefine/>
    <w:qFormat/>
    <w:uiPriority w:val="0"/>
    <w:pPr>
      <w:pBdr>
        <w:bottom w:val="single" w:color="auto" w:sz="4" w:space="0"/>
      </w:pBdr>
      <w:jc w:val="center"/>
      <w:textAlignment w:val="center"/>
    </w:pPr>
    <w:rPr>
      <w:sz w:val="20"/>
    </w:rPr>
  </w:style>
  <w:style w:type="character" w:customStyle="1" w:styleId="290">
    <w:name w:val="批注主题 Char"/>
    <w:autoRedefine/>
    <w:qFormat/>
    <w:locked/>
    <w:uiPriority w:val="0"/>
    <w:rPr>
      <w:rFonts w:ascii="宋体" w:hAnsi="宋体" w:eastAsia="宋体"/>
      <w:b/>
      <w:bCs/>
      <w:kern w:val="2"/>
      <w:sz w:val="21"/>
      <w:szCs w:val="24"/>
      <w:lang w:val="en-US" w:eastAsia="zh-CN" w:bidi="ar-SA"/>
    </w:rPr>
  </w:style>
  <w:style w:type="character" w:customStyle="1" w:styleId="291">
    <w:name w:val="样式1 Char"/>
    <w:link w:val="73"/>
    <w:autoRedefine/>
    <w:qFormat/>
    <w:uiPriority w:val="0"/>
    <w:rPr>
      <w:rFonts w:ascii="宋体" w:hAnsi="宋体" w:eastAsia="宋体"/>
      <w:kern w:val="2"/>
      <w:sz w:val="24"/>
      <w:lang w:val="en-US" w:eastAsia="zh-CN" w:bidi="ar-SA"/>
    </w:rPr>
  </w:style>
  <w:style w:type="paragraph" w:customStyle="1" w:styleId="292">
    <w:name w:val="xl96"/>
    <w:basedOn w:val="78"/>
    <w:autoRedefine/>
    <w:qFormat/>
    <w:uiPriority w:val="0"/>
    <w:pPr>
      <w:jc w:val="center"/>
      <w:textAlignment w:val="center"/>
    </w:pPr>
  </w:style>
  <w:style w:type="paragraph" w:customStyle="1" w:styleId="293">
    <w:name w:val="Body Text First Indent1"/>
    <w:basedOn w:val="26"/>
    <w:autoRedefine/>
    <w:qFormat/>
    <w:uiPriority w:val="0"/>
    <w:pPr>
      <w:tabs>
        <w:tab w:val="clear" w:pos="630"/>
      </w:tabs>
      <w:adjustRightInd w:val="0"/>
      <w:spacing w:line="312" w:lineRule="auto"/>
      <w:ind w:firstLine="567"/>
    </w:pPr>
    <w:rPr>
      <w:kern w:val="0"/>
    </w:rPr>
  </w:style>
  <w:style w:type="paragraph" w:customStyle="1" w:styleId="294">
    <w:name w:val="xl50"/>
    <w:basedOn w:val="78"/>
    <w:autoRedefine/>
    <w:qFormat/>
    <w:uiPriority w:val="0"/>
    <w:pPr>
      <w:pBdr>
        <w:top w:val="single" w:color="auto" w:sz="4" w:space="0"/>
        <w:left w:val="single" w:color="auto" w:sz="4" w:space="0"/>
        <w:bottom w:val="single" w:color="auto" w:sz="4" w:space="0"/>
        <w:right w:val="single" w:color="auto" w:sz="4" w:space="0"/>
      </w:pBdr>
      <w:jc w:val="center"/>
      <w:textAlignment w:val="center"/>
    </w:pPr>
    <w:rPr>
      <w:rFonts w:ascii="Times New Roman" w:hAnsi="Times New Roman"/>
      <w:sz w:val="20"/>
    </w:rPr>
  </w:style>
  <w:style w:type="character" w:customStyle="1" w:styleId="295">
    <w:name w:val="样式 宋体 小四 Char"/>
    <w:autoRedefine/>
    <w:qFormat/>
    <w:uiPriority w:val="0"/>
    <w:rPr>
      <w:rFonts w:ascii="宋体" w:hAnsi="宋体" w:eastAsia="宋体"/>
      <w:kern w:val="2"/>
      <w:sz w:val="24"/>
      <w:lang w:val="en-US" w:eastAsia="zh-CN"/>
    </w:rPr>
  </w:style>
  <w:style w:type="paragraph" w:customStyle="1" w:styleId="296">
    <w:name w:val="xl43"/>
    <w:basedOn w:val="78"/>
    <w:autoRedefine/>
    <w:qFormat/>
    <w:uiPriority w:val="0"/>
    <w:pPr>
      <w:pBdr>
        <w:top w:val="single" w:color="auto" w:sz="4" w:space="0"/>
        <w:left w:val="single" w:color="auto" w:sz="4" w:space="0"/>
        <w:bottom w:val="single" w:color="auto" w:sz="4" w:space="0"/>
        <w:right w:val="single" w:color="auto" w:sz="4" w:space="0"/>
      </w:pBdr>
      <w:textAlignment w:val="auto"/>
    </w:pPr>
  </w:style>
  <w:style w:type="paragraph" w:customStyle="1" w:styleId="297">
    <w:name w:val="Char Char133"/>
    <w:basedOn w:val="1"/>
    <w:autoRedefine/>
    <w:qFormat/>
    <w:uiPriority w:val="0"/>
  </w:style>
  <w:style w:type="paragraph" w:customStyle="1" w:styleId="298">
    <w:name w:val="Default"/>
    <w:autoRedefine/>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299">
    <w:name w:val="正文文本 字符"/>
    <w:autoRedefine/>
    <w:semiHidden/>
    <w:qFormat/>
    <w:uiPriority w:val="99"/>
    <w:rPr>
      <w:kern w:val="2"/>
      <w:sz w:val="21"/>
      <w:szCs w:val="22"/>
    </w:rPr>
  </w:style>
  <w:style w:type="paragraph" w:customStyle="1" w:styleId="300">
    <w:name w:val="xl72"/>
    <w:basedOn w:val="78"/>
    <w:autoRedefine/>
    <w:qFormat/>
    <w:uiPriority w:val="0"/>
    <w:pPr>
      <w:shd w:val="clear" w:color="auto" w:fill="FFFF99"/>
      <w:jc w:val="center"/>
      <w:textAlignment w:val="center"/>
    </w:pPr>
    <w:rPr>
      <w:b/>
      <w:sz w:val="20"/>
    </w:rPr>
  </w:style>
  <w:style w:type="character" w:customStyle="1" w:styleId="301">
    <w:name w:val="正文文本 3 Char"/>
    <w:link w:val="24"/>
    <w:autoRedefine/>
    <w:qFormat/>
    <w:uiPriority w:val="0"/>
    <w:rPr>
      <w:rFonts w:ascii="宋体"/>
      <w:color w:val="000000"/>
      <w:kern w:val="2"/>
      <w:sz w:val="28"/>
    </w:rPr>
  </w:style>
  <w:style w:type="paragraph" w:customStyle="1" w:styleId="302">
    <w:name w:val="xl76"/>
    <w:basedOn w:val="78"/>
    <w:autoRedefine/>
    <w:qFormat/>
    <w:uiPriority w:val="0"/>
    <w:pPr>
      <w:textAlignment w:val="center"/>
    </w:pPr>
    <w:rPr>
      <w:rFonts w:ascii="Times New Roman" w:hAnsi="Times New Roman"/>
      <w:sz w:val="20"/>
    </w:rPr>
  </w:style>
  <w:style w:type="paragraph" w:customStyle="1" w:styleId="303">
    <w:name w:val="xl88"/>
    <w:basedOn w:val="78"/>
    <w:autoRedefine/>
    <w:qFormat/>
    <w:uiPriority w:val="0"/>
    <w:pPr>
      <w:shd w:val="clear" w:color="auto" w:fill="FFFF99"/>
      <w:jc w:val="center"/>
      <w:textAlignment w:val="center"/>
    </w:pPr>
    <w:rPr>
      <w:b/>
      <w:sz w:val="20"/>
    </w:rPr>
  </w:style>
  <w:style w:type="paragraph" w:customStyle="1" w:styleId="304">
    <w:name w:val="列出段落12"/>
    <w:basedOn w:val="1"/>
    <w:autoRedefine/>
    <w:qFormat/>
    <w:uiPriority w:val="0"/>
    <w:pPr>
      <w:ind w:firstLine="420"/>
    </w:pPr>
    <w:rPr>
      <w:szCs w:val="21"/>
    </w:rPr>
  </w:style>
  <w:style w:type="character" w:customStyle="1" w:styleId="305">
    <w:name w:val="标题 6 Char"/>
    <w:link w:val="9"/>
    <w:autoRedefine/>
    <w:qFormat/>
    <w:locked/>
    <w:uiPriority w:val="0"/>
    <w:rPr>
      <w:rFonts w:ascii="Arial" w:hAnsi="Arial" w:eastAsia="黑体"/>
      <w:b/>
      <w:sz w:val="24"/>
    </w:rPr>
  </w:style>
  <w:style w:type="character" w:customStyle="1" w:styleId="306">
    <w:name w:val="标题 1 字符"/>
    <w:autoRedefine/>
    <w:qFormat/>
    <w:uiPriority w:val="9"/>
    <w:rPr>
      <w:b/>
      <w:bCs/>
      <w:kern w:val="44"/>
      <w:sz w:val="44"/>
      <w:szCs w:val="44"/>
    </w:rPr>
  </w:style>
  <w:style w:type="character" w:customStyle="1" w:styleId="307">
    <w:name w:val="轧制表2 Char Char"/>
    <w:autoRedefine/>
    <w:qFormat/>
    <w:uiPriority w:val="0"/>
    <w:rPr>
      <w:rFonts w:ascii="宋体" w:hAnsi="Courier New" w:cs="宋体"/>
      <w:kern w:val="2"/>
      <w:sz w:val="21"/>
      <w:szCs w:val="21"/>
    </w:rPr>
  </w:style>
  <w:style w:type="character" w:customStyle="1" w:styleId="308">
    <w:name w:val="页脚 Char"/>
    <w:link w:val="39"/>
    <w:autoRedefine/>
    <w:qFormat/>
    <w:locked/>
    <w:uiPriority w:val="99"/>
    <w:rPr>
      <w:rFonts w:eastAsia="宋体"/>
      <w:kern w:val="2"/>
      <w:sz w:val="18"/>
      <w:lang w:val="en-US" w:eastAsia="zh-CN" w:bidi="ar-SA"/>
    </w:rPr>
  </w:style>
  <w:style w:type="character" w:customStyle="1" w:styleId="309">
    <w:name w:val="Char Char12"/>
    <w:autoRedefine/>
    <w:qFormat/>
    <w:uiPriority w:val="0"/>
    <w:rPr>
      <w:rFonts w:ascii="Times New Roman" w:hAnsi="Times New Roman"/>
      <w:b/>
      <w:bCs/>
      <w:sz w:val="24"/>
      <w:szCs w:val="24"/>
    </w:rPr>
  </w:style>
  <w:style w:type="character" w:customStyle="1" w:styleId="310">
    <w:name w:val="我的正文 Char"/>
    <w:link w:val="311"/>
    <w:autoRedefine/>
    <w:qFormat/>
    <w:locked/>
    <w:uiPriority w:val="0"/>
    <w:rPr>
      <w:rFonts w:ascii="宋体" w:hAnsi="宋体" w:eastAsia="宋体"/>
      <w:kern w:val="2"/>
      <w:sz w:val="28"/>
      <w:szCs w:val="28"/>
      <w:lang w:bidi="ar-SA"/>
    </w:rPr>
  </w:style>
  <w:style w:type="paragraph" w:customStyle="1" w:styleId="311">
    <w:name w:val="我的正文"/>
    <w:basedOn w:val="1"/>
    <w:link w:val="310"/>
    <w:autoRedefine/>
    <w:qFormat/>
    <w:uiPriority w:val="0"/>
    <w:rPr>
      <w:rFonts w:cs="Times New Roman"/>
      <w:sz w:val="28"/>
      <w:szCs w:val="28"/>
    </w:rPr>
  </w:style>
  <w:style w:type="paragraph" w:customStyle="1" w:styleId="312">
    <w:name w:val="xl70"/>
    <w:basedOn w:val="78"/>
    <w:autoRedefine/>
    <w:qFormat/>
    <w:uiPriority w:val="0"/>
    <w:pPr>
      <w:jc w:val="center"/>
      <w:textAlignment w:val="center"/>
    </w:pPr>
    <w:rPr>
      <w:sz w:val="20"/>
    </w:rPr>
  </w:style>
  <w:style w:type="character" w:customStyle="1" w:styleId="313">
    <w:name w:val="样式 样式 样式 我的正文 + 首行缩进:  2 字符2 + 首行缩进:  2 字符 + 首行缩进:  2 字符 Char"/>
    <w:link w:val="314"/>
    <w:autoRedefine/>
    <w:qFormat/>
    <w:locked/>
    <w:uiPriority w:val="0"/>
    <w:rPr>
      <w:rFonts w:ascii="宋体" w:hAnsi="宋体" w:eastAsia="宋体"/>
      <w:sz w:val="28"/>
      <w:lang w:bidi="ar-SA"/>
    </w:rPr>
  </w:style>
  <w:style w:type="paragraph" w:customStyle="1" w:styleId="314">
    <w:name w:val="样式 样式 样式 我的正文 + 首行缩进:  2 字符2 + 首行缩进:  2 字符 + 首行缩进:  2 字符"/>
    <w:basedOn w:val="1"/>
    <w:link w:val="313"/>
    <w:autoRedefine/>
    <w:qFormat/>
    <w:uiPriority w:val="0"/>
    <w:pPr>
      <w:spacing w:line="600" w:lineRule="exact"/>
      <w:ind w:firstLine="560"/>
    </w:pPr>
    <w:rPr>
      <w:rFonts w:cs="Times New Roman"/>
      <w:kern w:val="0"/>
      <w:sz w:val="28"/>
      <w:szCs w:val="20"/>
    </w:rPr>
  </w:style>
  <w:style w:type="paragraph" w:customStyle="1" w:styleId="315">
    <w:name w:val="xl87"/>
    <w:basedOn w:val="78"/>
    <w:autoRedefine/>
    <w:qFormat/>
    <w:uiPriority w:val="0"/>
    <w:pPr>
      <w:textAlignment w:val="center"/>
    </w:pPr>
    <w:rPr>
      <w:sz w:val="20"/>
    </w:rPr>
  </w:style>
  <w:style w:type="paragraph" w:customStyle="1" w:styleId="316">
    <w:name w:val="xl38"/>
    <w:basedOn w:val="78"/>
    <w:autoRedefine/>
    <w:qFormat/>
    <w:uiPriority w:val="0"/>
    <w:pPr>
      <w:pBdr>
        <w:top w:val="single" w:color="auto" w:sz="4" w:space="0"/>
        <w:left w:val="single" w:color="auto" w:sz="4" w:space="0"/>
        <w:bottom w:val="single" w:color="auto" w:sz="4" w:space="0"/>
        <w:right w:val="single" w:color="auto" w:sz="4" w:space="0"/>
      </w:pBdr>
      <w:jc w:val="center"/>
      <w:textAlignment w:val="center"/>
    </w:pPr>
    <w:rPr>
      <w:rFonts w:ascii="Times New Roman" w:hAnsi="Times New Roman"/>
      <w:sz w:val="20"/>
    </w:rPr>
  </w:style>
  <w:style w:type="paragraph" w:customStyle="1" w:styleId="317">
    <w:name w:val="xl109"/>
    <w:basedOn w:val="78"/>
    <w:autoRedefine/>
    <w:qFormat/>
    <w:uiPriority w:val="0"/>
    <w:pPr>
      <w:shd w:val="clear" w:color="auto" w:fill="FFFF99"/>
      <w:jc w:val="center"/>
      <w:textAlignment w:val="auto"/>
    </w:pPr>
    <w:rPr>
      <w:b/>
      <w:sz w:val="20"/>
    </w:rPr>
  </w:style>
  <w:style w:type="character" w:customStyle="1" w:styleId="318">
    <w:name w:val="设计 正文 Char"/>
    <w:link w:val="319"/>
    <w:autoRedefine/>
    <w:qFormat/>
    <w:uiPriority w:val="0"/>
    <w:rPr>
      <w:kern w:val="2"/>
      <w:sz w:val="28"/>
      <w:szCs w:val="28"/>
    </w:rPr>
  </w:style>
  <w:style w:type="paragraph" w:customStyle="1" w:styleId="319">
    <w:name w:val="设计 正文"/>
    <w:basedOn w:val="1"/>
    <w:link w:val="318"/>
    <w:autoRedefine/>
    <w:qFormat/>
    <w:uiPriority w:val="0"/>
    <w:pPr>
      <w:adjustRightInd w:val="0"/>
      <w:snapToGrid w:val="0"/>
      <w:spacing w:line="312" w:lineRule="auto"/>
      <w:ind w:firstLine="200"/>
    </w:pPr>
    <w:rPr>
      <w:rFonts w:ascii="Times New Roman" w:hAnsi="Times New Roman" w:cs="Times New Roman"/>
      <w:sz w:val="28"/>
      <w:szCs w:val="28"/>
    </w:rPr>
  </w:style>
  <w:style w:type="paragraph" w:customStyle="1" w:styleId="320">
    <w:name w:val="正文表格1"/>
    <w:basedOn w:val="1"/>
    <w:autoRedefine/>
    <w:qFormat/>
    <w:uiPriority w:val="0"/>
    <w:pPr>
      <w:keepNext/>
      <w:adjustRightInd w:val="0"/>
      <w:textAlignment w:val="baseline"/>
    </w:pPr>
    <w:rPr>
      <w:rFonts w:ascii="Arial" w:hAnsi="Arial" w:cs="宋体"/>
      <w:kern w:val="28"/>
    </w:rPr>
  </w:style>
  <w:style w:type="paragraph" w:customStyle="1" w:styleId="321">
    <w:name w:val="样式 左侧:  0.49 厘米 右侧:  0.49 厘米"/>
    <w:basedOn w:val="1"/>
    <w:autoRedefine/>
    <w:qFormat/>
    <w:uiPriority w:val="0"/>
    <w:pPr>
      <w:tabs>
        <w:tab w:val="left" w:pos="1134"/>
        <w:tab w:val="left" w:pos="3100"/>
        <w:tab w:val="right" w:pos="7371"/>
      </w:tabs>
      <w:overflowPunct w:val="0"/>
      <w:adjustRightInd w:val="0"/>
      <w:ind w:firstLine="567"/>
      <w:textAlignment w:val="baseline"/>
    </w:pPr>
    <w:rPr>
      <w:rFonts w:cs="宋体"/>
      <w:kern w:val="0"/>
      <w:sz w:val="28"/>
    </w:rPr>
  </w:style>
  <w:style w:type="character" w:customStyle="1" w:styleId="322">
    <w:name w:val="正文文本 Char"/>
    <w:link w:val="26"/>
    <w:autoRedefine/>
    <w:qFormat/>
    <w:locked/>
    <w:uiPriority w:val="0"/>
    <w:rPr>
      <w:rFonts w:eastAsia="宋体"/>
      <w:kern w:val="2"/>
      <w:sz w:val="28"/>
      <w:lang w:val="en-US" w:eastAsia="zh-CN" w:bidi="ar-SA"/>
    </w:rPr>
  </w:style>
  <w:style w:type="paragraph" w:customStyle="1" w:styleId="323">
    <w:name w:val="Char4"/>
    <w:basedOn w:val="1"/>
    <w:autoRedefine/>
    <w:qFormat/>
    <w:uiPriority w:val="0"/>
    <w:rPr>
      <w:rFonts w:ascii="Tahoma" w:hAnsi="Tahoma"/>
    </w:rPr>
  </w:style>
  <w:style w:type="character" w:customStyle="1" w:styleId="324">
    <w:name w:val="日期 Char"/>
    <w:link w:val="36"/>
    <w:autoRedefine/>
    <w:qFormat/>
    <w:locked/>
    <w:uiPriority w:val="0"/>
    <w:rPr>
      <w:rFonts w:eastAsia="黑体"/>
      <w:b/>
      <w:bCs/>
      <w:sz w:val="36"/>
    </w:rPr>
  </w:style>
  <w:style w:type="paragraph" w:customStyle="1" w:styleId="325">
    <w:name w:val="xl85"/>
    <w:basedOn w:val="78"/>
    <w:autoRedefine/>
    <w:qFormat/>
    <w:uiPriority w:val="0"/>
    <w:pPr>
      <w:jc w:val="center"/>
      <w:textAlignment w:val="center"/>
    </w:pPr>
    <w:rPr>
      <w:rFonts w:ascii="Times New Roman" w:hAnsi="Times New Roman"/>
      <w:sz w:val="20"/>
    </w:rPr>
  </w:style>
  <w:style w:type="paragraph" w:customStyle="1" w:styleId="326">
    <w:name w:val="表题"/>
    <w:basedOn w:val="1"/>
    <w:autoRedefine/>
    <w:qFormat/>
    <w:uiPriority w:val="0"/>
    <w:pPr>
      <w:spacing w:before="156" w:after="62"/>
      <w:jc w:val="center"/>
    </w:pPr>
    <w:rPr>
      <w:rFonts w:cs="宋体"/>
      <w:b/>
      <w:bCs/>
    </w:rPr>
  </w:style>
  <w:style w:type="paragraph" w:customStyle="1" w:styleId="327">
    <w:name w:val="Char Char Char1 Char Char Char Char Char Char Char Char Char1 Char"/>
    <w:basedOn w:val="1"/>
    <w:autoRedefine/>
    <w:qFormat/>
    <w:uiPriority w:val="0"/>
    <w:rPr>
      <w:szCs w:val="21"/>
    </w:rPr>
  </w:style>
  <w:style w:type="character" w:customStyle="1" w:styleId="328">
    <w:name w:val="标题 6 字符"/>
    <w:autoRedefine/>
    <w:semiHidden/>
    <w:qFormat/>
    <w:uiPriority w:val="9"/>
    <w:rPr>
      <w:rFonts w:ascii="等线 Light" w:hAnsi="等线 Light" w:eastAsia="等线 Light" w:cs="Times New Roman"/>
      <w:b/>
      <w:bCs/>
      <w:kern w:val="2"/>
      <w:sz w:val="24"/>
      <w:szCs w:val="24"/>
    </w:rPr>
  </w:style>
  <w:style w:type="paragraph" w:customStyle="1" w:styleId="329">
    <w:name w:val="样式 宋体 四号 首行缩进:  0.99 厘米 行距: 1.5 倍行距"/>
    <w:basedOn w:val="1"/>
    <w:autoRedefine/>
    <w:qFormat/>
    <w:uiPriority w:val="0"/>
    <w:pPr>
      <w:ind w:firstLine="538" w:firstLineChars="192"/>
    </w:pPr>
    <w:rPr>
      <w:bCs/>
      <w:caps/>
      <w:sz w:val="28"/>
      <w:szCs w:val="32"/>
    </w:rPr>
  </w:style>
  <w:style w:type="character" w:customStyle="1" w:styleId="330">
    <w:name w:val="标题4 Char"/>
    <w:link w:val="331"/>
    <w:autoRedefine/>
    <w:qFormat/>
    <w:uiPriority w:val="0"/>
    <w:rPr>
      <w:rFonts w:ascii="宋体" w:hAnsi="宋体"/>
      <w:kern w:val="2"/>
      <w:sz w:val="24"/>
      <w:szCs w:val="28"/>
    </w:rPr>
  </w:style>
  <w:style w:type="paragraph" w:customStyle="1" w:styleId="331">
    <w:name w:val="标题4"/>
    <w:basedOn w:val="145"/>
    <w:next w:val="1"/>
    <w:link w:val="330"/>
    <w:autoRedefine/>
    <w:qFormat/>
    <w:uiPriority w:val="0"/>
  </w:style>
  <w:style w:type="paragraph" w:customStyle="1" w:styleId="332">
    <w:name w:val="正文1"/>
    <w:autoRedefine/>
    <w:qFormat/>
    <w:uiPriority w:val="0"/>
    <w:pPr>
      <w:widowControl w:val="0"/>
      <w:adjustRightInd w:val="0"/>
      <w:spacing w:line="360" w:lineRule="atLeast"/>
    </w:pPr>
    <w:rPr>
      <w:rFonts w:ascii="宋体" w:hAnsi="Times New Roman" w:eastAsia="宋体" w:cs="Times New Roman"/>
      <w:sz w:val="34"/>
      <w:lang w:val="en-US" w:eastAsia="zh-CN" w:bidi="ar-SA"/>
    </w:rPr>
  </w:style>
  <w:style w:type="character" w:customStyle="1" w:styleId="333">
    <w:name w:val="Char Char1411"/>
    <w:autoRedefine/>
    <w:qFormat/>
    <w:uiPriority w:val="0"/>
    <w:rPr>
      <w:rFonts w:ascii="Times New Roman" w:hAnsi="Times New Roman"/>
      <w:color w:val="008000"/>
      <w:sz w:val="24"/>
      <w:szCs w:val="24"/>
    </w:rPr>
  </w:style>
  <w:style w:type="character" w:customStyle="1" w:styleId="334">
    <w:name w:val="Char Char101"/>
    <w:autoRedefine/>
    <w:qFormat/>
    <w:uiPriority w:val="0"/>
    <w:rPr>
      <w:rFonts w:ascii="Arial" w:hAnsi="Arial" w:eastAsia="黑体" w:cs="Arial"/>
      <w:sz w:val="21"/>
      <w:szCs w:val="21"/>
    </w:rPr>
  </w:style>
  <w:style w:type="paragraph" w:customStyle="1" w:styleId="335">
    <w:name w:val="xl69"/>
    <w:basedOn w:val="78"/>
    <w:autoRedefine/>
    <w:qFormat/>
    <w:uiPriority w:val="0"/>
    <w:pPr>
      <w:pBdr>
        <w:top w:val="single" w:color="auto" w:sz="4" w:space="0"/>
        <w:left w:val="single" w:color="auto" w:sz="4" w:space="0"/>
        <w:right w:val="single" w:color="auto" w:sz="4" w:space="0"/>
      </w:pBdr>
      <w:jc w:val="center"/>
      <w:textAlignment w:val="center"/>
    </w:pPr>
    <w:rPr>
      <w:sz w:val="20"/>
    </w:rPr>
  </w:style>
  <w:style w:type="character" w:customStyle="1" w:styleId="336">
    <w:name w:val="明显引用 Char1"/>
    <w:autoRedefine/>
    <w:qFormat/>
    <w:uiPriority w:val="0"/>
    <w:rPr>
      <w:b/>
      <w:bCs/>
      <w:i/>
      <w:iCs/>
      <w:color w:val="4F81BD"/>
    </w:rPr>
  </w:style>
  <w:style w:type="character" w:customStyle="1" w:styleId="337">
    <w:name w:val="标题 5 字符"/>
    <w:autoRedefine/>
    <w:semiHidden/>
    <w:qFormat/>
    <w:uiPriority w:val="9"/>
    <w:rPr>
      <w:b/>
      <w:bCs/>
      <w:kern w:val="2"/>
      <w:sz w:val="28"/>
      <w:szCs w:val="28"/>
    </w:rPr>
  </w:style>
  <w:style w:type="paragraph" w:customStyle="1" w:styleId="338">
    <w:name w:val="xl77"/>
    <w:basedOn w:val="78"/>
    <w:autoRedefine/>
    <w:qFormat/>
    <w:uiPriority w:val="0"/>
    <w:pPr>
      <w:jc w:val="center"/>
      <w:textAlignment w:val="center"/>
    </w:pPr>
    <w:rPr>
      <w:sz w:val="20"/>
    </w:rPr>
  </w:style>
  <w:style w:type="character" w:customStyle="1" w:styleId="339">
    <w:name w:val="明显引用 Char2"/>
    <w:autoRedefine/>
    <w:qFormat/>
    <w:uiPriority w:val="30"/>
    <w:rPr>
      <w:rFonts w:ascii="Times New Roman" w:hAnsi="Times New Roman" w:eastAsia="宋体" w:cs="Times New Roman"/>
      <w:b/>
      <w:bCs/>
      <w:i/>
      <w:iCs/>
      <w:color w:val="4F81BD"/>
      <w:szCs w:val="20"/>
    </w:rPr>
  </w:style>
  <w:style w:type="character" w:customStyle="1" w:styleId="340">
    <w:name w:val="标题2 Char"/>
    <w:link w:val="148"/>
    <w:autoRedefine/>
    <w:qFormat/>
    <w:locked/>
    <w:uiPriority w:val="0"/>
    <w:rPr>
      <w:b/>
      <w:bCs/>
      <w:kern w:val="44"/>
      <w:sz w:val="36"/>
      <w:szCs w:val="44"/>
    </w:rPr>
  </w:style>
  <w:style w:type="character" w:customStyle="1" w:styleId="341">
    <w:name w:val="日期 Char1"/>
    <w:autoRedefine/>
    <w:semiHidden/>
    <w:qFormat/>
    <w:uiPriority w:val="99"/>
    <w:rPr>
      <w:rFonts w:ascii="Times New Roman" w:hAnsi="Times New Roman" w:eastAsia="宋体" w:cs="Times New Roman"/>
      <w:szCs w:val="20"/>
    </w:rPr>
  </w:style>
  <w:style w:type="paragraph" w:customStyle="1" w:styleId="342">
    <w:name w:val="标题 42"/>
    <w:basedOn w:val="1"/>
    <w:next w:val="1"/>
    <w:autoRedefine/>
    <w:qFormat/>
    <w:uiPriority w:val="0"/>
    <w:pPr>
      <w:keepNext/>
      <w:keepLines/>
      <w:ind w:firstLine="482"/>
      <w:outlineLvl w:val="3"/>
    </w:pPr>
    <w:rPr>
      <w:rFonts w:ascii="Cambria" w:hAnsi="Cambria"/>
      <w:b/>
      <w:bCs/>
      <w:sz w:val="28"/>
      <w:szCs w:val="28"/>
    </w:rPr>
  </w:style>
  <w:style w:type="paragraph" w:customStyle="1" w:styleId="343">
    <w:name w:val="表格1"/>
    <w:basedOn w:val="40"/>
    <w:link w:val="478"/>
    <w:autoRedefine/>
    <w:qFormat/>
    <w:uiPriority w:val="0"/>
    <w:pPr>
      <w:ind w:firstLine="0" w:firstLineChars="0"/>
    </w:pPr>
    <w:rPr>
      <w:rFonts w:ascii="宋体" w:hAnsi="宋体" w:cs="Arial"/>
      <w:szCs w:val="24"/>
    </w:rPr>
  </w:style>
  <w:style w:type="paragraph" w:customStyle="1" w:styleId="344">
    <w:name w:val="xl90"/>
    <w:basedOn w:val="78"/>
    <w:autoRedefine/>
    <w:qFormat/>
    <w:uiPriority w:val="0"/>
    <w:pPr>
      <w:textAlignment w:val="center"/>
    </w:pPr>
    <w:rPr>
      <w:sz w:val="20"/>
    </w:rPr>
  </w:style>
  <w:style w:type="paragraph" w:customStyle="1" w:styleId="345">
    <w:name w:val="xl73"/>
    <w:basedOn w:val="78"/>
    <w:autoRedefine/>
    <w:qFormat/>
    <w:uiPriority w:val="0"/>
    <w:pPr>
      <w:jc w:val="center"/>
      <w:textAlignment w:val="center"/>
    </w:pPr>
    <w:rPr>
      <w:rFonts w:ascii="Times New Roman" w:hAnsi="Times New Roman"/>
      <w:b/>
      <w:sz w:val="20"/>
    </w:rPr>
  </w:style>
  <w:style w:type="character" w:customStyle="1" w:styleId="346">
    <w:name w:val="文档结构图 字符"/>
    <w:autoRedefine/>
    <w:semiHidden/>
    <w:qFormat/>
    <w:uiPriority w:val="99"/>
    <w:rPr>
      <w:rFonts w:ascii="Microsoft YaHei UI" w:eastAsia="Microsoft YaHei UI"/>
      <w:kern w:val="2"/>
      <w:sz w:val="18"/>
      <w:szCs w:val="18"/>
    </w:rPr>
  </w:style>
  <w:style w:type="paragraph" w:customStyle="1" w:styleId="347">
    <w:name w:val="xl83"/>
    <w:basedOn w:val="78"/>
    <w:autoRedefine/>
    <w:qFormat/>
    <w:uiPriority w:val="0"/>
    <w:pPr>
      <w:jc w:val="center"/>
      <w:textAlignment w:val="center"/>
    </w:pPr>
    <w:rPr>
      <w:sz w:val="20"/>
    </w:rPr>
  </w:style>
  <w:style w:type="paragraph" w:customStyle="1" w:styleId="348">
    <w:name w:val="Char Char1 Char Char Char Char Char Char3"/>
    <w:basedOn w:val="1"/>
    <w:autoRedefine/>
    <w:qFormat/>
    <w:uiPriority w:val="0"/>
    <w:pPr>
      <w:widowControl/>
      <w:spacing w:after="160" w:line="240" w:lineRule="exact"/>
    </w:pPr>
    <w:rPr>
      <w:kern w:val="0"/>
      <w:szCs w:val="21"/>
      <w:lang w:eastAsia="en-US"/>
    </w:rPr>
  </w:style>
  <w:style w:type="paragraph" w:customStyle="1" w:styleId="349">
    <w:name w:val="悬挂式正文"/>
    <w:basedOn w:val="1"/>
    <w:autoRedefine/>
    <w:qFormat/>
    <w:uiPriority w:val="0"/>
    <w:pPr>
      <w:ind w:left="1701" w:hanging="1134"/>
    </w:pPr>
  </w:style>
  <w:style w:type="character" w:customStyle="1" w:styleId="350">
    <w:name w:val="标题1 Char"/>
    <w:link w:val="351"/>
    <w:autoRedefine/>
    <w:qFormat/>
    <w:locked/>
    <w:uiPriority w:val="0"/>
    <w:rPr>
      <w:rFonts w:ascii="宋体" w:hAnsi="宋体" w:eastAsia="宋体" w:cs="Arial"/>
      <w:b/>
      <w:bCs/>
      <w:kern w:val="44"/>
      <w:sz w:val="28"/>
      <w:szCs w:val="28"/>
      <w:lang w:bidi="ar-SA"/>
    </w:rPr>
  </w:style>
  <w:style w:type="paragraph" w:customStyle="1" w:styleId="351">
    <w:name w:val="标题1"/>
    <w:basedOn w:val="3"/>
    <w:next w:val="3"/>
    <w:link w:val="350"/>
    <w:autoRedefine/>
    <w:qFormat/>
    <w:uiPriority w:val="0"/>
    <w:pPr>
      <w:adjustRightInd w:val="0"/>
      <w:spacing w:before="0" w:after="0" w:line="360" w:lineRule="auto"/>
      <w:jc w:val="center"/>
    </w:pPr>
    <w:rPr>
      <w:rFonts w:cs="Arial"/>
      <w:b/>
      <w:bCs/>
      <w:sz w:val="28"/>
      <w:szCs w:val="28"/>
    </w:rPr>
  </w:style>
  <w:style w:type="character" w:customStyle="1" w:styleId="352">
    <w:name w:val="表格2 Char"/>
    <w:link w:val="353"/>
    <w:autoRedefine/>
    <w:qFormat/>
    <w:uiPriority w:val="0"/>
    <w:rPr>
      <w:rFonts w:ascii="宋体" w:hAnsi="宋体" w:cs="Arial"/>
      <w:kern w:val="2"/>
      <w:sz w:val="21"/>
      <w:szCs w:val="21"/>
    </w:rPr>
  </w:style>
  <w:style w:type="paragraph" w:customStyle="1" w:styleId="353">
    <w:name w:val="表格2"/>
    <w:basedOn w:val="1"/>
    <w:link w:val="352"/>
    <w:autoRedefine/>
    <w:qFormat/>
    <w:uiPriority w:val="0"/>
    <w:pPr>
      <w:spacing w:line="240" w:lineRule="auto"/>
      <w:ind w:firstLine="0" w:firstLineChars="0"/>
    </w:pPr>
    <w:rPr>
      <w:rFonts w:cs="Times New Roman"/>
      <w:sz w:val="21"/>
      <w:szCs w:val="21"/>
    </w:rPr>
  </w:style>
  <w:style w:type="character" w:customStyle="1" w:styleId="354">
    <w:name w:val="批注框文本 Char"/>
    <w:link w:val="38"/>
    <w:autoRedefine/>
    <w:qFormat/>
    <w:locked/>
    <w:uiPriority w:val="99"/>
    <w:rPr>
      <w:rFonts w:ascii="宋体" w:hAnsi="宋体" w:eastAsia="宋体"/>
      <w:sz w:val="18"/>
      <w:lang w:bidi="ar-SA"/>
    </w:rPr>
  </w:style>
  <w:style w:type="paragraph" w:customStyle="1" w:styleId="355">
    <w:name w:val="xl86"/>
    <w:basedOn w:val="78"/>
    <w:autoRedefine/>
    <w:qFormat/>
    <w:uiPriority w:val="0"/>
    <w:pPr>
      <w:jc w:val="center"/>
      <w:textAlignment w:val="center"/>
    </w:pPr>
    <w:rPr>
      <w:sz w:val="20"/>
    </w:rPr>
  </w:style>
  <w:style w:type="paragraph" w:customStyle="1" w:styleId="356">
    <w:name w:val="正文首行缩进2"/>
    <w:basedOn w:val="26"/>
    <w:autoRedefine/>
    <w:qFormat/>
    <w:uiPriority w:val="0"/>
    <w:pPr>
      <w:tabs>
        <w:tab w:val="clear" w:pos="630"/>
      </w:tabs>
      <w:adjustRightInd w:val="0"/>
      <w:spacing w:line="312" w:lineRule="auto"/>
      <w:ind w:firstLine="567"/>
    </w:pPr>
    <w:rPr>
      <w:rFonts w:hint="eastAsia" w:hAnsi="宋体"/>
      <w:kern w:val="0"/>
    </w:rPr>
  </w:style>
  <w:style w:type="paragraph" w:customStyle="1" w:styleId="357">
    <w:name w:val="font9"/>
    <w:basedOn w:val="1"/>
    <w:autoRedefine/>
    <w:qFormat/>
    <w:uiPriority w:val="0"/>
    <w:pPr>
      <w:widowControl/>
      <w:spacing w:before="100" w:beforeAutospacing="1" w:after="100" w:afterAutospacing="1"/>
    </w:pPr>
    <w:rPr>
      <w:color w:val="FF0000"/>
      <w:kern w:val="0"/>
      <w:szCs w:val="21"/>
    </w:rPr>
  </w:style>
  <w:style w:type="paragraph" w:customStyle="1" w:styleId="358">
    <w:name w:val="xl61"/>
    <w:basedOn w:val="78"/>
    <w:autoRedefine/>
    <w:qFormat/>
    <w:uiPriority w:val="0"/>
    <w:pPr>
      <w:pBdr>
        <w:top w:val="single" w:color="auto" w:sz="4" w:space="0"/>
        <w:left w:val="single" w:color="auto" w:sz="4" w:space="0"/>
        <w:bottom w:val="single" w:color="auto" w:sz="4" w:space="0"/>
        <w:right w:val="single" w:color="auto" w:sz="4" w:space="0"/>
      </w:pBdr>
      <w:jc w:val="center"/>
      <w:textAlignment w:val="center"/>
    </w:pPr>
    <w:rPr>
      <w:rFonts w:ascii="Times New Roman" w:hAnsi="Times New Roman"/>
      <w:color w:val="FF0000"/>
      <w:sz w:val="20"/>
    </w:rPr>
  </w:style>
  <w:style w:type="paragraph" w:customStyle="1" w:styleId="359">
    <w:name w:val="xl36"/>
    <w:basedOn w:val="78"/>
    <w:autoRedefine/>
    <w:qFormat/>
    <w:uiPriority w:val="0"/>
    <w:pPr>
      <w:pBdr>
        <w:top w:val="single" w:color="auto" w:sz="4" w:space="0"/>
        <w:left w:val="single" w:color="auto" w:sz="4" w:space="0"/>
        <w:bottom w:val="single" w:color="auto" w:sz="4" w:space="0"/>
        <w:right w:val="single" w:color="auto" w:sz="4" w:space="0"/>
      </w:pBdr>
      <w:textAlignment w:val="center"/>
    </w:pPr>
    <w:rPr>
      <w:sz w:val="20"/>
    </w:rPr>
  </w:style>
  <w:style w:type="paragraph" w:customStyle="1" w:styleId="360">
    <w:name w:val="备注"/>
    <w:basedOn w:val="74"/>
    <w:autoRedefine/>
    <w:qFormat/>
    <w:uiPriority w:val="0"/>
    <w:rPr>
      <w:i/>
      <w:iCs/>
    </w:rPr>
  </w:style>
  <w:style w:type="paragraph" w:customStyle="1" w:styleId="361">
    <w:name w:val="xl30"/>
    <w:basedOn w:val="78"/>
    <w:autoRedefine/>
    <w:qFormat/>
    <w:uiPriority w:val="0"/>
    <w:pPr>
      <w:pBdr>
        <w:top w:val="single" w:color="auto" w:sz="4" w:space="0"/>
        <w:left w:val="single" w:color="auto" w:sz="4" w:space="0"/>
        <w:bottom w:val="single" w:color="auto" w:sz="4" w:space="0"/>
        <w:right w:val="single" w:color="auto" w:sz="4" w:space="0"/>
      </w:pBdr>
      <w:jc w:val="center"/>
      <w:textAlignment w:val="center"/>
    </w:pPr>
    <w:rPr>
      <w:sz w:val="20"/>
    </w:rPr>
  </w:style>
  <w:style w:type="character" w:customStyle="1" w:styleId="362">
    <w:name w:val="普通文字 Char"/>
    <w:autoRedefine/>
    <w:qFormat/>
    <w:uiPriority w:val="0"/>
    <w:rPr>
      <w:rFonts w:ascii="宋体" w:hAnsi="Courier New" w:eastAsia="宋体" w:cs="Times New Roman"/>
      <w:kern w:val="0"/>
      <w:sz w:val="20"/>
      <w:szCs w:val="20"/>
    </w:rPr>
  </w:style>
  <w:style w:type="paragraph" w:customStyle="1" w:styleId="363">
    <w:name w:val="xl49"/>
    <w:basedOn w:val="78"/>
    <w:autoRedefine/>
    <w:qFormat/>
    <w:uiPriority w:val="0"/>
    <w:pPr>
      <w:pBdr>
        <w:top w:val="single" w:color="auto" w:sz="4" w:space="0"/>
        <w:left w:val="single" w:color="auto" w:sz="4" w:space="0"/>
        <w:bottom w:val="single" w:color="auto" w:sz="4" w:space="0"/>
        <w:right w:val="single" w:color="auto" w:sz="4" w:space="0"/>
      </w:pBdr>
      <w:shd w:val="clear" w:color="auto" w:fill="FFFF99"/>
      <w:jc w:val="center"/>
      <w:textAlignment w:val="center"/>
    </w:pPr>
    <w:rPr>
      <w:b/>
      <w:sz w:val="20"/>
    </w:rPr>
  </w:style>
  <w:style w:type="character" w:customStyle="1" w:styleId="364">
    <w:name w:val="Char Char121"/>
    <w:autoRedefine/>
    <w:qFormat/>
    <w:uiPriority w:val="0"/>
    <w:rPr>
      <w:rFonts w:ascii="Times New Roman" w:hAnsi="Times New Roman"/>
      <w:b/>
      <w:bCs/>
      <w:sz w:val="24"/>
      <w:szCs w:val="24"/>
    </w:rPr>
  </w:style>
  <w:style w:type="character" w:customStyle="1" w:styleId="365">
    <w:name w:val="正文文本缩进 2 字符"/>
    <w:autoRedefine/>
    <w:semiHidden/>
    <w:qFormat/>
    <w:uiPriority w:val="99"/>
    <w:rPr>
      <w:kern w:val="2"/>
      <w:sz w:val="21"/>
      <w:szCs w:val="22"/>
    </w:rPr>
  </w:style>
  <w:style w:type="paragraph" w:customStyle="1" w:styleId="366">
    <w:name w:val="宋体"/>
    <w:basedOn w:val="1"/>
    <w:next w:val="1"/>
    <w:autoRedefine/>
    <w:qFormat/>
    <w:uiPriority w:val="0"/>
    <w:pPr>
      <w:adjustRightInd w:val="0"/>
      <w:snapToGrid w:val="0"/>
      <w:ind w:firstLine="200"/>
    </w:pPr>
    <w:rPr>
      <w:kern w:val="0"/>
      <w:sz w:val="28"/>
      <w:szCs w:val="28"/>
    </w:rPr>
  </w:style>
  <w:style w:type="character" w:customStyle="1" w:styleId="367">
    <w:name w:val="正文文本 21 Char"/>
    <w:autoRedefine/>
    <w:qFormat/>
    <w:uiPriority w:val="0"/>
    <w:rPr>
      <w:rFonts w:ascii="Times New Roman" w:hAnsi="Times New Roman"/>
      <w:kern w:val="2"/>
      <w:sz w:val="24"/>
      <w:szCs w:val="24"/>
    </w:rPr>
  </w:style>
  <w:style w:type="character" w:customStyle="1" w:styleId="368">
    <w:name w:val="明显引用 字符"/>
    <w:autoRedefine/>
    <w:qFormat/>
    <w:uiPriority w:val="30"/>
    <w:rPr>
      <w:i/>
      <w:iCs/>
      <w:color w:val="4472C4"/>
      <w:kern w:val="2"/>
      <w:sz w:val="21"/>
      <w:szCs w:val="22"/>
    </w:rPr>
  </w:style>
  <w:style w:type="paragraph" w:customStyle="1" w:styleId="369">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rPr>
  </w:style>
  <w:style w:type="paragraph" w:customStyle="1" w:styleId="370">
    <w:name w:val="Char Char Char1 Char Char Char Char Char Char Char2"/>
    <w:basedOn w:val="1"/>
    <w:autoRedefine/>
    <w:qFormat/>
    <w:uiPriority w:val="0"/>
    <w:pPr>
      <w:adjustRightInd w:val="0"/>
      <w:spacing w:line="312" w:lineRule="auto"/>
      <w:textAlignment w:val="baseline"/>
    </w:pPr>
    <w:rPr>
      <w:rFonts w:ascii="Tahoma" w:hAnsi="Tahoma"/>
      <w:kern w:val="0"/>
    </w:rPr>
  </w:style>
  <w:style w:type="paragraph" w:customStyle="1" w:styleId="371">
    <w:name w:val="列出段落1"/>
    <w:basedOn w:val="1"/>
    <w:autoRedefine/>
    <w:qFormat/>
    <w:uiPriority w:val="0"/>
    <w:pPr>
      <w:ind w:firstLine="420"/>
    </w:pPr>
    <w:rPr>
      <w:szCs w:val="21"/>
    </w:rPr>
  </w:style>
  <w:style w:type="paragraph" w:customStyle="1" w:styleId="372">
    <w:name w:val="Char Char Char1 Char Char Char Char Char Char Char Char Char Char"/>
    <w:basedOn w:val="1"/>
    <w:autoRedefine/>
    <w:qFormat/>
    <w:uiPriority w:val="0"/>
    <w:pPr>
      <w:adjustRightInd w:val="0"/>
      <w:snapToGrid w:val="0"/>
      <w:ind w:firstLine="200"/>
    </w:pPr>
    <w:rPr>
      <w:kern w:val="0"/>
      <w:sz w:val="28"/>
      <w:szCs w:val="28"/>
    </w:rPr>
  </w:style>
  <w:style w:type="paragraph" w:customStyle="1" w:styleId="373">
    <w:name w:val="Char Char132"/>
    <w:basedOn w:val="1"/>
    <w:autoRedefine/>
    <w:qFormat/>
    <w:uiPriority w:val="0"/>
  </w:style>
  <w:style w:type="paragraph" w:customStyle="1" w:styleId="374">
    <w:name w:val="xl81"/>
    <w:basedOn w:val="78"/>
    <w:autoRedefine/>
    <w:qFormat/>
    <w:uiPriority w:val="0"/>
    <w:pPr>
      <w:jc w:val="center"/>
      <w:textAlignment w:val="center"/>
    </w:pPr>
    <w:rPr>
      <w:rFonts w:ascii="Times New Roman" w:hAnsi="Times New Roman"/>
      <w:sz w:val="20"/>
    </w:rPr>
  </w:style>
  <w:style w:type="character" w:customStyle="1" w:styleId="375">
    <w:name w:val="标题 2 Char"/>
    <w:link w:val="4"/>
    <w:autoRedefine/>
    <w:qFormat/>
    <w:locked/>
    <w:uiPriority w:val="0"/>
    <w:rPr>
      <w:rFonts w:ascii="宋体" w:hAnsi="宋体" w:eastAsia="宋体" w:cs="宋体"/>
      <w:kern w:val="28"/>
      <w:sz w:val="28"/>
      <w:szCs w:val="24"/>
      <w:lang w:val="en-US" w:eastAsia="zh-CN" w:bidi="ar-SA"/>
    </w:rPr>
  </w:style>
  <w:style w:type="paragraph" w:customStyle="1" w:styleId="376">
    <w:name w:val="表头1"/>
    <w:basedOn w:val="1"/>
    <w:link w:val="426"/>
    <w:autoRedefine/>
    <w:qFormat/>
    <w:uiPriority w:val="0"/>
    <w:pPr>
      <w:adjustRightInd w:val="0"/>
      <w:snapToGrid w:val="0"/>
      <w:ind w:left="971" w:hanging="420"/>
    </w:pPr>
    <w:rPr>
      <w:rFonts w:ascii="Times New Roman" w:hAnsi="Times New Roman" w:cs="Times New Roman"/>
      <w:b/>
      <w:sz w:val="28"/>
      <w:szCs w:val="28"/>
    </w:rPr>
  </w:style>
  <w:style w:type="character" w:customStyle="1" w:styleId="377">
    <w:name w:val="标题 Char"/>
    <w:link w:val="57"/>
    <w:autoRedefine/>
    <w:qFormat/>
    <w:locked/>
    <w:uiPriority w:val="0"/>
    <w:rPr>
      <w:rFonts w:ascii="Cambria" w:hAnsi="Cambria" w:eastAsia="宋体"/>
      <w:color w:val="17365D"/>
      <w:spacing w:val="5"/>
      <w:kern w:val="28"/>
      <w:sz w:val="52"/>
      <w:lang w:bidi="ar-SA"/>
    </w:rPr>
  </w:style>
  <w:style w:type="paragraph" w:customStyle="1" w:styleId="378">
    <w:name w:val="Char6"/>
    <w:basedOn w:val="1"/>
    <w:autoRedefine/>
    <w:qFormat/>
    <w:uiPriority w:val="0"/>
    <w:rPr>
      <w:rFonts w:ascii="Tahoma" w:hAnsi="Tahoma"/>
    </w:rPr>
  </w:style>
  <w:style w:type="character" w:customStyle="1" w:styleId="379">
    <w:name w:val="正文文本 3 字符"/>
    <w:autoRedefine/>
    <w:semiHidden/>
    <w:qFormat/>
    <w:uiPriority w:val="99"/>
    <w:rPr>
      <w:kern w:val="2"/>
      <w:sz w:val="16"/>
      <w:szCs w:val="16"/>
    </w:rPr>
  </w:style>
  <w:style w:type="paragraph" w:customStyle="1" w:styleId="380">
    <w:name w:val="xl84"/>
    <w:basedOn w:val="78"/>
    <w:autoRedefine/>
    <w:qFormat/>
    <w:uiPriority w:val="0"/>
    <w:pPr>
      <w:jc w:val="center"/>
      <w:textAlignment w:val="center"/>
    </w:pPr>
    <w:rPr>
      <w:rFonts w:ascii="Times New Roman" w:hAnsi="Times New Roman"/>
      <w:sz w:val="20"/>
    </w:rPr>
  </w:style>
  <w:style w:type="paragraph" w:customStyle="1" w:styleId="381">
    <w:name w:val="Char51"/>
    <w:basedOn w:val="1"/>
    <w:autoRedefine/>
    <w:qFormat/>
    <w:uiPriority w:val="0"/>
    <w:rPr>
      <w:rFonts w:ascii="Tahoma" w:hAnsi="Tahoma"/>
    </w:rPr>
  </w:style>
  <w:style w:type="character" w:customStyle="1" w:styleId="382">
    <w:name w:val="页眉 Char"/>
    <w:link w:val="40"/>
    <w:autoRedefine/>
    <w:qFormat/>
    <w:locked/>
    <w:uiPriority w:val="0"/>
    <w:rPr>
      <w:rFonts w:eastAsia="宋体"/>
      <w:kern w:val="2"/>
      <w:sz w:val="18"/>
      <w:lang w:val="en-US" w:eastAsia="zh-CN" w:bidi="ar-SA"/>
    </w:rPr>
  </w:style>
  <w:style w:type="paragraph" w:customStyle="1" w:styleId="383">
    <w:name w:val="默认段落字体 Para Char Char Char Char"/>
    <w:basedOn w:val="1"/>
    <w:autoRedefine/>
    <w:qFormat/>
    <w:uiPriority w:val="0"/>
  </w:style>
  <w:style w:type="character" w:customStyle="1" w:styleId="384">
    <w:name w:val="Char Char15"/>
    <w:autoRedefine/>
    <w:qFormat/>
    <w:uiPriority w:val="0"/>
    <w:rPr>
      <w:rFonts w:ascii="Arial" w:hAnsi="Arial" w:eastAsia="黑体" w:cs="Arial"/>
      <w:b/>
      <w:bCs/>
      <w:kern w:val="2"/>
      <w:sz w:val="28"/>
      <w:szCs w:val="28"/>
    </w:rPr>
  </w:style>
  <w:style w:type="paragraph" w:customStyle="1" w:styleId="385">
    <w:name w:val="xl74"/>
    <w:basedOn w:val="78"/>
    <w:autoRedefine/>
    <w:qFormat/>
    <w:uiPriority w:val="0"/>
    <w:pPr>
      <w:jc w:val="center"/>
      <w:textAlignment w:val="center"/>
    </w:pPr>
    <w:rPr>
      <w:rFonts w:ascii="Times New Roman" w:hAnsi="Times New Roman"/>
      <w:sz w:val="20"/>
    </w:rPr>
  </w:style>
  <w:style w:type="paragraph" w:customStyle="1" w:styleId="386">
    <w:name w:val="样式 宋体 四号 两端对齐 行距: 1.5 倍行距"/>
    <w:basedOn w:val="1"/>
    <w:autoRedefine/>
    <w:qFormat/>
    <w:uiPriority w:val="0"/>
    <w:pPr>
      <w:widowControl/>
      <w:overflowPunct w:val="0"/>
      <w:autoSpaceDE w:val="0"/>
      <w:autoSpaceDN w:val="0"/>
      <w:adjustRightInd w:val="0"/>
      <w:spacing w:line="480" w:lineRule="exact"/>
      <w:ind w:firstLine="200"/>
      <w:textAlignment w:val="baseline"/>
    </w:pPr>
    <w:rPr>
      <w:rFonts w:cs="宋体"/>
      <w:kern w:val="0"/>
      <w:sz w:val="28"/>
      <w:lang w:val="en-GB"/>
    </w:rPr>
  </w:style>
  <w:style w:type="paragraph" w:customStyle="1" w:styleId="387">
    <w:name w:val="xl71"/>
    <w:basedOn w:val="78"/>
    <w:autoRedefine/>
    <w:qFormat/>
    <w:uiPriority w:val="0"/>
    <w:pPr>
      <w:textAlignment w:val="auto"/>
    </w:pPr>
    <w:rPr>
      <w:sz w:val="20"/>
    </w:rPr>
  </w:style>
  <w:style w:type="paragraph" w:customStyle="1" w:styleId="388">
    <w:name w:val="正文表格"/>
    <w:basedOn w:val="1"/>
    <w:link w:val="464"/>
    <w:autoRedefine/>
    <w:qFormat/>
    <w:uiPriority w:val="0"/>
    <w:pPr>
      <w:keepNext/>
      <w:keepLines/>
      <w:spacing w:before="80"/>
      <w:jc w:val="center"/>
      <w:textAlignment w:val="bottom"/>
    </w:pPr>
    <w:rPr>
      <w:rFonts w:ascii="Times New Roman" w:hAnsi="Times New Roman" w:cs="Times New Roman"/>
      <w:sz w:val="21"/>
      <w:szCs w:val="20"/>
    </w:rPr>
  </w:style>
  <w:style w:type="character" w:customStyle="1" w:styleId="389">
    <w:name w:val="Char Char2"/>
    <w:autoRedefine/>
    <w:semiHidden/>
    <w:qFormat/>
    <w:locked/>
    <w:uiPriority w:val="0"/>
    <w:rPr>
      <w:rFonts w:ascii="宋体" w:hAnsi="宋体" w:eastAsia="宋体"/>
      <w:spacing w:val="7"/>
      <w:kern w:val="2"/>
      <w:sz w:val="24"/>
      <w:szCs w:val="22"/>
      <w:lang w:val="en-US" w:eastAsia="zh-CN" w:bidi="ar-SA"/>
    </w:rPr>
  </w:style>
  <w:style w:type="paragraph" w:customStyle="1" w:styleId="390">
    <w:name w:val="Char5"/>
    <w:basedOn w:val="1"/>
    <w:autoRedefine/>
    <w:qFormat/>
    <w:uiPriority w:val="0"/>
    <w:rPr>
      <w:rFonts w:ascii="Tahoma" w:hAnsi="Tahoma"/>
    </w:rPr>
  </w:style>
  <w:style w:type="paragraph" w:customStyle="1" w:styleId="391">
    <w:name w:val="font16"/>
    <w:basedOn w:val="1"/>
    <w:autoRedefine/>
    <w:qFormat/>
    <w:uiPriority w:val="0"/>
    <w:pPr>
      <w:widowControl/>
      <w:spacing w:before="100" w:beforeAutospacing="1" w:after="100" w:afterAutospacing="1"/>
    </w:pPr>
    <w:rPr>
      <w:kern w:val="0"/>
      <w:sz w:val="22"/>
    </w:rPr>
  </w:style>
  <w:style w:type="paragraph" w:customStyle="1" w:styleId="392">
    <w:name w:val="xl114"/>
    <w:basedOn w:val="78"/>
    <w:autoRedefine/>
    <w:qFormat/>
    <w:uiPriority w:val="0"/>
    <w:pPr>
      <w:textAlignment w:val="center"/>
    </w:pPr>
  </w:style>
  <w:style w:type="character" w:customStyle="1" w:styleId="393">
    <w:name w:val="font61"/>
    <w:autoRedefine/>
    <w:qFormat/>
    <w:uiPriority w:val="0"/>
    <w:rPr>
      <w:rFonts w:hint="default" w:ascii="Times New Roman" w:hAnsi="Times New Roman" w:cs="Times New Roman"/>
      <w:color w:val="000000"/>
      <w:sz w:val="24"/>
      <w:szCs w:val="24"/>
      <w:u w:val="none"/>
      <w:vertAlign w:val="superscript"/>
    </w:rPr>
  </w:style>
  <w:style w:type="character" w:customStyle="1" w:styleId="394">
    <w:name w:val="标题 7 字符"/>
    <w:autoRedefine/>
    <w:semiHidden/>
    <w:qFormat/>
    <w:uiPriority w:val="9"/>
    <w:rPr>
      <w:b/>
      <w:bCs/>
      <w:kern w:val="2"/>
      <w:sz w:val="24"/>
      <w:szCs w:val="24"/>
    </w:rPr>
  </w:style>
  <w:style w:type="paragraph" w:customStyle="1" w:styleId="395">
    <w:name w:val="首行缩进:2 字符"/>
    <w:basedOn w:val="1"/>
    <w:next w:val="1"/>
    <w:autoRedefine/>
    <w:qFormat/>
    <w:uiPriority w:val="0"/>
    <w:pPr>
      <w:adjustRightInd w:val="0"/>
    </w:pPr>
  </w:style>
  <w:style w:type="character" w:customStyle="1" w:styleId="396">
    <w:name w:val="标题 2 字符"/>
    <w:autoRedefine/>
    <w:semiHidden/>
    <w:qFormat/>
    <w:uiPriority w:val="9"/>
    <w:rPr>
      <w:rFonts w:ascii="等线 Light" w:hAnsi="等线 Light" w:eastAsia="等线 Light" w:cs="Times New Roman"/>
      <w:b/>
      <w:bCs/>
      <w:kern w:val="2"/>
      <w:sz w:val="32"/>
      <w:szCs w:val="32"/>
    </w:rPr>
  </w:style>
  <w:style w:type="paragraph" w:customStyle="1" w:styleId="397">
    <w:name w:val="样式 标题 4 + 宋体 行距: 单倍行距"/>
    <w:basedOn w:val="7"/>
    <w:autoRedefine/>
    <w:qFormat/>
    <w:uiPriority w:val="0"/>
    <w:pPr>
      <w:tabs>
        <w:tab w:val="left" w:pos="-36"/>
      </w:tabs>
      <w:autoSpaceDE w:val="0"/>
      <w:autoSpaceDN w:val="0"/>
      <w:snapToGrid/>
      <w:spacing w:before="280" w:after="290" w:line="240" w:lineRule="auto"/>
      <w:ind w:left="-36" w:hanging="864"/>
    </w:pPr>
    <w:rPr>
      <w:color w:val="auto"/>
      <w:spacing w:val="0"/>
      <w:position w:val="-6"/>
      <w:sz w:val="28"/>
      <w:szCs w:val="20"/>
    </w:rPr>
  </w:style>
  <w:style w:type="paragraph" w:customStyle="1" w:styleId="398">
    <w:name w:val="font17"/>
    <w:basedOn w:val="1"/>
    <w:autoRedefine/>
    <w:qFormat/>
    <w:uiPriority w:val="0"/>
    <w:pPr>
      <w:widowControl/>
      <w:spacing w:before="100" w:beforeAutospacing="1" w:after="100" w:afterAutospacing="1"/>
    </w:pPr>
    <w:rPr>
      <w:kern w:val="0"/>
      <w:sz w:val="22"/>
    </w:rPr>
  </w:style>
  <w:style w:type="paragraph" w:customStyle="1" w:styleId="399">
    <w:name w:val="表内容"/>
    <w:basedOn w:val="1"/>
    <w:autoRedefine/>
    <w:qFormat/>
    <w:uiPriority w:val="0"/>
    <w:pPr>
      <w:adjustRightInd w:val="0"/>
      <w:snapToGrid w:val="0"/>
      <w:jc w:val="center"/>
    </w:pPr>
    <w:rPr>
      <w:szCs w:val="28"/>
    </w:rPr>
  </w:style>
  <w:style w:type="character" w:customStyle="1" w:styleId="400">
    <w:name w:val="Char Char112"/>
    <w:autoRedefine/>
    <w:qFormat/>
    <w:uiPriority w:val="0"/>
    <w:rPr>
      <w:rFonts w:ascii="Arial" w:hAnsi="Arial" w:eastAsia="黑体" w:cs="Arial"/>
      <w:sz w:val="24"/>
      <w:szCs w:val="24"/>
    </w:rPr>
  </w:style>
  <w:style w:type="paragraph" w:customStyle="1" w:styleId="401">
    <w:name w:val="Char Char Char1 Char Char Char Char Char Char Char Char Char Char2"/>
    <w:basedOn w:val="1"/>
    <w:autoRedefine/>
    <w:qFormat/>
    <w:uiPriority w:val="0"/>
    <w:pPr>
      <w:adjustRightInd w:val="0"/>
      <w:snapToGrid w:val="0"/>
      <w:ind w:firstLine="200"/>
    </w:pPr>
    <w:rPr>
      <w:kern w:val="0"/>
      <w:sz w:val="28"/>
    </w:rPr>
  </w:style>
  <w:style w:type="paragraph" w:customStyle="1" w:styleId="402">
    <w:name w:val="Char Char Char Char Char Char"/>
    <w:basedOn w:val="1"/>
    <w:autoRedefine/>
    <w:qFormat/>
    <w:uiPriority w:val="0"/>
  </w:style>
  <w:style w:type="character" w:customStyle="1" w:styleId="403">
    <w:name w:val="Char Char6"/>
    <w:autoRedefine/>
    <w:qFormat/>
    <w:uiPriority w:val="0"/>
    <w:rPr>
      <w:kern w:val="2"/>
      <w:sz w:val="18"/>
      <w:szCs w:val="18"/>
    </w:rPr>
  </w:style>
  <w:style w:type="paragraph" w:customStyle="1" w:styleId="404">
    <w:name w:val="Char Char Char1 Char Char Char Char Char Char Char Char Char Char5"/>
    <w:basedOn w:val="1"/>
    <w:autoRedefine/>
    <w:qFormat/>
    <w:uiPriority w:val="0"/>
    <w:pPr>
      <w:adjustRightInd w:val="0"/>
      <w:snapToGrid w:val="0"/>
      <w:ind w:firstLine="200"/>
    </w:pPr>
    <w:rPr>
      <w:kern w:val="0"/>
      <w:sz w:val="28"/>
    </w:rPr>
  </w:style>
  <w:style w:type="paragraph" w:customStyle="1" w:styleId="405">
    <w:name w:val="样式 标题 2 +宋体 四号 加粗"/>
    <w:basedOn w:val="4"/>
    <w:autoRedefine/>
    <w:qFormat/>
    <w:uiPriority w:val="0"/>
    <w:pPr>
      <w:spacing w:before="260" w:after="260" w:line="360" w:lineRule="auto"/>
      <w:ind w:left="-32767" w:firstLine="0" w:firstLineChars="0"/>
    </w:pPr>
    <w:rPr>
      <w:b/>
      <w:bCs/>
      <w:kern w:val="2"/>
      <w:szCs w:val="28"/>
    </w:rPr>
  </w:style>
  <w:style w:type="character" w:customStyle="1" w:styleId="406">
    <w:name w:val="标题 3 Char1"/>
    <w:autoRedefine/>
    <w:qFormat/>
    <w:uiPriority w:val="0"/>
    <w:rPr>
      <w:rFonts w:ascii="Times New Roman" w:hAnsi="Times New Roman" w:eastAsia="宋体" w:cs="Times New Roman"/>
      <w:b/>
      <w:bCs/>
      <w:sz w:val="32"/>
      <w:szCs w:val="32"/>
    </w:rPr>
  </w:style>
  <w:style w:type="paragraph" w:customStyle="1" w:styleId="407">
    <w:name w:val="Char Char18"/>
    <w:basedOn w:val="1"/>
    <w:next w:val="1"/>
    <w:autoRedefine/>
    <w:qFormat/>
    <w:uiPriority w:val="0"/>
    <w:pPr>
      <w:ind w:firstLine="200"/>
    </w:pPr>
    <w:rPr>
      <w:rFonts w:cs="宋体"/>
    </w:rPr>
  </w:style>
  <w:style w:type="character" w:customStyle="1" w:styleId="408">
    <w:name w:val="正文文本首行缩进 字符1"/>
    <w:autoRedefine/>
    <w:qFormat/>
    <w:uiPriority w:val="0"/>
    <w:rPr>
      <w:rFonts w:ascii="Arial" w:hAnsi="Arial" w:eastAsia="宋体"/>
      <w:color w:val="000000"/>
      <w:sz w:val="28"/>
      <w:lang w:val="en-US" w:eastAsia="zh-CN" w:bidi="ar-SA"/>
    </w:rPr>
  </w:style>
  <w:style w:type="paragraph" w:customStyle="1" w:styleId="409">
    <w:name w:val="Char1 Char Char Char2"/>
    <w:basedOn w:val="1"/>
    <w:autoRedefine/>
    <w:qFormat/>
    <w:uiPriority w:val="0"/>
    <w:pPr>
      <w:snapToGrid w:val="0"/>
      <w:spacing w:line="440" w:lineRule="atLeast"/>
    </w:pPr>
  </w:style>
  <w:style w:type="character" w:customStyle="1" w:styleId="410">
    <w:name w:val="List Paragraph Char"/>
    <w:link w:val="255"/>
    <w:autoRedefine/>
    <w:qFormat/>
    <w:locked/>
    <w:uiPriority w:val="0"/>
    <w:rPr>
      <w:kern w:val="2"/>
      <w:sz w:val="21"/>
      <w:szCs w:val="21"/>
    </w:rPr>
  </w:style>
  <w:style w:type="character" w:customStyle="1" w:styleId="411">
    <w:name w:val="页眉 Char1"/>
    <w:autoRedefine/>
    <w:semiHidden/>
    <w:qFormat/>
    <w:uiPriority w:val="99"/>
    <w:rPr>
      <w:rFonts w:ascii="Times New Roman" w:hAnsi="Times New Roman" w:eastAsia="宋体" w:cs="Times New Roman"/>
      <w:sz w:val="18"/>
      <w:szCs w:val="18"/>
    </w:rPr>
  </w:style>
  <w:style w:type="table" w:customStyle="1" w:styleId="412">
    <w:name w:val="网格型2"/>
    <w:basedOn w:val="60"/>
    <w:autoRedefine/>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13">
    <w:name w:val="表格样式1 Char"/>
    <w:link w:val="227"/>
    <w:autoRedefine/>
    <w:qFormat/>
    <w:uiPriority w:val="0"/>
    <w:rPr>
      <w:rFonts w:ascii="宋体" w:hAnsi="宋体" w:eastAsia="宋体"/>
      <w:color w:val="000000"/>
      <w:kern w:val="2"/>
      <w:sz w:val="24"/>
      <w:szCs w:val="21"/>
      <w:u w:color="000000"/>
      <w:lang w:val="en-US" w:eastAsia="zh-CN" w:bidi="ar-SA"/>
    </w:rPr>
  </w:style>
  <w:style w:type="character" w:customStyle="1" w:styleId="414">
    <w:name w:val="Char Char3"/>
    <w:autoRedefine/>
    <w:qFormat/>
    <w:uiPriority w:val="0"/>
    <w:rPr>
      <w:sz w:val="28"/>
    </w:rPr>
  </w:style>
  <w:style w:type="character" w:customStyle="1" w:styleId="415">
    <w:name w:val="副标题 Char1"/>
    <w:autoRedefine/>
    <w:qFormat/>
    <w:uiPriority w:val="0"/>
    <w:rPr>
      <w:rFonts w:hint="default" w:ascii="Cambria" w:hAnsi="Cambria" w:eastAsia="宋体" w:cs="Times New Roman"/>
      <w:b/>
      <w:bCs/>
      <w:kern w:val="28"/>
      <w:sz w:val="32"/>
      <w:szCs w:val="32"/>
    </w:rPr>
  </w:style>
  <w:style w:type="paragraph" w:customStyle="1" w:styleId="416">
    <w:name w:val="1级标题"/>
    <w:basedOn w:val="1"/>
    <w:autoRedefine/>
    <w:qFormat/>
    <w:uiPriority w:val="0"/>
    <w:pPr>
      <w:snapToGrid w:val="0"/>
      <w:jc w:val="center"/>
      <w:outlineLvl w:val="0"/>
    </w:pPr>
    <w:rPr>
      <w:b/>
      <w:kern w:val="0"/>
      <w:sz w:val="30"/>
      <w:szCs w:val="28"/>
    </w:rPr>
  </w:style>
  <w:style w:type="character" w:customStyle="1" w:styleId="417">
    <w:name w:val="font31"/>
    <w:basedOn w:val="63"/>
    <w:autoRedefine/>
    <w:qFormat/>
    <w:uiPriority w:val="0"/>
    <w:rPr>
      <w:rFonts w:hint="eastAsia" w:ascii="宋体" w:hAnsi="宋体" w:eastAsia="宋体" w:cs="宋体"/>
      <w:color w:val="000000"/>
      <w:sz w:val="22"/>
      <w:szCs w:val="22"/>
      <w:u w:val="none"/>
    </w:rPr>
  </w:style>
  <w:style w:type="character" w:customStyle="1" w:styleId="418">
    <w:name w:val="批注文字 字符"/>
    <w:autoRedefine/>
    <w:qFormat/>
    <w:uiPriority w:val="99"/>
    <w:rPr>
      <w:rFonts w:ascii="Times New Roman" w:hAnsi="Times New Roman" w:eastAsia="宋体"/>
      <w:kern w:val="2"/>
      <w:sz w:val="21"/>
    </w:rPr>
  </w:style>
  <w:style w:type="paragraph" w:customStyle="1" w:styleId="419">
    <w:name w:val="正文文本 211"/>
    <w:basedOn w:val="1"/>
    <w:autoRedefine/>
    <w:qFormat/>
    <w:uiPriority w:val="0"/>
    <w:pPr>
      <w:adjustRightInd w:val="0"/>
      <w:jc w:val="center"/>
    </w:pPr>
    <w:rPr>
      <w:kern w:val="0"/>
    </w:rPr>
  </w:style>
  <w:style w:type="paragraph" w:customStyle="1" w:styleId="420">
    <w:name w:val="正文样式"/>
    <w:basedOn w:val="1"/>
    <w:link w:val="435"/>
    <w:autoRedefine/>
    <w:qFormat/>
    <w:uiPriority w:val="0"/>
    <w:pPr>
      <w:adjustRightInd w:val="0"/>
      <w:snapToGrid w:val="0"/>
      <w:ind w:firstLine="560"/>
      <w:jc w:val="center"/>
    </w:pPr>
    <w:rPr>
      <w:rFonts w:ascii="Times New Roman" w:hAnsi="Times New Roman" w:cs="Times New Roman"/>
      <w:bCs/>
      <w:sz w:val="28"/>
      <w:szCs w:val="28"/>
    </w:rPr>
  </w:style>
  <w:style w:type="paragraph" w:styleId="421">
    <w:name w:val="Intense Quote"/>
    <w:basedOn w:val="1"/>
    <w:next w:val="1"/>
    <w:link w:val="461"/>
    <w:autoRedefine/>
    <w:qFormat/>
    <w:uiPriority w:val="0"/>
    <w:pPr>
      <w:pBdr>
        <w:bottom w:val="single" w:color="4F81BD" w:sz="4" w:space="4"/>
      </w:pBdr>
      <w:spacing w:before="200" w:after="280"/>
      <w:ind w:left="936"/>
    </w:pPr>
    <w:rPr>
      <w:rFonts w:ascii="Times New Roman" w:hAnsi="Times New Roman" w:cs="Times New Roman"/>
      <w:b/>
      <w:i/>
      <w:color w:val="4F81BD"/>
      <w:kern w:val="0"/>
      <w:sz w:val="20"/>
      <w:szCs w:val="20"/>
    </w:rPr>
  </w:style>
  <w:style w:type="paragraph" w:customStyle="1" w:styleId="422">
    <w:name w:val="正文文本 21"/>
    <w:basedOn w:val="1"/>
    <w:autoRedefine/>
    <w:qFormat/>
    <w:uiPriority w:val="0"/>
    <w:pPr>
      <w:adjustRightInd w:val="0"/>
      <w:jc w:val="center"/>
    </w:pPr>
    <w:rPr>
      <w:kern w:val="0"/>
    </w:rPr>
  </w:style>
  <w:style w:type="paragraph" w:customStyle="1" w:styleId="423">
    <w:name w:val="xl100"/>
    <w:basedOn w:val="78"/>
    <w:autoRedefine/>
    <w:qFormat/>
    <w:uiPriority w:val="0"/>
    <w:pPr>
      <w:textAlignment w:val="auto"/>
    </w:pPr>
    <w:rPr>
      <w:sz w:val="20"/>
    </w:rPr>
  </w:style>
  <w:style w:type="paragraph" w:customStyle="1" w:styleId="424">
    <w:name w:val="Char Char1311"/>
    <w:basedOn w:val="1"/>
    <w:autoRedefine/>
    <w:qFormat/>
    <w:uiPriority w:val="0"/>
  </w:style>
  <w:style w:type="character" w:customStyle="1" w:styleId="425">
    <w:name w:val="标题 1 Char"/>
    <w:link w:val="3"/>
    <w:autoRedefine/>
    <w:qFormat/>
    <w:locked/>
    <w:uiPriority w:val="0"/>
    <w:rPr>
      <w:rFonts w:ascii="宋体" w:hAnsi="宋体" w:eastAsia="宋体" w:cs="宋体"/>
      <w:kern w:val="44"/>
      <w:sz w:val="44"/>
      <w:szCs w:val="44"/>
      <w:lang w:val="en-US" w:eastAsia="zh-CN" w:bidi="ar-SA"/>
    </w:rPr>
  </w:style>
  <w:style w:type="character" w:customStyle="1" w:styleId="426">
    <w:name w:val="表头1 Char"/>
    <w:link w:val="376"/>
    <w:autoRedefine/>
    <w:qFormat/>
    <w:uiPriority w:val="0"/>
    <w:rPr>
      <w:rFonts w:eastAsia="宋体"/>
      <w:b/>
      <w:kern w:val="2"/>
      <w:sz w:val="28"/>
      <w:szCs w:val="28"/>
      <w:lang w:bidi="ar-SA"/>
    </w:rPr>
  </w:style>
  <w:style w:type="character" w:customStyle="1" w:styleId="427">
    <w:name w:val="标题 8 Char"/>
    <w:link w:val="11"/>
    <w:autoRedefine/>
    <w:qFormat/>
    <w:locked/>
    <w:uiPriority w:val="0"/>
    <w:rPr>
      <w:rFonts w:ascii="Arial" w:hAnsi="Arial" w:eastAsia="黑体"/>
      <w:sz w:val="24"/>
    </w:rPr>
  </w:style>
  <w:style w:type="paragraph" w:customStyle="1" w:styleId="428">
    <w:name w:val="Char1 Char Char Char4"/>
    <w:basedOn w:val="1"/>
    <w:autoRedefine/>
    <w:qFormat/>
    <w:uiPriority w:val="0"/>
    <w:pPr>
      <w:snapToGrid w:val="0"/>
      <w:spacing w:line="440" w:lineRule="atLeast"/>
    </w:pPr>
  </w:style>
  <w:style w:type="character" w:customStyle="1" w:styleId="429">
    <w:name w:val="标题 9 Char"/>
    <w:link w:val="12"/>
    <w:autoRedefine/>
    <w:qFormat/>
    <w:locked/>
    <w:uiPriority w:val="0"/>
    <w:rPr>
      <w:rFonts w:ascii="Arial" w:hAnsi="Arial" w:eastAsia="黑体"/>
      <w:sz w:val="21"/>
    </w:rPr>
  </w:style>
  <w:style w:type="paragraph" w:customStyle="1" w:styleId="430">
    <w:name w:val="xl53"/>
    <w:basedOn w:val="78"/>
    <w:autoRedefine/>
    <w:qFormat/>
    <w:uiPriority w:val="0"/>
    <w:pPr>
      <w:pBdr>
        <w:top w:val="single" w:color="auto" w:sz="4" w:space="0"/>
        <w:left w:val="single" w:color="auto" w:sz="4" w:space="0"/>
        <w:bottom w:val="single" w:color="auto" w:sz="4" w:space="0"/>
        <w:right w:val="single" w:color="auto" w:sz="4" w:space="0"/>
      </w:pBdr>
      <w:jc w:val="center"/>
      <w:textAlignment w:val="center"/>
    </w:pPr>
    <w:rPr>
      <w:rFonts w:ascii="Times New Roman" w:hAnsi="Times New Roman"/>
      <w:color w:val="000000"/>
      <w:sz w:val="20"/>
    </w:rPr>
  </w:style>
  <w:style w:type="character" w:customStyle="1" w:styleId="431">
    <w:name w:val="H3 Char"/>
    <w:autoRedefine/>
    <w:qFormat/>
    <w:locked/>
    <w:uiPriority w:val="0"/>
    <w:rPr>
      <w:rFonts w:eastAsia="宋体"/>
      <w:kern w:val="2"/>
      <w:sz w:val="32"/>
      <w:szCs w:val="32"/>
      <w:lang w:bidi="ar-SA"/>
    </w:rPr>
  </w:style>
  <w:style w:type="paragraph" w:customStyle="1" w:styleId="432">
    <w:name w:val="xl62"/>
    <w:basedOn w:val="78"/>
    <w:autoRedefine/>
    <w:qFormat/>
    <w:uiPriority w:val="0"/>
    <w:pPr>
      <w:pBdr>
        <w:top w:val="single" w:color="auto" w:sz="4" w:space="0"/>
        <w:left w:val="single" w:color="auto" w:sz="4" w:space="0"/>
        <w:bottom w:val="single" w:color="auto" w:sz="4" w:space="0"/>
        <w:right w:val="single" w:color="auto" w:sz="4" w:space="0"/>
      </w:pBdr>
      <w:jc w:val="center"/>
      <w:textAlignment w:val="center"/>
    </w:pPr>
    <w:rPr>
      <w:rFonts w:ascii="Times New Roman" w:hAnsi="Times New Roman"/>
      <w:color w:val="FF0000"/>
      <w:sz w:val="20"/>
    </w:rPr>
  </w:style>
  <w:style w:type="character" w:customStyle="1" w:styleId="433">
    <w:name w:val="正文文本缩进 2 Char1"/>
    <w:autoRedefine/>
    <w:semiHidden/>
    <w:qFormat/>
    <w:uiPriority w:val="99"/>
    <w:rPr>
      <w:rFonts w:ascii="Times New Roman" w:hAnsi="Times New Roman" w:eastAsia="宋体" w:cs="Times New Roman"/>
      <w:szCs w:val="20"/>
    </w:rPr>
  </w:style>
  <w:style w:type="character" w:customStyle="1" w:styleId="434">
    <w:name w:val="text1"/>
    <w:autoRedefine/>
    <w:qFormat/>
    <w:uiPriority w:val="0"/>
    <w:rPr>
      <w:spacing w:val="375"/>
      <w:sz w:val="21"/>
    </w:rPr>
  </w:style>
  <w:style w:type="character" w:customStyle="1" w:styleId="435">
    <w:name w:val="正文样式 Char"/>
    <w:link w:val="420"/>
    <w:autoRedefine/>
    <w:qFormat/>
    <w:uiPriority w:val="0"/>
    <w:rPr>
      <w:bCs/>
      <w:kern w:val="2"/>
      <w:sz w:val="28"/>
      <w:szCs w:val="28"/>
    </w:rPr>
  </w:style>
  <w:style w:type="character" w:customStyle="1" w:styleId="436">
    <w:name w:val="Char Char33"/>
    <w:autoRedefine/>
    <w:qFormat/>
    <w:uiPriority w:val="0"/>
    <w:rPr>
      <w:sz w:val="28"/>
    </w:rPr>
  </w:style>
  <w:style w:type="paragraph" w:customStyle="1" w:styleId="437">
    <w:name w:val="修订1"/>
    <w:autoRedefine/>
    <w:semiHidden/>
    <w:qFormat/>
    <w:uiPriority w:val="99"/>
    <w:rPr>
      <w:rFonts w:ascii="Times New Roman" w:hAnsi="Times New Roman" w:eastAsia="宋体" w:cs="Times New Roman"/>
      <w:kern w:val="2"/>
      <w:sz w:val="21"/>
      <w:szCs w:val="24"/>
      <w:lang w:val="en-US" w:eastAsia="zh-CN" w:bidi="ar-SA"/>
    </w:rPr>
  </w:style>
  <w:style w:type="paragraph" w:customStyle="1" w:styleId="438">
    <w:name w:val="表头"/>
    <w:basedOn w:val="260"/>
    <w:next w:val="260"/>
    <w:autoRedefine/>
    <w:qFormat/>
    <w:uiPriority w:val="0"/>
    <w:pPr>
      <w:spacing w:before="120" w:after="120"/>
    </w:pPr>
    <w:rPr>
      <w:sz w:val="32"/>
    </w:rPr>
  </w:style>
  <w:style w:type="character" w:customStyle="1" w:styleId="439">
    <w:name w:val="正文文本 Char1"/>
    <w:autoRedefine/>
    <w:semiHidden/>
    <w:qFormat/>
    <w:uiPriority w:val="99"/>
    <w:rPr>
      <w:rFonts w:ascii="Times New Roman" w:hAnsi="Times New Roman" w:eastAsia="宋体" w:cs="Times New Roman"/>
      <w:szCs w:val="20"/>
    </w:rPr>
  </w:style>
  <w:style w:type="paragraph" w:customStyle="1" w:styleId="440">
    <w:name w:val="xl107"/>
    <w:basedOn w:val="78"/>
    <w:autoRedefine/>
    <w:qFormat/>
    <w:uiPriority w:val="0"/>
    <w:pPr>
      <w:jc w:val="center"/>
      <w:textAlignment w:val="center"/>
    </w:pPr>
    <w:rPr>
      <w:rFonts w:ascii="Times New Roman" w:hAnsi="Times New Roman"/>
    </w:rPr>
  </w:style>
  <w:style w:type="paragraph" w:customStyle="1" w:styleId="441">
    <w:name w:val="xl111"/>
    <w:basedOn w:val="78"/>
    <w:autoRedefine/>
    <w:qFormat/>
    <w:uiPriority w:val="0"/>
    <w:pPr>
      <w:jc w:val="center"/>
      <w:textAlignment w:val="auto"/>
    </w:pPr>
    <w:rPr>
      <w:rFonts w:ascii="Times New Roman" w:hAnsi="Times New Roman"/>
    </w:rPr>
  </w:style>
  <w:style w:type="character" w:customStyle="1" w:styleId="442">
    <w:name w:val="Char Char1511"/>
    <w:autoRedefine/>
    <w:qFormat/>
    <w:uiPriority w:val="0"/>
    <w:rPr>
      <w:rFonts w:ascii="Arial" w:hAnsi="Arial" w:eastAsia="黑体" w:cs="Arial"/>
      <w:b/>
      <w:bCs/>
      <w:kern w:val="2"/>
      <w:sz w:val="28"/>
      <w:szCs w:val="28"/>
    </w:rPr>
  </w:style>
  <w:style w:type="character" w:customStyle="1" w:styleId="443">
    <w:name w:val="纯文本 Char1"/>
    <w:autoRedefine/>
    <w:qFormat/>
    <w:uiPriority w:val="99"/>
    <w:rPr>
      <w:rFonts w:ascii="宋体" w:hAnsi="Courier New" w:cs="Courier New"/>
      <w:kern w:val="2"/>
      <w:sz w:val="21"/>
      <w:szCs w:val="21"/>
    </w:rPr>
  </w:style>
  <w:style w:type="character" w:customStyle="1" w:styleId="444">
    <w:name w:val="纯文本 Char"/>
    <w:link w:val="33"/>
    <w:autoRedefine/>
    <w:qFormat/>
    <w:locked/>
    <w:uiPriority w:val="0"/>
    <w:rPr>
      <w:rFonts w:ascii="宋体" w:hAnsi="Courier New" w:eastAsia="宋体"/>
      <w:kern w:val="2"/>
      <w:sz w:val="28"/>
      <w:lang w:val="en-US" w:eastAsia="zh-CN" w:bidi="ar-SA"/>
    </w:rPr>
  </w:style>
  <w:style w:type="character" w:customStyle="1" w:styleId="445">
    <w:name w:val="fontstyle01"/>
    <w:autoRedefine/>
    <w:qFormat/>
    <w:uiPriority w:val="0"/>
    <w:rPr>
      <w:rFonts w:hint="eastAsia" w:ascii="宋体" w:hAnsi="宋体" w:eastAsia="宋体"/>
      <w:color w:val="000000"/>
      <w:sz w:val="24"/>
      <w:szCs w:val="24"/>
    </w:rPr>
  </w:style>
  <w:style w:type="character" w:customStyle="1" w:styleId="446">
    <w:name w:val="正文文本缩进 3 Char"/>
    <w:link w:val="48"/>
    <w:autoRedefine/>
    <w:qFormat/>
    <w:locked/>
    <w:uiPriority w:val="0"/>
    <w:rPr>
      <w:sz w:val="28"/>
    </w:rPr>
  </w:style>
  <w:style w:type="character" w:customStyle="1" w:styleId="447">
    <w:name w:val="列出段落 Char"/>
    <w:link w:val="128"/>
    <w:autoRedefine/>
    <w:qFormat/>
    <w:uiPriority w:val="34"/>
    <w:rPr>
      <w:kern w:val="2"/>
      <w:sz w:val="21"/>
      <w:szCs w:val="24"/>
    </w:rPr>
  </w:style>
  <w:style w:type="paragraph" w:customStyle="1" w:styleId="448">
    <w:name w:val="Table Paragraph"/>
    <w:basedOn w:val="1"/>
    <w:autoRedefine/>
    <w:qFormat/>
    <w:uiPriority w:val="1"/>
    <w:pPr>
      <w:spacing w:line="331" w:lineRule="exact"/>
      <w:ind w:left="96" w:firstLine="0" w:firstLineChars="0"/>
      <w:jc w:val="center"/>
    </w:pPr>
    <w:rPr>
      <w:rFonts w:ascii="华文宋体" w:hAnsi="华文宋体" w:eastAsia="华文宋体" w:cs="华文宋体"/>
      <w:sz w:val="21"/>
      <w:lang w:val="nl-NL" w:eastAsia="nl-NL" w:bidi="nl-NL"/>
    </w:rPr>
  </w:style>
  <w:style w:type="character" w:customStyle="1" w:styleId="449">
    <w:name w:val="标题 4 字符"/>
    <w:autoRedefine/>
    <w:semiHidden/>
    <w:qFormat/>
    <w:uiPriority w:val="9"/>
    <w:rPr>
      <w:rFonts w:ascii="等线 Light" w:hAnsi="等线 Light" w:eastAsia="等线 Light" w:cs="Times New Roman"/>
      <w:b/>
      <w:bCs/>
      <w:kern w:val="2"/>
      <w:sz w:val="28"/>
      <w:szCs w:val="28"/>
    </w:rPr>
  </w:style>
  <w:style w:type="paragraph" w:customStyle="1" w:styleId="450">
    <w:name w:val="xl56"/>
    <w:basedOn w:val="78"/>
    <w:autoRedefine/>
    <w:qFormat/>
    <w:uiPriority w:val="0"/>
    <w:pPr>
      <w:pBdr>
        <w:top w:val="single" w:color="auto" w:sz="4" w:space="0"/>
        <w:left w:val="single" w:color="auto" w:sz="4" w:space="0"/>
        <w:bottom w:val="single" w:color="auto" w:sz="4" w:space="0"/>
        <w:right w:val="single" w:color="auto" w:sz="4" w:space="0"/>
      </w:pBdr>
      <w:jc w:val="center"/>
      <w:textAlignment w:val="center"/>
    </w:pPr>
    <w:rPr>
      <w:rFonts w:ascii="Times New Roman" w:hAnsi="Times New Roman"/>
      <w:color w:val="FF6600"/>
      <w:sz w:val="20"/>
    </w:rPr>
  </w:style>
  <w:style w:type="paragraph" w:customStyle="1" w:styleId="451">
    <w:name w:val="2级标题"/>
    <w:basedOn w:val="1"/>
    <w:link w:val="499"/>
    <w:autoRedefine/>
    <w:qFormat/>
    <w:uiPriority w:val="0"/>
    <w:pPr>
      <w:ind w:firstLine="0" w:firstLineChars="0"/>
      <w:outlineLvl w:val="1"/>
    </w:pPr>
    <w:rPr>
      <w:rFonts w:cs="Times New Roman"/>
      <w:b/>
      <w:sz w:val="28"/>
      <w:szCs w:val="28"/>
    </w:rPr>
  </w:style>
  <w:style w:type="paragraph" w:customStyle="1" w:styleId="452">
    <w:name w:val="大纲三级标题 Char Char Char1"/>
    <w:basedOn w:val="1"/>
    <w:autoRedefine/>
    <w:qFormat/>
    <w:uiPriority w:val="0"/>
    <w:pPr>
      <w:tabs>
        <w:tab w:val="left" w:pos="4665"/>
        <w:tab w:val="left" w:pos="8970"/>
      </w:tabs>
      <w:spacing w:before="156" w:beforeLines="50" w:after="156" w:afterLines="50"/>
      <w:ind w:firstLine="403"/>
      <w:jc w:val="center"/>
    </w:pPr>
    <w:rPr>
      <w:rFonts w:ascii="Tahoma" w:hAnsi="Tahoma"/>
      <w:b/>
      <w:sz w:val="28"/>
    </w:rPr>
  </w:style>
  <w:style w:type="paragraph" w:customStyle="1" w:styleId="453">
    <w:name w:val="正文文本缩进 212"/>
    <w:basedOn w:val="1"/>
    <w:autoRedefine/>
    <w:qFormat/>
    <w:uiPriority w:val="0"/>
    <w:pPr>
      <w:shd w:val="solid" w:color="FFFFFF" w:fill="auto"/>
      <w:autoSpaceDE w:val="0"/>
      <w:autoSpaceDN w:val="0"/>
      <w:adjustRightInd w:val="0"/>
      <w:ind w:firstLine="600"/>
    </w:pPr>
    <w:rPr>
      <w:kern w:val="0"/>
      <w:sz w:val="28"/>
    </w:rPr>
  </w:style>
  <w:style w:type="paragraph" w:customStyle="1" w:styleId="454">
    <w:name w:val="正文首行缩进12"/>
    <w:basedOn w:val="26"/>
    <w:autoRedefine/>
    <w:qFormat/>
    <w:uiPriority w:val="0"/>
    <w:pPr>
      <w:tabs>
        <w:tab w:val="clear" w:pos="630"/>
      </w:tabs>
      <w:adjustRightInd w:val="0"/>
      <w:spacing w:line="312" w:lineRule="auto"/>
      <w:ind w:firstLine="567"/>
      <w:textAlignment w:val="baseline"/>
    </w:pPr>
    <w:rPr>
      <w:rFonts w:ascii="Calibri" w:hAnsi="Calibri"/>
      <w:kern w:val="0"/>
    </w:rPr>
  </w:style>
  <w:style w:type="paragraph" w:customStyle="1" w:styleId="455">
    <w:name w:val="Char Char Char1 Char"/>
    <w:basedOn w:val="1"/>
    <w:autoRedefine/>
    <w:qFormat/>
    <w:uiPriority w:val="0"/>
    <w:pPr>
      <w:adjustRightInd w:val="0"/>
      <w:spacing w:line="360" w:lineRule="atLeast"/>
    </w:pPr>
  </w:style>
  <w:style w:type="paragraph" w:customStyle="1" w:styleId="456">
    <w:name w:val="xl95"/>
    <w:basedOn w:val="78"/>
    <w:autoRedefine/>
    <w:qFormat/>
    <w:uiPriority w:val="0"/>
    <w:pPr>
      <w:shd w:val="clear" w:color="auto" w:fill="FFFFFF"/>
      <w:jc w:val="center"/>
      <w:textAlignment w:val="center"/>
    </w:pPr>
    <w:rPr>
      <w:sz w:val="20"/>
    </w:rPr>
  </w:style>
  <w:style w:type="paragraph" w:customStyle="1" w:styleId="457">
    <w:name w:val="Char Char Char Char Char Char Char2"/>
    <w:basedOn w:val="1"/>
    <w:autoRedefine/>
    <w:qFormat/>
    <w:uiPriority w:val="0"/>
  </w:style>
  <w:style w:type="paragraph" w:customStyle="1" w:styleId="458">
    <w:name w:val="xl39"/>
    <w:basedOn w:val="78"/>
    <w:autoRedefine/>
    <w:qFormat/>
    <w:uiPriority w:val="0"/>
    <w:pPr>
      <w:pBdr>
        <w:top w:val="single" w:color="auto" w:sz="4" w:space="0"/>
        <w:left w:val="single" w:color="auto" w:sz="4" w:space="0"/>
        <w:bottom w:val="single" w:color="auto" w:sz="4" w:space="0"/>
        <w:right w:val="single" w:color="auto" w:sz="4" w:space="0"/>
      </w:pBdr>
      <w:jc w:val="center"/>
      <w:textAlignment w:val="center"/>
    </w:pPr>
    <w:rPr>
      <w:rFonts w:ascii="Times New Roman" w:hAnsi="Times New Roman"/>
      <w:sz w:val="20"/>
    </w:rPr>
  </w:style>
  <w:style w:type="paragraph" w:customStyle="1" w:styleId="459">
    <w:name w:val="正文文本缩进 21"/>
    <w:basedOn w:val="1"/>
    <w:autoRedefine/>
    <w:qFormat/>
    <w:uiPriority w:val="0"/>
    <w:pPr>
      <w:shd w:val="solid" w:color="FFFFFF" w:fill="auto"/>
      <w:autoSpaceDE w:val="0"/>
      <w:autoSpaceDN w:val="0"/>
      <w:adjustRightInd w:val="0"/>
      <w:ind w:firstLine="600"/>
    </w:pPr>
    <w:rPr>
      <w:kern w:val="0"/>
      <w:sz w:val="28"/>
    </w:rPr>
  </w:style>
  <w:style w:type="character" w:customStyle="1" w:styleId="460">
    <w:name w:val="正文文本缩进 Char"/>
    <w:link w:val="27"/>
    <w:autoRedefine/>
    <w:qFormat/>
    <w:locked/>
    <w:uiPriority w:val="0"/>
    <w:rPr>
      <w:rFonts w:eastAsia="宋体"/>
      <w:kern w:val="2"/>
      <w:sz w:val="28"/>
      <w:szCs w:val="24"/>
      <w:lang w:val="en-US" w:eastAsia="zh-CN" w:bidi="ar-SA"/>
    </w:rPr>
  </w:style>
  <w:style w:type="character" w:customStyle="1" w:styleId="461">
    <w:name w:val="明显引用 Char"/>
    <w:link w:val="421"/>
    <w:autoRedefine/>
    <w:qFormat/>
    <w:locked/>
    <w:uiPriority w:val="0"/>
    <w:rPr>
      <w:b/>
      <w:i/>
      <w:color w:val="4F81BD"/>
      <w:lang w:bidi="ar-SA"/>
    </w:rPr>
  </w:style>
  <w:style w:type="character" w:customStyle="1" w:styleId="462">
    <w:name w:val="页脚 Char1"/>
    <w:autoRedefine/>
    <w:semiHidden/>
    <w:qFormat/>
    <w:uiPriority w:val="99"/>
    <w:rPr>
      <w:rFonts w:ascii="Times New Roman" w:hAnsi="Times New Roman" w:eastAsia="宋体" w:cs="Times New Roman"/>
      <w:sz w:val="18"/>
      <w:szCs w:val="18"/>
    </w:rPr>
  </w:style>
  <w:style w:type="paragraph" w:customStyle="1" w:styleId="463">
    <w:name w:val="工艺"/>
    <w:basedOn w:val="1"/>
    <w:autoRedefine/>
    <w:qFormat/>
    <w:uiPriority w:val="0"/>
    <w:pPr>
      <w:adjustRightInd w:val="0"/>
      <w:spacing w:line="360" w:lineRule="atLeast"/>
    </w:pPr>
    <w:rPr>
      <w:rFonts w:ascii="Arial" w:hAnsi="Arial" w:eastAsia="仿宋体"/>
      <w:kern w:val="0"/>
      <w:sz w:val="28"/>
    </w:rPr>
  </w:style>
  <w:style w:type="character" w:customStyle="1" w:styleId="464">
    <w:name w:val="正文表格 Char"/>
    <w:link w:val="388"/>
    <w:autoRedefine/>
    <w:qFormat/>
    <w:uiPriority w:val="0"/>
    <w:rPr>
      <w:kern w:val="2"/>
      <w:sz w:val="21"/>
    </w:rPr>
  </w:style>
  <w:style w:type="character" w:customStyle="1" w:styleId="465">
    <w:name w:val="轧制表2 Char"/>
    <w:autoRedefine/>
    <w:qFormat/>
    <w:locked/>
    <w:uiPriority w:val="0"/>
    <w:rPr>
      <w:rFonts w:ascii="宋体" w:hAnsi="Courier New" w:eastAsia="宋体" w:cs="宋体"/>
      <w:kern w:val="2"/>
      <w:sz w:val="21"/>
      <w:szCs w:val="21"/>
      <w:lang w:val="en-US" w:eastAsia="zh-CN" w:bidi="ar-SA"/>
    </w:rPr>
  </w:style>
  <w:style w:type="paragraph" w:customStyle="1" w:styleId="466">
    <w:name w:val="Char Char Char Char Char Char Char Char Char"/>
    <w:basedOn w:val="1"/>
    <w:autoRedefine/>
    <w:qFormat/>
    <w:uiPriority w:val="0"/>
    <w:pPr>
      <w:ind w:firstLine="200"/>
    </w:pPr>
    <w:rPr>
      <w:rFonts w:cs="宋体"/>
    </w:rPr>
  </w:style>
  <w:style w:type="paragraph" w:customStyle="1" w:styleId="467">
    <w:name w:val="xl91"/>
    <w:basedOn w:val="78"/>
    <w:autoRedefine/>
    <w:qFormat/>
    <w:uiPriority w:val="0"/>
    <w:pPr>
      <w:jc w:val="center"/>
      <w:textAlignment w:val="center"/>
    </w:pPr>
  </w:style>
  <w:style w:type="character" w:customStyle="1" w:styleId="468">
    <w:name w:val="日期 字符"/>
    <w:autoRedefine/>
    <w:semiHidden/>
    <w:qFormat/>
    <w:uiPriority w:val="99"/>
    <w:rPr>
      <w:kern w:val="2"/>
      <w:sz w:val="21"/>
      <w:szCs w:val="22"/>
    </w:rPr>
  </w:style>
  <w:style w:type="paragraph" w:customStyle="1" w:styleId="469">
    <w:name w:val="xl28"/>
    <w:basedOn w:val="78"/>
    <w:autoRedefine/>
    <w:qFormat/>
    <w:uiPriority w:val="0"/>
    <w:pPr>
      <w:pBdr>
        <w:top w:val="single" w:color="auto" w:sz="4" w:space="0"/>
        <w:left w:val="single" w:color="auto" w:sz="4" w:space="0"/>
        <w:bottom w:val="single" w:color="auto" w:sz="4" w:space="0"/>
        <w:right w:val="single" w:color="auto" w:sz="4" w:space="0"/>
      </w:pBdr>
      <w:jc w:val="center"/>
      <w:textAlignment w:val="center"/>
    </w:pPr>
  </w:style>
  <w:style w:type="paragraph" w:customStyle="1" w:styleId="470">
    <w:name w:val="列出段落13"/>
    <w:basedOn w:val="1"/>
    <w:autoRedefine/>
    <w:qFormat/>
    <w:uiPriority w:val="0"/>
    <w:pPr>
      <w:ind w:firstLine="420"/>
    </w:pPr>
    <w:rPr>
      <w:szCs w:val="21"/>
    </w:rPr>
  </w:style>
  <w:style w:type="paragraph" w:customStyle="1" w:styleId="471">
    <w:name w:val="xl78"/>
    <w:basedOn w:val="78"/>
    <w:autoRedefine/>
    <w:qFormat/>
    <w:uiPriority w:val="0"/>
    <w:pPr>
      <w:textAlignment w:val="center"/>
    </w:pPr>
    <w:rPr>
      <w:rFonts w:ascii="Times New Roman" w:hAnsi="Times New Roman"/>
      <w:sz w:val="20"/>
    </w:rPr>
  </w:style>
  <w:style w:type="paragraph" w:customStyle="1" w:styleId="472">
    <w:name w:val="Char Char Char1"/>
    <w:basedOn w:val="1"/>
    <w:autoRedefine/>
    <w:qFormat/>
    <w:uiPriority w:val="0"/>
    <w:rPr>
      <w:rFonts w:ascii="Tahoma" w:hAnsi="Tahoma"/>
    </w:rPr>
  </w:style>
  <w:style w:type="paragraph" w:customStyle="1" w:styleId="473">
    <w:name w:val="Char Char1 Char Char Char Char Char Char2"/>
    <w:basedOn w:val="1"/>
    <w:autoRedefine/>
    <w:qFormat/>
    <w:uiPriority w:val="0"/>
    <w:pPr>
      <w:widowControl/>
      <w:spacing w:after="160" w:line="240" w:lineRule="exact"/>
    </w:pPr>
    <w:rPr>
      <w:kern w:val="0"/>
      <w:szCs w:val="21"/>
      <w:lang w:eastAsia="en-US"/>
    </w:rPr>
  </w:style>
  <w:style w:type="paragraph" w:customStyle="1" w:styleId="474">
    <w:name w:val="font8"/>
    <w:basedOn w:val="1"/>
    <w:autoRedefine/>
    <w:qFormat/>
    <w:uiPriority w:val="0"/>
    <w:pPr>
      <w:widowControl/>
      <w:spacing w:before="100" w:beforeAutospacing="1" w:after="100" w:afterAutospacing="1"/>
    </w:pPr>
    <w:rPr>
      <w:kern w:val="0"/>
      <w:sz w:val="32"/>
    </w:rPr>
  </w:style>
  <w:style w:type="paragraph" w:customStyle="1" w:styleId="475">
    <w:name w:val="正文首行缩进3"/>
    <w:basedOn w:val="26"/>
    <w:autoRedefine/>
    <w:qFormat/>
    <w:uiPriority w:val="0"/>
    <w:pPr>
      <w:tabs>
        <w:tab w:val="clear" w:pos="630"/>
      </w:tabs>
      <w:adjustRightInd w:val="0"/>
      <w:spacing w:line="312" w:lineRule="auto"/>
      <w:ind w:firstLine="567"/>
      <w:textAlignment w:val="baseline"/>
    </w:pPr>
    <w:rPr>
      <w:rFonts w:ascii="Calibri" w:hAnsi="Calibri"/>
      <w:kern w:val="0"/>
      <w:sz w:val="24"/>
    </w:rPr>
  </w:style>
  <w:style w:type="paragraph" w:customStyle="1" w:styleId="476">
    <w:name w:val="Char Char Char21"/>
    <w:basedOn w:val="1"/>
    <w:autoRedefine/>
    <w:qFormat/>
    <w:uiPriority w:val="0"/>
    <w:rPr>
      <w:rFonts w:ascii="Tahoma" w:hAnsi="Tahoma"/>
    </w:rPr>
  </w:style>
  <w:style w:type="character" w:customStyle="1" w:styleId="477">
    <w:name w:val="Char Char123"/>
    <w:autoRedefine/>
    <w:qFormat/>
    <w:uiPriority w:val="0"/>
    <w:rPr>
      <w:rFonts w:ascii="Times New Roman" w:hAnsi="Times New Roman"/>
      <w:b/>
      <w:bCs/>
      <w:sz w:val="24"/>
      <w:szCs w:val="24"/>
    </w:rPr>
  </w:style>
  <w:style w:type="character" w:customStyle="1" w:styleId="478">
    <w:name w:val="表格1 Char"/>
    <w:link w:val="343"/>
    <w:autoRedefine/>
    <w:qFormat/>
    <w:uiPriority w:val="0"/>
    <w:rPr>
      <w:rFonts w:ascii="宋体" w:hAnsi="宋体" w:eastAsia="宋体" w:cs="Arial"/>
      <w:kern w:val="2"/>
      <w:sz w:val="18"/>
      <w:szCs w:val="24"/>
      <w:lang w:bidi="ar-SA"/>
    </w:rPr>
  </w:style>
  <w:style w:type="character" w:customStyle="1" w:styleId="479">
    <w:name w:val="引用 Char"/>
    <w:link w:val="215"/>
    <w:autoRedefine/>
    <w:qFormat/>
    <w:locked/>
    <w:uiPriority w:val="0"/>
    <w:rPr>
      <w:i/>
      <w:color w:val="000000"/>
      <w:lang w:bidi="ar-SA"/>
    </w:rPr>
  </w:style>
  <w:style w:type="paragraph" w:customStyle="1" w:styleId="480">
    <w:name w:val="Char Char Char Char2"/>
    <w:basedOn w:val="1"/>
    <w:autoRedefine/>
    <w:qFormat/>
    <w:uiPriority w:val="0"/>
    <w:rPr>
      <w:szCs w:val="21"/>
    </w:rPr>
  </w:style>
  <w:style w:type="paragraph" w:customStyle="1" w:styleId="481">
    <w:name w:val="Char Char Char Char5"/>
    <w:basedOn w:val="1"/>
    <w:autoRedefine/>
    <w:qFormat/>
    <w:uiPriority w:val="0"/>
  </w:style>
  <w:style w:type="paragraph" w:customStyle="1" w:styleId="482">
    <w:name w:val="xl35"/>
    <w:basedOn w:val="78"/>
    <w:autoRedefine/>
    <w:qFormat/>
    <w:uiPriority w:val="0"/>
    <w:pPr>
      <w:pBdr>
        <w:top w:val="single" w:color="auto" w:sz="4" w:space="0"/>
        <w:left w:val="single" w:color="auto" w:sz="4" w:space="0"/>
        <w:bottom w:val="single" w:color="auto" w:sz="4" w:space="0"/>
        <w:right w:val="single" w:color="auto" w:sz="4" w:space="0"/>
      </w:pBdr>
      <w:textAlignment w:val="center"/>
    </w:pPr>
    <w:rPr>
      <w:rFonts w:ascii="Times New Roman" w:hAnsi="Times New Roman"/>
      <w:sz w:val="20"/>
    </w:rPr>
  </w:style>
  <w:style w:type="paragraph" w:customStyle="1" w:styleId="483">
    <w:name w:val="xl46"/>
    <w:basedOn w:val="78"/>
    <w:autoRedefine/>
    <w:qFormat/>
    <w:uiPriority w:val="0"/>
    <w:pPr>
      <w:pBdr>
        <w:top w:val="single" w:color="auto" w:sz="4" w:space="0"/>
        <w:left w:val="single" w:color="auto" w:sz="4" w:space="0"/>
        <w:bottom w:val="single" w:color="auto" w:sz="4" w:space="0"/>
        <w:right w:val="single" w:color="auto" w:sz="4" w:space="0"/>
      </w:pBdr>
      <w:textAlignment w:val="auto"/>
    </w:pPr>
    <w:rPr>
      <w:sz w:val="20"/>
    </w:rPr>
  </w:style>
  <w:style w:type="paragraph" w:customStyle="1" w:styleId="484">
    <w:name w:val="默认段落字体 Para Char"/>
    <w:basedOn w:val="1"/>
    <w:autoRedefine/>
    <w:qFormat/>
    <w:uiPriority w:val="0"/>
    <w:rPr>
      <w:rFonts w:ascii="Tahoma" w:hAnsi="Tahoma"/>
    </w:rPr>
  </w:style>
  <w:style w:type="paragraph" w:customStyle="1" w:styleId="485">
    <w:name w:val="u正文"/>
    <w:basedOn w:val="1"/>
    <w:autoRedefine/>
    <w:qFormat/>
    <w:uiPriority w:val="0"/>
    <w:pPr>
      <w:spacing w:beforeLines="10" w:afterLines="10" w:line="312" w:lineRule="auto"/>
      <w:ind w:firstLine="200"/>
    </w:pPr>
    <w:rPr>
      <w:rFonts w:cs="宋体"/>
    </w:rPr>
  </w:style>
  <w:style w:type="paragraph" w:customStyle="1" w:styleId="486">
    <w:name w:val="font1"/>
    <w:basedOn w:val="1"/>
    <w:autoRedefine/>
    <w:qFormat/>
    <w:uiPriority w:val="0"/>
    <w:pPr>
      <w:widowControl/>
      <w:spacing w:before="100" w:beforeAutospacing="1" w:after="100" w:afterAutospacing="1"/>
    </w:pPr>
    <w:rPr>
      <w:rFonts w:hint="eastAsia"/>
      <w:kern w:val="0"/>
    </w:rPr>
  </w:style>
  <w:style w:type="paragraph" w:customStyle="1" w:styleId="487">
    <w:name w:val="样式 四号"/>
    <w:basedOn w:val="1"/>
    <w:autoRedefine/>
    <w:qFormat/>
    <w:uiPriority w:val="0"/>
    <w:rPr>
      <w:sz w:val="28"/>
    </w:rPr>
  </w:style>
  <w:style w:type="table" w:customStyle="1" w:styleId="488">
    <w:name w:val="网格型1"/>
    <w:basedOn w:val="60"/>
    <w:autoRedefine/>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89">
    <w:name w:val="Char Char111"/>
    <w:autoRedefine/>
    <w:qFormat/>
    <w:uiPriority w:val="0"/>
    <w:rPr>
      <w:rFonts w:ascii="Arial" w:hAnsi="Arial" w:eastAsia="黑体" w:cs="Arial"/>
      <w:sz w:val="24"/>
      <w:szCs w:val="24"/>
    </w:rPr>
  </w:style>
  <w:style w:type="character" w:customStyle="1" w:styleId="490">
    <w:name w:val="批注框文本 Char1"/>
    <w:autoRedefine/>
    <w:semiHidden/>
    <w:qFormat/>
    <w:uiPriority w:val="99"/>
    <w:rPr>
      <w:rFonts w:ascii="Times New Roman" w:hAnsi="Times New Roman" w:eastAsia="宋体" w:cs="Times New Roman"/>
      <w:sz w:val="18"/>
      <w:szCs w:val="18"/>
    </w:rPr>
  </w:style>
  <w:style w:type="character" w:customStyle="1" w:styleId="491">
    <w:name w:val="标题 9 字符"/>
    <w:autoRedefine/>
    <w:semiHidden/>
    <w:qFormat/>
    <w:uiPriority w:val="9"/>
    <w:rPr>
      <w:rFonts w:ascii="等线 Light" w:hAnsi="等线 Light" w:eastAsia="等线 Light" w:cs="Times New Roman"/>
      <w:kern w:val="2"/>
      <w:sz w:val="21"/>
      <w:szCs w:val="21"/>
    </w:rPr>
  </w:style>
  <w:style w:type="paragraph" w:customStyle="1" w:styleId="492">
    <w:name w:val="正文12"/>
    <w:autoRedefine/>
    <w:qFormat/>
    <w:uiPriority w:val="0"/>
    <w:pPr>
      <w:widowControl w:val="0"/>
      <w:adjustRightInd w:val="0"/>
      <w:spacing w:line="360" w:lineRule="atLeast"/>
    </w:pPr>
    <w:rPr>
      <w:rFonts w:ascii="宋体" w:hAnsi="Times New Roman" w:eastAsia="宋体" w:cs="Times New Roman"/>
      <w:sz w:val="34"/>
      <w:lang w:val="en-US" w:eastAsia="zh-CN" w:bidi="ar-SA"/>
    </w:rPr>
  </w:style>
  <w:style w:type="paragraph" w:customStyle="1" w:styleId="493">
    <w:name w:val="正文表头"/>
    <w:basedOn w:val="1"/>
    <w:next w:val="388"/>
    <w:autoRedefine/>
    <w:qFormat/>
    <w:uiPriority w:val="0"/>
    <w:pPr>
      <w:keepNext/>
      <w:tabs>
        <w:tab w:val="center" w:pos="4253"/>
        <w:tab w:val="right" w:pos="8505"/>
      </w:tabs>
      <w:spacing w:before="120"/>
      <w:jc w:val="center"/>
    </w:pPr>
    <w:rPr>
      <w:rFonts w:eastAsia="黑体"/>
    </w:rPr>
  </w:style>
  <w:style w:type="paragraph" w:customStyle="1" w:styleId="494">
    <w:name w:val="xl40"/>
    <w:basedOn w:val="78"/>
    <w:autoRedefine/>
    <w:qFormat/>
    <w:uiPriority w:val="0"/>
    <w:pPr>
      <w:pBdr>
        <w:top w:val="single" w:color="auto" w:sz="4" w:space="0"/>
        <w:left w:val="single" w:color="auto" w:sz="4" w:space="0"/>
        <w:bottom w:val="single" w:color="auto" w:sz="4" w:space="0"/>
        <w:right w:val="single" w:color="auto" w:sz="4" w:space="0"/>
      </w:pBdr>
      <w:jc w:val="center"/>
      <w:textAlignment w:val="center"/>
    </w:pPr>
    <w:rPr>
      <w:sz w:val="20"/>
    </w:rPr>
  </w:style>
  <w:style w:type="paragraph" w:customStyle="1" w:styleId="495">
    <w:name w:val="Char Char Char2"/>
    <w:basedOn w:val="1"/>
    <w:autoRedefine/>
    <w:qFormat/>
    <w:uiPriority w:val="0"/>
    <w:rPr>
      <w:rFonts w:ascii="Tahoma" w:hAnsi="Tahoma"/>
    </w:rPr>
  </w:style>
  <w:style w:type="character" w:customStyle="1" w:styleId="496">
    <w:name w:val="访问过的超链接1"/>
    <w:autoRedefine/>
    <w:unhideWhenUsed/>
    <w:qFormat/>
    <w:uiPriority w:val="99"/>
    <w:rPr>
      <w:color w:val="954F72"/>
      <w:u w:val="single"/>
    </w:rPr>
  </w:style>
  <w:style w:type="paragraph" w:customStyle="1" w:styleId="497">
    <w:name w:val="xl92"/>
    <w:basedOn w:val="78"/>
    <w:autoRedefine/>
    <w:qFormat/>
    <w:uiPriority w:val="0"/>
    <w:pPr>
      <w:textAlignment w:val="center"/>
    </w:pPr>
  </w:style>
  <w:style w:type="paragraph" w:customStyle="1" w:styleId="498">
    <w:name w:val="Char Char1 Char Char Char Char Char Char1"/>
    <w:basedOn w:val="1"/>
    <w:autoRedefine/>
    <w:qFormat/>
    <w:uiPriority w:val="0"/>
    <w:pPr>
      <w:widowControl/>
      <w:spacing w:after="160" w:line="240" w:lineRule="exact"/>
    </w:pPr>
    <w:rPr>
      <w:kern w:val="0"/>
      <w:szCs w:val="21"/>
      <w:lang w:eastAsia="en-US"/>
    </w:rPr>
  </w:style>
  <w:style w:type="character" w:customStyle="1" w:styleId="499">
    <w:name w:val="2级标题 Char"/>
    <w:link w:val="451"/>
    <w:autoRedefine/>
    <w:qFormat/>
    <w:uiPriority w:val="0"/>
    <w:rPr>
      <w:rFonts w:ascii="宋体" w:hAnsi="宋体" w:cs="Arial"/>
      <w:b/>
      <w:kern w:val="2"/>
      <w:sz w:val="28"/>
      <w:szCs w:val="28"/>
    </w:rPr>
  </w:style>
  <w:style w:type="paragraph" w:customStyle="1" w:styleId="500">
    <w:name w:val="xl94"/>
    <w:basedOn w:val="78"/>
    <w:autoRedefine/>
    <w:qFormat/>
    <w:uiPriority w:val="0"/>
    <w:pPr>
      <w:jc w:val="center"/>
      <w:textAlignment w:val="auto"/>
    </w:pPr>
  </w:style>
  <w:style w:type="paragraph" w:customStyle="1" w:styleId="501">
    <w:name w:val="xl63"/>
    <w:basedOn w:val="78"/>
    <w:autoRedefine/>
    <w:qFormat/>
    <w:uiPriority w:val="0"/>
    <w:pPr>
      <w:pBdr>
        <w:top w:val="single" w:color="auto" w:sz="4" w:space="0"/>
        <w:left w:val="single" w:color="auto" w:sz="4" w:space="0"/>
        <w:bottom w:val="single" w:color="auto" w:sz="4" w:space="0"/>
        <w:right w:val="single" w:color="auto" w:sz="4" w:space="0"/>
      </w:pBdr>
      <w:jc w:val="center"/>
      <w:textAlignment w:val="center"/>
    </w:pPr>
    <w:rPr>
      <w:rFonts w:ascii="Times New Roman" w:hAnsi="Times New Roman"/>
      <w:color w:val="000000"/>
      <w:sz w:val="20"/>
    </w:rPr>
  </w:style>
  <w:style w:type="paragraph" w:customStyle="1" w:styleId="502">
    <w:name w:val="正文文本 22"/>
    <w:basedOn w:val="1"/>
    <w:autoRedefine/>
    <w:qFormat/>
    <w:uiPriority w:val="0"/>
    <w:pPr>
      <w:adjustRightInd w:val="0"/>
      <w:jc w:val="center"/>
      <w:textAlignment w:val="baseline"/>
    </w:pPr>
    <w:rPr>
      <w:kern w:val="0"/>
    </w:rPr>
  </w:style>
  <w:style w:type="paragraph" w:customStyle="1" w:styleId="503">
    <w:name w:val="正文 New"/>
    <w:autoRedefine/>
    <w:qFormat/>
    <w:uiPriority w:val="99"/>
    <w:pPr>
      <w:spacing w:line="312" w:lineRule="auto"/>
      <w:ind w:firstLine="476"/>
    </w:pPr>
    <w:rPr>
      <w:rFonts w:ascii="Times New Roman" w:hAnsi="Times New Roman" w:eastAsia="宋体" w:cs="Times New Roman"/>
      <w:spacing w:val="-5"/>
      <w:sz w:val="24"/>
      <w:lang w:val="en-US" w:eastAsia="zh-CN" w:bidi="ar-SA"/>
    </w:rPr>
  </w:style>
  <w:style w:type="character" w:customStyle="1" w:styleId="504">
    <w:name w:val="00 正文 Char"/>
    <w:link w:val="74"/>
    <w:autoRedefine/>
    <w:qFormat/>
    <w:uiPriority w:val="0"/>
    <w:rPr>
      <w:rFonts w:ascii="宋体" w:hAnsi="宋体"/>
      <w:bCs/>
      <w:sz w:val="24"/>
    </w:rPr>
  </w:style>
  <w:style w:type="character" w:customStyle="1" w:styleId="505">
    <w:name w:val="节标题 1.1 Char"/>
    <w:autoRedefine/>
    <w:qFormat/>
    <w:locked/>
    <w:uiPriority w:val="0"/>
    <w:rPr>
      <w:rFonts w:ascii="Arial" w:hAnsi="Arial" w:eastAsia="黑体"/>
      <w:kern w:val="2"/>
      <w:sz w:val="32"/>
      <w:szCs w:val="32"/>
      <w:lang w:bidi="ar-SA"/>
    </w:rPr>
  </w:style>
  <w:style w:type="character" w:customStyle="1" w:styleId="506">
    <w:name w:val="font41"/>
    <w:autoRedefine/>
    <w:qFormat/>
    <w:uiPriority w:val="0"/>
    <w:rPr>
      <w:rFonts w:ascii="Arial" w:hAnsi="Arial" w:cs="Arial"/>
      <w:color w:val="000000"/>
      <w:sz w:val="24"/>
      <w:szCs w:val="24"/>
      <w:u w:val="none"/>
    </w:rPr>
  </w:style>
  <w:style w:type="paragraph" w:customStyle="1" w:styleId="507">
    <w:name w:val="xl89"/>
    <w:basedOn w:val="78"/>
    <w:autoRedefine/>
    <w:qFormat/>
    <w:uiPriority w:val="0"/>
    <w:pPr>
      <w:jc w:val="center"/>
      <w:textAlignment w:val="auto"/>
    </w:pPr>
  </w:style>
  <w:style w:type="paragraph" w:customStyle="1" w:styleId="508">
    <w:name w:val="列项圆点"/>
    <w:basedOn w:val="1"/>
    <w:autoRedefine/>
    <w:qFormat/>
    <w:uiPriority w:val="0"/>
    <w:pPr>
      <w:tabs>
        <w:tab w:val="left" w:pos="854"/>
      </w:tabs>
      <w:ind w:left="360" w:hanging="360"/>
    </w:pPr>
  </w:style>
  <w:style w:type="character" w:customStyle="1" w:styleId="509">
    <w:name w:val="标题 1 Char1"/>
    <w:autoRedefine/>
    <w:qFormat/>
    <w:uiPriority w:val="0"/>
    <w:rPr>
      <w:b/>
      <w:bCs/>
      <w:kern w:val="44"/>
      <w:sz w:val="44"/>
      <w:szCs w:val="44"/>
    </w:rPr>
  </w:style>
  <w:style w:type="character" w:customStyle="1" w:styleId="510">
    <w:name w:val="Footer-Even Char Char"/>
    <w:autoRedefine/>
    <w:qFormat/>
    <w:uiPriority w:val="0"/>
    <w:rPr>
      <w:rFonts w:ascii="Times New Roman" w:hAnsi="Times New Roman" w:eastAsia="宋体" w:cs="Times New Roman"/>
      <w:sz w:val="18"/>
      <w:szCs w:val="20"/>
    </w:rPr>
  </w:style>
  <w:style w:type="character" w:customStyle="1" w:styleId="511">
    <w:name w:val="标题 3 Char"/>
    <w:link w:val="6"/>
    <w:autoRedefine/>
    <w:qFormat/>
    <w:locked/>
    <w:uiPriority w:val="0"/>
    <w:rPr>
      <w:rFonts w:eastAsia="宋体"/>
      <w:b/>
      <w:bCs/>
      <w:kern w:val="2"/>
      <w:sz w:val="32"/>
      <w:szCs w:val="32"/>
      <w:lang w:val="en-US" w:eastAsia="zh-CN" w:bidi="ar-SA"/>
    </w:rPr>
  </w:style>
  <w:style w:type="character" w:customStyle="1" w:styleId="512">
    <w:name w:val="Char Char103"/>
    <w:autoRedefine/>
    <w:qFormat/>
    <w:uiPriority w:val="0"/>
    <w:rPr>
      <w:rFonts w:ascii="Arial" w:hAnsi="Arial" w:eastAsia="黑体" w:cs="Arial"/>
      <w:sz w:val="21"/>
      <w:szCs w:val="21"/>
    </w:rPr>
  </w:style>
  <w:style w:type="paragraph" w:customStyle="1" w:styleId="513">
    <w:name w:val="Char Char16"/>
    <w:basedOn w:val="1"/>
    <w:next w:val="1"/>
    <w:autoRedefine/>
    <w:qFormat/>
    <w:uiPriority w:val="0"/>
    <w:pPr>
      <w:ind w:firstLine="200"/>
    </w:pPr>
    <w:rPr>
      <w:rFonts w:cs="宋体"/>
    </w:rPr>
  </w:style>
  <w:style w:type="paragraph" w:customStyle="1" w:styleId="514">
    <w:name w:val="xl99"/>
    <w:basedOn w:val="78"/>
    <w:autoRedefine/>
    <w:qFormat/>
    <w:uiPriority w:val="0"/>
    <w:pPr>
      <w:shd w:val="clear" w:color="auto" w:fill="FFFF99"/>
      <w:jc w:val="center"/>
      <w:textAlignment w:val="auto"/>
    </w:pPr>
    <w:rPr>
      <w:b/>
      <w:color w:val="000000"/>
      <w:sz w:val="20"/>
    </w:rPr>
  </w:style>
  <w:style w:type="paragraph" w:customStyle="1" w:styleId="515">
    <w:name w:val="xl48"/>
    <w:basedOn w:val="78"/>
    <w:autoRedefine/>
    <w:qFormat/>
    <w:uiPriority w:val="0"/>
    <w:pPr>
      <w:pBdr>
        <w:top w:val="single" w:color="auto" w:sz="4" w:space="0"/>
        <w:left w:val="single" w:color="auto" w:sz="4" w:space="0"/>
        <w:bottom w:val="single" w:color="auto" w:sz="4" w:space="0"/>
        <w:right w:val="single" w:color="auto" w:sz="4" w:space="0"/>
      </w:pBdr>
      <w:textAlignment w:val="auto"/>
    </w:pPr>
    <w:rPr>
      <w:rFonts w:ascii="Times New Roman" w:hAnsi="Times New Roman"/>
      <w:sz w:val="20"/>
    </w:rPr>
  </w:style>
  <w:style w:type="paragraph" w:customStyle="1" w:styleId="516">
    <w:name w:val="样式 初设1级标题 + 四号 自动设置 段前: 0.5 行 段后: 0.5 行 行距: 多倍行距 1.3 字行"/>
    <w:basedOn w:val="1"/>
    <w:autoRedefine/>
    <w:qFormat/>
    <w:uiPriority w:val="0"/>
    <w:pPr>
      <w:keepNext/>
      <w:keepLines/>
      <w:adjustRightInd w:val="0"/>
      <w:spacing w:before="120" w:beforeLines="50" w:after="120" w:afterLines="50" w:line="312" w:lineRule="auto"/>
      <w:textAlignment w:val="baseline"/>
      <w:outlineLvl w:val="0"/>
    </w:pPr>
    <w:rPr>
      <w:rFonts w:cs="宋体"/>
      <w:bCs/>
      <w:snapToGrid w:val="0"/>
      <w:kern w:val="0"/>
      <w:sz w:val="28"/>
    </w:rPr>
  </w:style>
  <w:style w:type="character" w:customStyle="1" w:styleId="517">
    <w:name w:val="Char Char151"/>
    <w:autoRedefine/>
    <w:qFormat/>
    <w:uiPriority w:val="0"/>
    <w:rPr>
      <w:rFonts w:ascii="Arial" w:hAnsi="Arial" w:eastAsia="黑体" w:cs="Arial"/>
      <w:b/>
      <w:bCs/>
      <w:kern w:val="2"/>
      <w:sz w:val="28"/>
      <w:szCs w:val="28"/>
    </w:rPr>
  </w:style>
  <w:style w:type="character" w:customStyle="1" w:styleId="518">
    <w:name w:val="font121"/>
    <w:autoRedefine/>
    <w:qFormat/>
    <w:uiPriority w:val="0"/>
    <w:rPr>
      <w:rFonts w:hint="default" w:ascii="Times New Roman" w:hAnsi="Times New Roman" w:cs="Times New Roman"/>
      <w:color w:val="000000"/>
      <w:sz w:val="22"/>
      <w:szCs w:val="22"/>
      <w:u w:val="none"/>
    </w:rPr>
  </w:style>
  <w:style w:type="character" w:customStyle="1" w:styleId="519">
    <w:name w:val="正文文本 2 字符"/>
    <w:autoRedefine/>
    <w:semiHidden/>
    <w:qFormat/>
    <w:uiPriority w:val="99"/>
    <w:rPr>
      <w:kern w:val="2"/>
      <w:sz w:val="21"/>
      <w:szCs w:val="22"/>
    </w:rPr>
  </w:style>
  <w:style w:type="paragraph" w:customStyle="1" w:styleId="520">
    <w:name w:val="xl25"/>
    <w:basedOn w:val="78"/>
    <w:autoRedefine/>
    <w:qFormat/>
    <w:uiPriority w:val="0"/>
    <w:pPr>
      <w:textAlignment w:val="center"/>
    </w:pPr>
  </w:style>
  <w:style w:type="paragraph" w:customStyle="1" w:styleId="521">
    <w:name w:val="xl59"/>
    <w:basedOn w:val="78"/>
    <w:autoRedefine/>
    <w:qFormat/>
    <w:uiPriority w:val="0"/>
    <w:pPr>
      <w:pBdr>
        <w:top w:val="single" w:color="auto" w:sz="4" w:space="0"/>
        <w:left w:val="single" w:color="auto" w:sz="4" w:space="0"/>
        <w:bottom w:val="single" w:color="auto" w:sz="4" w:space="0"/>
        <w:right w:val="single" w:color="auto" w:sz="4" w:space="0"/>
      </w:pBdr>
      <w:jc w:val="center"/>
      <w:textAlignment w:val="center"/>
    </w:pPr>
    <w:rPr>
      <w:rFonts w:ascii="Times New Roman" w:hAnsi="Times New Roman"/>
      <w:color w:val="FF0000"/>
      <w:sz w:val="20"/>
    </w:rPr>
  </w:style>
  <w:style w:type="character" w:customStyle="1" w:styleId="522">
    <w:name w:val="font131"/>
    <w:autoRedefine/>
    <w:qFormat/>
    <w:uiPriority w:val="0"/>
    <w:rPr>
      <w:rFonts w:hint="default" w:ascii="Times New Roman" w:hAnsi="Times New Roman" w:cs="Times New Roman"/>
      <w:color w:val="000000"/>
      <w:sz w:val="22"/>
      <w:szCs w:val="22"/>
      <w:u w:val="none"/>
    </w:rPr>
  </w:style>
  <w:style w:type="character" w:customStyle="1" w:styleId="523">
    <w:name w:val="副标题 Char"/>
    <w:link w:val="45"/>
    <w:autoRedefine/>
    <w:qFormat/>
    <w:locked/>
    <w:uiPriority w:val="0"/>
    <w:rPr>
      <w:rFonts w:ascii="Arial" w:hAnsi="Arial" w:eastAsia="幼圆" w:cs="Arial"/>
      <w:b/>
      <w:bCs/>
      <w:kern w:val="2"/>
      <w:sz w:val="32"/>
      <w:szCs w:val="32"/>
      <w:lang w:val="en-US" w:eastAsia="zh-CN" w:bidi="ar-SA"/>
    </w:rPr>
  </w:style>
  <w:style w:type="paragraph" w:customStyle="1" w:styleId="524">
    <w:name w:val="打点缩进"/>
    <w:basedOn w:val="1"/>
    <w:autoRedefine/>
    <w:qFormat/>
    <w:uiPriority w:val="0"/>
    <w:pPr>
      <w:autoSpaceDE w:val="0"/>
      <w:autoSpaceDN w:val="0"/>
      <w:adjustRightInd w:val="0"/>
      <w:spacing w:line="312" w:lineRule="atLeast"/>
      <w:ind w:left="1134" w:right="454" w:firstLine="794"/>
    </w:pPr>
    <w:rPr>
      <w:rFonts w:hAnsi="Tms Rmn"/>
      <w:kern w:val="0"/>
      <w:sz w:val="28"/>
    </w:rPr>
  </w:style>
  <w:style w:type="character" w:customStyle="1" w:styleId="525">
    <w:name w:val="3级标题 Char"/>
    <w:link w:val="145"/>
    <w:autoRedefine/>
    <w:qFormat/>
    <w:uiPriority w:val="0"/>
    <w:rPr>
      <w:rFonts w:ascii="宋体" w:hAnsi="宋体" w:cs="Arial"/>
      <w:kern w:val="2"/>
      <w:sz w:val="24"/>
      <w:szCs w:val="28"/>
    </w:rPr>
  </w:style>
  <w:style w:type="paragraph" w:customStyle="1" w:styleId="526">
    <w:name w:val="正文文本缩进 22"/>
    <w:basedOn w:val="1"/>
    <w:autoRedefine/>
    <w:qFormat/>
    <w:uiPriority w:val="0"/>
    <w:pPr>
      <w:shd w:val="solid" w:color="FFFFFF" w:fill="auto"/>
      <w:autoSpaceDE w:val="0"/>
      <w:autoSpaceDN w:val="0"/>
      <w:adjustRightInd w:val="0"/>
      <w:ind w:firstLine="600"/>
    </w:pPr>
    <w:rPr>
      <w:kern w:val="0"/>
      <w:sz w:val="28"/>
    </w:rPr>
  </w:style>
  <w:style w:type="character" w:customStyle="1" w:styleId="527">
    <w:name w:val="Char Char141"/>
    <w:autoRedefine/>
    <w:qFormat/>
    <w:uiPriority w:val="0"/>
    <w:rPr>
      <w:rFonts w:ascii="Times New Roman" w:hAnsi="Times New Roman"/>
      <w:color w:val="008000"/>
      <w:sz w:val="24"/>
      <w:szCs w:val="24"/>
    </w:rPr>
  </w:style>
  <w:style w:type="paragraph" w:customStyle="1" w:styleId="528">
    <w:name w:val="正文+楷体_GB2312"/>
    <w:basedOn w:val="1"/>
    <w:autoRedefine/>
    <w:qFormat/>
    <w:uiPriority w:val="0"/>
    <w:pPr>
      <w:adjustRightInd w:val="0"/>
      <w:snapToGrid w:val="0"/>
      <w:spacing w:beforeLines="50"/>
    </w:pPr>
    <w:rPr>
      <w:rFonts w:ascii="楷体_GB2312" w:eastAsia="楷体_GB2312"/>
    </w:rPr>
  </w:style>
  <w:style w:type="paragraph" w:customStyle="1" w:styleId="529">
    <w:name w:val="Char Char1 Char Char Char Char Char Char4"/>
    <w:basedOn w:val="1"/>
    <w:autoRedefine/>
    <w:qFormat/>
    <w:uiPriority w:val="0"/>
    <w:pPr>
      <w:widowControl/>
      <w:spacing w:after="160" w:line="240" w:lineRule="exact"/>
    </w:pPr>
    <w:rPr>
      <w:kern w:val="0"/>
      <w:szCs w:val="21"/>
      <w:lang w:eastAsia="en-US"/>
    </w:rPr>
  </w:style>
  <w:style w:type="paragraph" w:customStyle="1" w:styleId="530">
    <w:name w:val="列出段落11"/>
    <w:basedOn w:val="1"/>
    <w:autoRedefine/>
    <w:qFormat/>
    <w:uiPriority w:val="0"/>
    <w:pPr>
      <w:ind w:firstLine="420"/>
    </w:pPr>
    <w:rPr>
      <w:szCs w:val="21"/>
    </w:rPr>
  </w:style>
  <w:style w:type="paragraph" w:customStyle="1" w:styleId="531">
    <w:name w:val="正文首行缩进1"/>
    <w:basedOn w:val="26"/>
    <w:autoRedefine/>
    <w:qFormat/>
    <w:uiPriority w:val="0"/>
    <w:pPr>
      <w:tabs>
        <w:tab w:val="clear" w:pos="630"/>
      </w:tabs>
      <w:adjustRightInd w:val="0"/>
      <w:spacing w:line="312" w:lineRule="auto"/>
      <w:ind w:firstLine="567"/>
      <w:textAlignment w:val="baseline"/>
    </w:pPr>
    <w:rPr>
      <w:kern w:val="0"/>
    </w:rPr>
  </w:style>
  <w:style w:type="character" w:customStyle="1" w:styleId="532">
    <w:name w:val="正文终 Char"/>
    <w:link w:val="237"/>
    <w:autoRedefine/>
    <w:qFormat/>
    <w:locked/>
    <w:uiPriority w:val="0"/>
    <w:rPr>
      <w:rFonts w:ascii="宋体" w:hAnsi="宋体" w:eastAsia="宋体"/>
      <w:kern w:val="2"/>
      <w:sz w:val="24"/>
      <w:szCs w:val="24"/>
      <w:lang w:bidi="ar-SA"/>
    </w:rPr>
  </w:style>
  <w:style w:type="character" w:customStyle="1" w:styleId="533">
    <w:name w:val="引用 字符"/>
    <w:autoRedefine/>
    <w:qFormat/>
    <w:uiPriority w:val="29"/>
    <w:rPr>
      <w:i/>
      <w:iCs/>
      <w:color w:val="404040"/>
      <w:kern w:val="2"/>
      <w:sz w:val="21"/>
      <w:szCs w:val="22"/>
    </w:rPr>
  </w:style>
  <w:style w:type="paragraph" w:customStyle="1" w:styleId="534">
    <w:name w:val="xl101"/>
    <w:basedOn w:val="78"/>
    <w:autoRedefine/>
    <w:qFormat/>
    <w:uiPriority w:val="0"/>
    <w:pPr>
      <w:textAlignment w:val="auto"/>
    </w:pPr>
    <w:rPr>
      <w:rFonts w:ascii="Times New Roman" w:hAnsi="Times New Roman"/>
      <w:sz w:val="20"/>
    </w:rPr>
  </w:style>
  <w:style w:type="character" w:customStyle="1" w:styleId="535">
    <w:name w:val="font51"/>
    <w:basedOn w:val="63"/>
    <w:autoRedefine/>
    <w:qFormat/>
    <w:uiPriority w:val="0"/>
    <w:rPr>
      <w:rFonts w:hint="eastAsia" w:ascii="宋体" w:hAnsi="宋体" w:eastAsia="宋体" w:cs="宋体"/>
      <w:color w:val="FF0000"/>
      <w:sz w:val="20"/>
      <w:szCs w:val="20"/>
      <w:u w:val="none"/>
    </w:rPr>
  </w:style>
  <w:style w:type="table" w:customStyle="1" w:styleId="536">
    <w:name w:val="网格型3"/>
    <w:basedOn w:val="60"/>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243</Pages>
  <Words>846</Words>
  <Characters>1197</Characters>
  <Lines>2027</Lines>
  <Paragraphs>570</Paragraphs>
  <TotalTime>0</TotalTime>
  <ScaleCrop>false</ScaleCrop>
  <LinksUpToDate>false</LinksUpToDate>
  <CharactersWithSpaces>1385</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2024-12-11T09:48:00Z</dcterms:created>
  <dc:creator>sdm</dc:creator>
  <cp:lastModifiedBy>朱刚</cp:lastModifiedBy>
  <dcterms:modified xsi:type="dcterms:W3CDTF">2025-01-11T00:39:04Z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32D771DA8A6149B390A4D7AB533107F6_13</vt:lpwstr>
  </property>
  <property fmtid="{D5CDD505-2E9C-101B-9397-08002B2CF9AE}" pid="4" name="KSOTemplateDocerSaveRecord">
    <vt:lpwstr>eyJoZGlkIjoiNWE5MDlhNTdmYTcxYzVhNThkZWUzYTgzNDRlMDRiYjYifQ==</vt:lpwstr>
  </property>
</Properties>
</file>