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（Pyrotek）精炼剂</w:t>
      </w:r>
      <w:r>
        <w:rPr>
          <w:rFonts w:hint="eastAsia"/>
          <w:b/>
          <w:bCs/>
          <w:sz w:val="44"/>
          <w:szCs w:val="44"/>
          <w:lang w:val="en-US" w:eastAsia="zh-CN"/>
        </w:rPr>
        <w:t>技术规格书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1、概述</w:t>
      </w:r>
    </w:p>
    <w:p>
      <w:pPr>
        <w:tabs>
          <w:tab w:val="left" w:pos="5685"/>
        </w:tabs>
        <w:spacing w:line="360" w:lineRule="auto"/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1.1甲方：甘肃东兴嘉信新材料有限公司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乙方：</w:t>
      </w:r>
    </w:p>
    <w:p>
      <w:pPr>
        <w:tabs>
          <w:tab w:val="left" w:pos="5685"/>
        </w:tabs>
        <w:spacing w:line="360" w:lineRule="auto"/>
        <w:jc w:val="left"/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  <w:t>1.2甲方向乙方采购的铝及铝合金高效重熔熔剂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zh-CN"/>
        </w:rPr>
        <w:t>事宜中有关物资的供货要求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  <w:t>、技术标准等都已进行了充分讨论，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zh-CN"/>
        </w:rPr>
        <w:t>经双方友好协商达成协议。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  <w:t>2、型号及技术要求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</w:rPr>
        <w:t>2.1技术要求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2.1.1乙方向甲方所供熔剂必须为重熔方式生产，不得采用机械混合生产方式。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2.1.3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化学成分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熔剂的化学成分应符合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下表的规定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。</w:t>
      </w:r>
    </w:p>
    <w:tbl>
      <w:tblPr>
        <w:tblStyle w:val="4"/>
        <w:tblW w:w="457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2773"/>
        <w:gridCol w:w="38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NaCl</w:t>
            </w:r>
          </w:p>
        </w:tc>
        <w:tc>
          <w:tcPr>
            <w:tcW w:w="153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MgCl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subscript"/>
                <w:lang w:bidi="ar"/>
              </w:rPr>
              <w:t>2</w:t>
            </w:r>
          </w:p>
        </w:tc>
        <w:tc>
          <w:tcPr>
            <w:tcW w:w="21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MgO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3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38-45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55-62</w:t>
            </w:r>
          </w:p>
        </w:tc>
        <w:tc>
          <w:tcPr>
            <w:tcW w:w="21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≤1</w:t>
            </w:r>
          </w:p>
        </w:tc>
      </w:tr>
    </w:tbl>
    <w:p>
      <w:pPr>
        <w:tabs>
          <w:tab w:val="left" w:pos="5685"/>
        </w:tabs>
        <w:spacing w:line="360" w:lineRule="auto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2.1.4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水含量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颗粒类熔剂的水分应不大于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%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。</w:t>
      </w:r>
    </w:p>
    <w:p>
      <w:pPr>
        <w:tabs>
          <w:tab w:val="left" w:pos="5685"/>
        </w:tabs>
        <w:spacing w:line="360" w:lineRule="auto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2.1.5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熔剂的外形要求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粒度要求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如下：</w:t>
      </w:r>
    </w:p>
    <w:tbl>
      <w:tblPr>
        <w:tblStyle w:val="5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2463"/>
        <w:gridCol w:w="2463"/>
        <w:gridCol w:w="2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462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颗粒度/mm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0.85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-3.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0.85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＞3.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2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质量含量/%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≥9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≤5</w:t>
            </w:r>
          </w:p>
        </w:tc>
        <w:tc>
          <w:tcPr>
            <w:tcW w:w="2463" w:type="dxa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≤1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1" w:type="dxa"/>
            <w:gridSpan w:val="4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备注：颗粒度不容许大于3.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mm.</w:t>
            </w:r>
          </w:p>
        </w:tc>
      </w:tr>
    </w:tbl>
    <w:p>
      <w:pPr>
        <w:tabs>
          <w:tab w:val="left" w:pos="5685"/>
        </w:tabs>
        <w:spacing w:line="360" w:lineRule="auto"/>
        <w:ind w:firstLine="560" w:firstLineChars="200"/>
        <w:jc w:val="left"/>
        <w:outlineLvl w:val="1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粒度均匀性≥98%；熔剂的粒度测量及筛网尺寸按GB/T4108规定执行。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其他要求技术要求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2.2.1甲方采购精炼用的溶剂为重熔处理的，非机械混合型溶剂。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2.2.2纯铝及不含Mg元素铝合金用熔剂中不允许配入游离状态的NaF等增加Na、Li、Sr、SO4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vertAlign w:val="superscript"/>
        </w:rPr>
        <w:t>2-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等有害元素的物质。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甲方采用固定工艺条件下使用乙方所供溶剂，试用过程中建筑材最低试用7熔次，依据精炼时烟气量、熔体含氢量、铝渣分离效果以及烧损综合评价性价比；工业材最低试用3熔次，依据下游客户反馈产品内在质量确定除渣效果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甲方在固定工艺条件下使用乙方所供溶剂，熔剂的熔点≤460℃。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2.2.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后续产品质量要求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甲方在固定工艺条件下使用乙方熔剂，乙方必须保证在后续质量检测过程中，不得因熔剂的质量缺陷造成铝棒高倍夹杂超标。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2.2.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甲方在固定工艺条件下使用乙方所供溶剂，必须保证除气、除渣效果达标，过滤板等辅材的生产使用周期。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.7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甲方在固定工艺条件下使用乙方所供溶剂，必须保证铝熔体渣铝分离效果好。扒出铝渣不得有大块粘稠状，造成渣铝分离效果不好、烧损增加，成本增加。</w:t>
      </w:r>
    </w:p>
    <w:p>
      <w:pP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2.2.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甲方在固定工艺条件下精炼时不能有刺激性气味和烟气，以目视不能看到烟气为标准。</w:t>
      </w:r>
    </w:p>
    <w:p>
      <w:pP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2.2.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包装要求</w:t>
      </w:r>
    </w:p>
    <w:p>
      <w:pPr>
        <w:ind w:firstLine="560" w:firstLineChars="200"/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熔</w:t>
      </w:r>
      <w:r>
        <w:rPr>
          <w:rFonts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剂用塑料袋包装，每袋净重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kg然后再装入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蛇皮塑料袋中（25-30kg）</w:t>
      </w:r>
      <w:r>
        <w:rPr>
          <w:rFonts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最终装入吨包袋中进行运输。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  <w:t>3、</w:t>
      </w:r>
      <w:r>
        <w:rPr>
          <w:rFonts w:asciiTheme="minorEastAsia" w:hAnsiTheme="minorEastAsia" w:cstheme="minorEastAsia"/>
          <w:b/>
          <w:color w:val="000000"/>
          <w:kern w:val="0"/>
          <w:sz w:val="28"/>
          <w:szCs w:val="28"/>
        </w:rPr>
        <w:t>试验方法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3.1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化学成分分析方法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化学成分分析方法按供需双方商定的方法进行检验。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3.2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水含量检验方法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测量方法按YS/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T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491-20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20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标准规定进行检验。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3.3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外形尺寸检验方法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用筛网进行检验。</w:t>
      </w:r>
    </w:p>
    <w:p>
      <w:pPr>
        <w:tabs>
          <w:tab w:val="left" w:pos="5685"/>
        </w:tabs>
        <w:spacing w:line="360" w:lineRule="auto"/>
        <w:outlineLvl w:val="0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  <w:t>4、</w:t>
      </w:r>
      <w:r>
        <w:rPr>
          <w:rFonts w:asciiTheme="minorEastAsia" w:hAnsiTheme="minorEastAsia" w:cstheme="minorEastAsia"/>
          <w:b/>
          <w:color w:val="000000"/>
          <w:kern w:val="0"/>
          <w:sz w:val="28"/>
          <w:szCs w:val="28"/>
        </w:rPr>
        <w:t>检验规则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.1检查和验收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.1.1所有熔剂进厂必须附有产品合格证和产品质量证明书，否则仓库要拒收。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.1.2熔剂应成批供货，每批应由同一成分、同一种类、同一形状产品组成。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.1.3检查所有材料的包装，要求包装完好，如果发现包装破损，要通知进行确认是否影响使用。熔剂不允许存在肉眼可见的异物或结块，如果有此类现象存在，判该批不合格，做退货处理。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进厂的熔剂每批都要检验，同一批随机选两箱，每箱任取一包装袋，从中部至少取100克熔剂，送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技术质量部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进行检测。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每批熔炼用熔剂均应进行外观质量、水分、粒度及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成分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的检测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技术质量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室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在规定时间内出具检测报告给原辅材料质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量检验员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，原辅材料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员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按以上检测报告对其进行判定，并将检测判定结果及时告知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相关部门及分厂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化验（检验）结果合格，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允许入库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；化验（检验）结果不合格，需双倍取样，双倍取样合格，判定该批产品合格，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允许入库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；双倍取样不合格，判定该批产品不合格，退回厂家。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4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.1.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Theme="minorEastAsia" w:hAnsiTheme="minorEastAsia" w:cstheme="minorEastAsia"/>
          <w:bCs/>
          <w:color w:val="000000"/>
          <w:kern w:val="0"/>
          <w:sz w:val="28"/>
          <w:szCs w:val="28"/>
        </w:rPr>
        <w:t>检验结果与本标准及订货合同的规定不符时，应以书面形式向供方提出，由供需双方协商解决。如需仲裁，供需双方应在需方共同进行仲裁取样。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  <w:t>5、质量异议处理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5.1发生不合格产品，甲方向乙方反馈，后甲方与乙方通过确认及协商退货或折让方案。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5.2乙方在接到甲方提出的不良反馈时，乙方应在3个工作日内作书面应答及解决方案。如有必要，乙方应在3个工作日内到达甲方现场配合处理；双方经协商，对不良产品作出处理后，双方应对退货或折让结果进行书面确认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5.3所有质量异议的数量及赔偿事项均由甲方和乙方主导推进。赔偿方案确定后，按赔偿流程乙方赔付给甲方。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5.4甲方在固定工艺条件下使用乙方所供溶剂，若因乙方所供溶剂质量问题，造成甲方产品出现质量问题，造成的损失由乙方承担。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5.5甲方在固定工艺条件下使用乙方所供溶剂，若因乙方所供溶剂质量问题，造成甲方生产周期不足或其它生产升本增加，造成的成本增加及损失由乙方承担。</w:t>
      </w:r>
    </w:p>
    <w:bookmarkEnd w:id="0"/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  <w:t>6、商业技术秘密</w:t>
      </w:r>
    </w:p>
    <w:p>
      <w:pPr>
        <w:tabs>
          <w:tab w:val="left" w:pos="5685"/>
        </w:tabs>
        <w:spacing w:line="360" w:lineRule="auto"/>
        <w:ind w:firstLine="560" w:firstLineChars="200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本协议任何一方均不得在协议期限前、协议期限内及协议期限届满后的一年以内（技术方面内容为从协议签订之日起3年）以任何形式披露或泄露另一方的商业技术秘密，包含甲乙双方生产工艺参数、购买数量、购买费用、购买周期等讯息；若因披露或泄露另一方的商业秘密而造成该方利益损失的，违约方应承担相应的损害赔偿责任。</w:t>
      </w:r>
    </w:p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val="en-US" w:eastAsia="zh-CN"/>
        </w:rPr>
        <w:t>7.1当精炼剂取样检验结果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  <w:t>不合格时按此标准进行处置</w:t>
      </w:r>
      <w:r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  <w:lang w:eastAsia="zh-CN"/>
        </w:rPr>
        <w:t>：</w:t>
      </w:r>
    </w:p>
    <w:tbl>
      <w:tblPr>
        <w:tblStyle w:val="4"/>
        <w:tblW w:w="84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692"/>
        <w:gridCol w:w="675"/>
        <w:gridCol w:w="1661"/>
        <w:gridCol w:w="1616"/>
        <w:gridCol w:w="1637"/>
        <w:gridCol w:w="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8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进厂物资不合格品处置标准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技术指标要求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降价1%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降价2%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降价3%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降价5%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重熔型无钠颗粒精炼剂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NaCl(%)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38～45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36≤值＜38或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45＜值≤47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34≤值＜36或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47＜值≤49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32≤值＜34或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49＜值≤51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MgCl2(%)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55～62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53≤值＜55或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62＜值≤64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51≤值＜53或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64＜值≤66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49≤值＜51或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66＜值≤68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MgO（%）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1＜值≤1.5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1.5＜值≤2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2＜值≤2.5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颗粒度0.85～3.15mm(%)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≥94</w:t>
            </w:r>
          </w:p>
        </w:tc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偏差≤10</w:t>
            </w: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偏差≤20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偏差≤30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颗粒度＜0.85mm(%)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</w:t>
            </w: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颗粒度＞3.15mm(%)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</w:t>
            </w: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水分(%)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1＜值≤1.4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1.4＜值≤1.8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1.8＜值≤2.2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说明：1、涉及物资降价时，按不合格指标累加，降价金额=不合格量×单价×降价幅度。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2、当表中退货栏为“/”，满足使用要求时，对应指标按降价幅度顺延降价；不能满足使用要求时，退货处理。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3、当指标偏差达到退货标准，因生产需要等原因使用时，会议决定后，按降价幅度顺延。</w:t>
            </w:r>
          </w:p>
        </w:tc>
      </w:tr>
    </w:tbl>
    <w:p>
      <w:pPr>
        <w:tabs>
          <w:tab w:val="left" w:pos="5685"/>
        </w:tabs>
        <w:spacing w:line="360" w:lineRule="auto"/>
        <w:jc w:val="left"/>
        <w:outlineLvl w:val="0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</w:rPr>
        <w:t>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4" w:firstLineChars="191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.1本规范书一式四份，甲方三份，乙方一份。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4" w:firstLineChars="191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.2此协议具有同等法律效力，但若乙方不能中标，则本技术规格书自动失效，双方互不承担任何责任。本技术规格书为附生效条件的合同，以主合同的生效为前提条件。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4" w:firstLineChars="191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.3本协议内容经由甲乙双方于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于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时通过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 xml:space="preserve">方式商定。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4" w:firstLineChars="191"/>
        <w:textAlignment w:val="auto"/>
        <w:rPr>
          <w:rFonts w:hint="eastAsia" w:asciiTheme="minorEastAsia" w:hAnsiTheme="minorEastAsia" w:cstheme="minorEastAsia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 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.4甲乙双方应当就签订本协议的相关事宜保密，不得将签订主体、时间、内容等信息透露给其他第三人。</w:t>
      </w:r>
    </w:p>
    <w:tbl>
      <w:tblPr>
        <w:tblStyle w:val="5"/>
        <w:tblW w:w="10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7"/>
        <w:gridCol w:w="5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乙方</w:t>
            </w:r>
          </w:p>
        </w:tc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甲方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单位名称（章）：</w:t>
            </w:r>
          </w:p>
        </w:tc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单位名称（章）：甘肃东兴嘉信新材料有限公司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单位主要负责人：</w:t>
            </w:r>
          </w:p>
        </w:tc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单位主要负责人：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联系电话：</w:t>
            </w:r>
          </w:p>
        </w:tc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联系电话：0932-6918346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日期：      年         月        日</w:t>
            </w:r>
          </w:p>
        </w:tc>
        <w:tc>
          <w:tcPr>
            <w:tcW w:w="5087" w:type="dxa"/>
            <w:vAlign w:val="center"/>
          </w:tcPr>
          <w:p>
            <w:pPr>
              <w:tabs>
                <w:tab w:val="left" w:pos="5685"/>
              </w:tabs>
              <w:spacing w:line="360" w:lineRule="auto"/>
              <w:jc w:val="left"/>
              <w:outlineLvl w:val="0"/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</w:rPr>
              <w:t>日期：      年        月        日</w:t>
            </w:r>
          </w:p>
        </w:tc>
      </w:tr>
    </w:tbl>
    <w:p/>
    <w:sectPr>
      <w:pgSz w:w="11906" w:h="16838"/>
      <w:pgMar w:top="1134" w:right="1134" w:bottom="850" w:left="1134" w:header="851" w:footer="0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F559383-5046-4193-BAD7-19B67DC2BA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136F1B0-0948-43B3-8EAA-A6733365E2A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yMGVlNGNlYjYzOGVmZTRmNDIwOTAxN2U3NzJmMGIifQ=="/>
  </w:docVars>
  <w:rsids>
    <w:rsidRoot w:val="0A6258DA"/>
    <w:rsid w:val="000E2FCD"/>
    <w:rsid w:val="00236637"/>
    <w:rsid w:val="00404F30"/>
    <w:rsid w:val="004C17E9"/>
    <w:rsid w:val="0079427E"/>
    <w:rsid w:val="00F3427B"/>
    <w:rsid w:val="0A6258DA"/>
    <w:rsid w:val="0F5518EE"/>
    <w:rsid w:val="1DD6628E"/>
    <w:rsid w:val="1F743374"/>
    <w:rsid w:val="276E7C8D"/>
    <w:rsid w:val="2B8F7243"/>
    <w:rsid w:val="306A04C0"/>
    <w:rsid w:val="37B3112A"/>
    <w:rsid w:val="4530210E"/>
    <w:rsid w:val="477433AA"/>
    <w:rsid w:val="4FD14D61"/>
    <w:rsid w:val="50C64B87"/>
    <w:rsid w:val="54C62526"/>
    <w:rsid w:val="562262BB"/>
    <w:rsid w:val="58117172"/>
    <w:rsid w:val="58827124"/>
    <w:rsid w:val="58A3441E"/>
    <w:rsid w:val="645B08B8"/>
    <w:rsid w:val="64CA491E"/>
    <w:rsid w:val="67AC639C"/>
    <w:rsid w:val="6AA86B8D"/>
    <w:rsid w:val="6B1316C0"/>
    <w:rsid w:val="6CC0622B"/>
    <w:rsid w:val="6E3B1B10"/>
    <w:rsid w:val="710211E4"/>
    <w:rsid w:val="712E0C4D"/>
    <w:rsid w:val="72E871A5"/>
    <w:rsid w:val="74F00593"/>
    <w:rsid w:val="751B0971"/>
    <w:rsid w:val="789E1F01"/>
    <w:rsid w:val="7F85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9"/>
      <w:szCs w:val="9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2438</Words>
  <Characters>2788</Characters>
  <Lines>18</Lines>
  <Paragraphs>5</Paragraphs>
  <TotalTime>78</TotalTime>
  <ScaleCrop>false</ScaleCrop>
  <LinksUpToDate>false</LinksUpToDate>
  <CharactersWithSpaces>2998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2026-01-07T10:44:00Z</dcterms:created>
  <dc:creator>第？四个＆影子</dc:creator>
  <cp:lastModifiedBy>17718700074</cp:lastModifiedBy>
  <dcterms:modified xsi:type="dcterms:W3CDTF">2026-01-12T01:13:36Z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15CDB88D8E6E4572922AE379F9835B09_13</vt:lpwstr>
  </property>
</Properties>
</file>