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17AB8">
      <w:pPr>
        <w:rPr>
          <w:rFonts w:hint="eastAsia"/>
        </w:rPr>
      </w:pPr>
    </w:p>
    <w:p w14:paraId="71A95161">
      <w:pPr>
        <w:rPr>
          <w:rFonts w:hint="eastAsia"/>
        </w:rPr>
      </w:pPr>
    </w:p>
    <w:p w14:paraId="61590B99">
      <w:pPr>
        <w:jc w:val="center"/>
        <w:rPr>
          <w:rFonts w:hint="eastAsia" w:ascii="华文中宋" w:hAnsi="华文中宋" w:eastAsia="华文中宋" w:cs="华文中宋"/>
          <w:b/>
          <w:bCs/>
          <w:sz w:val="36"/>
          <w:szCs w:val="36"/>
          <w:lang w:val="en-US" w:eastAsia="zh-CN"/>
        </w:rPr>
      </w:pPr>
      <w:r>
        <w:rPr>
          <w:rFonts w:hint="eastAsia" w:ascii="华文中宋" w:hAnsi="华文中宋" w:eastAsia="华文中宋" w:cs="华文中宋"/>
          <w:b/>
          <w:bCs/>
          <w:sz w:val="36"/>
          <w:szCs w:val="36"/>
          <w:lang w:val="en-US" w:eastAsia="zh-CN"/>
        </w:rPr>
        <w:t>酒钢集团天暨公司冶金厂区环厂西路南段绿化美化</w:t>
      </w:r>
    </w:p>
    <w:p w14:paraId="2EBDA138">
      <w:pPr>
        <w:jc w:val="center"/>
        <w:rPr>
          <w:rFonts w:hint="eastAsia" w:ascii="华文中宋" w:hAnsi="华文中宋" w:eastAsia="华文中宋" w:cs="华文中宋"/>
          <w:b/>
          <w:bCs/>
          <w:sz w:val="36"/>
          <w:szCs w:val="36"/>
          <w:lang w:val="en-US" w:eastAsia="zh-CN"/>
        </w:rPr>
      </w:pPr>
      <w:r>
        <w:rPr>
          <w:rFonts w:hint="eastAsia" w:ascii="华文中宋" w:hAnsi="华文中宋" w:eastAsia="华文中宋" w:cs="华文中宋"/>
          <w:b/>
          <w:bCs/>
          <w:sz w:val="36"/>
          <w:szCs w:val="36"/>
          <w:lang w:val="en-US" w:eastAsia="zh-CN"/>
        </w:rPr>
        <w:t>项目施工合同</w:t>
      </w:r>
    </w:p>
    <w:p w14:paraId="7E64B54A">
      <w:pPr>
        <w:rPr>
          <w:rFonts w:hint="eastAsia" w:ascii="仿宋_GB2312" w:hAnsi="仿宋_GB2312" w:eastAsia="仿宋_GB2312" w:cs="仿宋_GB2312"/>
          <w:sz w:val="28"/>
          <w:szCs w:val="28"/>
          <w:lang w:val="en-US" w:eastAsia="zh-CN"/>
        </w:rPr>
      </w:pPr>
    </w:p>
    <w:p w14:paraId="095AAF67">
      <w:pPr>
        <w:rPr>
          <w:rFonts w:hint="eastAsia" w:ascii="仿宋_GB2312" w:hAnsi="仿宋_GB2312" w:eastAsia="仿宋_GB2312" w:cs="仿宋_GB2312"/>
          <w:sz w:val="28"/>
          <w:szCs w:val="28"/>
        </w:rPr>
      </w:pPr>
    </w:p>
    <w:p w14:paraId="06A7A5A3">
      <w:pPr>
        <w:rPr>
          <w:rFonts w:hint="eastAsia" w:ascii="仿宋_GB2312" w:hAnsi="仿宋_GB2312" w:eastAsia="仿宋_GB2312" w:cs="仿宋_GB2312"/>
          <w:sz w:val="28"/>
          <w:szCs w:val="28"/>
        </w:rPr>
      </w:pPr>
    </w:p>
    <w:p w14:paraId="6CE8EE27">
      <w:pPr>
        <w:rPr>
          <w:rFonts w:hint="eastAsia" w:ascii="仿宋_GB2312" w:hAnsi="仿宋_GB2312" w:eastAsia="仿宋_GB2312" w:cs="仿宋_GB2312"/>
          <w:sz w:val="28"/>
          <w:szCs w:val="28"/>
        </w:rPr>
      </w:pPr>
    </w:p>
    <w:p w14:paraId="2A79D098">
      <w:pPr>
        <w:rPr>
          <w:rFonts w:hint="eastAsia" w:ascii="仿宋_GB2312" w:hAnsi="仿宋_GB2312" w:eastAsia="仿宋_GB2312" w:cs="仿宋_GB2312"/>
          <w:sz w:val="28"/>
          <w:szCs w:val="28"/>
        </w:rPr>
      </w:pPr>
    </w:p>
    <w:p w14:paraId="658E6EC8">
      <w:pPr>
        <w:rPr>
          <w:rFonts w:hint="eastAsia" w:ascii="仿宋_GB2312" w:hAnsi="仿宋_GB2312" w:eastAsia="仿宋_GB2312" w:cs="仿宋_GB2312"/>
          <w:sz w:val="28"/>
          <w:szCs w:val="28"/>
        </w:rPr>
      </w:pPr>
    </w:p>
    <w:p w14:paraId="3ACAD646">
      <w:pPr>
        <w:rPr>
          <w:rFonts w:hint="eastAsia" w:ascii="仿宋_GB2312" w:hAnsi="仿宋_GB2312" w:eastAsia="仿宋_GB2312" w:cs="仿宋_GB2312"/>
          <w:sz w:val="28"/>
          <w:szCs w:val="28"/>
        </w:rPr>
      </w:pPr>
    </w:p>
    <w:p w14:paraId="60DBC914">
      <w:pPr>
        <w:rPr>
          <w:rFonts w:hint="eastAsia" w:ascii="仿宋_GB2312" w:hAnsi="仿宋_GB2312" w:eastAsia="仿宋_GB2312" w:cs="仿宋_GB2312"/>
          <w:sz w:val="28"/>
          <w:szCs w:val="28"/>
        </w:rPr>
      </w:pPr>
    </w:p>
    <w:p w14:paraId="06D70511">
      <w:pPr>
        <w:rPr>
          <w:rFonts w:hint="eastAsia" w:ascii="仿宋_GB2312" w:hAnsi="仿宋_GB2312" w:eastAsia="仿宋_GB2312" w:cs="仿宋_GB2312"/>
          <w:sz w:val="28"/>
          <w:szCs w:val="28"/>
        </w:rPr>
      </w:pPr>
    </w:p>
    <w:p w14:paraId="27B0C36E">
      <w:pPr>
        <w:rPr>
          <w:rFonts w:hint="eastAsia" w:ascii="仿宋_GB2312" w:hAnsi="仿宋_GB2312" w:eastAsia="仿宋_GB2312" w:cs="仿宋_GB2312"/>
          <w:sz w:val="28"/>
          <w:szCs w:val="28"/>
        </w:rPr>
      </w:pPr>
    </w:p>
    <w:p w14:paraId="0A0522ED">
      <w:pPr>
        <w:rPr>
          <w:rFonts w:hint="eastAsia" w:ascii="仿宋_GB2312" w:hAnsi="仿宋_GB2312" w:eastAsia="仿宋_GB2312" w:cs="仿宋_GB2312"/>
          <w:sz w:val="28"/>
          <w:szCs w:val="28"/>
          <w:lang w:val="en-US" w:eastAsia="zh-CN"/>
        </w:rPr>
      </w:pPr>
    </w:p>
    <w:p w14:paraId="4F6246C9">
      <w:pPr>
        <w:rPr>
          <w:rFonts w:hint="eastAsia" w:ascii="仿宋_GB2312" w:hAnsi="仿宋_GB2312" w:eastAsia="仿宋_GB2312" w:cs="仿宋_GB2312"/>
          <w:sz w:val="28"/>
          <w:szCs w:val="28"/>
          <w:lang w:val="en-US" w:eastAsia="zh-CN"/>
        </w:rPr>
      </w:pPr>
    </w:p>
    <w:p w14:paraId="33ED931B">
      <w:pPr>
        <w:rPr>
          <w:rFonts w:hint="eastAsia" w:ascii="仿宋_GB2312" w:hAnsi="仿宋_GB2312" w:eastAsia="仿宋_GB2312" w:cs="仿宋_GB2312"/>
          <w:sz w:val="28"/>
          <w:szCs w:val="28"/>
          <w:lang w:val="en-US" w:eastAsia="zh-CN"/>
        </w:rPr>
      </w:pPr>
    </w:p>
    <w:p w14:paraId="23BEAE18">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合同编号：</w:t>
      </w:r>
    </w:p>
    <w:p w14:paraId="511E886A">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甲</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嘉峪关天暨物业服务有限责任公司</w:t>
      </w:r>
    </w:p>
    <w:p w14:paraId="24A9E2D7">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乙</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w:t>
      </w:r>
    </w:p>
    <w:p w14:paraId="5961547C">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签订地点：甘肃省嘉峪关市</w:t>
      </w:r>
    </w:p>
    <w:p w14:paraId="29EEACAC">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签订时间：20</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w:t>
      </w:r>
    </w:p>
    <w:p w14:paraId="26C1C1A3">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仿宋_GB2312" w:hAnsi="仿宋_GB2312" w:eastAsia="仿宋_GB2312" w:cs="仿宋_GB2312"/>
          <w:sz w:val="32"/>
          <w:szCs w:val="32"/>
          <w:lang w:val="en-US" w:eastAsia="zh-CN"/>
        </w:rPr>
        <w:sectPr>
          <w:footerReference r:id="rId3" w:type="default"/>
          <w:footerReference r:id="rId4" w:type="even"/>
          <w:pgSz w:w="11906" w:h="16838"/>
          <w:pgMar w:top="1474" w:right="1474" w:bottom="1474" w:left="1474" w:header="851" w:footer="992" w:gutter="0"/>
          <w:pgBorders>
            <w:top w:val="none" w:sz="0" w:space="0"/>
            <w:left w:val="none" w:sz="0" w:space="0"/>
            <w:bottom w:val="none" w:sz="0" w:space="0"/>
            <w:right w:val="none" w:sz="0" w:space="0"/>
          </w:pgBorders>
          <w:pgNumType w:fmt="decimal" w:start="0"/>
          <w:cols w:space="720" w:num="1"/>
          <w:titlePg/>
          <w:docGrid w:linePitch="312" w:charSpace="0"/>
        </w:sectPr>
      </w:pPr>
      <w:r>
        <w:rPr>
          <w:rFonts w:hint="eastAsia" w:ascii="仿宋_GB2312" w:hAnsi="仿宋_GB2312" w:eastAsia="仿宋_GB2312" w:cs="仿宋_GB2312"/>
          <w:sz w:val="32"/>
          <w:szCs w:val="32"/>
          <w:lang w:val="en-US" w:eastAsia="zh-CN"/>
        </w:rPr>
        <w:t>项目编号：</w:t>
      </w:r>
    </w:p>
    <w:p w14:paraId="75E17B0A">
      <w:pPr>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酒钢集团天暨公司冶金厂区环厂西路南段绿化美化</w:t>
      </w:r>
    </w:p>
    <w:p w14:paraId="49CF7414">
      <w:pPr>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项目施工合同</w:t>
      </w:r>
    </w:p>
    <w:p w14:paraId="58ADAF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8"/>
          <w:szCs w:val="28"/>
        </w:rPr>
      </w:pPr>
    </w:p>
    <w:p w14:paraId="1C2A0C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甲方：</w:t>
      </w:r>
      <w:r>
        <w:rPr>
          <w:rFonts w:hint="eastAsia" w:ascii="仿宋_GB2312" w:hAnsi="仿宋_GB2312" w:eastAsia="仿宋_GB2312" w:cs="仿宋_GB2312"/>
          <w:sz w:val="28"/>
          <w:szCs w:val="28"/>
          <w:lang w:val="en-US" w:eastAsia="zh-CN"/>
        </w:rPr>
        <w:t xml:space="preserve">嘉峪关天暨物业服务有限责任公司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p>
    <w:p w14:paraId="6725AA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 xml:space="preserve">乙方：        </w:t>
      </w:r>
      <w:r>
        <w:rPr>
          <w:rFonts w:hint="eastAsia" w:ascii="仿宋_GB2312" w:hAnsi="仿宋_GB2312" w:eastAsia="仿宋_GB2312" w:cs="仿宋_GB2312"/>
          <w:sz w:val="28"/>
          <w:szCs w:val="28"/>
          <w:lang w:val="en-US" w:eastAsia="zh-CN"/>
        </w:rPr>
        <w:t xml:space="preserve">    </w:t>
      </w:r>
    </w:p>
    <w:p w14:paraId="0546C2F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依照《中华人民共和国</w:t>
      </w:r>
      <w:r>
        <w:rPr>
          <w:rFonts w:hint="eastAsia" w:ascii="仿宋_GB2312" w:hAnsi="仿宋_GB2312" w:eastAsia="仿宋_GB2312" w:cs="仿宋_GB2312"/>
          <w:sz w:val="28"/>
          <w:szCs w:val="28"/>
          <w:lang w:val="en-US" w:eastAsia="zh-CN"/>
        </w:rPr>
        <w:t>民法典</w:t>
      </w:r>
      <w:r>
        <w:rPr>
          <w:rFonts w:hint="eastAsia" w:ascii="仿宋_GB2312" w:hAnsi="仿宋_GB2312" w:eastAsia="仿宋_GB2312" w:cs="仿宋_GB2312"/>
          <w:sz w:val="28"/>
          <w:szCs w:val="28"/>
          <w:lang w:val="zh-CN"/>
        </w:rPr>
        <w:t>》及其他有关法律、行政法规的规定，遵循平等、公正、公平、自愿和诚实信用的原则，甲乙双方就</w:t>
      </w:r>
      <w:r>
        <w:rPr>
          <w:rFonts w:hint="eastAsia" w:ascii="仿宋_GB2312" w:hAnsi="仿宋_GB2312" w:eastAsia="仿宋_GB2312" w:cs="仿宋_GB2312"/>
          <w:sz w:val="28"/>
          <w:szCs w:val="28"/>
          <w:lang w:val="en-US" w:eastAsia="zh-CN"/>
        </w:rPr>
        <w:t>酒钢集团天暨公司冶金厂区环厂西路南段绿化美化项目施工相关</w:t>
      </w:r>
      <w:r>
        <w:rPr>
          <w:rFonts w:hint="eastAsia" w:ascii="仿宋_GB2312" w:hAnsi="仿宋_GB2312" w:eastAsia="仿宋_GB2312" w:cs="仿宋_GB2312"/>
          <w:sz w:val="28"/>
          <w:szCs w:val="28"/>
          <w:lang w:val="zh-CN"/>
        </w:rPr>
        <w:t>事项协商一致，订立本合同。</w:t>
      </w:r>
    </w:p>
    <w:p w14:paraId="173C80F0">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第一条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项目</w:t>
      </w:r>
      <w:r>
        <w:rPr>
          <w:rFonts w:hint="eastAsia" w:ascii="仿宋_GB2312" w:hAnsi="仿宋_GB2312" w:eastAsia="仿宋_GB2312" w:cs="仿宋_GB2312"/>
          <w:sz w:val="28"/>
          <w:szCs w:val="28"/>
          <w:lang w:eastAsia="zh-CN"/>
        </w:rPr>
        <w:t>名称及服务地点</w:t>
      </w:r>
    </w:p>
    <w:p w14:paraId="6E6591AA">
      <w:pPr>
        <w:ind w:firstLine="522" w:firstLineChars="2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1.项目名称:酒钢集团天暨公司</w:t>
      </w:r>
      <w:r>
        <w:rPr>
          <w:rFonts w:hint="eastAsia" w:ascii="仿宋_GB2312" w:hAnsi="仿宋_GB2312" w:eastAsia="仿宋_GB2312" w:cs="仿宋_GB2312"/>
          <w:sz w:val="28"/>
          <w:szCs w:val="28"/>
          <w:lang w:val="en-US" w:eastAsia="zh-CN"/>
        </w:rPr>
        <w:t>冶金厂区环厂西路南段绿化美化项目</w:t>
      </w:r>
    </w:p>
    <w:p w14:paraId="2C0B253B">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项目</w:t>
      </w:r>
      <w:r>
        <w:rPr>
          <w:rFonts w:hint="eastAsia" w:ascii="仿宋_GB2312" w:hAnsi="仿宋_GB2312" w:eastAsia="仿宋_GB2312" w:cs="仿宋_GB2312"/>
          <w:sz w:val="28"/>
          <w:szCs w:val="28"/>
        </w:rPr>
        <w:t>地点:</w:t>
      </w:r>
      <w:r>
        <w:rPr>
          <w:rFonts w:hint="eastAsia" w:ascii="仿宋_GB2312" w:hAnsi="仿宋_GB2312" w:eastAsia="仿宋_GB2312" w:cs="仿宋_GB2312"/>
          <w:sz w:val="28"/>
          <w:szCs w:val="28"/>
          <w:lang w:eastAsia="zh-CN"/>
        </w:rPr>
        <w:t>甘肃省嘉峪关市酒钢冶金厂区</w:t>
      </w:r>
      <w:r>
        <w:rPr>
          <w:rFonts w:hint="eastAsia" w:ascii="仿宋_GB2312" w:hAnsi="仿宋_GB2312" w:eastAsia="仿宋_GB2312" w:cs="仿宋_GB2312"/>
          <w:sz w:val="28"/>
          <w:szCs w:val="28"/>
        </w:rPr>
        <w:t xml:space="preserve"> </w:t>
      </w:r>
    </w:p>
    <w:p w14:paraId="73E7EB65">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第二条</w:t>
      </w:r>
      <w:r>
        <w:rPr>
          <w:rFonts w:hint="eastAsia" w:ascii="仿宋_GB2312" w:hAnsi="仿宋_GB2312" w:eastAsia="仿宋_GB2312" w:cs="仿宋_GB2312"/>
          <w:sz w:val="28"/>
          <w:szCs w:val="28"/>
          <w:lang w:val="en-US" w:eastAsia="zh-CN"/>
        </w:rPr>
        <w:t xml:space="preserve"> 项目施工内容</w:t>
      </w:r>
    </w:p>
    <w:p w14:paraId="2E1B49D7">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1.工程概况</w:t>
      </w:r>
    </w:p>
    <w:p w14:paraId="578CFB86">
      <w:pPr>
        <w:ind w:firstLine="522" w:firstLineChars="2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环厂西路南段（耐材路至老北库门口）实施绿化美化。采用外侧绿化带种植双排国槐、内侧绿化带套种国槐与灌木球种植模式，同时在东铝一期入口、环西路南端交叉口增加绿化景观4处。绿化长度950米，绿化面积总计12900平，种植土换填14820立、滴灌铺设5910米、喷灌安装2500平、国槐种植1015棵（胸径≥12cm）、小乔木45棵（胸径≥8cm）、灌木球栽植430棵（高度1.2m,冠幅1.2-1.5m），造型树6棵、草坪种植2500平、草花种植800平、栽植月季175平。</w:t>
      </w:r>
    </w:p>
    <w:p w14:paraId="5A1AE31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2.工程量明细</w:t>
      </w:r>
    </w:p>
    <w:tbl>
      <w:tblPr>
        <w:tblStyle w:val="9"/>
        <w:tblW w:w="93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6"/>
        <w:gridCol w:w="484"/>
        <w:gridCol w:w="1122"/>
        <w:gridCol w:w="4995"/>
        <w:gridCol w:w="945"/>
        <w:gridCol w:w="791"/>
        <w:gridCol w:w="663"/>
      </w:tblGrid>
      <w:tr w14:paraId="0C376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2A30">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序号</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0701">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区域</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DD4D">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项目名称</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CEC6">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项目特征描述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B620">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工程量</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D238">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计量单位</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CB13">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备注</w:t>
            </w:r>
          </w:p>
        </w:tc>
      </w:tr>
      <w:tr w14:paraId="4B076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0B85">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0B5A2">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行道树</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08DA">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场地整理</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EA9F">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回填土前树沟整理，将沟边大石块清理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0A14">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10380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368A">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1694">
            <w:pPr>
              <w:jc w:val="center"/>
              <w:rPr>
                <w:rFonts w:hint="eastAsia" w:ascii="仿宋_GB2312" w:hAnsi="仿宋_GB2312" w:eastAsia="仿宋_GB2312" w:cs="仿宋_GB2312"/>
                <w:i w:val="0"/>
                <w:iCs w:val="0"/>
                <w:color w:val="000000"/>
                <w:sz w:val="16"/>
                <w:szCs w:val="16"/>
                <w:u w:val="none"/>
              </w:rPr>
            </w:pPr>
          </w:p>
        </w:tc>
      </w:tr>
      <w:tr w14:paraId="38E62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0BB8">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37D2B">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8604">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种植土回（换）填</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138F">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酒泉农田土</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E56E">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14820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5C95">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m3</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AF7A">
            <w:pPr>
              <w:jc w:val="center"/>
              <w:rPr>
                <w:rFonts w:hint="eastAsia" w:ascii="仿宋_GB2312" w:hAnsi="仿宋_GB2312" w:eastAsia="仿宋_GB2312" w:cs="仿宋_GB2312"/>
                <w:i w:val="0"/>
                <w:iCs w:val="0"/>
                <w:color w:val="000000"/>
                <w:sz w:val="16"/>
                <w:szCs w:val="16"/>
                <w:u w:val="none"/>
              </w:rPr>
            </w:pPr>
          </w:p>
        </w:tc>
      </w:tr>
      <w:tr w14:paraId="2B02E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6C93">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3</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9879E">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45CB">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二次倒运</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5B3F">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倒运距离3km范围</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DBC6">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10342.5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87B2">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m3</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164F">
            <w:pPr>
              <w:jc w:val="center"/>
              <w:rPr>
                <w:rFonts w:hint="eastAsia" w:ascii="仿宋_GB2312" w:hAnsi="仿宋_GB2312" w:eastAsia="仿宋_GB2312" w:cs="仿宋_GB2312"/>
                <w:i w:val="0"/>
                <w:iCs w:val="0"/>
                <w:color w:val="000000"/>
                <w:sz w:val="16"/>
                <w:szCs w:val="16"/>
                <w:u w:val="none"/>
              </w:rPr>
            </w:pPr>
          </w:p>
        </w:tc>
      </w:tr>
      <w:tr w14:paraId="55533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3781">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4</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9CD62">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2A59">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土方平整</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7944">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机械及人工平整</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5F19">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10380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B2BB">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F621">
            <w:pPr>
              <w:jc w:val="center"/>
              <w:rPr>
                <w:rFonts w:hint="eastAsia" w:ascii="仿宋_GB2312" w:hAnsi="仿宋_GB2312" w:eastAsia="仿宋_GB2312" w:cs="仿宋_GB2312"/>
                <w:i w:val="0"/>
                <w:iCs w:val="0"/>
                <w:color w:val="000000"/>
                <w:sz w:val="16"/>
                <w:szCs w:val="16"/>
                <w:u w:val="none"/>
              </w:rPr>
            </w:pPr>
          </w:p>
        </w:tc>
      </w:tr>
      <w:tr w14:paraId="6BA12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FED3">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5</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57806">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A795">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滴灌安装</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C876">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1.规格：DE32,1.6MPA；2.外侧树沟内铺设2道，机动车道内铺设1道；</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3C89">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5910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89D0">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3FFC">
            <w:pPr>
              <w:jc w:val="center"/>
              <w:rPr>
                <w:rFonts w:hint="eastAsia" w:ascii="仿宋_GB2312" w:hAnsi="仿宋_GB2312" w:eastAsia="仿宋_GB2312" w:cs="仿宋_GB2312"/>
                <w:i w:val="0"/>
                <w:iCs w:val="0"/>
                <w:color w:val="000000"/>
                <w:sz w:val="16"/>
                <w:szCs w:val="16"/>
                <w:u w:val="none"/>
              </w:rPr>
            </w:pPr>
          </w:p>
        </w:tc>
      </w:tr>
      <w:tr w14:paraId="78677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7FB2">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6</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91052">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20D1">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管线铺设</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EBC8">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1.规格：DE63,1.6MPA</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FE13">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45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5CA0">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B785">
            <w:pPr>
              <w:jc w:val="center"/>
              <w:rPr>
                <w:rFonts w:hint="eastAsia" w:ascii="仿宋_GB2312" w:hAnsi="仿宋_GB2312" w:eastAsia="仿宋_GB2312" w:cs="仿宋_GB2312"/>
                <w:i w:val="0"/>
                <w:iCs w:val="0"/>
                <w:color w:val="000000"/>
                <w:sz w:val="16"/>
                <w:szCs w:val="16"/>
                <w:u w:val="none"/>
              </w:rPr>
            </w:pPr>
          </w:p>
        </w:tc>
      </w:tr>
      <w:tr w14:paraId="1230E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9C2D">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7</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0B581">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4DA9">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国槐种植</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DBA5">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1.胸径或干径：12cm；2.株高、冠径:大半冠栽植；3.起挖方式:土球90cm；4.干通直，树冠完整，一级苗；5.支撑方式：三角支撑；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F322">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1015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7837">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1CA4">
            <w:pPr>
              <w:jc w:val="center"/>
              <w:rPr>
                <w:rFonts w:hint="eastAsia" w:ascii="仿宋_GB2312" w:hAnsi="仿宋_GB2312" w:eastAsia="仿宋_GB2312" w:cs="仿宋_GB2312"/>
                <w:i w:val="0"/>
                <w:iCs w:val="0"/>
                <w:color w:val="000000"/>
                <w:sz w:val="16"/>
                <w:szCs w:val="16"/>
                <w:u w:val="none"/>
              </w:rPr>
            </w:pPr>
          </w:p>
        </w:tc>
      </w:tr>
      <w:tr w14:paraId="4E84C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8181">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8</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FD6E9">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675C">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灌木球A</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970D">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1.种类:金叶榆；2.株高、冠径:冠幅1.2-1.5m；3.起挖方式:土球60cm；4.株型饱满，精品苗；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0C31">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358</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4725">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C9AE">
            <w:pPr>
              <w:jc w:val="center"/>
              <w:rPr>
                <w:rFonts w:hint="eastAsia" w:ascii="仿宋_GB2312" w:hAnsi="仿宋_GB2312" w:eastAsia="仿宋_GB2312" w:cs="仿宋_GB2312"/>
                <w:i w:val="0"/>
                <w:iCs w:val="0"/>
                <w:color w:val="000000"/>
                <w:sz w:val="16"/>
                <w:szCs w:val="16"/>
                <w:u w:val="none"/>
              </w:rPr>
            </w:pPr>
          </w:p>
        </w:tc>
      </w:tr>
      <w:tr w14:paraId="16FCC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5140">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9</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C52E6">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B6E2">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灌木球B</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F07B">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1.种类:金叶榆；2.株高、冠径:冠幅1.2m；3.起挖方式:土球60cm；4.其他:干球，冠幅1.2m,分枝点0.5m，精品苗；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4A2E">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72</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1274">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EEC4">
            <w:pPr>
              <w:jc w:val="center"/>
              <w:rPr>
                <w:rFonts w:hint="eastAsia" w:ascii="仿宋_GB2312" w:hAnsi="仿宋_GB2312" w:eastAsia="仿宋_GB2312" w:cs="仿宋_GB2312"/>
                <w:i w:val="0"/>
                <w:iCs w:val="0"/>
                <w:color w:val="000000"/>
                <w:sz w:val="16"/>
                <w:szCs w:val="16"/>
                <w:u w:val="none"/>
              </w:rPr>
            </w:pPr>
          </w:p>
        </w:tc>
      </w:tr>
      <w:tr w14:paraId="79655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A706">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6139E">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景观节点</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884C">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土方平整</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7AB4">
            <w:pPr>
              <w:jc w:val="left"/>
              <w:rPr>
                <w:rFonts w:hint="eastAsia" w:ascii="仿宋_GB2312" w:hAnsi="仿宋_GB2312" w:eastAsia="仿宋_GB2312" w:cs="仿宋_GB2312"/>
                <w:i w:val="0"/>
                <w:iCs w:val="0"/>
                <w:color w:val="000000"/>
                <w:sz w:val="16"/>
                <w:szCs w:val="16"/>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0BC0">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2500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CB26">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3EBC">
            <w:pPr>
              <w:jc w:val="center"/>
              <w:rPr>
                <w:rFonts w:hint="eastAsia" w:ascii="仿宋_GB2312" w:hAnsi="仿宋_GB2312" w:eastAsia="仿宋_GB2312" w:cs="仿宋_GB2312"/>
                <w:i w:val="0"/>
                <w:iCs w:val="0"/>
                <w:color w:val="000000"/>
                <w:sz w:val="16"/>
                <w:szCs w:val="16"/>
                <w:u w:val="none"/>
              </w:rPr>
            </w:pPr>
          </w:p>
        </w:tc>
      </w:tr>
      <w:tr w14:paraId="128AB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68C4">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11</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57A01">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68D1">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绿地起坡造型</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E6B6">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堆坡造型</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AAD4">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2500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52CB">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DEC5">
            <w:pPr>
              <w:jc w:val="center"/>
              <w:rPr>
                <w:rFonts w:hint="eastAsia" w:ascii="仿宋_GB2312" w:hAnsi="仿宋_GB2312" w:eastAsia="仿宋_GB2312" w:cs="仿宋_GB2312"/>
                <w:i w:val="0"/>
                <w:iCs w:val="0"/>
                <w:color w:val="000000"/>
                <w:sz w:val="16"/>
                <w:szCs w:val="16"/>
                <w:u w:val="none"/>
              </w:rPr>
            </w:pPr>
          </w:p>
        </w:tc>
      </w:tr>
      <w:tr w14:paraId="3268F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A961">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12</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DEF56">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C9BA">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人工精平</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73E3">
            <w:pPr>
              <w:jc w:val="left"/>
              <w:rPr>
                <w:rFonts w:hint="eastAsia" w:ascii="仿宋_GB2312" w:hAnsi="仿宋_GB2312" w:eastAsia="仿宋_GB2312" w:cs="仿宋_GB2312"/>
                <w:i w:val="0"/>
                <w:iCs w:val="0"/>
                <w:color w:val="000000"/>
                <w:sz w:val="16"/>
                <w:szCs w:val="16"/>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E3F2">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2500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1D94">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44C5">
            <w:pPr>
              <w:jc w:val="center"/>
              <w:rPr>
                <w:rFonts w:hint="eastAsia" w:ascii="仿宋_GB2312" w:hAnsi="仿宋_GB2312" w:eastAsia="仿宋_GB2312" w:cs="仿宋_GB2312"/>
                <w:i w:val="0"/>
                <w:iCs w:val="0"/>
                <w:color w:val="000000"/>
                <w:sz w:val="16"/>
                <w:szCs w:val="16"/>
                <w:u w:val="none"/>
              </w:rPr>
            </w:pPr>
          </w:p>
        </w:tc>
      </w:tr>
      <w:tr w14:paraId="528A9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A38D">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13</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B3888">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0DDF">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管线铺设</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C795">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1.规格：DE63,1.6MPA</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6F86">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145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05ED">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E15B">
            <w:pPr>
              <w:jc w:val="center"/>
              <w:rPr>
                <w:rFonts w:hint="eastAsia" w:ascii="仿宋_GB2312" w:hAnsi="仿宋_GB2312" w:eastAsia="仿宋_GB2312" w:cs="仿宋_GB2312"/>
                <w:i w:val="0"/>
                <w:iCs w:val="0"/>
                <w:color w:val="000000"/>
                <w:sz w:val="16"/>
                <w:szCs w:val="16"/>
                <w:u w:val="none"/>
              </w:rPr>
            </w:pPr>
          </w:p>
        </w:tc>
      </w:tr>
      <w:tr w14:paraId="726BB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5CEF">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14</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F3DB8">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55CF">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喷灌安装</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86EA">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布局合理，达到浇灌要求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1CA0">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2500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B0E8">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48C0">
            <w:pPr>
              <w:jc w:val="center"/>
              <w:rPr>
                <w:rFonts w:hint="eastAsia" w:ascii="仿宋_GB2312" w:hAnsi="仿宋_GB2312" w:eastAsia="仿宋_GB2312" w:cs="仿宋_GB2312"/>
                <w:i w:val="0"/>
                <w:iCs w:val="0"/>
                <w:color w:val="000000"/>
                <w:sz w:val="16"/>
                <w:szCs w:val="16"/>
                <w:u w:val="none"/>
              </w:rPr>
            </w:pPr>
          </w:p>
        </w:tc>
      </w:tr>
      <w:tr w14:paraId="2795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F5E8">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15</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BF051">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7278">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造型树</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CB9B">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1.株高、冠径:高度3-3.5m，冠幅2-2.5m；2.起挖方式:土球100cm；3.株型饱满，一级苗；4.支撑方式：四角支撑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12D1">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6</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354A">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5263">
            <w:pPr>
              <w:jc w:val="center"/>
              <w:rPr>
                <w:rFonts w:hint="eastAsia" w:ascii="仿宋_GB2312" w:hAnsi="仿宋_GB2312" w:eastAsia="仿宋_GB2312" w:cs="仿宋_GB2312"/>
                <w:i w:val="0"/>
                <w:iCs w:val="0"/>
                <w:color w:val="000000"/>
                <w:sz w:val="16"/>
                <w:szCs w:val="16"/>
                <w:u w:val="none"/>
              </w:rPr>
            </w:pPr>
          </w:p>
        </w:tc>
      </w:tr>
      <w:tr w14:paraId="69336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885E">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16</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45F21">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B7EA">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小乔木</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9652">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1.胸径或干径:地径8cm；3.株高、冠径:冠幅1.2-1.5m；4.起挖方式:土球60cm；5.支撑方式：三角撑；6.品种：海棠/稠李/金叶白蜡等</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8B28">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45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1815">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株</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9350">
            <w:pPr>
              <w:jc w:val="center"/>
              <w:rPr>
                <w:rFonts w:hint="eastAsia" w:ascii="仿宋_GB2312" w:hAnsi="仿宋_GB2312" w:eastAsia="仿宋_GB2312" w:cs="仿宋_GB2312"/>
                <w:i w:val="0"/>
                <w:iCs w:val="0"/>
                <w:color w:val="000000"/>
                <w:sz w:val="16"/>
                <w:szCs w:val="16"/>
                <w:u w:val="none"/>
              </w:rPr>
            </w:pPr>
          </w:p>
        </w:tc>
      </w:tr>
      <w:tr w14:paraId="13EDA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4D66">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17</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0AD57">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5A12">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月季</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11D3">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1.种类:月季；2.种植密度:16株/m2；3.冠丛高:50cm；4.蓬径:0.3m；5.起挖方式:营养钵苗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5DA1">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175</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A5B1">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6C10">
            <w:pPr>
              <w:jc w:val="center"/>
              <w:rPr>
                <w:rFonts w:hint="eastAsia" w:ascii="仿宋_GB2312" w:hAnsi="仿宋_GB2312" w:eastAsia="仿宋_GB2312" w:cs="仿宋_GB2312"/>
                <w:i w:val="0"/>
                <w:iCs w:val="0"/>
                <w:color w:val="000000"/>
                <w:sz w:val="16"/>
                <w:szCs w:val="16"/>
                <w:u w:val="none"/>
              </w:rPr>
            </w:pPr>
          </w:p>
        </w:tc>
      </w:tr>
      <w:tr w14:paraId="16928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E929">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18</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0BE9D">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0BC6">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栽植绿篱</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BDBF">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1.种类:金叶榆/水蜡/紫叶矮樱；2.篱高:100cm以内；3.单位面积株数:49株/m2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65572">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240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B82E">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4EED">
            <w:pPr>
              <w:jc w:val="center"/>
              <w:rPr>
                <w:rFonts w:hint="eastAsia" w:ascii="仿宋_GB2312" w:hAnsi="仿宋_GB2312" w:eastAsia="仿宋_GB2312" w:cs="仿宋_GB2312"/>
                <w:i w:val="0"/>
                <w:iCs w:val="0"/>
                <w:color w:val="000000"/>
                <w:sz w:val="16"/>
                <w:szCs w:val="16"/>
                <w:u w:val="none"/>
              </w:rPr>
            </w:pPr>
          </w:p>
        </w:tc>
      </w:tr>
      <w:tr w14:paraId="70125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C470">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19</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D1DC6">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334C">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宿根花卉种植</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186B">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1.花卉种类:宿根花卉；2.单位面积株数:49株/m2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03F5">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150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3ECF">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0D72">
            <w:pPr>
              <w:jc w:val="center"/>
              <w:rPr>
                <w:rFonts w:hint="eastAsia" w:ascii="仿宋_GB2312" w:hAnsi="仿宋_GB2312" w:eastAsia="仿宋_GB2312" w:cs="仿宋_GB2312"/>
                <w:i w:val="0"/>
                <w:iCs w:val="0"/>
                <w:color w:val="000000"/>
                <w:sz w:val="16"/>
                <w:szCs w:val="16"/>
                <w:u w:val="none"/>
              </w:rPr>
            </w:pPr>
          </w:p>
        </w:tc>
      </w:tr>
      <w:tr w14:paraId="72FAA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E1C4">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20</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73548">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2193">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草花种植</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AABA">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1.花卉种类:一年生花卉；2.覆膜种植；3.单位面积株数:49株/m2；4.包含三年种植费用</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EF5E">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650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3101">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9933">
            <w:pPr>
              <w:jc w:val="center"/>
              <w:rPr>
                <w:rFonts w:hint="eastAsia" w:ascii="仿宋_GB2312" w:hAnsi="仿宋_GB2312" w:eastAsia="仿宋_GB2312" w:cs="仿宋_GB2312"/>
                <w:i w:val="0"/>
                <w:iCs w:val="0"/>
                <w:color w:val="000000"/>
                <w:sz w:val="16"/>
                <w:szCs w:val="16"/>
                <w:u w:val="none"/>
              </w:rPr>
            </w:pPr>
          </w:p>
        </w:tc>
      </w:tr>
      <w:tr w14:paraId="705D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93DA">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21</w:t>
            </w: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D6579">
            <w:pPr>
              <w:jc w:val="center"/>
              <w:rPr>
                <w:rFonts w:hint="eastAsia" w:ascii="仿宋_GB2312" w:hAnsi="仿宋_GB2312" w:eastAsia="仿宋_GB2312" w:cs="仿宋_GB2312"/>
                <w:i w:val="0"/>
                <w:iCs w:val="0"/>
                <w:color w:val="000000"/>
                <w:sz w:val="16"/>
                <w:szCs w:val="16"/>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1CDD">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草坪种植</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6D6A">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1.草（灌木）籽种类:冷季型草种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2538">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2500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03DF">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m2</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A512">
            <w:pPr>
              <w:jc w:val="center"/>
              <w:rPr>
                <w:rFonts w:hint="eastAsia" w:ascii="仿宋_GB2312" w:hAnsi="仿宋_GB2312" w:eastAsia="仿宋_GB2312" w:cs="仿宋_GB2312"/>
                <w:i w:val="0"/>
                <w:iCs w:val="0"/>
                <w:color w:val="000000"/>
                <w:sz w:val="16"/>
                <w:szCs w:val="16"/>
                <w:u w:val="none"/>
              </w:rPr>
            </w:pPr>
          </w:p>
        </w:tc>
      </w:tr>
      <w:tr w14:paraId="4DA89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4D05">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22</w:t>
            </w:r>
          </w:p>
        </w:tc>
        <w:tc>
          <w:tcPr>
            <w:tcW w:w="16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6CD22">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养护</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F98C">
            <w:pPr>
              <w:keepNext w:val="0"/>
              <w:keepLines w:val="0"/>
              <w:widowControl/>
              <w:suppressLineNumbers w:val="0"/>
              <w:jc w:val="lef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养护期：养护三年，包含浇水、除草、病虫害等相关费用</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BB5C">
            <w:pPr>
              <w:keepNext w:val="0"/>
              <w:keepLines w:val="0"/>
              <w:widowControl/>
              <w:suppressLineNumbers w:val="0"/>
              <w:jc w:val="right"/>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3</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380D">
            <w:pPr>
              <w:keepNext w:val="0"/>
              <w:keepLines w:val="0"/>
              <w:widowControl/>
              <w:suppressLineNumbers w:val="0"/>
              <w:jc w:val="center"/>
              <w:textAlignment w:val="center"/>
              <w:rPr>
                <w:rFonts w:hint="eastAsia" w:ascii="仿宋_GB2312" w:hAnsi="仿宋_GB2312" w:eastAsia="仿宋_GB2312" w:cs="仿宋_GB2312"/>
                <w:i w:val="0"/>
                <w:iCs w:val="0"/>
                <w:color w:val="000000"/>
                <w:sz w:val="16"/>
                <w:szCs w:val="16"/>
                <w:u w:val="none"/>
              </w:rPr>
            </w:pPr>
            <w:r>
              <w:rPr>
                <w:rFonts w:hint="eastAsia" w:ascii="仿宋_GB2312" w:hAnsi="仿宋_GB2312" w:eastAsia="仿宋_GB2312" w:cs="仿宋_GB2312"/>
                <w:i w:val="0"/>
                <w:iCs w:val="0"/>
                <w:color w:val="000000"/>
                <w:kern w:val="0"/>
                <w:sz w:val="16"/>
                <w:szCs w:val="16"/>
                <w:u w:val="none"/>
                <w:lang w:val="en-US" w:eastAsia="zh-CN" w:bidi="ar"/>
              </w:rPr>
              <w:t>年</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F31B">
            <w:pPr>
              <w:jc w:val="center"/>
              <w:rPr>
                <w:rFonts w:hint="eastAsia" w:ascii="仿宋_GB2312" w:hAnsi="仿宋_GB2312" w:eastAsia="仿宋_GB2312" w:cs="仿宋_GB2312"/>
                <w:i w:val="0"/>
                <w:iCs w:val="0"/>
                <w:color w:val="000000"/>
                <w:sz w:val="16"/>
                <w:szCs w:val="16"/>
                <w:u w:val="none"/>
              </w:rPr>
            </w:pPr>
          </w:p>
        </w:tc>
      </w:tr>
    </w:tbl>
    <w:p w14:paraId="3D29AD14">
      <w:pPr>
        <w:pStyle w:val="2"/>
        <w:ind w:left="0" w:leftChars="0" w:firstLine="0" w:firstLineChars="0"/>
        <w:rPr>
          <w:rFonts w:hint="eastAsia"/>
          <w:lang w:val="en-US" w:eastAsia="zh-CN"/>
        </w:rPr>
      </w:pPr>
    </w:p>
    <w:p w14:paraId="4B470FEB">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3.工程量涉及的工器具、辅材等</w:t>
      </w:r>
    </w:p>
    <w:p w14:paraId="6EBED17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工程涉及的苗木、种植土、管线、阀门等各种材料备件以及各种车辆、工器具等全部由乙方负责，并已包含在合同总价款内；项目完工后，乙方负责本项目施工区域绿化养护工作至2029年12月31日结束，养护期所需的农药、化肥(肥料)、死树补植苗木及工器具等全部费用由乙方承担，但不包含</w:t>
      </w:r>
      <w:r>
        <w:rPr>
          <w:rFonts w:hint="eastAsia" w:ascii="仿宋_GB2312" w:hAnsi="仿宋_GB2312" w:eastAsia="仿宋_GB2312" w:cs="仿宋_GB2312"/>
          <w:sz w:val="28"/>
          <w:szCs w:val="28"/>
          <w:lang w:val="zh-CN" w:eastAsia="zh-CN"/>
        </w:rPr>
        <w:t>绿化灌溉水费、电费</w:t>
      </w:r>
      <w:r>
        <w:rPr>
          <w:rFonts w:hint="eastAsia" w:ascii="仿宋_GB2312" w:hAnsi="仿宋_GB2312" w:eastAsia="仿宋_GB2312" w:cs="仿宋_GB2312"/>
          <w:sz w:val="28"/>
          <w:szCs w:val="28"/>
          <w:lang w:val="en-US" w:eastAsia="zh-CN"/>
        </w:rPr>
        <w:t>。</w:t>
      </w:r>
    </w:p>
    <w:p w14:paraId="4F79903C">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4.人员配置要求</w:t>
      </w:r>
    </w:p>
    <w:p w14:paraId="7B48C2AE">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须配备连续工作两年以上的园林技术人员（农艺师、园艺师）6名，以及管工1人。同时，须配备</w:t>
      </w:r>
      <w:r>
        <w:rPr>
          <w:rFonts w:hint="eastAsia" w:ascii="仿宋_GB2312" w:hAnsi="仿宋_GB2312" w:eastAsia="仿宋_GB2312" w:cs="仿宋_GB2312"/>
          <w:color w:val="auto"/>
          <w:sz w:val="28"/>
          <w:szCs w:val="28"/>
          <w:lang w:eastAsia="zh-CN"/>
        </w:rPr>
        <w:t>专职安全管理人员</w:t>
      </w:r>
      <w:r>
        <w:rPr>
          <w:rFonts w:hint="eastAsia" w:ascii="仿宋_GB2312" w:hAnsi="仿宋_GB2312" w:eastAsia="仿宋_GB2312" w:cs="仿宋_GB2312"/>
          <w:color w:val="auto"/>
          <w:sz w:val="28"/>
          <w:szCs w:val="28"/>
          <w:lang w:val="en-US" w:eastAsia="zh-CN"/>
        </w:rPr>
        <w:t>1名。</w:t>
      </w:r>
    </w:p>
    <w:p w14:paraId="6C3548DA">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5.项目验收条件</w:t>
      </w:r>
    </w:p>
    <w:p w14:paraId="08A3F7D4">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(1)项目交工验收时间：2026年6月中旬；</w:t>
      </w:r>
    </w:p>
    <w:p w14:paraId="0F72C4E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(2)交工验收内容及质量要求：种植区域场地平整；种植区域水线完好，并做到全覆盖；合同标的要求的苗木足量种植，成活率达到95%以上；完成工程量明细表中涵盖的所有施工内容</w:t>
      </w:r>
      <w:r>
        <w:rPr>
          <w:rFonts w:hint="eastAsia" w:ascii="仿宋_GB2312" w:hAnsi="仿宋_GB2312" w:eastAsia="仿宋_GB2312" w:cs="仿宋_GB2312"/>
          <w:sz w:val="28"/>
          <w:szCs w:val="28"/>
        </w:rPr>
        <w:t>。</w:t>
      </w:r>
    </w:p>
    <w:p w14:paraId="0E00BBCB">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第三条</w:t>
      </w:r>
      <w:r>
        <w:rPr>
          <w:rFonts w:hint="eastAsia" w:ascii="仿宋_GB2312" w:hAnsi="仿宋_GB2312" w:eastAsia="仿宋_GB2312" w:cs="仿宋_GB2312"/>
          <w:sz w:val="28"/>
          <w:szCs w:val="28"/>
          <w:lang w:val="en-US" w:eastAsia="zh-CN"/>
        </w:rPr>
        <w:t xml:space="preserve"> 合同总价款</w:t>
      </w:r>
      <w:r>
        <w:rPr>
          <w:rFonts w:hint="eastAsia" w:ascii="仿宋_GB2312" w:hAnsi="仿宋_GB2312" w:eastAsia="仿宋_GB2312" w:cs="仿宋_GB2312"/>
          <w:sz w:val="28"/>
          <w:szCs w:val="28"/>
        </w:rPr>
        <w:t xml:space="preserve"> </w:t>
      </w:r>
    </w:p>
    <w:p w14:paraId="2AA182FC">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本</w:t>
      </w:r>
      <w:r>
        <w:rPr>
          <w:rFonts w:hint="eastAsia" w:ascii="仿宋_GB2312" w:hAnsi="仿宋_GB2312" w:eastAsia="仿宋_GB2312" w:cs="仿宋_GB2312"/>
          <w:sz w:val="28"/>
          <w:szCs w:val="28"/>
          <w:lang w:eastAsia="zh-CN"/>
        </w:rPr>
        <w:t>项目</w:t>
      </w:r>
      <w:r>
        <w:rPr>
          <w:rFonts w:hint="eastAsia" w:ascii="仿宋_GB2312" w:hAnsi="仿宋_GB2312" w:eastAsia="仿宋_GB2312" w:cs="仿宋_GB2312"/>
          <w:sz w:val="28"/>
          <w:szCs w:val="28"/>
        </w:rPr>
        <w:t>合同为含税不变价格闭口合同，合同总价款包含建安费、安全措施费、施工环保措施费、文明施工措施费等专项措施费用等，合同税率为</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工程交工后</w:t>
      </w:r>
      <w:r>
        <w:rPr>
          <w:rFonts w:hint="eastAsia" w:ascii="仿宋_GB2312" w:hAnsi="仿宋_GB2312" w:eastAsia="仿宋_GB2312" w:cs="仿宋_GB2312"/>
          <w:sz w:val="28"/>
          <w:szCs w:val="28"/>
        </w:rPr>
        <w:t>开具</w:t>
      </w:r>
      <w:r>
        <w:rPr>
          <w:rFonts w:hint="eastAsia" w:ascii="仿宋_GB2312" w:hAnsi="仿宋_GB2312" w:eastAsia="仿宋_GB2312" w:cs="仿宋_GB2312"/>
          <w:sz w:val="28"/>
          <w:szCs w:val="28"/>
          <w:lang w:val="en-US" w:eastAsia="zh-CN"/>
        </w:rPr>
        <w:t>全额</w:t>
      </w:r>
      <w:r>
        <w:rPr>
          <w:rFonts w:hint="eastAsia" w:ascii="仿宋_GB2312" w:hAnsi="仿宋_GB2312" w:eastAsia="仿宋_GB2312" w:cs="仿宋_GB2312"/>
          <w:sz w:val="28"/>
          <w:szCs w:val="28"/>
        </w:rPr>
        <w:t>增值税专用发票。</w:t>
      </w:r>
    </w:p>
    <w:p w14:paraId="6234849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合同不含税价</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大写</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(人民币*******)</w:t>
      </w:r>
    </w:p>
    <w:p w14:paraId="656D71CC">
      <w:pPr>
        <w:keepNext w:val="0"/>
        <w:keepLines w:val="0"/>
        <w:pageBreakBefore w:val="0"/>
        <w:widowControl w:val="0"/>
        <w:kinsoku/>
        <w:wordWrap/>
        <w:overflowPunct/>
        <w:topLinePunct w:val="0"/>
        <w:autoSpaceDE/>
        <w:autoSpaceDN/>
        <w:bidi w:val="0"/>
        <w:adjustRightInd/>
        <w:snapToGrid/>
        <w:spacing w:line="500" w:lineRule="exact"/>
        <w:ind w:firstLine="2871" w:firstLineChars="1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元</w:t>
      </w:r>
    </w:p>
    <w:p w14:paraId="7A16320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增值税税额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大写</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(人民币******)</w:t>
      </w:r>
    </w:p>
    <w:p w14:paraId="0D0D1C96">
      <w:pPr>
        <w:keepNext w:val="0"/>
        <w:keepLines w:val="0"/>
        <w:pageBreakBefore w:val="0"/>
        <w:widowControl w:val="0"/>
        <w:kinsoku/>
        <w:wordWrap/>
        <w:overflowPunct/>
        <w:topLinePunct w:val="0"/>
        <w:autoSpaceDE/>
        <w:autoSpaceDN/>
        <w:bidi w:val="0"/>
        <w:adjustRightInd/>
        <w:snapToGrid/>
        <w:spacing w:line="500" w:lineRule="exact"/>
        <w:ind w:firstLine="2871" w:firstLineChars="1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元</w:t>
      </w:r>
    </w:p>
    <w:p w14:paraId="132403B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合同总金额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大写</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(人民币********)</w:t>
      </w:r>
    </w:p>
    <w:p w14:paraId="312C6813">
      <w:pPr>
        <w:keepNext w:val="0"/>
        <w:keepLines w:val="0"/>
        <w:pageBreakBefore w:val="0"/>
        <w:widowControl w:val="0"/>
        <w:kinsoku/>
        <w:wordWrap/>
        <w:overflowPunct/>
        <w:topLinePunct w:val="0"/>
        <w:autoSpaceDE/>
        <w:autoSpaceDN/>
        <w:bidi w:val="0"/>
        <w:adjustRightInd/>
        <w:snapToGrid/>
        <w:spacing w:line="500" w:lineRule="exact"/>
        <w:ind w:firstLine="2871" w:firstLineChars="1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元</w:t>
      </w:r>
    </w:p>
    <w:p w14:paraId="793866FB">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 xml:space="preserve">条 付款 </w:t>
      </w:r>
    </w:p>
    <w:p w14:paraId="78568517">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val="zh-CN" w:eastAsia="zh-CN"/>
        </w:rPr>
        <w:t>付款方式</w:t>
      </w:r>
    </w:p>
    <w:p w14:paraId="0A3B571A">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本合同无预付款。付款采用现汇或银行承兑汇票，其中银行承兑汇票不低于50%。</w:t>
      </w:r>
    </w:p>
    <w:p w14:paraId="24A69E1B">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(2)项目建设完成后，2026年6月末支付</w:t>
      </w:r>
      <w:r>
        <w:rPr>
          <w:rFonts w:hint="eastAsia" w:ascii="仿宋_GB2312" w:hAnsi="仿宋_GB2312" w:eastAsia="仿宋_GB2312" w:cs="仿宋_GB2312"/>
          <w:sz w:val="28"/>
          <w:szCs w:val="28"/>
        </w:rPr>
        <w:t>合同总金额的</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0%</w:t>
      </w:r>
      <w:r>
        <w:rPr>
          <w:rFonts w:hint="eastAsia" w:ascii="仿宋_GB2312" w:hAnsi="仿宋_GB2312" w:eastAsia="仿宋_GB2312" w:cs="仿宋_GB2312"/>
          <w:sz w:val="28"/>
          <w:szCs w:val="28"/>
          <w:lang w:val="en-US" w:eastAsia="zh-CN"/>
        </w:rPr>
        <w:t>(用于支付农民工工资)。</w:t>
      </w:r>
    </w:p>
    <w:p w14:paraId="56ECB7EC">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(3)2026年8月中旬按照合同第二条第四款“项目竣工验收条件”组织验收后，再支付</w:t>
      </w:r>
      <w:r>
        <w:rPr>
          <w:rFonts w:hint="eastAsia" w:ascii="仿宋_GB2312" w:hAnsi="仿宋_GB2312" w:eastAsia="仿宋_GB2312" w:cs="仿宋_GB2312"/>
          <w:sz w:val="28"/>
          <w:szCs w:val="28"/>
        </w:rPr>
        <w:t>合同总金额的</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0%</w:t>
      </w:r>
      <w:r>
        <w:rPr>
          <w:rFonts w:hint="eastAsia" w:ascii="仿宋_GB2312" w:hAnsi="仿宋_GB2312" w:eastAsia="仿宋_GB2312" w:cs="仿宋_GB2312"/>
          <w:sz w:val="28"/>
          <w:szCs w:val="28"/>
          <w:lang w:eastAsia="zh-CN"/>
        </w:rPr>
        <w:t>。</w:t>
      </w:r>
    </w:p>
    <w:p w14:paraId="278B8C8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(4)2026年12月底再支付</w:t>
      </w:r>
      <w:r>
        <w:rPr>
          <w:rFonts w:hint="eastAsia" w:ascii="仿宋_GB2312" w:hAnsi="仿宋_GB2312" w:eastAsia="仿宋_GB2312" w:cs="仿宋_GB2312"/>
          <w:sz w:val="28"/>
          <w:szCs w:val="28"/>
        </w:rPr>
        <w:t>合同总金额的</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剩余合同总金额的30%作为2027-2029年3年绿化养护费用及工程质保金(</w:t>
      </w:r>
      <w:r>
        <w:rPr>
          <w:rFonts w:hint="eastAsia" w:ascii="仿宋_GB2312" w:hAnsi="仿宋_GB2312" w:eastAsia="仿宋_GB2312" w:cs="仿宋_GB2312"/>
          <w:sz w:val="28"/>
          <w:szCs w:val="28"/>
        </w:rPr>
        <w:t>质保金不计息</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eastAsia="zh-CN"/>
        </w:rPr>
        <w:t>。</w:t>
      </w:r>
    </w:p>
    <w:p w14:paraId="770E5BF9">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(5)2027年12月末再支付</w:t>
      </w:r>
      <w:r>
        <w:rPr>
          <w:rFonts w:hint="eastAsia" w:ascii="仿宋_GB2312" w:hAnsi="仿宋_GB2312" w:eastAsia="仿宋_GB2312" w:cs="仿宋_GB2312"/>
          <w:sz w:val="28"/>
          <w:szCs w:val="28"/>
        </w:rPr>
        <w:t>合同总金额的</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p>
    <w:p w14:paraId="32F816E0">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(6)</w:t>
      </w:r>
      <w:r>
        <w:rPr>
          <w:rFonts w:hint="eastAsia" w:ascii="仿宋_GB2312" w:hAnsi="仿宋_GB2312" w:eastAsia="仿宋_GB2312" w:cs="仿宋_GB2312"/>
          <w:sz w:val="28"/>
          <w:szCs w:val="28"/>
          <w:lang w:val="en-US" w:eastAsia="zh-CN"/>
        </w:rPr>
        <w:t>2028年12月末再支付</w:t>
      </w:r>
      <w:r>
        <w:rPr>
          <w:rFonts w:hint="eastAsia" w:ascii="仿宋_GB2312" w:hAnsi="仿宋_GB2312" w:eastAsia="仿宋_GB2312" w:cs="仿宋_GB2312"/>
          <w:sz w:val="28"/>
          <w:szCs w:val="28"/>
        </w:rPr>
        <w:t>合同总金额的</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p>
    <w:p w14:paraId="39B18CBB">
      <w:pPr>
        <w:pStyle w:val="4"/>
        <w:ind w:left="0" w:leftChars="0" w:firstLine="522"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(7)2029年12月末，甲乙双方就乙方承担的养护服务工作进行交接，并按树木成活率95%及以上进行交接验收，</w:t>
      </w:r>
      <w:r>
        <w:rPr>
          <w:rFonts w:hint="eastAsia" w:ascii="仿宋_GB2312" w:hAnsi="仿宋_GB2312" w:eastAsia="仿宋_GB2312" w:cs="仿宋_GB2312"/>
          <w:sz w:val="28"/>
          <w:szCs w:val="28"/>
          <w:lang w:val="en-US" w:eastAsia="zh-CN"/>
        </w:rPr>
        <w:t>支付</w:t>
      </w:r>
      <w:r>
        <w:rPr>
          <w:rFonts w:hint="eastAsia" w:ascii="仿宋_GB2312" w:hAnsi="仿宋_GB2312" w:eastAsia="仿宋_GB2312" w:cs="仿宋_GB2312"/>
          <w:sz w:val="28"/>
          <w:szCs w:val="28"/>
        </w:rPr>
        <w:t>合同总金额的</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p>
    <w:p w14:paraId="01375BB6">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2.农民工工资支付</w:t>
      </w:r>
    </w:p>
    <w:p w14:paraId="2CBE034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val="en-US" w:eastAsia="zh-CN"/>
        </w:rPr>
        <w:t>乙方在办理结算时，应将农民工工资支付清单（以下简称工资支付清单，包括：工资发放表、花名册、月考勤表）提交甲方，无工资支付清单，不予办理付款结算。</w:t>
      </w:r>
      <w:bookmarkStart w:id="0" w:name="_GoBack"/>
      <w:bookmarkEnd w:id="0"/>
      <w:r>
        <w:rPr>
          <w:rFonts w:hint="eastAsia" w:ascii="仿宋_GB2312" w:hAnsi="仿宋_GB2312" w:eastAsia="仿宋_GB2312" w:cs="仿宋_GB2312"/>
          <w:sz w:val="28"/>
          <w:szCs w:val="28"/>
        </w:rPr>
        <w:t xml:space="preserve"> </w:t>
      </w:r>
    </w:p>
    <w:p w14:paraId="49DB8609">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第五条 合同履行期限</w:t>
      </w:r>
    </w:p>
    <w:p w14:paraId="3833963E">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1.项目施工工期：2026年5月31日前全部施工内容完工。</w:t>
      </w:r>
    </w:p>
    <w:p w14:paraId="176443A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2.绿化养护期：项目交工后开始至202</w:t>
      </w:r>
      <w:r>
        <w:rPr>
          <w:rFonts w:hint="eastAsia" w:ascii="仿宋_GB2312" w:hAnsi="仿宋_GB2312" w:cs="仿宋_GB2312"/>
          <w:sz w:val="28"/>
          <w:szCs w:val="28"/>
          <w:lang w:val="en-US" w:eastAsia="zh-CN"/>
        </w:rPr>
        <w:t>9</w:t>
      </w:r>
      <w:r>
        <w:rPr>
          <w:rFonts w:hint="eastAsia" w:ascii="仿宋_GB2312" w:hAnsi="仿宋_GB2312" w:eastAsia="仿宋_GB2312" w:cs="仿宋_GB2312"/>
          <w:sz w:val="28"/>
          <w:szCs w:val="28"/>
          <w:lang w:val="en-US" w:eastAsia="zh-CN"/>
        </w:rPr>
        <w:t>年</w:t>
      </w:r>
      <w:r>
        <w:rPr>
          <w:rFonts w:hint="eastAsia" w:ascii="仿宋_GB2312" w:hAnsi="仿宋_GB2312" w:cs="仿宋_GB2312"/>
          <w:sz w:val="28"/>
          <w:szCs w:val="28"/>
          <w:lang w:val="en-US" w:eastAsia="zh-CN"/>
        </w:rPr>
        <w:t>12</w:t>
      </w:r>
      <w:r>
        <w:rPr>
          <w:rFonts w:hint="eastAsia" w:ascii="仿宋_GB2312" w:hAnsi="仿宋_GB2312" w:eastAsia="仿宋_GB2312" w:cs="仿宋_GB2312"/>
          <w:sz w:val="28"/>
          <w:szCs w:val="28"/>
          <w:lang w:val="en-US" w:eastAsia="zh-CN"/>
        </w:rPr>
        <w:t>月31日结束。</w:t>
      </w:r>
    </w:p>
    <w:p w14:paraId="5512EB74">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第六条 项目施工方案</w:t>
      </w:r>
    </w:p>
    <w:p w14:paraId="11D3DAE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(一)行道树</w:t>
      </w:r>
    </w:p>
    <w:p w14:paraId="0DE2242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highlight w:val="none"/>
          <w:lang w:val="en-US" w:eastAsia="zh-CN"/>
        </w:rPr>
      </w:pPr>
      <w:r>
        <w:rPr>
          <w:rFonts w:hint="eastAsia" w:ascii="仿宋_GB2312" w:hAnsi="仿宋_GB2312" w:eastAsia="仿宋_GB2312" w:cs="仿宋_GB2312"/>
          <w:sz w:val="28"/>
          <w:szCs w:val="28"/>
          <w:highlight w:val="none"/>
          <w:lang w:val="en-US" w:eastAsia="zh-CN"/>
        </w:rPr>
        <w:t>1.施工内容：</w:t>
      </w:r>
    </w:p>
    <w:p w14:paraId="0E064D30">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（1）土建部分</w:t>
      </w:r>
    </w:p>
    <w:p w14:paraId="39ACB4E5">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①对绿化区域换填种植土，换填深度1.5m。 </w:t>
      </w:r>
    </w:p>
    <w:p w14:paraId="189D29D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②将道路南侧空缺区域进行挖方换填种植土。 </w:t>
      </w:r>
    </w:p>
    <w:p w14:paraId="532B0DC0">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2.种植方式： </w:t>
      </w:r>
    </w:p>
    <w:p w14:paraId="52BDC1D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①外侧绿化带种植双排国槐，整体呈“品”字型排列；内侧绿化带采用国槐与灌木球套种的方式。 </w:t>
      </w:r>
    </w:p>
    <w:p w14:paraId="14625C5E">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②机动车道两侧间植灌木球，以彩色为主基调，按“黄-红-绿”彩色序列延续种植。 </w:t>
      </w:r>
    </w:p>
    <w:p w14:paraId="24F137D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3.灌溉系统 </w:t>
      </w:r>
    </w:p>
    <w:p w14:paraId="2565303C">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①区域内铺设绿化管线：为达到节水灌溉的目的，绿地安装喷灌，行道树安装滴灌系统。 </w:t>
      </w:r>
    </w:p>
    <w:p w14:paraId="3562C7DF">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②水源接引：从就近管线进行接引。</w:t>
      </w:r>
    </w:p>
    <w:p w14:paraId="197F0AA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2.改造后效果图</w:t>
      </w:r>
    </w:p>
    <w:p w14:paraId="27CA638B">
      <w:pPr>
        <w:pStyle w:val="2"/>
        <w:ind w:left="0" w:leftChars="0" w:firstLine="0" w:firstLineChars="0"/>
        <w:rPr>
          <w:rFonts w:hint="eastAsia" w:ascii="仿宋_GB2312" w:hAnsi="仿宋_GB2312" w:eastAsia="仿宋_GB2312" w:cs="仿宋_GB2312"/>
          <w:sz w:val="28"/>
          <w:szCs w:val="28"/>
          <w:highlight w:val="red"/>
          <w:lang w:val="en-US" w:eastAsia="zh-CN"/>
        </w:rPr>
      </w:pPr>
      <w:r>
        <w:drawing>
          <wp:inline distT="0" distB="0" distL="114300" distR="114300">
            <wp:extent cx="5687060" cy="3202305"/>
            <wp:effectExtent l="0" t="0" r="889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687060" cy="3202305"/>
                    </a:xfrm>
                    <a:prstGeom prst="rect">
                      <a:avLst/>
                    </a:prstGeom>
                    <a:noFill/>
                    <a:ln>
                      <a:noFill/>
                    </a:ln>
                  </pic:spPr>
                </pic:pic>
              </a:graphicData>
            </a:graphic>
          </wp:inline>
        </w:drawing>
      </w:r>
    </w:p>
    <w:p w14:paraId="17B4FC97">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(二)景观节点</w:t>
      </w:r>
    </w:p>
    <w:p w14:paraId="43682F64">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1.施工内容：</w:t>
      </w:r>
    </w:p>
    <w:p w14:paraId="5CDF60A0">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①东兴铝业一期南入口处：选用紫叶矮樱、造型金叶榆等植物，采用曲线连片种植模式，打造富有流畅韵律的美学景观。 </w:t>
      </w:r>
    </w:p>
    <w:p w14:paraId="40FACC4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②环厂西路西侧与开拓路交叉口：基于“生态系统服务”理念，采用“乔木+灌木+地被”三层结构——上层乔木构建天际线、中层灌木丰富视觉层次、下层地被覆盖裸露土壤，提升景观完整性。 </w:t>
      </w:r>
    </w:p>
    <w:p w14:paraId="7F07C43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2.改造后效果图</w:t>
      </w:r>
    </w:p>
    <w:p w14:paraId="4ED850A6">
      <w:pPr>
        <w:rPr>
          <w:rFonts w:hint="eastAsia"/>
          <w:highlight w:val="red"/>
          <w:lang w:val="en-US" w:eastAsia="zh-CN"/>
        </w:rPr>
      </w:pPr>
    </w:p>
    <w:p w14:paraId="0D3B0E34">
      <w:pPr>
        <w:rPr>
          <w:rFonts w:hint="eastAsia"/>
          <w:highlight w:val="red"/>
          <w:lang w:val="en-US" w:eastAsia="zh-CN"/>
        </w:rPr>
      </w:pPr>
    </w:p>
    <w:p w14:paraId="37944271">
      <w:r>
        <w:drawing>
          <wp:inline distT="0" distB="0" distL="114300" distR="114300">
            <wp:extent cx="5687695" cy="2535555"/>
            <wp:effectExtent l="0" t="0" r="825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687695" cy="2535555"/>
                    </a:xfrm>
                    <a:prstGeom prst="rect">
                      <a:avLst/>
                    </a:prstGeom>
                    <a:noFill/>
                    <a:ln>
                      <a:noFill/>
                    </a:ln>
                  </pic:spPr>
                </pic:pic>
              </a:graphicData>
            </a:graphic>
          </wp:inline>
        </w:drawing>
      </w:r>
    </w:p>
    <w:p w14:paraId="055500BF"/>
    <w:p w14:paraId="4D253134">
      <w:r>
        <w:drawing>
          <wp:inline distT="0" distB="0" distL="114300" distR="114300">
            <wp:extent cx="5687695" cy="3099435"/>
            <wp:effectExtent l="0" t="0" r="825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687695" cy="3099435"/>
                    </a:xfrm>
                    <a:prstGeom prst="rect">
                      <a:avLst/>
                    </a:prstGeom>
                    <a:noFill/>
                    <a:ln>
                      <a:noFill/>
                    </a:ln>
                  </pic:spPr>
                </pic:pic>
              </a:graphicData>
            </a:graphic>
          </wp:inline>
        </w:drawing>
      </w:r>
    </w:p>
    <w:p w14:paraId="165C3E9B">
      <w:pPr>
        <w:rPr>
          <w:rFonts w:hint="eastAsia"/>
          <w:highlight w:val="red"/>
          <w:lang w:val="en-US" w:eastAsia="zh-CN"/>
        </w:rPr>
      </w:pPr>
    </w:p>
    <w:p w14:paraId="1F79FF7F">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第七条 甲方权利和义务 </w:t>
      </w:r>
    </w:p>
    <w:p w14:paraId="416F578E">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1.审定乙方制定项目开工备案资料，包括施工方案、技术保证措施等。</w:t>
      </w:r>
    </w:p>
    <w:p w14:paraId="7BE2B4C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2.乙方进场作</w:t>
      </w:r>
      <w:r>
        <w:rPr>
          <w:rFonts w:hint="eastAsia" w:ascii="仿宋_GB2312" w:hAnsi="仿宋_GB2312" w:eastAsia="仿宋_GB2312" w:cs="仿宋_GB2312"/>
          <w:sz w:val="28"/>
          <w:szCs w:val="28"/>
        </w:rPr>
        <w:t>业前，按合同要求，明确乙方承包的服务范围，移交相关资料。</w:t>
      </w:r>
    </w:p>
    <w:p w14:paraId="6523937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3.协调处理施工场地周围地下管线和邻近建筑物、构筑物保护工作。</w:t>
      </w:r>
    </w:p>
    <w:p w14:paraId="41AF9801">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b w:val="0"/>
          <w:color w:val="auto"/>
          <w:sz w:val="28"/>
          <w:szCs w:val="28"/>
          <w:highlight w:val="none"/>
          <w:lang w:eastAsia="zh-CN"/>
        </w:rPr>
        <w:t>甲方</w:t>
      </w:r>
      <w:r>
        <w:rPr>
          <w:rFonts w:hint="eastAsia" w:ascii="仿宋_GB2312" w:hAnsi="仿宋_GB2312" w:eastAsia="仿宋_GB2312" w:cs="仿宋_GB2312"/>
          <w:b w:val="0"/>
          <w:color w:val="auto"/>
          <w:sz w:val="28"/>
          <w:szCs w:val="28"/>
          <w:highlight w:val="none"/>
        </w:rPr>
        <w:t>不得要求</w:t>
      </w:r>
      <w:r>
        <w:rPr>
          <w:rFonts w:hint="eastAsia" w:ascii="仿宋_GB2312" w:hAnsi="仿宋_GB2312" w:eastAsia="仿宋_GB2312" w:cs="仿宋_GB2312"/>
          <w:b w:val="0"/>
          <w:color w:val="auto"/>
          <w:sz w:val="28"/>
          <w:szCs w:val="28"/>
          <w:highlight w:val="none"/>
          <w:lang w:eastAsia="zh-CN"/>
        </w:rPr>
        <w:t>乙方</w:t>
      </w:r>
      <w:r>
        <w:rPr>
          <w:rFonts w:hint="eastAsia" w:ascii="仿宋_GB2312" w:hAnsi="仿宋_GB2312" w:eastAsia="仿宋_GB2312" w:cs="仿宋_GB2312"/>
          <w:b w:val="0"/>
          <w:color w:val="auto"/>
          <w:sz w:val="28"/>
          <w:szCs w:val="28"/>
          <w:highlight w:val="none"/>
        </w:rPr>
        <w:t>违反安全管理规定进行施工。</w:t>
      </w:r>
      <w:r>
        <w:rPr>
          <w:rFonts w:hint="eastAsia" w:ascii="仿宋_GB2312" w:hAnsi="仿宋_GB2312" w:eastAsia="仿宋_GB2312" w:cs="仿宋_GB2312"/>
          <w:b w:val="0"/>
          <w:color w:val="auto"/>
          <w:sz w:val="28"/>
          <w:szCs w:val="28"/>
          <w:highlight w:val="none"/>
          <w:lang w:eastAsia="zh-CN"/>
        </w:rPr>
        <w:t>甲方</w:t>
      </w:r>
      <w:r>
        <w:rPr>
          <w:rFonts w:hint="eastAsia" w:ascii="仿宋_GB2312" w:hAnsi="仿宋_GB2312" w:eastAsia="仿宋_GB2312" w:cs="仿宋_GB2312"/>
          <w:b w:val="0"/>
          <w:color w:val="auto"/>
          <w:sz w:val="28"/>
          <w:szCs w:val="28"/>
          <w:highlight w:val="none"/>
        </w:rPr>
        <w:t>应在开工前，负责组织相关单位和部门对动力能源管线、地下管道等危险源点进行签字确认，并留存记录，且对动力能源管线、地下管道等危险源点对</w:t>
      </w:r>
      <w:r>
        <w:rPr>
          <w:rFonts w:hint="eastAsia" w:ascii="仿宋_GB2312" w:hAnsi="仿宋_GB2312" w:eastAsia="仿宋_GB2312" w:cs="仿宋_GB2312"/>
          <w:b w:val="0"/>
          <w:color w:val="auto"/>
          <w:sz w:val="28"/>
          <w:szCs w:val="28"/>
          <w:highlight w:val="none"/>
          <w:lang w:eastAsia="zh-CN"/>
        </w:rPr>
        <w:t>乙方</w:t>
      </w:r>
      <w:r>
        <w:rPr>
          <w:rFonts w:hint="eastAsia" w:ascii="仿宋_GB2312" w:hAnsi="仿宋_GB2312" w:eastAsia="仿宋_GB2312" w:cs="仿宋_GB2312"/>
          <w:b w:val="0"/>
          <w:color w:val="auto"/>
          <w:sz w:val="28"/>
          <w:szCs w:val="28"/>
          <w:highlight w:val="none"/>
        </w:rPr>
        <w:t>进行安全告知。对所有参加施工的人员进行安全技术交底，将安全注意事项告知每位作业人员，并在相关告知单上签字，不履行签字的人员禁止进入作业现场。</w:t>
      </w:r>
    </w:p>
    <w:p w14:paraId="2756BB17">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5.负责组织工程的管理和质量验收。</w:t>
      </w:r>
    </w:p>
    <w:p w14:paraId="6ADBD73F">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.乙方若不能及时按甲方要求完成</w:t>
      </w:r>
      <w:r>
        <w:rPr>
          <w:rFonts w:hint="eastAsia" w:ascii="仿宋_GB2312" w:hAnsi="仿宋_GB2312" w:eastAsia="仿宋_GB2312" w:cs="仿宋_GB2312"/>
          <w:sz w:val="28"/>
          <w:szCs w:val="28"/>
          <w:lang w:eastAsia="zh-CN"/>
        </w:rPr>
        <w:t>项目施工内容和养护期绿化养护工作</w:t>
      </w:r>
      <w:r>
        <w:rPr>
          <w:rFonts w:hint="eastAsia" w:ascii="仿宋_GB2312" w:hAnsi="仿宋_GB2312" w:eastAsia="仿宋_GB2312" w:cs="仿宋_GB2312"/>
          <w:sz w:val="28"/>
          <w:szCs w:val="28"/>
        </w:rPr>
        <w:t>，甲方可以解除合同并有权安排第三方</w:t>
      </w:r>
      <w:r>
        <w:rPr>
          <w:rFonts w:hint="eastAsia" w:ascii="仿宋_GB2312" w:hAnsi="仿宋_GB2312" w:eastAsia="仿宋_GB2312" w:cs="仿宋_GB2312"/>
          <w:sz w:val="28"/>
          <w:szCs w:val="28"/>
          <w:lang w:eastAsia="zh-CN"/>
        </w:rPr>
        <w:t>承担项目施工及养护工作</w:t>
      </w:r>
      <w:r>
        <w:rPr>
          <w:rFonts w:hint="eastAsia" w:ascii="仿宋_GB2312" w:hAnsi="仿宋_GB2312" w:eastAsia="仿宋_GB2312" w:cs="仿宋_GB2312"/>
          <w:sz w:val="28"/>
          <w:szCs w:val="28"/>
        </w:rPr>
        <w:t>，因第三方</w:t>
      </w:r>
      <w:r>
        <w:rPr>
          <w:rFonts w:hint="eastAsia" w:ascii="仿宋_GB2312" w:hAnsi="仿宋_GB2312" w:eastAsia="仿宋_GB2312" w:cs="仿宋_GB2312"/>
          <w:sz w:val="28"/>
          <w:szCs w:val="28"/>
          <w:lang w:eastAsia="zh-CN"/>
        </w:rPr>
        <w:t>承担合同施工内容</w:t>
      </w:r>
      <w:r>
        <w:rPr>
          <w:rFonts w:hint="eastAsia" w:ascii="仿宋_GB2312" w:hAnsi="仿宋_GB2312" w:eastAsia="仿宋_GB2312" w:cs="仿宋_GB2312"/>
          <w:sz w:val="28"/>
          <w:szCs w:val="28"/>
        </w:rPr>
        <w:t xml:space="preserve">额外产生的费用，乙方对以上增加部分费用以及给甲方造成的损失承担赔偿责任。 </w:t>
      </w:r>
    </w:p>
    <w:p w14:paraId="63A76A7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 xml:space="preserve">.甲方应及时协调解决乙方提出应由甲方协调解决的问题,不得影响乙方正常开展工作。 </w:t>
      </w:r>
    </w:p>
    <w:p w14:paraId="34A52E8F">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 xml:space="preserve">.甲方工作人员不得假借单位之名为其他单位或个人向乙方提出超越合同范围的其他要求。不得向乙方和相关单位索要或接受回扣、礼金、有价证券、贵重物品和好处费、感谢费等。 </w:t>
      </w:r>
    </w:p>
    <w:p w14:paraId="2E37584B">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.甲方不得以不正当理由拖欠</w:t>
      </w:r>
      <w:r>
        <w:rPr>
          <w:rFonts w:hint="eastAsia" w:ascii="仿宋_GB2312" w:hAnsi="仿宋_GB2312" w:eastAsia="仿宋_GB2312" w:cs="仿宋_GB2312"/>
          <w:sz w:val="28"/>
          <w:szCs w:val="28"/>
          <w:lang w:eastAsia="zh-CN"/>
        </w:rPr>
        <w:t>项目费用</w:t>
      </w:r>
      <w:r>
        <w:rPr>
          <w:rFonts w:hint="eastAsia" w:ascii="仿宋_GB2312" w:hAnsi="仿宋_GB2312" w:eastAsia="仿宋_GB2312" w:cs="仿宋_GB2312"/>
          <w:sz w:val="28"/>
          <w:szCs w:val="28"/>
        </w:rPr>
        <w:t xml:space="preserve">，应按照合同约定时限及时兑付,确保管理工作正常开展。 </w:t>
      </w:r>
    </w:p>
    <w:p w14:paraId="324DD8F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hint="eastAsia" w:ascii="仿宋_GB2312" w:hAnsi="仿宋_GB2312" w:eastAsia="仿宋_GB2312" w:cs="仿宋_GB2312"/>
          <w:sz w:val="28"/>
          <w:szCs w:val="28"/>
          <w:lang w:eastAsia="zh-CN"/>
        </w:rPr>
        <w:t>八</w:t>
      </w:r>
      <w:r>
        <w:rPr>
          <w:rFonts w:hint="eastAsia" w:ascii="仿宋_GB2312" w:hAnsi="仿宋_GB2312" w:eastAsia="仿宋_GB2312" w:cs="仿宋_GB2312"/>
          <w:sz w:val="28"/>
          <w:szCs w:val="28"/>
        </w:rPr>
        <w:t xml:space="preserve">条 乙方权利和义务 </w:t>
      </w:r>
    </w:p>
    <w:p w14:paraId="34F2A1D0">
      <w:pPr>
        <w:spacing w:line="500" w:lineRule="exact"/>
        <w:ind w:firstLine="522" w:firstLineChars="200"/>
        <w:rPr>
          <w:rFonts w:hint="default"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color w:val="auto"/>
          <w:sz w:val="28"/>
          <w:szCs w:val="28"/>
          <w:highlight w:val="none"/>
          <w:lang w:val="en-US" w:eastAsia="zh-CN"/>
        </w:rPr>
        <w:t>1.</w:t>
      </w:r>
      <w:r>
        <w:rPr>
          <w:rFonts w:hint="eastAsia" w:ascii="仿宋_GB2312" w:hAnsi="仿宋_GB2312" w:eastAsia="仿宋_GB2312" w:cs="仿宋_GB2312"/>
          <w:sz w:val="28"/>
          <w:szCs w:val="28"/>
        </w:rPr>
        <w:t>乙方必须建立健全安全生产责任制，加强对工作人员的安全教育，确保人员、设施的安全。如在工作或上下班期间因乙方操作不当</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或管理不善，发生人员安全事故或造成设施损坏的，一切责任和由此造成的损失由乙方自行承担。</w:t>
      </w:r>
      <w:r>
        <w:rPr>
          <w:rFonts w:hint="eastAsia" w:ascii="仿宋_GB2312" w:hAnsi="仿宋_GB2312" w:eastAsia="仿宋_GB2312" w:cs="仿宋_GB2312"/>
          <w:sz w:val="28"/>
          <w:szCs w:val="28"/>
          <w:lang w:eastAsia="zh-CN"/>
        </w:rPr>
        <w:t>乙方原因发生人身伤害事故时，除承担相应的损失及经济处罚，按安全管理协议有关条款执行。</w:t>
      </w:r>
    </w:p>
    <w:p w14:paraId="76FE2C6D">
      <w:pPr>
        <w:spacing w:line="500" w:lineRule="exact"/>
        <w:ind w:firstLine="522"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lang w:val="en-US" w:eastAsia="zh-CN"/>
        </w:rPr>
        <w:t>2.</w:t>
      </w:r>
      <w:r>
        <w:rPr>
          <w:rFonts w:hint="eastAsia" w:ascii="仿宋_GB2312" w:hAnsi="仿宋_GB2312" w:eastAsia="仿宋_GB2312" w:cs="仿宋_GB2312"/>
          <w:b w:val="0"/>
          <w:bCs/>
          <w:color w:val="auto"/>
          <w:sz w:val="28"/>
          <w:szCs w:val="28"/>
          <w:highlight w:val="none"/>
          <w:lang w:eastAsia="zh-CN"/>
        </w:rPr>
        <w:t>乙方</w:t>
      </w:r>
      <w:r>
        <w:rPr>
          <w:rFonts w:hint="eastAsia" w:ascii="仿宋_GB2312" w:hAnsi="仿宋_GB2312" w:eastAsia="仿宋_GB2312" w:cs="仿宋_GB2312"/>
          <w:b w:val="0"/>
          <w:bCs/>
          <w:color w:val="auto"/>
          <w:sz w:val="28"/>
          <w:szCs w:val="28"/>
          <w:highlight w:val="none"/>
        </w:rPr>
        <w:t>在施工过程中产生的废水、生活污水以及固废必须按照环保要求进行排放。施工车辆产生的扬尘废气采取路面洒水和篷布封盖的措施防护；施工人员产生的生活污水进行及时处理；产生的建筑垃圾和施工产生的残土和废弃的建筑材料，施工人员产生的生活垃圾分类堆存，送往指定的垃圾处理场所。施工选用的机械设备必须符合环境影响的噪声要求；对临时用地进行生态恢复，如对绿化产生破坏必须进行恢复。因此</w:t>
      </w:r>
      <w:r>
        <w:rPr>
          <w:rFonts w:hint="eastAsia" w:ascii="仿宋_GB2312" w:hAnsi="仿宋_GB2312" w:eastAsia="仿宋_GB2312" w:cs="仿宋_GB2312"/>
          <w:b w:val="0"/>
          <w:bCs/>
          <w:color w:val="auto"/>
          <w:sz w:val="28"/>
          <w:szCs w:val="28"/>
          <w:highlight w:val="none"/>
          <w:lang w:eastAsia="zh-CN"/>
        </w:rPr>
        <w:t>乙方</w:t>
      </w:r>
      <w:r>
        <w:rPr>
          <w:rFonts w:hint="eastAsia" w:ascii="仿宋_GB2312" w:hAnsi="仿宋_GB2312" w:eastAsia="仿宋_GB2312" w:cs="仿宋_GB2312"/>
          <w:b w:val="0"/>
          <w:bCs/>
          <w:color w:val="auto"/>
          <w:sz w:val="28"/>
          <w:szCs w:val="28"/>
          <w:highlight w:val="none"/>
        </w:rPr>
        <w:t>原因发生的伤害、赔偿、罚款等费用增加及交、竣工日期延误，由</w:t>
      </w:r>
      <w:r>
        <w:rPr>
          <w:rFonts w:hint="eastAsia" w:ascii="仿宋_GB2312" w:hAnsi="仿宋_GB2312" w:eastAsia="仿宋_GB2312" w:cs="仿宋_GB2312"/>
          <w:b w:val="0"/>
          <w:bCs/>
          <w:color w:val="auto"/>
          <w:sz w:val="28"/>
          <w:szCs w:val="28"/>
          <w:highlight w:val="none"/>
          <w:lang w:eastAsia="zh-CN"/>
        </w:rPr>
        <w:t>乙方</w:t>
      </w:r>
      <w:r>
        <w:rPr>
          <w:rFonts w:hint="eastAsia" w:ascii="仿宋_GB2312" w:hAnsi="仿宋_GB2312" w:eastAsia="仿宋_GB2312" w:cs="仿宋_GB2312"/>
          <w:b w:val="0"/>
          <w:bCs/>
          <w:color w:val="auto"/>
          <w:sz w:val="28"/>
          <w:szCs w:val="28"/>
          <w:highlight w:val="none"/>
        </w:rPr>
        <w:t>负责。</w:t>
      </w:r>
    </w:p>
    <w:p w14:paraId="35BC7171">
      <w:pPr>
        <w:spacing w:line="500" w:lineRule="exact"/>
        <w:ind w:firstLine="522" w:firstLineChars="200"/>
        <w:rPr>
          <w:rFonts w:hint="eastAsia"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3.</w:t>
      </w:r>
      <w:r>
        <w:rPr>
          <w:rFonts w:hint="eastAsia" w:ascii="仿宋_GB2312" w:hAnsi="仿宋_GB2312" w:eastAsia="仿宋_GB2312" w:cs="仿宋_GB2312"/>
          <w:b w:val="0"/>
          <w:bCs/>
          <w:color w:val="auto"/>
          <w:sz w:val="28"/>
          <w:szCs w:val="28"/>
          <w:highlight w:val="none"/>
        </w:rPr>
        <w:t>因</w:t>
      </w:r>
      <w:r>
        <w:rPr>
          <w:rFonts w:hint="eastAsia" w:ascii="仿宋_GB2312" w:hAnsi="仿宋_GB2312" w:eastAsia="仿宋_GB2312" w:cs="仿宋_GB2312"/>
          <w:b w:val="0"/>
          <w:bCs/>
          <w:color w:val="auto"/>
          <w:sz w:val="28"/>
          <w:szCs w:val="28"/>
          <w:highlight w:val="none"/>
          <w:lang w:eastAsia="zh-CN"/>
        </w:rPr>
        <w:t>乙方</w:t>
      </w:r>
      <w:r>
        <w:rPr>
          <w:rFonts w:hint="eastAsia" w:ascii="仿宋_GB2312" w:hAnsi="仿宋_GB2312" w:eastAsia="仿宋_GB2312" w:cs="仿宋_GB2312"/>
          <w:b w:val="0"/>
          <w:bCs/>
          <w:color w:val="auto"/>
          <w:sz w:val="28"/>
          <w:szCs w:val="28"/>
          <w:highlight w:val="none"/>
        </w:rPr>
        <w:t>原因发生环境污染事故或事件而造成</w:t>
      </w:r>
      <w:r>
        <w:rPr>
          <w:rFonts w:hint="eastAsia" w:ascii="仿宋_GB2312" w:hAnsi="仿宋_GB2312" w:eastAsia="仿宋_GB2312" w:cs="仿宋_GB2312"/>
          <w:b w:val="0"/>
          <w:bCs/>
          <w:color w:val="auto"/>
          <w:sz w:val="28"/>
          <w:szCs w:val="28"/>
          <w:highlight w:val="none"/>
          <w:lang w:eastAsia="zh-CN"/>
        </w:rPr>
        <w:t>甲方</w:t>
      </w:r>
      <w:r>
        <w:rPr>
          <w:rFonts w:hint="eastAsia" w:ascii="仿宋_GB2312" w:hAnsi="仿宋_GB2312" w:eastAsia="仿宋_GB2312" w:cs="仿宋_GB2312"/>
          <w:b w:val="0"/>
          <w:bCs/>
          <w:color w:val="auto"/>
          <w:sz w:val="28"/>
          <w:szCs w:val="28"/>
          <w:highlight w:val="none"/>
        </w:rPr>
        <w:t>被政府部门通报，</w:t>
      </w:r>
      <w:r>
        <w:rPr>
          <w:rFonts w:hint="eastAsia" w:ascii="仿宋_GB2312" w:hAnsi="仿宋_GB2312" w:eastAsia="仿宋_GB2312" w:cs="仿宋_GB2312"/>
          <w:b w:val="0"/>
          <w:bCs/>
          <w:color w:val="auto"/>
          <w:sz w:val="28"/>
          <w:szCs w:val="28"/>
          <w:highlight w:val="none"/>
          <w:lang w:eastAsia="zh-CN"/>
        </w:rPr>
        <w:t>甲方</w:t>
      </w:r>
      <w:r>
        <w:rPr>
          <w:rFonts w:hint="eastAsia" w:ascii="仿宋_GB2312" w:hAnsi="仿宋_GB2312" w:eastAsia="仿宋_GB2312" w:cs="仿宋_GB2312"/>
          <w:b w:val="0"/>
          <w:bCs/>
          <w:color w:val="auto"/>
          <w:sz w:val="28"/>
          <w:szCs w:val="28"/>
          <w:highlight w:val="none"/>
        </w:rPr>
        <w:t>有权单方面解除合同，并且不承担违约责任。</w:t>
      </w:r>
    </w:p>
    <w:p w14:paraId="617EEB17">
      <w:pPr>
        <w:spacing w:line="500" w:lineRule="exact"/>
        <w:ind w:firstLine="522" w:firstLineChars="200"/>
        <w:rPr>
          <w:rFonts w:hint="default"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color w:val="auto"/>
          <w:sz w:val="28"/>
          <w:szCs w:val="28"/>
          <w:highlight w:val="none"/>
          <w:lang w:val="en-US" w:eastAsia="zh-CN"/>
        </w:rPr>
        <w:t>4.</w:t>
      </w:r>
      <w:r>
        <w:rPr>
          <w:rFonts w:hint="eastAsia" w:ascii="仿宋_GB2312" w:hAnsi="仿宋_GB2312" w:eastAsia="仿宋_GB2312" w:cs="仿宋_GB2312"/>
          <w:b w:val="0"/>
          <w:color w:val="auto"/>
          <w:sz w:val="28"/>
          <w:szCs w:val="28"/>
          <w:highlight w:val="none"/>
        </w:rPr>
        <w:t>对于危险性较大的分部分项工程，</w:t>
      </w:r>
      <w:r>
        <w:rPr>
          <w:rFonts w:hint="eastAsia" w:ascii="仿宋_GB2312" w:hAnsi="仿宋_GB2312" w:eastAsia="仿宋_GB2312" w:cs="仿宋_GB2312"/>
          <w:b w:val="0"/>
          <w:color w:val="auto"/>
          <w:sz w:val="28"/>
          <w:szCs w:val="28"/>
          <w:highlight w:val="none"/>
          <w:lang w:eastAsia="zh-CN"/>
        </w:rPr>
        <w:t>乙方</w:t>
      </w:r>
      <w:r>
        <w:rPr>
          <w:rFonts w:hint="eastAsia" w:ascii="仿宋_GB2312" w:hAnsi="仿宋_GB2312" w:eastAsia="仿宋_GB2312" w:cs="仿宋_GB2312"/>
          <w:b w:val="0"/>
          <w:color w:val="auto"/>
          <w:sz w:val="28"/>
          <w:szCs w:val="28"/>
          <w:highlight w:val="none"/>
        </w:rPr>
        <w:t>应编制安全技术措施和专项施工方案，经项目负责人审查批准后方可进行施工。项目负责人审查批准后不能免除</w:t>
      </w:r>
      <w:r>
        <w:rPr>
          <w:rFonts w:hint="eastAsia" w:ascii="仿宋_GB2312" w:hAnsi="仿宋_GB2312" w:eastAsia="仿宋_GB2312" w:cs="仿宋_GB2312"/>
          <w:b w:val="0"/>
          <w:color w:val="auto"/>
          <w:sz w:val="28"/>
          <w:szCs w:val="28"/>
          <w:highlight w:val="none"/>
          <w:lang w:eastAsia="zh-CN"/>
        </w:rPr>
        <w:t>乙方</w:t>
      </w:r>
      <w:r>
        <w:rPr>
          <w:rFonts w:hint="eastAsia" w:ascii="仿宋_GB2312" w:hAnsi="仿宋_GB2312" w:eastAsia="仿宋_GB2312" w:cs="仿宋_GB2312"/>
          <w:b w:val="0"/>
          <w:color w:val="auto"/>
          <w:sz w:val="28"/>
          <w:szCs w:val="28"/>
          <w:highlight w:val="none"/>
        </w:rPr>
        <w:t>的相关责任。</w:t>
      </w:r>
    </w:p>
    <w:p w14:paraId="5B3CF870">
      <w:pPr>
        <w:spacing w:line="500" w:lineRule="exact"/>
        <w:ind w:firstLine="522" w:firstLineChars="200"/>
        <w:rPr>
          <w:rFonts w:hint="default"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color w:val="auto"/>
          <w:sz w:val="28"/>
          <w:szCs w:val="28"/>
          <w:highlight w:val="none"/>
          <w:lang w:val="en-US" w:eastAsia="zh-CN"/>
        </w:rPr>
        <w:t>5.</w:t>
      </w:r>
      <w:r>
        <w:rPr>
          <w:rFonts w:hint="eastAsia" w:ascii="仿宋_GB2312" w:hAnsi="仿宋_GB2312" w:eastAsia="仿宋_GB2312" w:cs="仿宋_GB2312"/>
          <w:b w:val="0"/>
          <w:color w:val="auto"/>
          <w:sz w:val="28"/>
          <w:szCs w:val="28"/>
          <w:highlight w:val="none"/>
          <w:lang w:eastAsia="zh-CN"/>
        </w:rPr>
        <w:t>乙方</w:t>
      </w:r>
      <w:r>
        <w:rPr>
          <w:rFonts w:hint="eastAsia" w:ascii="仿宋_GB2312" w:hAnsi="仿宋_GB2312" w:eastAsia="仿宋_GB2312" w:cs="仿宋_GB2312"/>
          <w:b w:val="0"/>
          <w:color w:val="auto"/>
          <w:sz w:val="28"/>
          <w:szCs w:val="28"/>
          <w:highlight w:val="none"/>
        </w:rPr>
        <w:t>在施工前负责书面向项目管理单位申请地下各动力能源管线确认，没有进行各动力能源管线确认的一律不允许施工，负责对地下有管道、电缆、光缆等地下设施的部位，开挖前须人工开挖探明其准确位置并不得发生破坏，有地下设施的部位5米范围内不得机械开挖。</w:t>
      </w:r>
    </w:p>
    <w:p w14:paraId="212E1D19">
      <w:pPr>
        <w:spacing w:line="500" w:lineRule="exact"/>
        <w:ind w:firstLine="522" w:firstLineChars="200"/>
        <w:rPr>
          <w:rFonts w:hint="default"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color w:val="auto"/>
          <w:sz w:val="28"/>
          <w:szCs w:val="28"/>
          <w:highlight w:val="none"/>
          <w:lang w:val="en-US" w:eastAsia="zh-CN"/>
        </w:rPr>
        <w:t>6.本工程施工包括对障碍物及隐蔽障碍物的清除等内容，多余的土方、垃圾乙方必须及时运至指定的垃圾场。现场挖出的废旧物资按照酒钢废旧物资管理办法执行，废旧钢铁按照酒钢集团公司的相关管理规定执行。</w:t>
      </w:r>
    </w:p>
    <w:p w14:paraId="572E9096">
      <w:pPr>
        <w:spacing w:line="500" w:lineRule="exact"/>
        <w:ind w:firstLine="522" w:firstLineChars="200"/>
        <w:rPr>
          <w:rFonts w:hint="eastAsia"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color w:val="auto"/>
          <w:sz w:val="28"/>
          <w:szCs w:val="28"/>
          <w:highlight w:val="none"/>
          <w:lang w:val="en-US" w:eastAsia="zh-CN"/>
        </w:rPr>
        <w:t>7.按工程需要提供和维修施工使用的照明、看守、围栏和警卫等。如乙方未履行上述义务造成工程、财产和人身伤害，由乙方承担责任及所发生的费用。</w:t>
      </w:r>
    </w:p>
    <w:p w14:paraId="3A9C02B2">
      <w:pPr>
        <w:spacing w:line="500" w:lineRule="exact"/>
        <w:ind w:firstLine="522" w:firstLineChars="200"/>
        <w:rPr>
          <w:rFonts w:hint="eastAsia"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color w:val="auto"/>
          <w:sz w:val="28"/>
          <w:szCs w:val="28"/>
          <w:highlight w:val="none"/>
          <w:lang w:val="en-US" w:eastAsia="zh-CN"/>
        </w:rPr>
        <w:t>8.已完工工程未交付甲方之前，乙方负责已完工程的成品保护工作，保护期间发生损坏，乙方自费予以修复。</w:t>
      </w:r>
    </w:p>
    <w:p w14:paraId="26751A6C">
      <w:pPr>
        <w:spacing w:line="500" w:lineRule="exact"/>
        <w:ind w:firstLine="522" w:firstLineChars="200"/>
        <w:rPr>
          <w:rFonts w:hint="eastAsia" w:ascii="仿宋_GB2312" w:hAnsi="仿宋_GB2312" w:eastAsia="仿宋_GB2312" w:cs="仿宋_GB2312"/>
          <w:b w:val="0"/>
          <w:color w:val="auto"/>
          <w:sz w:val="28"/>
          <w:szCs w:val="28"/>
          <w:highlight w:val="none"/>
        </w:rPr>
      </w:pPr>
      <w:r>
        <w:rPr>
          <w:rFonts w:hint="eastAsia" w:ascii="仿宋_GB2312" w:hAnsi="仿宋_GB2312" w:eastAsia="仿宋_GB2312" w:cs="仿宋_GB2312"/>
          <w:b w:val="0"/>
          <w:color w:val="auto"/>
          <w:sz w:val="28"/>
          <w:szCs w:val="28"/>
          <w:highlight w:val="none"/>
          <w:lang w:val="en-US" w:eastAsia="zh-CN"/>
        </w:rPr>
        <w:t>9.负责文明施工，保证施工场地清洁及符合安全文明施工管理办法的有关</w:t>
      </w:r>
      <w:r>
        <w:rPr>
          <w:rFonts w:hint="eastAsia" w:ascii="仿宋_GB2312" w:hAnsi="仿宋_GB2312" w:eastAsia="仿宋_GB2312" w:cs="仿宋_GB2312"/>
          <w:b w:val="0"/>
          <w:color w:val="auto"/>
          <w:sz w:val="28"/>
          <w:szCs w:val="28"/>
          <w:highlight w:val="none"/>
        </w:rPr>
        <w:t>规定。</w:t>
      </w:r>
    </w:p>
    <w:p w14:paraId="434956E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val="0"/>
          <w:color w:val="auto"/>
          <w:sz w:val="28"/>
          <w:szCs w:val="28"/>
          <w:highlight w:val="none"/>
          <w:lang w:val="en-US" w:eastAsia="zh-CN"/>
        </w:rPr>
        <w:t>10</w:t>
      </w:r>
      <w:r>
        <w:rPr>
          <w:rFonts w:hint="eastAsia" w:ascii="仿宋_GB2312" w:hAnsi="仿宋_GB2312" w:eastAsia="仿宋_GB2312" w:cs="仿宋_GB2312"/>
          <w:sz w:val="28"/>
          <w:szCs w:val="28"/>
        </w:rPr>
        <w:t xml:space="preserve">.乙方须建立健全应对各种公共突发事件的处理机制和应急预案,确保组织机构健全、人员配备齐全、应急措施到位。 </w:t>
      </w:r>
    </w:p>
    <w:p w14:paraId="5897CF79">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.乙方在承包期间，</w:t>
      </w:r>
      <w:r>
        <w:rPr>
          <w:rFonts w:hint="eastAsia" w:ascii="仿宋_GB2312" w:hAnsi="仿宋_GB2312" w:eastAsia="仿宋_GB2312" w:cs="仿宋_GB2312"/>
          <w:sz w:val="28"/>
          <w:szCs w:val="28"/>
          <w:lang w:val="en-US" w:eastAsia="zh-CN"/>
        </w:rPr>
        <w:t>人员发生门卫违章、交通违章、以及发生内部治安案件等，按相关方平安建设业务外包责任书有关条款执行。</w:t>
      </w:r>
    </w:p>
    <w:p w14:paraId="3764D6C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12.项目交工后，因乙方管护不到位致死的树木，由乙方在每年11月15日前补植完毕。</w:t>
      </w:r>
      <w:r>
        <w:rPr>
          <w:rFonts w:hint="eastAsia" w:ascii="仿宋_GB2312" w:hAnsi="仿宋_GB2312" w:eastAsia="仿宋_GB2312" w:cs="仿宋_GB2312"/>
          <w:sz w:val="28"/>
          <w:szCs w:val="28"/>
        </w:rPr>
        <w:t>若乙方未按规定补植，甲方有权安排第三方进行种植，所发生的费用从</w:t>
      </w:r>
      <w:r>
        <w:rPr>
          <w:rFonts w:hint="eastAsia" w:ascii="仿宋_GB2312" w:hAnsi="仿宋_GB2312" w:eastAsia="仿宋_GB2312" w:cs="仿宋_GB2312"/>
          <w:sz w:val="28"/>
          <w:szCs w:val="28"/>
          <w:lang w:eastAsia="zh-CN"/>
        </w:rPr>
        <w:t>工程费用</w:t>
      </w:r>
      <w:r>
        <w:rPr>
          <w:rFonts w:hint="eastAsia" w:ascii="仿宋_GB2312" w:hAnsi="仿宋_GB2312" w:eastAsia="仿宋_GB2312" w:cs="仿宋_GB2312"/>
          <w:sz w:val="28"/>
          <w:szCs w:val="28"/>
        </w:rPr>
        <w:t xml:space="preserve">中扣除。 </w:t>
      </w:r>
    </w:p>
    <w:p w14:paraId="6B3629BC">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.乙方在绿化养护期间要定期对树木施肥、修剪、打药，施肥和病虫害防治需经甲方现场确认。如果不按养护标准执行，甲方有权从项目费用中扣除相关费用用于施肥、打药等养护。</w:t>
      </w:r>
    </w:p>
    <w:p w14:paraId="7BF1FC0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 xml:space="preserve">.因不可抗力因素（如由于大风、暴雪、大雪等自然灾害引起树木突然倒塌、碰线、非养护原因造成的树枝伤人、伤物），乙方在甲方通知后应迅速组织力量，30分钟内到达现场并及时处理。 </w:t>
      </w:r>
    </w:p>
    <w:p w14:paraId="33CD7B9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.乙方应及时兑付工作人员工资,明确月工资兑付时间,保障工作人员合法权益,若因拖欠工资等引起上访等群体事件,甲方有权从</w:t>
      </w:r>
      <w:r>
        <w:rPr>
          <w:rFonts w:hint="eastAsia" w:ascii="仿宋_GB2312" w:hAnsi="仿宋_GB2312" w:eastAsia="仿宋_GB2312" w:cs="仿宋_GB2312"/>
          <w:sz w:val="28"/>
          <w:szCs w:val="28"/>
          <w:lang w:eastAsia="zh-CN"/>
        </w:rPr>
        <w:t>项目</w:t>
      </w:r>
      <w:r>
        <w:rPr>
          <w:rFonts w:hint="eastAsia" w:ascii="仿宋_GB2312" w:hAnsi="仿宋_GB2312" w:eastAsia="仿宋_GB2312" w:cs="仿宋_GB2312"/>
          <w:sz w:val="28"/>
          <w:szCs w:val="28"/>
        </w:rPr>
        <w:t>费中扣除相关费用。若连续发生两次以上群体上访事件,甲方有权无条件终止合同，</w:t>
      </w:r>
      <w:r>
        <w:rPr>
          <w:rFonts w:hint="eastAsia" w:ascii="仿宋_GB2312" w:hAnsi="仿宋_GB2312" w:eastAsia="仿宋_GB2312" w:cs="仿宋_GB2312"/>
          <w:sz w:val="28"/>
          <w:szCs w:val="28"/>
          <w:lang w:eastAsia="zh-CN"/>
        </w:rPr>
        <w:t>并扣除剩余工程款</w:t>
      </w:r>
      <w:r>
        <w:rPr>
          <w:rFonts w:hint="eastAsia" w:ascii="仿宋_GB2312" w:hAnsi="仿宋_GB2312" w:eastAsia="仿宋_GB2312" w:cs="仿宋_GB2312"/>
          <w:sz w:val="28"/>
          <w:szCs w:val="28"/>
        </w:rPr>
        <w:t xml:space="preserve">，若因此给甲方造成损失，乙方应给予甲方经济赔偿。 </w:t>
      </w:r>
    </w:p>
    <w:p w14:paraId="11D83F51">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.乙方不得将本项目转让、转包、分包，否则甲方有权解除合同，乙方应承担本合同价款</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 xml:space="preserve">0%的违约责任。 </w:t>
      </w:r>
    </w:p>
    <w:p w14:paraId="7DA76C15">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hint="eastAsia" w:ascii="仿宋_GB2312" w:hAnsi="仿宋_GB2312" w:eastAsia="仿宋_GB2312" w:cs="仿宋_GB2312"/>
          <w:sz w:val="28"/>
          <w:szCs w:val="28"/>
          <w:lang w:eastAsia="zh-CN"/>
        </w:rPr>
        <w:t>九</w:t>
      </w:r>
      <w:r>
        <w:rPr>
          <w:rFonts w:hint="eastAsia" w:ascii="仿宋_GB2312" w:hAnsi="仿宋_GB2312" w:eastAsia="仿宋_GB2312" w:cs="仿宋_GB2312"/>
          <w:sz w:val="28"/>
          <w:szCs w:val="28"/>
        </w:rPr>
        <w:t>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违约责任 </w:t>
      </w:r>
    </w:p>
    <w:p w14:paraId="3CC7BF1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1.因乙方未能按照约定提供</w:t>
      </w:r>
      <w:r>
        <w:rPr>
          <w:rFonts w:hint="eastAsia" w:ascii="仿宋_GB2312" w:hAnsi="仿宋_GB2312" w:eastAsia="仿宋_GB2312" w:cs="仿宋_GB2312"/>
          <w:sz w:val="28"/>
          <w:szCs w:val="28"/>
          <w:lang w:eastAsia="zh-CN"/>
        </w:rPr>
        <w:t>养护期养护</w:t>
      </w:r>
      <w:r>
        <w:rPr>
          <w:rFonts w:hint="eastAsia" w:ascii="仿宋_GB2312" w:hAnsi="仿宋_GB2312" w:eastAsia="仿宋_GB2312" w:cs="仿宋_GB2312"/>
          <w:sz w:val="28"/>
          <w:szCs w:val="28"/>
        </w:rPr>
        <w:t>服务的,甲方有权要求乙方限期整改,逾期未整改到位，按每逾期一天，</w:t>
      </w:r>
      <w:r>
        <w:rPr>
          <w:rFonts w:hint="eastAsia" w:ascii="仿宋_GB2312" w:hAnsi="仿宋_GB2312" w:eastAsia="仿宋_GB2312" w:cs="仿宋_GB2312"/>
          <w:sz w:val="28"/>
          <w:szCs w:val="28"/>
          <w:lang w:eastAsia="zh-CN"/>
        </w:rPr>
        <w:t>扣款</w:t>
      </w:r>
      <w:r>
        <w:rPr>
          <w:rFonts w:hint="eastAsia" w:ascii="仿宋_GB2312" w:hAnsi="仿宋_GB2312" w:eastAsia="仿宋_GB2312" w:cs="仿宋_GB2312"/>
          <w:sz w:val="28"/>
          <w:szCs w:val="28"/>
          <w:lang w:val="en-US" w:eastAsia="zh-CN"/>
        </w:rPr>
        <w:t>1000元。一</w:t>
      </w:r>
      <w:r>
        <w:rPr>
          <w:rFonts w:hint="eastAsia" w:ascii="仿宋_GB2312" w:hAnsi="仿宋_GB2312" w:eastAsia="仿宋_GB2312" w:cs="仿宋_GB2312"/>
          <w:sz w:val="28"/>
          <w:szCs w:val="28"/>
        </w:rPr>
        <w:t>个月内未能整改达标的，甲方有权终止合同，</w:t>
      </w:r>
      <w:r>
        <w:rPr>
          <w:rFonts w:hint="eastAsia" w:ascii="仿宋_GB2312" w:hAnsi="仿宋_GB2312" w:eastAsia="仿宋_GB2312" w:cs="仿宋_GB2312"/>
          <w:sz w:val="28"/>
          <w:szCs w:val="28"/>
          <w:lang w:eastAsia="zh-CN"/>
        </w:rPr>
        <w:t>并扣除剩余工程款</w:t>
      </w:r>
      <w:r>
        <w:rPr>
          <w:rFonts w:hint="eastAsia" w:ascii="仿宋_GB2312" w:hAnsi="仿宋_GB2312" w:eastAsia="仿宋_GB2312" w:cs="仿宋_GB2312"/>
          <w:sz w:val="28"/>
          <w:szCs w:val="28"/>
        </w:rPr>
        <w:t xml:space="preserve">。 </w:t>
      </w:r>
    </w:p>
    <w:p w14:paraId="079976A8">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b w:val="0"/>
          <w:color w:val="auto"/>
          <w:sz w:val="28"/>
          <w:szCs w:val="28"/>
          <w:highlight w:val="none"/>
          <w:lang w:eastAsia="zh-CN"/>
        </w:rPr>
        <w:t>乙方</w:t>
      </w:r>
      <w:r>
        <w:rPr>
          <w:rFonts w:hint="eastAsia" w:ascii="仿宋_GB2312" w:hAnsi="仿宋_GB2312" w:eastAsia="仿宋_GB2312" w:cs="仿宋_GB2312"/>
          <w:b w:val="0"/>
          <w:color w:val="auto"/>
          <w:sz w:val="28"/>
          <w:szCs w:val="28"/>
          <w:highlight w:val="none"/>
        </w:rPr>
        <w:t>必须按照规范及</w:t>
      </w:r>
      <w:r>
        <w:rPr>
          <w:rFonts w:hint="eastAsia" w:ascii="仿宋_GB2312" w:hAnsi="仿宋_GB2312" w:eastAsia="仿宋_GB2312" w:cs="仿宋_GB2312"/>
          <w:b w:val="0"/>
          <w:color w:val="auto"/>
          <w:sz w:val="28"/>
          <w:szCs w:val="28"/>
          <w:highlight w:val="none"/>
          <w:lang w:eastAsia="zh-CN"/>
        </w:rPr>
        <w:t>甲方</w:t>
      </w:r>
      <w:r>
        <w:rPr>
          <w:rFonts w:hint="eastAsia" w:ascii="仿宋_GB2312" w:hAnsi="仿宋_GB2312" w:eastAsia="仿宋_GB2312" w:cs="仿宋_GB2312"/>
          <w:b w:val="0"/>
          <w:color w:val="auto"/>
          <w:sz w:val="28"/>
          <w:szCs w:val="28"/>
          <w:highlight w:val="none"/>
        </w:rPr>
        <w:t>要求进行施工，确保施工质量，并按合同规定的期限如期完工，</w:t>
      </w:r>
      <w:r>
        <w:rPr>
          <w:rFonts w:hint="eastAsia" w:ascii="仿宋_GB2312" w:hAnsi="仿宋_GB2312" w:eastAsia="仿宋_GB2312" w:cs="仿宋_GB2312"/>
          <w:sz w:val="28"/>
          <w:szCs w:val="28"/>
        </w:rPr>
        <w:t>因甲方原因造成工期延误，甲方承担责任和费用，工期相应顺延。因乙方原因造成工期延误，乙方承担责任和损失，甲方将按影响程度，实行每延误</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天，</w:t>
      </w:r>
      <w:r>
        <w:rPr>
          <w:rFonts w:hint="eastAsia" w:ascii="仿宋_GB2312" w:hAnsi="仿宋_GB2312" w:eastAsia="仿宋_GB2312" w:cs="仿宋_GB2312"/>
          <w:sz w:val="28"/>
          <w:szCs w:val="28"/>
          <w:lang w:eastAsia="zh-CN"/>
        </w:rPr>
        <w:t>扣</w:t>
      </w:r>
      <w:r>
        <w:rPr>
          <w:rFonts w:hint="eastAsia" w:ascii="仿宋_GB2312" w:hAnsi="仿宋_GB2312" w:eastAsia="仿宋_GB2312" w:cs="仿宋_GB2312"/>
          <w:sz w:val="28"/>
          <w:szCs w:val="28"/>
        </w:rPr>
        <w:t>款5000元，甲方有权终止本合同或调动其他施工力量参与施工，发生的责任和费用由乙方承担。</w:t>
      </w:r>
    </w:p>
    <w:p w14:paraId="4AC60FF8">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.甲乙双方无正当理由提前解除合同的,应向对方支付违约金10万元;由于解除合同造成的经济损失超过违约金的,因给予赔偿。 </w:t>
      </w:r>
    </w:p>
    <w:p w14:paraId="5989436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若</w:t>
      </w:r>
      <w:r>
        <w:rPr>
          <w:rFonts w:hint="eastAsia" w:ascii="仿宋_GB2312" w:hAnsi="仿宋_GB2312" w:eastAsia="仿宋_GB2312" w:cs="仿宋_GB2312"/>
          <w:sz w:val="28"/>
          <w:szCs w:val="28"/>
          <w:lang w:eastAsia="zh-CN"/>
        </w:rPr>
        <w:t>乙方</w:t>
      </w:r>
      <w:r>
        <w:rPr>
          <w:rFonts w:hint="eastAsia" w:ascii="仿宋_GB2312" w:hAnsi="仿宋_GB2312" w:eastAsia="仿宋_GB2312" w:cs="仿宋_GB2312"/>
          <w:sz w:val="28"/>
          <w:szCs w:val="28"/>
        </w:rPr>
        <w:t>不能提供</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%的建筑业增值税专用发票，</w:t>
      </w:r>
      <w:r>
        <w:rPr>
          <w:rFonts w:hint="eastAsia" w:ascii="仿宋_GB2312" w:hAnsi="仿宋_GB2312" w:eastAsia="仿宋_GB2312" w:cs="仿宋_GB2312"/>
          <w:sz w:val="28"/>
          <w:szCs w:val="28"/>
          <w:lang w:eastAsia="zh-CN"/>
        </w:rPr>
        <w:t>乙方</w:t>
      </w:r>
      <w:r>
        <w:rPr>
          <w:rFonts w:hint="eastAsia" w:ascii="仿宋_GB2312" w:hAnsi="仿宋_GB2312" w:eastAsia="仿宋_GB2312" w:cs="仿宋_GB2312"/>
          <w:sz w:val="28"/>
          <w:szCs w:val="28"/>
        </w:rPr>
        <w:t>应赔偿</w:t>
      </w:r>
      <w:r>
        <w:rPr>
          <w:rFonts w:hint="eastAsia" w:ascii="仿宋_GB2312" w:hAnsi="仿宋_GB2312" w:eastAsia="仿宋_GB2312" w:cs="仿宋_GB2312"/>
          <w:sz w:val="28"/>
          <w:szCs w:val="28"/>
          <w:lang w:eastAsia="zh-CN"/>
        </w:rPr>
        <w:t>甲方</w:t>
      </w:r>
      <w:r>
        <w:rPr>
          <w:rFonts w:hint="eastAsia" w:ascii="仿宋_GB2312" w:hAnsi="仿宋_GB2312" w:eastAsia="仿宋_GB2312" w:cs="仿宋_GB2312"/>
          <w:sz w:val="28"/>
          <w:szCs w:val="28"/>
        </w:rPr>
        <w:t>的损失（如无法抵扣进项税等）。若</w:t>
      </w:r>
      <w:r>
        <w:rPr>
          <w:rFonts w:hint="eastAsia" w:ascii="仿宋_GB2312" w:hAnsi="仿宋_GB2312" w:eastAsia="仿宋_GB2312" w:cs="仿宋_GB2312"/>
          <w:sz w:val="28"/>
          <w:szCs w:val="28"/>
          <w:lang w:eastAsia="zh-CN"/>
        </w:rPr>
        <w:t>乙方</w:t>
      </w:r>
      <w:r>
        <w:rPr>
          <w:rFonts w:hint="eastAsia" w:ascii="仿宋_GB2312" w:hAnsi="仿宋_GB2312" w:eastAsia="仿宋_GB2312" w:cs="仿宋_GB2312"/>
          <w:sz w:val="28"/>
          <w:szCs w:val="28"/>
        </w:rPr>
        <w:t>不能按时开具发票或发票送达时间延误，由此造成的一切损失由</w:t>
      </w:r>
      <w:r>
        <w:rPr>
          <w:rFonts w:hint="eastAsia" w:ascii="仿宋_GB2312" w:hAnsi="仿宋_GB2312" w:eastAsia="仿宋_GB2312" w:cs="仿宋_GB2312"/>
          <w:sz w:val="28"/>
          <w:szCs w:val="28"/>
          <w:lang w:eastAsia="zh-CN"/>
        </w:rPr>
        <w:t>乙方</w:t>
      </w:r>
      <w:r>
        <w:rPr>
          <w:rFonts w:hint="eastAsia" w:ascii="仿宋_GB2312" w:hAnsi="仿宋_GB2312" w:eastAsia="仿宋_GB2312" w:cs="仿宋_GB2312"/>
          <w:sz w:val="28"/>
          <w:szCs w:val="28"/>
        </w:rPr>
        <w:t>承担。</w:t>
      </w:r>
    </w:p>
    <w:p w14:paraId="6D502FC9">
      <w:pPr>
        <w:spacing w:line="500" w:lineRule="exact"/>
        <w:ind w:firstLine="522" w:firstLineChars="200"/>
        <w:rPr>
          <w:rFonts w:hint="eastAsia" w:ascii="仿宋_GB2312" w:hAnsi="仿宋_GB2312" w:eastAsia="仿宋_GB2312" w:cs="仿宋_GB2312"/>
          <w:b w:val="0"/>
          <w:color w:val="auto"/>
          <w:sz w:val="28"/>
          <w:szCs w:val="28"/>
          <w:highlight w:val="none"/>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b w:val="0"/>
          <w:color w:val="auto"/>
          <w:sz w:val="28"/>
          <w:szCs w:val="28"/>
          <w:highlight w:val="none"/>
        </w:rPr>
        <w:t>一方违约后，另一方要求违约方继续履行合同时，违约方承担上述违约责任（应向对方支付合同总价20％的违约金）后仍应继续履行合同。</w:t>
      </w:r>
    </w:p>
    <w:p w14:paraId="2F0CC028">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 xml:space="preserve">.本合同所称损失包括但不限于直接损失、间接损失、为实现自己的权益而支出的诉讼费、保全费、保全担保费等一切费用。 </w:t>
      </w:r>
    </w:p>
    <w:p w14:paraId="4759706D">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合同变更、补充与终止 </w:t>
      </w:r>
    </w:p>
    <w:p w14:paraId="4B081A0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1.在合同履行过程中,若因不可抗拒因素而影响本合同正常履行或某一方面需要修改、变更合同内容时,经甲乙双方协商一致,协商后所立补充条款或补充协议与本合同具有同等效力。 </w:t>
      </w:r>
    </w:p>
    <w:p w14:paraId="404A06D4">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2.合同规定的服务期满,本合同终止。 </w:t>
      </w:r>
    </w:p>
    <w:p w14:paraId="706595FB">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3.乙方如果丧失履约能力或被宣布破产,甲方可在任何时候以书面形式通知乙方终止合同而不给乙方补偿。该终止采购将不损害或影响甲方已经采取或将要采取任何行动或补救措施的权利。</w:t>
      </w:r>
    </w:p>
    <w:p w14:paraId="6788ACA4">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w:t>
      </w:r>
      <w:r>
        <w:rPr>
          <w:rFonts w:hint="eastAsia" w:ascii="仿宋_GB2312" w:hAnsi="仿宋_GB2312" w:eastAsia="仿宋_GB2312" w:cs="仿宋_GB2312"/>
          <w:sz w:val="28"/>
          <w:szCs w:val="28"/>
          <w:lang w:eastAsia="zh-CN"/>
        </w:rPr>
        <w:t>一</w:t>
      </w:r>
      <w:r>
        <w:rPr>
          <w:rFonts w:hint="eastAsia" w:ascii="仿宋_GB2312" w:hAnsi="仿宋_GB2312" w:eastAsia="仿宋_GB2312" w:cs="仿宋_GB2312"/>
          <w:sz w:val="28"/>
          <w:szCs w:val="28"/>
        </w:rPr>
        <w:t>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合同的解除和转让 </w:t>
      </w:r>
    </w:p>
    <w:p w14:paraId="1A4CEA9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1.合同的解除 </w:t>
      </w:r>
    </w:p>
    <w:p w14:paraId="5B79E02E">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（1）甲方和乙方协商一致，可以解除合同； </w:t>
      </w:r>
    </w:p>
    <w:p w14:paraId="0D5CD440">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（2）有下列情形之一，合同一方可以解除合同；</w:t>
      </w:r>
    </w:p>
    <w:p w14:paraId="47459E8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A.因不可抗力致使不能实现合同目的，未受不可抗力影响的一方有权解除合同； </w:t>
      </w:r>
    </w:p>
    <w:p w14:paraId="516C1F65">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B.因合同一方违约导致合同不能履行，另一方有权解除合同。 </w:t>
      </w:r>
    </w:p>
    <w:p w14:paraId="3B09C4AA">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C</w:t>
      </w:r>
      <w:r>
        <w:rPr>
          <w:rFonts w:hint="eastAsia" w:ascii="仿宋_GB2312" w:hAnsi="仿宋_GB2312" w:eastAsia="仿宋_GB2312" w:cs="仿宋_GB2312"/>
          <w:sz w:val="28"/>
          <w:szCs w:val="28"/>
        </w:rPr>
        <w:t xml:space="preserve">.乙方将承揽项目交第三方完成的行为 </w:t>
      </w:r>
    </w:p>
    <w:p w14:paraId="5E4E272C">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w:t>
      </w:r>
      <w:r>
        <w:rPr>
          <w:rFonts w:hint="eastAsia" w:ascii="仿宋_GB2312" w:hAnsi="仿宋_GB2312" w:eastAsia="仿宋_GB2312" w:cs="仿宋_GB2312"/>
          <w:sz w:val="28"/>
          <w:szCs w:val="28"/>
        </w:rPr>
        <w:t>.乙方若存在(包括但不限于)未按时发放给工人工资等违反劳动法规规定的行为。</w:t>
      </w:r>
    </w:p>
    <w:p w14:paraId="132B2B71">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E</w:t>
      </w:r>
      <w:r>
        <w:rPr>
          <w:rFonts w:hint="eastAsia" w:ascii="仿宋_GB2312" w:hAnsi="仿宋_GB2312" w:eastAsia="仿宋_GB2312" w:cs="仿宋_GB2312"/>
          <w:sz w:val="28"/>
          <w:szCs w:val="28"/>
        </w:rPr>
        <w:t xml:space="preserve">.乙方与其工作人员产生纠纷未能及时妥善解决,从而导致其 工作人员的行为影响到甲方工作或社会声誉的行为。 </w:t>
      </w:r>
    </w:p>
    <w:p w14:paraId="1C77315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权解除合同的一方，应当在违约事实或不可抗力发生后30天内书面通知对方以主张解除合同，合同在书面通知到达对方时解除。合同解除的（不可抗力除外），过错方应当承担本合同价款30%的违约责任，造成对方损失的，还应承担损失赔偿责任。</w:t>
      </w:r>
    </w:p>
    <w:p w14:paraId="618C7E36">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（3）如政策变化或甲方管理体制改变,致使该协议无法继续履行时,甲方有权单方解除协议,无须承担任何违约责任。</w:t>
      </w:r>
    </w:p>
    <w:p w14:paraId="363B0AE1">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2.合同的转让</w:t>
      </w:r>
    </w:p>
    <w:p w14:paraId="1A39E2E9">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合同的部分和全部都不能转让。 </w:t>
      </w:r>
    </w:p>
    <w:p w14:paraId="010F35FB">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w:t>
      </w:r>
      <w:r>
        <w:rPr>
          <w:rFonts w:hint="eastAsia" w:ascii="仿宋_GB2312" w:hAnsi="仿宋_GB2312" w:eastAsia="仿宋_GB2312" w:cs="仿宋_GB2312"/>
          <w:sz w:val="28"/>
          <w:szCs w:val="28"/>
          <w:lang w:eastAsia="zh-CN"/>
        </w:rPr>
        <w:t>二</w:t>
      </w:r>
      <w:r>
        <w:rPr>
          <w:rFonts w:hint="eastAsia" w:ascii="仿宋_GB2312" w:hAnsi="仿宋_GB2312" w:eastAsia="仿宋_GB2312" w:cs="仿宋_GB2312"/>
          <w:sz w:val="28"/>
          <w:szCs w:val="28"/>
        </w:rPr>
        <w:t>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争议的解决 </w:t>
      </w:r>
    </w:p>
    <w:p w14:paraId="5D970E7A">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hint="eastAsia" w:ascii="仿宋_GB2312" w:hAnsi="仿宋_GB2312" w:eastAsia="仿宋_GB2312" w:cs="仿宋_GB2312"/>
          <w:sz w:val="28"/>
          <w:szCs w:val="28"/>
          <w:lang w:eastAsia="zh-CN"/>
        </w:rPr>
        <w:t>合同履行期发生</w:t>
      </w:r>
      <w:r>
        <w:rPr>
          <w:rFonts w:hint="eastAsia" w:ascii="仿宋_GB2312" w:hAnsi="仿宋_GB2312" w:eastAsia="仿宋_GB2312" w:cs="仿宋_GB2312"/>
          <w:sz w:val="28"/>
          <w:szCs w:val="28"/>
        </w:rPr>
        <w:t xml:space="preserve">争议时,应先通过友好协商形式解决,如协商不能解决,可以向甲方所在地人民法院起诉。 </w:t>
      </w:r>
    </w:p>
    <w:p w14:paraId="25416E22">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w:t>
      </w:r>
      <w:r>
        <w:rPr>
          <w:rFonts w:hint="eastAsia" w:ascii="仿宋_GB2312" w:hAnsi="仿宋_GB2312" w:eastAsia="仿宋_GB2312" w:cs="仿宋_GB2312"/>
          <w:sz w:val="28"/>
          <w:szCs w:val="28"/>
          <w:lang w:eastAsia="zh-CN"/>
        </w:rPr>
        <w:t>三</w:t>
      </w:r>
      <w:r>
        <w:rPr>
          <w:rFonts w:hint="eastAsia" w:ascii="仿宋_GB2312" w:hAnsi="仿宋_GB2312" w:eastAsia="仿宋_GB2312" w:cs="仿宋_GB2312"/>
          <w:sz w:val="28"/>
          <w:szCs w:val="28"/>
        </w:rPr>
        <w:t>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本合同的组成文件 </w:t>
      </w:r>
    </w:p>
    <w:p w14:paraId="2BD523FE">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组成本合同的文件，包括本合同、招标文件、投标文件、中标通知书、双方签订的技术协议、规范及有关技术文件、在合同履行期内签定的补充合同、安全管理协议以及相关方平安建设业务外包责任书、农民工工资支付诚信承诺书等，与本合同具有相同法律效力。</w:t>
      </w:r>
      <w:r>
        <w:rPr>
          <w:rFonts w:hint="eastAsia" w:ascii="仿宋_GB2312" w:hAnsi="仿宋_GB2312" w:eastAsia="仿宋_GB2312" w:cs="仿宋_GB2312"/>
          <w:sz w:val="28"/>
          <w:szCs w:val="28"/>
        </w:rPr>
        <w:t xml:space="preserve"> </w:t>
      </w:r>
    </w:p>
    <w:p w14:paraId="29428A55">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w:t>
      </w: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条</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合同生效 </w:t>
      </w:r>
    </w:p>
    <w:p w14:paraId="4C12C905">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1.本合同经甲、乙双方签字并加盖公章后生效。 </w:t>
      </w:r>
    </w:p>
    <w:p w14:paraId="3C2A83DC">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2.本合同一式陆份,甲方执肆份，乙方执贰份， </w:t>
      </w:r>
    </w:p>
    <w:p w14:paraId="39E63CF3">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3.本合同未尽事宜应按《中华人民共和国民法典》以及其相关法律法规之规定执行，双方可另行签订补充协议。</w:t>
      </w:r>
    </w:p>
    <w:tbl>
      <w:tblPr>
        <w:tblStyle w:val="9"/>
        <w:tblpPr w:leftFromText="180" w:rightFromText="180" w:vertAnchor="text" w:horzAnchor="margin" w:tblpXSpec="center" w:tblpY="343"/>
        <w:tblOverlap w:val="never"/>
        <w:tblW w:w="10008" w:type="dxa"/>
        <w:jc w:val="center"/>
        <w:tblLayout w:type="fixed"/>
        <w:tblCellMar>
          <w:top w:w="0" w:type="dxa"/>
          <w:left w:w="108" w:type="dxa"/>
          <w:bottom w:w="0" w:type="dxa"/>
          <w:right w:w="108" w:type="dxa"/>
        </w:tblCellMar>
      </w:tblPr>
      <w:tblGrid>
        <w:gridCol w:w="4998"/>
        <w:gridCol w:w="5010"/>
      </w:tblGrid>
      <w:tr w14:paraId="03CB6E14">
        <w:tblPrEx>
          <w:tblCellMar>
            <w:top w:w="0" w:type="dxa"/>
            <w:left w:w="108" w:type="dxa"/>
            <w:bottom w:w="0" w:type="dxa"/>
            <w:right w:w="108" w:type="dxa"/>
          </w:tblCellMar>
        </w:tblPrEx>
        <w:trPr>
          <w:trHeight w:val="378"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38CE28B9">
            <w:pPr>
              <w:rPr>
                <w:rFonts w:hint="eastAsia"/>
              </w:rPr>
            </w:pPr>
            <w:r>
              <w:rPr>
                <w:rFonts w:hint="eastAsia"/>
              </w:rPr>
              <w:t>甲方</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7900B89A">
            <w:pPr>
              <w:rPr>
                <w:rFonts w:hint="eastAsia"/>
              </w:rPr>
            </w:pPr>
            <w:r>
              <w:rPr>
                <w:rFonts w:hint="eastAsia"/>
              </w:rPr>
              <w:t>乙方</w:t>
            </w:r>
          </w:p>
        </w:tc>
      </w:tr>
      <w:tr w14:paraId="7EEC07EC">
        <w:tblPrEx>
          <w:tblCellMar>
            <w:top w:w="0" w:type="dxa"/>
            <w:left w:w="108" w:type="dxa"/>
            <w:bottom w:w="0" w:type="dxa"/>
            <w:right w:w="108" w:type="dxa"/>
          </w:tblCellMar>
        </w:tblPrEx>
        <w:trPr>
          <w:trHeight w:val="380"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35949FA6">
            <w:pPr>
              <w:rPr>
                <w:rFonts w:hint="eastAsia"/>
                <w:lang w:eastAsia="zh-CN"/>
              </w:rPr>
            </w:pPr>
            <w:r>
              <w:rPr>
                <w:rFonts w:hint="eastAsia"/>
                <w:lang w:val="sq-AL"/>
              </w:rPr>
              <w:t>单位名称（章）: 嘉峪关天暨物业服务有限责任公司</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750837D8">
            <w:pPr>
              <w:rPr>
                <w:rFonts w:hint="default"/>
                <w:lang w:val="en-US" w:eastAsia="zh-CN"/>
              </w:rPr>
            </w:pPr>
            <w:r>
              <w:rPr>
                <w:rFonts w:hint="eastAsia"/>
                <w:lang w:val="sq-AL"/>
              </w:rPr>
              <w:t>单位名称（章）：</w:t>
            </w:r>
          </w:p>
        </w:tc>
      </w:tr>
      <w:tr w14:paraId="3C3D6674">
        <w:tblPrEx>
          <w:tblCellMar>
            <w:top w:w="0" w:type="dxa"/>
            <w:left w:w="108" w:type="dxa"/>
            <w:bottom w:w="0" w:type="dxa"/>
            <w:right w:w="108" w:type="dxa"/>
          </w:tblCellMar>
        </w:tblPrEx>
        <w:trPr>
          <w:trHeight w:val="512"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4AD97301">
            <w:pPr>
              <w:rPr>
                <w:rFonts w:hint="eastAsia"/>
              </w:rPr>
            </w:pPr>
            <w:r>
              <w:rPr>
                <w:rFonts w:hint="eastAsia"/>
                <w:lang w:val="sq-AL"/>
              </w:rPr>
              <w:t>单位地址：甘肃省嘉峪关市雄关东路12号</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0A5BB726">
            <w:pPr>
              <w:rPr>
                <w:rFonts w:hint="default"/>
                <w:lang w:val="en-US" w:eastAsia="zh-CN"/>
              </w:rPr>
            </w:pPr>
            <w:r>
              <w:rPr>
                <w:rFonts w:hint="eastAsia"/>
                <w:lang w:val="sq-AL"/>
              </w:rPr>
              <w:t>单位地址：</w:t>
            </w:r>
          </w:p>
        </w:tc>
      </w:tr>
      <w:tr w14:paraId="52C0D3F9">
        <w:tblPrEx>
          <w:tblCellMar>
            <w:top w:w="0" w:type="dxa"/>
            <w:left w:w="108" w:type="dxa"/>
            <w:bottom w:w="0" w:type="dxa"/>
            <w:right w:w="108" w:type="dxa"/>
          </w:tblCellMar>
        </w:tblPrEx>
        <w:trPr>
          <w:trHeight w:val="534"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439B9F97">
            <w:pPr>
              <w:rPr>
                <w:rFonts w:hint="eastAsia"/>
              </w:rPr>
            </w:pPr>
            <w:r>
              <w:rPr>
                <w:rFonts w:hint="eastAsia"/>
                <w:lang w:val="sq-AL"/>
              </w:rPr>
              <w:t>法定负责人：</w:t>
            </w:r>
            <w:r>
              <w:rPr>
                <w:lang w:val="sq-AL"/>
              </w:rPr>
              <w:t xml:space="preserve"> </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54546BA4">
            <w:pPr>
              <w:rPr>
                <w:rFonts w:hint="eastAsia"/>
                <w:lang w:val="sq-AL"/>
              </w:rPr>
            </w:pPr>
            <w:r>
              <w:rPr>
                <w:rFonts w:hint="eastAsia"/>
                <w:lang w:val="sq-AL"/>
              </w:rPr>
              <w:t>法定代表人：</w:t>
            </w:r>
          </w:p>
        </w:tc>
      </w:tr>
      <w:tr w14:paraId="16FB7A3B">
        <w:tblPrEx>
          <w:tblCellMar>
            <w:top w:w="0" w:type="dxa"/>
            <w:left w:w="108" w:type="dxa"/>
            <w:bottom w:w="0" w:type="dxa"/>
            <w:right w:w="108" w:type="dxa"/>
          </w:tblCellMar>
        </w:tblPrEx>
        <w:trPr>
          <w:trHeight w:val="514"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1C8350B4">
            <w:pPr>
              <w:rPr>
                <w:rFonts w:hint="eastAsia"/>
              </w:rPr>
            </w:pPr>
            <w:r>
              <w:rPr>
                <w:rFonts w:hint="eastAsia"/>
                <w:lang w:val="sq-AL"/>
              </w:rPr>
              <w:t>委托代理人：</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67B9B94D">
            <w:pPr>
              <w:rPr>
                <w:rFonts w:hint="eastAsia"/>
                <w:lang w:val="sq-AL"/>
              </w:rPr>
            </w:pPr>
            <w:r>
              <w:rPr>
                <w:rFonts w:hint="eastAsia"/>
                <w:lang w:val="sq-AL"/>
              </w:rPr>
              <w:t xml:space="preserve">委托代理人： </w:t>
            </w:r>
          </w:p>
        </w:tc>
      </w:tr>
      <w:tr w14:paraId="326607F8">
        <w:tblPrEx>
          <w:tblCellMar>
            <w:top w:w="0" w:type="dxa"/>
            <w:left w:w="108" w:type="dxa"/>
            <w:bottom w:w="0" w:type="dxa"/>
            <w:right w:w="108" w:type="dxa"/>
          </w:tblCellMar>
        </w:tblPrEx>
        <w:trPr>
          <w:trHeight w:val="389"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2E413A28">
            <w:pPr>
              <w:rPr>
                <w:rFonts w:hint="eastAsia"/>
                <w:lang w:val="en-US" w:eastAsia="zh-CN"/>
              </w:rPr>
            </w:pPr>
            <w:r>
              <w:rPr>
                <w:rFonts w:hint="eastAsia"/>
                <w:lang w:val="sq-AL"/>
              </w:rPr>
              <w:t>电话：</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6D5BAE72">
            <w:pPr>
              <w:rPr>
                <w:rFonts w:hint="eastAsia"/>
                <w:lang w:val="en-US" w:eastAsia="zh-CN"/>
              </w:rPr>
            </w:pPr>
            <w:r>
              <w:rPr>
                <w:rFonts w:hint="eastAsia"/>
                <w:lang w:val="sq-AL"/>
              </w:rPr>
              <w:t>电话：</w:t>
            </w:r>
          </w:p>
        </w:tc>
      </w:tr>
      <w:tr w14:paraId="1A60B3F3">
        <w:tblPrEx>
          <w:tblCellMar>
            <w:top w:w="0" w:type="dxa"/>
            <w:left w:w="108" w:type="dxa"/>
            <w:bottom w:w="0" w:type="dxa"/>
            <w:right w:w="108" w:type="dxa"/>
          </w:tblCellMar>
        </w:tblPrEx>
        <w:trPr>
          <w:trHeight w:val="455"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2CCC3716">
            <w:pPr>
              <w:rPr>
                <w:rFonts w:hint="eastAsia"/>
              </w:rPr>
            </w:pPr>
            <w:r>
              <w:rPr>
                <w:rFonts w:hint="eastAsia"/>
                <w:lang w:val="sq-AL"/>
              </w:rPr>
              <w:t>开户银行：</w:t>
            </w:r>
            <w:r>
              <w:rPr>
                <w:lang w:val="sq-AL"/>
              </w:rPr>
              <w:t xml:space="preserve"> </w:t>
            </w:r>
            <w:r>
              <w:rPr>
                <w:rFonts w:hint="eastAsia"/>
                <w:lang w:val="sq-AL"/>
              </w:rPr>
              <w:t>工商银行股份有限公司嘉峪关酒钢支行</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51078536">
            <w:pPr>
              <w:rPr>
                <w:rFonts w:hint="default"/>
                <w:lang w:val="en-US" w:eastAsia="zh-CN"/>
              </w:rPr>
            </w:pPr>
            <w:r>
              <w:rPr>
                <w:rFonts w:hint="eastAsia"/>
                <w:lang w:val="sq-AL"/>
              </w:rPr>
              <w:t>开户银行：</w:t>
            </w:r>
          </w:p>
        </w:tc>
      </w:tr>
      <w:tr w14:paraId="6077AB39">
        <w:tblPrEx>
          <w:tblCellMar>
            <w:top w:w="0" w:type="dxa"/>
            <w:left w:w="108" w:type="dxa"/>
            <w:bottom w:w="0" w:type="dxa"/>
            <w:right w:w="108" w:type="dxa"/>
          </w:tblCellMar>
        </w:tblPrEx>
        <w:trPr>
          <w:trHeight w:val="456"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3C950161">
            <w:pPr>
              <w:rPr>
                <w:rFonts w:hint="eastAsia"/>
              </w:rPr>
            </w:pPr>
            <w:r>
              <w:rPr>
                <w:rFonts w:hint="eastAsia"/>
                <w:lang w:val="sq-AL"/>
              </w:rPr>
              <w:t>帐号：2702888009000047221</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6F17F2A8">
            <w:pPr>
              <w:rPr>
                <w:rFonts w:hint="default"/>
                <w:lang w:val="en-US" w:eastAsia="zh-CN"/>
              </w:rPr>
            </w:pPr>
            <w:r>
              <w:rPr>
                <w:rFonts w:hint="eastAsia"/>
                <w:lang w:val="sq-AL"/>
              </w:rPr>
              <w:t>帐号：</w:t>
            </w:r>
          </w:p>
        </w:tc>
      </w:tr>
      <w:tr w14:paraId="360865E4">
        <w:tblPrEx>
          <w:tblCellMar>
            <w:top w:w="0" w:type="dxa"/>
            <w:left w:w="108" w:type="dxa"/>
            <w:bottom w:w="0" w:type="dxa"/>
            <w:right w:w="108" w:type="dxa"/>
          </w:tblCellMar>
        </w:tblPrEx>
        <w:trPr>
          <w:trHeight w:val="604" w:hRule="atLeast"/>
          <w:jc w:val="center"/>
        </w:trPr>
        <w:tc>
          <w:tcPr>
            <w:tcW w:w="4998" w:type="dxa"/>
            <w:tcBorders>
              <w:top w:val="single" w:color="auto" w:sz="6" w:space="0"/>
              <w:left w:val="single" w:color="auto" w:sz="6" w:space="0"/>
              <w:bottom w:val="single" w:color="auto" w:sz="6" w:space="0"/>
              <w:right w:val="single" w:color="auto" w:sz="6" w:space="0"/>
            </w:tcBorders>
            <w:noWrap w:val="0"/>
            <w:vAlign w:val="center"/>
          </w:tcPr>
          <w:p w14:paraId="6AF1BC6F">
            <w:pPr>
              <w:rPr>
                <w:rFonts w:hint="eastAsia"/>
              </w:rPr>
            </w:pPr>
            <w:r>
              <w:rPr>
                <w:rFonts w:hint="eastAsia"/>
                <w:lang w:val="sq-AL"/>
              </w:rPr>
              <w:t>税号：91620200MA739QBJ8H</w:t>
            </w:r>
          </w:p>
        </w:tc>
        <w:tc>
          <w:tcPr>
            <w:tcW w:w="5010" w:type="dxa"/>
            <w:tcBorders>
              <w:top w:val="single" w:color="auto" w:sz="6" w:space="0"/>
              <w:left w:val="single" w:color="auto" w:sz="6" w:space="0"/>
              <w:bottom w:val="single" w:color="auto" w:sz="6" w:space="0"/>
              <w:right w:val="single" w:color="auto" w:sz="6" w:space="0"/>
            </w:tcBorders>
            <w:noWrap w:val="0"/>
            <w:vAlign w:val="center"/>
          </w:tcPr>
          <w:p w14:paraId="7BF8C73E">
            <w:pPr>
              <w:rPr>
                <w:rFonts w:hint="default"/>
                <w:lang w:val="en-US" w:eastAsia="zh-CN"/>
              </w:rPr>
            </w:pPr>
            <w:r>
              <w:rPr>
                <w:rFonts w:hint="eastAsia"/>
                <w:lang w:val="sq-AL"/>
              </w:rPr>
              <w:t>税号：</w:t>
            </w:r>
          </w:p>
        </w:tc>
      </w:tr>
    </w:tbl>
    <w:p w14:paraId="2643DE19">
      <w:pPr>
        <w:pStyle w:val="2"/>
        <w:rPr>
          <w:rFonts w:hint="eastAsia" w:ascii="仿宋_GB2312" w:hAnsi="仿宋_GB2312" w:eastAsia="仿宋_GB2312" w:cs="仿宋_GB2312"/>
          <w:sz w:val="28"/>
          <w:szCs w:val="28"/>
        </w:rPr>
      </w:pPr>
    </w:p>
    <w:p w14:paraId="587B5825">
      <w:pPr>
        <w:pStyle w:val="2"/>
        <w:rPr>
          <w:rFonts w:hint="eastAsia"/>
          <w:lang w:eastAsia="zh-CN"/>
        </w:rPr>
      </w:pPr>
    </w:p>
    <w:p w14:paraId="1AF8354E">
      <w:pPr>
        <w:rPr>
          <w:rFonts w:hint="eastAsia"/>
        </w:rPr>
      </w:pPr>
    </w:p>
    <w:sectPr>
      <w:footerReference r:id="rId5" w:type="default"/>
      <w:pgSz w:w="11906" w:h="16838"/>
      <w:pgMar w:top="1474" w:right="1474" w:bottom="1474" w:left="1474" w:header="851" w:footer="992" w:gutter="0"/>
      <w:pgNumType w:fmt="decimal" w:start="1"/>
      <w:cols w:space="0" w:num="1"/>
      <w:rtlGutter w:val="0"/>
      <w:docGrid w:type="linesAndChars" w:linePitch="289" w:charSpace="-397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83E8D">
    <w:pPr>
      <w:pStyle w:val="6"/>
      <w:ind w:right="360"/>
      <w:jc w:val="right"/>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8B3C2">
    <w:pPr>
      <w:pStyle w:val="6"/>
      <w:framePr w:wrap="around" w:vAnchor="text" w:hAnchor="margin" w:xAlign="right" w:y="1"/>
      <w:rPr>
        <w:rStyle w:val="11"/>
      </w:rPr>
    </w:pPr>
    <w:r>
      <w:rPr>
        <w:rStyle w:val="11"/>
      </w:rPr>
      <w:fldChar w:fldCharType="begin"/>
    </w:r>
    <w:r>
      <w:rPr>
        <w:rStyle w:val="11"/>
      </w:rPr>
      <w:instrText xml:space="preserve">PAGE  </w:instrText>
    </w:r>
    <w:r>
      <w:rPr>
        <w:rStyle w:val="11"/>
      </w:rPr>
      <w:fldChar w:fldCharType="separate"/>
    </w:r>
    <w:r>
      <w:rPr>
        <w:rStyle w:val="11"/>
        <w:rFonts w:hint="eastAsia"/>
      </w:rPr>
      <w:t>０</w:t>
    </w:r>
    <w:r>
      <w:rPr>
        <w:rStyle w:val="11"/>
      </w:rPr>
      <w:fldChar w:fldCharType="end"/>
    </w:r>
  </w:p>
  <w:p w14:paraId="5553C537">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F439">
    <w:pPr>
      <w:pStyle w:val="6"/>
      <w:ind w:right="36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BD38">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13</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E48BD38">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13</w:t>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95"/>
  <w:drawingGridVerticalSpacing w:val="14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33757"/>
    <w:rsid w:val="00137EF2"/>
    <w:rsid w:val="00144F10"/>
    <w:rsid w:val="004D7AF9"/>
    <w:rsid w:val="00DA44FA"/>
    <w:rsid w:val="00F0083C"/>
    <w:rsid w:val="018F7F52"/>
    <w:rsid w:val="019434E8"/>
    <w:rsid w:val="021B12A1"/>
    <w:rsid w:val="03CA6643"/>
    <w:rsid w:val="04630CA8"/>
    <w:rsid w:val="04E24068"/>
    <w:rsid w:val="053627EB"/>
    <w:rsid w:val="05773E48"/>
    <w:rsid w:val="0578175F"/>
    <w:rsid w:val="05B8082A"/>
    <w:rsid w:val="05FE17A8"/>
    <w:rsid w:val="070A7BED"/>
    <w:rsid w:val="07181283"/>
    <w:rsid w:val="07951656"/>
    <w:rsid w:val="07C7456E"/>
    <w:rsid w:val="088F4362"/>
    <w:rsid w:val="0950202A"/>
    <w:rsid w:val="096F0CF7"/>
    <w:rsid w:val="09ED2B86"/>
    <w:rsid w:val="0B9A77B5"/>
    <w:rsid w:val="0C4D145F"/>
    <w:rsid w:val="0C4E7169"/>
    <w:rsid w:val="0CFB379F"/>
    <w:rsid w:val="0D0329F7"/>
    <w:rsid w:val="0DE6002F"/>
    <w:rsid w:val="0DF94D09"/>
    <w:rsid w:val="0E131923"/>
    <w:rsid w:val="0EB21F6E"/>
    <w:rsid w:val="0EB7536F"/>
    <w:rsid w:val="0EBA52AA"/>
    <w:rsid w:val="0EEC4C6E"/>
    <w:rsid w:val="0EF90B24"/>
    <w:rsid w:val="0EFA116B"/>
    <w:rsid w:val="0F305310"/>
    <w:rsid w:val="0F645A41"/>
    <w:rsid w:val="10D4520D"/>
    <w:rsid w:val="114D03F6"/>
    <w:rsid w:val="115001F4"/>
    <w:rsid w:val="11874BAF"/>
    <w:rsid w:val="118C0F36"/>
    <w:rsid w:val="11C353FF"/>
    <w:rsid w:val="13492135"/>
    <w:rsid w:val="136414A3"/>
    <w:rsid w:val="138544A4"/>
    <w:rsid w:val="1428446B"/>
    <w:rsid w:val="15192A1A"/>
    <w:rsid w:val="15282D55"/>
    <w:rsid w:val="154F41E2"/>
    <w:rsid w:val="1570656C"/>
    <w:rsid w:val="15AA3298"/>
    <w:rsid w:val="15FD46FA"/>
    <w:rsid w:val="167B1A7D"/>
    <w:rsid w:val="16E521C5"/>
    <w:rsid w:val="17643A17"/>
    <w:rsid w:val="17D47448"/>
    <w:rsid w:val="18AA79AA"/>
    <w:rsid w:val="18CF2C16"/>
    <w:rsid w:val="19285CC1"/>
    <w:rsid w:val="198F0860"/>
    <w:rsid w:val="1A3920B9"/>
    <w:rsid w:val="1A5E62DD"/>
    <w:rsid w:val="1AB50B65"/>
    <w:rsid w:val="1C3341D8"/>
    <w:rsid w:val="1CF03DC6"/>
    <w:rsid w:val="1DD6065C"/>
    <w:rsid w:val="1E272ADC"/>
    <w:rsid w:val="1E2A5C0A"/>
    <w:rsid w:val="1E2D475C"/>
    <w:rsid w:val="1F7D7DF3"/>
    <w:rsid w:val="1FB40719"/>
    <w:rsid w:val="20E7501A"/>
    <w:rsid w:val="21247C96"/>
    <w:rsid w:val="2196577D"/>
    <w:rsid w:val="21C93D88"/>
    <w:rsid w:val="21E75CA4"/>
    <w:rsid w:val="22E644B7"/>
    <w:rsid w:val="239B77E5"/>
    <w:rsid w:val="24DF1386"/>
    <w:rsid w:val="25506E65"/>
    <w:rsid w:val="25A12E21"/>
    <w:rsid w:val="25DD73B6"/>
    <w:rsid w:val="263843F5"/>
    <w:rsid w:val="266D2E4E"/>
    <w:rsid w:val="268F7DC3"/>
    <w:rsid w:val="269240DA"/>
    <w:rsid w:val="27464FFC"/>
    <w:rsid w:val="27897762"/>
    <w:rsid w:val="27936DD4"/>
    <w:rsid w:val="27B12559"/>
    <w:rsid w:val="28060FE3"/>
    <w:rsid w:val="282A3D81"/>
    <w:rsid w:val="28310773"/>
    <w:rsid w:val="284072DD"/>
    <w:rsid w:val="28CD45F8"/>
    <w:rsid w:val="290B3807"/>
    <w:rsid w:val="292F3CEB"/>
    <w:rsid w:val="29612808"/>
    <w:rsid w:val="2A090B79"/>
    <w:rsid w:val="2ADF446B"/>
    <w:rsid w:val="2C2C3845"/>
    <w:rsid w:val="2C413C21"/>
    <w:rsid w:val="2CD547AB"/>
    <w:rsid w:val="2CF474E4"/>
    <w:rsid w:val="2D0331A9"/>
    <w:rsid w:val="2E0915D0"/>
    <w:rsid w:val="2E932DB7"/>
    <w:rsid w:val="2F7D5C8D"/>
    <w:rsid w:val="2FA45585"/>
    <w:rsid w:val="31240622"/>
    <w:rsid w:val="316E1148"/>
    <w:rsid w:val="320E635B"/>
    <w:rsid w:val="330B49DE"/>
    <w:rsid w:val="331C6F6C"/>
    <w:rsid w:val="3337565A"/>
    <w:rsid w:val="336E23E8"/>
    <w:rsid w:val="336F56A7"/>
    <w:rsid w:val="33B21971"/>
    <w:rsid w:val="33D84663"/>
    <w:rsid w:val="33F57A49"/>
    <w:rsid w:val="34241E38"/>
    <w:rsid w:val="348417A6"/>
    <w:rsid w:val="35572A0C"/>
    <w:rsid w:val="357E6608"/>
    <w:rsid w:val="35834F44"/>
    <w:rsid w:val="35AB02C2"/>
    <w:rsid w:val="36AB1322"/>
    <w:rsid w:val="36B97A6A"/>
    <w:rsid w:val="36FA397C"/>
    <w:rsid w:val="36FA56CB"/>
    <w:rsid w:val="399A406B"/>
    <w:rsid w:val="39AE42B2"/>
    <w:rsid w:val="39C375A1"/>
    <w:rsid w:val="39C9484E"/>
    <w:rsid w:val="3A0C041B"/>
    <w:rsid w:val="3A221DBF"/>
    <w:rsid w:val="3A744EDA"/>
    <w:rsid w:val="3B0062FB"/>
    <w:rsid w:val="3BD114D1"/>
    <w:rsid w:val="3BEA59E2"/>
    <w:rsid w:val="3C1A1B50"/>
    <w:rsid w:val="3C3E69E7"/>
    <w:rsid w:val="3CBF16A6"/>
    <w:rsid w:val="3D5964C5"/>
    <w:rsid w:val="3D715C76"/>
    <w:rsid w:val="3DAA7ADC"/>
    <w:rsid w:val="3DEA4FD0"/>
    <w:rsid w:val="3DEE3663"/>
    <w:rsid w:val="3E1333D5"/>
    <w:rsid w:val="3E8E5265"/>
    <w:rsid w:val="3FA85216"/>
    <w:rsid w:val="3FAA3211"/>
    <w:rsid w:val="4080773A"/>
    <w:rsid w:val="416D2D5F"/>
    <w:rsid w:val="41CA1F7E"/>
    <w:rsid w:val="4230334A"/>
    <w:rsid w:val="43077C9B"/>
    <w:rsid w:val="436674C0"/>
    <w:rsid w:val="43B628DD"/>
    <w:rsid w:val="446267D6"/>
    <w:rsid w:val="446752AD"/>
    <w:rsid w:val="449D4E66"/>
    <w:rsid w:val="44DF14ED"/>
    <w:rsid w:val="460558E1"/>
    <w:rsid w:val="465E5032"/>
    <w:rsid w:val="47345D3D"/>
    <w:rsid w:val="474764C1"/>
    <w:rsid w:val="47477058"/>
    <w:rsid w:val="47D07921"/>
    <w:rsid w:val="47E30FB0"/>
    <w:rsid w:val="496D32B0"/>
    <w:rsid w:val="498B398C"/>
    <w:rsid w:val="4A516BFC"/>
    <w:rsid w:val="4A637A78"/>
    <w:rsid w:val="4A845203"/>
    <w:rsid w:val="4C1B0230"/>
    <w:rsid w:val="4CB313C1"/>
    <w:rsid w:val="4D5F58B8"/>
    <w:rsid w:val="4E5B6A85"/>
    <w:rsid w:val="4ED06502"/>
    <w:rsid w:val="4F275D25"/>
    <w:rsid w:val="4F642884"/>
    <w:rsid w:val="4F6D6721"/>
    <w:rsid w:val="5011725B"/>
    <w:rsid w:val="502A65B7"/>
    <w:rsid w:val="50597D66"/>
    <w:rsid w:val="50C63BBD"/>
    <w:rsid w:val="50FF005C"/>
    <w:rsid w:val="52B1340D"/>
    <w:rsid w:val="52D635A3"/>
    <w:rsid w:val="53263475"/>
    <w:rsid w:val="53D947D1"/>
    <w:rsid w:val="541F43B2"/>
    <w:rsid w:val="54331AED"/>
    <w:rsid w:val="55030DE7"/>
    <w:rsid w:val="55890A2D"/>
    <w:rsid w:val="55B45AB4"/>
    <w:rsid w:val="55EA0D31"/>
    <w:rsid w:val="561137C9"/>
    <w:rsid w:val="568644C2"/>
    <w:rsid w:val="569F2F8A"/>
    <w:rsid w:val="56AC26B5"/>
    <w:rsid w:val="58932422"/>
    <w:rsid w:val="58FC7227"/>
    <w:rsid w:val="59443B58"/>
    <w:rsid w:val="59C026C1"/>
    <w:rsid w:val="5A117DF6"/>
    <w:rsid w:val="5A761BBB"/>
    <w:rsid w:val="5B7C6EF4"/>
    <w:rsid w:val="5C267DDC"/>
    <w:rsid w:val="5C65083C"/>
    <w:rsid w:val="5CDF5BCE"/>
    <w:rsid w:val="5D9047D6"/>
    <w:rsid w:val="5DBD5687"/>
    <w:rsid w:val="5DF91C06"/>
    <w:rsid w:val="5E7616BD"/>
    <w:rsid w:val="5E8D0654"/>
    <w:rsid w:val="5E9734AF"/>
    <w:rsid w:val="5F4A0485"/>
    <w:rsid w:val="5FB76E78"/>
    <w:rsid w:val="5FC74F13"/>
    <w:rsid w:val="5FDD5234"/>
    <w:rsid w:val="61E46DB5"/>
    <w:rsid w:val="62CB2421"/>
    <w:rsid w:val="630B6583"/>
    <w:rsid w:val="645E64B4"/>
    <w:rsid w:val="646A4C9D"/>
    <w:rsid w:val="64CD6545"/>
    <w:rsid w:val="65BE3070"/>
    <w:rsid w:val="65FF1A0E"/>
    <w:rsid w:val="66427A85"/>
    <w:rsid w:val="677836C0"/>
    <w:rsid w:val="67815A06"/>
    <w:rsid w:val="685C54AA"/>
    <w:rsid w:val="69180397"/>
    <w:rsid w:val="696901E1"/>
    <w:rsid w:val="69B545B4"/>
    <w:rsid w:val="6A945FC8"/>
    <w:rsid w:val="6B923309"/>
    <w:rsid w:val="6B9B48F5"/>
    <w:rsid w:val="6C6B54ED"/>
    <w:rsid w:val="6CA65636"/>
    <w:rsid w:val="6CA846AF"/>
    <w:rsid w:val="6CFE74CC"/>
    <w:rsid w:val="6D5B24AE"/>
    <w:rsid w:val="6E1B2D3F"/>
    <w:rsid w:val="6E733108"/>
    <w:rsid w:val="6E860B67"/>
    <w:rsid w:val="6E9E4240"/>
    <w:rsid w:val="6EDE4C5D"/>
    <w:rsid w:val="6F361BF4"/>
    <w:rsid w:val="6F456195"/>
    <w:rsid w:val="6F817510"/>
    <w:rsid w:val="6F9652AE"/>
    <w:rsid w:val="704809C3"/>
    <w:rsid w:val="70E37C27"/>
    <w:rsid w:val="710548C7"/>
    <w:rsid w:val="71412707"/>
    <w:rsid w:val="7272650A"/>
    <w:rsid w:val="72841A65"/>
    <w:rsid w:val="73203795"/>
    <w:rsid w:val="74785B82"/>
    <w:rsid w:val="754429C9"/>
    <w:rsid w:val="757B11ED"/>
    <w:rsid w:val="75F64A02"/>
    <w:rsid w:val="76737CD0"/>
    <w:rsid w:val="774C72CC"/>
    <w:rsid w:val="780002C4"/>
    <w:rsid w:val="788D3021"/>
    <w:rsid w:val="78D87558"/>
    <w:rsid w:val="78E52C0D"/>
    <w:rsid w:val="79093D95"/>
    <w:rsid w:val="79444F57"/>
    <w:rsid w:val="79574AF2"/>
    <w:rsid w:val="7A2A199E"/>
    <w:rsid w:val="7A8E7387"/>
    <w:rsid w:val="7AC921EF"/>
    <w:rsid w:val="7BB241F2"/>
    <w:rsid w:val="7BF42B42"/>
    <w:rsid w:val="7C0F0A07"/>
    <w:rsid w:val="7D500A82"/>
    <w:rsid w:val="7D513CA3"/>
    <w:rsid w:val="7D7B7AB5"/>
    <w:rsid w:val="7DA66F66"/>
    <w:rsid w:val="7DFF6E6C"/>
    <w:rsid w:val="7E4257DB"/>
    <w:rsid w:val="7FDB5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样式 样式 行距: 1.5 倍行距 + 两端对齐 Char"/>
    <w:basedOn w:val="1"/>
    <w:qFormat/>
    <w:uiPriority w:val="99"/>
    <w:pPr>
      <w:adjustRightInd w:val="0"/>
      <w:snapToGrid w:val="0"/>
      <w:ind w:firstLine="480" w:firstLineChars="200"/>
    </w:pPr>
    <w:rPr>
      <w:rFonts w:ascii="宋体" w:hAnsi="宋体" w:cs="宋体"/>
      <w:sz w:val="24"/>
    </w:rPr>
  </w:style>
  <w:style w:type="paragraph" w:styleId="3">
    <w:name w:val="index 6"/>
    <w:basedOn w:val="1"/>
    <w:next w:val="1"/>
    <w:qFormat/>
    <w:uiPriority w:val="0"/>
    <w:pPr>
      <w:ind w:left="2100"/>
      <w:jc w:val="left"/>
    </w:pPr>
  </w:style>
  <w:style w:type="paragraph" w:styleId="4">
    <w:name w:val="Body Text"/>
    <w:basedOn w:val="1"/>
    <w:next w:val="5"/>
    <w:qFormat/>
    <w:uiPriority w:val="1"/>
    <w:pPr>
      <w:spacing w:before="43"/>
      <w:ind w:left="119"/>
    </w:pPr>
    <w:rPr>
      <w:sz w:val="21"/>
      <w:szCs w:val="21"/>
    </w:rPr>
  </w:style>
  <w:style w:type="paragraph" w:styleId="5">
    <w:name w:val="List Paragraph"/>
    <w:basedOn w:val="1"/>
    <w:next w:val="1"/>
    <w:qFormat/>
    <w:uiPriority w:val="34"/>
    <w:pPr>
      <w:ind w:firstLine="420" w:firstLineChars="200"/>
    </w:pPr>
    <w:rPr>
      <w:rFonts w:ascii="Calibri" w:hAnsi="Calibri"/>
      <w:szCs w:val="22"/>
    </w:rPr>
  </w:style>
  <w:style w:type="paragraph" w:styleId="6">
    <w:name w:val="footer"/>
    <w:basedOn w:val="1"/>
    <w:qFormat/>
    <w:uiPriority w:val="99"/>
    <w:pPr>
      <w:tabs>
        <w:tab w:val="center" w:pos="4153"/>
        <w:tab w:val="right" w:pos="8306"/>
      </w:tabs>
      <w:snapToGrid w:val="0"/>
      <w:jc w:val="left"/>
    </w:pPr>
    <w:rPr>
      <w:rFonts w:ascii="Calibri" w:hAnsi="Calibri"/>
      <w:sz w:val="18"/>
      <w:szCs w:val="18"/>
    </w:rPr>
  </w:style>
  <w:style w:type="paragraph" w:styleId="7">
    <w:name w:val="header"/>
    <w:basedOn w:val="1"/>
    <w:semiHidden/>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8">
    <w:name w:val="Body Text First Indent"/>
    <w:basedOn w:val="4"/>
    <w:next w:val="3"/>
    <w:qFormat/>
    <w:uiPriority w:val="0"/>
    <w:pPr>
      <w:ind w:firstLine="420" w:firstLineChars="100"/>
    </w:pPr>
  </w:style>
  <w:style w:type="character" w:styleId="11">
    <w:name w:val="page number"/>
    <w:basedOn w:val="10"/>
    <w:qFormat/>
    <w:uiPriority w:val="99"/>
    <w:rPr>
      <w:rFonts w:cs="Times New Roman"/>
    </w:rPr>
  </w:style>
  <w:style w:type="paragraph" w:customStyle="1" w:styleId="12">
    <w:name w:val="Blockquote"/>
    <w:basedOn w:val="1"/>
    <w:qFormat/>
    <w:uiPriority w:val="0"/>
    <w:pPr>
      <w:autoSpaceDE w:val="0"/>
      <w:autoSpaceDN w:val="0"/>
      <w:adjustRightInd w:val="0"/>
      <w:spacing w:before="100" w:after="100"/>
      <w:ind w:left="360" w:right="360"/>
      <w:jc w:val="left"/>
    </w:pPr>
    <w:rPr>
      <w:color w:val="auto"/>
      <w:kern w:val="0"/>
      <w:sz w:val="24"/>
    </w:rPr>
  </w:style>
  <w:style w:type="paragraph" w:customStyle="1" w:styleId="13">
    <w:name w:val="正式文本"/>
    <w:basedOn w:val="1"/>
    <w:qFormat/>
    <w:uiPriority w:val="0"/>
    <w:pPr>
      <w:spacing w:line="540" w:lineRule="exact"/>
      <w:ind w:firstLine="200" w:firstLineChars="200"/>
    </w:pPr>
    <w:rPr>
      <w:rFonts w:ascii="宋体" w:hAnsi="Arial Narrow"/>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5884</Words>
  <Characters>6423</Characters>
  <Lines>0</Lines>
  <Paragraphs>0</Paragraphs>
  <TotalTime>0</TotalTime>
  <ScaleCrop>false</ScaleCrop>
  <LinksUpToDate>false</LinksUpToDate>
  <CharactersWithSpaces>6561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2022-01-19T07:38:00Z</dcterms:created>
  <dc:creator>Administrator</dc:creator>
  <cp:lastModifiedBy>云想衣裳花想容</cp:lastModifiedBy>
  <dcterms:modified xsi:type="dcterms:W3CDTF">2026-01-09T01:24:00Z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eyJoZGlkIjoiMzYxNmQ4MGJjZTQ1NTg3NjIxZTc2NmM4YjNkMDRmMGUiLCJ1c2VySWQiOiIyNjY1MjYyMTAifQ==</vt:lpwstr>
  </property>
  <property fmtid="{D5CDD505-2E9C-101B-9397-08002B2CF9AE}" pid="4" name="ICV">
    <vt:lpwstr>02996310617C4930AD4EB58CE6F508CE_12</vt:lpwstr>
  </property>
</Properties>
</file>