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ind w:right="63" w:rightChars="30"/>
        <w:rPr>
          <w:rFonts w:hint="eastAsia" w:ascii="宋体" w:hAnsi="宋体" w:eastAsia="宋体"/>
          <w:sz w:val="28"/>
        </w:rPr>
      </w:pPr>
    </w:p>
    <w:p>
      <w:pPr>
        <w:widowControl/>
        <w:spacing w:line="300" w:lineRule="auto"/>
        <w:ind w:right="63" w:rightChars="30"/>
        <w:rPr>
          <w:rFonts w:hint="eastAsia" w:ascii="宋体" w:hAnsi="宋体" w:eastAsia="宋体"/>
          <w:sz w:val="28"/>
        </w:rPr>
      </w:pPr>
    </w:p>
    <w:p>
      <w:pPr>
        <w:widowControl/>
        <w:spacing w:line="300" w:lineRule="auto"/>
        <w:ind w:right="63" w:rightChars="30"/>
        <w:rPr>
          <w:rFonts w:hint="eastAsia" w:ascii="宋体" w:hAnsi="宋体" w:eastAsia="宋体"/>
          <w:sz w:val="28"/>
        </w:rPr>
      </w:pPr>
    </w:p>
    <w:p>
      <w:pPr>
        <w:pStyle w:val="6"/>
        <w:keepNext w:val="0"/>
        <w:keepLines w:val="0"/>
        <w:widowControl w:val="0"/>
        <w:shd w:val="clear" w:color="auto" w:fill="auto"/>
        <w:bidi w:val="0"/>
        <w:spacing w:before="0" w:after="0" w:line="240" w:lineRule="auto"/>
        <w:ind w:left="0" w:right="0" w:firstLine="0"/>
        <w:jc w:val="center"/>
        <w:rPr>
          <w:rFonts w:hint="eastAsia" w:asciiTheme="majorEastAsia" w:hAnsiTheme="majorEastAsia" w:eastAsiaTheme="majorEastAsia" w:cstheme="majorEastAsia"/>
          <w:b/>
          <w:sz w:val="44"/>
          <w:szCs w:val="44"/>
          <w:lang w:val="en-US" w:eastAsia="zh-CN"/>
        </w:rPr>
      </w:pPr>
    </w:p>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sz w:val="72"/>
        </w:rPr>
      </w:pPr>
      <w:r>
        <w:rPr>
          <w:rFonts w:hint="eastAsia" w:asciiTheme="majorEastAsia" w:hAnsiTheme="majorEastAsia" w:eastAsiaTheme="majorEastAsia" w:cstheme="majorEastAsia"/>
          <w:b/>
          <w:sz w:val="44"/>
          <w:szCs w:val="44"/>
          <w:lang w:val="en-US" w:eastAsia="zh-CN"/>
        </w:rPr>
        <w:t>液压挖掘机</w:t>
      </w:r>
      <w:r>
        <w:rPr>
          <w:rFonts w:hint="eastAsia" w:ascii="宋体" w:hAnsi="宋体" w:eastAsia="宋体"/>
          <w:b/>
          <w:bCs/>
          <w:sz w:val="44"/>
          <w:szCs w:val="44"/>
          <w:lang w:eastAsia="zh-CN"/>
        </w:rPr>
        <w:t>采购</w:t>
      </w:r>
      <w:r>
        <w:rPr>
          <w:rFonts w:hint="eastAsia" w:ascii="宋体" w:hAnsi="宋体" w:eastAsia="宋体"/>
          <w:b/>
          <w:bCs/>
          <w:sz w:val="44"/>
          <w:szCs w:val="44"/>
        </w:rPr>
        <w:t>技术协议</w:t>
      </w:r>
    </w:p>
    <w:p>
      <w:pPr>
        <w:jc w:val="center"/>
        <w:rPr>
          <w:rFonts w:hint="eastAsia" w:ascii="宋体" w:hAnsi="宋体" w:eastAsia="宋体"/>
          <w:sz w:val="72"/>
        </w:rPr>
      </w:pPr>
    </w:p>
    <w:p>
      <w:pPr>
        <w:jc w:val="center"/>
        <w:rPr>
          <w:rFonts w:hint="eastAsia" w:ascii="宋体" w:hAnsi="宋体" w:eastAsia="宋体"/>
          <w:b/>
          <w:sz w:val="72"/>
        </w:rPr>
      </w:pPr>
    </w:p>
    <w:p>
      <w:pPr>
        <w:jc w:val="center"/>
        <w:rPr>
          <w:rFonts w:hint="eastAsia" w:ascii="宋体" w:hAnsi="宋体" w:eastAsia="宋体"/>
          <w:b/>
          <w:sz w:val="72"/>
        </w:rPr>
      </w:pPr>
    </w:p>
    <w:p>
      <w:pPr>
        <w:jc w:val="center"/>
        <w:rPr>
          <w:rFonts w:hint="eastAsia" w:ascii="宋体" w:hAnsi="宋体" w:eastAsia="宋体"/>
          <w:b/>
          <w:sz w:val="72"/>
        </w:rPr>
      </w:pPr>
    </w:p>
    <w:p>
      <w:pPr>
        <w:jc w:val="center"/>
        <w:rPr>
          <w:rFonts w:hint="eastAsia" w:ascii="宋体" w:hAnsi="宋体" w:eastAsia="宋体"/>
          <w:b/>
          <w:sz w:val="72"/>
        </w:rPr>
      </w:pPr>
    </w:p>
    <w:p>
      <w:pPr>
        <w:jc w:val="center"/>
        <w:rPr>
          <w:rFonts w:hint="eastAsia" w:ascii="宋体" w:hAnsi="宋体" w:eastAsia="宋体"/>
          <w:b/>
          <w:sz w:val="72"/>
        </w:rPr>
      </w:pPr>
    </w:p>
    <w:p>
      <w:pPr>
        <w:rPr>
          <w:rFonts w:hint="eastAsia" w:ascii="宋体" w:hAnsi="宋体" w:eastAsia="宋体"/>
          <w:b/>
          <w:sz w:val="28"/>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甲</w:t>
      </w:r>
      <w:r>
        <w:rPr>
          <w:rFonts w:hint="eastAsia" w:ascii="宋体" w:hAnsi="宋体" w:eastAsia="宋体" w:cs="宋体"/>
          <w:b/>
          <w:sz w:val="32"/>
          <w:szCs w:val="32"/>
        </w:rPr>
        <w:t xml:space="preserve">  方</w:t>
      </w:r>
      <w:r>
        <w:rPr>
          <w:rFonts w:hint="eastAsia" w:ascii="宋体" w:hAnsi="宋体" w:eastAsia="宋体" w:cs="宋体"/>
          <w:b/>
          <w:sz w:val="32"/>
          <w:szCs w:val="32"/>
          <w:lang w:eastAsia="zh-CN"/>
        </w:rPr>
        <w:t>（需方）</w:t>
      </w:r>
      <w:r>
        <w:rPr>
          <w:rFonts w:hint="eastAsia" w:ascii="宋体" w:hAnsi="宋体" w:eastAsia="宋体" w:cs="宋体"/>
          <w:b/>
          <w:sz w:val="32"/>
          <w:szCs w:val="32"/>
        </w:rPr>
        <w:t>：甘肃酒钢集团科力耐火材料股份有限公司</w:t>
      </w:r>
    </w:p>
    <w:p>
      <w:pPr>
        <w:spacing w:line="360" w:lineRule="auto"/>
        <w:ind w:firstLine="321" w:firstLineChars="100"/>
        <w:jc w:val="both"/>
        <w:rPr>
          <w:rFonts w:hint="eastAsia" w:ascii="宋体" w:hAnsi="宋体" w:eastAsia="宋体" w:cs="宋体"/>
          <w:b/>
          <w:sz w:val="32"/>
          <w:szCs w:val="32"/>
          <w:lang w:eastAsia="zh-CN"/>
        </w:rPr>
      </w:pPr>
    </w:p>
    <w:p>
      <w:pPr>
        <w:spacing w:line="360" w:lineRule="auto"/>
        <w:jc w:val="both"/>
        <w:rPr>
          <w:rFonts w:hint="eastAsia" w:ascii="宋体" w:hAnsi="宋体" w:eastAsia="宋体" w:cs="宋体"/>
          <w:b/>
          <w:sz w:val="32"/>
          <w:szCs w:val="32"/>
        </w:rPr>
      </w:pPr>
      <w:r>
        <w:rPr>
          <w:rFonts w:hint="eastAsia" w:ascii="宋体" w:hAnsi="宋体" w:eastAsia="宋体" w:cs="宋体"/>
          <w:b/>
          <w:sz w:val="32"/>
          <w:szCs w:val="32"/>
          <w:lang w:eastAsia="zh-CN"/>
        </w:rPr>
        <w:t>乙</w:t>
      </w:r>
      <w:r>
        <w:rPr>
          <w:rFonts w:hint="eastAsia" w:ascii="宋体" w:hAnsi="宋体" w:eastAsia="宋体" w:cs="宋体"/>
          <w:b/>
          <w:sz w:val="32"/>
          <w:szCs w:val="32"/>
        </w:rPr>
        <w:t xml:space="preserve">  方</w:t>
      </w:r>
      <w:r>
        <w:rPr>
          <w:rFonts w:hint="eastAsia" w:ascii="宋体" w:hAnsi="宋体" w:eastAsia="宋体" w:cs="宋体"/>
          <w:b/>
          <w:sz w:val="32"/>
          <w:szCs w:val="32"/>
          <w:lang w:eastAsia="zh-CN"/>
        </w:rPr>
        <w:t>（供方）</w:t>
      </w:r>
      <w:r>
        <w:rPr>
          <w:rFonts w:hint="eastAsia" w:ascii="宋体" w:hAnsi="宋体" w:eastAsia="宋体" w:cs="宋体"/>
          <w:b/>
          <w:sz w:val="32"/>
          <w:szCs w:val="32"/>
        </w:rPr>
        <w:t>：</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年    月   日</w:t>
      </w:r>
    </w:p>
    <w:p>
      <w:pPr>
        <w:snapToGrid w:val="0"/>
        <w:spacing w:line="360" w:lineRule="auto"/>
        <w:ind w:right="-15"/>
        <w:rPr>
          <w:rFonts w:hint="eastAsia" w:ascii="仿宋_GB2312" w:hAnsi="宋体" w:eastAsia="仿宋_GB2312"/>
          <w:sz w:val="28"/>
          <w:szCs w:val="28"/>
        </w:rPr>
      </w:pPr>
    </w:p>
    <w:p>
      <w:pPr>
        <w:snapToGrid w:val="0"/>
        <w:spacing w:line="360" w:lineRule="auto"/>
        <w:ind w:right="-15"/>
        <w:rPr>
          <w:rFonts w:hint="eastAsia" w:ascii="仿宋_GB2312" w:hAnsi="宋体" w:eastAsia="仿宋_GB2312"/>
          <w:sz w:val="28"/>
          <w:szCs w:val="28"/>
        </w:rPr>
      </w:pPr>
    </w:p>
    <w:p>
      <w:pPr>
        <w:keepNext w:val="0"/>
        <w:keepLines w:val="0"/>
        <w:pageBreakBefore w:val="0"/>
        <w:widowControl w:val="0"/>
        <w:tabs>
          <w:tab w:val="left" w:pos="1080"/>
        </w:tabs>
        <w:kinsoku/>
        <w:wordWrap/>
        <w:overflowPunct/>
        <w:topLinePunct w:val="0"/>
        <w:autoSpaceDE/>
        <w:autoSpaceDN/>
        <w:bidi w:val="0"/>
        <w:spacing w:line="360" w:lineRule="auto"/>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买</w:t>
      </w:r>
      <w:r>
        <w:rPr>
          <w:rFonts w:hint="eastAsia" w:ascii="宋体" w:hAnsi="宋体" w:eastAsia="宋体" w:cs="宋体"/>
          <w:color w:val="auto"/>
          <w:sz w:val="28"/>
          <w:szCs w:val="28"/>
        </w:rPr>
        <w:t>方：甘肃酒钢集团科力耐火材料股份有限公司</w:t>
      </w:r>
    </w:p>
    <w:p>
      <w:pPr>
        <w:keepNext w:val="0"/>
        <w:keepLines w:val="0"/>
        <w:pageBreakBefore w:val="0"/>
        <w:widowControl w:val="0"/>
        <w:tabs>
          <w:tab w:val="left" w:pos="1080"/>
        </w:tabs>
        <w:kinsoku/>
        <w:wordWrap/>
        <w:overflowPunct/>
        <w:topLinePunct w:val="0"/>
        <w:autoSpaceDE/>
        <w:autoSpaceDN/>
        <w:bidi w:val="0"/>
        <w:spacing w:line="360" w:lineRule="auto"/>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卖</w:t>
      </w:r>
      <w:r>
        <w:rPr>
          <w:rFonts w:hint="eastAsia" w:ascii="宋体" w:hAnsi="宋体" w:eastAsia="宋体" w:cs="宋体"/>
          <w:color w:val="auto"/>
          <w:sz w:val="28"/>
          <w:szCs w:val="28"/>
        </w:rPr>
        <w:t>方：</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sz w:val="28"/>
          <w:szCs w:val="28"/>
        </w:rPr>
      </w:pPr>
      <w:r>
        <w:rPr>
          <w:rFonts w:hint="eastAsia" w:ascii="宋体" w:hAnsi="宋体" w:eastAsia="宋体" w:cs="宋体"/>
          <w:color w:val="auto"/>
          <w:sz w:val="28"/>
          <w:szCs w:val="28"/>
        </w:rPr>
        <w:t>依据《中华人民共和国合同法》和其他有关法律、法规的规定，双方就</w:t>
      </w:r>
      <w:r>
        <w:rPr>
          <w:rFonts w:hint="eastAsia" w:ascii="宋体" w:hAnsi="宋体" w:eastAsia="宋体" w:cs="宋体"/>
          <w:color w:val="auto"/>
          <w:sz w:val="28"/>
          <w:szCs w:val="28"/>
          <w:lang w:eastAsia="zh-CN"/>
        </w:rPr>
        <w:t>买方采购卖方履带式液压挖掘机业务事项</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本着公平、合理的原则，</w:t>
      </w:r>
      <w:r>
        <w:rPr>
          <w:rFonts w:hint="eastAsia" w:ascii="宋体" w:hAnsi="宋体" w:eastAsia="宋体" w:cs="宋体"/>
          <w:color w:val="auto"/>
          <w:sz w:val="28"/>
          <w:szCs w:val="28"/>
        </w:rPr>
        <w:t>经协商一致，达成以下协议：</w:t>
      </w:r>
    </w:p>
    <w:p>
      <w:pPr>
        <w:keepNext w:val="0"/>
        <w:keepLines w:val="0"/>
        <w:pageBreakBefore w:val="0"/>
        <w:kinsoku/>
        <w:wordWrap/>
        <w:overflowPunct/>
        <w:topLinePunct w:val="0"/>
        <w:autoSpaceDE/>
        <w:autoSpaceDN/>
        <w:bidi w:val="0"/>
        <w:adjustRightInd/>
        <w:spacing w:line="500" w:lineRule="exact"/>
        <w:rPr>
          <w:rFonts w:hint="eastAsia" w:ascii="宋体" w:hAnsi="宋体" w:eastAsia="宋体" w:cs="宋体"/>
          <w:b/>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总则</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本技术协议作为双方合同的附件，与合同具有同等法律效力。合同执行期间双方再协商形成的补充协议和追加条款也具有同等法律效力。</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本技术协议所提出的是最低标准的技术要求，并未对一切技术细节做出规定，也未充分引述有关标准和规范的条文，</w:t>
      </w:r>
      <w:r>
        <w:rPr>
          <w:rFonts w:hint="eastAsia" w:ascii="宋体" w:hAnsi="宋体" w:eastAsia="宋体" w:cs="宋体"/>
          <w:color w:val="auto"/>
          <w:sz w:val="28"/>
          <w:szCs w:val="28"/>
          <w:lang w:eastAsia="zh-CN"/>
        </w:rPr>
        <w:t>卖方</w:t>
      </w:r>
      <w:r>
        <w:rPr>
          <w:rFonts w:hint="eastAsia" w:ascii="宋体" w:hAnsi="宋体" w:eastAsia="宋体" w:cs="宋体"/>
          <w:color w:val="auto"/>
          <w:sz w:val="28"/>
          <w:szCs w:val="28"/>
        </w:rPr>
        <w:t>应保证提供符合有关标准和技术文件的优质产品和服务。</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卖方</w:t>
      </w:r>
      <w:r>
        <w:rPr>
          <w:rFonts w:hint="eastAsia" w:ascii="宋体" w:hAnsi="宋体" w:eastAsia="宋体" w:cs="宋体"/>
          <w:color w:val="auto"/>
          <w:sz w:val="28"/>
          <w:szCs w:val="28"/>
        </w:rPr>
        <w:t>提供的设备必须具有国内同行业近几年内的先进制造水平，采用先进工艺，合格材料，成熟的技术或专利技术。</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卖方</w:t>
      </w:r>
      <w:r>
        <w:rPr>
          <w:rFonts w:hint="eastAsia" w:ascii="宋体" w:hAnsi="宋体" w:eastAsia="宋体" w:cs="宋体"/>
          <w:color w:val="auto"/>
          <w:sz w:val="28"/>
          <w:szCs w:val="28"/>
        </w:rPr>
        <w:t>提供的设备必须是全新、规范、先进的高质量可靠产品，能够确保连续稳定的工作。</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卖方</w:t>
      </w:r>
      <w:r>
        <w:rPr>
          <w:rFonts w:hint="eastAsia" w:ascii="宋体" w:hAnsi="宋体" w:eastAsia="宋体" w:cs="宋体"/>
          <w:color w:val="auto"/>
          <w:sz w:val="28"/>
          <w:szCs w:val="28"/>
        </w:rPr>
        <w:t>提供货物的制造，材料的选择，都应按照国内外通用的现行标准和相应的技术规范执行，而这些标准和技术规范应为合同签字日为止最新公布发问的标准和技术规范。</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卖方</w:t>
      </w:r>
      <w:r>
        <w:rPr>
          <w:rFonts w:hint="eastAsia" w:ascii="宋体" w:hAnsi="宋体" w:eastAsia="宋体" w:cs="宋体"/>
          <w:color w:val="auto"/>
          <w:sz w:val="28"/>
          <w:szCs w:val="28"/>
        </w:rPr>
        <w:t>须对本设备的设计完整性、合理性和设计质量承担全部责任。</w:t>
      </w:r>
      <w:r>
        <w:rPr>
          <w:rFonts w:hint="eastAsia" w:ascii="宋体" w:hAnsi="宋体" w:eastAsia="宋体" w:cs="宋体"/>
          <w:color w:val="auto"/>
          <w:sz w:val="28"/>
          <w:szCs w:val="28"/>
          <w:lang w:eastAsia="zh-CN"/>
        </w:rPr>
        <w:t>卖方</w:t>
      </w:r>
      <w:r>
        <w:rPr>
          <w:rFonts w:hint="eastAsia" w:ascii="宋体" w:hAnsi="宋体" w:eastAsia="宋体" w:cs="宋体"/>
          <w:color w:val="auto"/>
          <w:sz w:val="28"/>
          <w:szCs w:val="28"/>
        </w:rPr>
        <w:t>在合同货物制造中，发生侵犯专利的行为时其侵权责任与</w:t>
      </w:r>
      <w:r>
        <w:rPr>
          <w:rFonts w:hint="eastAsia" w:ascii="宋体" w:hAnsi="宋体" w:eastAsia="宋体" w:cs="宋体"/>
          <w:color w:val="auto"/>
          <w:sz w:val="28"/>
          <w:szCs w:val="28"/>
          <w:lang w:eastAsia="zh-CN"/>
        </w:rPr>
        <w:t>买方</w:t>
      </w:r>
      <w:r>
        <w:rPr>
          <w:rFonts w:hint="eastAsia" w:ascii="宋体" w:hAnsi="宋体" w:eastAsia="宋体" w:cs="宋体"/>
          <w:color w:val="auto"/>
          <w:sz w:val="28"/>
          <w:szCs w:val="28"/>
        </w:rPr>
        <w:t>无关。</w:t>
      </w:r>
    </w:p>
    <w:p>
      <w:pPr>
        <w:keepNext w:val="0"/>
        <w:keepLines w:val="0"/>
        <w:pageBreakBefore w:val="0"/>
        <w:widowControl w:val="0"/>
        <w:numPr>
          <w:ilvl w:val="0"/>
          <w:numId w:val="0"/>
        </w:numPr>
        <w:tabs>
          <w:tab w:val="left" w:pos="540"/>
          <w:tab w:val="left" w:pos="720"/>
          <w:tab w:val="left" w:pos="1080"/>
        </w:tabs>
        <w:kinsoku/>
        <w:wordWrap/>
        <w:overflowPunct/>
        <w:topLinePunct w:val="0"/>
        <w:autoSpaceDE/>
        <w:autoSpaceDN/>
        <w:bidi w:val="0"/>
        <w:adjustRightInd/>
        <w:spacing w:line="500" w:lineRule="exact"/>
        <w:jc w:val="left"/>
        <w:rPr>
          <w:rFonts w:hint="eastAsia" w:ascii="宋体" w:hAnsi="宋体" w:eastAsia="宋体" w:cs="宋体"/>
          <w:b/>
          <w:bCs/>
          <w:color w:val="auto"/>
          <w:sz w:val="28"/>
          <w:szCs w:val="28"/>
          <w:lang w:eastAsia="zh-CN"/>
        </w:rPr>
      </w:pPr>
      <w:r>
        <w:rPr>
          <w:rFonts w:hint="eastAsia" w:ascii="宋体" w:hAnsi="宋体" w:eastAsia="宋体" w:cs="宋体"/>
          <w:b/>
          <w:bCs/>
          <w:sz w:val="28"/>
          <w:szCs w:val="28"/>
          <w:lang w:eastAsia="zh-CN"/>
        </w:rPr>
        <w:t>二、车辆</w:t>
      </w:r>
      <w:r>
        <w:rPr>
          <w:rFonts w:hint="eastAsia" w:ascii="宋体" w:hAnsi="宋体" w:eastAsia="宋体" w:cs="宋体"/>
          <w:b/>
          <w:bCs/>
          <w:sz w:val="28"/>
          <w:szCs w:val="28"/>
        </w:rPr>
        <w:t>的</w:t>
      </w:r>
      <w:r>
        <w:rPr>
          <w:rFonts w:hint="eastAsia" w:ascii="宋体" w:hAnsi="宋体" w:eastAsia="宋体" w:cs="宋体"/>
          <w:b/>
          <w:bCs/>
          <w:sz w:val="28"/>
          <w:szCs w:val="28"/>
          <w:lang w:eastAsia="zh-CN"/>
        </w:rPr>
        <w:t>主</w:t>
      </w:r>
      <w:r>
        <w:rPr>
          <w:rFonts w:hint="eastAsia" w:ascii="宋体" w:hAnsi="宋体" w:eastAsia="宋体" w:cs="宋体"/>
          <w:b/>
          <w:bCs/>
          <w:sz w:val="28"/>
          <w:szCs w:val="28"/>
        </w:rPr>
        <w:t>要技术参数：</w:t>
      </w:r>
    </w:p>
    <w:tbl>
      <w:tblPr>
        <w:tblStyle w:val="4"/>
        <w:tblW w:w="900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617"/>
        <w:gridCol w:w="1916"/>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17" w:type="dxa"/>
            <w:noWrap w:val="0"/>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车辆名称</w:t>
            </w:r>
          </w:p>
        </w:tc>
        <w:tc>
          <w:tcPr>
            <w:tcW w:w="261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sz w:val="24"/>
                <w:szCs w:val="24"/>
                <w:lang w:eastAsia="zh-CN"/>
              </w:rPr>
              <w:t>履带式液压挖掘机</w:t>
            </w:r>
          </w:p>
        </w:tc>
        <w:tc>
          <w:tcPr>
            <w:tcW w:w="1916"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操作方式</w:t>
            </w:r>
          </w:p>
        </w:tc>
        <w:tc>
          <w:tcPr>
            <w:tcW w:w="2559"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座驾式（带驾驶室）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17" w:type="dxa"/>
            <w:noWrap w:val="0"/>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推荐品牌型号</w:t>
            </w:r>
          </w:p>
        </w:tc>
        <w:tc>
          <w:tcPr>
            <w:tcW w:w="2617"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both"/>
              <w:textAlignment w:val="baseline"/>
              <w:rPr>
                <w:rFonts w:hint="default" w:ascii="仿宋" w:hAnsi="仿宋" w:eastAsia="仿宋" w:cs="仿宋"/>
                <w:color w:val="auto"/>
                <w:kern w:val="0"/>
                <w:sz w:val="24"/>
                <w:szCs w:val="24"/>
                <w:lang w:val="en-US" w:eastAsia="zh-CN"/>
              </w:rPr>
            </w:pPr>
            <w:r>
              <w:rPr>
                <w:rFonts w:hint="eastAsia" w:ascii="仿宋" w:hAnsi="仿宋" w:eastAsia="仿宋" w:cs="仿宋"/>
                <w:b w:val="0"/>
                <w:color w:val="auto"/>
                <w:kern w:val="0"/>
                <w:sz w:val="21"/>
                <w:szCs w:val="21"/>
                <w:u w:val="none"/>
                <w:shd w:val="clear" w:color="auto" w:fill="auto"/>
                <w:lang w:val="en-US" w:eastAsia="zh-CN" w:bidi="ar-SA"/>
              </w:rPr>
              <w:t>沃尔沃EC140BLC/日立ZX170LC-5A/卡特彼勒313D2GC/小松PC160LC-8/斗山DX150LC-9C/</w:t>
            </w:r>
          </w:p>
        </w:tc>
        <w:tc>
          <w:tcPr>
            <w:tcW w:w="1916" w:type="dxa"/>
            <w:noWrap w:val="0"/>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工作重量</w:t>
            </w:r>
          </w:p>
        </w:tc>
        <w:tc>
          <w:tcPr>
            <w:tcW w:w="2559" w:type="dxa"/>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pacing w:val="0"/>
                <w:w w:val="100"/>
                <w:position w:val="0"/>
                <w:sz w:val="24"/>
                <w:szCs w:val="24"/>
                <w:lang w:val="en-US" w:eastAsia="zh-CN"/>
              </w:rPr>
              <w:t>14100</w:t>
            </w:r>
            <w:r>
              <w:rPr>
                <w:rFonts w:hint="eastAsia" w:ascii="仿宋" w:hAnsi="仿宋" w:eastAsia="仿宋" w:cs="仿宋"/>
                <w:color w:val="auto"/>
                <w:kern w:val="0"/>
                <w:sz w:val="24"/>
                <w:szCs w:val="24"/>
                <w:lang w:val="en-US" w:eastAsia="zh-CN"/>
              </w:rPr>
              <w:t>kg</w:t>
            </w:r>
            <w:r>
              <w:rPr>
                <w:rFonts w:hint="default"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lang w:val="en-US" w:eastAsia="zh-CN"/>
              </w:rPr>
              <w:t>150</w:t>
            </w:r>
            <w:r>
              <w:rPr>
                <w:rFonts w:hint="default" w:ascii="Times New Roman" w:hAnsi="Times New Roman" w:eastAsia="宋体" w:cs="Times New Roman"/>
                <w:kern w:val="0"/>
                <w:sz w:val="24"/>
                <w:szCs w:val="24"/>
                <w:lang w:val="en-US" w:eastAsia="zh-CN"/>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17" w:type="dxa"/>
            <w:noWrap w:val="0"/>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铲斗容积</w:t>
            </w:r>
          </w:p>
        </w:tc>
        <w:tc>
          <w:tcPr>
            <w:tcW w:w="2617" w:type="dxa"/>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none"/>
                <w:shd w:val="clear" w:color="auto" w:fill="auto"/>
                <w:lang w:val="en-US" w:eastAsia="zh-CN" w:bidi="ar-SA"/>
              </w:rPr>
              <w:t>0.28</w:t>
            </w:r>
            <w:r>
              <w:rPr>
                <w:rFonts w:hint="eastAsia" w:ascii="仿宋" w:hAnsi="仿宋" w:eastAsia="仿宋" w:cs="仿宋"/>
                <w:i w:val="0"/>
                <w:caps w:val="0"/>
                <w:color w:val="464646"/>
                <w:spacing w:val="0"/>
                <w:sz w:val="24"/>
                <w:szCs w:val="24"/>
                <w:shd w:val="clear" w:color="auto" w:fill="FFFFFF"/>
                <w:vertAlign w:val="baseline"/>
                <w:lang w:val="en-US" w:eastAsia="zh-CN"/>
              </w:rPr>
              <w:t>~</w:t>
            </w:r>
            <w:r>
              <w:rPr>
                <w:rFonts w:hint="eastAsia" w:ascii="仿宋" w:hAnsi="仿宋" w:eastAsia="仿宋" w:cs="仿宋"/>
                <w:color w:val="auto"/>
                <w:kern w:val="0"/>
                <w:sz w:val="24"/>
                <w:szCs w:val="24"/>
                <w:u w:val="none"/>
                <w:shd w:val="clear" w:color="auto" w:fill="auto"/>
                <w:lang w:val="en-US" w:eastAsia="zh-CN" w:bidi="ar-SA"/>
              </w:rPr>
              <w:t>0.75M3</w:t>
            </w:r>
          </w:p>
        </w:tc>
        <w:tc>
          <w:tcPr>
            <w:tcW w:w="1916" w:type="dxa"/>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动力形式</w:t>
            </w:r>
          </w:p>
        </w:tc>
        <w:tc>
          <w:tcPr>
            <w:tcW w:w="2559" w:type="dxa"/>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柴油内燃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1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总</w:t>
            </w:r>
            <w:r>
              <w:rPr>
                <w:rFonts w:hint="eastAsia" w:ascii="仿宋" w:hAnsi="仿宋" w:eastAsia="仿宋" w:cs="仿宋"/>
                <w:kern w:val="0"/>
                <w:sz w:val="24"/>
                <w:szCs w:val="24"/>
              </w:rPr>
              <w:t>功率</w:t>
            </w:r>
          </w:p>
        </w:tc>
        <w:tc>
          <w:tcPr>
            <w:tcW w:w="2617" w:type="dxa"/>
            <w:noWrap w:val="0"/>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74</w:t>
            </w:r>
            <w:r>
              <w:rPr>
                <w:rFonts w:hint="eastAsia" w:ascii="仿宋" w:hAnsi="仿宋" w:eastAsia="仿宋" w:cs="仿宋"/>
                <w:color w:val="auto"/>
                <w:kern w:val="0"/>
                <w:sz w:val="24"/>
                <w:szCs w:val="24"/>
              </w:rPr>
              <w:t>kw</w:t>
            </w:r>
            <w:r>
              <w:rPr>
                <w:rFonts w:hint="eastAsia" w:ascii="仿宋" w:hAnsi="仿宋" w:eastAsia="仿宋" w:cs="仿宋"/>
                <w:i w:val="0"/>
                <w:caps w:val="0"/>
                <w:color w:val="464646"/>
                <w:spacing w:val="0"/>
                <w:sz w:val="24"/>
                <w:szCs w:val="24"/>
                <w:shd w:val="clear" w:color="auto" w:fill="FFFFFF"/>
                <w:vertAlign w:val="baseline"/>
                <w:lang w:val="en-US" w:eastAsia="zh-CN"/>
              </w:rPr>
              <w:t>~</w:t>
            </w:r>
            <w:r>
              <w:rPr>
                <w:rFonts w:hint="eastAsia" w:ascii="仿宋" w:hAnsi="仿宋" w:eastAsia="仿宋" w:cs="仿宋"/>
                <w:kern w:val="0"/>
                <w:sz w:val="24"/>
                <w:szCs w:val="24"/>
                <w:lang w:val="en-US" w:eastAsia="zh-CN"/>
              </w:rPr>
              <w:t>78</w:t>
            </w:r>
            <w:r>
              <w:rPr>
                <w:rFonts w:hint="eastAsia" w:ascii="仿宋" w:hAnsi="仿宋" w:eastAsia="仿宋" w:cs="仿宋"/>
                <w:kern w:val="0"/>
                <w:sz w:val="24"/>
                <w:szCs w:val="24"/>
              </w:rPr>
              <w:t>kw</w:t>
            </w:r>
          </w:p>
        </w:tc>
        <w:tc>
          <w:tcPr>
            <w:tcW w:w="1916" w:type="dxa"/>
            <w:noWrap w:val="0"/>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kern w:val="0"/>
                <w:sz w:val="24"/>
                <w:szCs w:val="24"/>
              </w:rPr>
              <w:t>额定转速</w:t>
            </w:r>
          </w:p>
        </w:tc>
        <w:tc>
          <w:tcPr>
            <w:tcW w:w="2559" w:type="dxa"/>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kern w:val="0"/>
                <w:sz w:val="24"/>
                <w:szCs w:val="24"/>
                <w:lang w:val="en-US" w:eastAsia="zh-CN"/>
              </w:rPr>
              <w:t>1900</w:t>
            </w:r>
            <w:r>
              <w:rPr>
                <w:rFonts w:hint="default"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lang w:val="en-US" w:eastAsia="zh-CN"/>
              </w:rPr>
              <w:t>0</w:t>
            </w:r>
            <w:r>
              <w:rPr>
                <w:rFonts w:hint="default" w:ascii="Times New Roman" w:hAnsi="Times New Roman" w:eastAsia="宋体" w:cs="Times New Roman"/>
                <w:kern w:val="0"/>
                <w:sz w:val="24"/>
                <w:szCs w:val="24"/>
                <w:lang w:val="en-US" w:eastAsia="zh-CN"/>
              </w:rPr>
              <w:t>00</w:t>
            </w:r>
            <w:r>
              <w:rPr>
                <w:rFonts w:hint="default" w:ascii="Times New Roman" w:hAnsi="Times New Roman" w:eastAsia="宋体" w:cs="Times New Roman"/>
                <w:kern w:val="0"/>
                <w:sz w:val="24"/>
                <w:szCs w:val="24"/>
              </w:rPr>
              <w:t>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17" w:type="dxa"/>
            <w:noWrap w:val="0"/>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color w:val="000000"/>
                <w:spacing w:val="0"/>
                <w:w w:val="100"/>
                <w:position w:val="0"/>
                <w:sz w:val="24"/>
                <w:szCs w:val="24"/>
              </w:rPr>
              <w:t>最大挖掘深度</w:t>
            </w:r>
          </w:p>
        </w:tc>
        <w:tc>
          <w:tcPr>
            <w:tcW w:w="2617" w:type="dxa"/>
            <w:noWrap w:val="0"/>
            <w:vAlign w:val="center"/>
          </w:tcPr>
          <w:p>
            <w:pPr>
              <w:widowControl/>
              <w:jc w:val="center"/>
              <w:rPr>
                <w:rFonts w:hint="eastAsia" w:ascii="仿宋" w:hAnsi="仿宋" w:eastAsia="仿宋" w:cs="仿宋"/>
                <w:color w:val="auto"/>
                <w:kern w:val="0"/>
                <w:sz w:val="24"/>
                <w:szCs w:val="24"/>
              </w:rPr>
            </w:pPr>
            <w:r>
              <w:rPr>
                <w:rFonts w:hint="default" w:ascii="Times New Roman" w:hAnsi="Times New Roman" w:eastAsia="宋体" w:cs="Times New Roman"/>
                <w:i w:val="0"/>
                <w:caps w:val="0"/>
                <w:color w:val="464646"/>
                <w:spacing w:val="0"/>
                <w:sz w:val="24"/>
                <w:szCs w:val="24"/>
                <w:shd w:val="clear" w:color="auto" w:fill="FFFFFF"/>
                <w:vertAlign w:val="baseline"/>
                <w:lang w:eastAsia="zh-CN"/>
              </w:rPr>
              <w:t>≥</w:t>
            </w:r>
            <w:r>
              <w:rPr>
                <w:rFonts w:hint="eastAsia" w:ascii="仿宋" w:hAnsi="仿宋" w:eastAsia="仿宋" w:cs="仿宋"/>
                <w:color w:val="auto"/>
                <w:spacing w:val="0"/>
                <w:w w:val="100"/>
                <w:position w:val="0"/>
                <w:sz w:val="24"/>
                <w:szCs w:val="24"/>
                <w:lang w:val="en-US" w:eastAsia="zh-CN" w:bidi="en-US"/>
              </w:rPr>
              <w:t>5625</w:t>
            </w:r>
            <w:r>
              <w:rPr>
                <w:rFonts w:hint="eastAsia" w:ascii="仿宋" w:hAnsi="仿宋" w:eastAsia="仿宋" w:cs="仿宋"/>
                <w:color w:val="auto"/>
                <w:kern w:val="0"/>
                <w:sz w:val="24"/>
                <w:szCs w:val="24"/>
              </w:rPr>
              <w:t>mm</w:t>
            </w:r>
          </w:p>
        </w:tc>
        <w:tc>
          <w:tcPr>
            <w:tcW w:w="1916" w:type="dxa"/>
            <w:noWrap w:val="0"/>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spacing w:val="0"/>
                <w:w w:val="100"/>
                <w:position w:val="0"/>
                <w:sz w:val="24"/>
                <w:szCs w:val="24"/>
              </w:rPr>
              <w:t>总高度（运输时）</w:t>
            </w:r>
          </w:p>
        </w:tc>
        <w:tc>
          <w:tcPr>
            <w:tcW w:w="2559" w:type="dxa"/>
            <w:noWrap w:val="0"/>
            <w:vAlign w:val="center"/>
          </w:tcPr>
          <w:p>
            <w:pPr>
              <w:widowControl/>
              <w:jc w:val="center"/>
              <w:rPr>
                <w:rFonts w:hint="eastAsia" w:ascii="仿宋" w:hAnsi="仿宋" w:eastAsia="仿宋" w:cs="仿宋"/>
                <w:color w:val="auto"/>
                <w:kern w:val="0"/>
                <w:sz w:val="24"/>
                <w:szCs w:val="24"/>
                <w:lang w:val="en-US" w:eastAsia="zh-CN"/>
              </w:rPr>
            </w:pPr>
            <w:r>
              <w:rPr>
                <w:rFonts w:hint="eastAsia" w:ascii="Times New Roman" w:hAnsi="Times New Roman" w:eastAsia="宋体" w:cs="Times New Roman"/>
                <w:i w:val="0"/>
                <w:caps w:val="0"/>
                <w:color w:val="464646"/>
                <w:spacing w:val="0"/>
                <w:sz w:val="24"/>
                <w:szCs w:val="24"/>
                <w:shd w:val="clear" w:color="auto" w:fill="FFFFFF"/>
                <w:vertAlign w:val="baseline"/>
                <w:lang w:eastAsia="zh-CN"/>
              </w:rPr>
              <w:t>≤</w:t>
            </w:r>
            <w:r>
              <w:rPr>
                <w:rFonts w:hint="eastAsia" w:ascii="仿宋" w:hAnsi="仿宋" w:eastAsia="仿宋" w:cs="仿宋"/>
                <w:color w:val="auto"/>
                <w:spacing w:val="0"/>
                <w:w w:val="100"/>
                <w:position w:val="0"/>
                <w:sz w:val="24"/>
                <w:szCs w:val="24"/>
                <w:lang w:val="en-US" w:eastAsia="zh-CN" w:bidi="en-US"/>
              </w:rPr>
              <w:t>2773</w:t>
            </w:r>
            <w:r>
              <w:rPr>
                <w:rFonts w:hint="eastAsia" w:ascii="仿宋" w:hAnsi="仿宋" w:eastAsia="仿宋" w:cs="仿宋"/>
                <w:color w:val="auto"/>
                <w:kern w:val="0"/>
                <w:sz w:val="24"/>
                <w:szCs w:val="24"/>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1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最大挖掘高度</w:t>
            </w:r>
          </w:p>
        </w:tc>
        <w:tc>
          <w:tcPr>
            <w:tcW w:w="2617" w:type="dxa"/>
            <w:noWrap w:val="0"/>
            <w:vAlign w:val="center"/>
          </w:tcPr>
          <w:p>
            <w:pPr>
              <w:widowControl/>
              <w:jc w:val="center"/>
              <w:rPr>
                <w:rFonts w:hint="eastAsia" w:ascii="仿宋" w:hAnsi="仿宋" w:eastAsia="仿宋" w:cs="仿宋"/>
                <w:color w:val="auto"/>
                <w:kern w:val="0"/>
                <w:sz w:val="24"/>
                <w:szCs w:val="24"/>
                <w:lang w:val="en-US" w:eastAsia="zh-CN"/>
              </w:rPr>
            </w:pPr>
            <w:r>
              <w:rPr>
                <w:rFonts w:hint="default" w:ascii="Times New Roman" w:hAnsi="Times New Roman" w:eastAsia="宋体" w:cs="Times New Roman"/>
                <w:i w:val="0"/>
                <w:caps w:val="0"/>
                <w:color w:val="464646"/>
                <w:spacing w:val="0"/>
                <w:sz w:val="24"/>
                <w:szCs w:val="24"/>
                <w:shd w:val="clear" w:color="auto" w:fill="FFFFFF"/>
                <w:vertAlign w:val="baseline"/>
                <w:lang w:eastAsia="zh-CN"/>
              </w:rPr>
              <w:t>≥</w:t>
            </w:r>
            <w:r>
              <w:rPr>
                <w:rFonts w:hint="eastAsia" w:ascii="仿宋" w:hAnsi="仿宋" w:eastAsia="仿宋" w:cs="仿宋"/>
                <w:color w:val="auto"/>
                <w:kern w:val="0"/>
                <w:sz w:val="24"/>
                <w:szCs w:val="24"/>
                <w:lang w:val="en-US" w:eastAsia="zh-CN"/>
              </w:rPr>
              <w:t>8750</w:t>
            </w:r>
            <w:r>
              <w:rPr>
                <w:rFonts w:hint="eastAsia" w:ascii="仿宋" w:hAnsi="仿宋" w:eastAsia="仿宋" w:cs="仿宋"/>
                <w:color w:val="auto"/>
                <w:kern w:val="0"/>
                <w:sz w:val="24"/>
                <w:szCs w:val="24"/>
                <w:lang w:eastAsia="zh-CN"/>
              </w:rPr>
              <w:t>mm</w:t>
            </w:r>
          </w:p>
        </w:tc>
        <w:tc>
          <w:tcPr>
            <w:tcW w:w="1916" w:type="dxa"/>
            <w:noWrap w:val="0"/>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pacing w:val="0"/>
                <w:w w:val="100"/>
                <w:position w:val="0"/>
                <w:sz w:val="24"/>
                <w:szCs w:val="24"/>
              </w:rPr>
              <w:t>最大卸载高度</w:t>
            </w:r>
          </w:p>
        </w:tc>
        <w:tc>
          <w:tcPr>
            <w:tcW w:w="2559" w:type="dxa"/>
            <w:noWrap w:val="0"/>
            <w:vAlign w:val="center"/>
          </w:tcPr>
          <w:p>
            <w:pPr>
              <w:widowControl/>
              <w:jc w:val="center"/>
              <w:rPr>
                <w:rFonts w:hint="eastAsia" w:ascii="仿宋" w:hAnsi="仿宋" w:eastAsia="仿宋" w:cs="仿宋"/>
                <w:color w:val="auto"/>
                <w:kern w:val="0"/>
                <w:sz w:val="24"/>
                <w:szCs w:val="24"/>
                <w:lang w:val="en-US" w:eastAsia="zh-CN"/>
              </w:rPr>
            </w:pPr>
            <w:r>
              <w:rPr>
                <w:rFonts w:hint="default" w:ascii="Times New Roman" w:hAnsi="Times New Roman" w:eastAsia="宋体" w:cs="Times New Roman"/>
                <w:i w:val="0"/>
                <w:caps w:val="0"/>
                <w:color w:val="464646"/>
                <w:spacing w:val="0"/>
                <w:sz w:val="24"/>
                <w:szCs w:val="24"/>
                <w:shd w:val="clear" w:color="auto" w:fill="FFFFFF"/>
                <w:vertAlign w:val="baseline"/>
                <w:lang w:eastAsia="zh-CN"/>
              </w:rPr>
              <w:t>≥</w:t>
            </w:r>
            <w:r>
              <w:rPr>
                <w:rFonts w:hint="eastAsia" w:ascii="仿宋" w:hAnsi="仿宋" w:eastAsia="仿宋" w:cs="仿宋"/>
                <w:color w:val="auto"/>
                <w:spacing w:val="0"/>
                <w:w w:val="100"/>
                <w:position w:val="0"/>
                <w:sz w:val="24"/>
                <w:szCs w:val="24"/>
                <w:lang w:val="en-US" w:eastAsia="zh-CN" w:bidi="en-US"/>
              </w:rPr>
              <w:t>2175</w:t>
            </w:r>
            <w:r>
              <w:rPr>
                <w:rFonts w:hint="eastAsia" w:ascii="仿宋" w:hAnsi="仿宋" w:eastAsia="仿宋" w:cs="仿宋"/>
                <w:color w:val="auto"/>
                <w:kern w:val="0"/>
                <w:sz w:val="24"/>
                <w:szCs w:val="24"/>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17" w:type="dxa"/>
            <w:noWrap w:val="0"/>
            <w:vAlign w:val="center"/>
          </w:tcPr>
          <w:p>
            <w:pPr>
              <w:widowControl/>
              <w:jc w:val="center"/>
              <w:rPr>
                <w:rFonts w:hint="eastAsia" w:ascii="仿宋" w:hAnsi="仿宋" w:eastAsia="仿宋" w:cs="仿宋"/>
                <w:i w:val="0"/>
                <w:caps w:val="0"/>
                <w:color w:val="464646"/>
                <w:spacing w:val="0"/>
                <w:sz w:val="24"/>
                <w:szCs w:val="24"/>
                <w:shd w:val="clear" w:color="auto" w:fill="FFFFFF"/>
              </w:rPr>
            </w:pPr>
            <w:r>
              <w:rPr>
                <w:rFonts w:hint="eastAsia" w:ascii="仿宋" w:hAnsi="仿宋" w:eastAsia="仿宋" w:cs="仿宋"/>
                <w:color w:val="000000"/>
                <w:spacing w:val="0"/>
                <w:w w:val="100"/>
                <w:position w:val="0"/>
                <w:sz w:val="24"/>
                <w:szCs w:val="24"/>
              </w:rPr>
              <w:t>总长度</w:t>
            </w:r>
          </w:p>
        </w:tc>
        <w:tc>
          <w:tcPr>
            <w:tcW w:w="2617" w:type="dxa"/>
            <w:noWrap w:val="0"/>
            <w:vAlign w:val="center"/>
          </w:tcPr>
          <w:p>
            <w:pPr>
              <w:widowControl/>
              <w:jc w:val="center"/>
              <w:rPr>
                <w:rFonts w:hint="eastAsia" w:ascii="仿宋" w:hAnsi="仿宋" w:eastAsia="仿宋" w:cs="仿宋"/>
                <w:color w:val="auto"/>
                <w:kern w:val="0"/>
                <w:sz w:val="24"/>
                <w:szCs w:val="24"/>
                <w:lang w:val="en-US" w:eastAsia="zh-CN"/>
              </w:rPr>
            </w:pPr>
            <w:r>
              <w:rPr>
                <w:rFonts w:hint="default" w:ascii="Times New Roman" w:hAnsi="Times New Roman" w:eastAsia="宋体" w:cs="Times New Roman"/>
                <w:i w:val="0"/>
                <w:caps w:val="0"/>
                <w:color w:val="464646"/>
                <w:spacing w:val="0"/>
                <w:sz w:val="24"/>
                <w:szCs w:val="24"/>
                <w:shd w:val="clear" w:color="auto" w:fill="FFFFFF"/>
                <w:vertAlign w:val="baseline"/>
                <w:lang w:eastAsia="zh-CN"/>
              </w:rPr>
              <w:t>≥</w:t>
            </w:r>
            <w:r>
              <w:rPr>
                <w:rFonts w:hint="eastAsia" w:ascii="仿宋" w:hAnsi="仿宋" w:eastAsia="仿宋" w:cs="仿宋"/>
                <w:color w:val="auto"/>
                <w:spacing w:val="0"/>
                <w:w w:val="100"/>
                <w:position w:val="0"/>
                <w:sz w:val="24"/>
                <w:szCs w:val="24"/>
                <w:lang w:val="en-US" w:eastAsia="zh-CN" w:bidi="en-US"/>
              </w:rPr>
              <w:t>7662mm</w:t>
            </w:r>
          </w:p>
        </w:tc>
        <w:tc>
          <w:tcPr>
            <w:tcW w:w="1916" w:type="dxa"/>
            <w:noWrap w:val="0"/>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spacing w:val="0"/>
                <w:w w:val="100"/>
                <w:position w:val="0"/>
                <w:sz w:val="24"/>
                <w:szCs w:val="24"/>
              </w:rPr>
              <w:t>履带全宽</w:t>
            </w:r>
          </w:p>
        </w:tc>
        <w:tc>
          <w:tcPr>
            <w:tcW w:w="2559" w:type="dxa"/>
            <w:noWrap w:val="0"/>
            <w:vAlign w:val="center"/>
          </w:tcPr>
          <w:p>
            <w:pPr>
              <w:widowControl/>
              <w:jc w:val="center"/>
              <w:rPr>
                <w:rFonts w:hint="eastAsia" w:ascii="仿宋" w:hAnsi="仿宋" w:eastAsia="仿宋" w:cs="仿宋"/>
                <w:color w:val="auto"/>
                <w:kern w:val="0"/>
                <w:sz w:val="24"/>
                <w:szCs w:val="24"/>
                <w:lang w:val="en-US" w:eastAsia="zh-CN"/>
              </w:rPr>
            </w:pPr>
            <w:r>
              <w:rPr>
                <w:rFonts w:hint="default" w:ascii="Times New Roman" w:hAnsi="Times New Roman" w:eastAsia="宋体" w:cs="Times New Roman"/>
                <w:i w:val="0"/>
                <w:caps w:val="0"/>
                <w:color w:val="464646"/>
                <w:spacing w:val="0"/>
                <w:sz w:val="24"/>
                <w:szCs w:val="24"/>
                <w:shd w:val="clear" w:color="auto" w:fill="FFFFFF"/>
                <w:vertAlign w:val="baseline"/>
                <w:lang w:eastAsia="zh-CN"/>
              </w:rPr>
              <w:t>≥</w:t>
            </w:r>
            <w:r>
              <w:rPr>
                <w:rFonts w:hint="eastAsia" w:ascii="仿宋" w:hAnsi="仿宋" w:eastAsia="仿宋" w:cs="仿宋"/>
                <w:color w:val="auto"/>
                <w:spacing w:val="0"/>
                <w:w w:val="100"/>
                <w:position w:val="0"/>
                <w:sz w:val="24"/>
                <w:szCs w:val="24"/>
                <w:lang w:val="en-US" w:eastAsia="zh-CN" w:bidi="en-US"/>
              </w:rPr>
              <w:t>2590mm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17" w:type="dxa"/>
            <w:noWrap w:val="0"/>
            <w:vAlign w:val="center"/>
          </w:tcPr>
          <w:p>
            <w:pPr>
              <w:widowControl/>
              <w:jc w:val="center"/>
              <w:rPr>
                <w:rFonts w:hint="eastAsia" w:ascii="仿宋" w:hAnsi="仿宋" w:eastAsia="仿宋" w:cs="仿宋"/>
                <w:i w:val="0"/>
                <w:caps w:val="0"/>
                <w:color w:val="464646"/>
                <w:spacing w:val="0"/>
                <w:sz w:val="24"/>
                <w:szCs w:val="24"/>
                <w:shd w:val="clear" w:color="auto" w:fill="FFFFFF"/>
                <w:lang w:val="en-US" w:eastAsia="zh-CN"/>
              </w:rPr>
            </w:pPr>
            <w:r>
              <w:rPr>
                <w:rFonts w:hint="eastAsia" w:ascii="仿宋" w:hAnsi="仿宋" w:eastAsia="仿宋" w:cs="仿宋"/>
                <w:i w:val="0"/>
                <w:caps w:val="0"/>
                <w:color w:val="464646"/>
                <w:spacing w:val="0"/>
                <w:sz w:val="24"/>
                <w:szCs w:val="24"/>
                <w:shd w:val="clear" w:color="auto" w:fill="FFFFFF"/>
                <w:lang w:val="en-US" w:eastAsia="zh-CN"/>
              </w:rPr>
              <w:t>推荐破碎锤</w:t>
            </w:r>
          </w:p>
        </w:tc>
        <w:tc>
          <w:tcPr>
            <w:tcW w:w="7092" w:type="dxa"/>
            <w:gridSpan w:val="3"/>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textAlignment w:val="baseline"/>
              <w:rPr>
                <w:rFonts w:hint="default" w:ascii="仿宋" w:hAnsi="仿宋" w:eastAsia="仿宋" w:cs="仿宋"/>
                <w:color w:val="auto"/>
                <w:kern w:val="0"/>
                <w:sz w:val="24"/>
                <w:szCs w:val="24"/>
                <w:lang w:val="en-US" w:eastAsia="zh-CN"/>
              </w:rPr>
            </w:pPr>
            <w:r>
              <w:rPr>
                <w:rFonts w:hint="eastAsia" w:ascii="仿宋" w:hAnsi="仿宋" w:eastAsia="仿宋" w:cs="仿宋"/>
                <w:b w:val="0"/>
                <w:color w:val="auto"/>
                <w:kern w:val="0"/>
                <w:sz w:val="24"/>
                <w:szCs w:val="24"/>
                <w:u w:val="none"/>
                <w:shd w:val="clear" w:color="auto" w:fill="auto"/>
                <w:lang w:val="en-US" w:eastAsia="zh-CN" w:bidi="ar-SA"/>
              </w:rPr>
              <w:t>水山SB50/斯帕克SP-1000/贝力特BLTB-100/德克DKO-100/工兵T130</w:t>
            </w:r>
          </w:p>
        </w:tc>
      </w:tr>
    </w:tbl>
    <w:p>
      <w:pPr>
        <w:keepNext w:val="0"/>
        <w:keepLines w:val="0"/>
        <w:pageBreakBefore w:val="0"/>
        <w:widowControl w:val="0"/>
        <w:kinsoku/>
        <w:wordWrap/>
        <w:overflowPunct/>
        <w:topLinePunct w:val="0"/>
        <w:autoSpaceDE/>
        <w:autoSpaceDN/>
        <w:bidi w:val="0"/>
        <w:snapToGrid w:val="0"/>
        <w:spacing w:line="360" w:lineRule="auto"/>
        <w:ind w:right="-17"/>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lang w:val="en-US" w:eastAsia="zh-CN"/>
        </w:rPr>
        <w:t>使用要求</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1、本次采购的液压挖掘机主要用于7#高炉炉前渣铁沟的清理维护。工况环境较差，要求车辆可靠性好、耐高温、抗冲击。</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2、机械性能优异，自动化程度低，维修方便、成本低。</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3、要求挖掘高度或挖掘深度必须达到买方要求，必要时选择安装加长臂。</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4.适用工况条件：海拔1500-1800米，环境温度</w:t>
      </w:r>
      <w:r>
        <w:rPr>
          <w:rFonts w:hint="default" w:ascii="宋体" w:hAnsi="宋体" w:eastAsia="宋体" w:cs="宋体"/>
          <w:color w:val="auto"/>
          <w:sz w:val="28"/>
          <w:szCs w:val="28"/>
          <w:lang w:val="en-US" w:eastAsia="zh-CN"/>
        </w:rPr>
        <w:t>-30~200℃</w:t>
      </w:r>
      <w:r>
        <w:rPr>
          <w:rFonts w:hint="eastAsia" w:ascii="宋体" w:hAnsi="宋体" w:eastAsia="宋体" w:cs="宋体"/>
          <w:color w:val="auto"/>
          <w:sz w:val="28"/>
          <w:szCs w:val="28"/>
          <w:lang w:val="en-US" w:eastAsia="zh-CN"/>
        </w:rPr>
        <w:t>的工况环境下使用。</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5、可以用于高炉炉前铁水、渣铁、铁沟内衬、耐火材料的长时间连续挖掘、破碎、刮平及废钢铁、耐火材料、混凝土的临时性破碎、挖掘作业。</w:t>
      </w:r>
    </w:p>
    <w:p>
      <w:pPr>
        <w:spacing w:line="360" w:lineRule="auto"/>
        <w:ind w:left="-2" w:leftChars="-37" w:hanging="76" w:hangingChars="27"/>
        <w:rPr>
          <w:rFonts w:hint="eastAsia" w:ascii="宋体" w:hAnsi="宋体" w:eastAsia="宋体" w:cs="宋体"/>
          <w:b/>
          <w:sz w:val="28"/>
          <w:szCs w:val="28"/>
        </w:rPr>
      </w:pPr>
      <w:r>
        <w:rPr>
          <w:rFonts w:hint="eastAsia" w:ascii="宋体" w:hAnsi="宋体" w:eastAsia="宋体" w:cs="宋体"/>
          <w:b/>
          <w:sz w:val="28"/>
          <w:szCs w:val="28"/>
          <w:lang w:eastAsia="zh-CN"/>
        </w:rPr>
        <w:t>四、</w:t>
      </w:r>
      <w:r>
        <w:rPr>
          <w:rFonts w:hint="eastAsia" w:ascii="宋体" w:hAnsi="宋体" w:eastAsia="宋体" w:cs="宋体"/>
          <w:b/>
          <w:sz w:val="28"/>
          <w:szCs w:val="28"/>
        </w:rPr>
        <w:t xml:space="preserve">技术要求  </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中标供应商必须于合同签订后45日内交货。到货现场验收由甲方组织，乙方负责人参与，按照车辆出厂、接收使用的有关验收标准进行验收并签字确认，如有异议应在初步验收后三天内提出，如质量验收合格，双方签署质量验收报告。</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2、卖方应随车将车辆用户手册、保修手册，其他有关资料及配件、随车工具和合格证等交付给买方。卖方不能完整交付货物及本款规定的单证和工具的，必须在15天内负责补齐，否则视为未按合同约定交货。</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3、本次采购无预付款，挖掘机到货交付买方并验收合格后，卖方按照买方结算计划办理结算及付款，卖方不得以此为由而不履行(或不完全履行)合同规定的义务。</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4、车辆交货时必须提供配套的破碎锤，破碎锤优先采用推荐型号，若卖方提供其它品牌型号的破碎锤，需提前与买方沟通协商，征得买方同意。</w:t>
      </w:r>
    </w:p>
    <w:p>
      <w:pPr>
        <w:keepNext w:val="0"/>
        <w:keepLines w:val="0"/>
        <w:pageBreakBefore w:val="0"/>
        <w:widowControl w:val="0"/>
        <w:kinsoku/>
        <w:wordWrap/>
        <w:overflowPunct/>
        <w:topLinePunct w:val="0"/>
        <w:autoSpaceDE/>
        <w:autoSpaceDN/>
        <w:bidi w:val="0"/>
        <w:snapToGrid w:val="0"/>
        <w:spacing w:line="360" w:lineRule="auto"/>
        <w:ind w:right="-17"/>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五、质量保证及售后服务</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1、质保期:整车及零部件质保按照卖方提供的车辆维修、质保手册规定执行，卖方不得更改或缩短质保周期。</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2、卖方应向买方如期提供合同约定的各项服务。</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3、以书面形式承诺维修服务，提供终身维修指导及售后服务，维修、保养按车辆维修手册内容执行。</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4、如果卖方提供的产品存在新技术、新工艺或因自动化程度高，买方人员不会操作，卖方有义务根据甲方要求随时免费派技术人员到现场进行相关专业技术指导，为买方培养合格的操作人员，确保操作 人员达到下列基础常识: 清晰了解车辆的基本结构及工作原理(包括底盘和发动机)；熟练掌握车辆的各项操作、保养维护；基本上能独立排除一般故障和紧急情况处理事项；清楚了解车辆保修期和保修内容。</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5、交付车辆时，有随车工具、备用件、灭火器等随车配件。</w:t>
      </w:r>
    </w:p>
    <w:p>
      <w:pPr>
        <w:keepNext w:val="0"/>
        <w:keepLines w:val="0"/>
        <w:pageBreakBefore w:val="0"/>
        <w:widowControl w:val="0"/>
        <w:tabs>
          <w:tab w:val="left" w:pos="1080"/>
        </w:tabs>
        <w:kinsoku/>
        <w:wordWrap/>
        <w:overflowPunct/>
        <w:topLinePunct w:val="0"/>
        <w:autoSpaceDE/>
        <w:autoSpaceDN/>
        <w:bidi w:val="0"/>
        <w:spacing w:line="360" w:lineRule="auto"/>
        <w:ind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6、买方应向卖方提供全天候24 小时快捷售后服务，即:二十四小时内有人接收信息；二十四小时内有处理信息回馈；二十四小时内提供技术服务，解决问题。</w:t>
      </w:r>
    </w:p>
    <w:p>
      <w:pPr>
        <w:keepNext w:val="0"/>
        <w:keepLines w:val="0"/>
        <w:pageBreakBefore w:val="0"/>
        <w:widowControl w:val="0"/>
        <w:kinsoku/>
        <w:wordWrap/>
        <w:overflowPunct/>
        <w:topLinePunct w:val="0"/>
        <w:autoSpaceDE/>
        <w:autoSpaceDN/>
        <w:bidi w:val="0"/>
        <w:snapToGrid w:val="0"/>
        <w:spacing w:line="360" w:lineRule="auto"/>
        <w:ind w:right="-17"/>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六、违约责任</w:t>
      </w:r>
    </w:p>
    <w:p>
      <w:pPr>
        <w:keepNext w:val="0"/>
        <w:keepLines w:val="0"/>
        <w:pageBreakBefore w:val="0"/>
        <w:widowControl w:val="0"/>
        <w:kinsoku/>
        <w:wordWrap/>
        <w:overflowPunct/>
        <w:topLinePunct w:val="0"/>
        <w:autoSpaceDE/>
        <w:autoSpaceDN/>
        <w:bidi w:val="0"/>
        <w:snapToGrid w:val="0"/>
        <w:spacing w:line="360" w:lineRule="auto"/>
        <w:ind w:right="-17"/>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1、卖方的违约责任</w:t>
      </w:r>
    </w:p>
    <w:p>
      <w:pPr>
        <w:keepNext w:val="0"/>
        <w:keepLines w:val="0"/>
        <w:pageBreakBefore w:val="0"/>
        <w:widowControl w:val="0"/>
        <w:kinsoku/>
        <w:wordWrap/>
        <w:overflowPunct/>
        <w:topLinePunct w:val="0"/>
        <w:autoSpaceDE/>
        <w:autoSpaceDN/>
        <w:bidi w:val="0"/>
        <w:snapToGrid w:val="0"/>
        <w:spacing w:line="360" w:lineRule="auto"/>
        <w:ind w:right="-17" w:firstLine="560"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(1)、卖方未能按时交车的，按逾期处理，卖方应向买方偿付货款总额10%的违约金，逾期超过十五天，买方有权单方终止合同，买方有权按法律规定(程序)向卖方索赔损失。</w:t>
      </w:r>
    </w:p>
    <w:p>
      <w:pPr>
        <w:keepNext w:val="0"/>
        <w:keepLines w:val="0"/>
        <w:pageBreakBefore w:val="0"/>
        <w:widowControl w:val="0"/>
        <w:kinsoku/>
        <w:wordWrap/>
        <w:overflowPunct/>
        <w:topLinePunct w:val="0"/>
        <w:autoSpaceDE/>
        <w:autoSpaceDN/>
        <w:bidi w:val="0"/>
        <w:snapToGrid w:val="0"/>
        <w:spacing w:line="360" w:lineRule="auto"/>
        <w:ind w:right="-17" w:firstLine="560"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(2)、卖方所提供货品不符合国家法律法规和协议规定，买方有 权拒收，卖方需向买方支付货款总额10%的违约金。买方同意更换的，卖方在征得买方同意的时间内未能更换的，按逾期交货的违约责任处理。 </w:t>
      </w:r>
    </w:p>
    <w:p>
      <w:pPr>
        <w:keepNext w:val="0"/>
        <w:keepLines w:val="0"/>
        <w:pageBreakBefore w:val="0"/>
        <w:widowControl w:val="0"/>
        <w:kinsoku/>
        <w:wordWrap/>
        <w:overflowPunct/>
        <w:topLinePunct w:val="0"/>
        <w:autoSpaceDE/>
        <w:autoSpaceDN/>
        <w:bidi w:val="0"/>
        <w:snapToGrid w:val="0"/>
        <w:spacing w:line="360" w:lineRule="auto"/>
        <w:ind w:right="-17" w:firstLine="560"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(3)、卖方出现上述情形之一的，买方有权单方中止协议，并取消买方供货资格；除追究卖方的相关法律责任外，还需赔偿买方一切与之相关而造成的经济损失，所产生的一切后果由卖方自行承担。 </w:t>
      </w:r>
    </w:p>
    <w:p>
      <w:pPr>
        <w:keepNext w:val="0"/>
        <w:keepLines w:val="0"/>
        <w:pageBreakBefore w:val="0"/>
        <w:widowControl w:val="0"/>
        <w:kinsoku/>
        <w:wordWrap/>
        <w:overflowPunct/>
        <w:topLinePunct w:val="0"/>
        <w:autoSpaceDE/>
        <w:autoSpaceDN/>
        <w:bidi w:val="0"/>
        <w:snapToGrid w:val="0"/>
        <w:spacing w:line="360" w:lineRule="auto"/>
        <w:ind w:right="-17"/>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2、买方的违约责任</w:t>
      </w:r>
    </w:p>
    <w:p>
      <w:pPr>
        <w:keepNext w:val="0"/>
        <w:keepLines w:val="0"/>
        <w:pageBreakBefore w:val="0"/>
        <w:widowControl w:val="0"/>
        <w:kinsoku/>
        <w:wordWrap/>
        <w:overflowPunct/>
        <w:topLinePunct w:val="0"/>
        <w:autoSpaceDE/>
        <w:autoSpaceDN/>
        <w:bidi w:val="0"/>
        <w:snapToGrid w:val="0"/>
        <w:spacing w:line="360" w:lineRule="auto"/>
        <w:ind w:right="-17" w:firstLine="560"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(1)、买方无正当理由拒收车辆或未按合同规定付款的，买方向卖方支付合同总额10%的违约金。</w:t>
      </w:r>
    </w:p>
    <w:p>
      <w:pPr>
        <w:keepNext w:val="0"/>
        <w:keepLines w:val="0"/>
        <w:pageBreakBefore w:val="0"/>
        <w:widowControl w:val="0"/>
        <w:kinsoku/>
        <w:wordWrap/>
        <w:overflowPunct/>
        <w:topLinePunct w:val="0"/>
        <w:autoSpaceDE/>
        <w:autoSpaceDN/>
        <w:bidi w:val="0"/>
        <w:snapToGrid w:val="0"/>
        <w:spacing w:line="360" w:lineRule="auto"/>
        <w:ind w:right="-17" w:firstLine="560" w:firstLineChars="200"/>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买卖双方由于不可抗力原因不能履行协议规定时，应及时向对方通报不能履行或不能完全履行的理由，以减轻可能给对方造成的损失，在取得有关机构证明后，允许延期履行、部分履行或不履行合同，并根据情况可部分或全部免予承担违约责任。</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协议双方签字后生效，与对应合同具有同等法律效力。</w:t>
      </w:r>
    </w:p>
    <w:p>
      <w:pPr>
        <w:numPr>
          <w:ilvl w:val="0"/>
          <w:numId w:val="0"/>
        </w:numPr>
        <w:spacing w:line="360" w:lineRule="auto"/>
        <w:ind w:firstLine="560" w:firstLineChars="200"/>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lang w:eastAsia="zh-CN"/>
        </w:rPr>
        <w:t>买</w:t>
      </w:r>
      <w:r>
        <w:rPr>
          <w:rFonts w:hint="eastAsia" w:ascii="宋体" w:hAnsi="宋体" w:eastAsia="宋体" w:cs="宋体"/>
          <w:sz w:val="28"/>
          <w:szCs w:val="28"/>
        </w:rPr>
        <w:t>方：甘肃酒钢集团科力耐火材料股份有限公司（公章）</w:t>
      </w:r>
    </w:p>
    <w:p>
      <w:pPr>
        <w:rPr>
          <w:rFonts w:hint="eastAsia" w:ascii="宋体" w:hAnsi="宋体" w:eastAsia="宋体" w:cs="宋体"/>
          <w:sz w:val="28"/>
          <w:szCs w:val="28"/>
        </w:rPr>
      </w:pPr>
      <w:r>
        <w:rPr>
          <w:rFonts w:hint="eastAsia" w:ascii="宋体" w:hAnsi="宋体" w:eastAsia="宋体" w:cs="宋体"/>
          <w:sz w:val="28"/>
          <w:szCs w:val="28"/>
        </w:rPr>
        <w:t>代表：</w:t>
      </w:r>
    </w:p>
    <w:p>
      <w:pPr>
        <w:rPr>
          <w:rFonts w:hint="eastAsia" w:ascii="宋体" w:hAnsi="宋体" w:eastAsia="宋体" w:cs="宋体"/>
          <w:sz w:val="28"/>
          <w:szCs w:val="28"/>
        </w:rPr>
      </w:pPr>
      <w:r>
        <w:rPr>
          <w:rFonts w:hint="eastAsia" w:ascii="宋体" w:hAnsi="宋体" w:eastAsia="宋体" w:cs="宋体"/>
          <w:sz w:val="28"/>
          <w:szCs w:val="28"/>
          <w:lang w:eastAsia="zh-CN"/>
        </w:rPr>
        <w:t>卖</w:t>
      </w:r>
      <w:r>
        <w:rPr>
          <w:rFonts w:hint="eastAsia" w:ascii="宋体" w:hAnsi="宋体" w:eastAsia="宋体" w:cs="宋体"/>
          <w:sz w:val="28"/>
          <w:szCs w:val="28"/>
        </w:rPr>
        <w:t>方：                                   （公章）</w:t>
      </w:r>
    </w:p>
    <w:p>
      <w:pPr>
        <w:rPr>
          <w:rFonts w:hint="eastAsia" w:ascii="宋体" w:hAnsi="宋体" w:eastAsia="宋体" w:cs="宋体"/>
          <w:sz w:val="28"/>
          <w:szCs w:val="28"/>
        </w:rPr>
      </w:pPr>
      <w:r>
        <w:rPr>
          <w:rFonts w:hint="eastAsia" w:ascii="宋体" w:hAnsi="宋体" w:eastAsia="宋体" w:cs="宋体"/>
          <w:sz w:val="28"/>
          <w:szCs w:val="28"/>
        </w:rPr>
        <w:t>代表：</w:t>
      </w:r>
    </w:p>
    <w:p>
      <w:pPr>
        <w:rPr>
          <w:rFonts w:hint="eastAsia" w:ascii="宋体" w:hAnsi="宋体" w:eastAsia="宋体" w:cs="宋体"/>
          <w:sz w:val="28"/>
          <w:szCs w:val="28"/>
        </w:rPr>
      </w:pPr>
    </w:p>
    <w:p>
      <w:r>
        <w:rPr>
          <w:rFonts w:hint="eastAsia" w:ascii="宋体" w:hAnsi="宋体" w:eastAsia="宋体" w:cs="宋体"/>
          <w:sz w:val="28"/>
          <w:szCs w:val="28"/>
        </w:rPr>
        <w:t>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60101010101"/>
    <w:charset w:val="86"/>
    <w:family w:val="modern"/>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81D96"/>
    <w:rsid w:val="0396735A"/>
    <w:rsid w:val="04FE3CCD"/>
    <w:rsid w:val="0AAD7C31"/>
    <w:rsid w:val="0CDD4579"/>
    <w:rsid w:val="127D7706"/>
    <w:rsid w:val="14060286"/>
    <w:rsid w:val="16544B21"/>
    <w:rsid w:val="17C16327"/>
    <w:rsid w:val="1A597B67"/>
    <w:rsid w:val="1CE13EE4"/>
    <w:rsid w:val="1FC62787"/>
    <w:rsid w:val="22DA4FEA"/>
    <w:rsid w:val="269336F5"/>
    <w:rsid w:val="2F181D96"/>
    <w:rsid w:val="33C34E4D"/>
    <w:rsid w:val="3A500DA7"/>
    <w:rsid w:val="3DD72DD1"/>
    <w:rsid w:val="3F526C78"/>
    <w:rsid w:val="43BF745B"/>
    <w:rsid w:val="47697605"/>
    <w:rsid w:val="5A7B2C03"/>
    <w:rsid w:val="5BF26983"/>
    <w:rsid w:val="62590DDA"/>
    <w:rsid w:val="658D7DD9"/>
    <w:rsid w:val="680D1ACF"/>
    <w:rsid w:val="6C74035D"/>
    <w:rsid w:val="6E792B9D"/>
    <w:rsid w:val="731D136B"/>
    <w:rsid w:val="734669F7"/>
    <w:rsid w:val="74AB22DD"/>
    <w:rsid w:val="770E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楷体_GB2312" w:eastAsia="楷体_GB2312" w:cs="Times New Roman"/>
      <w:kern w:val="15"/>
      <w:sz w:val="21"/>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Header or footer|2"/>
    <w:basedOn w:val="1"/>
    <w:qFormat/>
    <w:uiPriority w:val="0"/>
    <w:pPr>
      <w:widowControl w:val="0"/>
      <w:shd w:val="clear" w:color="auto" w:fill="auto"/>
    </w:pPr>
    <w:rPr>
      <w:sz w:val="20"/>
      <w:szCs w:val="20"/>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2022-02-28T12:46:00Z</dcterms:created>
  <dc:creator>杨贵林</dc:creator>
  <cp:lastModifiedBy>张成龙</cp:lastModifiedBy>
  <dcterms:modified xsi:type="dcterms:W3CDTF">2022-03-30T00:36:38Z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E5365CFAD741473F9B89A827AE2CECE3</vt:lpwstr>
  </property>
</Properties>
</file>