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阳极组装二作业区皮带输送系统附属装置维修方案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一、项目概况：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南北线电解质一级输送皮带、大倾角输送皮带、残极输送皮带各加装一套电磁式除铁装置。其中，南北线电解质一级皮带、残极输送皮带共四套除铁器，单个重量在八吨以上。原除铁器行走机构采用单轨道，每台除铁器采用两台10T电动葫芦行走小车，长期使用过程中，行走小车受重力及惯性作用，小车行走轮频繁损坏，行走轨道磨损严重，故障频繁。且每台除铁器卸铁均需人为干预，手动操作至卸铁位卸铁，增加劳动力，人为的操作疏忽，造成磷铁环流失或设备故障。</w:t>
      </w:r>
    </w:p>
    <w:p>
      <w:pPr>
        <w:ind w:left="0" w:leftChars="0" w:firstLine="0" w:firstLineChars="0"/>
        <w:jc w:val="left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维修内容及修复方案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1.电解质皮带电除铁器维修，南北线共2套（单套工程量如下）。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（1）拆除除铁器及行走轨道；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（2）制作安装新轨道2条，用40a工字钢18米，轨道固定钢材0.3吨；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（3）安装除铁器，需要4台行走电动小车，行走小车承载16T，更换原有φ20钢丝绳40米，控制电缆20米，电源电缆20米，配套的限位装置4套；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（4）增加PLC控制系统，实现定时自动控制卸料。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2.残极皮带电除铁器维修，南北线共2套（单套工程量如下）。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（1）拆除除铁器及轨道，彩板10平方米；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（2）制作安装新轨道2条，用40a工字钢20米，轨道固定钢材0.5吨，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（3）增加立柱2根，用HW350*350型钢12米，立柱基础1000mm*1000mm*1000mm 2个；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（4）安装除铁器，需要4台行走电动小车，行走小车承载16T，更换原有φ20钢丝绳40米，控制电缆20米，电源电缆20米，配套的限位装置4套；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（5）增加PLC控制系统，实现定时自动控制卸料。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3.破碎间电解质大倾角皮带除铁器维修，南北线共2套（单套工程量如下）。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（1）拆除除铁器、配电柜；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（2）制作安装新轨道2条，用40a工字钢20米，轨道固定钢材0.5吨，轨道支架型钢材料用量3吨，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（3）安装除铁器，需要2台行走电动小车，更换原有φ20钢丝绳40米，控制电缆40米，电源电缆40米，配套的限位装置4套；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（4）增加PLC控制系统，实现定时自动控制卸料。</w:t>
      </w: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4.电解质清理机C10除尘灰气力输送管道搬迁，南北线共2套（单套工程量如下：）</w:t>
      </w:r>
      <w:bookmarkStart w:id="0" w:name="_GoBack"/>
      <w:bookmarkEnd w:id="0"/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（1）将原有管道连接至装卸站C1除尘器料仓内，增加φ108*8的无缝钢管120米，耐磨弯头5个；</w:t>
      </w:r>
    </w:p>
    <w:p>
      <w:pPr>
        <w:pStyle w:val="2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（2）增加1台气力输送泵。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三、相关要求</w:t>
      </w:r>
    </w:p>
    <w:p>
      <w:pPr>
        <w:numPr>
          <w:ilvl w:val="0"/>
          <w:numId w:val="0"/>
        </w:numPr>
        <w:ind w:firstLine="560" w:firstLineChars="200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施工所用材料全部由施工单位购买，具体工程量及施工环境以现场实际情况为主，请施工单位到现场自行勘测。拆除后的废铁切割成尺寸不大于长1米×宽0.6米块，拉运至作业区指定位置。施工所涉及的工器具、转运车辆、吊装设备等产生的费用均由乙方承当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维修所需备件材料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>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2221"/>
        <w:gridCol w:w="1516"/>
        <w:gridCol w:w="2113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规格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工字钢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40a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120米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钢材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8吨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行走小车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承载16T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20套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控制电缆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default" w:ascii="Arial" w:hAnsi="Arial" w:eastAsia="仿宋" w:cs="Arial"/>
                <w:b w:val="0"/>
                <w:bCs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1.5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400米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电缆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default" w:ascii="Arial" w:hAnsi="Arial" w:eastAsia="仿宋" w:cs="Arial"/>
                <w:b w:val="0"/>
                <w:bCs w:val="0"/>
                <w:sz w:val="28"/>
                <w:szCs w:val="28"/>
                <w:lang w:val="en-US" w:eastAsia="zh-CN"/>
              </w:rPr>
              <w:t>×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6+1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150米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型钢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HW350*350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PLC控制柜</w:t>
            </w:r>
          </w:p>
        </w:tc>
        <w:tc>
          <w:tcPr>
            <w:tcW w:w="1516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西门子S7—300系列</w:t>
            </w:r>
          </w:p>
        </w:tc>
        <w:tc>
          <w:tcPr>
            <w:tcW w:w="2113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6套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限位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24件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无缝钢管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φ108*8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250米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耐磨弯头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lang w:val="en-US" w:eastAsia="zh-CN"/>
              </w:rPr>
              <w:t>-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10件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钢丝绳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Φ20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240米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钢丝绳卡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-</w:t>
            </w: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150件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2221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气力输送泵</w:t>
            </w:r>
          </w:p>
        </w:tc>
        <w:tc>
          <w:tcPr>
            <w:tcW w:w="1516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1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vertAlign w:val="baseline"/>
                <w:lang w:val="en-US" w:eastAsia="zh-CN" w:bidi="ar"/>
              </w:rPr>
              <w:t>2套</w:t>
            </w:r>
          </w:p>
        </w:tc>
        <w:tc>
          <w:tcPr>
            <w:tcW w:w="1035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五、技术要求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1.所有焊接制作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支架、轨道除锈、刷防锈漆；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2.每个钢丝绳头安装3个钢丝绳卡；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3.各行走限位装置灵敏可靠，实现自动卸铁功能；</w:t>
      </w:r>
    </w:p>
    <w:p>
      <w:pPr>
        <w:pStyle w:val="2"/>
        <w:ind w:left="0" w:leftChars="0" w:firstLine="0" w:firstLineChars="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4.行走小车承载重量16T，采用标准型号；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  <w:t xml:space="preserve">六、验收标准 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1、维修项目必须以甲方现场使用的技术要求为准，不得低于通用规范所约束的技术细节及安全规范。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zh-CN"/>
        </w:rPr>
      </w:pPr>
      <w:r>
        <w:rPr>
          <w:rFonts w:hint="eastAsia" w:ascii="仿宋" w:hAnsi="仿宋" w:eastAsia="仿宋" w:cs="仿宋"/>
          <w:sz w:val="30"/>
          <w:szCs w:val="30"/>
          <w:lang w:val="zh-CN"/>
        </w:rPr>
        <w:t>2、备件验收按相关产品制造质量，材料必须依照行业最新标准规范执行，并不得低于现场正在使用相关产品的标准；</w:t>
      </w:r>
    </w:p>
    <w:p>
      <w:pPr>
        <w:autoSpaceDE w:val="0"/>
        <w:autoSpaceDN w:val="0"/>
        <w:adjustRightInd w:val="0"/>
        <w:spacing w:line="360" w:lineRule="auto"/>
        <w:ind w:firstLine="56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3、轨道焊接制作所有焊缝采用满焊，不允许断焊，支架制作可靠；</w:t>
      </w:r>
    </w:p>
    <w:p>
      <w:pPr>
        <w:pStyle w:val="3"/>
        <w:ind w:left="0" w:leftChars="0" w:firstLine="0" w:firstLineChars="0"/>
        <w:rPr>
          <w:rFonts w:hint="eastAsia"/>
          <w:sz w:val="52"/>
          <w:szCs w:val="52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8A4335"/>
    <w:multiLevelType w:val="singleLevel"/>
    <w:tmpl w:val="F08A4335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00E18"/>
    <w:rsid w:val="0B0E7905"/>
    <w:rsid w:val="179F45FE"/>
    <w:rsid w:val="195E17C3"/>
    <w:rsid w:val="1D723E7B"/>
    <w:rsid w:val="28441C71"/>
    <w:rsid w:val="46800E18"/>
    <w:rsid w:val="65D52B26"/>
    <w:rsid w:val="682737C0"/>
    <w:rsid w:val="6E110BF8"/>
    <w:rsid w:val="7BBC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00" w:lineRule="exact"/>
      <w:ind w:firstLine="1968" w:firstLineChars="200"/>
      <w:jc w:val="both"/>
    </w:pPr>
    <w:rPr>
      <w:rFonts w:ascii="Times New Roman" w:hAnsi="Times New Roman" w:eastAsia="仿宋_GB2312" w:cs="Arial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0"/>
      <w:szCs w:val="30"/>
      <w:lang w:val="zh-CN" w:eastAsia="zh-CN" w:bidi="zh-CN"/>
    </w:rPr>
  </w:style>
  <w:style w:type="paragraph" w:styleId="3">
    <w:name w:val="toc 5"/>
    <w:basedOn w:val="1"/>
    <w:next w:val="1"/>
    <w:qFormat/>
    <w:uiPriority w:val="0"/>
    <w:pPr>
      <w:wordWrap w:val="0"/>
      <w:spacing w:before="0" w:line="240" w:lineRule="auto"/>
      <w:ind w:left="1275"/>
      <w:jc w:val="both"/>
    </w:pPr>
    <w:rPr>
      <w:sz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2021-08-23T07:31:00Z</dcterms:created>
  <dc:creator>(^_^)</dc:creator>
  <cp:lastModifiedBy>金振国</cp:lastModifiedBy>
  <dcterms:modified xsi:type="dcterms:W3CDTF">2021-08-30T11:14:33Z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  <property fmtid="{D5CDD505-2E9C-101B-9397-08002B2CF9AE}" pid="3" name="ICV">
    <vt:lpwstr>4367F25EFE8B40D4B131B0EB639A6D9C</vt:lpwstr>
  </property>
</Properties>
</file>