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36"/>
          <w:szCs w:val="36"/>
          <w:highlight w:val="none"/>
          <w:lang w:val="en-US" w:eastAsia="zh-CN"/>
        </w:rPr>
        <w:t>酒钢集团榆钢公司储运翻车机厂房封闭施工采购</w:t>
      </w:r>
    </w:p>
    <w:bookmarkEnd w:id="0"/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  <w:lang w:val="en-US" w:eastAsia="zh-CN"/>
        </w:rPr>
        <w:t>项目主要内容：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sz w:val="36"/>
          <w:szCs w:val="36"/>
        </w:rPr>
      </w:pPr>
      <w:r>
        <w:rPr>
          <w:rFonts w:hint="eastAsia" w:ascii="仿宋_GB2312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  <w:t>利用彩钢板对2#翻车机厂房东西两侧敞口进行封闭。对厂房东侧4米，高7米、宽10米，厂房西侧7米，高7米、宽10米的位置进行封闭；对东侧车皮推出口安装快速隔尘门。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C0253"/>
    <w:rsid w:val="6C6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qFormat/>
    <w:uiPriority w:val="0"/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2022-07-26T09:00:00Z</dcterms:created>
  <dc:creator>liyuhua</dc:creator>
  <cp:lastModifiedBy>liyuhua</cp:lastModifiedBy>
  <dcterms:modified xsi:type="dcterms:W3CDTF">2022-07-26T09:01:49Z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