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ind w:right="2" w:rightChars="1" w:firstLine="440" w:firstLineChars="100"/>
        <w:jc w:val="both"/>
        <w:rPr>
          <w:rFonts w:hint="default" w:ascii="Times New Roman" w:hAnsi="Times New Roman" w:eastAsia="宋体" w:cs="Times New Roman"/>
          <w:b/>
          <w:color w:val="auto"/>
          <w:kern w:val="0"/>
          <w:sz w:val="44"/>
          <w:szCs w:val="44"/>
          <w:highlight w:val="none"/>
          <w:lang w:eastAsia="zh-CN"/>
        </w:rPr>
      </w:pPr>
      <w:r>
        <w:rPr>
          <w:rFonts w:hint="eastAsia" w:ascii="宋体" w:hAnsi="宋体" w:cs="Times New Roman"/>
          <w:b/>
          <w:color w:val="auto"/>
          <w:sz w:val="44"/>
          <w:szCs w:val="44"/>
          <w:highlight w:val="none"/>
          <w:lang w:eastAsia="zh-CN"/>
        </w:rPr>
        <w:t>（</w:t>
      </w:r>
      <w:r>
        <w:rPr>
          <w:rFonts w:hint="eastAsia" w:ascii="宋体" w:hAnsi="宋体" w:cs="Times New Roman"/>
          <w:b/>
          <w:color w:val="auto"/>
          <w:sz w:val="44"/>
          <w:szCs w:val="44"/>
          <w:highlight w:val="none"/>
          <w:lang w:eastAsia="zh-CN"/>
        </w:rPr>
        <w:t>嘉峪关</w:t>
      </w:r>
      <w:r>
        <w:rPr>
          <w:rFonts w:hint="eastAsia" w:ascii="宋体" w:hAnsi="宋体" w:eastAsia="宋体" w:cs="Times New Roman"/>
          <w:b/>
          <w:color w:val="auto"/>
          <w:sz w:val="44"/>
          <w:szCs w:val="44"/>
          <w:highlight w:val="none"/>
          <w:lang w:eastAsia="zh-CN"/>
        </w:rPr>
        <w:t>宏晟电热公司有限责任公司</w:t>
      </w:r>
      <w:r>
        <w:rPr>
          <w:rFonts w:hint="eastAsia" w:ascii="宋体" w:hAnsi="宋体" w:cs="Times New Roman"/>
          <w:b/>
          <w:color w:val="auto"/>
          <w:sz w:val="44"/>
          <w:szCs w:val="44"/>
          <w:highlight w:val="none"/>
          <w:lang w:eastAsia="zh-CN"/>
        </w:rPr>
        <w:t>）</w:t>
      </w:r>
    </w:p>
    <w:p>
      <w:pPr>
        <w:snapToGrid w:val="0"/>
        <w:spacing w:line="240" w:lineRule="atLeast"/>
        <w:ind w:right="2" w:rightChars="1"/>
        <w:jc w:val="center"/>
        <w:rPr>
          <w:rFonts w:hint="default" w:ascii="Times New Roman" w:hAnsi="Times New Roman" w:eastAsia="宋体" w:cs="Times New Roman"/>
          <w:b/>
          <w:color w:val="auto"/>
          <w:sz w:val="44"/>
          <w:szCs w:val="44"/>
          <w:highlight w:val="none"/>
          <w:lang w:eastAsia="zh-CN"/>
        </w:rPr>
      </w:pPr>
    </w:p>
    <w:p>
      <w:pPr>
        <w:jc w:val="center"/>
        <w:rPr>
          <w:rFonts w:hint="eastAsia" w:ascii="宋体" w:hAnsi="宋体" w:eastAsia="宋体" w:cs="Times New Roman"/>
          <w:b/>
          <w:color w:val="auto"/>
          <w:sz w:val="36"/>
          <w:szCs w:val="48"/>
          <w:highlight w:val="none"/>
          <w:lang w:val="sq-AL" w:eastAsia="zh-CN"/>
        </w:rPr>
      </w:pPr>
      <w:r>
        <w:rPr>
          <w:rFonts w:hint="eastAsia" w:ascii="宋体" w:hAnsi="宋体" w:eastAsia="宋体" w:cs="Times New Roman"/>
          <w:b/>
          <w:color w:val="auto"/>
          <w:sz w:val="36"/>
          <w:szCs w:val="48"/>
          <w:highlight w:val="none"/>
          <w:lang w:val="sq-AL" w:eastAsia="zh-CN"/>
        </w:rPr>
        <w:t>（</w:t>
      </w:r>
      <w:r>
        <w:rPr>
          <w:rFonts w:hint="eastAsia" w:ascii="宋体" w:hAnsi="宋体" w:eastAsia="宋体" w:cs="Times New Roman"/>
          <w:b/>
          <w:color w:val="auto"/>
          <w:sz w:val="36"/>
          <w:szCs w:val="36"/>
          <w:highlight w:val="none"/>
          <w:lang w:val="en-US" w:eastAsia="zh-CN"/>
        </w:rPr>
        <w:t>锅炉送风机暖风器组件\FAF19-10-1 4000×3200/组件</w:t>
      </w:r>
      <w:r>
        <w:rPr>
          <w:rFonts w:hint="eastAsia" w:ascii="宋体" w:hAnsi="宋体" w:eastAsia="宋体" w:cs="Times New Roman"/>
          <w:b/>
          <w:color w:val="auto"/>
          <w:sz w:val="36"/>
          <w:szCs w:val="48"/>
          <w:highlight w:val="none"/>
          <w:lang w:val="sq-AL" w:eastAsia="zh-CN"/>
        </w:rPr>
        <w:t>）</w:t>
      </w:r>
    </w:p>
    <w:p>
      <w:pPr>
        <w:snapToGrid w:val="0"/>
        <w:spacing w:line="240" w:lineRule="atLeast"/>
        <w:ind w:right="2" w:rightChars="1"/>
        <w:jc w:val="center"/>
        <w:rPr>
          <w:rFonts w:hint="eastAsia" w:ascii="宋体" w:hAnsi="宋体" w:eastAsia="宋体" w:cs="Times New Roman"/>
          <w:b/>
          <w:color w:val="auto"/>
          <w:sz w:val="36"/>
          <w:szCs w:val="48"/>
          <w:highlight w:val="none"/>
          <w:lang w:val="sq-AL" w:eastAsia="zh-CN"/>
        </w:rPr>
      </w:pPr>
    </w:p>
    <w:p>
      <w:pPr>
        <w:snapToGrid w:val="0"/>
        <w:spacing w:line="240" w:lineRule="atLeast"/>
        <w:ind w:right="2" w:rightChars="1"/>
        <w:jc w:val="center"/>
        <w:rPr>
          <w:rFonts w:hint="eastAsia" w:ascii="宋体" w:hAnsi="宋体"/>
          <w:b/>
          <w:color w:val="auto"/>
          <w:sz w:val="36"/>
          <w:szCs w:val="48"/>
          <w:highlight w:val="none"/>
        </w:rPr>
      </w:pPr>
      <w:r>
        <w:rPr>
          <w:rFonts w:hint="eastAsia" w:ascii="宋体" w:hAnsi="宋体"/>
          <w:b/>
          <w:color w:val="auto"/>
          <w:sz w:val="36"/>
          <w:szCs w:val="36"/>
          <w:highlight w:val="none"/>
        </w:rPr>
        <w:t>技术</w:t>
      </w:r>
      <w:r>
        <w:rPr>
          <w:rFonts w:hint="eastAsia" w:ascii="宋体" w:hAnsi="宋体"/>
          <w:b/>
          <w:color w:val="auto"/>
          <w:sz w:val="36"/>
          <w:szCs w:val="36"/>
          <w:highlight w:val="none"/>
          <w:lang w:val="en-US" w:eastAsia="zh-CN"/>
        </w:rPr>
        <w:t>规格书</w:t>
      </w:r>
    </w:p>
    <w:p>
      <w:pPr>
        <w:snapToGrid w:val="0"/>
        <w:spacing w:line="360" w:lineRule="auto"/>
        <w:ind w:right="2" w:rightChars="1"/>
        <w:jc w:val="center"/>
        <w:rPr>
          <w:rFonts w:hint="eastAsia" w:ascii="宋体" w:hAnsi="宋体"/>
          <w:b/>
          <w:color w:val="auto"/>
          <w:sz w:val="36"/>
          <w:szCs w:val="48"/>
          <w:highlight w:val="none"/>
        </w:rPr>
      </w:pPr>
      <w:bookmarkStart w:id="8" w:name="_GoBack"/>
      <w:bookmarkEnd w:id="8"/>
    </w:p>
    <w:p>
      <w:pPr>
        <w:snapToGrid w:val="0"/>
        <w:spacing w:line="360" w:lineRule="auto"/>
        <w:ind w:right="2" w:rightChars="1"/>
        <w:jc w:val="center"/>
        <w:rPr>
          <w:rFonts w:hint="eastAsia" w:ascii="宋体" w:hAnsi="宋体"/>
          <w:b/>
          <w:color w:val="auto"/>
          <w:sz w:val="36"/>
          <w:szCs w:val="48"/>
          <w:highlight w:val="none"/>
        </w:rPr>
      </w:pPr>
    </w:p>
    <w:p>
      <w:pPr>
        <w:snapToGrid w:val="0"/>
        <w:spacing w:line="360" w:lineRule="auto"/>
        <w:ind w:right="2" w:rightChars="1"/>
        <w:jc w:val="center"/>
        <w:rPr>
          <w:rFonts w:hint="eastAsia" w:ascii="宋体" w:hAnsi="宋体"/>
          <w:b/>
          <w:color w:val="auto"/>
          <w:sz w:val="36"/>
          <w:szCs w:val="48"/>
          <w:highlight w:val="none"/>
        </w:rPr>
      </w:pPr>
    </w:p>
    <w:p>
      <w:pPr>
        <w:snapToGrid w:val="0"/>
        <w:spacing w:line="360" w:lineRule="auto"/>
        <w:ind w:right="2" w:rightChars="1"/>
        <w:jc w:val="center"/>
        <w:rPr>
          <w:rFonts w:hint="eastAsia" w:ascii="宋体" w:hAnsi="宋体"/>
          <w:b/>
          <w:color w:val="auto"/>
          <w:sz w:val="36"/>
          <w:szCs w:val="48"/>
          <w:highlight w:val="none"/>
        </w:rPr>
      </w:pPr>
    </w:p>
    <w:p>
      <w:pPr>
        <w:snapToGrid w:val="0"/>
        <w:spacing w:line="360" w:lineRule="auto"/>
        <w:ind w:right="2" w:rightChars="1"/>
        <w:jc w:val="center"/>
        <w:rPr>
          <w:rFonts w:hint="eastAsia" w:ascii="宋体" w:hAnsi="宋体"/>
          <w:b/>
          <w:color w:val="auto"/>
          <w:sz w:val="36"/>
          <w:szCs w:val="48"/>
          <w:highlight w:val="none"/>
        </w:rPr>
      </w:pPr>
    </w:p>
    <w:p>
      <w:pPr>
        <w:snapToGrid w:val="0"/>
        <w:spacing w:line="360" w:lineRule="auto"/>
        <w:ind w:right="2" w:rightChars="1"/>
        <w:jc w:val="center"/>
        <w:rPr>
          <w:rFonts w:hint="eastAsia" w:ascii="宋体" w:hAnsi="宋体"/>
          <w:b/>
          <w:color w:val="auto"/>
          <w:sz w:val="36"/>
          <w:szCs w:val="48"/>
          <w:highlight w:val="none"/>
        </w:rPr>
      </w:pPr>
    </w:p>
    <w:p>
      <w:pPr>
        <w:snapToGrid w:val="0"/>
        <w:spacing w:line="360" w:lineRule="auto"/>
        <w:ind w:right="2" w:rightChars="1"/>
        <w:jc w:val="center"/>
        <w:rPr>
          <w:rFonts w:hint="eastAsia" w:ascii="宋体" w:hAnsi="宋体"/>
          <w:b/>
          <w:color w:val="auto"/>
          <w:sz w:val="36"/>
          <w:szCs w:val="48"/>
          <w:highlight w:val="none"/>
        </w:rPr>
      </w:pPr>
    </w:p>
    <w:p>
      <w:pPr>
        <w:pStyle w:val="3"/>
        <w:rPr>
          <w:rFonts w:hint="eastAsia" w:ascii="宋体" w:hAnsi="宋体"/>
          <w:b/>
          <w:color w:val="auto"/>
          <w:sz w:val="36"/>
          <w:szCs w:val="48"/>
          <w:highlight w:val="none"/>
        </w:rPr>
      </w:pPr>
    </w:p>
    <w:p>
      <w:pPr>
        <w:rPr>
          <w:rFonts w:hint="eastAsia"/>
          <w:color w:val="auto"/>
          <w:highlight w:val="none"/>
        </w:rPr>
      </w:pPr>
    </w:p>
    <w:p>
      <w:pPr>
        <w:snapToGrid w:val="0"/>
        <w:spacing w:line="360" w:lineRule="auto"/>
        <w:ind w:right="2" w:rightChars="1"/>
        <w:jc w:val="center"/>
        <w:rPr>
          <w:rFonts w:hint="eastAsia" w:ascii="宋体" w:hAnsi="宋体"/>
          <w:b/>
          <w:color w:val="auto"/>
          <w:sz w:val="44"/>
          <w:szCs w:val="44"/>
          <w:highlight w:val="none"/>
        </w:rPr>
      </w:pPr>
    </w:p>
    <w:p>
      <w:pPr>
        <w:spacing w:line="360" w:lineRule="auto"/>
        <w:ind w:firstLine="1100" w:firstLineChars="344"/>
        <w:rPr>
          <w:rFonts w:hint="eastAsia" w:ascii="宋体" w:eastAsia="宋体"/>
          <w:color w:val="auto"/>
          <w:sz w:val="32"/>
          <w:szCs w:val="32"/>
          <w:highlight w:val="none"/>
          <w:lang w:eastAsia="zh-CN"/>
        </w:rPr>
      </w:pPr>
      <w:r>
        <w:rPr>
          <w:rFonts w:hint="eastAsia" w:ascii="宋体" w:hAnsi="宋体"/>
          <w:color w:val="auto"/>
          <w:sz w:val="32"/>
          <w:szCs w:val="32"/>
          <w:highlight w:val="none"/>
        </w:rPr>
        <w:t>甲  方：</w:t>
      </w:r>
      <w:r>
        <w:rPr>
          <w:rFonts w:hint="eastAsia" w:ascii="宋体" w:hAnsi="宋体"/>
          <w:color w:val="auto"/>
          <w:sz w:val="32"/>
          <w:szCs w:val="32"/>
          <w:highlight w:val="none"/>
          <w:lang w:val="sq-AL" w:eastAsia="zh-CN"/>
        </w:rPr>
        <w:t>嘉峪关宏晟电热有限责任公司</w:t>
      </w:r>
    </w:p>
    <w:p>
      <w:pPr>
        <w:spacing w:line="360" w:lineRule="auto"/>
        <w:ind w:firstLine="960" w:firstLineChars="300"/>
        <w:rPr>
          <w:rFonts w:hint="eastAsia" w:ascii="宋体" w:hAnsi="宋体"/>
          <w:color w:val="auto"/>
          <w:sz w:val="32"/>
          <w:szCs w:val="32"/>
          <w:highlight w:val="none"/>
        </w:rPr>
      </w:pPr>
    </w:p>
    <w:p>
      <w:pPr>
        <w:spacing w:line="360" w:lineRule="auto"/>
        <w:ind w:firstLine="960" w:firstLineChars="300"/>
        <w:rPr>
          <w:rFonts w:hint="eastAsia" w:ascii="宋体" w:hAnsi="宋体"/>
          <w:color w:val="auto"/>
          <w:sz w:val="32"/>
          <w:szCs w:val="32"/>
          <w:highlight w:val="none"/>
        </w:rPr>
      </w:pPr>
      <w:r>
        <w:rPr>
          <w:rFonts w:hint="eastAsia" w:ascii="宋体" w:hAnsi="宋体"/>
          <w:color w:val="auto"/>
          <w:sz w:val="32"/>
          <w:szCs w:val="32"/>
          <w:highlight w:val="none"/>
        </w:rPr>
        <w:t xml:space="preserve"> 乙  方：</w:t>
      </w:r>
    </w:p>
    <w:p>
      <w:pPr>
        <w:spacing w:line="360" w:lineRule="auto"/>
        <w:rPr>
          <w:rFonts w:hint="eastAsia" w:ascii="宋体" w:hAnsi="宋体"/>
          <w:color w:val="auto"/>
          <w:sz w:val="36"/>
          <w:szCs w:val="36"/>
          <w:highlight w:val="none"/>
        </w:rPr>
      </w:pPr>
    </w:p>
    <w:p>
      <w:pPr>
        <w:spacing w:line="360" w:lineRule="auto"/>
        <w:rPr>
          <w:rFonts w:hint="eastAsia" w:ascii="宋体" w:hAnsi="宋体"/>
          <w:b/>
          <w:color w:val="auto"/>
          <w:sz w:val="36"/>
          <w:szCs w:val="36"/>
          <w:highlight w:val="none"/>
        </w:rPr>
      </w:pPr>
    </w:p>
    <w:p>
      <w:pPr>
        <w:spacing w:line="360" w:lineRule="auto"/>
        <w:rPr>
          <w:rFonts w:hint="eastAsia" w:ascii="宋体" w:hAnsi="宋体"/>
          <w:b/>
          <w:color w:val="auto"/>
          <w:sz w:val="36"/>
          <w:szCs w:val="36"/>
          <w:highlight w:val="none"/>
        </w:rPr>
      </w:pPr>
    </w:p>
    <w:p>
      <w:pPr>
        <w:spacing w:line="838" w:lineRule="exact"/>
        <w:rPr>
          <w:color w:val="auto"/>
          <w:highlight w:val="none"/>
        </w:rPr>
        <w:sectPr>
          <w:pgSz w:w="11906" w:h="16839"/>
          <w:pgMar w:top="1644" w:right="1531" w:bottom="1644" w:left="1531" w:header="0" w:footer="0" w:gutter="0"/>
          <w:cols w:space="0" w:num="1"/>
          <w:rtlGutter w:val="0"/>
          <w:docGrid w:linePitch="0" w:charSpace="0"/>
        </w:sectPr>
      </w:pPr>
    </w:p>
    <w:p>
      <w:pPr>
        <w:widowControl w:val="0"/>
        <w:kinsoku/>
        <w:autoSpaceDE/>
        <w:autoSpaceDN/>
        <w:adjustRightInd/>
        <w:snapToGrid/>
        <w:spacing w:before="100" w:beforeAutospacing="1" w:after="100" w:afterAutospacing="1" w:line="240" w:lineRule="atLeast"/>
        <w:jc w:val="center"/>
        <w:textAlignment w:val="auto"/>
        <w:rPr>
          <w:rFonts w:hint="eastAsia" w:ascii="宋体" w:hAnsi="宋体" w:eastAsia="宋体" w:cs="Times New Roman"/>
          <w:b/>
          <w:snapToGrid/>
          <w:color w:val="auto"/>
          <w:spacing w:val="-4"/>
          <w:kern w:val="28"/>
          <w:sz w:val="28"/>
          <w:szCs w:val="28"/>
          <w:highlight w:val="none"/>
          <w:lang w:eastAsia="zh-CN"/>
        </w:rPr>
      </w:pPr>
      <w:r>
        <w:rPr>
          <w:rFonts w:hint="eastAsia" w:ascii="宋体" w:hAnsi="宋体" w:eastAsia="宋体" w:cs="Times New Roman"/>
          <w:b/>
          <w:snapToGrid/>
          <w:color w:val="auto"/>
          <w:spacing w:val="-4"/>
          <w:kern w:val="28"/>
          <w:sz w:val="28"/>
          <w:szCs w:val="28"/>
          <w:highlight w:val="none"/>
          <w:lang w:eastAsia="zh-CN"/>
        </w:rPr>
        <w:t>目    录</w:t>
      </w: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r>
        <w:rPr>
          <w:rFonts w:hint="eastAsia" w:ascii="宋体" w:hAnsi="宋体" w:eastAsia="宋体" w:cs="Times New Roman"/>
          <w:b/>
          <w:snapToGrid/>
          <w:color w:val="auto"/>
          <w:spacing w:val="-4"/>
          <w:kern w:val="28"/>
          <w:sz w:val="28"/>
          <w:szCs w:val="28"/>
          <w:highlight w:val="none"/>
          <w:lang w:eastAsia="zh-CN"/>
        </w:rPr>
        <w:t>附件一    总则</w:t>
      </w: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r>
        <w:rPr>
          <w:rFonts w:hint="eastAsia" w:ascii="宋体" w:hAnsi="宋体" w:eastAsia="宋体" w:cs="Times New Roman"/>
          <w:b/>
          <w:snapToGrid/>
          <w:color w:val="auto"/>
          <w:spacing w:val="-4"/>
          <w:kern w:val="28"/>
          <w:sz w:val="28"/>
          <w:szCs w:val="28"/>
          <w:highlight w:val="none"/>
          <w:lang w:eastAsia="zh-CN"/>
        </w:rPr>
        <w:t>附件二    制造要求</w:t>
      </w: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r>
        <w:rPr>
          <w:rFonts w:hint="eastAsia" w:ascii="宋体" w:hAnsi="宋体" w:eastAsia="宋体" w:cs="Times New Roman"/>
          <w:b/>
          <w:snapToGrid/>
          <w:color w:val="auto"/>
          <w:spacing w:val="-4"/>
          <w:kern w:val="28"/>
          <w:sz w:val="28"/>
          <w:szCs w:val="28"/>
          <w:highlight w:val="none"/>
          <w:lang w:eastAsia="zh-CN"/>
        </w:rPr>
        <w:t>附件三   系统设施供货范围</w:t>
      </w: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r>
        <w:rPr>
          <w:rFonts w:hint="eastAsia" w:ascii="宋体" w:hAnsi="宋体" w:eastAsia="宋体" w:cs="Times New Roman"/>
          <w:b/>
          <w:snapToGrid/>
          <w:color w:val="auto"/>
          <w:spacing w:val="-4"/>
          <w:kern w:val="28"/>
          <w:sz w:val="28"/>
          <w:szCs w:val="28"/>
          <w:highlight w:val="none"/>
          <w:lang w:eastAsia="zh-CN"/>
        </w:rPr>
        <w:t>附件四    提供资料</w:t>
      </w: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r>
        <w:rPr>
          <w:rFonts w:hint="eastAsia" w:ascii="宋体" w:hAnsi="宋体" w:eastAsia="宋体" w:cs="Times New Roman"/>
          <w:b/>
          <w:snapToGrid/>
          <w:color w:val="auto"/>
          <w:spacing w:val="-4"/>
          <w:kern w:val="28"/>
          <w:sz w:val="28"/>
          <w:szCs w:val="28"/>
          <w:highlight w:val="none"/>
          <w:lang w:eastAsia="zh-CN"/>
        </w:rPr>
        <w:t>附件五    售后服务</w:t>
      </w: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r>
        <w:rPr>
          <w:rFonts w:hint="eastAsia" w:ascii="宋体" w:hAnsi="宋体" w:eastAsia="宋体" w:cs="Times New Roman"/>
          <w:b/>
          <w:snapToGrid/>
          <w:color w:val="auto"/>
          <w:spacing w:val="-4"/>
          <w:kern w:val="28"/>
          <w:sz w:val="28"/>
          <w:szCs w:val="28"/>
          <w:highlight w:val="none"/>
          <w:lang w:eastAsia="zh-CN"/>
        </w:rPr>
        <w:t>附件六    交货时间及地点</w:t>
      </w: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r>
        <w:rPr>
          <w:rFonts w:hint="eastAsia" w:ascii="宋体" w:hAnsi="宋体" w:eastAsia="宋体" w:cs="Times New Roman"/>
          <w:b/>
          <w:snapToGrid/>
          <w:color w:val="auto"/>
          <w:spacing w:val="-4"/>
          <w:kern w:val="28"/>
          <w:sz w:val="28"/>
          <w:szCs w:val="28"/>
          <w:highlight w:val="none"/>
          <w:lang w:eastAsia="zh-CN"/>
        </w:rPr>
        <w:t>附件七    其他</w:t>
      </w: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p>
    <w:p>
      <w:pPr>
        <w:widowControl w:val="0"/>
        <w:kinsoku/>
        <w:autoSpaceDE/>
        <w:autoSpaceDN/>
        <w:adjustRightInd/>
        <w:snapToGrid/>
        <w:spacing w:before="100" w:beforeAutospacing="1" w:after="100" w:afterAutospacing="1" w:line="240" w:lineRule="atLeast"/>
        <w:jc w:val="both"/>
        <w:textAlignment w:val="auto"/>
        <w:rPr>
          <w:rFonts w:hint="eastAsia" w:ascii="宋体" w:hAnsi="宋体" w:eastAsia="宋体" w:cs="Times New Roman"/>
          <w:b/>
          <w:snapToGrid/>
          <w:color w:val="auto"/>
          <w:spacing w:val="-4"/>
          <w:kern w:val="28"/>
          <w:sz w:val="28"/>
          <w:szCs w:val="28"/>
          <w:highlight w:val="none"/>
          <w:lang w:eastAsia="zh-CN"/>
        </w:rPr>
      </w:pPr>
    </w:p>
    <w:p>
      <w:pPr>
        <w:pStyle w:val="4"/>
        <w:spacing w:line="245" w:lineRule="auto"/>
        <w:rPr>
          <w:color w:val="auto"/>
          <w:highlight w:val="none"/>
        </w:rPr>
      </w:pPr>
    </w:p>
    <w:p>
      <w:pPr>
        <w:pStyle w:val="4"/>
        <w:spacing w:line="245" w:lineRule="auto"/>
        <w:rPr>
          <w:color w:val="auto"/>
          <w:highlight w:val="none"/>
        </w:rPr>
      </w:pPr>
    </w:p>
    <w:p>
      <w:pPr>
        <w:pStyle w:val="4"/>
        <w:spacing w:line="245" w:lineRule="auto"/>
        <w:rPr>
          <w:color w:val="auto"/>
          <w:highlight w:val="none"/>
        </w:rPr>
      </w:pPr>
    </w:p>
    <w:p>
      <w:pPr>
        <w:pStyle w:val="4"/>
        <w:spacing w:line="245" w:lineRule="auto"/>
        <w:rPr>
          <w:color w:val="auto"/>
          <w:highlight w:val="none"/>
        </w:rPr>
      </w:pPr>
    </w:p>
    <w:p>
      <w:pPr>
        <w:tabs>
          <w:tab w:val="left" w:pos="1080"/>
        </w:tabs>
        <w:spacing w:line="360" w:lineRule="auto"/>
        <w:ind w:firstLine="480" w:firstLineChars="200"/>
        <w:rPr>
          <w:rFonts w:hint="eastAsia" w:ascii="宋体" w:hAnsi="宋体" w:eastAsia="宋体" w:cs="Times New Roman"/>
          <w:color w:val="auto"/>
          <w:sz w:val="24"/>
          <w:szCs w:val="24"/>
          <w:highlight w:val="none"/>
          <w:lang w:val="sq-AL" w:eastAsia="zh-CN"/>
        </w:rPr>
      </w:pPr>
      <w:r>
        <w:rPr>
          <w:rFonts w:hint="eastAsia" w:ascii="宋体" w:hAnsi="宋体" w:eastAsia="宋体" w:cs="Times New Roman"/>
          <w:color w:val="auto"/>
          <w:sz w:val="24"/>
          <w:szCs w:val="24"/>
          <w:highlight w:val="none"/>
          <w:lang w:val="sq-AL" w:eastAsia="zh-CN"/>
        </w:rPr>
        <w:t>甲方：嘉峪关宏晟电热有限责任公司</w:t>
      </w:r>
    </w:p>
    <w:p>
      <w:pPr>
        <w:tabs>
          <w:tab w:val="left" w:pos="1080"/>
        </w:tabs>
        <w:spacing w:line="360" w:lineRule="auto"/>
        <w:ind w:firstLine="480" w:firstLineChars="200"/>
        <w:rPr>
          <w:rFonts w:hint="eastAsia" w:ascii="宋体" w:hAnsi="宋体" w:eastAsia="宋体" w:cs="Times New Roman"/>
          <w:color w:val="auto"/>
          <w:sz w:val="24"/>
          <w:szCs w:val="24"/>
          <w:highlight w:val="none"/>
          <w:lang w:val="sq-AL" w:eastAsia="zh-CN"/>
        </w:rPr>
      </w:pPr>
      <w:r>
        <w:rPr>
          <w:rFonts w:hint="eastAsia" w:ascii="宋体" w:hAnsi="宋体" w:eastAsia="宋体" w:cs="Times New Roman"/>
          <w:color w:val="auto"/>
          <w:sz w:val="24"/>
          <w:szCs w:val="24"/>
          <w:highlight w:val="none"/>
          <w:lang w:val="sq-AL" w:eastAsia="zh-CN"/>
        </w:rPr>
        <w:t>乙方：</w:t>
      </w:r>
    </w:p>
    <w:p>
      <w:pPr>
        <w:tabs>
          <w:tab w:val="left" w:pos="1080"/>
        </w:tabs>
        <w:spacing w:line="360" w:lineRule="auto"/>
        <w:ind w:firstLine="480" w:firstLineChars="200"/>
        <w:rPr>
          <w:rFonts w:hint="eastAsia" w:ascii="宋体" w:hAnsi="宋体" w:eastAsia="宋体" w:cs="Times New Roman"/>
          <w:color w:val="auto"/>
          <w:sz w:val="24"/>
          <w:szCs w:val="24"/>
          <w:highlight w:val="none"/>
          <w:lang w:val="sq-AL" w:eastAsia="zh-CN"/>
        </w:rPr>
      </w:pPr>
      <w:r>
        <w:rPr>
          <w:rFonts w:hint="eastAsia" w:ascii="宋体" w:hAnsi="宋体" w:eastAsia="宋体" w:cs="Times New Roman"/>
          <w:color w:val="auto"/>
          <w:sz w:val="24"/>
          <w:szCs w:val="24"/>
          <w:highlight w:val="none"/>
          <w:lang w:val="sq-AL" w:eastAsia="zh-CN"/>
        </w:rPr>
        <w:t>甲乙双方就锅炉送风机暖风器组件\FAF19-10-1 4000×3200/组件采购经双方协商，达成如下协议：</w:t>
      </w:r>
    </w:p>
    <w:p>
      <w:pPr>
        <w:pStyle w:val="4"/>
        <w:spacing w:line="252" w:lineRule="auto"/>
        <w:rPr>
          <w:color w:val="auto"/>
          <w:highlight w:val="none"/>
        </w:rPr>
      </w:pPr>
    </w:p>
    <w:p>
      <w:pPr>
        <w:spacing w:before="65" w:line="228" w:lineRule="auto"/>
        <w:ind w:left="38"/>
        <w:outlineLvl w:val="0"/>
        <w:rPr>
          <w:rFonts w:ascii="宋体" w:hAnsi="宋体" w:eastAsia="宋体" w:cs="宋体"/>
          <w:color w:val="auto"/>
          <w:sz w:val="24"/>
          <w:szCs w:val="24"/>
          <w:highlight w:val="none"/>
        </w:rPr>
      </w:pPr>
      <w:r>
        <w:rPr>
          <w:rFonts w:ascii="宋体" w:hAnsi="宋体" w:eastAsia="宋体" w:cs="宋体"/>
          <w:b/>
          <w:bCs/>
          <w:color w:val="auto"/>
          <w:spacing w:val="1"/>
          <w:sz w:val="24"/>
          <w:szCs w:val="24"/>
          <w:highlight w:val="none"/>
        </w:rPr>
        <w:t>附件一</w:t>
      </w:r>
      <w:r>
        <w:rPr>
          <w:rFonts w:ascii="宋体" w:hAnsi="宋体" w:eastAsia="宋体" w:cs="宋体"/>
          <w:color w:val="auto"/>
          <w:spacing w:val="16"/>
          <w:sz w:val="24"/>
          <w:szCs w:val="24"/>
          <w:highlight w:val="none"/>
        </w:rPr>
        <w:t xml:space="preserve"> </w:t>
      </w:r>
      <w:r>
        <w:rPr>
          <w:rFonts w:ascii="宋体" w:hAnsi="宋体" w:eastAsia="宋体" w:cs="宋体"/>
          <w:b/>
          <w:bCs/>
          <w:color w:val="auto"/>
          <w:spacing w:val="1"/>
          <w:sz w:val="24"/>
          <w:szCs w:val="24"/>
          <w:highlight w:val="none"/>
        </w:rPr>
        <w:t>总则</w:t>
      </w:r>
    </w:p>
    <w:p>
      <w:pPr>
        <w:tabs>
          <w:tab w:val="left" w:pos="1080"/>
        </w:tabs>
        <w:spacing w:line="360" w:lineRule="auto"/>
        <w:ind w:firstLine="480" w:firstLineChars="200"/>
        <w:rPr>
          <w:rFonts w:hint="eastAsia" w:ascii="宋体" w:hAnsi="宋体" w:eastAsia="宋体" w:cs="Times New Roman"/>
          <w:color w:val="auto"/>
          <w:sz w:val="24"/>
          <w:szCs w:val="24"/>
          <w:highlight w:val="none"/>
          <w:lang w:val="sq-AL" w:eastAsia="zh-CN"/>
        </w:rPr>
      </w:pPr>
      <w:r>
        <w:rPr>
          <w:rFonts w:hint="eastAsia" w:ascii="宋体" w:hAnsi="宋体" w:eastAsia="宋体" w:cs="Times New Roman"/>
          <w:color w:val="auto"/>
          <w:sz w:val="24"/>
          <w:szCs w:val="24"/>
          <w:highlight w:val="none"/>
          <w:lang w:val="sq-AL" w:eastAsia="zh-CN"/>
        </w:rPr>
        <w:t>1.本技术规格书作为甲方设备订货合同的附件，与订货合同同时生效，具有同等法律效力。合同执行期间双方再协商形成的补充协议和追加条款也具有同等法律效力。</w:t>
      </w:r>
    </w:p>
    <w:p>
      <w:pPr>
        <w:tabs>
          <w:tab w:val="left" w:pos="1080"/>
        </w:tabs>
        <w:spacing w:line="360" w:lineRule="auto"/>
        <w:ind w:firstLine="480" w:firstLineChars="200"/>
        <w:rPr>
          <w:rFonts w:hint="eastAsia" w:ascii="宋体" w:hAnsi="宋体" w:eastAsia="宋体" w:cs="Times New Roman"/>
          <w:color w:val="auto"/>
          <w:sz w:val="24"/>
          <w:szCs w:val="24"/>
          <w:highlight w:val="none"/>
          <w:lang w:val="sq-AL" w:eastAsia="zh-CN"/>
        </w:rPr>
      </w:pPr>
      <w:r>
        <w:rPr>
          <w:rFonts w:hint="eastAsia" w:ascii="宋体" w:hAnsi="宋体" w:eastAsia="宋体" w:cs="Times New Roman"/>
          <w:color w:val="auto"/>
          <w:sz w:val="24"/>
          <w:szCs w:val="24"/>
          <w:highlight w:val="none"/>
          <w:lang w:val="sq-AL" w:eastAsia="zh-CN"/>
        </w:rPr>
        <w:t>2.本技术规格书所提出的是最低标准的技术要求，并未对一切技术细节做出规定，也未充分引述有关标准和规范的条文，乙方应保证提供符合有关标准和技术文件的优质产品。</w:t>
      </w:r>
    </w:p>
    <w:p>
      <w:pPr>
        <w:tabs>
          <w:tab w:val="left" w:pos="1080"/>
        </w:tabs>
        <w:spacing w:line="360" w:lineRule="auto"/>
        <w:ind w:firstLine="480" w:firstLineChars="200"/>
        <w:rPr>
          <w:rFonts w:hint="eastAsia" w:ascii="宋体" w:hAnsi="宋体" w:eastAsia="宋体" w:cs="Times New Roman"/>
          <w:color w:val="auto"/>
          <w:sz w:val="24"/>
          <w:szCs w:val="24"/>
          <w:highlight w:val="none"/>
          <w:lang w:val="sq-AL" w:eastAsia="zh-CN"/>
        </w:rPr>
      </w:pPr>
      <w:r>
        <w:rPr>
          <w:rFonts w:hint="eastAsia" w:ascii="宋体" w:hAnsi="宋体" w:eastAsia="宋体" w:cs="Times New Roman"/>
          <w:color w:val="auto"/>
          <w:sz w:val="24"/>
          <w:szCs w:val="24"/>
          <w:highlight w:val="none"/>
          <w:lang w:val="sq-AL" w:eastAsia="zh-CN"/>
        </w:rPr>
        <w:t>3.乙方提供的设备必须具有国内同行业近几年内的先进制造水平，采用先进工艺，合格材料，成熟的技术或专利技术。</w:t>
      </w:r>
    </w:p>
    <w:p>
      <w:pPr>
        <w:tabs>
          <w:tab w:val="left" w:pos="1080"/>
        </w:tabs>
        <w:spacing w:line="360" w:lineRule="auto"/>
        <w:ind w:firstLine="480" w:firstLineChars="200"/>
        <w:rPr>
          <w:rFonts w:hint="eastAsia" w:ascii="宋体" w:hAnsi="宋体" w:eastAsia="宋体" w:cs="Times New Roman"/>
          <w:color w:val="auto"/>
          <w:sz w:val="24"/>
          <w:szCs w:val="24"/>
          <w:highlight w:val="none"/>
          <w:lang w:val="sq-AL" w:eastAsia="zh-CN"/>
        </w:rPr>
      </w:pPr>
      <w:r>
        <w:rPr>
          <w:rFonts w:hint="eastAsia" w:ascii="宋体" w:hAnsi="宋体" w:eastAsia="宋体" w:cs="Times New Roman"/>
          <w:color w:val="auto"/>
          <w:sz w:val="24"/>
          <w:szCs w:val="24"/>
          <w:highlight w:val="none"/>
          <w:lang w:val="sq-AL" w:eastAsia="zh-CN"/>
        </w:rPr>
        <w:t>4.乙方提供的设备必须是全新、规范、先进的高质量可靠产品，能够确保连续稳定地工作。</w:t>
      </w:r>
    </w:p>
    <w:p>
      <w:pPr>
        <w:tabs>
          <w:tab w:val="left" w:pos="1080"/>
        </w:tabs>
        <w:spacing w:line="360" w:lineRule="auto"/>
        <w:ind w:firstLine="480" w:firstLineChars="200"/>
        <w:rPr>
          <w:rFonts w:hint="eastAsia" w:ascii="宋体" w:hAnsi="宋体" w:eastAsia="宋体" w:cs="Times New Roman"/>
          <w:color w:val="auto"/>
          <w:sz w:val="24"/>
          <w:szCs w:val="24"/>
          <w:highlight w:val="none"/>
          <w:lang w:val="sq-AL" w:eastAsia="zh-CN"/>
        </w:rPr>
      </w:pPr>
      <w:r>
        <w:rPr>
          <w:rFonts w:hint="eastAsia" w:ascii="宋体" w:hAnsi="宋体" w:eastAsia="宋体" w:cs="Times New Roman"/>
          <w:color w:val="auto"/>
          <w:sz w:val="24"/>
          <w:szCs w:val="24"/>
          <w:highlight w:val="none"/>
          <w:lang w:val="sq-AL" w:eastAsia="zh-CN"/>
        </w:rPr>
        <w:t>5.乙方提供货物的制造，材料的选择，都应按照国内外通用的现行标准和相应的技术规范执行，而这些标准和技术规范应为合同签字日为止最新公布发文的标准和技术规范。</w:t>
      </w:r>
    </w:p>
    <w:p>
      <w:pPr>
        <w:tabs>
          <w:tab w:val="left" w:pos="1080"/>
        </w:tabs>
        <w:spacing w:line="360" w:lineRule="auto"/>
        <w:ind w:firstLine="480" w:firstLineChars="200"/>
        <w:rPr>
          <w:rFonts w:hint="eastAsia" w:ascii="宋体" w:hAnsi="宋体" w:eastAsia="宋体" w:cs="Times New Roman"/>
          <w:color w:val="auto"/>
          <w:sz w:val="24"/>
          <w:szCs w:val="24"/>
          <w:highlight w:val="none"/>
          <w:lang w:val="sq-AL" w:eastAsia="zh-CN"/>
        </w:rPr>
      </w:pPr>
      <w:r>
        <w:rPr>
          <w:rFonts w:hint="eastAsia" w:ascii="宋体" w:hAnsi="宋体" w:eastAsia="宋体" w:cs="Times New Roman"/>
          <w:color w:val="auto"/>
          <w:sz w:val="24"/>
          <w:szCs w:val="24"/>
          <w:highlight w:val="none"/>
          <w:lang w:val="sq-AL" w:eastAsia="zh-CN"/>
        </w:rPr>
        <w:t>6</w:t>
      </w:r>
      <w:r>
        <w:rPr>
          <w:rFonts w:hint="eastAsia" w:ascii="宋体" w:hAnsi="宋体" w:eastAsia="宋体" w:cs="Times New Roman"/>
          <w:color w:val="auto"/>
          <w:sz w:val="24"/>
          <w:szCs w:val="24"/>
          <w:highlight w:val="none"/>
          <w:lang w:val="en-US" w:eastAsia="zh-CN"/>
        </w:rPr>
        <w:t>.</w:t>
      </w:r>
      <w:r>
        <w:rPr>
          <w:rFonts w:hint="eastAsia" w:ascii="宋体" w:hAnsi="宋体" w:eastAsia="宋体" w:cs="Times New Roman"/>
          <w:color w:val="auto"/>
          <w:sz w:val="24"/>
          <w:szCs w:val="24"/>
          <w:highlight w:val="none"/>
          <w:lang w:val="sq-AL" w:eastAsia="zh-CN"/>
        </w:rPr>
        <w:t>乙方对技术规格书和合同文件（包括图纸、说明书等）均采用国际单位。</w:t>
      </w:r>
    </w:p>
    <w:p>
      <w:pPr>
        <w:tabs>
          <w:tab w:val="left" w:pos="1080"/>
        </w:tabs>
        <w:spacing w:line="360" w:lineRule="auto"/>
        <w:ind w:firstLine="480" w:firstLineChars="200"/>
        <w:rPr>
          <w:rFonts w:hint="eastAsia" w:ascii="宋体" w:hAnsi="宋体" w:eastAsia="宋体" w:cs="Times New Roman"/>
          <w:color w:val="auto"/>
          <w:sz w:val="24"/>
          <w:szCs w:val="24"/>
          <w:highlight w:val="none"/>
          <w:lang w:val="sq-AL" w:eastAsia="zh-CN"/>
        </w:rPr>
      </w:pPr>
      <w:r>
        <w:rPr>
          <w:rFonts w:hint="eastAsia" w:ascii="宋体" w:hAnsi="宋体" w:eastAsia="宋体" w:cs="Times New Roman"/>
          <w:color w:val="auto"/>
          <w:sz w:val="24"/>
          <w:szCs w:val="24"/>
          <w:highlight w:val="none"/>
          <w:lang w:val="sq-AL" w:eastAsia="zh-CN"/>
        </w:rPr>
        <w:t>7.乙方在合同货物制造中，发生侵犯专利的行为时其侵权责任与甲方无关。</w:t>
      </w:r>
    </w:p>
    <w:p>
      <w:pPr>
        <w:spacing w:before="65" w:line="228" w:lineRule="auto"/>
        <w:ind w:left="38"/>
        <w:outlineLvl w:val="0"/>
        <w:rPr>
          <w:rFonts w:ascii="宋体" w:hAnsi="宋体" w:eastAsia="宋体" w:cs="宋体"/>
          <w:color w:val="auto"/>
          <w:sz w:val="24"/>
          <w:szCs w:val="24"/>
          <w:highlight w:val="none"/>
        </w:rPr>
      </w:pPr>
      <w:r>
        <w:rPr>
          <w:rFonts w:ascii="宋体" w:hAnsi="宋体" w:eastAsia="宋体" w:cs="宋体"/>
          <w:b/>
          <w:bCs/>
          <w:color w:val="auto"/>
          <w:spacing w:val="5"/>
          <w:sz w:val="24"/>
          <w:szCs w:val="24"/>
          <w:highlight w:val="none"/>
        </w:rPr>
        <w:t>附件二</w:t>
      </w:r>
      <w:r>
        <w:rPr>
          <w:rFonts w:ascii="宋体" w:hAnsi="宋体" w:eastAsia="宋体" w:cs="宋体"/>
          <w:color w:val="auto"/>
          <w:spacing w:val="5"/>
          <w:sz w:val="24"/>
          <w:szCs w:val="24"/>
          <w:highlight w:val="none"/>
        </w:rPr>
        <w:t xml:space="preserve"> </w:t>
      </w:r>
      <w:r>
        <w:rPr>
          <w:rFonts w:ascii="宋体" w:hAnsi="宋体" w:eastAsia="宋体" w:cs="宋体"/>
          <w:b/>
          <w:bCs/>
          <w:color w:val="auto"/>
          <w:spacing w:val="5"/>
          <w:sz w:val="24"/>
          <w:szCs w:val="24"/>
          <w:highlight w:val="none"/>
        </w:rPr>
        <w:t>制造要求</w:t>
      </w:r>
    </w:p>
    <w:p>
      <w:pPr>
        <w:spacing w:before="66" w:line="228" w:lineRule="auto"/>
        <w:ind w:left="444"/>
        <w:rPr>
          <w:rFonts w:ascii="宋体" w:hAnsi="宋体" w:eastAsia="宋体" w:cs="宋体"/>
          <w:color w:val="auto"/>
          <w:sz w:val="24"/>
          <w:szCs w:val="24"/>
          <w:highlight w:val="none"/>
        </w:rPr>
      </w:pPr>
      <w:r>
        <w:rPr>
          <w:rFonts w:ascii="宋体" w:hAnsi="宋体" w:eastAsia="宋体" w:cs="宋体"/>
          <w:color w:val="auto"/>
          <w:spacing w:val="6"/>
          <w:sz w:val="24"/>
          <w:szCs w:val="24"/>
          <w:highlight w:val="none"/>
        </w:rPr>
        <w:t>2.1</w:t>
      </w:r>
      <w:r>
        <w:rPr>
          <w:rFonts w:ascii="宋体" w:hAnsi="宋体" w:eastAsia="宋体" w:cs="宋体"/>
          <w:color w:val="auto"/>
          <w:spacing w:val="-30"/>
          <w:sz w:val="24"/>
          <w:szCs w:val="24"/>
          <w:highlight w:val="none"/>
        </w:rPr>
        <w:t xml:space="preserve"> </w:t>
      </w:r>
      <w:r>
        <w:rPr>
          <w:rFonts w:ascii="宋体" w:hAnsi="宋体" w:eastAsia="宋体" w:cs="宋体"/>
          <w:color w:val="auto"/>
          <w:spacing w:val="6"/>
          <w:sz w:val="24"/>
          <w:szCs w:val="24"/>
          <w:highlight w:val="none"/>
        </w:rPr>
        <w:t>名称：</w:t>
      </w:r>
      <w:r>
        <w:rPr>
          <w:rFonts w:hint="eastAsia" w:ascii="宋体" w:hAnsi="宋体" w:eastAsia="宋体" w:cs="宋体"/>
          <w:color w:val="auto"/>
          <w:spacing w:val="6"/>
          <w:sz w:val="24"/>
          <w:szCs w:val="24"/>
          <w:highlight w:val="none"/>
          <w:lang w:eastAsia="zh-CN"/>
        </w:rPr>
        <w:t>送风机</w:t>
      </w:r>
      <w:r>
        <w:rPr>
          <w:rFonts w:ascii="宋体" w:hAnsi="宋体" w:eastAsia="宋体" w:cs="宋体"/>
          <w:color w:val="auto"/>
          <w:spacing w:val="6"/>
          <w:sz w:val="24"/>
          <w:szCs w:val="24"/>
          <w:highlight w:val="none"/>
        </w:rPr>
        <w:t>暖风器</w:t>
      </w:r>
    </w:p>
    <w:p>
      <w:pPr>
        <w:spacing w:before="64" w:line="230" w:lineRule="auto"/>
        <w:ind w:left="444"/>
        <w:rPr>
          <w:rFonts w:ascii="宋体" w:hAnsi="宋体" w:eastAsia="宋体" w:cs="宋体"/>
          <w:color w:val="auto"/>
          <w:sz w:val="24"/>
          <w:szCs w:val="24"/>
          <w:highlight w:val="none"/>
        </w:rPr>
      </w:pPr>
      <w:r>
        <w:rPr>
          <w:rFonts w:ascii="宋体" w:hAnsi="宋体" w:eastAsia="宋体" w:cs="宋体"/>
          <w:color w:val="auto"/>
          <w:spacing w:val="6"/>
          <w:sz w:val="24"/>
          <w:szCs w:val="24"/>
          <w:highlight w:val="none"/>
        </w:rPr>
        <w:t xml:space="preserve">2.2 </w:t>
      </w:r>
      <w:r>
        <w:rPr>
          <w:rFonts w:hint="eastAsia" w:ascii="宋体" w:hAnsi="宋体" w:eastAsia="宋体" w:cs="宋体"/>
          <w:color w:val="auto"/>
          <w:spacing w:val="6"/>
          <w:sz w:val="24"/>
          <w:szCs w:val="24"/>
          <w:highlight w:val="none"/>
          <w:lang w:eastAsia="zh-CN"/>
        </w:rPr>
        <w:t>原设备</w:t>
      </w:r>
      <w:r>
        <w:rPr>
          <w:rFonts w:ascii="宋体" w:hAnsi="宋体" w:eastAsia="宋体" w:cs="宋体"/>
          <w:color w:val="auto"/>
          <w:spacing w:val="6"/>
          <w:sz w:val="24"/>
          <w:szCs w:val="24"/>
          <w:highlight w:val="none"/>
        </w:rPr>
        <w:t>型号：</w:t>
      </w:r>
      <w:r>
        <w:rPr>
          <w:rFonts w:hint="eastAsia" w:ascii="宋体" w:hAnsi="宋体" w:eastAsia="宋体" w:cs="宋体"/>
          <w:color w:val="auto"/>
          <w:spacing w:val="6"/>
          <w:sz w:val="24"/>
          <w:szCs w:val="24"/>
          <w:highlight w:val="none"/>
          <w:lang w:val="en-US" w:eastAsia="zh-CN"/>
        </w:rPr>
        <w:t>/</w:t>
      </w:r>
    </w:p>
    <w:p>
      <w:pPr>
        <w:spacing w:before="63" w:line="228" w:lineRule="auto"/>
        <w:ind w:left="444"/>
        <w:rPr>
          <w:rFonts w:ascii="宋体" w:hAnsi="宋体" w:eastAsia="宋体" w:cs="宋体"/>
          <w:color w:val="auto"/>
          <w:sz w:val="24"/>
          <w:szCs w:val="24"/>
          <w:highlight w:val="none"/>
        </w:rPr>
      </w:pPr>
      <w:r>
        <w:rPr>
          <w:rFonts w:ascii="宋体" w:hAnsi="宋体" w:eastAsia="宋体" w:cs="宋体"/>
          <w:color w:val="auto"/>
          <w:spacing w:val="7"/>
          <w:sz w:val="24"/>
          <w:szCs w:val="24"/>
          <w:highlight w:val="none"/>
        </w:rPr>
        <w:t>2.3 用途：350</w:t>
      </w:r>
      <w:r>
        <w:rPr>
          <w:rFonts w:ascii="宋体" w:hAnsi="宋体" w:eastAsia="宋体" w:cs="宋体"/>
          <w:color w:val="auto"/>
          <w:sz w:val="24"/>
          <w:szCs w:val="24"/>
          <w:highlight w:val="none"/>
        </w:rPr>
        <w:t>MW</w:t>
      </w:r>
      <w:r>
        <w:rPr>
          <w:rFonts w:ascii="宋体" w:hAnsi="宋体" w:eastAsia="宋体" w:cs="宋体"/>
          <w:color w:val="auto"/>
          <w:spacing w:val="-33"/>
          <w:sz w:val="24"/>
          <w:szCs w:val="24"/>
          <w:highlight w:val="none"/>
        </w:rPr>
        <w:t xml:space="preserve"> </w:t>
      </w:r>
      <w:r>
        <w:rPr>
          <w:rFonts w:ascii="宋体" w:hAnsi="宋体" w:eastAsia="宋体" w:cs="宋体"/>
          <w:color w:val="auto"/>
          <w:spacing w:val="7"/>
          <w:sz w:val="24"/>
          <w:szCs w:val="24"/>
          <w:highlight w:val="none"/>
        </w:rPr>
        <w:t>机组</w:t>
      </w:r>
      <w:r>
        <w:rPr>
          <w:rFonts w:hint="eastAsia" w:ascii="宋体" w:hAnsi="宋体" w:eastAsia="宋体" w:cs="宋体"/>
          <w:color w:val="auto"/>
          <w:spacing w:val="7"/>
          <w:sz w:val="24"/>
          <w:szCs w:val="24"/>
          <w:highlight w:val="none"/>
          <w:lang w:eastAsia="zh-CN"/>
        </w:rPr>
        <w:t>送风机</w:t>
      </w:r>
      <w:r>
        <w:rPr>
          <w:rFonts w:ascii="宋体" w:hAnsi="宋体" w:eastAsia="宋体" w:cs="宋体"/>
          <w:color w:val="auto"/>
          <w:spacing w:val="7"/>
          <w:sz w:val="24"/>
          <w:szCs w:val="24"/>
          <w:highlight w:val="none"/>
        </w:rPr>
        <w:t>暖风器</w:t>
      </w:r>
    </w:p>
    <w:p>
      <w:pPr>
        <w:spacing w:before="64" w:line="228" w:lineRule="auto"/>
        <w:ind w:left="444"/>
        <w:rPr>
          <w:rFonts w:ascii="宋体" w:hAnsi="宋体" w:eastAsia="宋体" w:cs="宋体"/>
          <w:color w:val="auto"/>
          <w:spacing w:val="6"/>
          <w:sz w:val="24"/>
          <w:szCs w:val="24"/>
          <w:highlight w:val="none"/>
        </w:rPr>
      </w:pPr>
      <w:r>
        <w:rPr>
          <w:rFonts w:ascii="宋体" w:hAnsi="宋体" w:eastAsia="宋体" w:cs="宋体"/>
          <w:color w:val="auto"/>
          <w:spacing w:val="6"/>
          <w:sz w:val="24"/>
          <w:szCs w:val="24"/>
          <w:highlight w:val="none"/>
        </w:rPr>
        <w:t>2.</w:t>
      </w:r>
      <w:r>
        <w:rPr>
          <w:rFonts w:hint="eastAsia" w:ascii="宋体" w:hAnsi="宋体" w:eastAsia="宋体" w:cs="宋体"/>
          <w:color w:val="auto"/>
          <w:spacing w:val="6"/>
          <w:sz w:val="24"/>
          <w:szCs w:val="24"/>
          <w:highlight w:val="none"/>
          <w:lang w:val="en-US" w:eastAsia="zh-CN"/>
        </w:rPr>
        <w:t>4</w:t>
      </w:r>
      <w:r>
        <w:rPr>
          <w:rFonts w:ascii="宋体" w:hAnsi="宋体" w:eastAsia="宋体" w:cs="宋体"/>
          <w:color w:val="auto"/>
          <w:spacing w:val="-31"/>
          <w:sz w:val="24"/>
          <w:szCs w:val="24"/>
          <w:highlight w:val="none"/>
        </w:rPr>
        <w:t xml:space="preserve"> </w:t>
      </w:r>
      <w:r>
        <w:rPr>
          <w:rFonts w:hint="eastAsia" w:ascii="宋体" w:hAnsi="宋体" w:eastAsia="宋体" w:cs="宋体"/>
          <w:color w:val="auto"/>
          <w:spacing w:val="6"/>
          <w:sz w:val="24"/>
          <w:szCs w:val="24"/>
          <w:highlight w:val="none"/>
          <w:lang w:eastAsia="zh-CN"/>
        </w:rPr>
        <w:t>送风机原始</w:t>
      </w:r>
      <w:r>
        <w:rPr>
          <w:rFonts w:ascii="宋体" w:hAnsi="宋体" w:eastAsia="宋体" w:cs="宋体"/>
          <w:color w:val="auto"/>
          <w:spacing w:val="6"/>
          <w:sz w:val="24"/>
          <w:szCs w:val="24"/>
          <w:highlight w:val="none"/>
        </w:rPr>
        <w:t>设计性能参数：</w:t>
      </w:r>
    </w:p>
    <w:tbl>
      <w:tblPr>
        <w:tblStyle w:val="8"/>
        <w:tblW w:w="92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60"/>
        <w:gridCol w:w="2472"/>
        <w:gridCol w:w="2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4460" w:type="dxa"/>
            <w:vAlign w:val="center"/>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项目</w:t>
            </w:r>
          </w:p>
        </w:tc>
        <w:tc>
          <w:tcPr>
            <w:tcW w:w="2472" w:type="dxa"/>
            <w:vAlign w:val="top"/>
          </w:tcPr>
          <w:p>
            <w:pPr>
              <w:spacing w:before="64" w:line="230" w:lineRule="auto"/>
              <w:ind w:left="444"/>
              <w:rPr>
                <w:rFonts w:hint="eastAsia" w:ascii="宋体" w:hAnsi="宋体" w:eastAsia="宋体" w:cs="宋体"/>
                <w:color w:val="auto"/>
                <w:spacing w:val="6"/>
                <w:sz w:val="20"/>
                <w:szCs w:val="20"/>
                <w:highlight w:val="none"/>
              </w:rPr>
            </w:pPr>
            <w:r>
              <w:rPr>
                <w:rFonts w:hint="eastAsia" w:ascii="宋体" w:hAnsi="宋体" w:eastAsia="宋体" w:cs="宋体"/>
                <w:color w:val="auto"/>
                <w:spacing w:val="6"/>
                <w:sz w:val="20"/>
                <w:szCs w:val="20"/>
                <w:highlight w:val="none"/>
              </w:rPr>
              <w:t>TB工况</w:t>
            </w:r>
          </w:p>
        </w:tc>
        <w:tc>
          <w:tcPr>
            <w:tcW w:w="2355" w:type="dxa"/>
            <w:vAlign w:val="top"/>
          </w:tcPr>
          <w:p>
            <w:pPr>
              <w:spacing w:before="64" w:line="230" w:lineRule="auto"/>
              <w:ind w:left="444"/>
              <w:rPr>
                <w:rFonts w:hint="eastAsia" w:ascii="宋体" w:hAnsi="宋体" w:eastAsia="宋体" w:cs="宋体"/>
                <w:color w:val="auto"/>
                <w:spacing w:val="6"/>
                <w:sz w:val="20"/>
                <w:szCs w:val="20"/>
                <w:highlight w:val="none"/>
              </w:rPr>
            </w:pPr>
            <w:bookmarkStart w:id="0" w:name="OLE_LINK1"/>
            <w:r>
              <w:rPr>
                <w:rFonts w:hint="eastAsia" w:ascii="宋体" w:hAnsi="宋体" w:eastAsia="宋体" w:cs="宋体"/>
                <w:color w:val="auto"/>
                <w:spacing w:val="6"/>
                <w:sz w:val="20"/>
                <w:szCs w:val="20"/>
                <w:highlight w:val="none"/>
              </w:rPr>
              <w:t>BMCR工况</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风机入口容积流量（m3/s）</w:t>
            </w:r>
          </w:p>
        </w:tc>
        <w:tc>
          <w:tcPr>
            <w:tcW w:w="2472"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154.54</w:t>
            </w:r>
          </w:p>
        </w:tc>
        <w:tc>
          <w:tcPr>
            <w:tcW w:w="2355"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147.18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风机入口质量流量（kg/s）</w:t>
            </w:r>
          </w:p>
        </w:tc>
        <w:tc>
          <w:tcPr>
            <w:tcW w:w="2472"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163.34</w:t>
            </w:r>
          </w:p>
        </w:tc>
        <w:tc>
          <w:tcPr>
            <w:tcW w:w="2355"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155.57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风机入口温度（℃）</w:t>
            </w:r>
          </w:p>
        </w:tc>
        <w:tc>
          <w:tcPr>
            <w:tcW w:w="2472"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25</w:t>
            </w:r>
          </w:p>
        </w:tc>
        <w:tc>
          <w:tcPr>
            <w:tcW w:w="2355"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入口空气密度（kg/m3）</w:t>
            </w:r>
          </w:p>
        </w:tc>
        <w:tc>
          <w:tcPr>
            <w:tcW w:w="2472"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1.057</w:t>
            </w:r>
          </w:p>
        </w:tc>
        <w:tc>
          <w:tcPr>
            <w:tcW w:w="2355"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1.057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风机入口风压(kPa)</w:t>
            </w:r>
          </w:p>
        </w:tc>
        <w:tc>
          <w:tcPr>
            <w:tcW w:w="2472"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-676</w:t>
            </w:r>
          </w:p>
        </w:tc>
        <w:tc>
          <w:tcPr>
            <w:tcW w:w="2355"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-615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风机出口风压(kPa)</w:t>
            </w:r>
          </w:p>
        </w:tc>
        <w:tc>
          <w:tcPr>
            <w:tcW w:w="2472"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4127</w:t>
            </w:r>
          </w:p>
        </w:tc>
        <w:tc>
          <w:tcPr>
            <w:tcW w:w="2355"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3751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风机出口温度（℃）</w:t>
            </w:r>
          </w:p>
        </w:tc>
        <w:tc>
          <w:tcPr>
            <w:tcW w:w="2472"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30</w:t>
            </w:r>
          </w:p>
        </w:tc>
        <w:tc>
          <w:tcPr>
            <w:tcW w:w="2355"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风机全压(kPa) （含风机本体附件损失）</w:t>
            </w:r>
          </w:p>
        </w:tc>
        <w:tc>
          <w:tcPr>
            <w:tcW w:w="2472"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4803</w:t>
            </w:r>
          </w:p>
        </w:tc>
        <w:tc>
          <w:tcPr>
            <w:tcW w:w="2355" w:type="dxa"/>
            <w:vAlign w:val="center"/>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4366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top"/>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消声器阻力(kPa)</w:t>
            </w:r>
          </w:p>
        </w:tc>
        <w:tc>
          <w:tcPr>
            <w:tcW w:w="2472" w:type="dxa"/>
            <w:vAlign w:val="top"/>
          </w:tcPr>
          <w:p>
            <w:pPr>
              <w:spacing w:before="64" w:line="230" w:lineRule="auto"/>
              <w:ind w:left="444"/>
              <w:rPr>
                <w:rFonts w:hint="eastAsia" w:ascii="宋体" w:hAnsi="宋体" w:eastAsia="宋体" w:cs="宋体"/>
                <w:color w:val="auto"/>
                <w:spacing w:val="6"/>
                <w:sz w:val="20"/>
                <w:szCs w:val="20"/>
                <w:highlight w:val="none"/>
                <w:lang w:val="en-US" w:eastAsia="en-US"/>
              </w:rPr>
            </w:pPr>
            <w:r>
              <w:rPr>
                <w:rFonts w:hint="eastAsia" w:ascii="宋体" w:hAnsi="宋体" w:eastAsia="宋体" w:cs="宋体"/>
                <w:color w:val="auto"/>
                <w:spacing w:val="6"/>
                <w:sz w:val="20"/>
                <w:szCs w:val="20"/>
                <w:highlight w:val="none"/>
              </w:rPr>
              <w:t>≤200</w:t>
            </w:r>
          </w:p>
        </w:tc>
        <w:tc>
          <w:tcPr>
            <w:tcW w:w="2355" w:type="dxa"/>
            <w:vAlign w:val="center"/>
          </w:tcPr>
          <w:p>
            <w:pPr>
              <w:spacing w:before="64" w:line="230" w:lineRule="auto"/>
              <w:ind w:left="444"/>
              <w:rPr>
                <w:rFonts w:hint="eastAsia" w:ascii="宋体" w:hAnsi="宋体" w:eastAsia="宋体" w:cs="宋体"/>
                <w:color w:val="auto"/>
                <w:spacing w:val="6"/>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top"/>
          </w:tcPr>
          <w:p>
            <w:pPr>
              <w:spacing w:before="64" w:line="230" w:lineRule="auto"/>
              <w:ind w:left="444" w:leftChars="0"/>
              <w:rPr>
                <w:rFonts w:hint="eastAsia" w:ascii="宋体" w:hAnsi="宋体" w:eastAsia="宋体" w:cs="宋体"/>
                <w:snapToGrid w:val="0"/>
                <w:color w:val="auto"/>
                <w:spacing w:val="6"/>
                <w:kern w:val="0"/>
                <w:sz w:val="20"/>
                <w:szCs w:val="20"/>
                <w:highlight w:val="none"/>
                <w:lang w:val="en-US" w:eastAsia="zh-CN" w:bidi="ar-SA"/>
              </w:rPr>
            </w:pPr>
            <w:r>
              <w:rPr>
                <w:rFonts w:hint="eastAsia" w:ascii="宋体" w:hAnsi="宋体" w:eastAsia="宋体" w:cs="宋体"/>
                <w:color w:val="auto"/>
                <w:spacing w:val="6"/>
                <w:sz w:val="20"/>
                <w:szCs w:val="20"/>
                <w:highlight w:val="none"/>
                <w:lang w:val="en-US" w:eastAsia="zh-CN"/>
              </w:rPr>
              <w:t>风量</w:t>
            </w:r>
            <w:r>
              <w:rPr>
                <w:rFonts w:hint="default" w:ascii="宋体" w:hAnsi="宋体" w:eastAsia="宋体" w:cs="宋体"/>
                <w:color w:val="auto"/>
                <w:spacing w:val="6"/>
                <w:sz w:val="20"/>
                <w:szCs w:val="20"/>
                <w:highlight w:val="none"/>
                <w:lang w:val="en-US" w:eastAsia="zh-CN"/>
              </w:rPr>
              <w:t xml:space="preserve"> Q </w:t>
            </w:r>
            <w:r>
              <w:rPr>
                <w:rFonts w:hint="eastAsia" w:ascii="宋体" w:hAnsi="宋体" w:eastAsia="宋体" w:cs="宋体"/>
                <w:color w:val="auto"/>
                <w:spacing w:val="6"/>
                <w:sz w:val="20"/>
                <w:szCs w:val="20"/>
                <w:highlight w:val="none"/>
                <w:lang w:val="en-US" w:eastAsia="zh-CN"/>
              </w:rPr>
              <w:t>（</w:t>
            </w:r>
            <w:r>
              <w:rPr>
                <w:rFonts w:hint="default" w:ascii="宋体" w:hAnsi="宋体" w:eastAsia="宋体" w:cs="宋体"/>
                <w:color w:val="auto"/>
                <w:spacing w:val="6"/>
                <w:sz w:val="20"/>
                <w:szCs w:val="20"/>
                <w:highlight w:val="none"/>
                <w:lang w:val="en-US" w:eastAsia="zh-CN"/>
              </w:rPr>
              <w:t>m</w:t>
            </w:r>
            <w:r>
              <w:rPr>
                <w:rFonts w:hint="default" w:ascii="宋体" w:hAnsi="宋体" w:eastAsia="宋体" w:cs="宋体"/>
                <w:color w:val="auto"/>
                <w:spacing w:val="6"/>
                <w:sz w:val="20"/>
                <w:szCs w:val="20"/>
                <w:highlight w:val="none"/>
                <w:vertAlign w:val="superscript"/>
                <w:lang w:val="en-US" w:eastAsia="zh-CN"/>
              </w:rPr>
              <w:t>3</w:t>
            </w:r>
            <w:r>
              <w:rPr>
                <w:rFonts w:hint="default" w:ascii="宋体" w:hAnsi="宋体" w:eastAsia="宋体" w:cs="宋体"/>
                <w:color w:val="auto"/>
                <w:spacing w:val="6"/>
                <w:sz w:val="20"/>
                <w:szCs w:val="20"/>
                <w:highlight w:val="none"/>
                <w:lang w:val="en-US" w:eastAsia="zh-CN"/>
              </w:rPr>
              <w:t xml:space="preserve"> /s </w:t>
            </w:r>
            <w:r>
              <w:rPr>
                <w:rFonts w:hint="eastAsia" w:ascii="宋体" w:hAnsi="宋体" w:eastAsia="宋体" w:cs="宋体"/>
                <w:color w:val="auto"/>
                <w:spacing w:val="6"/>
                <w:sz w:val="20"/>
                <w:szCs w:val="20"/>
                <w:highlight w:val="none"/>
                <w:lang w:val="en-US" w:eastAsia="zh-CN"/>
              </w:rPr>
              <w:t>）</w:t>
            </w:r>
          </w:p>
        </w:tc>
        <w:tc>
          <w:tcPr>
            <w:tcW w:w="2472" w:type="dxa"/>
            <w:vAlign w:val="top"/>
          </w:tcPr>
          <w:p>
            <w:pPr>
              <w:spacing w:before="64" w:line="230" w:lineRule="auto"/>
              <w:ind w:left="444" w:leftChars="0"/>
              <w:rPr>
                <w:rFonts w:hint="eastAsia" w:ascii="宋体" w:hAnsi="宋体" w:eastAsia="宋体" w:cs="宋体"/>
                <w:snapToGrid w:val="0"/>
                <w:color w:val="auto"/>
                <w:spacing w:val="6"/>
                <w:kern w:val="0"/>
                <w:sz w:val="20"/>
                <w:szCs w:val="20"/>
                <w:highlight w:val="none"/>
                <w:lang w:val="en-US" w:eastAsia="zh-CN" w:bidi="ar-SA"/>
              </w:rPr>
            </w:pPr>
            <w:r>
              <w:rPr>
                <w:rFonts w:hint="default" w:ascii="宋体" w:hAnsi="宋体" w:eastAsia="宋体" w:cs="宋体"/>
                <w:color w:val="auto"/>
                <w:spacing w:val="6"/>
                <w:sz w:val="20"/>
                <w:szCs w:val="20"/>
                <w:highlight w:val="none"/>
                <w:lang w:val="en-US" w:eastAsia="zh-CN"/>
              </w:rPr>
              <w:t>154.53</w:t>
            </w:r>
          </w:p>
        </w:tc>
        <w:tc>
          <w:tcPr>
            <w:tcW w:w="2355" w:type="dxa"/>
            <w:vAlign w:val="center"/>
          </w:tcPr>
          <w:p>
            <w:pPr>
              <w:spacing w:before="64" w:line="230" w:lineRule="auto"/>
              <w:ind w:left="444" w:leftChars="0"/>
              <w:rPr>
                <w:rFonts w:hint="eastAsia" w:ascii="宋体" w:hAnsi="宋体" w:eastAsia="宋体" w:cs="宋体"/>
                <w:snapToGrid w:val="0"/>
                <w:color w:val="auto"/>
                <w:spacing w:val="6"/>
                <w:kern w:val="0"/>
                <w:sz w:val="20"/>
                <w:szCs w:val="20"/>
                <w:highlight w:val="none"/>
                <w:lang w:val="en-US" w:eastAsia="zh-CN" w:bidi="ar-SA"/>
              </w:rPr>
            </w:pPr>
            <w:r>
              <w:rPr>
                <w:rFonts w:hint="default" w:ascii="宋体" w:hAnsi="宋体" w:eastAsia="宋体" w:cs="宋体"/>
                <w:color w:val="auto"/>
                <w:spacing w:val="6"/>
                <w:sz w:val="20"/>
                <w:szCs w:val="20"/>
                <w:highlight w:val="none"/>
                <w:lang w:val="en-US" w:eastAsia="zh-CN"/>
              </w:rPr>
              <w:t xml:space="preserve">147.18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top"/>
          </w:tcPr>
          <w:p>
            <w:pPr>
              <w:spacing w:before="64" w:line="230" w:lineRule="auto"/>
              <w:ind w:left="444" w:leftChars="0"/>
              <w:rPr>
                <w:rFonts w:hint="eastAsia" w:ascii="宋体" w:hAnsi="宋体" w:eastAsia="宋体" w:cs="宋体"/>
                <w:snapToGrid w:val="0"/>
                <w:color w:val="auto"/>
                <w:spacing w:val="6"/>
                <w:kern w:val="0"/>
                <w:sz w:val="20"/>
                <w:szCs w:val="20"/>
                <w:highlight w:val="none"/>
                <w:lang w:val="en-US" w:eastAsia="zh-CN" w:bidi="ar-SA"/>
              </w:rPr>
            </w:pPr>
            <w:r>
              <w:rPr>
                <w:rFonts w:hint="eastAsia" w:ascii="宋体" w:hAnsi="宋体" w:eastAsia="宋体" w:cs="宋体"/>
                <w:color w:val="auto"/>
                <w:spacing w:val="6"/>
                <w:sz w:val="20"/>
                <w:szCs w:val="20"/>
                <w:highlight w:val="none"/>
                <w:lang w:val="en-US" w:eastAsia="zh-CN"/>
              </w:rPr>
              <w:t>风压</w:t>
            </w:r>
            <w:r>
              <w:rPr>
                <w:rFonts w:hint="default" w:ascii="宋体" w:hAnsi="宋体" w:eastAsia="宋体" w:cs="宋体"/>
                <w:color w:val="auto"/>
                <w:spacing w:val="6"/>
                <w:sz w:val="20"/>
                <w:szCs w:val="20"/>
                <w:highlight w:val="none"/>
                <w:lang w:val="en-US" w:eastAsia="zh-CN"/>
              </w:rPr>
              <w:t xml:space="preserve"> P</w:t>
            </w:r>
            <w:r>
              <w:rPr>
                <w:rFonts w:hint="eastAsia" w:ascii="宋体" w:hAnsi="宋体" w:eastAsia="宋体" w:cs="宋体"/>
                <w:color w:val="auto"/>
                <w:spacing w:val="6"/>
                <w:sz w:val="20"/>
                <w:szCs w:val="20"/>
                <w:highlight w:val="none"/>
                <w:lang w:val="en-US" w:eastAsia="zh-CN"/>
              </w:rPr>
              <w:t>（</w:t>
            </w:r>
            <w:r>
              <w:rPr>
                <w:rFonts w:hint="default" w:ascii="宋体" w:hAnsi="宋体" w:eastAsia="宋体" w:cs="宋体"/>
                <w:color w:val="auto"/>
                <w:spacing w:val="6"/>
                <w:sz w:val="20"/>
                <w:szCs w:val="20"/>
                <w:highlight w:val="none"/>
                <w:lang w:val="en-US" w:eastAsia="zh-CN"/>
              </w:rPr>
              <w:t>Pa</w:t>
            </w:r>
            <w:r>
              <w:rPr>
                <w:rFonts w:hint="eastAsia" w:ascii="宋体" w:hAnsi="宋体" w:eastAsia="宋体" w:cs="宋体"/>
                <w:color w:val="auto"/>
                <w:spacing w:val="6"/>
                <w:sz w:val="20"/>
                <w:szCs w:val="20"/>
                <w:highlight w:val="none"/>
                <w:lang w:val="en-US" w:eastAsia="zh-CN"/>
              </w:rPr>
              <w:t>）</w:t>
            </w:r>
          </w:p>
        </w:tc>
        <w:tc>
          <w:tcPr>
            <w:tcW w:w="2472" w:type="dxa"/>
            <w:vAlign w:val="top"/>
          </w:tcPr>
          <w:p>
            <w:pPr>
              <w:spacing w:before="64" w:line="230" w:lineRule="auto"/>
              <w:ind w:left="444" w:leftChars="0"/>
              <w:rPr>
                <w:rFonts w:hint="eastAsia" w:ascii="宋体" w:hAnsi="宋体" w:eastAsia="宋体" w:cs="宋体"/>
                <w:snapToGrid w:val="0"/>
                <w:color w:val="auto"/>
                <w:spacing w:val="6"/>
                <w:kern w:val="0"/>
                <w:sz w:val="20"/>
                <w:szCs w:val="20"/>
                <w:highlight w:val="none"/>
                <w:lang w:val="en-US" w:eastAsia="zh-CN" w:bidi="ar-SA"/>
              </w:rPr>
            </w:pPr>
            <w:r>
              <w:rPr>
                <w:rFonts w:hint="default" w:ascii="宋体" w:hAnsi="宋体" w:eastAsia="宋体" w:cs="宋体"/>
                <w:color w:val="auto"/>
                <w:spacing w:val="6"/>
                <w:sz w:val="20"/>
                <w:szCs w:val="20"/>
                <w:highlight w:val="none"/>
                <w:lang w:val="en-US" w:eastAsia="zh-CN"/>
              </w:rPr>
              <w:t xml:space="preserve">4803 </w:t>
            </w:r>
          </w:p>
        </w:tc>
        <w:tc>
          <w:tcPr>
            <w:tcW w:w="2355" w:type="dxa"/>
            <w:vAlign w:val="center"/>
          </w:tcPr>
          <w:p>
            <w:pPr>
              <w:spacing w:before="64" w:line="230" w:lineRule="auto"/>
              <w:ind w:left="444" w:leftChars="0"/>
              <w:rPr>
                <w:rFonts w:hint="eastAsia" w:ascii="宋体" w:hAnsi="宋体" w:eastAsia="宋体" w:cs="宋体"/>
                <w:snapToGrid w:val="0"/>
                <w:color w:val="auto"/>
                <w:spacing w:val="6"/>
                <w:kern w:val="0"/>
                <w:sz w:val="20"/>
                <w:szCs w:val="20"/>
                <w:highlight w:val="none"/>
                <w:lang w:val="en-US" w:eastAsia="zh-CN" w:bidi="ar-SA"/>
              </w:rPr>
            </w:pPr>
            <w:r>
              <w:rPr>
                <w:rFonts w:hint="default" w:ascii="宋体" w:hAnsi="宋体" w:eastAsia="宋体" w:cs="宋体"/>
                <w:color w:val="auto"/>
                <w:spacing w:val="6"/>
                <w:sz w:val="20"/>
                <w:szCs w:val="20"/>
                <w:highlight w:val="none"/>
                <w:lang w:val="en-US" w:eastAsia="zh-CN"/>
              </w:rPr>
              <w:t xml:space="preserve">4366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top"/>
          </w:tcPr>
          <w:p>
            <w:pPr>
              <w:spacing w:before="64" w:line="230" w:lineRule="auto"/>
              <w:ind w:left="444" w:leftChars="0"/>
              <w:rPr>
                <w:rFonts w:hint="eastAsia" w:ascii="宋体" w:hAnsi="宋体" w:eastAsia="宋体" w:cs="宋体"/>
                <w:snapToGrid w:val="0"/>
                <w:color w:val="auto"/>
                <w:spacing w:val="6"/>
                <w:kern w:val="0"/>
                <w:sz w:val="20"/>
                <w:szCs w:val="20"/>
                <w:highlight w:val="none"/>
                <w:lang w:val="en-US" w:eastAsia="zh-CN" w:bidi="ar-SA"/>
              </w:rPr>
            </w:pPr>
            <w:r>
              <w:rPr>
                <w:rFonts w:hint="eastAsia" w:ascii="宋体" w:hAnsi="宋体" w:eastAsia="宋体" w:cs="宋体"/>
                <w:color w:val="auto"/>
                <w:spacing w:val="6"/>
                <w:sz w:val="20"/>
                <w:szCs w:val="20"/>
                <w:highlight w:val="none"/>
                <w:lang w:val="en-US" w:eastAsia="zh-CN"/>
              </w:rPr>
              <w:t>介质密度（</w:t>
            </w:r>
            <w:r>
              <w:rPr>
                <w:rFonts w:hint="default" w:ascii="宋体" w:hAnsi="宋体" w:eastAsia="宋体" w:cs="宋体"/>
                <w:color w:val="auto"/>
                <w:spacing w:val="6"/>
                <w:sz w:val="20"/>
                <w:szCs w:val="20"/>
                <w:highlight w:val="none"/>
                <w:lang w:val="en-US" w:eastAsia="zh-CN"/>
              </w:rPr>
              <w:t>kg/m</w:t>
            </w:r>
            <w:r>
              <w:rPr>
                <w:rFonts w:hint="default" w:ascii="宋体" w:hAnsi="宋体" w:eastAsia="宋体" w:cs="宋体"/>
                <w:color w:val="auto"/>
                <w:spacing w:val="6"/>
                <w:sz w:val="20"/>
                <w:szCs w:val="20"/>
                <w:highlight w:val="none"/>
                <w:vertAlign w:val="superscript"/>
                <w:lang w:val="en-US" w:eastAsia="zh-CN"/>
              </w:rPr>
              <w:t>3</w:t>
            </w:r>
            <w:r>
              <w:rPr>
                <w:rFonts w:hint="eastAsia" w:ascii="宋体" w:hAnsi="宋体" w:eastAsia="宋体" w:cs="宋体"/>
                <w:color w:val="auto"/>
                <w:spacing w:val="6"/>
                <w:sz w:val="20"/>
                <w:szCs w:val="20"/>
                <w:highlight w:val="none"/>
                <w:lang w:val="en-US" w:eastAsia="zh-CN"/>
              </w:rPr>
              <w:t>）</w:t>
            </w:r>
          </w:p>
        </w:tc>
        <w:tc>
          <w:tcPr>
            <w:tcW w:w="2472" w:type="dxa"/>
            <w:vAlign w:val="top"/>
          </w:tcPr>
          <w:p>
            <w:pPr>
              <w:spacing w:before="64" w:line="230" w:lineRule="auto"/>
              <w:ind w:left="444" w:leftChars="0"/>
              <w:rPr>
                <w:rFonts w:hint="eastAsia" w:ascii="宋体" w:hAnsi="宋体" w:eastAsia="宋体" w:cs="宋体"/>
                <w:snapToGrid w:val="0"/>
                <w:color w:val="auto"/>
                <w:spacing w:val="6"/>
                <w:kern w:val="0"/>
                <w:sz w:val="20"/>
                <w:szCs w:val="20"/>
                <w:highlight w:val="none"/>
                <w:lang w:val="en-US" w:eastAsia="zh-CN" w:bidi="ar-SA"/>
              </w:rPr>
            </w:pPr>
            <w:r>
              <w:rPr>
                <w:rFonts w:hint="default" w:ascii="宋体" w:hAnsi="宋体" w:eastAsia="宋体" w:cs="宋体"/>
                <w:color w:val="auto"/>
                <w:spacing w:val="6"/>
                <w:sz w:val="20"/>
                <w:szCs w:val="20"/>
                <w:highlight w:val="none"/>
                <w:lang w:val="en-US" w:eastAsia="zh-CN"/>
              </w:rPr>
              <w:t xml:space="preserve">1.0570 </w:t>
            </w:r>
          </w:p>
        </w:tc>
        <w:tc>
          <w:tcPr>
            <w:tcW w:w="2355" w:type="dxa"/>
            <w:vAlign w:val="center"/>
          </w:tcPr>
          <w:p>
            <w:pPr>
              <w:spacing w:before="64" w:line="230" w:lineRule="auto"/>
              <w:ind w:left="444" w:leftChars="0"/>
              <w:rPr>
                <w:rFonts w:hint="eastAsia" w:ascii="宋体" w:hAnsi="宋体" w:eastAsia="宋体" w:cs="宋体"/>
                <w:snapToGrid w:val="0"/>
                <w:color w:val="auto"/>
                <w:spacing w:val="6"/>
                <w:kern w:val="0"/>
                <w:sz w:val="20"/>
                <w:szCs w:val="20"/>
                <w:highlight w:val="none"/>
                <w:lang w:val="en-US" w:eastAsia="zh-CN" w:bidi="ar-SA"/>
              </w:rPr>
            </w:pPr>
            <w:r>
              <w:rPr>
                <w:rFonts w:hint="default" w:ascii="宋体" w:hAnsi="宋体" w:eastAsia="宋体" w:cs="宋体"/>
                <w:color w:val="auto"/>
                <w:spacing w:val="6"/>
                <w:sz w:val="20"/>
                <w:szCs w:val="20"/>
                <w:highlight w:val="none"/>
                <w:lang w:val="en-US" w:eastAsia="zh-CN"/>
              </w:rPr>
              <w:t xml:space="preserve">1.0570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460" w:type="dxa"/>
            <w:vAlign w:val="top"/>
          </w:tcPr>
          <w:p>
            <w:pPr>
              <w:spacing w:before="64" w:line="230" w:lineRule="auto"/>
              <w:ind w:left="444" w:leftChars="0"/>
              <w:rPr>
                <w:rFonts w:hint="eastAsia" w:ascii="宋体" w:hAnsi="宋体" w:eastAsia="宋体" w:cs="宋体"/>
                <w:snapToGrid w:val="0"/>
                <w:color w:val="auto"/>
                <w:spacing w:val="6"/>
                <w:kern w:val="0"/>
                <w:sz w:val="20"/>
                <w:szCs w:val="20"/>
                <w:highlight w:val="none"/>
                <w:lang w:val="en-US" w:eastAsia="zh-CN" w:bidi="ar-SA"/>
              </w:rPr>
            </w:pPr>
            <w:r>
              <w:rPr>
                <w:rFonts w:hint="eastAsia" w:ascii="宋体" w:hAnsi="宋体" w:eastAsia="宋体" w:cs="宋体"/>
                <w:color w:val="auto"/>
                <w:spacing w:val="6"/>
                <w:sz w:val="20"/>
                <w:szCs w:val="20"/>
                <w:highlight w:val="none"/>
                <w:lang w:val="en-US" w:eastAsia="zh-CN"/>
              </w:rPr>
              <w:t>效率（</w:t>
            </w:r>
            <w:r>
              <w:rPr>
                <w:rFonts w:hint="default" w:ascii="宋体" w:hAnsi="宋体" w:eastAsia="宋体" w:cs="宋体"/>
                <w:color w:val="auto"/>
                <w:spacing w:val="6"/>
                <w:sz w:val="20"/>
                <w:szCs w:val="20"/>
                <w:highlight w:val="none"/>
                <w:lang w:val="en-US" w:eastAsia="zh-CN"/>
              </w:rPr>
              <w:t xml:space="preserve">% </w:t>
            </w:r>
            <w:r>
              <w:rPr>
                <w:rFonts w:hint="eastAsia" w:ascii="宋体" w:hAnsi="宋体" w:eastAsia="宋体" w:cs="宋体"/>
                <w:color w:val="auto"/>
                <w:spacing w:val="6"/>
                <w:sz w:val="20"/>
                <w:szCs w:val="20"/>
                <w:highlight w:val="none"/>
                <w:lang w:val="en-US" w:eastAsia="zh-CN"/>
              </w:rPr>
              <w:t>）</w:t>
            </w:r>
          </w:p>
        </w:tc>
        <w:tc>
          <w:tcPr>
            <w:tcW w:w="2472" w:type="dxa"/>
            <w:vAlign w:val="top"/>
          </w:tcPr>
          <w:p>
            <w:pPr>
              <w:spacing w:before="64" w:line="230" w:lineRule="auto"/>
              <w:ind w:left="444" w:leftChars="0"/>
              <w:rPr>
                <w:rFonts w:hint="eastAsia" w:ascii="宋体" w:hAnsi="宋体" w:eastAsia="宋体" w:cs="宋体"/>
                <w:snapToGrid w:val="0"/>
                <w:color w:val="auto"/>
                <w:spacing w:val="6"/>
                <w:kern w:val="0"/>
                <w:sz w:val="20"/>
                <w:szCs w:val="20"/>
                <w:highlight w:val="none"/>
                <w:lang w:val="en-US" w:eastAsia="zh-CN" w:bidi="ar-SA"/>
              </w:rPr>
            </w:pPr>
            <w:r>
              <w:rPr>
                <w:rFonts w:hint="default" w:ascii="宋体" w:hAnsi="宋体" w:eastAsia="宋体" w:cs="宋体"/>
                <w:color w:val="auto"/>
                <w:spacing w:val="6"/>
                <w:sz w:val="20"/>
                <w:szCs w:val="20"/>
                <w:highlight w:val="none"/>
                <w:lang w:val="en-US" w:eastAsia="zh-CN"/>
              </w:rPr>
              <w:t xml:space="preserve">86.21 </w:t>
            </w:r>
          </w:p>
        </w:tc>
        <w:tc>
          <w:tcPr>
            <w:tcW w:w="2355" w:type="dxa"/>
            <w:vAlign w:val="center"/>
          </w:tcPr>
          <w:p>
            <w:pPr>
              <w:spacing w:before="64" w:line="230" w:lineRule="auto"/>
              <w:ind w:left="444" w:leftChars="0"/>
              <w:rPr>
                <w:rFonts w:hint="eastAsia" w:ascii="宋体" w:hAnsi="宋体" w:eastAsia="宋体" w:cs="宋体"/>
                <w:snapToGrid w:val="0"/>
                <w:color w:val="auto"/>
                <w:spacing w:val="6"/>
                <w:kern w:val="0"/>
                <w:sz w:val="20"/>
                <w:szCs w:val="20"/>
                <w:highlight w:val="none"/>
                <w:lang w:val="en-US" w:eastAsia="zh-CN" w:bidi="ar-SA"/>
              </w:rPr>
            </w:pPr>
            <w:r>
              <w:rPr>
                <w:rFonts w:hint="default" w:ascii="宋体" w:hAnsi="宋体" w:eastAsia="宋体" w:cs="宋体"/>
                <w:color w:val="auto"/>
                <w:spacing w:val="6"/>
                <w:sz w:val="20"/>
                <w:szCs w:val="20"/>
                <w:highlight w:val="none"/>
                <w:lang w:val="en-US" w:eastAsia="zh-CN"/>
              </w:rPr>
              <w:t xml:space="preserve">86.67 </w:t>
            </w:r>
          </w:p>
        </w:tc>
      </w:tr>
    </w:tbl>
    <w:p>
      <w:pPr>
        <w:spacing w:before="64" w:line="228" w:lineRule="auto"/>
        <w:rPr>
          <w:rFonts w:ascii="宋体" w:hAnsi="宋体" w:eastAsia="宋体" w:cs="宋体"/>
          <w:color w:val="auto"/>
          <w:spacing w:val="6"/>
          <w:sz w:val="20"/>
          <w:szCs w:val="20"/>
          <w:highlight w:val="none"/>
        </w:rPr>
      </w:pPr>
    </w:p>
    <w:p>
      <w:pPr>
        <w:spacing w:line="360" w:lineRule="auto"/>
        <w:ind w:firstLine="480" w:firstLineChars="200"/>
        <w:rPr>
          <w:color w:val="auto"/>
          <w:sz w:val="24"/>
          <w:szCs w:val="24"/>
          <w:highlight w:val="none"/>
        </w:rPr>
      </w:pPr>
      <w:r>
        <w:rPr>
          <w:rFonts w:hint="eastAsia" w:hAnsi="宋体" w:eastAsia="宋体"/>
          <w:color w:val="auto"/>
          <w:sz w:val="24"/>
          <w:szCs w:val="24"/>
          <w:highlight w:val="none"/>
          <w:lang w:val="en-US" w:eastAsia="zh-CN"/>
        </w:rPr>
        <w:t>2.5</w:t>
      </w:r>
      <w:r>
        <w:rPr>
          <w:rFonts w:hAnsi="宋体"/>
          <w:color w:val="auto"/>
          <w:sz w:val="24"/>
          <w:szCs w:val="24"/>
          <w:highlight w:val="none"/>
        </w:rPr>
        <w:t>安装位置：</w:t>
      </w:r>
      <w:r>
        <w:rPr>
          <w:rFonts w:hint="eastAsia" w:hAnsi="宋体" w:eastAsia="宋体"/>
          <w:color w:val="auto"/>
          <w:sz w:val="24"/>
          <w:szCs w:val="24"/>
          <w:highlight w:val="none"/>
          <w:lang w:eastAsia="zh-CN"/>
        </w:rPr>
        <w:t>送</w:t>
      </w:r>
      <w:r>
        <w:rPr>
          <w:rFonts w:hAnsi="宋体"/>
          <w:color w:val="auto"/>
          <w:sz w:val="24"/>
          <w:szCs w:val="24"/>
          <w:highlight w:val="none"/>
        </w:rPr>
        <w:t>风机出口水平冷风道</w:t>
      </w:r>
    </w:p>
    <w:p>
      <w:pPr>
        <w:spacing w:line="360" w:lineRule="auto"/>
        <w:ind w:firstLine="480" w:firstLineChars="200"/>
        <w:rPr>
          <w:color w:val="auto"/>
          <w:sz w:val="24"/>
          <w:szCs w:val="24"/>
          <w:highlight w:val="none"/>
        </w:rPr>
      </w:pPr>
      <w:r>
        <w:rPr>
          <w:rFonts w:hint="eastAsia" w:hAnsi="宋体" w:eastAsia="宋体"/>
          <w:color w:val="auto"/>
          <w:sz w:val="24"/>
          <w:szCs w:val="24"/>
          <w:highlight w:val="none"/>
          <w:lang w:val="en-US" w:eastAsia="zh-CN"/>
        </w:rPr>
        <w:t>2.6</w:t>
      </w:r>
      <w:r>
        <w:rPr>
          <w:rFonts w:hint="eastAsia" w:hAnsi="宋体" w:eastAsia="宋体"/>
          <w:color w:val="auto"/>
          <w:sz w:val="24"/>
          <w:szCs w:val="24"/>
          <w:highlight w:val="none"/>
          <w:lang w:eastAsia="zh-CN"/>
        </w:rPr>
        <w:t>送风机</w:t>
      </w:r>
      <w:r>
        <w:rPr>
          <w:rFonts w:hAnsi="宋体"/>
          <w:color w:val="auto"/>
          <w:sz w:val="24"/>
          <w:szCs w:val="24"/>
          <w:highlight w:val="none"/>
        </w:rPr>
        <w:t>暖风器截面尺寸即风道截面尺寸为：4000×3200mm（宽×高）（暂定，尺寸应根据需方风道尺寸调整）注：风道尺寸中的长和宽均为外径。</w:t>
      </w:r>
    </w:p>
    <w:p>
      <w:pPr>
        <w:spacing w:line="360" w:lineRule="auto"/>
        <w:ind w:firstLine="480" w:firstLineChars="200"/>
        <w:rPr>
          <w:rFonts w:hAnsi="宋体"/>
          <w:color w:val="auto"/>
          <w:sz w:val="24"/>
          <w:szCs w:val="24"/>
          <w:highlight w:val="none"/>
        </w:rPr>
      </w:pPr>
      <w:r>
        <w:rPr>
          <w:rFonts w:hint="eastAsia" w:hAnsi="宋体" w:eastAsia="宋体"/>
          <w:color w:val="auto"/>
          <w:sz w:val="24"/>
          <w:szCs w:val="24"/>
          <w:highlight w:val="none"/>
          <w:lang w:val="en-US" w:eastAsia="zh-CN"/>
        </w:rPr>
        <w:t>2.7本次设计</w:t>
      </w:r>
      <w:r>
        <w:rPr>
          <w:rFonts w:hAnsi="宋体"/>
          <w:color w:val="auto"/>
          <w:sz w:val="24"/>
          <w:szCs w:val="24"/>
          <w:highlight w:val="none"/>
        </w:rPr>
        <w:t>暖风器进出口风温：</w:t>
      </w:r>
    </w:p>
    <w:p>
      <w:pPr>
        <w:spacing w:line="360" w:lineRule="auto"/>
        <w:ind w:firstLine="480" w:firstLineChars="200"/>
        <w:rPr>
          <w:rFonts w:hint="eastAsia" w:hAnsi="宋体" w:eastAsia="宋体"/>
          <w:color w:val="auto"/>
          <w:sz w:val="24"/>
          <w:szCs w:val="24"/>
          <w:highlight w:val="none"/>
          <w:lang w:val="en-US" w:eastAsia="zh-CN"/>
        </w:rPr>
      </w:pPr>
      <w:r>
        <w:rPr>
          <w:rFonts w:hint="eastAsia" w:hAnsi="宋体" w:eastAsia="宋体"/>
          <w:color w:val="auto"/>
          <w:sz w:val="24"/>
          <w:szCs w:val="24"/>
          <w:highlight w:val="none"/>
          <w:lang w:val="en-US" w:eastAsia="zh-CN"/>
        </w:rPr>
        <w:t>2.7.1进口风温： -17℃（平均气温为-17℃，最低气温-31.6℃）</w:t>
      </w:r>
    </w:p>
    <w:p>
      <w:pPr>
        <w:spacing w:line="360" w:lineRule="auto"/>
        <w:ind w:firstLine="480" w:firstLineChars="200"/>
        <w:rPr>
          <w:rFonts w:hint="eastAsia" w:hAnsi="宋体" w:eastAsia="宋体"/>
          <w:color w:val="auto"/>
          <w:sz w:val="24"/>
          <w:szCs w:val="24"/>
          <w:highlight w:val="none"/>
          <w:lang w:val="en-US" w:eastAsia="zh-CN"/>
        </w:rPr>
      </w:pPr>
      <w:r>
        <w:rPr>
          <w:rFonts w:hint="eastAsia" w:hAnsi="宋体" w:eastAsia="宋体"/>
          <w:color w:val="auto"/>
          <w:sz w:val="24"/>
          <w:szCs w:val="24"/>
          <w:highlight w:val="none"/>
          <w:lang w:val="en-US" w:eastAsia="zh-CN"/>
        </w:rPr>
        <w:t>2.7.2 出口风温： 28℃</w:t>
      </w:r>
    </w:p>
    <w:p>
      <w:pPr>
        <w:spacing w:line="360" w:lineRule="auto"/>
        <w:ind w:firstLine="480" w:firstLineChars="200"/>
        <w:rPr>
          <w:rFonts w:hint="default" w:hAnsi="宋体"/>
          <w:color w:val="auto"/>
          <w:sz w:val="24"/>
          <w:szCs w:val="24"/>
          <w:highlight w:val="none"/>
          <w:lang w:val="en-US" w:eastAsia="zh-CN"/>
        </w:rPr>
      </w:pPr>
      <w:r>
        <w:rPr>
          <w:rFonts w:hint="eastAsia" w:hAnsi="宋体"/>
          <w:color w:val="auto"/>
          <w:sz w:val="24"/>
          <w:szCs w:val="24"/>
          <w:highlight w:val="none"/>
          <w:lang w:val="en-US" w:eastAsia="zh-CN"/>
        </w:rPr>
        <w:t>2.7.3本次暖风器温升按45℃设计，温度调节方式设计为出口疏水调节方式。</w:t>
      </w:r>
    </w:p>
    <w:p>
      <w:pPr>
        <w:spacing w:line="360" w:lineRule="auto"/>
        <w:ind w:firstLine="480" w:firstLineChars="200"/>
        <w:rPr>
          <w:rFonts w:hint="eastAsia" w:hAnsi="宋体"/>
          <w:color w:val="auto"/>
          <w:sz w:val="24"/>
          <w:szCs w:val="24"/>
          <w:highlight w:val="none"/>
        </w:rPr>
      </w:pPr>
      <w:r>
        <w:rPr>
          <w:rFonts w:hint="eastAsia" w:hAnsi="宋体"/>
          <w:color w:val="auto"/>
          <w:sz w:val="24"/>
          <w:szCs w:val="24"/>
          <w:highlight w:val="none"/>
        </w:rPr>
        <w:t>2.</w:t>
      </w:r>
      <w:r>
        <w:rPr>
          <w:rFonts w:hint="eastAsia" w:hAnsi="宋体" w:eastAsia="宋体"/>
          <w:color w:val="auto"/>
          <w:sz w:val="24"/>
          <w:szCs w:val="24"/>
          <w:highlight w:val="none"/>
          <w:lang w:val="en-US" w:eastAsia="zh-CN"/>
        </w:rPr>
        <w:t>8</w:t>
      </w:r>
      <w:r>
        <w:rPr>
          <w:rFonts w:hint="eastAsia" w:hAnsi="宋体"/>
          <w:color w:val="auto"/>
          <w:sz w:val="24"/>
          <w:szCs w:val="24"/>
          <w:highlight w:val="none"/>
        </w:rPr>
        <w:t xml:space="preserve"> 使用环境条件：</w:t>
      </w:r>
    </w:p>
    <w:p>
      <w:pPr>
        <w:spacing w:line="360" w:lineRule="auto"/>
        <w:ind w:firstLine="480" w:firstLineChars="200"/>
        <w:rPr>
          <w:rFonts w:hint="eastAsia" w:hAnsi="宋体"/>
          <w:color w:val="auto"/>
          <w:sz w:val="24"/>
          <w:szCs w:val="24"/>
          <w:highlight w:val="none"/>
        </w:rPr>
      </w:pPr>
      <w:r>
        <w:rPr>
          <w:rFonts w:hint="eastAsia" w:hAnsi="宋体"/>
          <w:color w:val="auto"/>
          <w:sz w:val="24"/>
          <w:szCs w:val="24"/>
          <w:highlight w:val="none"/>
        </w:rPr>
        <w:t>2.</w:t>
      </w:r>
      <w:r>
        <w:rPr>
          <w:rFonts w:hint="eastAsia" w:hAnsi="宋体" w:eastAsia="宋体"/>
          <w:color w:val="auto"/>
          <w:sz w:val="24"/>
          <w:szCs w:val="24"/>
          <w:highlight w:val="none"/>
          <w:lang w:val="en-US" w:eastAsia="zh-CN"/>
        </w:rPr>
        <w:t>8</w:t>
      </w:r>
      <w:r>
        <w:rPr>
          <w:rFonts w:hint="eastAsia" w:hAnsi="宋体"/>
          <w:color w:val="auto"/>
          <w:sz w:val="24"/>
          <w:szCs w:val="24"/>
          <w:highlight w:val="none"/>
        </w:rPr>
        <w:t>.</w:t>
      </w:r>
      <w:r>
        <w:rPr>
          <w:rFonts w:hint="eastAsia" w:hAnsi="宋体" w:eastAsia="宋体"/>
          <w:color w:val="auto"/>
          <w:sz w:val="24"/>
          <w:szCs w:val="24"/>
          <w:highlight w:val="none"/>
          <w:lang w:val="en-US" w:eastAsia="zh-CN"/>
        </w:rPr>
        <w:t>1</w:t>
      </w:r>
      <w:r>
        <w:rPr>
          <w:rFonts w:hint="eastAsia" w:hAnsi="宋体"/>
          <w:color w:val="auto"/>
          <w:sz w:val="24"/>
          <w:szCs w:val="24"/>
          <w:highlight w:val="none"/>
        </w:rPr>
        <w:t xml:space="preserve"> 环境温度：38.4℃- -31.6℃</w:t>
      </w:r>
    </w:p>
    <w:p>
      <w:pPr>
        <w:spacing w:line="360" w:lineRule="auto"/>
        <w:ind w:firstLine="480" w:firstLineChars="200"/>
        <w:rPr>
          <w:rFonts w:hint="eastAsia" w:hAnsi="宋体"/>
          <w:color w:val="auto"/>
          <w:sz w:val="24"/>
          <w:szCs w:val="24"/>
          <w:highlight w:val="none"/>
        </w:rPr>
      </w:pPr>
      <w:r>
        <w:rPr>
          <w:rFonts w:hint="eastAsia" w:hAnsi="宋体"/>
          <w:color w:val="auto"/>
          <w:sz w:val="24"/>
          <w:szCs w:val="24"/>
          <w:highlight w:val="none"/>
        </w:rPr>
        <w:t>2.</w:t>
      </w:r>
      <w:r>
        <w:rPr>
          <w:rFonts w:hint="eastAsia" w:hAnsi="宋体" w:eastAsia="宋体"/>
          <w:color w:val="auto"/>
          <w:sz w:val="24"/>
          <w:szCs w:val="24"/>
          <w:highlight w:val="none"/>
          <w:lang w:val="en-US" w:eastAsia="zh-CN"/>
        </w:rPr>
        <w:t>8.2</w:t>
      </w:r>
      <w:r>
        <w:rPr>
          <w:rFonts w:hint="eastAsia" w:hAnsi="宋体"/>
          <w:color w:val="auto"/>
          <w:sz w:val="24"/>
          <w:szCs w:val="24"/>
          <w:highlight w:val="none"/>
        </w:rPr>
        <w:t xml:space="preserve"> 最高气温：38.4℃</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2.8.3 最低气温：-31.6℃</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2.8.4 海拔：1656.0～1671.70m</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2.8.5 平均相对湿度： 47%</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2.8.6 地震烈度：厂址区地震动峰值加速度为0.15g（相应的地震基本烈度为7度），地震动反应谱特征周期为0.40s。</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2.8.7 设备安装地点：室内</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  设备性能基本要求</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.1.1 乙方应根据现场实际和本技术规范所列条件进行暖风器的设计，被加热的空气在暖风器出口处温度（</w:t>
      </w:r>
      <w:r>
        <w:rPr>
          <w:rFonts w:hint="eastAsia" w:hAnsi="宋体"/>
          <w:color w:val="auto"/>
          <w:sz w:val="24"/>
          <w:szCs w:val="24"/>
          <w:highlight w:val="none"/>
          <w:lang w:val="en-US" w:eastAsia="zh-CN"/>
        </w:rPr>
        <w:t>出口风温： 28℃，温升按45℃设计</w:t>
      </w:r>
      <w:r>
        <w:rPr>
          <w:rFonts w:hint="eastAsia" w:hAnsi="宋体"/>
          <w:color w:val="auto"/>
          <w:sz w:val="24"/>
          <w:szCs w:val="24"/>
          <w:highlight w:val="none"/>
          <w:lang w:val="sq-AL" w:eastAsia="zh-CN"/>
        </w:rPr>
        <w:t>）应满足规范书提出的要求，在各工况下暖风器传热面积的裕量均不小于20%。</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.1.2 保证暖风器受热面要考虑热膨胀要求，防止运行时接缝处有裂纹、泄漏现象。暖风器换热管与联箱焊缝必须布置在暖风器风道外部，便于检修。将集箱与换热管焊口外罩罩住减少热损失；</w:t>
      </w:r>
      <w:r>
        <w:rPr>
          <w:rFonts w:hint="eastAsia" w:hAnsi="宋体"/>
          <w:color w:val="auto"/>
          <w:sz w:val="24"/>
          <w:szCs w:val="24"/>
          <w:highlight w:val="none"/>
          <w:lang w:val="en-US" w:eastAsia="zh-CN"/>
        </w:rPr>
        <w:t>在暖风器更型结构设计上,必须充分考虑暖风器的积灰、结冰、水击等问题提高暖风器的运行可靠性.</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w:t>
      </w: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 xml:space="preserve"> </w:t>
      </w:r>
      <w:r>
        <w:rPr>
          <w:rFonts w:hint="eastAsia" w:hAnsi="宋体"/>
          <w:color w:val="auto"/>
          <w:sz w:val="24"/>
          <w:szCs w:val="24"/>
          <w:highlight w:val="none"/>
          <w:lang w:val="sq-AL" w:eastAsia="zh-CN"/>
        </w:rPr>
        <w:t>二次风暖风器禁止采取“进出口加大小头扩大暖风器空气通流面积”</w:t>
      </w:r>
      <w:r>
        <w:rPr>
          <w:rFonts w:hint="eastAsia" w:hAnsi="宋体"/>
          <w:color w:val="auto"/>
          <w:sz w:val="24"/>
          <w:szCs w:val="24"/>
          <w:highlight w:val="none"/>
          <w:lang w:val="en-US" w:eastAsia="zh-CN"/>
        </w:rPr>
        <w:t>的方案</w:t>
      </w:r>
      <w:r>
        <w:rPr>
          <w:rFonts w:hint="eastAsia" w:hAnsi="宋体"/>
          <w:color w:val="auto"/>
          <w:sz w:val="24"/>
          <w:szCs w:val="24"/>
          <w:highlight w:val="none"/>
          <w:lang w:val="sq-AL" w:eastAsia="zh-CN"/>
        </w:rPr>
        <w:t>控制暖风器空气侧的阻力，考虑增加换热器管束宽度保证换热面积，暖风器空气阻力在100%B-MCR工况必须小于</w:t>
      </w:r>
      <w:r>
        <w:rPr>
          <w:rFonts w:hint="eastAsia" w:hAnsi="宋体"/>
          <w:color w:val="auto"/>
          <w:sz w:val="24"/>
          <w:szCs w:val="24"/>
          <w:highlight w:val="none"/>
          <w:lang w:val="en-US" w:eastAsia="zh-CN"/>
        </w:rPr>
        <w:t>250</w:t>
      </w:r>
      <w:r>
        <w:rPr>
          <w:rFonts w:hint="eastAsia" w:hAnsi="宋体"/>
          <w:color w:val="auto"/>
          <w:sz w:val="24"/>
          <w:szCs w:val="24"/>
          <w:highlight w:val="none"/>
          <w:lang w:val="sq-AL" w:eastAsia="zh-CN"/>
        </w:rPr>
        <w:t>Pa。</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 xml:space="preserve">3.1.4 </w:t>
      </w:r>
      <w:r>
        <w:rPr>
          <w:rFonts w:hint="eastAsia" w:hAnsi="宋体"/>
          <w:color w:val="auto"/>
          <w:sz w:val="24"/>
          <w:szCs w:val="24"/>
          <w:highlight w:val="none"/>
          <w:lang w:val="sq-AL" w:eastAsia="zh-CN"/>
        </w:rPr>
        <w:t>暖风器应考虑有完善的防冻措施，当管束在水平安装时应坡向疏水侧，疏水坡度为</w:t>
      </w:r>
      <w:r>
        <w:rPr>
          <w:rFonts w:hint="eastAsia" w:hAnsi="宋体"/>
          <w:color w:val="auto"/>
          <w:sz w:val="24"/>
          <w:szCs w:val="24"/>
          <w:highlight w:val="none"/>
          <w:lang w:val="en-US" w:eastAsia="zh-CN"/>
        </w:rPr>
        <w:t>2‰</w:t>
      </w:r>
      <w:r>
        <w:rPr>
          <w:rFonts w:hint="eastAsia" w:hAnsi="宋体"/>
          <w:color w:val="auto"/>
          <w:sz w:val="24"/>
          <w:szCs w:val="24"/>
          <w:highlight w:val="none"/>
          <w:vertAlign w:val="subscript"/>
          <w:lang w:val="en-US" w:eastAsia="zh-CN"/>
        </w:rPr>
        <w:t>-</w:t>
      </w:r>
      <w:r>
        <w:rPr>
          <w:rFonts w:hint="eastAsia" w:hAnsi="宋体"/>
          <w:color w:val="auto"/>
          <w:sz w:val="24"/>
          <w:szCs w:val="24"/>
          <w:highlight w:val="none"/>
          <w:lang w:val="en-US" w:eastAsia="zh-CN"/>
        </w:rPr>
        <w:t>5‰，</w:t>
      </w:r>
      <w:r>
        <w:rPr>
          <w:rFonts w:hint="eastAsia" w:hAnsi="宋体"/>
          <w:color w:val="auto"/>
          <w:sz w:val="24"/>
          <w:szCs w:val="24"/>
          <w:highlight w:val="none"/>
          <w:lang w:val="sq-AL" w:eastAsia="zh-CN"/>
        </w:rPr>
        <w:t>疏水坡度由甲方确认，疏水口应从风道外接出，疏水排至收集水槽。</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w:t>
      </w:r>
      <w:r>
        <w:rPr>
          <w:rFonts w:hint="eastAsia" w:hAnsi="宋体"/>
          <w:color w:val="auto"/>
          <w:sz w:val="24"/>
          <w:szCs w:val="24"/>
          <w:highlight w:val="none"/>
          <w:lang w:val="en-US" w:eastAsia="zh-CN"/>
        </w:rPr>
        <w:t>5</w:t>
      </w:r>
      <w:r>
        <w:rPr>
          <w:rFonts w:hint="eastAsia" w:hAnsi="宋体"/>
          <w:color w:val="auto"/>
          <w:sz w:val="24"/>
          <w:szCs w:val="24"/>
          <w:highlight w:val="none"/>
          <w:lang w:val="sq-AL" w:eastAsia="zh-CN"/>
        </w:rPr>
        <w:t xml:space="preserve">  暖风器应设有膨胀补偿装置，管束向疏水出口方向膨胀，膨胀最大值在标书中应予提供。</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w:t>
      </w:r>
      <w:r>
        <w:rPr>
          <w:rFonts w:hint="eastAsia" w:hAnsi="宋体"/>
          <w:color w:val="auto"/>
          <w:sz w:val="24"/>
          <w:szCs w:val="24"/>
          <w:highlight w:val="none"/>
          <w:lang w:val="en-US" w:eastAsia="zh-CN"/>
        </w:rPr>
        <w:t>6</w:t>
      </w:r>
      <w:r>
        <w:rPr>
          <w:rFonts w:hint="eastAsia" w:hAnsi="宋体"/>
          <w:color w:val="auto"/>
          <w:sz w:val="24"/>
          <w:szCs w:val="24"/>
          <w:highlight w:val="none"/>
          <w:lang w:val="sq-AL" w:eastAsia="zh-CN"/>
        </w:rPr>
        <w:t xml:space="preserve"> 设备的噪声水平应符合《工业企业噪声卫生标准》的规定，距设备外壳1m处的噪声不大于85dB(A)。</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w:t>
      </w:r>
      <w:r>
        <w:rPr>
          <w:rFonts w:hint="eastAsia" w:hAnsi="宋体"/>
          <w:color w:val="auto"/>
          <w:sz w:val="24"/>
          <w:szCs w:val="24"/>
          <w:highlight w:val="none"/>
          <w:lang w:val="en-US" w:eastAsia="zh-CN"/>
        </w:rPr>
        <w:t>7</w:t>
      </w:r>
      <w:r>
        <w:rPr>
          <w:rFonts w:hint="eastAsia" w:hAnsi="宋体"/>
          <w:color w:val="auto"/>
          <w:sz w:val="24"/>
          <w:szCs w:val="24"/>
          <w:highlight w:val="none"/>
          <w:lang w:val="sq-AL" w:eastAsia="zh-CN"/>
        </w:rPr>
        <w:t xml:space="preserve"> 结构型材应能满足暖风器强度设计的要求。</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w:t>
      </w:r>
      <w:r>
        <w:rPr>
          <w:rFonts w:hint="eastAsia" w:hAnsi="宋体"/>
          <w:color w:val="auto"/>
          <w:sz w:val="24"/>
          <w:szCs w:val="24"/>
          <w:highlight w:val="none"/>
          <w:lang w:val="en-US" w:eastAsia="zh-CN"/>
        </w:rPr>
        <w:t>8</w:t>
      </w:r>
      <w:r>
        <w:rPr>
          <w:rFonts w:hint="eastAsia" w:hAnsi="宋体"/>
          <w:color w:val="auto"/>
          <w:sz w:val="24"/>
          <w:szCs w:val="24"/>
          <w:highlight w:val="none"/>
          <w:lang w:val="sq-AL" w:eastAsia="zh-CN"/>
        </w:rPr>
        <w:t xml:space="preserve"> </w:t>
      </w:r>
      <w:r>
        <w:rPr>
          <w:rFonts w:hint="eastAsia" w:hAnsi="宋体"/>
          <w:color w:val="auto"/>
          <w:sz w:val="24"/>
          <w:szCs w:val="24"/>
          <w:highlight w:val="none"/>
          <w:lang w:val="en-US" w:eastAsia="zh-CN"/>
        </w:rPr>
        <w:t>暖风器除换热部件外应采取整体防腐处理。</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w:t>
      </w:r>
      <w:r>
        <w:rPr>
          <w:rFonts w:hint="eastAsia" w:hAnsi="宋体"/>
          <w:color w:val="auto"/>
          <w:sz w:val="24"/>
          <w:szCs w:val="24"/>
          <w:highlight w:val="none"/>
          <w:lang w:val="en-US" w:eastAsia="zh-CN"/>
        </w:rPr>
        <w:t>9</w:t>
      </w:r>
      <w:r>
        <w:rPr>
          <w:rFonts w:hint="eastAsia" w:hAnsi="宋体"/>
          <w:color w:val="auto"/>
          <w:sz w:val="24"/>
          <w:szCs w:val="24"/>
          <w:highlight w:val="none"/>
          <w:lang w:val="sq-AL" w:eastAsia="zh-CN"/>
        </w:rPr>
        <w:t xml:space="preserve"> 暖风器及附件设计寿命不小于30年。</w:t>
      </w:r>
    </w:p>
    <w:p>
      <w:pPr>
        <w:spacing w:line="360" w:lineRule="auto"/>
        <w:ind w:firstLine="480" w:firstLineChars="200"/>
        <w:rPr>
          <w:rFonts w:hint="eastAsia" w:hAnsi="宋体"/>
          <w:color w:val="auto"/>
          <w:sz w:val="24"/>
          <w:szCs w:val="24"/>
          <w:highlight w:val="none"/>
          <w:lang w:val="sq-AL" w:eastAsia="zh-CN"/>
        </w:rPr>
      </w:pPr>
      <w:bookmarkStart w:id="1" w:name="_Hlk109806535"/>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w:t>
      </w:r>
      <w:bookmarkEnd w:id="1"/>
      <w:r>
        <w:rPr>
          <w:rFonts w:hint="eastAsia" w:hAnsi="宋体"/>
          <w:color w:val="auto"/>
          <w:sz w:val="24"/>
          <w:szCs w:val="24"/>
          <w:highlight w:val="none"/>
          <w:lang w:val="en-US" w:eastAsia="zh-CN"/>
        </w:rPr>
        <w:t>10</w:t>
      </w:r>
      <w:r>
        <w:rPr>
          <w:rFonts w:hint="eastAsia" w:hAnsi="宋体"/>
          <w:color w:val="auto"/>
          <w:sz w:val="24"/>
          <w:szCs w:val="24"/>
          <w:highlight w:val="none"/>
          <w:lang w:val="sq-AL" w:eastAsia="zh-CN"/>
        </w:rPr>
        <w:t xml:space="preserve"> 暖风器应有标牌，其内容应包括名称、型号，符合设计要求的技术数据，如容量、压力、温度、制造厂、出厂编号、出厂年月等。</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sq-AL" w:eastAsia="zh-CN"/>
        </w:rPr>
        <w:t>2.1.</w:t>
      </w:r>
      <w:r>
        <w:rPr>
          <w:rFonts w:hint="eastAsia" w:hAnsi="宋体"/>
          <w:color w:val="auto"/>
          <w:sz w:val="24"/>
          <w:szCs w:val="24"/>
          <w:highlight w:val="none"/>
          <w:lang w:val="en-US" w:eastAsia="zh-CN"/>
        </w:rPr>
        <w:t xml:space="preserve">11 </w:t>
      </w:r>
      <w:r>
        <w:rPr>
          <w:rFonts w:hint="eastAsia" w:hAnsi="宋体"/>
          <w:color w:val="auto"/>
          <w:sz w:val="24"/>
          <w:szCs w:val="24"/>
          <w:highlight w:val="none"/>
          <w:lang w:val="sq-AL" w:eastAsia="zh-CN"/>
        </w:rPr>
        <w:t>暖风器每组换热片</w:t>
      </w:r>
      <w:bookmarkStart w:id="2" w:name="_Hlk109806925"/>
      <w:r>
        <w:rPr>
          <w:rFonts w:hint="eastAsia" w:hAnsi="宋体"/>
          <w:color w:val="auto"/>
          <w:sz w:val="24"/>
          <w:szCs w:val="24"/>
          <w:highlight w:val="none"/>
          <w:lang w:val="sq-AL" w:eastAsia="zh-CN"/>
        </w:rPr>
        <w:t>前后设</w:t>
      </w:r>
      <w:bookmarkEnd w:id="2"/>
      <w:r>
        <w:rPr>
          <w:rFonts w:hint="eastAsia" w:hAnsi="宋体"/>
          <w:color w:val="auto"/>
          <w:sz w:val="24"/>
          <w:szCs w:val="24"/>
          <w:highlight w:val="none"/>
          <w:lang w:val="sq-AL" w:eastAsia="zh-CN"/>
        </w:rPr>
        <w:t>手动截止阀，暖风器进汽管道上设置压力表，每台暖风器疏水管道设</w:t>
      </w:r>
      <w:r>
        <w:rPr>
          <w:rFonts w:hint="eastAsia" w:hAnsi="宋体"/>
          <w:color w:val="auto"/>
          <w:sz w:val="24"/>
          <w:szCs w:val="24"/>
          <w:highlight w:val="none"/>
          <w:lang w:val="en-US" w:eastAsia="zh-CN"/>
        </w:rPr>
        <w:t>气</w:t>
      </w:r>
      <w:r>
        <w:rPr>
          <w:rFonts w:hint="eastAsia" w:hAnsi="宋体"/>
          <w:color w:val="auto"/>
          <w:sz w:val="24"/>
          <w:szCs w:val="24"/>
          <w:highlight w:val="none"/>
          <w:lang w:val="sq-AL" w:eastAsia="zh-CN"/>
        </w:rPr>
        <w:t>调节阀和旁路阀门，疏水排至回收母管。</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.1.1</w:t>
      </w:r>
      <w:r>
        <w:rPr>
          <w:rFonts w:hint="eastAsia" w:hAnsi="宋体"/>
          <w:color w:val="auto"/>
          <w:sz w:val="24"/>
          <w:szCs w:val="24"/>
          <w:highlight w:val="none"/>
          <w:lang w:val="en-US" w:eastAsia="zh-CN"/>
        </w:rPr>
        <w:t>2</w:t>
      </w:r>
      <w:r>
        <w:rPr>
          <w:rFonts w:hint="eastAsia" w:hAnsi="宋体"/>
          <w:color w:val="auto"/>
          <w:sz w:val="24"/>
          <w:szCs w:val="24"/>
          <w:highlight w:val="none"/>
          <w:lang w:val="sq-AL" w:eastAsia="zh-CN"/>
        </w:rPr>
        <w:t>暖风器汽水系统流程图在标书中间体现。</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.1.1</w:t>
      </w:r>
      <w:r>
        <w:rPr>
          <w:rFonts w:hint="eastAsia" w:hAnsi="宋体"/>
          <w:color w:val="auto"/>
          <w:sz w:val="24"/>
          <w:szCs w:val="24"/>
          <w:highlight w:val="none"/>
          <w:lang w:val="en-US" w:eastAsia="zh-CN"/>
        </w:rPr>
        <w:t>3 本次供货暖风器组件增加疏水侧自动控制系统，暖风器自动控制装置必须实现远方自动控制功能，所有实现该功能的材料、备件均由乙方提供。</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  暖风器结构要求</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.2.1 暖风器换热元件为钢铝复合整体压制成型的螺旋制翅片圆管。芯管材质为20G，管壁厚度不低于3mm。翅片材质为铝</w:t>
      </w:r>
      <w:r>
        <w:rPr>
          <w:rFonts w:hint="eastAsia" w:hAnsi="宋体"/>
          <w:color w:val="auto"/>
          <w:sz w:val="24"/>
          <w:szCs w:val="24"/>
          <w:highlight w:val="none"/>
          <w:lang w:val="en-US" w:eastAsia="zh-CN"/>
        </w:rPr>
        <w:t>，应具有足够强度，能够承受≥100kg/m2 载荷。</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.2.2  暖风器在设计时应保证本规范书规定的辅助蒸汽在暖风器内释放全部汽化潜热，将空气加热后在暖风器内凝结成水，并保证疏水通畅、维护检修方便。投标时提供暖风器强度计算书、详细的换热计算书及通风阻力计算。</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.2.3  暖风器用法兰与两侧风道相连。与风道连接的法兰应成组供货（包括螺栓、螺母、垫片等连接件）。并应同时钻孔，方便现场安装。</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.2.4   暖风器的强度应满足所有工况运行时蒸汽参数的要求。</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.2.5  设备出厂前按规定进行必要的试验和检验，其试验压力为设计压力的1.5倍，</w:t>
      </w:r>
      <w:r>
        <w:rPr>
          <w:rFonts w:hint="eastAsia" w:hAnsi="宋体"/>
          <w:color w:val="auto"/>
          <w:sz w:val="24"/>
          <w:szCs w:val="24"/>
          <w:highlight w:val="none"/>
          <w:lang w:val="en-US" w:eastAsia="zh-CN"/>
        </w:rPr>
        <w:t>无漏泄、无变形，保压30min压降不大于0.05MPa</w:t>
      </w:r>
      <w:r>
        <w:rPr>
          <w:rFonts w:hint="eastAsia" w:hAnsi="宋体"/>
          <w:color w:val="auto"/>
          <w:sz w:val="24"/>
          <w:szCs w:val="24"/>
          <w:highlight w:val="none"/>
          <w:lang w:val="sq-AL" w:eastAsia="zh-CN"/>
        </w:rPr>
        <w:t>，并通知甲方参加整体水压试验。</w:t>
      </w:r>
    </w:p>
    <w:p>
      <w:pPr>
        <w:spacing w:line="360" w:lineRule="auto"/>
        <w:ind w:firstLine="480" w:firstLineChars="200"/>
        <w:rPr>
          <w:rFonts w:hint="default" w:hAnsi="宋体"/>
          <w:color w:val="auto"/>
          <w:sz w:val="24"/>
          <w:szCs w:val="24"/>
          <w:highlight w:val="none"/>
          <w:lang w:val="en-US"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.2.6 所有焊接应遵循DL／T455-2008《锅炉暖风器》等现行规程和标准。</w:t>
      </w:r>
      <w:r>
        <w:rPr>
          <w:rFonts w:hint="eastAsia" w:hAnsi="宋体"/>
          <w:color w:val="auto"/>
          <w:sz w:val="24"/>
          <w:szCs w:val="24"/>
          <w:highlight w:val="none"/>
          <w:lang w:val="en-US" w:eastAsia="zh-CN"/>
        </w:rPr>
        <w:t>每道焊缝必须拍片编号，有追溯性。</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.2.7 所有承压部件应适应预定的工作条件，并按照GB</w:t>
      </w:r>
      <w:r>
        <w:rPr>
          <w:rFonts w:hint="eastAsia" w:hAnsi="宋体"/>
          <w:color w:val="auto"/>
          <w:sz w:val="24"/>
          <w:szCs w:val="24"/>
          <w:highlight w:val="none"/>
          <w:lang w:val="en-US" w:eastAsia="zh-CN"/>
        </w:rPr>
        <w:t>/T</w:t>
      </w:r>
      <w:r>
        <w:rPr>
          <w:rFonts w:hint="eastAsia" w:hAnsi="宋体"/>
          <w:color w:val="auto"/>
          <w:sz w:val="24"/>
          <w:szCs w:val="24"/>
          <w:highlight w:val="none"/>
          <w:lang w:val="sq-AL" w:eastAsia="zh-CN"/>
        </w:rPr>
        <w:t>150-20</w:t>
      </w:r>
      <w:r>
        <w:rPr>
          <w:rFonts w:hint="eastAsia" w:hAnsi="宋体"/>
          <w:color w:val="auto"/>
          <w:sz w:val="24"/>
          <w:szCs w:val="24"/>
          <w:highlight w:val="none"/>
          <w:lang w:val="en-US" w:eastAsia="zh-CN"/>
        </w:rPr>
        <w:t>23</w:t>
      </w:r>
      <w:r>
        <w:rPr>
          <w:rFonts w:hint="eastAsia" w:hAnsi="宋体"/>
          <w:color w:val="auto"/>
          <w:sz w:val="24"/>
          <w:szCs w:val="24"/>
          <w:highlight w:val="none"/>
          <w:lang w:val="sq-AL" w:eastAsia="zh-CN"/>
        </w:rPr>
        <w:t>压力容器规范适用的附件设计和制造。外部管道应符合GB8163管道规范的要求。</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3.2.8暖风器安装要满足现有风道荷载要求，如超过荷载要求，需进行加固。受压部件和主要受力部件所用材料都应具有必要的质保数据。乙方应对所有材料进行复验，以确保材料质量。</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w:t>
      </w:r>
      <w:r>
        <w:rPr>
          <w:rFonts w:hint="eastAsia" w:hAnsi="宋体"/>
          <w:color w:val="auto"/>
          <w:sz w:val="24"/>
          <w:szCs w:val="24"/>
          <w:highlight w:val="none"/>
          <w:lang w:val="en-US" w:eastAsia="zh-CN"/>
        </w:rPr>
        <w:t>9</w:t>
      </w:r>
      <w:r>
        <w:rPr>
          <w:rFonts w:hint="eastAsia" w:hAnsi="宋体"/>
          <w:color w:val="auto"/>
          <w:sz w:val="24"/>
          <w:szCs w:val="24"/>
          <w:highlight w:val="none"/>
          <w:lang w:val="sq-AL" w:eastAsia="zh-CN"/>
        </w:rPr>
        <w:t xml:space="preserve"> </w:t>
      </w:r>
      <w:r>
        <w:rPr>
          <w:rFonts w:hint="eastAsia" w:hAnsi="宋体"/>
          <w:color w:val="auto"/>
          <w:sz w:val="24"/>
          <w:szCs w:val="24"/>
          <w:highlight w:val="none"/>
          <w:lang w:val="en-US" w:eastAsia="zh-CN"/>
        </w:rPr>
        <w:t>设备应在工厂内进行除锈、防锈处理，并涂上面漆，面漆为滤色酚醛磁漆。</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.2.1</w:t>
      </w:r>
      <w:r>
        <w:rPr>
          <w:rFonts w:hint="eastAsia" w:hAnsi="宋体"/>
          <w:color w:val="auto"/>
          <w:sz w:val="24"/>
          <w:szCs w:val="24"/>
          <w:highlight w:val="none"/>
          <w:lang w:val="en-US" w:eastAsia="zh-CN"/>
        </w:rPr>
        <w:t>0</w:t>
      </w:r>
      <w:r>
        <w:rPr>
          <w:rFonts w:hint="eastAsia" w:hAnsi="宋体"/>
          <w:color w:val="auto"/>
          <w:sz w:val="24"/>
          <w:szCs w:val="24"/>
          <w:highlight w:val="none"/>
          <w:lang w:val="sq-AL" w:eastAsia="zh-CN"/>
        </w:rPr>
        <w:t xml:space="preserve"> </w:t>
      </w:r>
      <w:r>
        <w:rPr>
          <w:rFonts w:hint="eastAsia" w:hAnsi="宋体"/>
          <w:color w:val="auto"/>
          <w:sz w:val="24"/>
          <w:szCs w:val="24"/>
          <w:highlight w:val="none"/>
          <w:lang w:val="en-US" w:eastAsia="zh-CN"/>
        </w:rPr>
        <w:t>暖风器的设计、制造、检验和试验应符合以下标准规范：</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 xml:space="preserve">DL/T455-2008《锅炉暖风器》 </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sq-AL" w:eastAsia="zh-CN"/>
        </w:rPr>
        <w:t>GB</w:t>
      </w:r>
      <w:r>
        <w:rPr>
          <w:rFonts w:hint="eastAsia" w:hAnsi="宋体"/>
          <w:color w:val="auto"/>
          <w:sz w:val="24"/>
          <w:szCs w:val="24"/>
          <w:highlight w:val="none"/>
          <w:lang w:val="en-US" w:eastAsia="zh-CN"/>
        </w:rPr>
        <w:t>/T</w:t>
      </w:r>
      <w:r>
        <w:rPr>
          <w:rFonts w:hint="eastAsia" w:hAnsi="宋体"/>
          <w:color w:val="auto"/>
          <w:sz w:val="24"/>
          <w:szCs w:val="24"/>
          <w:highlight w:val="none"/>
          <w:lang w:val="sq-AL" w:eastAsia="zh-CN"/>
        </w:rPr>
        <w:t>150-20</w:t>
      </w:r>
      <w:r>
        <w:rPr>
          <w:rFonts w:hint="eastAsia" w:hAnsi="宋体"/>
          <w:color w:val="auto"/>
          <w:sz w:val="24"/>
          <w:szCs w:val="24"/>
          <w:highlight w:val="none"/>
          <w:lang w:val="en-US" w:eastAsia="zh-CN"/>
        </w:rPr>
        <w:t>23《压力容器》</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.2.1</w:t>
      </w:r>
      <w:r>
        <w:rPr>
          <w:rFonts w:hint="eastAsia" w:hAnsi="宋体"/>
          <w:color w:val="auto"/>
          <w:sz w:val="24"/>
          <w:szCs w:val="24"/>
          <w:highlight w:val="none"/>
          <w:lang w:val="en-US" w:eastAsia="zh-CN"/>
        </w:rPr>
        <w:t>1</w:t>
      </w:r>
      <w:r>
        <w:rPr>
          <w:rFonts w:hint="eastAsia" w:hAnsi="宋体"/>
          <w:color w:val="auto"/>
          <w:sz w:val="24"/>
          <w:szCs w:val="24"/>
          <w:highlight w:val="none"/>
          <w:lang w:val="sq-AL" w:eastAsia="zh-CN"/>
        </w:rPr>
        <w:t xml:space="preserve"> </w:t>
      </w:r>
      <w:r>
        <w:rPr>
          <w:rFonts w:hint="eastAsia" w:hAnsi="宋体"/>
          <w:color w:val="auto"/>
          <w:sz w:val="24"/>
          <w:szCs w:val="24"/>
          <w:highlight w:val="none"/>
          <w:lang w:val="en-US" w:eastAsia="zh-CN"/>
        </w:rPr>
        <w:t>所有螺栓连接面间加垫片密封，暖风器采用整体组装出厂。</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.2.1</w:t>
      </w:r>
      <w:r>
        <w:rPr>
          <w:rFonts w:hint="eastAsia" w:hAnsi="宋体"/>
          <w:color w:val="auto"/>
          <w:sz w:val="24"/>
          <w:szCs w:val="24"/>
          <w:highlight w:val="none"/>
          <w:lang w:val="en-US" w:eastAsia="zh-CN"/>
        </w:rPr>
        <w:t>2</w:t>
      </w:r>
      <w:r>
        <w:rPr>
          <w:rFonts w:hint="eastAsia" w:hAnsi="宋体"/>
          <w:color w:val="auto"/>
          <w:sz w:val="24"/>
          <w:szCs w:val="24"/>
          <w:highlight w:val="none"/>
          <w:lang w:val="sq-AL" w:eastAsia="zh-CN"/>
        </w:rPr>
        <w:t xml:space="preserve"> </w:t>
      </w:r>
      <w:r>
        <w:rPr>
          <w:rFonts w:hint="eastAsia" w:hAnsi="宋体"/>
          <w:color w:val="auto"/>
          <w:sz w:val="24"/>
          <w:szCs w:val="24"/>
          <w:highlight w:val="none"/>
          <w:lang w:val="en-US" w:eastAsia="zh-CN"/>
        </w:rPr>
        <w:t>产品铭牌装在暖风器外面适当位置。</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3.2.13 本次暖风器使用的保温、保温外护板由乙方提供。</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3.2.14本次暖风器入口管道部位（入口手动门处）需增加人员作业平台，平台需根据风箱实际尺寸提供成品平台。</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3.2.15 本次暖风器入口、出口管道按规范要求（GB/T 17116.1-2018 管道支吊架第1部分：技术规范、GB/T 17116.2-2018管道支吊架第2部分：管道连接部位）设计支吊架，支吊架由乙方提供。</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.3 蒸汽、疏水系统及控制要求</w:t>
      </w:r>
    </w:p>
    <w:p>
      <w:pPr>
        <w:spacing w:line="360" w:lineRule="auto"/>
        <w:ind w:firstLine="480" w:firstLineChars="200"/>
        <w:rPr>
          <w:rFonts w:hint="default" w:hAnsi="宋体"/>
          <w:color w:val="auto"/>
          <w:sz w:val="24"/>
          <w:szCs w:val="24"/>
          <w:highlight w:val="none"/>
          <w:lang w:val="en-US"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.3.1  乙方配套供应疏水</w:t>
      </w:r>
      <w:r>
        <w:rPr>
          <w:rFonts w:hint="eastAsia" w:hAnsi="宋体"/>
          <w:color w:val="auto"/>
          <w:sz w:val="24"/>
          <w:szCs w:val="24"/>
          <w:highlight w:val="none"/>
          <w:lang w:val="en-US" w:eastAsia="zh-CN"/>
        </w:rPr>
        <w:t>自动调节控制组件</w:t>
      </w:r>
      <w:r>
        <w:rPr>
          <w:rFonts w:hint="eastAsia" w:hAnsi="宋体"/>
          <w:color w:val="auto"/>
          <w:sz w:val="24"/>
          <w:szCs w:val="24"/>
          <w:highlight w:val="none"/>
          <w:lang w:val="sq-AL" w:eastAsia="zh-CN"/>
        </w:rPr>
        <w:t>、执行器和控制系统一次元器件。</w:t>
      </w:r>
      <w:r>
        <w:rPr>
          <w:rFonts w:hint="eastAsia" w:hAnsi="宋体"/>
          <w:color w:val="auto"/>
          <w:sz w:val="24"/>
          <w:szCs w:val="24"/>
          <w:highlight w:val="none"/>
          <w:lang w:val="en-US" w:eastAsia="zh-CN"/>
        </w:rPr>
        <w:t>自动调节控制组件包括:</w:t>
      </w:r>
      <w:r>
        <w:rPr>
          <w:rFonts w:hint="eastAsia" w:hAnsi="宋体"/>
          <w:color w:val="auto"/>
          <w:sz w:val="24"/>
          <w:szCs w:val="24"/>
          <w:highlight w:val="none"/>
          <w:lang w:val="sq-AL" w:eastAsia="zh-CN"/>
        </w:rPr>
        <w:t>疏水</w:t>
      </w:r>
      <w:r>
        <w:rPr>
          <w:rFonts w:hint="eastAsia" w:hAnsi="宋体"/>
          <w:color w:val="auto"/>
          <w:sz w:val="24"/>
          <w:szCs w:val="24"/>
          <w:highlight w:val="none"/>
          <w:lang w:val="en-US" w:eastAsia="zh-CN"/>
        </w:rPr>
        <w:t>气动</w:t>
      </w:r>
      <w:r>
        <w:rPr>
          <w:rFonts w:hint="eastAsia" w:hAnsi="宋体"/>
          <w:color w:val="auto"/>
          <w:sz w:val="24"/>
          <w:szCs w:val="24"/>
          <w:highlight w:val="none"/>
          <w:lang w:val="sq-AL" w:eastAsia="zh-CN"/>
        </w:rPr>
        <w:t>调节阀、调节阀前后隔离阀、旁路</w:t>
      </w:r>
      <w:r>
        <w:rPr>
          <w:rFonts w:hint="eastAsia" w:hAnsi="宋体"/>
          <w:color w:val="auto"/>
          <w:sz w:val="24"/>
          <w:szCs w:val="24"/>
          <w:highlight w:val="none"/>
          <w:lang w:val="en-US" w:eastAsia="zh-CN"/>
        </w:rPr>
        <w:t>最小流量</w:t>
      </w:r>
      <w:r>
        <w:rPr>
          <w:rFonts w:hint="eastAsia" w:hAnsi="宋体"/>
          <w:color w:val="auto"/>
          <w:sz w:val="24"/>
          <w:szCs w:val="24"/>
          <w:highlight w:val="none"/>
          <w:lang w:val="sq-AL" w:eastAsia="zh-CN"/>
        </w:rPr>
        <w:t>阀、</w:t>
      </w:r>
      <w:r>
        <w:rPr>
          <w:rFonts w:hint="eastAsia" w:hAnsi="宋体"/>
          <w:color w:val="auto"/>
          <w:sz w:val="24"/>
          <w:szCs w:val="24"/>
          <w:highlight w:val="none"/>
          <w:lang w:val="en-US" w:eastAsia="zh-CN"/>
        </w:rPr>
        <w:t>冲洗阀</w:t>
      </w:r>
      <w:r>
        <w:rPr>
          <w:rFonts w:hint="eastAsia" w:hAnsi="宋体"/>
          <w:color w:val="auto"/>
          <w:sz w:val="24"/>
          <w:szCs w:val="24"/>
          <w:highlight w:val="none"/>
          <w:lang w:val="sq-AL" w:eastAsia="zh-CN"/>
        </w:rPr>
        <w:t>，相应配套法兰、附件、连接管道</w:t>
      </w:r>
      <w:r>
        <w:rPr>
          <w:rFonts w:hint="eastAsia" w:hAnsi="宋体"/>
          <w:color w:val="auto"/>
          <w:sz w:val="24"/>
          <w:szCs w:val="24"/>
          <w:highlight w:val="none"/>
          <w:lang w:val="en-US" w:eastAsia="zh-CN"/>
        </w:rPr>
        <w:t>、节流圈等。</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.3.2  所有阀门选用上海阀门、吴忠中创和华夏阀门国内优质品牌。</w:t>
      </w:r>
      <w:r>
        <w:rPr>
          <w:rFonts w:hint="eastAsia" w:hAnsi="宋体" w:eastAsia="宋体"/>
          <w:color w:val="auto"/>
          <w:sz w:val="24"/>
          <w:szCs w:val="24"/>
          <w:highlight w:val="none"/>
          <w:lang w:val="sq-AL" w:eastAsia="zh-CN"/>
        </w:rPr>
        <w:t>气动调节执行机构选用ABB、FISHER、西门子现场常用执行机构。电动执行机构选用瑞基、行力、上仪现场常用执行机构。</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.3.3  每个暖风器单独配供的热电阻或热电偶的元件，结构应采用双支分列绝缘铠装型，热电阻应采用三线制，Pt100分度。热电偶宜采用K或E分度。</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.3.4 温度测量元件（热电偶、热电阻、温度开关）应装设耐磨套管，压力测点应配防堵装置。</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 xml:space="preserve">.3.5 </w:t>
      </w:r>
      <w:r>
        <w:rPr>
          <w:rFonts w:hint="eastAsia" w:hAnsi="宋体"/>
          <w:color w:val="auto"/>
          <w:sz w:val="24"/>
          <w:szCs w:val="24"/>
          <w:highlight w:val="none"/>
          <w:lang w:val="sq-AL" w:eastAsia="zh-CN"/>
        </w:rPr>
        <w:t>投标时详细说明控制系统原理</w:t>
      </w:r>
      <w:r>
        <w:rPr>
          <w:rFonts w:hint="eastAsia" w:hAnsi="宋体"/>
          <w:color w:val="auto"/>
          <w:sz w:val="24"/>
          <w:szCs w:val="24"/>
          <w:highlight w:val="none"/>
          <w:lang w:val="en-US" w:eastAsia="zh-CN"/>
        </w:rPr>
        <w:t>，</w:t>
      </w:r>
      <w:r>
        <w:rPr>
          <w:rFonts w:hint="eastAsia" w:hAnsi="宋体"/>
          <w:color w:val="auto"/>
          <w:sz w:val="24"/>
          <w:szCs w:val="24"/>
          <w:highlight w:val="none"/>
          <w:lang w:val="sq-AL" w:eastAsia="zh-CN"/>
        </w:rPr>
        <w:t>提供与DCS控制系统相联系的信号接口，项目涉及新增</w:t>
      </w:r>
      <w:r>
        <w:rPr>
          <w:rFonts w:hint="eastAsia" w:hAnsi="宋体"/>
          <w:color w:val="auto"/>
          <w:sz w:val="24"/>
          <w:szCs w:val="24"/>
          <w:highlight w:val="none"/>
          <w:lang w:val="en-US" w:eastAsia="zh-CN"/>
        </w:rPr>
        <w:t>OVATION系统模块型号应与现有控制系统型号一致</w:t>
      </w:r>
      <w:r>
        <w:rPr>
          <w:rFonts w:hint="eastAsia" w:hAnsi="宋体"/>
          <w:color w:val="auto"/>
          <w:sz w:val="24"/>
          <w:szCs w:val="24"/>
          <w:highlight w:val="none"/>
          <w:lang w:val="sq-AL" w:eastAsia="zh-CN"/>
        </w:rPr>
        <w:t>。</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.3.6本次暖风器改造必须将温升达到</w:t>
      </w:r>
      <w:r>
        <w:rPr>
          <w:rFonts w:hint="eastAsia" w:hAnsi="宋体"/>
          <w:color w:val="auto"/>
          <w:sz w:val="24"/>
          <w:szCs w:val="24"/>
          <w:highlight w:val="none"/>
          <w:lang w:val="en-US" w:eastAsia="zh-CN"/>
        </w:rPr>
        <w:t>45℃（最低环境温度平均值为-17℃），暖风器温度调节以疏水调节方式为准，</w:t>
      </w:r>
      <w:r>
        <w:rPr>
          <w:rFonts w:hint="eastAsia" w:hAnsi="宋体"/>
          <w:color w:val="auto"/>
          <w:sz w:val="24"/>
          <w:szCs w:val="24"/>
          <w:highlight w:val="none"/>
          <w:lang w:val="sq-AL" w:eastAsia="zh-CN"/>
        </w:rPr>
        <w:t>乙方必须以甲方要求（温升、温度调节方式）进行优化设计，性能在考虑本次优化升级方案的前提下，各项参数要求优于原送风机暖风器各项技术参数要求，出口风偏差</w:t>
      </w:r>
      <w:r>
        <w:rPr>
          <w:rFonts w:hint="eastAsia" w:hAnsi="宋体"/>
          <w:color w:val="auto"/>
          <w:sz w:val="24"/>
          <w:szCs w:val="24"/>
          <w:highlight w:val="none"/>
          <w:lang w:val="en-US" w:eastAsia="zh-CN"/>
        </w:rPr>
        <w:t>控制</w:t>
      </w:r>
      <w:r>
        <w:rPr>
          <w:rFonts w:hint="eastAsia" w:hAnsi="宋体"/>
          <w:color w:val="auto"/>
          <w:sz w:val="24"/>
          <w:szCs w:val="24"/>
          <w:highlight w:val="none"/>
          <w:lang w:val="sq-AL" w:eastAsia="zh-CN"/>
        </w:rPr>
        <w:t>≤±2</w:t>
      </w:r>
      <w:r>
        <w:rPr>
          <w:rFonts w:hint="eastAsia" w:hAnsi="宋体"/>
          <w:color w:val="auto"/>
          <w:sz w:val="24"/>
          <w:szCs w:val="24"/>
          <w:highlight w:val="none"/>
          <w:lang w:val="en-US" w:eastAsia="zh-CN"/>
        </w:rPr>
        <w:t>℃</w:t>
      </w:r>
      <w:r>
        <w:rPr>
          <w:rFonts w:hint="eastAsia" w:hAnsi="宋体"/>
          <w:color w:val="auto"/>
          <w:sz w:val="24"/>
          <w:szCs w:val="24"/>
          <w:highlight w:val="none"/>
          <w:lang w:val="sq-AL" w:eastAsia="zh-CN"/>
        </w:rPr>
        <w:t>。</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3.3.7 本次暖风器压力、温度等测点、电缆供货明细（两台炉）</w:t>
      </w:r>
    </w:p>
    <w:tbl>
      <w:tblPr>
        <w:tblStyle w:val="9"/>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9"/>
        <w:gridCol w:w="326"/>
        <w:gridCol w:w="944"/>
        <w:gridCol w:w="823"/>
        <w:gridCol w:w="3669"/>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9" w:type="pct"/>
            <w:gridSpan w:val="2"/>
          </w:tcPr>
          <w:p>
            <w:pPr>
              <w:widowControl w:val="0"/>
              <w:spacing w:line="360" w:lineRule="auto"/>
              <w:jc w:val="center"/>
              <w:rPr>
                <w:rFonts w:hint="default" w:hAnsi="宋体"/>
                <w:color w:val="auto"/>
                <w:sz w:val="24"/>
                <w:szCs w:val="24"/>
                <w:highlight w:val="none"/>
                <w:vertAlign w:val="baseline"/>
                <w:lang w:val="en-US" w:eastAsia="zh-CN"/>
              </w:rPr>
            </w:pPr>
            <w:r>
              <w:rPr>
                <w:rFonts w:hint="eastAsia" w:hAnsi="宋体"/>
                <w:color w:val="auto"/>
                <w:sz w:val="24"/>
                <w:szCs w:val="24"/>
                <w:highlight w:val="none"/>
                <w:vertAlign w:val="baseline"/>
                <w:lang w:val="en-US" w:eastAsia="zh-CN"/>
              </w:rPr>
              <w:t>名称</w:t>
            </w:r>
          </w:p>
        </w:tc>
        <w:tc>
          <w:tcPr>
            <w:tcW w:w="521" w:type="pct"/>
          </w:tcPr>
          <w:p>
            <w:pPr>
              <w:widowControl w:val="0"/>
              <w:spacing w:line="360" w:lineRule="auto"/>
              <w:jc w:val="center"/>
              <w:rPr>
                <w:rFonts w:hint="eastAsia" w:hAnsi="宋体"/>
                <w:color w:val="auto"/>
                <w:sz w:val="24"/>
                <w:szCs w:val="24"/>
                <w:highlight w:val="none"/>
                <w:vertAlign w:val="baseline"/>
                <w:lang w:val="en-US" w:eastAsia="zh-CN"/>
              </w:rPr>
            </w:pPr>
            <w:r>
              <w:rPr>
                <w:rFonts w:hint="eastAsia" w:hAnsi="宋体"/>
                <w:color w:val="auto"/>
                <w:sz w:val="24"/>
                <w:szCs w:val="24"/>
                <w:highlight w:val="none"/>
                <w:vertAlign w:val="baseline"/>
                <w:lang w:val="en-US" w:eastAsia="zh-CN"/>
              </w:rPr>
              <w:t>型号</w:t>
            </w:r>
          </w:p>
        </w:tc>
        <w:tc>
          <w:tcPr>
            <w:tcW w:w="454" w:type="pct"/>
          </w:tcPr>
          <w:p>
            <w:pPr>
              <w:widowControl w:val="0"/>
              <w:spacing w:line="360" w:lineRule="auto"/>
              <w:jc w:val="center"/>
              <w:rPr>
                <w:rFonts w:hint="default" w:hAnsi="宋体"/>
                <w:color w:val="auto"/>
                <w:sz w:val="24"/>
                <w:szCs w:val="24"/>
                <w:highlight w:val="none"/>
                <w:vertAlign w:val="baseline"/>
                <w:lang w:val="en-US" w:eastAsia="zh-CN"/>
              </w:rPr>
            </w:pPr>
            <w:r>
              <w:rPr>
                <w:rFonts w:hint="eastAsia" w:hAnsi="宋体"/>
                <w:color w:val="auto"/>
                <w:sz w:val="24"/>
                <w:szCs w:val="24"/>
                <w:highlight w:val="none"/>
                <w:vertAlign w:val="baseline"/>
                <w:lang w:val="en-US" w:eastAsia="zh-CN"/>
              </w:rPr>
              <w:t>数量</w:t>
            </w:r>
          </w:p>
        </w:tc>
        <w:tc>
          <w:tcPr>
            <w:tcW w:w="2025" w:type="pct"/>
          </w:tcPr>
          <w:p>
            <w:pPr>
              <w:widowControl w:val="0"/>
              <w:spacing w:line="360" w:lineRule="auto"/>
              <w:jc w:val="center"/>
              <w:rPr>
                <w:rFonts w:hint="default" w:hAnsi="宋体"/>
                <w:color w:val="auto"/>
                <w:sz w:val="24"/>
                <w:szCs w:val="24"/>
                <w:highlight w:val="none"/>
                <w:vertAlign w:val="baseline"/>
                <w:lang w:val="en-US" w:eastAsia="zh-CN"/>
              </w:rPr>
            </w:pPr>
            <w:r>
              <w:rPr>
                <w:rFonts w:hint="eastAsia" w:hAnsi="宋体"/>
                <w:color w:val="auto"/>
                <w:sz w:val="24"/>
                <w:szCs w:val="24"/>
                <w:highlight w:val="none"/>
                <w:vertAlign w:val="baseline"/>
                <w:lang w:val="en-US" w:eastAsia="zh-CN"/>
              </w:rPr>
              <w:t>安装位置</w:t>
            </w:r>
          </w:p>
        </w:tc>
        <w:tc>
          <w:tcPr>
            <w:tcW w:w="499" w:type="pct"/>
          </w:tcPr>
          <w:p>
            <w:pPr>
              <w:widowControl w:val="0"/>
              <w:spacing w:line="360" w:lineRule="auto"/>
              <w:jc w:val="center"/>
              <w:rPr>
                <w:rFonts w:hint="default" w:hAnsi="宋体"/>
                <w:color w:val="auto"/>
                <w:sz w:val="24"/>
                <w:szCs w:val="24"/>
                <w:highlight w:val="none"/>
                <w:vertAlign w:val="baseline"/>
                <w:lang w:val="en-US" w:eastAsia="zh-CN"/>
              </w:rPr>
            </w:pPr>
            <w:r>
              <w:rPr>
                <w:rFonts w:hint="eastAsia" w:hAnsi="宋体"/>
                <w:color w:val="auto"/>
                <w:sz w:val="24"/>
                <w:szCs w:val="24"/>
                <w:highlight w:val="none"/>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9" w:type="pct"/>
            <w:vAlign w:val="top"/>
          </w:tcPr>
          <w:p>
            <w:pPr>
              <w:widowControl w:val="0"/>
              <w:spacing w:line="360" w:lineRule="auto"/>
              <w:jc w:val="center"/>
              <w:rPr>
                <w:rFonts w:hint="default" w:ascii="Arial" w:hAnsi="宋体" w:eastAsia="Arial" w:cs="Arial"/>
                <w:snapToGrid w:val="0"/>
                <w:color w:val="auto"/>
                <w:kern w:val="0"/>
                <w:sz w:val="21"/>
                <w:szCs w:val="21"/>
                <w:highlight w:val="none"/>
                <w:vertAlign w:val="baseli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暖风器供汽压力测点</w:t>
            </w:r>
          </w:p>
        </w:tc>
        <w:tc>
          <w:tcPr>
            <w:tcW w:w="701" w:type="pct"/>
            <w:gridSpan w:val="2"/>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w:t>
            </w:r>
          </w:p>
        </w:tc>
        <w:tc>
          <w:tcPr>
            <w:tcW w:w="454" w:type="pct"/>
            <w:vAlign w:val="top"/>
          </w:tcPr>
          <w:p>
            <w:pPr>
              <w:widowControl w:val="0"/>
              <w:spacing w:line="360" w:lineRule="auto"/>
              <w:jc w:val="center"/>
              <w:rPr>
                <w:rFonts w:hint="default"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1个</w:t>
            </w:r>
          </w:p>
        </w:tc>
        <w:tc>
          <w:tcPr>
            <w:tcW w:w="2025" w:type="pct"/>
            <w:vAlign w:val="top"/>
          </w:tcPr>
          <w:p>
            <w:pPr>
              <w:widowControl w:val="0"/>
              <w:spacing w:line="360" w:lineRule="auto"/>
              <w:jc w:val="center"/>
              <w:rPr>
                <w:rFonts w:hint="default"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暖风器入口管道电动门后</w:t>
            </w:r>
          </w:p>
        </w:tc>
        <w:tc>
          <w:tcPr>
            <w:tcW w:w="499" w:type="pct"/>
            <w:vAlign w:val="top"/>
          </w:tcPr>
          <w:p>
            <w:pPr>
              <w:widowControl w:val="0"/>
              <w:spacing w:line="360" w:lineRule="auto"/>
              <w:jc w:val="center"/>
              <w:rPr>
                <w:rFonts w:hint="default" w:ascii="Arial" w:hAnsi="宋体" w:eastAsia="Arial" w:cs="Arial"/>
                <w:snapToGrid w:val="0"/>
                <w:color w:val="auto"/>
                <w:kern w:val="0"/>
                <w:sz w:val="24"/>
                <w:szCs w:val="24"/>
                <w:highlight w:val="none"/>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1319" w:type="pct"/>
            <w:vAlign w:val="top"/>
          </w:tcPr>
          <w:p>
            <w:pPr>
              <w:widowControl w:val="0"/>
              <w:spacing w:line="360" w:lineRule="auto"/>
              <w:jc w:val="center"/>
              <w:rPr>
                <w:rFonts w:hint="default"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暖风器疏水温度测点</w:t>
            </w:r>
          </w:p>
        </w:tc>
        <w:tc>
          <w:tcPr>
            <w:tcW w:w="701" w:type="pct"/>
            <w:gridSpan w:val="2"/>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w:t>
            </w:r>
          </w:p>
        </w:tc>
        <w:tc>
          <w:tcPr>
            <w:tcW w:w="454" w:type="pct"/>
            <w:vAlign w:val="top"/>
          </w:tcPr>
          <w:p>
            <w:pPr>
              <w:widowControl w:val="0"/>
              <w:spacing w:line="360" w:lineRule="auto"/>
              <w:jc w:val="center"/>
              <w:rPr>
                <w:rFonts w:hint="default"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4个</w:t>
            </w:r>
          </w:p>
        </w:tc>
        <w:tc>
          <w:tcPr>
            <w:tcW w:w="2025" w:type="pct"/>
            <w:vAlign w:val="top"/>
          </w:tcPr>
          <w:p>
            <w:pPr>
              <w:widowControl w:val="0"/>
              <w:spacing w:line="360" w:lineRule="auto"/>
              <w:jc w:val="center"/>
              <w:rPr>
                <w:rFonts w:hint="default"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暖风器出口疏水管往后1米</w:t>
            </w:r>
          </w:p>
        </w:tc>
        <w:tc>
          <w:tcPr>
            <w:tcW w:w="499" w:type="pct"/>
            <w:vAlign w:val="top"/>
          </w:tcPr>
          <w:p>
            <w:pPr>
              <w:widowControl w:val="0"/>
              <w:spacing w:line="360" w:lineRule="auto"/>
              <w:jc w:val="center"/>
              <w:rPr>
                <w:rFonts w:hint="default" w:ascii="宋体" w:hAnsi="宋体" w:eastAsia="宋体" w:cs="宋体"/>
                <w:snapToGrid w:val="0"/>
                <w:color w:val="auto"/>
                <w:spacing w:val="-8"/>
                <w:kern w:val="0"/>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9" w:type="pct"/>
            <w:vAlign w:val="top"/>
          </w:tcPr>
          <w:p>
            <w:pPr>
              <w:widowControl w:val="0"/>
              <w:spacing w:line="360" w:lineRule="auto"/>
              <w:jc w:val="center"/>
              <w:rPr>
                <w:rFonts w:hint="default"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暖风器出口风温温度测点</w:t>
            </w:r>
          </w:p>
        </w:tc>
        <w:tc>
          <w:tcPr>
            <w:tcW w:w="701" w:type="pct"/>
            <w:gridSpan w:val="2"/>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w:t>
            </w:r>
          </w:p>
        </w:tc>
        <w:tc>
          <w:tcPr>
            <w:tcW w:w="454" w:type="pct"/>
            <w:vAlign w:val="top"/>
          </w:tcPr>
          <w:p>
            <w:pPr>
              <w:widowControl w:val="0"/>
              <w:spacing w:line="360" w:lineRule="auto"/>
              <w:jc w:val="center"/>
              <w:rPr>
                <w:rFonts w:hint="default"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4个</w:t>
            </w:r>
          </w:p>
        </w:tc>
        <w:tc>
          <w:tcPr>
            <w:tcW w:w="2025" w:type="pct"/>
            <w:vAlign w:val="top"/>
          </w:tcPr>
          <w:p>
            <w:pPr>
              <w:widowControl w:val="0"/>
              <w:spacing w:line="360" w:lineRule="auto"/>
              <w:jc w:val="center"/>
              <w:rPr>
                <w:rFonts w:hint="default"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暖风器出口风道向后2米处（风箱居中部位）</w:t>
            </w:r>
          </w:p>
        </w:tc>
        <w:tc>
          <w:tcPr>
            <w:tcW w:w="499" w:type="pct"/>
            <w:vAlign w:val="top"/>
          </w:tcPr>
          <w:p>
            <w:pPr>
              <w:widowControl w:val="0"/>
              <w:spacing w:line="360" w:lineRule="auto"/>
              <w:jc w:val="center"/>
              <w:rPr>
                <w:rFonts w:hint="default" w:ascii="宋体" w:hAnsi="宋体" w:eastAsia="宋体" w:cs="宋体"/>
                <w:snapToGrid w:val="0"/>
                <w:color w:val="auto"/>
                <w:spacing w:val="-8"/>
                <w:kern w:val="0"/>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9" w:type="pct"/>
            <w:vAlign w:val="top"/>
          </w:tcPr>
          <w:p>
            <w:pPr>
              <w:widowControl w:val="0"/>
              <w:spacing w:line="360" w:lineRule="auto"/>
              <w:jc w:val="center"/>
              <w:rPr>
                <w:rFonts w:hint="default"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锅炉排烟温度测点</w:t>
            </w:r>
          </w:p>
        </w:tc>
        <w:tc>
          <w:tcPr>
            <w:tcW w:w="701" w:type="pct"/>
            <w:gridSpan w:val="2"/>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w:t>
            </w:r>
          </w:p>
        </w:tc>
        <w:tc>
          <w:tcPr>
            <w:tcW w:w="454" w:type="pct"/>
            <w:vAlign w:val="top"/>
          </w:tcPr>
          <w:p>
            <w:pPr>
              <w:widowControl w:val="0"/>
              <w:spacing w:line="360" w:lineRule="auto"/>
              <w:jc w:val="center"/>
              <w:rPr>
                <w:rFonts w:hint="default"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6个</w:t>
            </w:r>
          </w:p>
        </w:tc>
        <w:tc>
          <w:tcPr>
            <w:tcW w:w="2025" w:type="pct"/>
            <w:vAlign w:val="top"/>
          </w:tcPr>
          <w:p>
            <w:pPr>
              <w:widowControl w:val="0"/>
              <w:spacing w:line="360" w:lineRule="auto"/>
              <w:jc w:val="center"/>
              <w:rPr>
                <w:rFonts w:hint="default"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原AB空预器出口烟温测点1、测点2、测点3</w:t>
            </w:r>
          </w:p>
        </w:tc>
        <w:tc>
          <w:tcPr>
            <w:tcW w:w="499" w:type="pct"/>
            <w:vAlign w:val="top"/>
          </w:tcPr>
          <w:p>
            <w:pPr>
              <w:widowControl w:val="0"/>
              <w:spacing w:line="360" w:lineRule="auto"/>
              <w:jc w:val="center"/>
              <w:rPr>
                <w:rFonts w:hint="default" w:ascii="宋体" w:hAnsi="宋体" w:eastAsia="宋体" w:cs="宋体"/>
                <w:snapToGrid w:val="0"/>
                <w:color w:val="auto"/>
                <w:spacing w:val="-8"/>
                <w:kern w:val="0"/>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9"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暖风器供汽温度测点</w:t>
            </w:r>
          </w:p>
        </w:tc>
        <w:tc>
          <w:tcPr>
            <w:tcW w:w="701" w:type="pct"/>
            <w:gridSpan w:val="2"/>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w:t>
            </w:r>
          </w:p>
        </w:tc>
        <w:tc>
          <w:tcPr>
            <w:tcW w:w="454" w:type="pct"/>
            <w:vAlign w:val="top"/>
          </w:tcPr>
          <w:p>
            <w:pPr>
              <w:widowControl w:val="0"/>
              <w:spacing w:line="360" w:lineRule="auto"/>
              <w:jc w:val="center"/>
              <w:rPr>
                <w:rFonts w:hint="default"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1个</w:t>
            </w:r>
          </w:p>
        </w:tc>
        <w:tc>
          <w:tcPr>
            <w:tcW w:w="2025"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暖风器入口管道电动门后</w:t>
            </w:r>
          </w:p>
        </w:tc>
        <w:tc>
          <w:tcPr>
            <w:tcW w:w="499" w:type="pct"/>
            <w:vAlign w:val="top"/>
          </w:tcPr>
          <w:p>
            <w:pPr>
              <w:widowControl w:val="0"/>
              <w:spacing w:line="360" w:lineRule="auto"/>
              <w:jc w:val="center"/>
              <w:rPr>
                <w:rFonts w:hint="default" w:ascii="宋体" w:hAnsi="宋体" w:eastAsia="宋体" w:cs="宋体"/>
                <w:snapToGrid w:val="0"/>
                <w:color w:val="auto"/>
                <w:spacing w:val="-8"/>
                <w:kern w:val="0"/>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9"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rPr>
            </w:pPr>
            <w:r>
              <w:rPr>
                <w:rFonts w:hint="eastAsia" w:ascii="宋体" w:hAnsi="宋体" w:eastAsia="宋体" w:cs="宋体"/>
                <w:snapToGrid w:val="0"/>
                <w:color w:val="auto"/>
                <w:spacing w:val="-8"/>
                <w:kern w:val="0"/>
                <w:sz w:val="18"/>
                <w:szCs w:val="18"/>
                <w:highlight w:val="none"/>
                <w:lang w:val="en-US" w:eastAsia="zh-CN"/>
              </w:rPr>
              <w:t>阻燃屏蔽控制电缆</w:t>
            </w:r>
          </w:p>
          <w:p>
            <w:pPr>
              <w:widowControl w:val="0"/>
              <w:spacing w:line="360" w:lineRule="auto"/>
              <w:jc w:val="center"/>
              <w:rPr>
                <w:rFonts w:hint="default"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4芯电缆（1.5平）</w:t>
            </w:r>
          </w:p>
        </w:tc>
        <w:tc>
          <w:tcPr>
            <w:tcW w:w="701" w:type="pct"/>
            <w:gridSpan w:val="2"/>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ZR-KVVP-0.5kV/4×1.5</w:t>
            </w:r>
          </w:p>
        </w:tc>
        <w:tc>
          <w:tcPr>
            <w:tcW w:w="454" w:type="pct"/>
            <w:vAlign w:val="top"/>
          </w:tcPr>
          <w:p>
            <w:pPr>
              <w:widowControl w:val="0"/>
              <w:spacing w:line="360" w:lineRule="auto"/>
              <w:jc w:val="center"/>
              <w:rPr>
                <w:rFonts w:hint="default"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2000米</w:t>
            </w:r>
          </w:p>
        </w:tc>
        <w:tc>
          <w:tcPr>
            <w:tcW w:w="2025" w:type="pct"/>
            <w:vAlign w:val="top"/>
          </w:tcPr>
          <w:p>
            <w:pPr>
              <w:widowControl w:val="0"/>
              <w:spacing w:line="360" w:lineRule="auto"/>
              <w:jc w:val="center"/>
              <w:rPr>
                <w:rFonts w:hint="default"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暖风器测点使用电缆</w:t>
            </w:r>
          </w:p>
        </w:tc>
        <w:tc>
          <w:tcPr>
            <w:tcW w:w="499" w:type="pct"/>
            <w:vAlign w:val="top"/>
          </w:tcPr>
          <w:p>
            <w:pPr>
              <w:widowControl w:val="0"/>
              <w:spacing w:line="360" w:lineRule="auto"/>
              <w:jc w:val="center"/>
              <w:rPr>
                <w:rFonts w:hint="default" w:ascii="宋体" w:hAnsi="宋体" w:eastAsia="宋体" w:cs="宋体"/>
                <w:snapToGrid w:val="0"/>
                <w:color w:val="auto"/>
                <w:spacing w:val="-8"/>
                <w:kern w:val="0"/>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9"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rPr>
            </w:pPr>
            <w:r>
              <w:rPr>
                <w:rFonts w:hint="eastAsia" w:ascii="宋体" w:hAnsi="宋体" w:eastAsia="宋体" w:cs="宋体"/>
                <w:snapToGrid w:val="0"/>
                <w:color w:val="auto"/>
                <w:spacing w:val="-8"/>
                <w:kern w:val="0"/>
                <w:sz w:val="18"/>
                <w:szCs w:val="18"/>
                <w:highlight w:val="none"/>
                <w:lang w:val="en-US" w:eastAsia="zh-CN"/>
              </w:rPr>
              <w:t xml:space="preserve">阻燃屏蔽控制电缆 </w:t>
            </w:r>
          </w:p>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4芯电缆（1.5平）</w:t>
            </w:r>
          </w:p>
        </w:tc>
        <w:tc>
          <w:tcPr>
            <w:tcW w:w="701" w:type="pct"/>
            <w:gridSpan w:val="2"/>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 xml:space="preserve">ZR-KVVP-0.45/0.75 4×1.5 </w:t>
            </w:r>
          </w:p>
        </w:tc>
        <w:tc>
          <w:tcPr>
            <w:tcW w:w="454"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3200米</w:t>
            </w:r>
          </w:p>
        </w:tc>
        <w:tc>
          <w:tcPr>
            <w:tcW w:w="2025" w:type="pct"/>
            <w:vAlign w:val="top"/>
          </w:tcPr>
          <w:p>
            <w:pPr>
              <w:widowControl w:val="0"/>
              <w:spacing w:line="360" w:lineRule="auto"/>
              <w:jc w:val="center"/>
              <w:rPr>
                <w:rFonts w:hint="default"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暖风器入口电动门使用电缆</w:t>
            </w:r>
          </w:p>
        </w:tc>
        <w:tc>
          <w:tcPr>
            <w:tcW w:w="499" w:type="pct"/>
            <w:vAlign w:val="top"/>
          </w:tcPr>
          <w:p>
            <w:pPr>
              <w:widowControl w:val="0"/>
              <w:spacing w:line="360" w:lineRule="auto"/>
              <w:jc w:val="center"/>
              <w:rPr>
                <w:rFonts w:hint="default" w:ascii="宋体" w:hAnsi="宋体" w:eastAsia="宋体" w:cs="宋体"/>
                <w:snapToGrid w:val="0"/>
                <w:color w:val="auto"/>
                <w:spacing w:val="-8"/>
                <w:kern w:val="0"/>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9"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rPr>
            </w:pPr>
            <w:r>
              <w:rPr>
                <w:rFonts w:hint="eastAsia" w:ascii="宋体" w:hAnsi="宋体" w:eastAsia="宋体" w:cs="宋体"/>
                <w:snapToGrid w:val="0"/>
                <w:color w:val="auto"/>
                <w:spacing w:val="-8"/>
                <w:kern w:val="0"/>
                <w:sz w:val="18"/>
                <w:szCs w:val="18"/>
                <w:highlight w:val="none"/>
                <w:lang w:val="en-US" w:eastAsia="zh-CN"/>
              </w:rPr>
              <w:t xml:space="preserve">阻燃屏蔽控制电缆 </w:t>
            </w:r>
          </w:p>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12芯电缆（1.5平）</w:t>
            </w:r>
          </w:p>
        </w:tc>
        <w:tc>
          <w:tcPr>
            <w:tcW w:w="701" w:type="pct"/>
            <w:gridSpan w:val="2"/>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 xml:space="preserve">ZR-KVVP-450/750V 12×1.5 </w:t>
            </w:r>
          </w:p>
        </w:tc>
        <w:tc>
          <w:tcPr>
            <w:tcW w:w="454"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1600米</w:t>
            </w:r>
          </w:p>
        </w:tc>
        <w:tc>
          <w:tcPr>
            <w:tcW w:w="2025" w:type="pct"/>
            <w:vAlign w:val="top"/>
          </w:tcPr>
          <w:p>
            <w:pPr>
              <w:widowControl w:val="0"/>
              <w:spacing w:line="360" w:lineRule="auto"/>
              <w:jc w:val="center"/>
              <w:rPr>
                <w:rFonts w:hint="default"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暖风器入口电动门使用电缆</w:t>
            </w:r>
          </w:p>
        </w:tc>
        <w:tc>
          <w:tcPr>
            <w:tcW w:w="499" w:type="pct"/>
            <w:vAlign w:val="top"/>
          </w:tcPr>
          <w:p>
            <w:pPr>
              <w:widowControl w:val="0"/>
              <w:spacing w:line="360" w:lineRule="auto"/>
              <w:jc w:val="center"/>
              <w:rPr>
                <w:rFonts w:hint="default"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val="en-US" w:eastAsia="zh-CN"/>
              </w:rPr>
              <w:t>带屏蔽层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9"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rPr>
            </w:pPr>
            <w:r>
              <w:rPr>
                <w:rFonts w:hint="eastAsia" w:ascii="宋体" w:hAnsi="宋体" w:eastAsia="宋体" w:cs="宋体"/>
                <w:snapToGrid w:val="0"/>
                <w:color w:val="auto"/>
                <w:spacing w:val="-8"/>
                <w:kern w:val="0"/>
                <w:sz w:val="18"/>
                <w:szCs w:val="18"/>
                <w:highlight w:val="none"/>
                <w:lang w:val="en-US" w:eastAsia="zh-CN"/>
              </w:rPr>
              <w:t xml:space="preserve">交联电力电缆 </w:t>
            </w:r>
          </w:p>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3芯电缆（2.5平）</w:t>
            </w:r>
          </w:p>
        </w:tc>
        <w:tc>
          <w:tcPr>
            <w:tcW w:w="701" w:type="pct"/>
            <w:gridSpan w:val="2"/>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 xml:space="preserve">YJV6/10 3×2.5 </w:t>
            </w:r>
          </w:p>
        </w:tc>
        <w:tc>
          <w:tcPr>
            <w:tcW w:w="454" w:type="pct"/>
            <w:vAlign w:val="top"/>
          </w:tcPr>
          <w:p>
            <w:pPr>
              <w:widowControl w:val="0"/>
              <w:spacing w:line="360" w:lineRule="auto"/>
              <w:jc w:val="center"/>
              <w:rPr>
                <w:rFonts w:hint="eastAsia"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1600米</w:t>
            </w:r>
          </w:p>
        </w:tc>
        <w:tc>
          <w:tcPr>
            <w:tcW w:w="2025" w:type="pct"/>
            <w:vAlign w:val="top"/>
          </w:tcPr>
          <w:p>
            <w:pPr>
              <w:widowControl w:val="0"/>
              <w:spacing w:line="360" w:lineRule="auto"/>
              <w:jc w:val="center"/>
              <w:rPr>
                <w:rFonts w:hint="default" w:ascii="宋体" w:hAnsi="宋体" w:eastAsia="宋体" w:cs="宋体"/>
                <w:snapToGrid w:val="0"/>
                <w:color w:val="auto"/>
                <w:spacing w:val="-8"/>
                <w:kern w:val="0"/>
                <w:sz w:val="18"/>
                <w:szCs w:val="18"/>
                <w:highlight w:val="none"/>
                <w:lang w:val="en-US" w:eastAsia="zh-CN" w:bidi="ar-SA"/>
              </w:rPr>
            </w:pPr>
            <w:r>
              <w:rPr>
                <w:rFonts w:hint="eastAsia" w:ascii="宋体" w:hAnsi="宋体" w:eastAsia="宋体" w:cs="宋体"/>
                <w:snapToGrid w:val="0"/>
                <w:color w:val="auto"/>
                <w:spacing w:val="-8"/>
                <w:kern w:val="0"/>
                <w:sz w:val="18"/>
                <w:szCs w:val="18"/>
                <w:highlight w:val="none"/>
                <w:lang w:val="en-US" w:eastAsia="zh-CN"/>
              </w:rPr>
              <w:t>暖风器入口电动门使用电缆</w:t>
            </w:r>
          </w:p>
        </w:tc>
        <w:tc>
          <w:tcPr>
            <w:tcW w:w="499" w:type="pct"/>
            <w:vAlign w:val="top"/>
          </w:tcPr>
          <w:p>
            <w:pPr>
              <w:widowControl w:val="0"/>
              <w:spacing w:line="360" w:lineRule="auto"/>
              <w:jc w:val="center"/>
              <w:rPr>
                <w:rFonts w:hint="default" w:ascii="宋体" w:hAnsi="宋体" w:eastAsia="宋体" w:cs="宋体"/>
                <w:snapToGrid w:val="0"/>
                <w:color w:val="auto"/>
                <w:spacing w:val="-8"/>
                <w:kern w:val="0"/>
                <w:sz w:val="21"/>
                <w:szCs w:val="21"/>
                <w:highlight w:val="none"/>
                <w:lang w:val="en-US" w:eastAsia="zh-CN" w:bidi="ar-SA"/>
              </w:rPr>
            </w:pPr>
          </w:p>
        </w:tc>
      </w:tr>
    </w:tbl>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.3.</w:t>
      </w:r>
      <w:r>
        <w:rPr>
          <w:rFonts w:hint="eastAsia" w:hAnsi="宋体"/>
          <w:color w:val="auto"/>
          <w:sz w:val="24"/>
          <w:szCs w:val="24"/>
          <w:highlight w:val="none"/>
          <w:lang w:val="en-US" w:eastAsia="zh-CN"/>
        </w:rPr>
        <w:t xml:space="preserve">8 </w:t>
      </w:r>
      <w:r>
        <w:rPr>
          <w:rFonts w:hint="eastAsia" w:hAnsi="宋体"/>
          <w:color w:val="auto"/>
          <w:sz w:val="24"/>
          <w:szCs w:val="24"/>
          <w:highlight w:val="none"/>
          <w:lang w:val="sq-AL" w:eastAsia="zh-CN"/>
        </w:rPr>
        <w:t>乙方供应的仪表和调节项目应保证其介质测量值和读数具有代表性。</w:t>
      </w:r>
    </w:p>
    <w:p>
      <w:pPr>
        <w:spacing w:line="360" w:lineRule="auto"/>
        <w:ind w:firstLine="480" w:firstLineChars="200"/>
        <w:rPr>
          <w:rFonts w:hint="eastAsia" w:hAnsi="宋体"/>
          <w:color w:val="auto"/>
          <w:sz w:val="24"/>
          <w:szCs w:val="24"/>
          <w:highlight w:val="none"/>
          <w:lang w:val="sq-AL"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w:t>
      </w:r>
      <w:r>
        <w:rPr>
          <w:rFonts w:hint="eastAsia" w:hAnsi="宋体"/>
          <w:color w:val="auto"/>
          <w:sz w:val="24"/>
          <w:szCs w:val="24"/>
          <w:highlight w:val="none"/>
          <w:lang w:val="en-US" w:eastAsia="zh-CN"/>
        </w:rPr>
        <w:t>4</w:t>
      </w:r>
      <w:r>
        <w:rPr>
          <w:rFonts w:hint="eastAsia" w:hAnsi="宋体"/>
          <w:color w:val="auto"/>
          <w:sz w:val="24"/>
          <w:szCs w:val="24"/>
          <w:highlight w:val="none"/>
          <w:lang w:val="sq-AL" w:eastAsia="zh-CN"/>
        </w:rPr>
        <w:t xml:space="preserve"> </w:t>
      </w:r>
      <w:r>
        <w:rPr>
          <w:rFonts w:hint="eastAsia" w:hAnsi="宋体"/>
          <w:color w:val="auto"/>
          <w:sz w:val="24"/>
          <w:szCs w:val="24"/>
          <w:highlight w:val="none"/>
          <w:lang w:val="en-US" w:eastAsia="zh-CN"/>
        </w:rPr>
        <w:t>安装技术服务</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w:t>
      </w:r>
      <w:r>
        <w:rPr>
          <w:rFonts w:hint="eastAsia" w:hAnsi="宋体"/>
          <w:color w:val="auto"/>
          <w:sz w:val="24"/>
          <w:szCs w:val="24"/>
          <w:highlight w:val="none"/>
          <w:lang w:val="en-US" w:eastAsia="zh-CN"/>
        </w:rPr>
        <w:t>4.1</w:t>
      </w:r>
      <w:r>
        <w:rPr>
          <w:rFonts w:hint="eastAsia" w:hAnsi="宋体"/>
          <w:color w:val="auto"/>
          <w:sz w:val="24"/>
          <w:szCs w:val="24"/>
          <w:highlight w:val="none"/>
          <w:lang w:val="sq-AL" w:eastAsia="zh-CN"/>
        </w:rPr>
        <w:t xml:space="preserve"> </w:t>
      </w:r>
      <w:r>
        <w:rPr>
          <w:rFonts w:hint="eastAsia" w:hAnsi="宋体"/>
          <w:color w:val="auto"/>
          <w:sz w:val="24"/>
          <w:szCs w:val="24"/>
          <w:highlight w:val="none"/>
          <w:lang w:val="en-US" w:eastAsia="zh-CN"/>
        </w:rPr>
        <w:t>本次供货范围内必须全程提供技术服务工作，乙方必须提供具有经验的队伍在现场进行技术服务。</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3</w:t>
      </w:r>
      <w:r>
        <w:rPr>
          <w:rFonts w:hint="eastAsia" w:hAnsi="宋体"/>
          <w:color w:val="auto"/>
          <w:sz w:val="24"/>
          <w:szCs w:val="24"/>
          <w:highlight w:val="none"/>
          <w:lang w:val="sq-AL" w:eastAsia="zh-CN"/>
        </w:rPr>
        <w:t>.</w:t>
      </w:r>
      <w:r>
        <w:rPr>
          <w:rFonts w:hint="eastAsia" w:hAnsi="宋体"/>
          <w:color w:val="auto"/>
          <w:sz w:val="24"/>
          <w:szCs w:val="24"/>
          <w:highlight w:val="none"/>
          <w:lang w:val="en-US" w:eastAsia="zh-CN"/>
        </w:rPr>
        <w:t>5 单台暖风器包括：疏水母管至暖风器本体连接管（20米/单台暖风器,20G）的更换；原风机暖风器入口手动门、旁路手动门、调门拆除后用同规格管道连接，入口管道加装DN250手动焊接闸阀1台（备件由乙方提供）；入口加装DN250电动焊接闸阀1台（备件由甲方提供），安装电动门电缆、光缆等涉及电气、热控等备件由乙方提供。</w:t>
      </w:r>
    </w:p>
    <w:p>
      <w:pPr>
        <w:spacing w:line="360" w:lineRule="auto"/>
        <w:ind w:firstLine="480" w:firstLineChars="200"/>
        <w:rPr>
          <w:rFonts w:hint="default" w:hAnsi="宋体"/>
          <w:color w:val="auto"/>
          <w:sz w:val="24"/>
          <w:szCs w:val="24"/>
          <w:highlight w:val="none"/>
          <w:lang w:val="en-US" w:eastAsia="zh-CN"/>
        </w:rPr>
      </w:pPr>
      <w:bookmarkStart w:id="3" w:name="OLE_LINK2"/>
      <w:r>
        <w:rPr>
          <w:rFonts w:hint="eastAsia" w:hAnsi="宋体"/>
          <w:color w:val="auto"/>
          <w:sz w:val="24"/>
          <w:szCs w:val="24"/>
          <w:highlight w:val="none"/>
          <w:lang w:val="en-US" w:eastAsia="zh-CN"/>
        </w:rPr>
        <w:t>3.6 本次暖风器所提供手动门、调门等阀门必须采用焊接方式连接。</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3.7 乙方提供的系统阀门（包括但不限于）（单台炉</w:t>
      </w:r>
      <w:bookmarkEnd w:id="3"/>
      <w:r>
        <w:rPr>
          <w:rFonts w:hint="eastAsia" w:hAnsi="宋体"/>
          <w:color w:val="auto"/>
          <w:sz w:val="24"/>
          <w:szCs w:val="24"/>
          <w:highlight w:val="none"/>
          <w:lang w:val="en-US" w:eastAsia="zh-CN"/>
        </w:rPr>
        <w:t>）</w:t>
      </w:r>
    </w:p>
    <w:tbl>
      <w:tblPr>
        <w:tblStyle w:val="8"/>
        <w:tblW w:w="9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0"/>
        <w:gridCol w:w="4193"/>
        <w:gridCol w:w="1141"/>
        <w:gridCol w:w="2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 w:type="dxa"/>
            <w:noWrap w:val="0"/>
            <w:vAlign w:val="center"/>
          </w:tcPr>
          <w:p>
            <w:pPr>
              <w:overflowPunct w:val="0"/>
              <w:spacing w:line="360" w:lineRule="auto"/>
              <w:jc w:val="center"/>
              <w:textAlignment w:val="bottom"/>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序号</w:t>
            </w:r>
          </w:p>
        </w:tc>
        <w:tc>
          <w:tcPr>
            <w:tcW w:w="4193" w:type="dxa"/>
            <w:noWrap w:val="0"/>
            <w:vAlign w:val="center"/>
          </w:tcPr>
          <w:p>
            <w:pPr>
              <w:overflowPunct w:val="0"/>
              <w:spacing w:line="360" w:lineRule="auto"/>
              <w:textAlignment w:val="bottom"/>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阀门名称</w:t>
            </w:r>
          </w:p>
        </w:tc>
        <w:tc>
          <w:tcPr>
            <w:tcW w:w="1141" w:type="dxa"/>
            <w:noWrap w:val="0"/>
            <w:vAlign w:val="center"/>
          </w:tcPr>
          <w:p>
            <w:pPr>
              <w:overflowPunct w:val="0"/>
              <w:spacing w:line="360" w:lineRule="auto"/>
              <w:jc w:val="center"/>
              <w:textAlignment w:val="bottom"/>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单位</w:t>
            </w:r>
          </w:p>
        </w:tc>
        <w:tc>
          <w:tcPr>
            <w:tcW w:w="2681" w:type="dxa"/>
            <w:noWrap w:val="0"/>
            <w:vAlign w:val="center"/>
          </w:tcPr>
          <w:p>
            <w:pPr>
              <w:overflowPunct w:val="0"/>
              <w:spacing w:line="360" w:lineRule="auto"/>
              <w:jc w:val="center"/>
              <w:textAlignment w:val="bottom"/>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 w:type="dxa"/>
            <w:noWrap w:val="0"/>
            <w:vAlign w:val="center"/>
          </w:tcPr>
          <w:p>
            <w:pPr>
              <w:numPr>
                <w:ilvl w:val="0"/>
                <w:numId w:val="1"/>
              </w:numPr>
              <w:overflowPunct w:val="0"/>
              <w:spacing w:line="360" w:lineRule="auto"/>
              <w:ind w:left="425" w:leftChars="0" w:hanging="425" w:firstLineChars="0"/>
              <w:jc w:val="center"/>
              <w:textAlignment w:val="bottom"/>
              <w:rPr>
                <w:rFonts w:ascii="宋体" w:hAnsi="宋体" w:eastAsia="宋体" w:cs="宋体"/>
                <w:snapToGrid w:val="0"/>
                <w:color w:val="auto"/>
                <w:spacing w:val="-8"/>
                <w:kern w:val="0"/>
                <w:sz w:val="21"/>
                <w:szCs w:val="21"/>
                <w:highlight w:val="none"/>
              </w:rPr>
            </w:pPr>
          </w:p>
        </w:tc>
        <w:tc>
          <w:tcPr>
            <w:tcW w:w="4193" w:type="dxa"/>
            <w:noWrap w:val="0"/>
            <w:vAlign w:val="center"/>
          </w:tcPr>
          <w:p>
            <w:pPr>
              <w:overflowPunct w:val="0"/>
              <w:spacing w:line="360" w:lineRule="auto"/>
              <w:ind w:left="10" w:leftChars="0" w:hanging="10" w:firstLineChars="0"/>
              <w:textAlignment w:val="bottom"/>
              <w:rPr>
                <w:rFonts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rPr>
              <w:t>二次风暖风器进口手动截止阀</w:t>
            </w:r>
          </w:p>
        </w:tc>
        <w:tc>
          <w:tcPr>
            <w:tcW w:w="1141" w:type="dxa"/>
            <w:noWrap w:val="0"/>
            <w:vAlign w:val="top"/>
          </w:tcPr>
          <w:p>
            <w:pPr>
              <w:overflowPunct w:val="0"/>
              <w:spacing w:line="360" w:lineRule="auto"/>
              <w:ind w:left="10" w:leftChars="0" w:hanging="10" w:firstLineChars="0"/>
              <w:jc w:val="center"/>
              <w:textAlignment w:val="bottom"/>
              <w:rPr>
                <w:rFonts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rPr>
              <w:t>个</w:t>
            </w:r>
          </w:p>
        </w:tc>
        <w:tc>
          <w:tcPr>
            <w:tcW w:w="2681" w:type="dxa"/>
            <w:noWrap w:val="0"/>
            <w:vAlign w:val="center"/>
          </w:tcPr>
          <w:p>
            <w:pPr>
              <w:overflowPunct w:val="0"/>
              <w:spacing w:line="360" w:lineRule="auto"/>
              <w:ind w:left="10" w:leftChars="0" w:hanging="10" w:firstLineChars="0"/>
              <w:jc w:val="center"/>
              <w:textAlignment w:val="bottom"/>
              <w:rPr>
                <w:rFonts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 w:type="dxa"/>
            <w:noWrap w:val="0"/>
            <w:vAlign w:val="center"/>
          </w:tcPr>
          <w:p>
            <w:pPr>
              <w:numPr>
                <w:ilvl w:val="0"/>
                <w:numId w:val="1"/>
              </w:numPr>
              <w:overflowPunct w:val="0"/>
              <w:spacing w:line="360" w:lineRule="auto"/>
              <w:ind w:left="425" w:leftChars="0" w:hanging="425" w:firstLineChars="0"/>
              <w:jc w:val="center"/>
              <w:textAlignment w:val="bottom"/>
              <w:rPr>
                <w:rFonts w:ascii="宋体" w:hAnsi="宋体" w:eastAsia="宋体" w:cs="宋体"/>
                <w:snapToGrid w:val="0"/>
                <w:color w:val="auto"/>
                <w:spacing w:val="-8"/>
                <w:kern w:val="0"/>
                <w:sz w:val="21"/>
                <w:szCs w:val="21"/>
                <w:highlight w:val="none"/>
              </w:rPr>
            </w:pPr>
          </w:p>
        </w:tc>
        <w:tc>
          <w:tcPr>
            <w:tcW w:w="4193" w:type="dxa"/>
            <w:noWrap w:val="0"/>
            <w:vAlign w:val="center"/>
          </w:tcPr>
          <w:p>
            <w:pPr>
              <w:overflowPunct w:val="0"/>
              <w:spacing w:line="360" w:lineRule="auto"/>
              <w:ind w:left="10" w:leftChars="0" w:hanging="10" w:firstLineChars="0"/>
              <w:textAlignment w:val="bottom"/>
              <w:rPr>
                <w:rFonts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rPr>
              <w:t>二次风暖风器出口手动截止阀</w:t>
            </w:r>
          </w:p>
        </w:tc>
        <w:tc>
          <w:tcPr>
            <w:tcW w:w="1141" w:type="dxa"/>
            <w:noWrap w:val="0"/>
            <w:vAlign w:val="top"/>
          </w:tcPr>
          <w:p>
            <w:pPr>
              <w:overflowPunct w:val="0"/>
              <w:spacing w:line="360" w:lineRule="auto"/>
              <w:ind w:left="10" w:leftChars="0" w:hanging="10" w:firstLineChars="0"/>
              <w:jc w:val="center"/>
              <w:textAlignment w:val="bottom"/>
              <w:rPr>
                <w:rFonts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rPr>
              <w:t>个</w:t>
            </w:r>
          </w:p>
        </w:tc>
        <w:tc>
          <w:tcPr>
            <w:tcW w:w="2681" w:type="dxa"/>
            <w:noWrap w:val="0"/>
            <w:vAlign w:val="center"/>
          </w:tcPr>
          <w:p>
            <w:pPr>
              <w:overflowPunct w:val="0"/>
              <w:spacing w:line="360" w:lineRule="auto"/>
              <w:ind w:left="10" w:leftChars="0" w:hanging="10" w:firstLineChars="0"/>
              <w:jc w:val="center"/>
              <w:textAlignment w:val="bottom"/>
              <w:rPr>
                <w:rFonts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 w:type="dxa"/>
            <w:noWrap w:val="0"/>
            <w:vAlign w:val="center"/>
          </w:tcPr>
          <w:p>
            <w:pPr>
              <w:numPr>
                <w:ilvl w:val="0"/>
                <w:numId w:val="1"/>
              </w:numPr>
              <w:overflowPunct w:val="0"/>
              <w:spacing w:line="360" w:lineRule="auto"/>
              <w:ind w:left="425" w:leftChars="0" w:hanging="425" w:firstLineChars="0"/>
              <w:jc w:val="center"/>
              <w:textAlignment w:val="bottom"/>
              <w:rPr>
                <w:rFonts w:ascii="宋体" w:hAnsi="宋体" w:eastAsia="宋体" w:cs="宋体"/>
                <w:snapToGrid w:val="0"/>
                <w:color w:val="auto"/>
                <w:spacing w:val="-8"/>
                <w:kern w:val="0"/>
                <w:sz w:val="21"/>
                <w:szCs w:val="21"/>
                <w:highlight w:val="none"/>
              </w:rPr>
            </w:pPr>
          </w:p>
        </w:tc>
        <w:tc>
          <w:tcPr>
            <w:tcW w:w="4193" w:type="dxa"/>
            <w:noWrap w:val="0"/>
            <w:vAlign w:val="center"/>
          </w:tcPr>
          <w:p>
            <w:pPr>
              <w:overflowPunct w:val="0"/>
              <w:spacing w:line="360" w:lineRule="auto"/>
              <w:ind w:left="10" w:leftChars="0" w:hanging="10" w:firstLineChars="0"/>
              <w:textAlignment w:val="bottom"/>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rPr>
              <w:t>二次风暖风器疏水调节阀</w:t>
            </w:r>
            <w:r>
              <w:rPr>
                <w:rFonts w:hint="eastAsia" w:ascii="宋体" w:hAnsi="宋体" w:eastAsia="宋体" w:cs="宋体"/>
                <w:snapToGrid w:val="0"/>
                <w:color w:val="auto"/>
                <w:spacing w:val="-8"/>
                <w:kern w:val="0"/>
                <w:sz w:val="21"/>
                <w:szCs w:val="21"/>
                <w:highlight w:val="none"/>
                <w:lang w:val="en-US" w:eastAsia="zh-CN"/>
              </w:rPr>
              <w:t>组件</w:t>
            </w:r>
          </w:p>
        </w:tc>
        <w:tc>
          <w:tcPr>
            <w:tcW w:w="1141" w:type="dxa"/>
            <w:noWrap w:val="0"/>
            <w:vAlign w:val="top"/>
          </w:tcPr>
          <w:p>
            <w:pPr>
              <w:overflowPunct w:val="0"/>
              <w:spacing w:line="360" w:lineRule="auto"/>
              <w:ind w:left="10" w:leftChars="0" w:hanging="10" w:firstLineChars="0"/>
              <w:jc w:val="center"/>
              <w:textAlignment w:val="bottom"/>
              <w:rPr>
                <w:rFonts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rPr>
              <w:t>个</w:t>
            </w:r>
          </w:p>
        </w:tc>
        <w:tc>
          <w:tcPr>
            <w:tcW w:w="2681" w:type="dxa"/>
            <w:noWrap w:val="0"/>
            <w:vAlign w:val="center"/>
          </w:tcPr>
          <w:p>
            <w:pPr>
              <w:overflowPunct w:val="0"/>
              <w:spacing w:line="360" w:lineRule="auto"/>
              <w:ind w:left="10" w:leftChars="0" w:hanging="10" w:firstLineChars="0"/>
              <w:jc w:val="center"/>
              <w:textAlignment w:val="bottom"/>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 w:type="dxa"/>
            <w:noWrap w:val="0"/>
            <w:vAlign w:val="center"/>
          </w:tcPr>
          <w:p>
            <w:pPr>
              <w:numPr>
                <w:ilvl w:val="0"/>
                <w:numId w:val="1"/>
              </w:numPr>
              <w:overflowPunct w:val="0"/>
              <w:spacing w:line="360" w:lineRule="auto"/>
              <w:ind w:left="425" w:leftChars="0" w:hanging="425" w:firstLineChars="0"/>
              <w:jc w:val="center"/>
              <w:textAlignment w:val="bottom"/>
              <w:rPr>
                <w:rFonts w:ascii="宋体" w:hAnsi="宋体" w:eastAsia="宋体" w:cs="宋体"/>
                <w:snapToGrid w:val="0"/>
                <w:color w:val="auto"/>
                <w:spacing w:val="-8"/>
                <w:kern w:val="0"/>
                <w:sz w:val="21"/>
                <w:szCs w:val="21"/>
                <w:highlight w:val="none"/>
              </w:rPr>
            </w:pPr>
          </w:p>
        </w:tc>
        <w:tc>
          <w:tcPr>
            <w:tcW w:w="4193" w:type="dxa"/>
            <w:noWrap w:val="0"/>
            <w:vAlign w:val="center"/>
          </w:tcPr>
          <w:p>
            <w:pPr>
              <w:overflowPunct w:val="0"/>
              <w:spacing w:line="360" w:lineRule="auto"/>
              <w:ind w:left="10" w:leftChars="0" w:hanging="10" w:firstLineChars="0"/>
              <w:textAlignment w:val="bottom"/>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rPr>
              <w:t>仪表阀</w:t>
            </w:r>
          </w:p>
        </w:tc>
        <w:tc>
          <w:tcPr>
            <w:tcW w:w="1141" w:type="dxa"/>
            <w:noWrap w:val="0"/>
            <w:vAlign w:val="top"/>
          </w:tcPr>
          <w:p>
            <w:pPr>
              <w:overflowPunct w:val="0"/>
              <w:spacing w:line="360" w:lineRule="auto"/>
              <w:ind w:left="10" w:leftChars="0" w:hanging="10" w:firstLineChars="0"/>
              <w:jc w:val="center"/>
              <w:textAlignment w:val="bottom"/>
              <w:rPr>
                <w:rFonts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rPr>
              <w:t>个</w:t>
            </w:r>
          </w:p>
        </w:tc>
        <w:tc>
          <w:tcPr>
            <w:tcW w:w="2681" w:type="dxa"/>
            <w:noWrap w:val="0"/>
            <w:vAlign w:val="center"/>
          </w:tcPr>
          <w:p>
            <w:pPr>
              <w:overflowPunct w:val="0"/>
              <w:spacing w:line="360" w:lineRule="auto"/>
              <w:ind w:left="10" w:leftChars="0" w:hanging="10" w:firstLineChars="0"/>
              <w:jc w:val="center"/>
              <w:textAlignment w:val="bottom"/>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eastAsia="zh-CN"/>
              </w:rPr>
              <w:t>满足现场需求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 w:type="dxa"/>
            <w:noWrap w:val="0"/>
            <w:vAlign w:val="center"/>
          </w:tcPr>
          <w:p>
            <w:pPr>
              <w:numPr>
                <w:ilvl w:val="0"/>
                <w:numId w:val="1"/>
              </w:numPr>
              <w:overflowPunct w:val="0"/>
              <w:spacing w:line="360" w:lineRule="auto"/>
              <w:ind w:left="425" w:leftChars="0" w:hanging="425" w:firstLineChars="0"/>
              <w:jc w:val="center"/>
              <w:textAlignment w:val="bottom"/>
              <w:rPr>
                <w:rFonts w:hint="eastAsia" w:ascii="宋体" w:hAnsi="宋体" w:eastAsia="宋体" w:cs="宋体"/>
                <w:snapToGrid w:val="0"/>
                <w:color w:val="auto"/>
                <w:spacing w:val="-8"/>
                <w:kern w:val="0"/>
                <w:sz w:val="21"/>
                <w:szCs w:val="21"/>
                <w:highlight w:val="none"/>
                <w:lang w:val="en-US" w:eastAsia="zh-CN"/>
              </w:rPr>
            </w:pPr>
            <w:bookmarkStart w:id="4" w:name="_Toc31478_WPSOffice_Level1"/>
          </w:p>
        </w:tc>
        <w:tc>
          <w:tcPr>
            <w:tcW w:w="4193" w:type="dxa"/>
            <w:noWrap w:val="0"/>
            <w:vAlign w:val="center"/>
          </w:tcPr>
          <w:p>
            <w:pPr>
              <w:overflowPunct w:val="0"/>
              <w:spacing w:line="360" w:lineRule="auto"/>
              <w:ind w:left="10" w:leftChars="0" w:hanging="10" w:firstLineChars="0"/>
              <w:textAlignment w:val="bottom"/>
              <w:rPr>
                <w:rFonts w:hint="eastAsia" w:ascii="宋体" w:hAnsi="宋体" w:eastAsia="宋体" w:cs="宋体"/>
                <w:snapToGrid w:val="0"/>
                <w:color w:val="auto"/>
                <w:spacing w:val="-8"/>
                <w:kern w:val="0"/>
                <w:sz w:val="21"/>
                <w:szCs w:val="21"/>
                <w:highlight w:val="none"/>
                <w:lang w:eastAsia="zh-CN"/>
              </w:rPr>
            </w:pPr>
            <w:r>
              <w:rPr>
                <w:rFonts w:hint="eastAsia" w:ascii="宋体" w:hAnsi="宋体" w:eastAsia="宋体" w:cs="宋体"/>
                <w:snapToGrid w:val="0"/>
                <w:color w:val="auto"/>
                <w:spacing w:val="-8"/>
                <w:kern w:val="0"/>
                <w:sz w:val="21"/>
                <w:szCs w:val="21"/>
                <w:highlight w:val="none"/>
                <w:lang w:eastAsia="zh-CN"/>
              </w:rPr>
              <w:t>电缆</w:t>
            </w:r>
          </w:p>
        </w:tc>
        <w:tc>
          <w:tcPr>
            <w:tcW w:w="1141" w:type="dxa"/>
            <w:noWrap w:val="0"/>
            <w:vAlign w:val="top"/>
          </w:tcPr>
          <w:p>
            <w:pPr>
              <w:overflowPunct w:val="0"/>
              <w:spacing w:line="360" w:lineRule="auto"/>
              <w:ind w:left="10" w:leftChars="0" w:hanging="10" w:firstLineChars="0"/>
              <w:jc w:val="center"/>
              <w:textAlignment w:val="bottom"/>
              <w:rPr>
                <w:rFonts w:hint="eastAsia" w:ascii="宋体" w:hAnsi="宋体" w:eastAsia="宋体" w:cs="宋体"/>
                <w:snapToGrid w:val="0"/>
                <w:color w:val="auto"/>
                <w:spacing w:val="-8"/>
                <w:kern w:val="0"/>
                <w:sz w:val="21"/>
                <w:szCs w:val="21"/>
                <w:highlight w:val="none"/>
                <w:lang w:eastAsia="zh-CN"/>
              </w:rPr>
            </w:pPr>
            <w:r>
              <w:rPr>
                <w:rFonts w:hint="eastAsia" w:ascii="宋体" w:hAnsi="宋体" w:eastAsia="宋体" w:cs="宋体"/>
                <w:snapToGrid w:val="0"/>
                <w:color w:val="auto"/>
                <w:spacing w:val="-8"/>
                <w:kern w:val="0"/>
                <w:sz w:val="21"/>
                <w:szCs w:val="21"/>
                <w:highlight w:val="none"/>
                <w:lang w:eastAsia="zh-CN"/>
              </w:rPr>
              <w:t>米</w:t>
            </w:r>
          </w:p>
        </w:tc>
        <w:tc>
          <w:tcPr>
            <w:tcW w:w="2681" w:type="dxa"/>
            <w:noWrap w:val="0"/>
            <w:vAlign w:val="center"/>
          </w:tcPr>
          <w:p>
            <w:pPr>
              <w:overflowPunct w:val="0"/>
              <w:spacing w:line="360" w:lineRule="auto"/>
              <w:ind w:left="10" w:leftChars="0" w:hanging="10" w:firstLineChars="0"/>
              <w:jc w:val="center"/>
              <w:textAlignment w:val="bottom"/>
              <w:rPr>
                <w:rFonts w:hint="eastAsia" w:ascii="宋体" w:hAnsi="宋体" w:eastAsia="宋体" w:cs="宋体"/>
                <w:snapToGrid w:val="0"/>
                <w:color w:val="auto"/>
                <w:spacing w:val="-8"/>
                <w:kern w:val="0"/>
                <w:sz w:val="21"/>
                <w:szCs w:val="21"/>
                <w:highlight w:val="none"/>
                <w:lang w:eastAsia="zh-CN"/>
              </w:rPr>
            </w:pPr>
            <w:r>
              <w:rPr>
                <w:rFonts w:hint="eastAsia" w:ascii="宋体" w:hAnsi="宋体" w:eastAsia="宋体" w:cs="宋体"/>
                <w:snapToGrid w:val="0"/>
                <w:color w:val="auto"/>
                <w:spacing w:val="-8"/>
                <w:kern w:val="0"/>
                <w:sz w:val="21"/>
                <w:szCs w:val="21"/>
                <w:highlight w:val="none"/>
                <w:lang w:eastAsia="zh-CN"/>
              </w:rPr>
              <w:t>满足现场需求</w:t>
            </w:r>
          </w:p>
        </w:tc>
      </w:tr>
    </w:tbl>
    <w:p>
      <w:pPr>
        <w:spacing w:line="360" w:lineRule="auto"/>
        <w:ind w:firstLine="480" w:firstLineChars="200"/>
        <w:rPr>
          <w:rFonts w:hint="eastAsia" w:hAnsi="宋体"/>
          <w:color w:val="auto"/>
          <w:sz w:val="24"/>
          <w:szCs w:val="24"/>
          <w:highlight w:val="none"/>
          <w:lang w:val="en-US" w:eastAsia="zh-CN"/>
        </w:rPr>
      </w:pPr>
      <w:bookmarkStart w:id="5" w:name="_Toc14978"/>
      <w:r>
        <w:rPr>
          <w:rFonts w:hint="eastAsia" w:hAnsi="宋体"/>
          <w:color w:val="auto"/>
          <w:sz w:val="24"/>
          <w:szCs w:val="24"/>
          <w:highlight w:val="none"/>
          <w:lang w:val="en-US" w:eastAsia="zh-CN"/>
        </w:rPr>
        <w:t>4.质量保证及试验</w:t>
      </w:r>
      <w:bookmarkEnd w:id="4"/>
    </w:p>
    <w:bookmarkEnd w:id="5"/>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4.1  产品设计、制造、安装应遵守的规范和标准（不限于此）</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 xml:space="preserve">4.1.1  </w:t>
      </w:r>
      <w:r>
        <w:rPr>
          <w:rFonts w:hint="eastAsia" w:hAnsi="宋体"/>
          <w:color w:val="auto"/>
          <w:sz w:val="24"/>
          <w:szCs w:val="24"/>
          <w:highlight w:val="none"/>
          <w:lang w:val="sq-AL" w:eastAsia="zh-CN"/>
        </w:rPr>
        <w:t>GB</w:t>
      </w:r>
      <w:r>
        <w:rPr>
          <w:rFonts w:hint="eastAsia" w:hAnsi="宋体"/>
          <w:color w:val="auto"/>
          <w:sz w:val="24"/>
          <w:szCs w:val="24"/>
          <w:highlight w:val="none"/>
          <w:lang w:val="en-US" w:eastAsia="zh-CN"/>
        </w:rPr>
        <w:t>/T</w:t>
      </w:r>
      <w:r>
        <w:rPr>
          <w:rFonts w:hint="eastAsia" w:hAnsi="宋体"/>
          <w:color w:val="auto"/>
          <w:sz w:val="24"/>
          <w:szCs w:val="24"/>
          <w:highlight w:val="none"/>
          <w:lang w:val="sq-AL" w:eastAsia="zh-CN"/>
        </w:rPr>
        <w:t>150-20</w:t>
      </w:r>
      <w:r>
        <w:rPr>
          <w:rFonts w:hint="eastAsia" w:hAnsi="宋体"/>
          <w:color w:val="auto"/>
          <w:sz w:val="24"/>
          <w:szCs w:val="24"/>
          <w:highlight w:val="none"/>
          <w:lang w:val="en-US" w:eastAsia="zh-CN"/>
        </w:rPr>
        <w:t>23——钢制压力容器</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4.1.2  JB/T4700~4707-2000——压力容器法兰</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4.1.8  DL/T455-2008——锅炉暖风器</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4.1.9  JB/T6733——锅炉暖风器技术条件</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4.1.12  JB/T1612——锅炉水压试验技术条件</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  设备质量保证</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4.2.1  乙方应有质量保证体系以确保产品质量和服务工作符合本规范书规定的要求。</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4.2.2  在设备生产制造之前，乙方提交一份试验内容项目清单，使甲方有所了解并对其进行见证。</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4.2.3  乙方应提供质量保证的各项文件。这些文件至少包括：</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4.2.3.1  产品检验合格证</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4.2.3.2  性能试验报告</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4.2.4  暖风器的容量应满足各负荷时，加热空气足以防止回转式空气预热器的腐蚀和堵塞。</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4.2.5  在锅炉燃用设计煤质时，BMCR工况，送风机暖风器投用时风侧阻力不大于250Pa。</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4.2.6  乙方应保证在50%工况，辅助蒸汽最低参数时，暖风器出口风温满足要求。</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4.2.7 暖风器应保证疏水通畅，换热圆管不许出现泄漏现象。</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4.2.8  暖风器从第一次启动运行开始，在质保期内，因制造质量问题而发生损坏，或不能进行正常工作时，乙方应免费为甲方修理或更换零部件。</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4.2.10 暖风器出口风温与设定值之差≤±2℃</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4.3  甲方有权在合同设备制造过程中派驻厂代表进行监造和出厂前检验，了解设备组装、检验、试验和设备包装质量情况，并签字确认。乙方有配合监造义务，并及时提供相应资料，且不由此发生任何费用。</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4.4  乙方提前10天将设备监造项目的检验时间通知甲方。</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4.5  甲方代表有权通过乙方有关部门查(借)阅乙方与本合同设备或材料有关的标准(包括工厂标准)、图纸、工艺及实际工艺过程和检验记录(包括中间检验或不一致性报告)对于检验记录，如甲方认为需要复印存档，乙方应积极配合。</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4.6  甲方人员在监造中如发现设备和材料缺陷或不符合规定的标准要求时，甲方代表有权提出意见，乙方应采取相应改进措施，以保证交货质量，无论甲方是否要求和是否知道，乙方均有义务主动及时地向甲方提供合同设备制造过程中出现的较大质量缺陷和问题，不得隐瞒。在甲方不知道的情况下，乙方不得擅自处理。</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4.7  无论甲方人员是否参与监造及出厂检验或甲方代表参加了监造与检验，并且签了监造与检验报告，均不能视为乙方按合同规定应承担的质量保证责任的解除，也不能免除乙方对设备质量应负的责任。</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4.8 由乙方供应的所有合同设备部件出厂时，应有乙方签发的产品质量合格证书作为交货的质量证明文件。对某些主要设备还应有全套甲方代表签字的监造与检验记录和实验报告。</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4.9  设备的试验及要求</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4.9.1  所有材料应根据标准进行入厂检验和试验。</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4.9.2  制造焊口按照现行规程和标准以及运行实际需要进行无损检测。所有射线拍片应有射线试验报告，摄片图集上的摄片要有标记并能辨认。</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4.9.3 暖风器在制造厂进行不小于其设计压力1.5倍的水压试验。在试验过程中应检查暖风器的内、外焊口无泄漏。</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4.9.4 暖风器必须进行整体水压试验。</w:t>
      </w:r>
    </w:p>
    <w:p>
      <w:pPr>
        <w:spacing w:line="360" w:lineRule="auto"/>
        <w:ind w:firstLine="480" w:firstLineChars="200"/>
        <w:rPr>
          <w:rFonts w:hint="eastAsia" w:hAnsi="宋体"/>
          <w:color w:val="auto"/>
          <w:sz w:val="24"/>
          <w:szCs w:val="24"/>
          <w:highlight w:val="none"/>
          <w:lang w:val="en-US" w:eastAsia="zh-CN"/>
        </w:rPr>
      </w:pPr>
      <w:bookmarkStart w:id="6" w:name="_Toc23842_WPSOffice_Level1"/>
      <w:bookmarkStart w:id="7" w:name="_Toc944"/>
      <w:r>
        <w:rPr>
          <w:rFonts w:hint="eastAsia" w:hAnsi="宋体"/>
          <w:color w:val="auto"/>
          <w:sz w:val="24"/>
          <w:szCs w:val="24"/>
          <w:highlight w:val="none"/>
          <w:lang w:val="en-US" w:eastAsia="zh-CN"/>
        </w:rPr>
        <w:t>5.供货范围</w:t>
      </w:r>
      <w:bookmarkEnd w:id="6"/>
    </w:p>
    <w:bookmarkEnd w:id="7"/>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5.1 乙方按招标文件确定的供货范围供货、并提供相关的技术服务，乙方的供货应满足技术规范要求。设计供货应满足系统完整性要求，即使招标文件中未提及，但只要改造性检修需要，乙方均应补充完整且不发生费用。乙方所提供的设备在质保期结束前，由于设备质量或设计原因造成的设备损坏的部件，由乙方无偿提供。</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5.2  乙方提供的设备应满足现场长期安全运行，其至少应包括下列设备：</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5.2.1  送风机暖风器本体，包括组合框架与风道连接的法兰（风道进出口配对双法兰及螺栓、螺母、垫片等附件）。</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5.2.2  暖风器换热元件进出口手动截止阀。</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5.2.3  每台暖风器配一套疏水调节阀组件（包括疏水气动调节阀、调节阀前后隔离阀、旁路最小流量阀、冲洗阀，相应配套法兰、附件、连接管道）。</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5.2.4  暖风器控制系统的一次仪表。</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5.2.5  每台炉不单独设计控制柜，所有控制系统接入机组DCS系统，由乙方指派专业人员指导编写DCS控制系统。</w:t>
      </w:r>
    </w:p>
    <w:p>
      <w:pPr>
        <w:spacing w:line="360" w:lineRule="auto"/>
        <w:ind w:firstLine="480" w:firstLineChars="200"/>
        <w:rPr>
          <w:rFonts w:hint="default" w:hAnsi="宋体"/>
          <w:color w:val="auto"/>
          <w:sz w:val="24"/>
          <w:szCs w:val="24"/>
          <w:highlight w:val="none"/>
          <w:lang w:val="en-US" w:eastAsia="zh-CN"/>
        </w:rPr>
      </w:pPr>
      <w:r>
        <w:rPr>
          <w:rFonts w:hint="eastAsia" w:hAnsi="宋体"/>
          <w:color w:val="auto"/>
          <w:sz w:val="24"/>
          <w:szCs w:val="24"/>
          <w:highlight w:val="none"/>
          <w:lang w:val="en-US" w:eastAsia="zh-CN"/>
        </w:rPr>
        <w:t>2.2.6提供管道氧化物磁性检测仪1台，便于后期检测管道沉积物。</w:t>
      </w:r>
    </w:p>
    <w:p>
      <w:pPr>
        <w:spacing w:line="360" w:lineRule="auto"/>
        <w:ind w:firstLine="480" w:firstLineChars="200"/>
        <w:rPr>
          <w:rFonts w:hint="eastAsia" w:hAnsi="宋体"/>
          <w:color w:val="auto"/>
          <w:sz w:val="24"/>
          <w:szCs w:val="24"/>
          <w:highlight w:val="none"/>
          <w:lang w:val="en-US" w:eastAsia="zh-CN"/>
        </w:rPr>
      </w:pPr>
      <w:r>
        <w:rPr>
          <w:rFonts w:hint="eastAsia" w:hAnsi="宋体"/>
          <w:color w:val="auto"/>
          <w:sz w:val="24"/>
          <w:szCs w:val="24"/>
          <w:highlight w:val="none"/>
          <w:lang w:val="en-US" w:eastAsia="zh-CN"/>
        </w:rPr>
        <w:t>5.2.6 投标时详细填写供货清单</w:t>
      </w:r>
    </w:p>
    <w:tbl>
      <w:tblPr>
        <w:tblStyle w:val="8"/>
        <w:tblW w:w="8789" w:type="dxa"/>
        <w:tblInd w:w="2" w:type="dxa"/>
        <w:tblLayout w:type="fixed"/>
        <w:tblCellMar>
          <w:top w:w="0" w:type="dxa"/>
          <w:left w:w="144" w:type="dxa"/>
          <w:bottom w:w="0" w:type="dxa"/>
          <w:right w:w="120" w:type="dxa"/>
        </w:tblCellMar>
      </w:tblPr>
      <w:tblGrid>
        <w:gridCol w:w="849"/>
        <w:gridCol w:w="2128"/>
        <w:gridCol w:w="1418"/>
        <w:gridCol w:w="1134"/>
        <w:gridCol w:w="850"/>
        <w:gridCol w:w="1276"/>
        <w:gridCol w:w="1134"/>
      </w:tblGrid>
      <w:tr>
        <w:tblPrEx>
          <w:tblCellMar>
            <w:top w:w="0" w:type="dxa"/>
            <w:left w:w="144" w:type="dxa"/>
            <w:bottom w:w="0" w:type="dxa"/>
            <w:right w:w="120" w:type="dxa"/>
          </w:tblCellMar>
        </w:tblPrEx>
        <w:trPr>
          <w:trHeight w:val="480" w:hRule="atLeast"/>
        </w:trPr>
        <w:tc>
          <w:tcPr>
            <w:tcW w:w="849"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79"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序号</w:t>
            </w:r>
          </w:p>
        </w:tc>
        <w:tc>
          <w:tcPr>
            <w:tcW w:w="212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right="16"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名称</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149"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规格</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115"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材质</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103"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数量</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right="16"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品牌</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right="17"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备注</w:t>
            </w:r>
          </w:p>
        </w:tc>
      </w:tr>
      <w:tr>
        <w:tblPrEx>
          <w:tblCellMar>
            <w:top w:w="0" w:type="dxa"/>
            <w:left w:w="144" w:type="dxa"/>
            <w:bottom w:w="0" w:type="dxa"/>
            <w:right w:w="120" w:type="dxa"/>
          </w:tblCellMar>
        </w:tblPrEx>
        <w:trPr>
          <w:trHeight w:val="800" w:hRule="atLeast"/>
        </w:trPr>
        <w:tc>
          <w:tcPr>
            <w:tcW w:w="849"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right="22" w:firstLine="0"/>
              <w:jc w:val="center"/>
              <w:rPr>
                <w:rFonts w:hint="eastAsia" w:ascii="宋体" w:hAnsi="宋体" w:eastAsia="宋体" w:cs="宋体"/>
                <w:snapToGrid w:val="0"/>
                <w:color w:val="auto"/>
                <w:spacing w:val="-8"/>
                <w:kern w:val="0"/>
                <w:sz w:val="21"/>
                <w:szCs w:val="21"/>
                <w:highlight w:val="none"/>
                <w:lang w:eastAsia="zh-CN"/>
              </w:rPr>
            </w:pPr>
            <w:r>
              <w:rPr>
                <w:rFonts w:hint="eastAsia" w:ascii="宋体" w:hAnsi="宋体" w:eastAsia="宋体" w:cs="宋体"/>
                <w:snapToGrid w:val="0"/>
                <w:color w:val="auto"/>
                <w:spacing w:val="-8"/>
                <w:kern w:val="0"/>
                <w:sz w:val="21"/>
                <w:szCs w:val="21"/>
                <w:highlight w:val="none"/>
                <w:lang w:val="en-US" w:eastAsia="zh-CN"/>
              </w:rPr>
              <w:t>1</w:t>
            </w:r>
          </w:p>
        </w:tc>
        <w:tc>
          <w:tcPr>
            <w:tcW w:w="212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二次风暖风器（从</w:t>
            </w:r>
            <w:r>
              <w:rPr>
                <w:rFonts w:hint="eastAsia" w:ascii="宋体" w:hAnsi="宋体" w:eastAsia="宋体" w:cs="宋体"/>
                <w:snapToGrid w:val="0"/>
                <w:color w:val="auto"/>
                <w:spacing w:val="-8"/>
                <w:kern w:val="0"/>
                <w:sz w:val="21"/>
                <w:szCs w:val="21"/>
                <w:highlight w:val="none"/>
              </w:rPr>
              <w:t>进</w:t>
            </w:r>
          </w:p>
          <w:p>
            <w:pPr>
              <w:spacing w:after="0" w:line="259" w:lineRule="auto"/>
              <w:ind w:left="0" w:firstLine="0"/>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口</w:t>
            </w:r>
            <w:r>
              <w:rPr>
                <w:rFonts w:ascii="宋体" w:hAnsi="宋体" w:eastAsia="宋体" w:cs="宋体"/>
                <w:snapToGrid w:val="0"/>
                <w:color w:val="auto"/>
                <w:spacing w:val="-8"/>
                <w:kern w:val="0"/>
                <w:sz w:val="21"/>
                <w:szCs w:val="21"/>
                <w:highlight w:val="none"/>
              </w:rPr>
              <w:t>法兰到出口法兰、反法兰及紧固件）</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firstLine="0"/>
              <w:jc w:val="center"/>
              <w:rPr>
                <w:rFonts w:ascii="宋体" w:hAnsi="宋体" w:eastAsia="宋体" w:cs="宋体"/>
                <w:snapToGrid w:val="0"/>
                <w:color w:val="auto"/>
                <w:spacing w:val="-8"/>
                <w:kern w:val="0"/>
                <w:sz w:val="21"/>
                <w:szCs w:val="21"/>
                <w:highlight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2</w:t>
            </w:r>
            <w:r>
              <w:rPr>
                <w:rFonts w:ascii="宋体" w:hAnsi="宋体" w:eastAsia="宋体" w:cs="宋体"/>
                <w:snapToGrid w:val="0"/>
                <w:color w:val="auto"/>
                <w:spacing w:val="-8"/>
                <w:kern w:val="0"/>
                <w:sz w:val="21"/>
                <w:szCs w:val="21"/>
                <w:highlight w:val="none"/>
              </w:rPr>
              <w:t>0+</w:t>
            </w:r>
            <w:r>
              <w:rPr>
                <w:rFonts w:hint="eastAsia" w:ascii="宋体" w:hAnsi="宋体" w:eastAsia="宋体" w:cs="宋体"/>
                <w:snapToGrid w:val="0"/>
                <w:color w:val="auto"/>
                <w:spacing w:val="-8"/>
                <w:kern w:val="0"/>
                <w:sz w:val="21"/>
                <w:szCs w:val="21"/>
                <w:highlight w:val="none"/>
              </w:rPr>
              <w:t>铝</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79" w:firstLine="0"/>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lang w:val="en-US" w:eastAsia="zh-CN"/>
              </w:rPr>
              <w:t>4</w:t>
            </w:r>
            <w:r>
              <w:rPr>
                <w:rFonts w:hint="eastAsia" w:ascii="宋体" w:hAnsi="宋体" w:eastAsia="宋体" w:cs="宋体"/>
                <w:snapToGrid w:val="0"/>
                <w:color w:val="auto"/>
                <w:spacing w:val="-8"/>
                <w:kern w:val="0"/>
                <w:sz w:val="21"/>
                <w:szCs w:val="21"/>
                <w:highlight w:val="none"/>
              </w:rPr>
              <w:t>套</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jc w:val="center"/>
              <w:rPr>
                <w:rFonts w:ascii="宋体" w:hAnsi="宋体" w:eastAsia="宋体" w:cs="宋体"/>
                <w:snapToGrid w:val="0"/>
                <w:color w:val="auto"/>
                <w:spacing w:val="-8"/>
                <w:kern w:val="0"/>
                <w:sz w:val="21"/>
                <w:szCs w:val="21"/>
                <w:highlight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rPr>
                <w:rFonts w:ascii="宋体" w:hAnsi="宋体" w:eastAsia="宋体" w:cs="宋体"/>
                <w:snapToGrid w:val="0"/>
                <w:color w:val="auto"/>
                <w:spacing w:val="-8"/>
                <w:kern w:val="0"/>
                <w:sz w:val="21"/>
                <w:szCs w:val="21"/>
                <w:highlight w:val="none"/>
              </w:rPr>
            </w:pPr>
          </w:p>
        </w:tc>
      </w:tr>
      <w:tr>
        <w:tblPrEx>
          <w:tblCellMar>
            <w:top w:w="0" w:type="dxa"/>
            <w:left w:w="108" w:type="dxa"/>
            <w:bottom w:w="0" w:type="dxa"/>
            <w:right w:w="96" w:type="dxa"/>
          </w:tblCellMar>
        </w:tblPrEx>
        <w:trPr>
          <w:trHeight w:val="1003" w:hRule="atLeast"/>
        </w:trPr>
        <w:tc>
          <w:tcPr>
            <w:tcW w:w="849" w:type="dxa"/>
            <w:tcBorders>
              <w:top w:val="single" w:color="000000" w:sz="4" w:space="0"/>
              <w:left w:val="single" w:color="000000" w:sz="4" w:space="0"/>
              <w:right w:val="single" w:color="000000" w:sz="4" w:space="0"/>
            </w:tcBorders>
            <w:noWrap w:val="0"/>
            <w:vAlign w:val="center"/>
          </w:tcPr>
          <w:p>
            <w:pPr>
              <w:spacing w:after="0" w:line="259" w:lineRule="auto"/>
              <w:ind w:left="0" w:right="9" w:firstLine="0"/>
              <w:jc w:val="center"/>
              <w:rPr>
                <w:rFonts w:hint="eastAsia" w:ascii="宋体" w:hAnsi="宋体" w:eastAsia="宋体" w:cs="宋体"/>
                <w:snapToGrid w:val="0"/>
                <w:color w:val="auto"/>
                <w:spacing w:val="-8"/>
                <w:kern w:val="0"/>
                <w:sz w:val="21"/>
                <w:szCs w:val="21"/>
                <w:highlight w:val="none"/>
                <w:lang w:eastAsia="zh-CN"/>
              </w:rPr>
            </w:pPr>
            <w:r>
              <w:rPr>
                <w:rFonts w:hint="eastAsia" w:ascii="宋体" w:hAnsi="宋体" w:eastAsia="宋体" w:cs="宋体"/>
                <w:snapToGrid w:val="0"/>
                <w:color w:val="auto"/>
                <w:spacing w:val="-8"/>
                <w:kern w:val="0"/>
                <w:sz w:val="21"/>
                <w:szCs w:val="21"/>
                <w:highlight w:val="none"/>
                <w:lang w:val="en-US" w:eastAsia="zh-CN"/>
              </w:rPr>
              <w:t>2</w:t>
            </w:r>
          </w:p>
        </w:tc>
        <w:tc>
          <w:tcPr>
            <w:tcW w:w="2128" w:type="dxa"/>
            <w:tcBorders>
              <w:top w:val="single" w:color="000000" w:sz="4" w:space="0"/>
              <w:left w:val="single" w:color="000000" w:sz="4" w:space="0"/>
              <w:right w:val="single" w:color="000000" w:sz="4" w:space="0"/>
            </w:tcBorders>
            <w:noWrap w:val="0"/>
            <w:vAlign w:val="center"/>
          </w:tcPr>
          <w:p>
            <w:pPr>
              <w:spacing w:after="0" w:line="259" w:lineRule="auto"/>
              <w:ind w:left="0"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二次风暖风器进口手动截止阀</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p>
        </w:tc>
        <w:tc>
          <w:tcPr>
            <w:tcW w:w="1134" w:type="dxa"/>
            <w:tcBorders>
              <w:top w:val="single" w:color="000000" w:sz="4" w:space="0"/>
              <w:left w:val="single" w:color="000000" w:sz="4" w:space="0"/>
              <w:right w:val="single" w:color="000000"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w:t>
            </w:r>
          </w:p>
        </w:tc>
        <w:tc>
          <w:tcPr>
            <w:tcW w:w="850" w:type="dxa"/>
            <w:tcBorders>
              <w:top w:val="single" w:color="000000" w:sz="4" w:space="0"/>
              <w:left w:val="single" w:color="000000" w:sz="4" w:space="0"/>
              <w:right w:val="single" w:color="000000" w:sz="4" w:space="0"/>
            </w:tcBorders>
            <w:noWrap w:val="0"/>
            <w:vAlign w:val="center"/>
          </w:tcPr>
          <w:p>
            <w:pPr>
              <w:spacing w:after="0" w:line="259" w:lineRule="auto"/>
              <w:ind w:left="92" w:firstLine="0"/>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lang w:val="en-US" w:eastAsia="zh-CN"/>
              </w:rPr>
              <w:t>12</w:t>
            </w:r>
            <w:r>
              <w:rPr>
                <w:rFonts w:hint="eastAsia" w:ascii="宋体" w:hAnsi="宋体" w:eastAsia="宋体" w:cs="宋体"/>
                <w:snapToGrid w:val="0"/>
                <w:color w:val="auto"/>
                <w:spacing w:val="-8"/>
                <w:kern w:val="0"/>
                <w:sz w:val="21"/>
                <w:szCs w:val="21"/>
                <w:highlight w:val="none"/>
              </w:rPr>
              <w:t>套</w:t>
            </w:r>
          </w:p>
        </w:tc>
        <w:tc>
          <w:tcPr>
            <w:tcW w:w="1276" w:type="dxa"/>
            <w:vMerge w:val="restart"/>
            <w:tcBorders>
              <w:left w:val="single" w:color="000000" w:sz="4" w:space="0"/>
              <w:right w:val="single" w:color="000000" w:sz="4" w:space="0"/>
            </w:tcBorders>
            <w:noWrap w:val="0"/>
            <w:vAlign w:val="center"/>
          </w:tcPr>
          <w:p>
            <w:pPr>
              <w:spacing w:after="0" w:line="259" w:lineRule="auto"/>
              <w:ind w:left="92" w:firstLine="0"/>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lang w:eastAsia="zh-CN"/>
              </w:rPr>
              <w:t>调节阀（派克、</w:t>
            </w:r>
            <w:r>
              <w:rPr>
                <w:rFonts w:hint="eastAsia" w:ascii="宋体" w:hAnsi="宋体" w:eastAsia="宋体" w:cs="宋体"/>
                <w:snapToGrid w:val="0"/>
                <w:color w:val="auto"/>
                <w:spacing w:val="-8"/>
                <w:kern w:val="0"/>
                <w:sz w:val="21"/>
                <w:szCs w:val="21"/>
                <w:highlight w:val="none"/>
                <w:lang w:val="en-US" w:eastAsia="zh-CN"/>
              </w:rPr>
              <w:t>FISHER</w:t>
            </w:r>
            <w:r>
              <w:rPr>
                <w:rFonts w:hint="eastAsia" w:ascii="宋体" w:hAnsi="宋体" w:eastAsia="宋体" w:cs="宋体"/>
                <w:snapToGrid w:val="0"/>
                <w:color w:val="auto"/>
                <w:spacing w:val="-8"/>
                <w:kern w:val="0"/>
                <w:sz w:val="21"/>
                <w:szCs w:val="21"/>
                <w:highlight w:val="none"/>
                <w:lang w:eastAsia="zh-CN"/>
              </w:rPr>
              <w:t>）其他阀门（</w:t>
            </w:r>
            <w:r>
              <w:rPr>
                <w:rFonts w:hint="eastAsia" w:ascii="宋体" w:hAnsi="宋体" w:eastAsia="宋体" w:cs="宋体"/>
                <w:snapToGrid w:val="0"/>
                <w:color w:val="auto"/>
                <w:spacing w:val="-8"/>
                <w:kern w:val="0"/>
                <w:sz w:val="21"/>
                <w:szCs w:val="21"/>
                <w:highlight w:val="none"/>
              </w:rPr>
              <w:t>上海阀门</w:t>
            </w:r>
          </w:p>
          <w:p>
            <w:pPr>
              <w:spacing w:after="0" w:line="259" w:lineRule="auto"/>
              <w:ind w:left="92" w:firstLine="0"/>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上海良工</w:t>
            </w:r>
          </w:p>
          <w:p>
            <w:pPr>
              <w:spacing w:after="0" w:line="259" w:lineRule="auto"/>
              <w:ind w:left="92"/>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无锡华益</w:t>
            </w:r>
            <w:r>
              <w:rPr>
                <w:rFonts w:hint="eastAsia" w:ascii="宋体" w:hAnsi="宋体" w:eastAsia="宋体" w:cs="宋体"/>
                <w:snapToGrid w:val="0"/>
                <w:color w:val="auto"/>
                <w:spacing w:val="-8"/>
                <w:kern w:val="0"/>
                <w:sz w:val="21"/>
                <w:szCs w:val="21"/>
                <w:highlight w:val="none"/>
                <w:lang w:eastAsia="zh-CN"/>
              </w:rPr>
              <w:t>）</w:t>
            </w:r>
          </w:p>
        </w:tc>
        <w:tc>
          <w:tcPr>
            <w:tcW w:w="1134" w:type="dxa"/>
            <w:tcBorders>
              <w:top w:val="single" w:color="000000" w:sz="4" w:space="0"/>
              <w:left w:val="single" w:color="000000" w:sz="4" w:space="0"/>
              <w:right w:val="single" w:color="000000" w:sz="4" w:space="0"/>
            </w:tcBorders>
            <w:noWrap w:val="0"/>
            <w:vAlign w:val="center"/>
          </w:tcPr>
          <w:p>
            <w:pPr>
              <w:spacing w:after="0" w:line="259" w:lineRule="auto"/>
              <w:ind w:left="91" w:firstLine="0"/>
              <w:jc w:val="center"/>
              <w:rPr>
                <w:rFonts w:ascii="宋体" w:hAnsi="宋体" w:eastAsia="宋体" w:cs="宋体"/>
                <w:snapToGrid w:val="0"/>
                <w:color w:val="auto"/>
                <w:spacing w:val="-8"/>
                <w:kern w:val="0"/>
                <w:sz w:val="21"/>
                <w:szCs w:val="21"/>
                <w:highlight w:val="none"/>
              </w:rPr>
            </w:pPr>
          </w:p>
        </w:tc>
      </w:tr>
      <w:tr>
        <w:tblPrEx>
          <w:tblCellMar>
            <w:top w:w="0" w:type="dxa"/>
            <w:left w:w="108" w:type="dxa"/>
            <w:bottom w:w="0" w:type="dxa"/>
            <w:right w:w="96" w:type="dxa"/>
          </w:tblCellMar>
        </w:tblPrEx>
        <w:trPr>
          <w:trHeight w:val="1052" w:hRule="atLeast"/>
        </w:trPr>
        <w:tc>
          <w:tcPr>
            <w:tcW w:w="849" w:type="dxa"/>
            <w:tcBorders>
              <w:top w:val="single" w:color="000000" w:sz="4" w:space="0"/>
              <w:left w:val="single" w:color="000000" w:sz="4" w:space="0"/>
              <w:right w:val="single" w:color="000000" w:sz="4" w:space="0"/>
            </w:tcBorders>
            <w:noWrap w:val="0"/>
            <w:vAlign w:val="center"/>
          </w:tcPr>
          <w:p>
            <w:pPr>
              <w:spacing w:after="0" w:line="259" w:lineRule="auto"/>
              <w:ind w:left="0" w:right="9" w:firstLine="0"/>
              <w:jc w:val="center"/>
              <w:rPr>
                <w:rFonts w:hint="eastAsia" w:ascii="宋体" w:hAnsi="宋体" w:eastAsia="宋体" w:cs="宋体"/>
                <w:snapToGrid w:val="0"/>
                <w:color w:val="auto"/>
                <w:spacing w:val="-8"/>
                <w:kern w:val="0"/>
                <w:sz w:val="21"/>
                <w:szCs w:val="21"/>
                <w:highlight w:val="none"/>
                <w:lang w:eastAsia="zh-CN"/>
              </w:rPr>
            </w:pPr>
            <w:r>
              <w:rPr>
                <w:rFonts w:hint="eastAsia" w:ascii="宋体" w:hAnsi="宋体" w:eastAsia="宋体" w:cs="宋体"/>
                <w:snapToGrid w:val="0"/>
                <w:color w:val="auto"/>
                <w:spacing w:val="-8"/>
                <w:kern w:val="0"/>
                <w:sz w:val="21"/>
                <w:szCs w:val="21"/>
                <w:highlight w:val="none"/>
                <w:lang w:val="en-US" w:eastAsia="zh-CN"/>
              </w:rPr>
              <w:t>3</w:t>
            </w:r>
          </w:p>
        </w:tc>
        <w:tc>
          <w:tcPr>
            <w:tcW w:w="2128" w:type="dxa"/>
            <w:tcBorders>
              <w:top w:val="single" w:color="000000" w:sz="4" w:space="0"/>
              <w:left w:val="single" w:color="000000" w:sz="4" w:space="0"/>
              <w:right w:val="single" w:color="000000" w:sz="4" w:space="0"/>
            </w:tcBorders>
            <w:noWrap w:val="0"/>
            <w:vAlign w:val="center"/>
          </w:tcPr>
          <w:p>
            <w:pPr>
              <w:spacing w:after="0" w:line="259" w:lineRule="auto"/>
              <w:ind w:left="0"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二次风暖风器出口手动截止阀</w:t>
            </w:r>
          </w:p>
        </w:tc>
        <w:tc>
          <w:tcPr>
            <w:tcW w:w="1418" w:type="dxa"/>
            <w:tcBorders>
              <w:top w:val="single" w:color="000000" w:sz="4" w:space="0"/>
              <w:left w:val="single" w:color="000000" w:sz="4" w:space="0"/>
              <w:right w:val="single" w:color="000000"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p>
        </w:tc>
        <w:tc>
          <w:tcPr>
            <w:tcW w:w="1134" w:type="dxa"/>
            <w:tcBorders>
              <w:top w:val="single" w:color="000000" w:sz="4" w:space="0"/>
              <w:left w:val="single" w:color="000000" w:sz="4" w:space="0"/>
              <w:right w:val="single" w:color="000000"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w:t>
            </w:r>
          </w:p>
        </w:tc>
        <w:tc>
          <w:tcPr>
            <w:tcW w:w="850" w:type="dxa"/>
            <w:tcBorders>
              <w:top w:val="single" w:color="000000" w:sz="4" w:space="0"/>
              <w:left w:val="single" w:color="000000" w:sz="4" w:space="0"/>
              <w:right w:val="single" w:color="000000" w:sz="4" w:space="0"/>
            </w:tcBorders>
            <w:noWrap w:val="0"/>
            <w:vAlign w:val="center"/>
          </w:tcPr>
          <w:p>
            <w:pPr>
              <w:spacing w:after="0" w:line="259" w:lineRule="auto"/>
              <w:ind w:left="92" w:firstLine="0"/>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lang w:val="en-US" w:eastAsia="zh-CN"/>
              </w:rPr>
              <w:t>12</w:t>
            </w:r>
            <w:r>
              <w:rPr>
                <w:rFonts w:hint="eastAsia" w:ascii="宋体" w:hAnsi="宋体" w:eastAsia="宋体" w:cs="宋体"/>
                <w:snapToGrid w:val="0"/>
                <w:color w:val="auto"/>
                <w:spacing w:val="-8"/>
                <w:kern w:val="0"/>
                <w:sz w:val="21"/>
                <w:szCs w:val="21"/>
                <w:highlight w:val="none"/>
              </w:rPr>
              <w:t>套</w:t>
            </w:r>
          </w:p>
        </w:tc>
        <w:tc>
          <w:tcPr>
            <w:tcW w:w="1276" w:type="dxa"/>
            <w:vMerge w:val="continue"/>
            <w:tcBorders>
              <w:left w:val="single" w:color="000000" w:sz="4" w:space="0"/>
              <w:right w:val="single" w:color="000000" w:sz="4" w:space="0"/>
            </w:tcBorders>
            <w:noWrap w:val="0"/>
            <w:vAlign w:val="center"/>
          </w:tcPr>
          <w:p>
            <w:pPr>
              <w:spacing w:after="0" w:line="259" w:lineRule="auto"/>
              <w:ind w:left="92"/>
              <w:jc w:val="center"/>
              <w:rPr>
                <w:rFonts w:ascii="宋体" w:hAnsi="宋体" w:eastAsia="宋体" w:cs="宋体"/>
                <w:snapToGrid w:val="0"/>
                <w:color w:val="auto"/>
                <w:spacing w:val="-8"/>
                <w:kern w:val="0"/>
                <w:sz w:val="21"/>
                <w:szCs w:val="21"/>
                <w:highlight w:val="none"/>
              </w:rPr>
            </w:pPr>
          </w:p>
        </w:tc>
        <w:tc>
          <w:tcPr>
            <w:tcW w:w="1134" w:type="dxa"/>
            <w:tcBorders>
              <w:top w:val="single" w:color="000000" w:sz="4" w:space="0"/>
              <w:left w:val="single" w:color="000000" w:sz="4" w:space="0"/>
              <w:right w:val="single" w:color="000000" w:sz="4" w:space="0"/>
            </w:tcBorders>
            <w:noWrap w:val="0"/>
            <w:vAlign w:val="center"/>
          </w:tcPr>
          <w:p>
            <w:pPr>
              <w:spacing w:after="0" w:line="259" w:lineRule="auto"/>
              <w:ind w:left="91" w:firstLine="0"/>
              <w:jc w:val="center"/>
              <w:rPr>
                <w:rFonts w:ascii="宋体" w:hAnsi="宋体" w:eastAsia="宋体" w:cs="宋体"/>
                <w:snapToGrid w:val="0"/>
                <w:color w:val="auto"/>
                <w:spacing w:val="-8"/>
                <w:kern w:val="0"/>
                <w:sz w:val="21"/>
                <w:szCs w:val="21"/>
                <w:highlight w:val="none"/>
              </w:rPr>
            </w:pPr>
          </w:p>
        </w:tc>
      </w:tr>
      <w:tr>
        <w:tblPrEx>
          <w:tblCellMar>
            <w:top w:w="0" w:type="dxa"/>
            <w:left w:w="108" w:type="dxa"/>
            <w:bottom w:w="0" w:type="dxa"/>
            <w:right w:w="96" w:type="dxa"/>
          </w:tblCellMar>
        </w:tblPrEx>
        <w:trPr>
          <w:trHeight w:val="950" w:hRule="atLeast"/>
        </w:trPr>
        <w:tc>
          <w:tcPr>
            <w:tcW w:w="849" w:type="dxa"/>
            <w:tcBorders>
              <w:top w:val="single" w:color="000000" w:sz="4" w:space="0"/>
              <w:left w:val="single" w:color="000000" w:sz="4" w:space="0"/>
              <w:bottom w:val="nil"/>
              <w:right w:val="single" w:color="000000" w:sz="4" w:space="0"/>
            </w:tcBorders>
            <w:noWrap w:val="0"/>
            <w:vAlign w:val="center"/>
          </w:tcPr>
          <w:p>
            <w:pPr>
              <w:spacing w:after="0" w:line="259" w:lineRule="auto"/>
              <w:ind w:left="0" w:right="9" w:firstLine="0"/>
              <w:jc w:val="center"/>
              <w:rPr>
                <w:rFonts w:hint="eastAsia" w:ascii="宋体" w:hAnsi="宋体" w:eastAsia="宋体" w:cs="宋体"/>
                <w:snapToGrid w:val="0"/>
                <w:color w:val="auto"/>
                <w:spacing w:val="-8"/>
                <w:kern w:val="0"/>
                <w:sz w:val="21"/>
                <w:szCs w:val="21"/>
                <w:highlight w:val="none"/>
                <w:lang w:eastAsia="zh-CN"/>
              </w:rPr>
            </w:pPr>
            <w:r>
              <w:rPr>
                <w:rFonts w:hint="eastAsia" w:ascii="宋体" w:hAnsi="宋体" w:eastAsia="宋体" w:cs="宋体"/>
                <w:snapToGrid w:val="0"/>
                <w:color w:val="auto"/>
                <w:spacing w:val="-8"/>
                <w:kern w:val="0"/>
                <w:sz w:val="21"/>
                <w:szCs w:val="21"/>
                <w:highlight w:val="none"/>
                <w:lang w:val="en-US" w:eastAsia="zh-CN"/>
              </w:rPr>
              <w:t>4</w:t>
            </w:r>
          </w:p>
        </w:tc>
        <w:tc>
          <w:tcPr>
            <w:tcW w:w="2128" w:type="dxa"/>
            <w:tcBorders>
              <w:top w:val="single" w:color="000000" w:sz="4" w:space="0"/>
              <w:left w:val="single" w:color="000000" w:sz="4" w:space="0"/>
              <w:bottom w:val="nil"/>
              <w:right w:val="single" w:color="000000" w:sz="4" w:space="0"/>
            </w:tcBorders>
            <w:noWrap w:val="0"/>
            <w:vAlign w:val="center"/>
          </w:tcPr>
          <w:p>
            <w:pPr>
              <w:spacing w:after="0" w:line="259" w:lineRule="auto"/>
              <w:ind w:left="0"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二次风暖风器疏水</w:t>
            </w:r>
            <w:r>
              <w:rPr>
                <w:rFonts w:hint="eastAsia" w:ascii="宋体" w:hAnsi="宋体" w:eastAsia="宋体" w:cs="宋体"/>
                <w:snapToGrid w:val="0"/>
                <w:color w:val="auto"/>
                <w:spacing w:val="-8"/>
                <w:kern w:val="0"/>
                <w:sz w:val="21"/>
                <w:szCs w:val="21"/>
                <w:highlight w:val="none"/>
                <w:lang w:val="en-US" w:eastAsia="zh-CN"/>
              </w:rPr>
              <w:t>气动</w:t>
            </w:r>
            <w:r>
              <w:rPr>
                <w:rFonts w:ascii="宋体" w:hAnsi="宋体" w:eastAsia="宋体" w:cs="宋体"/>
                <w:snapToGrid w:val="0"/>
                <w:color w:val="auto"/>
                <w:spacing w:val="-8"/>
                <w:kern w:val="0"/>
                <w:sz w:val="21"/>
                <w:szCs w:val="21"/>
                <w:highlight w:val="none"/>
              </w:rPr>
              <w:t>调节阀</w:t>
            </w:r>
          </w:p>
        </w:tc>
        <w:tc>
          <w:tcPr>
            <w:tcW w:w="1418" w:type="dxa"/>
            <w:tcBorders>
              <w:top w:val="single" w:color="000000" w:sz="4" w:space="0"/>
              <w:left w:val="single" w:color="000000" w:sz="4" w:space="0"/>
              <w:bottom w:val="nil"/>
              <w:right w:val="single" w:color="000000"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p>
        </w:tc>
        <w:tc>
          <w:tcPr>
            <w:tcW w:w="1134" w:type="dxa"/>
            <w:tcBorders>
              <w:top w:val="single" w:color="000000" w:sz="4" w:space="0"/>
              <w:left w:val="single" w:color="000000" w:sz="4" w:space="0"/>
              <w:bottom w:val="nil"/>
              <w:right w:val="single" w:color="000000"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w:t>
            </w:r>
          </w:p>
        </w:tc>
        <w:tc>
          <w:tcPr>
            <w:tcW w:w="850" w:type="dxa"/>
            <w:tcBorders>
              <w:top w:val="single" w:color="000000" w:sz="4" w:space="0"/>
              <w:left w:val="single" w:color="000000" w:sz="4" w:space="0"/>
              <w:bottom w:val="nil"/>
              <w:right w:val="single" w:color="000000" w:sz="4" w:space="0"/>
            </w:tcBorders>
            <w:noWrap w:val="0"/>
            <w:vAlign w:val="center"/>
          </w:tcPr>
          <w:p>
            <w:pPr>
              <w:spacing w:after="0" w:line="259" w:lineRule="auto"/>
              <w:ind w:left="92" w:firstLine="0"/>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lang w:val="en-US" w:eastAsia="zh-CN"/>
              </w:rPr>
              <w:t>4</w:t>
            </w:r>
            <w:r>
              <w:rPr>
                <w:rFonts w:hint="eastAsia" w:ascii="宋体" w:hAnsi="宋体" w:eastAsia="宋体" w:cs="宋体"/>
                <w:snapToGrid w:val="0"/>
                <w:color w:val="auto"/>
                <w:spacing w:val="-8"/>
                <w:kern w:val="0"/>
                <w:sz w:val="21"/>
                <w:szCs w:val="21"/>
                <w:highlight w:val="none"/>
              </w:rPr>
              <w:t>套</w:t>
            </w:r>
          </w:p>
        </w:tc>
        <w:tc>
          <w:tcPr>
            <w:tcW w:w="1276" w:type="dxa"/>
            <w:vMerge w:val="continue"/>
            <w:tcBorders>
              <w:left w:val="single" w:color="000000" w:sz="4" w:space="0"/>
              <w:bottom w:val="nil"/>
              <w:right w:val="single" w:color="000000" w:sz="4" w:space="0"/>
            </w:tcBorders>
            <w:noWrap w:val="0"/>
            <w:vAlign w:val="center"/>
          </w:tcPr>
          <w:p>
            <w:pPr>
              <w:spacing w:after="0" w:line="259" w:lineRule="auto"/>
              <w:ind w:left="92"/>
              <w:jc w:val="center"/>
              <w:rPr>
                <w:rFonts w:ascii="宋体" w:hAnsi="宋体" w:eastAsia="宋体" w:cs="宋体"/>
                <w:snapToGrid w:val="0"/>
                <w:color w:val="auto"/>
                <w:spacing w:val="-8"/>
                <w:kern w:val="0"/>
                <w:sz w:val="21"/>
                <w:szCs w:val="21"/>
                <w:highlight w:val="none"/>
              </w:rPr>
            </w:pPr>
          </w:p>
        </w:tc>
        <w:tc>
          <w:tcPr>
            <w:tcW w:w="1134" w:type="dxa"/>
            <w:tcBorders>
              <w:top w:val="single" w:color="000000" w:sz="4" w:space="0"/>
              <w:left w:val="single" w:color="000000" w:sz="4" w:space="0"/>
              <w:bottom w:val="nil"/>
              <w:right w:val="single" w:color="000000" w:sz="4" w:space="0"/>
            </w:tcBorders>
            <w:noWrap w:val="0"/>
            <w:vAlign w:val="center"/>
          </w:tcPr>
          <w:p>
            <w:pPr>
              <w:spacing w:after="0" w:line="259" w:lineRule="auto"/>
              <w:ind w:left="92" w:firstLine="0"/>
              <w:jc w:val="center"/>
              <w:rPr>
                <w:rFonts w:hint="eastAsia" w:ascii="宋体" w:hAnsi="宋体" w:eastAsia="宋体" w:cs="宋体"/>
                <w:snapToGrid w:val="0"/>
                <w:color w:val="auto"/>
                <w:spacing w:val="-8"/>
                <w:kern w:val="0"/>
                <w:sz w:val="21"/>
                <w:szCs w:val="21"/>
                <w:highlight w:val="none"/>
              </w:rPr>
            </w:pPr>
          </w:p>
        </w:tc>
      </w:tr>
      <w:tr>
        <w:tblPrEx>
          <w:tblCellMar>
            <w:top w:w="0" w:type="dxa"/>
            <w:left w:w="108" w:type="dxa"/>
            <w:bottom w:w="0" w:type="dxa"/>
            <w:right w:w="96" w:type="dxa"/>
          </w:tblCellMar>
        </w:tblPrEx>
        <w:trPr>
          <w:trHeight w:val="478" w:hRule="atLeast"/>
        </w:trPr>
        <w:tc>
          <w:tcPr>
            <w:tcW w:w="849"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right="9" w:firstLine="0"/>
              <w:jc w:val="center"/>
              <w:rPr>
                <w:rFonts w:hint="eastAsia" w:ascii="宋体" w:hAnsi="宋体" w:eastAsia="宋体" w:cs="宋体"/>
                <w:snapToGrid w:val="0"/>
                <w:color w:val="auto"/>
                <w:spacing w:val="-8"/>
                <w:kern w:val="0"/>
                <w:sz w:val="21"/>
                <w:szCs w:val="21"/>
                <w:highlight w:val="none"/>
                <w:lang w:eastAsia="zh-CN"/>
              </w:rPr>
            </w:pPr>
            <w:r>
              <w:rPr>
                <w:rFonts w:hint="eastAsia" w:ascii="宋体" w:hAnsi="宋体" w:eastAsia="宋体" w:cs="宋体"/>
                <w:snapToGrid w:val="0"/>
                <w:color w:val="auto"/>
                <w:spacing w:val="-8"/>
                <w:kern w:val="0"/>
                <w:sz w:val="21"/>
                <w:szCs w:val="21"/>
                <w:highlight w:val="none"/>
                <w:lang w:val="en-US" w:eastAsia="zh-CN"/>
              </w:rPr>
              <w:t>5</w:t>
            </w:r>
          </w:p>
        </w:tc>
        <w:tc>
          <w:tcPr>
            <w:tcW w:w="212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仪表阀</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4</w:t>
            </w:r>
            <w:r>
              <w:rPr>
                <w:rFonts w:hint="eastAsia" w:ascii="宋体" w:hAnsi="宋体" w:eastAsia="宋体" w:cs="宋体"/>
                <w:snapToGrid w:val="0"/>
                <w:color w:val="auto"/>
                <w:spacing w:val="-8"/>
                <w:kern w:val="0"/>
                <w:sz w:val="21"/>
                <w:szCs w:val="21"/>
                <w:highlight w:val="none"/>
              </w:rPr>
              <w:t>套</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firstLine="0"/>
              <w:jc w:val="center"/>
              <w:rPr>
                <w:rFonts w:ascii="宋体" w:hAnsi="宋体" w:eastAsia="宋体" w:cs="宋体"/>
                <w:snapToGrid w:val="0"/>
                <w:color w:val="auto"/>
                <w:spacing w:val="-8"/>
                <w:kern w:val="0"/>
                <w:sz w:val="21"/>
                <w:szCs w:val="21"/>
                <w:highlight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1" w:firstLine="0"/>
              <w:jc w:val="center"/>
              <w:rPr>
                <w:rFonts w:ascii="宋体" w:hAnsi="宋体" w:eastAsia="宋体" w:cs="宋体"/>
                <w:snapToGrid w:val="0"/>
                <w:color w:val="auto"/>
                <w:spacing w:val="-8"/>
                <w:kern w:val="0"/>
                <w:sz w:val="21"/>
                <w:szCs w:val="21"/>
                <w:highlight w:val="none"/>
              </w:rPr>
            </w:pPr>
          </w:p>
        </w:tc>
      </w:tr>
      <w:tr>
        <w:tblPrEx>
          <w:tblCellMar>
            <w:top w:w="0" w:type="dxa"/>
            <w:left w:w="108" w:type="dxa"/>
            <w:bottom w:w="0" w:type="dxa"/>
            <w:right w:w="96" w:type="dxa"/>
          </w:tblCellMar>
        </w:tblPrEx>
        <w:trPr>
          <w:trHeight w:val="624" w:hRule="atLeast"/>
        </w:trPr>
        <w:tc>
          <w:tcPr>
            <w:tcW w:w="849" w:type="dxa"/>
            <w:tcBorders>
              <w:top w:val="single" w:color="000000" w:sz="4" w:space="0"/>
              <w:left w:val="single" w:color="000000" w:sz="4" w:space="0"/>
              <w:right w:val="single" w:color="000000" w:sz="4" w:space="0"/>
            </w:tcBorders>
            <w:noWrap w:val="0"/>
            <w:vAlign w:val="center"/>
          </w:tcPr>
          <w:p>
            <w:pPr>
              <w:spacing w:after="0" w:line="259" w:lineRule="auto"/>
              <w:ind w:left="0" w:right="9" w:firstLine="0"/>
              <w:jc w:val="center"/>
              <w:rPr>
                <w:rFonts w:hint="eastAsia" w:ascii="宋体" w:hAnsi="宋体" w:eastAsia="宋体" w:cs="宋体"/>
                <w:snapToGrid w:val="0"/>
                <w:color w:val="auto"/>
                <w:spacing w:val="-8"/>
                <w:kern w:val="0"/>
                <w:sz w:val="21"/>
                <w:szCs w:val="21"/>
                <w:highlight w:val="none"/>
                <w:lang w:eastAsia="zh-CN"/>
              </w:rPr>
            </w:pPr>
            <w:r>
              <w:rPr>
                <w:rFonts w:hint="eastAsia" w:ascii="宋体" w:hAnsi="宋体" w:eastAsia="宋体" w:cs="宋体"/>
                <w:snapToGrid w:val="0"/>
                <w:color w:val="auto"/>
                <w:spacing w:val="-8"/>
                <w:kern w:val="0"/>
                <w:sz w:val="21"/>
                <w:szCs w:val="21"/>
                <w:highlight w:val="none"/>
                <w:lang w:val="en-US" w:eastAsia="zh-CN"/>
              </w:rPr>
              <w:t>6</w:t>
            </w:r>
          </w:p>
        </w:tc>
        <w:tc>
          <w:tcPr>
            <w:tcW w:w="2128" w:type="dxa"/>
            <w:tcBorders>
              <w:top w:val="single" w:color="000000" w:sz="4" w:space="0"/>
              <w:left w:val="single" w:color="000000" w:sz="4" w:space="0"/>
              <w:right w:val="single" w:color="000000" w:sz="4" w:space="0"/>
            </w:tcBorders>
            <w:noWrap w:val="0"/>
            <w:vAlign w:val="center"/>
          </w:tcPr>
          <w:p>
            <w:pPr>
              <w:spacing w:after="0" w:line="259" w:lineRule="auto"/>
              <w:ind w:left="0"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暖风器控制系统的</w:t>
            </w:r>
            <w:r>
              <w:rPr>
                <w:rFonts w:hint="eastAsia" w:ascii="宋体" w:hAnsi="宋体" w:eastAsia="宋体" w:cs="宋体"/>
                <w:snapToGrid w:val="0"/>
                <w:color w:val="auto"/>
                <w:spacing w:val="-8"/>
                <w:kern w:val="0"/>
                <w:sz w:val="21"/>
                <w:szCs w:val="21"/>
                <w:highlight w:val="none"/>
              </w:rPr>
              <w:t>一</w:t>
            </w:r>
            <w:r>
              <w:rPr>
                <w:rFonts w:ascii="宋体" w:hAnsi="宋体" w:eastAsia="宋体" w:cs="宋体"/>
                <w:snapToGrid w:val="0"/>
                <w:color w:val="auto"/>
                <w:spacing w:val="-8"/>
                <w:kern w:val="0"/>
                <w:sz w:val="21"/>
                <w:szCs w:val="21"/>
                <w:highlight w:val="none"/>
              </w:rPr>
              <w:t>次仪表</w:t>
            </w:r>
          </w:p>
        </w:tc>
        <w:tc>
          <w:tcPr>
            <w:tcW w:w="1418" w:type="dxa"/>
            <w:tcBorders>
              <w:top w:val="single" w:color="000000" w:sz="4" w:space="0"/>
              <w:left w:val="single" w:color="000000" w:sz="4" w:space="0"/>
              <w:right w:val="single" w:color="000000"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p>
        </w:tc>
        <w:tc>
          <w:tcPr>
            <w:tcW w:w="1134" w:type="dxa"/>
            <w:tcBorders>
              <w:top w:val="single" w:color="000000" w:sz="4" w:space="0"/>
              <w:left w:val="single" w:color="000000" w:sz="4" w:space="0"/>
              <w:right w:val="single" w:color="000000"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p>
        </w:tc>
        <w:tc>
          <w:tcPr>
            <w:tcW w:w="850" w:type="dxa"/>
            <w:tcBorders>
              <w:top w:val="single" w:color="000000" w:sz="4" w:space="0"/>
              <w:left w:val="single" w:color="000000" w:sz="4" w:space="0"/>
              <w:right w:val="single" w:color="000000" w:sz="4" w:space="0"/>
            </w:tcBorders>
            <w:noWrap w:val="0"/>
            <w:vAlign w:val="center"/>
          </w:tcPr>
          <w:p>
            <w:pPr>
              <w:spacing w:after="0" w:line="259" w:lineRule="auto"/>
              <w:ind w:left="92"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4</w:t>
            </w:r>
            <w:r>
              <w:rPr>
                <w:rFonts w:hint="eastAsia" w:ascii="宋体" w:hAnsi="宋体" w:eastAsia="宋体" w:cs="宋体"/>
                <w:snapToGrid w:val="0"/>
                <w:color w:val="auto"/>
                <w:spacing w:val="-8"/>
                <w:kern w:val="0"/>
                <w:sz w:val="21"/>
                <w:szCs w:val="21"/>
                <w:highlight w:val="none"/>
              </w:rPr>
              <w:t>套</w:t>
            </w:r>
          </w:p>
        </w:tc>
        <w:tc>
          <w:tcPr>
            <w:tcW w:w="1276" w:type="dxa"/>
            <w:tcBorders>
              <w:top w:val="single" w:color="000000" w:sz="4" w:space="0"/>
              <w:left w:val="single" w:color="000000" w:sz="4" w:space="0"/>
              <w:right w:val="single" w:color="000000" w:sz="4" w:space="0"/>
            </w:tcBorders>
            <w:noWrap w:val="0"/>
            <w:vAlign w:val="center"/>
          </w:tcPr>
          <w:p>
            <w:pPr>
              <w:spacing w:after="0" w:line="259" w:lineRule="auto"/>
              <w:ind w:left="92" w:firstLine="0"/>
              <w:jc w:val="center"/>
              <w:rPr>
                <w:rFonts w:ascii="宋体" w:hAnsi="宋体" w:eastAsia="宋体" w:cs="宋体"/>
                <w:snapToGrid w:val="0"/>
                <w:color w:val="auto"/>
                <w:spacing w:val="-8"/>
                <w:kern w:val="0"/>
                <w:sz w:val="21"/>
                <w:szCs w:val="21"/>
                <w:highlight w:val="none"/>
              </w:rPr>
            </w:pPr>
          </w:p>
        </w:tc>
        <w:tc>
          <w:tcPr>
            <w:tcW w:w="1134" w:type="dxa"/>
            <w:tcBorders>
              <w:top w:val="single" w:color="000000" w:sz="4" w:space="0"/>
              <w:left w:val="single" w:color="000000" w:sz="4" w:space="0"/>
              <w:right w:val="single" w:color="000000" w:sz="4" w:space="0"/>
            </w:tcBorders>
            <w:noWrap w:val="0"/>
            <w:vAlign w:val="center"/>
          </w:tcPr>
          <w:p>
            <w:pPr>
              <w:spacing w:after="0" w:line="259" w:lineRule="auto"/>
              <w:ind w:left="91" w:firstLine="0"/>
              <w:jc w:val="center"/>
              <w:rPr>
                <w:rFonts w:ascii="宋体" w:hAnsi="宋体" w:eastAsia="宋体" w:cs="宋体"/>
                <w:snapToGrid w:val="0"/>
                <w:color w:val="auto"/>
                <w:spacing w:val="-8"/>
                <w:kern w:val="0"/>
                <w:sz w:val="21"/>
                <w:szCs w:val="21"/>
                <w:highlight w:val="none"/>
              </w:rPr>
            </w:pPr>
          </w:p>
        </w:tc>
      </w:tr>
      <w:tr>
        <w:tblPrEx>
          <w:tblCellMar>
            <w:top w:w="0" w:type="dxa"/>
            <w:left w:w="108" w:type="dxa"/>
            <w:bottom w:w="0" w:type="dxa"/>
            <w:right w:w="96" w:type="dxa"/>
          </w:tblCellMar>
        </w:tblPrEx>
        <w:trPr>
          <w:trHeight w:val="719" w:hRule="atLeast"/>
        </w:trPr>
        <w:tc>
          <w:tcPr>
            <w:tcW w:w="849"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right="9" w:firstLine="0"/>
              <w:jc w:val="center"/>
              <w:rPr>
                <w:rFonts w:hint="eastAsia" w:ascii="宋体" w:hAnsi="宋体" w:eastAsia="宋体" w:cs="宋体"/>
                <w:snapToGrid w:val="0"/>
                <w:color w:val="auto"/>
                <w:spacing w:val="-8"/>
                <w:kern w:val="0"/>
                <w:sz w:val="21"/>
                <w:szCs w:val="21"/>
                <w:highlight w:val="none"/>
                <w:lang w:eastAsia="zh-CN"/>
              </w:rPr>
            </w:pPr>
            <w:r>
              <w:rPr>
                <w:rFonts w:hint="eastAsia" w:ascii="宋体" w:hAnsi="宋体" w:eastAsia="宋体" w:cs="宋体"/>
                <w:snapToGrid w:val="0"/>
                <w:color w:val="auto"/>
                <w:spacing w:val="-8"/>
                <w:kern w:val="0"/>
                <w:sz w:val="21"/>
                <w:szCs w:val="21"/>
                <w:highlight w:val="none"/>
                <w:lang w:val="en-US" w:eastAsia="zh-CN"/>
              </w:rPr>
              <w:t>7</w:t>
            </w:r>
          </w:p>
        </w:tc>
        <w:tc>
          <w:tcPr>
            <w:tcW w:w="212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firstLine="0"/>
              <w:jc w:val="center"/>
              <w:rPr>
                <w:rFonts w:ascii="宋体" w:hAnsi="宋体" w:eastAsia="宋体" w:cs="宋体"/>
                <w:snapToGrid w:val="0"/>
                <w:color w:val="auto"/>
                <w:spacing w:val="-8"/>
                <w:kern w:val="0"/>
                <w:sz w:val="21"/>
                <w:szCs w:val="21"/>
                <w:highlight w:val="none"/>
              </w:rPr>
            </w:pPr>
            <w:r>
              <w:rPr>
                <w:rFonts w:ascii="宋体" w:hAnsi="宋体" w:eastAsia="宋体" w:cs="宋体"/>
                <w:snapToGrid w:val="0"/>
                <w:color w:val="auto"/>
                <w:spacing w:val="-8"/>
                <w:kern w:val="0"/>
                <w:sz w:val="21"/>
                <w:szCs w:val="21"/>
                <w:highlight w:val="none"/>
              </w:rPr>
              <w:t>暖风器出口热电阻或热电偶</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4" w:firstLine="0"/>
              <w:jc w:val="center"/>
              <w:rPr>
                <w:rFonts w:ascii="宋体" w:hAnsi="宋体" w:eastAsia="宋体" w:cs="宋体"/>
                <w:snapToGrid w:val="0"/>
                <w:color w:val="auto"/>
                <w:spacing w:val="-8"/>
                <w:kern w:val="0"/>
                <w:sz w:val="21"/>
                <w:szCs w:val="21"/>
                <w:highlight w:val="none"/>
              </w:rPr>
            </w:pP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firstLine="0"/>
              <w:jc w:val="center"/>
              <w:rPr>
                <w:rFonts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lang w:val="en-US" w:eastAsia="zh-CN"/>
              </w:rPr>
              <w:t>12</w:t>
            </w:r>
            <w:r>
              <w:rPr>
                <w:rFonts w:hint="eastAsia" w:ascii="宋体" w:hAnsi="宋体" w:eastAsia="宋体" w:cs="宋体"/>
                <w:snapToGrid w:val="0"/>
                <w:color w:val="auto"/>
                <w:spacing w:val="-8"/>
                <w:kern w:val="0"/>
                <w:sz w:val="21"/>
                <w:szCs w:val="21"/>
                <w:highlight w:val="none"/>
              </w:rPr>
              <w:t>套</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firstLine="0"/>
              <w:jc w:val="center"/>
              <w:rPr>
                <w:rFonts w:ascii="宋体" w:hAnsi="宋体" w:eastAsia="宋体" w:cs="宋体"/>
                <w:snapToGrid w:val="0"/>
                <w:color w:val="auto"/>
                <w:spacing w:val="-8"/>
                <w:kern w:val="0"/>
                <w:sz w:val="21"/>
                <w:szCs w:val="21"/>
                <w:highlight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1" w:firstLine="0"/>
              <w:jc w:val="center"/>
              <w:rPr>
                <w:rFonts w:ascii="宋体" w:hAnsi="宋体" w:eastAsia="宋体" w:cs="宋体"/>
                <w:snapToGrid w:val="0"/>
                <w:color w:val="auto"/>
                <w:spacing w:val="-8"/>
                <w:kern w:val="0"/>
                <w:sz w:val="21"/>
                <w:szCs w:val="21"/>
                <w:highlight w:val="none"/>
              </w:rPr>
            </w:pPr>
          </w:p>
        </w:tc>
      </w:tr>
      <w:tr>
        <w:tblPrEx>
          <w:tblCellMar>
            <w:top w:w="0" w:type="dxa"/>
            <w:left w:w="108" w:type="dxa"/>
            <w:bottom w:w="0" w:type="dxa"/>
            <w:right w:w="96" w:type="dxa"/>
          </w:tblCellMar>
        </w:tblPrEx>
        <w:trPr>
          <w:trHeight w:val="719" w:hRule="atLeast"/>
        </w:trPr>
        <w:tc>
          <w:tcPr>
            <w:tcW w:w="849" w:type="dxa"/>
            <w:tcBorders>
              <w:top w:val="single" w:color="000000" w:sz="4" w:space="0"/>
              <w:left w:val="single" w:color="000000" w:sz="4" w:space="0"/>
              <w:bottom w:val="single" w:color="000000" w:sz="4" w:space="0"/>
              <w:right w:val="single" w:color="000000" w:sz="4" w:space="0"/>
            </w:tcBorders>
            <w:noWrap w:val="0"/>
            <w:vAlign w:val="center"/>
          </w:tcPr>
          <w:p>
            <w:pPr>
              <w:overflowPunct w:val="0"/>
              <w:spacing w:line="360" w:lineRule="auto"/>
              <w:jc w:val="center"/>
              <w:textAlignment w:val="bottom"/>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val="en-US" w:eastAsia="zh-CN"/>
              </w:rPr>
              <w:t>8</w:t>
            </w:r>
          </w:p>
        </w:tc>
        <w:tc>
          <w:tcPr>
            <w:tcW w:w="2128" w:type="dxa"/>
            <w:tcBorders>
              <w:top w:val="single" w:color="000000" w:sz="4" w:space="0"/>
              <w:left w:val="single" w:color="000000" w:sz="4" w:space="0"/>
              <w:bottom w:val="single" w:color="000000" w:sz="4" w:space="0"/>
              <w:right w:val="single" w:color="000000" w:sz="4" w:space="0"/>
            </w:tcBorders>
            <w:noWrap w:val="0"/>
            <w:vAlign w:val="center"/>
          </w:tcPr>
          <w:p>
            <w:pPr>
              <w:overflowPunct w:val="0"/>
              <w:spacing w:line="360" w:lineRule="auto"/>
              <w:ind w:left="10" w:leftChars="0" w:hanging="10" w:firstLineChars="0"/>
              <w:textAlignment w:val="bottom"/>
              <w:rPr>
                <w:rFonts w:hint="default"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val="en-US" w:eastAsia="zh-CN"/>
              </w:rPr>
              <w:t>OVATION系统RTD模块（电子模块、特性模块）</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leftChars="0" w:firstLine="0" w:firstLineChars="0"/>
              <w:jc w:val="center"/>
              <w:rPr>
                <w:rFonts w:hint="eastAsia"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\(OVATION)5X00119G01</w:t>
            </w:r>
          </w:p>
          <w:p>
            <w:pPr>
              <w:spacing w:after="0" w:line="259" w:lineRule="auto"/>
              <w:ind w:left="92" w:leftChars="0" w:firstLine="0" w:firstLineChars="0"/>
              <w:jc w:val="center"/>
              <w:rPr>
                <w:rFonts w:hint="default"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rPr>
              <w:t>\(OVATION)5X00121G01</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overflowPunct w:val="0"/>
              <w:spacing w:line="360" w:lineRule="auto"/>
              <w:ind w:left="10" w:leftChars="0" w:hanging="10" w:firstLineChars="0"/>
              <w:jc w:val="center"/>
              <w:textAlignment w:val="bottom"/>
              <w:rPr>
                <w:rFonts w:hint="eastAsia" w:ascii="宋体" w:hAnsi="宋体" w:eastAsia="宋体" w:cs="宋体"/>
                <w:snapToGrid w:val="0"/>
                <w:color w:val="auto"/>
                <w:spacing w:val="-8"/>
                <w:kern w:val="0"/>
                <w:sz w:val="21"/>
                <w:szCs w:val="21"/>
                <w:highlight w:val="none"/>
                <w:lang w:val="en-US" w:eastAsia="zh-CN" w:bidi="ar-SA"/>
              </w:rPr>
            </w:pP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overflowPunct w:val="0"/>
              <w:spacing w:line="360" w:lineRule="auto"/>
              <w:ind w:left="10" w:leftChars="0" w:hanging="10" w:firstLineChars="0"/>
              <w:jc w:val="center"/>
              <w:textAlignment w:val="bottom"/>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val="en-US" w:eastAsia="zh-CN"/>
              </w:rPr>
              <w:t>2</w:t>
            </w:r>
            <w:r>
              <w:rPr>
                <w:rFonts w:hint="eastAsia" w:ascii="宋体" w:hAnsi="宋体" w:eastAsia="宋体" w:cs="宋体"/>
                <w:snapToGrid w:val="0"/>
                <w:color w:val="auto"/>
                <w:spacing w:val="-8"/>
                <w:kern w:val="0"/>
                <w:sz w:val="21"/>
                <w:szCs w:val="21"/>
                <w:highlight w:val="none"/>
                <w:lang w:eastAsia="zh-CN"/>
              </w:rPr>
              <w:t>套</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leftChars="0" w:firstLine="0" w:firstLineChars="0"/>
              <w:jc w:val="center"/>
              <w:rPr>
                <w:rFonts w:ascii="宋体" w:hAnsi="宋体" w:eastAsia="宋体" w:cs="宋体"/>
                <w:snapToGrid w:val="0"/>
                <w:color w:val="auto"/>
                <w:spacing w:val="-8"/>
                <w:kern w:val="0"/>
                <w:sz w:val="21"/>
                <w:szCs w:val="21"/>
                <w:highlight w:val="none"/>
                <w:lang w:val="en-US" w:eastAsia="en-US" w:bidi="ar-SA"/>
              </w:rPr>
            </w:pPr>
            <w:r>
              <w:rPr>
                <w:rFonts w:hint="eastAsia" w:ascii="宋体" w:hAnsi="宋体" w:eastAsia="宋体" w:cs="宋体"/>
                <w:snapToGrid w:val="0"/>
                <w:color w:val="auto"/>
                <w:spacing w:val="-8"/>
                <w:kern w:val="0"/>
                <w:sz w:val="21"/>
                <w:szCs w:val="21"/>
                <w:highlight w:val="none"/>
              </w:rPr>
              <w:t>OVATION</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1" w:firstLine="0"/>
              <w:jc w:val="center"/>
              <w:rPr>
                <w:rFonts w:hint="default" w:ascii="宋体" w:hAnsi="宋体" w:eastAsia="宋体" w:cs="宋体"/>
                <w:snapToGrid w:val="0"/>
                <w:color w:val="auto"/>
                <w:spacing w:val="-8"/>
                <w:kern w:val="0"/>
                <w:sz w:val="21"/>
                <w:szCs w:val="21"/>
                <w:highlight w:val="none"/>
                <w:lang w:val="en-US" w:eastAsia="zh-CN"/>
              </w:rPr>
            </w:pPr>
          </w:p>
        </w:tc>
      </w:tr>
      <w:tr>
        <w:tblPrEx>
          <w:tblCellMar>
            <w:top w:w="0" w:type="dxa"/>
            <w:left w:w="108" w:type="dxa"/>
            <w:bottom w:w="0" w:type="dxa"/>
            <w:right w:w="96" w:type="dxa"/>
          </w:tblCellMar>
        </w:tblPrEx>
        <w:trPr>
          <w:trHeight w:val="719" w:hRule="atLeast"/>
        </w:trPr>
        <w:tc>
          <w:tcPr>
            <w:tcW w:w="849"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leftChars="0" w:right="9" w:rightChars="0" w:firstLine="0" w:firstLineChars="0"/>
              <w:jc w:val="center"/>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val="en-US" w:eastAsia="zh-CN"/>
              </w:rPr>
              <w:t>9</w:t>
            </w:r>
          </w:p>
        </w:tc>
        <w:tc>
          <w:tcPr>
            <w:tcW w:w="212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leftChars="0" w:firstLine="0" w:firstLineChars="0"/>
              <w:jc w:val="center"/>
              <w:rPr>
                <w:rFonts w:hint="default"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val="en-US" w:eastAsia="zh-CN"/>
              </w:rPr>
              <w:t>ABB气动执行机构（双作用）</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leftChars="0" w:firstLine="0" w:firstLineChars="0"/>
              <w:jc w:val="center"/>
              <w:rPr>
                <w:rFonts w:ascii="宋体" w:hAnsi="宋体" w:eastAsia="宋体" w:cs="宋体"/>
                <w:snapToGrid w:val="0"/>
                <w:color w:val="auto"/>
                <w:spacing w:val="-8"/>
                <w:kern w:val="0"/>
                <w:sz w:val="21"/>
                <w:szCs w:val="21"/>
                <w:highlight w:val="none"/>
                <w:lang w:val="en-US" w:eastAsia="en-US" w:bidi="ar-SA"/>
              </w:rPr>
            </w:pPr>
            <w:r>
              <w:rPr>
                <w:rFonts w:hint="eastAsia" w:ascii="宋体" w:hAnsi="宋体" w:eastAsia="宋体" w:cs="宋体"/>
                <w:snapToGrid w:val="0"/>
                <w:color w:val="auto"/>
                <w:spacing w:val="-8"/>
                <w:kern w:val="0"/>
                <w:sz w:val="21"/>
                <w:szCs w:val="21"/>
                <w:highlight w:val="none"/>
                <w:lang w:val="en-US" w:eastAsia="zh-CN"/>
              </w:rPr>
              <w:t>V18345-1010551001</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4" w:leftChars="0" w:firstLine="0" w:firstLineChars="0"/>
              <w:jc w:val="center"/>
              <w:rPr>
                <w:rFonts w:ascii="宋体" w:hAnsi="宋体" w:eastAsia="宋体" w:cs="宋体"/>
                <w:snapToGrid w:val="0"/>
                <w:color w:val="auto"/>
                <w:spacing w:val="-8"/>
                <w:kern w:val="0"/>
                <w:sz w:val="21"/>
                <w:szCs w:val="21"/>
                <w:highlight w:val="none"/>
                <w:lang w:val="en-US" w:eastAsia="en-US" w:bidi="ar-SA"/>
              </w:rPr>
            </w:pP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leftChars="0" w:firstLine="0" w:firstLineChars="0"/>
              <w:jc w:val="center"/>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val="en-US" w:eastAsia="zh-CN"/>
              </w:rPr>
              <w:t>2台</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leftChars="0" w:firstLine="0" w:firstLineChars="0"/>
              <w:jc w:val="center"/>
              <w:rPr>
                <w:rFonts w:ascii="宋体" w:hAnsi="宋体" w:eastAsia="宋体" w:cs="宋体"/>
                <w:snapToGrid w:val="0"/>
                <w:color w:val="auto"/>
                <w:spacing w:val="-8"/>
                <w:kern w:val="0"/>
                <w:sz w:val="21"/>
                <w:szCs w:val="21"/>
                <w:highlight w:val="none"/>
                <w:lang w:val="en-US" w:eastAsia="en-US" w:bidi="ar-SA"/>
              </w:rPr>
            </w:pPr>
            <w:r>
              <w:rPr>
                <w:rFonts w:hint="eastAsia" w:ascii="宋体" w:hAnsi="宋体" w:eastAsia="宋体" w:cs="宋体"/>
                <w:snapToGrid w:val="0"/>
                <w:color w:val="auto"/>
                <w:spacing w:val="-8"/>
                <w:kern w:val="0"/>
                <w:sz w:val="21"/>
                <w:szCs w:val="21"/>
                <w:highlight w:val="none"/>
                <w:lang w:val="en-US" w:eastAsia="en-US" w:bidi="ar-SA"/>
              </w:rPr>
              <w:t>ABB、FISHER、西门子</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1" w:firstLine="0"/>
              <w:jc w:val="center"/>
              <w:rPr>
                <w:rFonts w:hint="eastAsia" w:ascii="宋体" w:hAnsi="宋体" w:eastAsia="宋体" w:cs="宋体"/>
                <w:snapToGrid w:val="0"/>
                <w:color w:val="auto"/>
                <w:spacing w:val="-8"/>
                <w:kern w:val="0"/>
                <w:sz w:val="21"/>
                <w:szCs w:val="21"/>
                <w:highlight w:val="none"/>
                <w:lang w:val="en-US" w:eastAsia="zh-CN"/>
              </w:rPr>
            </w:pPr>
          </w:p>
        </w:tc>
      </w:tr>
      <w:tr>
        <w:tblPrEx>
          <w:tblCellMar>
            <w:top w:w="0" w:type="dxa"/>
            <w:left w:w="108" w:type="dxa"/>
            <w:bottom w:w="0" w:type="dxa"/>
            <w:right w:w="96" w:type="dxa"/>
          </w:tblCellMar>
        </w:tblPrEx>
        <w:trPr>
          <w:trHeight w:val="719" w:hRule="atLeast"/>
        </w:trPr>
        <w:tc>
          <w:tcPr>
            <w:tcW w:w="849"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leftChars="0" w:right="9" w:rightChars="0" w:firstLine="0" w:firstLineChars="0"/>
              <w:jc w:val="center"/>
              <w:rPr>
                <w:rFonts w:hint="default"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val="en-US" w:eastAsia="zh-CN"/>
              </w:rPr>
              <w:t>10</w:t>
            </w:r>
          </w:p>
        </w:tc>
        <w:tc>
          <w:tcPr>
            <w:tcW w:w="212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leftChars="0" w:firstLine="0" w:firstLineChars="0"/>
              <w:jc w:val="center"/>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val="en-US" w:eastAsia="zh-CN"/>
              </w:rPr>
              <w:t>电动执行机构</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leftChars="0" w:firstLine="0" w:firstLineChars="0"/>
              <w:jc w:val="center"/>
              <w:rPr>
                <w:rFonts w:ascii="宋体" w:hAnsi="宋体" w:eastAsia="宋体" w:cs="宋体"/>
                <w:snapToGrid w:val="0"/>
                <w:color w:val="auto"/>
                <w:spacing w:val="-8"/>
                <w:kern w:val="0"/>
                <w:sz w:val="21"/>
                <w:szCs w:val="21"/>
                <w:highlight w:val="none"/>
                <w:lang w:val="en-US" w:eastAsia="en-US" w:bidi="ar-SA"/>
              </w:rPr>
            </w:pPr>
            <w:r>
              <w:rPr>
                <w:rFonts w:hint="eastAsia" w:ascii="宋体" w:hAnsi="宋体" w:eastAsia="宋体" w:cs="宋体"/>
                <w:snapToGrid w:val="0"/>
                <w:color w:val="auto"/>
                <w:spacing w:val="-8"/>
                <w:kern w:val="0"/>
                <w:sz w:val="21"/>
                <w:szCs w:val="21"/>
                <w:highlight w:val="none"/>
                <w:lang w:val="en-US" w:eastAsia="zh-CN" w:bidi="ar-SA"/>
              </w:rPr>
              <w:t>LT012-LS+WOG250-FHA-IC005-GS</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4" w:leftChars="0" w:firstLine="0" w:firstLineChars="0"/>
              <w:jc w:val="center"/>
              <w:rPr>
                <w:rFonts w:ascii="宋体" w:hAnsi="宋体" w:eastAsia="宋体" w:cs="宋体"/>
                <w:snapToGrid w:val="0"/>
                <w:color w:val="auto"/>
                <w:spacing w:val="-8"/>
                <w:kern w:val="0"/>
                <w:sz w:val="21"/>
                <w:szCs w:val="21"/>
                <w:highlight w:val="none"/>
                <w:lang w:val="en-US" w:eastAsia="en-US" w:bidi="ar-SA"/>
              </w:rPr>
            </w:pP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leftChars="0" w:firstLine="0" w:firstLineChars="0"/>
              <w:jc w:val="center"/>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val="en-US" w:eastAsia="zh-CN"/>
              </w:rPr>
              <w:t>1台</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leftChars="0" w:firstLine="0" w:firstLineChars="0"/>
              <w:jc w:val="center"/>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lang w:val="en-US" w:eastAsia="zh-CN" w:bidi="ar-SA"/>
              </w:rPr>
              <w:t>瑞基、行力、上仪</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1" w:firstLine="0"/>
              <w:jc w:val="center"/>
              <w:rPr>
                <w:rFonts w:hint="default" w:ascii="宋体" w:hAnsi="宋体" w:eastAsia="宋体" w:cs="宋体"/>
                <w:snapToGrid w:val="0"/>
                <w:color w:val="auto"/>
                <w:spacing w:val="-8"/>
                <w:kern w:val="0"/>
                <w:sz w:val="21"/>
                <w:szCs w:val="21"/>
                <w:highlight w:val="none"/>
                <w:lang w:val="en-US" w:eastAsia="zh-CN"/>
              </w:rPr>
            </w:pPr>
          </w:p>
        </w:tc>
      </w:tr>
      <w:tr>
        <w:tblPrEx>
          <w:tblCellMar>
            <w:top w:w="0" w:type="dxa"/>
            <w:left w:w="108" w:type="dxa"/>
            <w:bottom w:w="0" w:type="dxa"/>
            <w:right w:w="96" w:type="dxa"/>
          </w:tblCellMar>
        </w:tblPrEx>
        <w:trPr>
          <w:trHeight w:val="719" w:hRule="atLeast"/>
        </w:trPr>
        <w:tc>
          <w:tcPr>
            <w:tcW w:w="849"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leftChars="0" w:right="9" w:rightChars="0" w:firstLine="0" w:firstLineChars="0"/>
              <w:jc w:val="center"/>
              <w:rPr>
                <w:rFonts w:hint="default" w:ascii="宋体" w:hAnsi="宋体" w:eastAsia="宋体" w:cs="宋体"/>
                <w:snapToGrid w:val="0"/>
                <w:color w:val="auto"/>
                <w:spacing w:val="-8"/>
                <w:kern w:val="0"/>
                <w:sz w:val="21"/>
                <w:szCs w:val="21"/>
                <w:highlight w:val="none"/>
                <w:lang w:val="en-US" w:eastAsia="zh-CN"/>
              </w:rPr>
            </w:pPr>
            <w:r>
              <w:rPr>
                <w:rFonts w:hint="eastAsia" w:ascii="宋体" w:hAnsi="宋体" w:eastAsia="宋体" w:cs="宋体"/>
                <w:snapToGrid w:val="0"/>
                <w:color w:val="auto"/>
                <w:spacing w:val="-8"/>
                <w:kern w:val="0"/>
                <w:sz w:val="21"/>
                <w:szCs w:val="21"/>
                <w:highlight w:val="none"/>
                <w:lang w:val="en-US" w:eastAsia="zh-CN"/>
              </w:rPr>
              <w:t>11</w:t>
            </w:r>
          </w:p>
        </w:tc>
        <w:tc>
          <w:tcPr>
            <w:tcW w:w="212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0" w:leftChars="0" w:firstLine="0" w:firstLineChars="0"/>
              <w:jc w:val="center"/>
              <w:rPr>
                <w:rFonts w:hint="eastAsia" w:ascii="宋体" w:hAnsi="宋体" w:eastAsia="宋体" w:cs="宋体"/>
                <w:snapToGrid w:val="0"/>
                <w:color w:val="auto"/>
                <w:spacing w:val="-8"/>
                <w:kern w:val="0"/>
                <w:sz w:val="21"/>
                <w:szCs w:val="21"/>
                <w:highlight w:val="none"/>
                <w:lang w:val="en-US" w:eastAsia="zh-CN"/>
              </w:rPr>
            </w:pPr>
            <w:r>
              <w:rPr>
                <w:rFonts w:hint="eastAsia" w:ascii="宋体" w:hAnsi="宋体" w:eastAsia="宋体" w:cs="宋体"/>
                <w:color w:val="auto"/>
                <w:sz w:val="20"/>
                <w:szCs w:val="20"/>
                <w:highlight w:val="none"/>
                <w:lang w:val="en-US" w:eastAsia="zh-CN"/>
              </w:rPr>
              <w:t>KDF-3管道氧化物磁性检测仪/FE-201</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leftChars="0" w:firstLine="0" w:firstLineChars="0"/>
              <w:jc w:val="center"/>
              <w:rPr>
                <w:rFonts w:hint="eastAsia" w:ascii="宋体" w:hAnsi="宋体" w:eastAsia="宋体" w:cs="宋体"/>
                <w:snapToGrid w:val="0"/>
                <w:color w:val="auto"/>
                <w:spacing w:val="-8"/>
                <w:kern w:val="0"/>
                <w:sz w:val="21"/>
                <w:szCs w:val="21"/>
                <w:highlight w:val="none"/>
              </w:rPr>
            </w:pPr>
            <w:r>
              <w:rPr>
                <w:rFonts w:hint="eastAsia" w:ascii="宋体" w:hAnsi="宋体" w:eastAsia="宋体" w:cs="宋体"/>
                <w:snapToGrid w:val="0"/>
                <w:color w:val="auto"/>
                <w:spacing w:val="-8"/>
                <w:kern w:val="0"/>
                <w:sz w:val="21"/>
                <w:szCs w:val="21"/>
                <w:highlight w:val="none"/>
              </w:rPr>
              <w:t>\(OVATION)5X00119G01</w:t>
            </w:r>
          </w:p>
          <w:p>
            <w:pPr>
              <w:spacing w:after="0" w:line="259" w:lineRule="auto"/>
              <w:ind w:left="92" w:leftChars="0" w:firstLine="0" w:firstLineChars="0"/>
              <w:jc w:val="center"/>
              <w:rPr>
                <w:rFonts w:ascii="宋体" w:hAnsi="宋体" w:eastAsia="宋体" w:cs="宋体"/>
                <w:snapToGrid w:val="0"/>
                <w:color w:val="auto"/>
                <w:spacing w:val="-8"/>
                <w:kern w:val="0"/>
                <w:sz w:val="21"/>
                <w:szCs w:val="21"/>
                <w:highlight w:val="none"/>
                <w:lang w:val="en-US" w:eastAsia="en-US" w:bidi="ar-SA"/>
              </w:rPr>
            </w:pPr>
            <w:r>
              <w:rPr>
                <w:rFonts w:hint="eastAsia" w:ascii="宋体" w:hAnsi="宋体" w:eastAsia="宋体" w:cs="宋体"/>
                <w:snapToGrid w:val="0"/>
                <w:color w:val="auto"/>
                <w:spacing w:val="-8"/>
                <w:kern w:val="0"/>
                <w:sz w:val="21"/>
                <w:szCs w:val="21"/>
                <w:highlight w:val="none"/>
              </w:rPr>
              <w:t>\(OVATION)5X00121G01</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overflowPunct w:val="0"/>
              <w:spacing w:line="360" w:lineRule="auto"/>
              <w:ind w:left="10" w:leftChars="0" w:hanging="10" w:firstLineChars="0"/>
              <w:jc w:val="center"/>
              <w:textAlignment w:val="bottom"/>
              <w:rPr>
                <w:rFonts w:ascii="宋体" w:hAnsi="宋体" w:eastAsia="宋体" w:cs="宋体"/>
                <w:snapToGrid w:val="0"/>
                <w:color w:val="auto"/>
                <w:spacing w:val="-8"/>
                <w:kern w:val="0"/>
                <w:sz w:val="21"/>
                <w:szCs w:val="21"/>
                <w:highlight w:val="none"/>
                <w:lang w:val="en-US" w:eastAsia="en-US" w:bidi="ar-SA"/>
              </w:rPr>
            </w:pP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overflowPunct w:val="0"/>
              <w:spacing w:line="360" w:lineRule="auto"/>
              <w:ind w:left="10" w:leftChars="0" w:hanging="10" w:firstLineChars="0"/>
              <w:jc w:val="center"/>
              <w:textAlignment w:val="bottom"/>
              <w:rPr>
                <w:rFonts w:hint="default" w:ascii="宋体" w:hAnsi="宋体" w:eastAsia="宋体" w:cs="宋体"/>
                <w:snapToGrid w:val="0"/>
                <w:color w:val="auto"/>
                <w:spacing w:val="-8"/>
                <w:kern w:val="0"/>
                <w:sz w:val="21"/>
                <w:szCs w:val="21"/>
                <w:highlight w:val="none"/>
                <w:lang w:val="en-US" w:eastAsia="zh-CN"/>
              </w:rPr>
            </w:pPr>
            <w:r>
              <w:rPr>
                <w:rFonts w:hint="eastAsia" w:ascii="宋体" w:hAnsi="宋体" w:eastAsia="宋体" w:cs="宋体"/>
                <w:snapToGrid w:val="0"/>
                <w:color w:val="auto"/>
                <w:spacing w:val="-8"/>
                <w:kern w:val="0"/>
                <w:sz w:val="21"/>
                <w:szCs w:val="21"/>
                <w:highlight w:val="none"/>
                <w:lang w:val="en-US" w:eastAsia="zh-CN"/>
              </w:rPr>
              <w:t>2</w:t>
            </w:r>
            <w:r>
              <w:rPr>
                <w:rFonts w:hint="eastAsia" w:ascii="宋体" w:hAnsi="宋体" w:eastAsia="宋体" w:cs="宋体"/>
                <w:snapToGrid w:val="0"/>
                <w:color w:val="auto"/>
                <w:spacing w:val="-8"/>
                <w:kern w:val="0"/>
                <w:sz w:val="21"/>
                <w:szCs w:val="21"/>
                <w:highlight w:val="none"/>
                <w:lang w:eastAsia="zh-CN"/>
              </w:rPr>
              <w:t>套</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2" w:leftChars="0" w:firstLine="0" w:firstLineChars="0"/>
              <w:jc w:val="center"/>
              <w:rPr>
                <w:rFonts w:hint="eastAsia" w:ascii="宋体" w:hAnsi="宋体" w:eastAsia="宋体" w:cs="宋体"/>
                <w:snapToGrid w:val="0"/>
                <w:color w:val="auto"/>
                <w:spacing w:val="-8"/>
                <w:kern w:val="0"/>
                <w:sz w:val="21"/>
                <w:szCs w:val="21"/>
                <w:highlight w:val="none"/>
                <w:lang w:val="en-US" w:eastAsia="zh-CN" w:bidi="ar-SA"/>
              </w:rPr>
            </w:pPr>
            <w:r>
              <w:rPr>
                <w:rFonts w:hint="eastAsia" w:ascii="宋体" w:hAnsi="宋体" w:eastAsia="宋体" w:cs="宋体"/>
                <w:snapToGrid w:val="0"/>
                <w:color w:val="auto"/>
                <w:spacing w:val="-8"/>
                <w:kern w:val="0"/>
                <w:sz w:val="21"/>
                <w:szCs w:val="21"/>
                <w:highlight w:val="none"/>
              </w:rPr>
              <w:t>OVATION</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spacing w:after="0" w:line="259" w:lineRule="auto"/>
              <w:ind w:left="91" w:firstLine="0"/>
              <w:jc w:val="center"/>
              <w:rPr>
                <w:rFonts w:hint="default" w:ascii="宋体" w:hAnsi="宋体" w:eastAsia="宋体" w:cs="宋体"/>
                <w:snapToGrid w:val="0"/>
                <w:color w:val="auto"/>
                <w:spacing w:val="-8"/>
                <w:kern w:val="0"/>
                <w:sz w:val="21"/>
                <w:szCs w:val="21"/>
                <w:highlight w:val="none"/>
                <w:lang w:val="en-US" w:eastAsia="zh-CN"/>
              </w:rPr>
            </w:pPr>
          </w:p>
        </w:tc>
      </w:tr>
    </w:tbl>
    <w:p>
      <w:pPr>
        <w:spacing w:line="360" w:lineRule="auto"/>
        <w:ind w:firstLine="480" w:firstLineChars="200"/>
        <w:rPr>
          <w:rFonts w:hint="default" w:hAnsi="宋体"/>
          <w:color w:val="auto"/>
          <w:sz w:val="24"/>
          <w:szCs w:val="24"/>
          <w:highlight w:val="none"/>
          <w:lang w:val="en-US" w:eastAsia="zh-CN"/>
        </w:rPr>
      </w:pPr>
    </w:p>
    <w:p>
      <w:pPr>
        <w:spacing w:before="60" w:line="228" w:lineRule="auto"/>
        <w:ind w:left="44"/>
        <w:outlineLvl w:val="0"/>
        <w:rPr>
          <w:rFonts w:ascii="宋体" w:hAnsi="宋体" w:eastAsia="宋体" w:cs="宋体"/>
          <w:color w:val="auto"/>
          <w:sz w:val="24"/>
          <w:szCs w:val="24"/>
          <w:highlight w:val="none"/>
        </w:rPr>
      </w:pPr>
      <w:r>
        <w:rPr>
          <w:rFonts w:ascii="宋体" w:hAnsi="宋体" w:eastAsia="宋体" w:cs="宋体"/>
          <w:b/>
          <w:bCs/>
          <w:color w:val="auto"/>
          <w:spacing w:val="-2"/>
          <w:sz w:val="24"/>
          <w:szCs w:val="24"/>
          <w:highlight w:val="none"/>
        </w:rPr>
        <w:t>附件三</w:t>
      </w:r>
      <w:r>
        <w:rPr>
          <w:rFonts w:ascii="宋体" w:hAnsi="宋体" w:eastAsia="宋体" w:cs="宋体"/>
          <w:color w:val="auto"/>
          <w:spacing w:val="-2"/>
          <w:sz w:val="24"/>
          <w:szCs w:val="24"/>
          <w:highlight w:val="none"/>
        </w:rPr>
        <w:t xml:space="preserve"> </w:t>
      </w:r>
      <w:r>
        <w:rPr>
          <w:rFonts w:ascii="宋体" w:hAnsi="宋体" w:eastAsia="宋体" w:cs="宋体"/>
          <w:b/>
          <w:bCs/>
          <w:color w:val="auto"/>
          <w:spacing w:val="-2"/>
          <w:sz w:val="24"/>
          <w:szCs w:val="24"/>
          <w:highlight w:val="none"/>
        </w:rPr>
        <w:t>系统设施供货范围</w:t>
      </w:r>
    </w:p>
    <w:p>
      <w:pPr>
        <w:spacing w:line="140" w:lineRule="auto"/>
        <w:rPr>
          <w:rFonts w:ascii="Arial"/>
          <w:color w:val="auto"/>
          <w:sz w:val="2"/>
          <w:highlight w:val="none"/>
        </w:rPr>
      </w:pPr>
    </w:p>
    <w:tbl>
      <w:tblPr>
        <w:tblStyle w:val="11"/>
        <w:tblW w:w="829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32"/>
        <w:gridCol w:w="1317"/>
        <w:gridCol w:w="2308"/>
        <w:gridCol w:w="720"/>
        <w:gridCol w:w="845"/>
        <w:gridCol w:w="1073"/>
        <w:gridCol w:w="120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832" w:type="dxa"/>
            <w:vMerge w:val="restart"/>
            <w:tcBorders>
              <w:bottom w:val="nil"/>
            </w:tcBorders>
            <w:vAlign w:val="top"/>
          </w:tcPr>
          <w:p>
            <w:pPr>
              <w:spacing w:before="217" w:line="230" w:lineRule="auto"/>
              <w:ind w:left="211"/>
              <w:rPr>
                <w:rFonts w:ascii="宋体" w:hAnsi="宋体" w:eastAsia="宋体" w:cs="宋体"/>
                <w:color w:val="auto"/>
                <w:sz w:val="20"/>
                <w:szCs w:val="20"/>
                <w:highlight w:val="none"/>
              </w:rPr>
            </w:pPr>
            <w:r>
              <w:rPr>
                <w:rFonts w:ascii="宋体" w:hAnsi="宋体" w:eastAsia="宋体" w:cs="宋体"/>
                <w:color w:val="auto"/>
                <w:spacing w:val="5"/>
                <w:sz w:val="20"/>
                <w:szCs w:val="20"/>
                <w:highlight w:val="none"/>
              </w:rPr>
              <w:t>序号</w:t>
            </w:r>
          </w:p>
        </w:tc>
        <w:tc>
          <w:tcPr>
            <w:tcW w:w="1317" w:type="dxa"/>
            <w:vMerge w:val="restart"/>
            <w:tcBorders>
              <w:bottom w:val="nil"/>
            </w:tcBorders>
            <w:vAlign w:val="top"/>
          </w:tcPr>
          <w:p>
            <w:pPr>
              <w:spacing w:before="217" w:line="228" w:lineRule="auto"/>
              <w:ind w:left="452"/>
              <w:rPr>
                <w:rFonts w:ascii="宋体" w:hAnsi="宋体" w:eastAsia="宋体" w:cs="宋体"/>
                <w:color w:val="auto"/>
                <w:sz w:val="20"/>
                <w:szCs w:val="20"/>
                <w:highlight w:val="none"/>
              </w:rPr>
            </w:pPr>
            <w:r>
              <w:rPr>
                <w:rFonts w:ascii="宋体" w:hAnsi="宋体" w:eastAsia="宋体" w:cs="宋体"/>
                <w:color w:val="auto"/>
                <w:spacing w:val="5"/>
                <w:sz w:val="20"/>
                <w:szCs w:val="20"/>
                <w:highlight w:val="none"/>
              </w:rPr>
              <w:t>代号</w:t>
            </w:r>
          </w:p>
        </w:tc>
        <w:tc>
          <w:tcPr>
            <w:tcW w:w="2308" w:type="dxa"/>
            <w:vMerge w:val="restart"/>
            <w:tcBorders>
              <w:bottom w:val="nil"/>
            </w:tcBorders>
            <w:vAlign w:val="top"/>
          </w:tcPr>
          <w:p>
            <w:pPr>
              <w:spacing w:before="216" w:line="231" w:lineRule="auto"/>
              <w:ind w:left="950"/>
              <w:rPr>
                <w:rFonts w:ascii="宋体" w:hAnsi="宋体" w:eastAsia="宋体" w:cs="宋体"/>
                <w:color w:val="auto"/>
                <w:sz w:val="20"/>
                <w:szCs w:val="20"/>
                <w:highlight w:val="none"/>
              </w:rPr>
            </w:pPr>
            <w:r>
              <w:rPr>
                <w:rFonts w:ascii="宋体" w:hAnsi="宋体" w:eastAsia="宋体" w:cs="宋体"/>
                <w:color w:val="auto"/>
                <w:spacing w:val="3"/>
                <w:sz w:val="20"/>
                <w:szCs w:val="20"/>
                <w:highlight w:val="none"/>
              </w:rPr>
              <w:t>名称</w:t>
            </w:r>
          </w:p>
        </w:tc>
        <w:tc>
          <w:tcPr>
            <w:tcW w:w="720" w:type="dxa"/>
            <w:vMerge w:val="restart"/>
            <w:tcBorders>
              <w:bottom w:val="nil"/>
            </w:tcBorders>
            <w:vAlign w:val="top"/>
          </w:tcPr>
          <w:p>
            <w:pPr>
              <w:spacing w:before="217" w:line="228" w:lineRule="auto"/>
              <w:ind w:left="156"/>
              <w:rPr>
                <w:rFonts w:ascii="宋体" w:hAnsi="宋体" w:eastAsia="宋体" w:cs="宋体"/>
                <w:color w:val="auto"/>
                <w:sz w:val="20"/>
                <w:szCs w:val="20"/>
                <w:highlight w:val="none"/>
              </w:rPr>
            </w:pPr>
            <w:r>
              <w:rPr>
                <w:rFonts w:ascii="宋体" w:hAnsi="宋体" w:eastAsia="宋体" w:cs="宋体"/>
                <w:color w:val="auto"/>
                <w:spacing w:val="3"/>
                <w:sz w:val="20"/>
                <w:szCs w:val="20"/>
                <w:highlight w:val="none"/>
              </w:rPr>
              <w:t>数量</w:t>
            </w:r>
          </w:p>
        </w:tc>
        <w:tc>
          <w:tcPr>
            <w:tcW w:w="845" w:type="dxa"/>
            <w:vMerge w:val="restart"/>
            <w:tcBorders>
              <w:bottom w:val="nil"/>
            </w:tcBorders>
            <w:vAlign w:val="top"/>
          </w:tcPr>
          <w:p>
            <w:pPr>
              <w:spacing w:before="216" w:line="228" w:lineRule="auto"/>
              <w:ind w:left="219"/>
              <w:rPr>
                <w:rFonts w:ascii="宋体" w:hAnsi="宋体" w:eastAsia="宋体" w:cs="宋体"/>
                <w:color w:val="auto"/>
                <w:sz w:val="20"/>
                <w:szCs w:val="20"/>
                <w:highlight w:val="none"/>
              </w:rPr>
            </w:pPr>
            <w:r>
              <w:rPr>
                <w:rFonts w:ascii="宋体" w:hAnsi="宋体" w:eastAsia="宋体" w:cs="宋体"/>
                <w:color w:val="auto"/>
                <w:spacing w:val="4"/>
                <w:sz w:val="20"/>
                <w:szCs w:val="20"/>
                <w:highlight w:val="none"/>
              </w:rPr>
              <w:t>材料</w:t>
            </w:r>
          </w:p>
        </w:tc>
        <w:tc>
          <w:tcPr>
            <w:tcW w:w="2277" w:type="dxa"/>
            <w:gridSpan w:val="2"/>
            <w:vAlign w:val="top"/>
          </w:tcPr>
          <w:p>
            <w:pPr>
              <w:spacing w:before="56" w:line="223" w:lineRule="auto"/>
              <w:ind w:left="517"/>
              <w:rPr>
                <w:rFonts w:ascii="宋体" w:hAnsi="宋体" w:eastAsia="宋体" w:cs="宋体"/>
                <w:color w:val="auto"/>
                <w:sz w:val="20"/>
                <w:szCs w:val="20"/>
                <w:highlight w:val="none"/>
              </w:rPr>
            </w:pPr>
            <w:r>
              <w:rPr>
                <w:rFonts w:ascii="宋体" w:hAnsi="宋体" w:eastAsia="宋体" w:cs="宋体"/>
                <w:color w:val="auto"/>
                <w:spacing w:val="7"/>
                <w:sz w:val="20"/>
                <w:szCs w:val="20"/>
                <w:highlight w:val="none"/>
              </w:rPr>
              <w:t>总质量（</w:t>
            </w:r>
            <w:r>
              <w:rPr>
                <w:rFonts w:ascii="宋体" w:hAnsi="宋体" w:eastAsia="宋体" w:cs="宋体"/>
                <w:color w:val="auto"/>
                <w:sz w:val="20"/>
                <w:szCs w:val="20"/>
                <w:highlight w:val="none"/>
              </w:rPr>
              <w:t>kg</w:t>
            </w:r>
            <w:r>
              <w:rPr>
                <w:rFonts w:ascii="宋体" w:hAnsi="宋体" w:eastAsia="宋体" w:cs="宋体"/>
                <w:color w:val="auto"/>
                <w:spacing w:val="7"/>
                <w:sz w:val="20"/>
                <w:szCs w:val="20"/>
                <w:highlight w:val="none"/>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832" w:type="dxa"/>
            <w:vMerge w:val="continue"/>
            <w:tcBorders>
              <w:top w:val="nil"/>
            </w:tcBorders>
            <w:vAlign w:val="top"/>
          </w:tcPr>
          <w:p>
            <w:pPr>
              <w:pStyle w:val="12"/>
              <w:rPr>
                <w:color w:val="auto"/>
                <w:highlight w:val="none"/>
              </w:rPr>
            </w:pPr>
          </w:p>
        </w:tc>
        <w:tc>
          <w:tcPr>
            <w:tcW w:w="1317" w:type="dxa"/>
            <w:vMerge w:val="continue"/>
            <w:tcBorders>
              <w:top w:val="nil"/>
            </w:tcBorders>
            <w:vAlign w:val="top"/>
          </w:tcPr>
          <w:p>
            <w:pPr>
              <w:pStyle w:val="12"/>
              <w:rPr>
                <w:color w:val="auto"/>
                <w:highlight w:val="none"/>
              </w:rPr>
            </w:pPr>
          </w:p>
        </w:tc>
        <w:tc>
          <w:tcPr>
            <w:tcW w:w="2308" w:type="dxa"/>
            <w:vMerge w:val="continue"/>
            <w:tcBorders>
              <w:top w:val="nil"/>
            </w:tcBorders>
            <w:vAlign w:val="top"/>
          </w:tcPr>
          <w:p>
            <w:pPr>
              <w:pStyle w:val="12"/>
              <w:rPr>
                <w:color w:val="auto"/>
                <w:highlight w:val="none"/>
              </w:rPr>
            </w:pPr>
          </w:p>
        </w:tc>
        <w:tc>
          <w:tcPr>
            <w:tcW w:w="720" w:type="dxa"/>
            <w:vMerge w:val="continue"/>
            <w:tcBorders>
              <w:top w:val="nil"/>
            </w:tcBorders>
            <w:vAlign w:val="top"/>
          </w:tcPr>
          <w:p>
            <w:pPr>
              <w:pStyle w:val="12"/>
              <w:rPr>
                <w:color w:val="auto"/>
                <w:highlight w:val="none"/>
              </w:rPr>
            </w:pPr>
          </w:p>
        </w:tc>
        <w:tc>
          <w:tcPr>
            <w:tcW w:w="845" w:type="dxa"/>
            <w:vMerge w:val="continue"/>
            <w:tcBorders>
              <w:top w:val="nil"/>
            </w:tcBorders>
            <w:vAlign w:val="top"/>
          </w:tcPr>
          <w:p>
            <w:pPr>
              <w:pStyle w:val="12"/>
              <w:rPr>
                <w:color w:val="auto"/>
                <w:highlight w:val="none"/>
              </w:rPr>
            </w:pPr>
          </w:p>
        </w:tc>
        <w:tc>
          <w:tcPr>
            <w:tcW w:w="1073" w:type="dxa"/>
            <w:vAlign w:val="top"/>
          </w:tcPr>
          <w:p>
            <w:pPr>
              <w:spacing w:before="52" w:line="229" w:lineRule="auto"/>
              <w:ind w:left="336"/>
              <w:rPr>
                <w:rFonts w:ascii="宋体" w:hAnsi="宋体" w:eastAsia="宋体" w:cs="宋体"/>
                <w:color w:val="auto"/>
                <w:sz w:val="20"/>
                <w:szCs w:val="20"/>
                <w:highlight w:val="none"/>
              </w:rPr>
            </w:pPr>
            <w:r>
              <w:rPr>
                <w:rFonts w:ascii="宋体" w:hAnsi="宋体" w:eastAsia="宋体" w:cs="宋体"/>
                <w:color w:val="auto"/>
                <w:spacing w:val="3"/>
                <w:sz w:val="20"/>
                <w:szCs w:val="20"/>
                <w:highlight w:val="none"/>
              </w:rPr>
              <w:t>单重</w:t>
            </w:r>
          </w:p>
        </w:tc>
        <w:tc>
          <w:tcPr>
            <w:tcW w:w="1204" w:type="dxa"/>
            <w:vAlign w:val="top"/>
          </w:tcPr>
          <w:p>
            <w:pPr>
              <w:spacing w:before="52" w:line="235" w:lineRule="auto"/>
              <w:ind w:left="399"/>
              <w:rPr>
                <w:rFonts w:ascii="宋体" w:hAnsi="宋体" w:eastAsia="宋体" w:cs="宋体"/>
                <w:color w:val="auto"/>
                <w:sz w:val="20"/>
                <w:szCs w:val="20"/>
                <w:highlight w:val="none"/>
              </w:rPr>
            </w:pPr>
            <w:r>
              <w:rPr>
                <w:rFonts w:ascii="宋体" w:hAnsi="宋体" w:eastAsia="宋体" w:cs="宋体"/>
                <w:color w:val="auto"/>
                <w:spacing w:val="3"/>
                <w:sz w:val="20"/>
                <w:szCs w:val="20"/>
                <w:highlight w:val="none"/>
              </w:rPr>
              <w:t>总重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6" w:hRule="atLeast"/>
        </w:trPr>
        <w:tc>
          <w:tcPr>
            <w:tcW w:w="832" w:type="dxa"/>
            <w:vAlign w:val="top"/>
          </w:tcPr>
          <w:p>
            <w:pPr>
              <w:spacing w:before="65" w:line="190" w:lineRule="auto"/>
              <w:ind w:left="247"/>
              <w:rPr>
                <w:rFonts w:hint="eastAsia" w:ascii="宋体" w:hAnsi="宋体" w:eastAsia="宋体" w:cs="宋体"/>
                <w:color w:val="auto"/>
                <w:sz w:val="20"/>
                <w:szCs w:val="20"/>
                <w:highlight w:val="none"/>
                <w:lang w:val="en-US" w:eastAsia="zh-CN"/>
              </w:rPr>
            </w:pPr>
          </w:p>
          <w:p>
            <w:pPr>
              <w:spacing w:before="65" w:line="190" w:lineRule="auto"/>
              <w:ind w:left="247"/>
              <w:rPr>
                <w:rFonts w:hint="eastAsia" w:ascii="宋体" w:hAnsi="宋体" w:eastAsia="宋体" w:cs="宋体"/>
                <w:color w:val="auto"/>
                <w:sz w:val="20"/>
                <w:szCs w:val="20"/>
                <w:highlight w:val="none"/>
                <w:lang w:val="en-US" w:eastAsia="zh-CN"/>
              </w:rPr>
            </w:pPr>
          </w:p>
          <w:p>
            <w:pPr>
              <w:spacing w:before="65" w:line="190" w:lineRule="auto"/>
              <w:ind w:left="247"/>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1</w:t>
            </w:r>
          </w:p>
        </w:tc>
        <w:tc>
          <w:tcPr>
            <w:tcW w:w="1317" w:type="dxa"/>
            <w:vAlign w:val="top"/>
          </w:tcPr>
          <w:p>
            <w:pPr>
              <w:spacing w:before="65" w:line="190" w:lineRule="auto"/>
              <w:ind w:left="247"/>
              <w:rPr>
                <w:rFonts w:hint="eastAsia" w:ascii="宋体" w:hAnsi="宋体" w:eastAsia="宋体" w:cs="宋体"/>
                <w:color w:val="auto"/>
                <w:sz w:val="20"/>
                <w:szCs w:val="20"/>
                <w:highlight w:val="none"/>
                <w:lang w:val="en-US" w:eastAsia="zh-CN"/>
              </w:rPr>
            </w:pPr>
          </w:p>
          <w:p>
            <w:pPr>
              <w:spacing w:before="65" w:line="190" w:lineRule="auto"/>
              <w:ind w:left="247"/>
              <w:rPr>
                <w:rFonts w:hint="eastAsia" w:ascii="宋体" w:hAnsi="宋体" w:eastAsia="宋体" w:cs="宋体"/>
                <w:color w:val="auto"/>
                <w:sz w:val="20"/>
                <w:szCs w:val="20"/>
                <w:highlight w:val="none"/>
                <w:lang w:val="en-US" w:eastAsia="zh-CN"/>
              </w:rPr>
            </w:pPr>
          </w:p>
          <w:p>
            <w:pPr>
              <w:spacing w:before="65" w:line="190" w:lineRule="auto"/>
              <w:ind w:left="247"/>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70406770</w:t>
            </w:r>
          </w:p>
        </w:tc>
        <w:tc>
          <w:tcPr>
            <w:tcW w:w="2308" w:type="dxa"/>
            <w:vAlign w:val="top"/>
          </w:tcPr>
          <w:p>
            <w:pPr>
              <w:spacing w:before="65" w:line="190" w:lineRule="auto"/>
              <w:ind w:left="247"/>
              <w:rPr>
                <w:rFonts w:hint="eastAsia" w:ascii="宋体" w:hAnsi="宋体" w:eastAsia="宋体" w:cs="宋体"/>
                <w:color w:val="auto"/>
                <w:sz w:val="20"/>
                <w:szCs w:val="20"/>
                <w:highlight w:val="none"/>
                <w:lang w:eastAsia="zh-CN"/>
              </w:rPr>
            </w:pPr>
          </w:p>
          <w:p>
            <w:pPr>
              <w:spacing w:before="65" w:line="190" w:lineRule="auto"/>
              <w:ind w:left="247"/>
              <w:rPr>
                <w:rFonts w:hint="eastAsia" w:ascii="宋体" w:hAnsi="宋体" w:eastAsia="宋体" w:cs="宋体"/>
                <w:color w:val="auto"/>
                <w:sz w:val="20"/>
                <w:szCs w:val="20"/>
                <w:highlight w:val="none"/>
                <w:lang w:eastAsia="zh-CN"/>
              </w:rPr>
            </w:pPr>
            <w:r>
              <w:rPr>
                <w:rFonts w:hint="eastAsia" w:ascii="宋体" w:hAnsi="宋体" w:eastAsia="宋体" w:cs="宋体"/>
                <w:color w:val="auto"/>
                <w:sz w:val="20"/>
                <w:szCs w:val="20"/>
                <w:highlight w:val="none"/>
                <w:lang w:eastAsia="zh-CN"/>
              </w:rPr>
              <w:t>锅炉送风机暖风器组件\FAF19-10-1 4000×3200/组件</w:t>
            </w:r>
          </w:p>
        </w:tc>
        <w:tc>
          <w:tcPr>
            <w:tcW w:w="720" w:type="dxa"/>
            <w:vAlign w:val="top"/>
          </w:tcPr>
          <w:p>
            <w:pPr>
              <w:spacing w:before="65" w:line="190" w:lineRule="auto"/>
              <w:ind w:left="247"/>
              <w:rPr>
                <w:rFonts w:hint="eastAsia" w:ascii="宋体" w:hAnsi="宋体" w:eastAsia="宋体" w:cs="宋体"/>
                <w:color w:val="auto"/>
                <w:sz w:val="20"/>
                <w:szCs w:val="20"/>
                <w:highlight w:val="none"/>
                <w:lang w:eastAsia="zh-CN"/>
              </w:rPr>
            </w:pPr>
          </w:p>
          <w:p>
            <w:pPr>
              <w:spacing w:before="65" w:line="190" w:lineRule="auto"/>
              <w:ind w:left="247"/>
              <w:rPr>
                <w:rFonts w:hint="eastAsia" w:ascii="宋体" w:hAnsi="宋体" w:eastAsia="宋体" w:cs="宋体"/>
                <w:color w:val="auto"/>
                <w:sz w:val="20"/>
                <w:szCs w:val="20"/>
                <w:highlight w:val="none"/>
                <w:lang w:eastAsia="zh-CN"/>
              </w:rPr>
            </w:pPr>
          </w:p>
          <w:p>
            <w:pPr>
              <w:spacing w:before="65" w:line="190" w:lineRule="auto"/>
              <w:ind w:left="247"/>
              <w:rPr>
                <w:rFonts w:hint="eastAsia" w:ascii="宋体" w:hAnsi="宋体" w:eastAsia="宋体" w:cs="宋体"/>
                <w:color w:val="auto"/>
                <w:sz w:val="20"/>
                <w:szCs w:val="20"/>
                <w:highlight w:val="none"/>
                <w:lang w:eastAsia="zh-CN"/>
              </w:rPr>
            </w:pPr>
            <w:r>
              <w:rPr>
                <w:rFonts w:hint="eastAsia" w:ascii="宋体" w:hAnsi="宋体" w:eastAsia="宋体" w:cs="宋体"/>
                <w:color w:val="auto"/>
                <w:sz w:val="20"/>
                <w:szCs w:val="20"/>
                <w:highlight w:val="none"/>
                <w:lang w:val="en-US" w:eastAsia="zh-CN"/>
              </w:rPr>
              <w:t>4</w:t>
            </w:r>
            <w:r>
              <w:rPr>
                <w:rFonts w:hint="eastAsia" w:ascii="宋体" w:hAnsi="宋体" w:eastAsia="宋体" w:cs="宋体"/>
                <w:color w:val="auto"/>
                <w:sz w:val="20"/>
                <w:szCs w:val="20"/>
                <w:highlight w:val="none"/>
                <w:lang w:eastAsia="zh-CN"/>
              </w:rPr>
              <w:t>台</w:t>
            </w:r>
          </w:p>
        </w:tc>
        <w:tc>
          <w:tcPr>
            <w:tcW w:w="845" w:type="dxa"/>
            <w:vAlign w:val="top"/>
          </w:tcPr>
          <w:p>
            <w:pPr>
              <w:spacing w:before="65" w:line="190" w:lineRule="auto"/>
              <w:ind w:left="247"/>
              <w:rPr>
                <w:rFonts w:hint="eastAsia" w:ascii="宋体" w:hAnsi="宋体" w:eastAsia="宋体" w:cs="宋体"/>
                <w:color w:val="auto"/>
                <w:sz w:val="20"/>
                <w:szCs w:val="20"/>
                <w:highlight w:val="none"/>
                <w:lang w:eastAsia="zh-CN"/>
              </w:rPr>
            </w:pPr>
            <w:r>
              <w:rPr>
                <w:rFonts w:hint="eastAsia" w:ascii="宋体" w:hAnsi="宋体" w:eastAsia="宋体" w:cs="宋体"/>
                <w:color w:val="auto"/>
                <w:sz w:val="20"/>
                <w:szCs w:val="20"/>
                <w:highlight w:val="none"/>
                <w:lang w:eastAsia="zh-CN"/>
              </w:rPr>
              <w:t>两台炉</w:t>
            </w:r>
            <w:r>
              <w:rPr>
                <w:rFonts w:hint="eastAsia" w:ascii="宋体" w:hAnsi="宋体" w:eastAsia="宋体" w:cs="宋体"/>
                <w:color w:val="auto"/>
                <w:sz w:val="20"/>
                <w:szCs w:val="20"/>
                <w:highlight w:val="none"/>
                <w:lang w:val="en-US" w:eastAsia="zh-CN"/>
              </w:rPr>
              <w:t>4台风机暖风器整套备件</w:t>
            </w:r>
            <w:r>
              <w:rPr>
                <w:rFonts w:hint="eastAsia" w:ascii="宋体" w:hAnsi="宋体" w:eastAsia="宋体" w:cs="宋体"/>
                <w:color w:val="auto"/>
                <w:sz w:val="20"/>
                <w:szCs w:val="20"/>
                <w:highlight w:val="none"/>
                <w:lang w:eastAsia="zh-CN"/>
              </w:rPr>
              <w:t>（含电气、热控等附件）</w:t>
            </w:r>
          </w:p>
        </w:tc>
        <w:tc>
          <w:tcPr>
            <w:tcW w:w="1073" w:type="dxa"/>
            <w:vAlign w:val="top"/>
          </w:tcPr>
          <w:p>
            <w:pPr>
              <w:pStyle w:val="12"/>
              <w:spacing w:line="265" w:lineRule="auto"/>
              <w:rPr>
                <w:color w:val="auto"/>
                <w:highlight w:val="none"/>
              </w:rPr>
            </w:pPr>
          </w:p>
          <w:p>
            <w:pPr>
              <w:pStyle w:val="12"/>
              <w:spacing w:line="266" w:lineRule="auto"/>
              <w:rPr>
                <w:color w:val="auto"/>
                <w:highlight w:val="none"/>
              </w:rPr>
            </w:pPr>
          </w:p>
          <w:p>
            <w:pPr>
              <w:spacing w:before="65" w:line="233" w:lineRule="auto"/>
              <w:ind w:left="489"/>
              <w:rPr>
                <w:rFonts w:ascii="宋体" w:hAnsi="宋体" w:eastAsia="宋体" w:cs="宋体"/>
                <w:color w:val="auto"/>
                <w:sz w:val="20"/>
                <w:szCs w:val="20"/>
                <w:highlight w:val="none"/>
              </w:rPr>
            </w:pPr>
            <w:r>
              <w:rPr>
                <w:rFonts w:ascii="宋体" w:hAnsi="宋体" w:eastAsia="宋体" w:cs="宋体"/>
                <w:color w:val="auto"/>
                <w:sz w:val="20"/>
                <w:szCs w:val="20"/>
                <w:highlight w:val="none"/>
              </w:rPr>
              <w:t>/</w:t>
            </w:r>
          </w:p>
        </w:tc>
        <w:tc>
          <w:tcPr>
            <w:tcW w:w="1204" w:type="dxa"/>
            <w:vAlign w:val="top"/>
          </w:tcPr>
          <w:p>
            <w:pPr>
              <w:pStyle w:val="12"/>
              <w:spacing w:line="265" w:lineRule="auto"/>
              <w:rPr>
                <w:color w:val="auto"/>
                <w:highlight w:val="none"/>
              </w:rPr>
            </w:pPr>
          </w:p>
          <w:p>
            <w:pPr>
              <w:pStyle w:val="12"/>
              <w:spacing w:line="266" w:lineRule="auto"/>
              <w:rPr>
                <w:color w:val="auto"/>
                <w:highlight w:val="none"/>
              </w:rPr>
            </w:pPr>
          </w:p>
          <w:p>
            <w:pPr>
              <w:spacing w:before="65" w:line="233" w:lineRule="auto"/>
              <w:ind w:left="554"/>
              <w:rPr>
                <w:rFonts w:ascii="宋体" w:hAnsi="宋体" w:eastAsia="宋体" w:cs="宋体"/>
                <w:color w:val="auto"/>
                <w:sz w:val="20"/>
                <w:szCs w:val="20"/>
                <w:highlight w:val="none"/>
              </w:rPr>
            </w:pPr>
            <w:r>
              <w:rPr>
                <w:rFonts w:ascii="宋体" w:hAnsi="宋体" w:eastAsia="宋体" w:cs="宋体"/>
                <w:color w:val="auto"/>
                <w:sz w:val="20"/>
                <w:szCs w:val="20"/>
                <w:highlight w:val="none"/>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trPr>
        <w:tc>
          <w:tcPr>
            <w:tcW w:w="832" w:type="dxa"/>
            <w:vAlign w:val="top"/>
          </w:tcPr>
          <w:p>
            <w:pPr>
              <w:spacing w:before="65" w:line="190" w:lineRule="auto"/>
              <w:ind w:left="247"/>
              <w:rPr>
                <w:rFonts w:hint="default"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2</w:t>
            </w:r>
          </w:p>
        </w:tc>
        <w:tc>
          <w:tcPr>
            <w:tcW w:w="1317" w:type="dxa"/>
            <w:vAlign w:val="top"/>
          </w:tcPr>
          <w:p>
            <w:pPr>
              <w:spacing w:before="65" w:line="190" w:lineRule="auto"/>
              <w:ind w:left="247"/>
              <w:rPr>
                <w:rFonts w:hint="default"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w:t>
            </w:r>
          </w:p>
        </w:tc>
        <w:tc>
          <w:tcPr>
            <w:tcW w:w="2308" w:type="dxa"/>
            <w:vAlign w:val="top"/>
          </w:tcPr>
          <w:p>
            <w:pPr>
              <w:spacing w:before="65" w:line="190" w:lineRule="auto"/>
              <w:ind w:left="247"/>
              <w:rPr>
                <w:rFonts w:hint="default"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KDF-3管道氧化物磁性检测仪/FE-201</w:t>
            </w:r>
          </w:p>
        </w:tc>
        <w:tc>
          <w:tcPr>
            <w:tcW w:w="720" w:type="dxa"/>
            <w:vAlign w:val="top"/>
          </w:tcPr>
          <w:p>
            <w:pPr>
              <w:spacing w:before="65" w:line="190" w:lineRule="auto"/>
              <w:ind w:left="247"/>
              <w:rPr>
                <w:rFonts w:hint="default"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1台</w:t>
            </w:r>
          </w:p>
        </w:tc>
        <w:tc>
          <w:tcPr>
            <w:tcW w:w="845" w:type="dxa"/>
            <w:vAlign w:val="top"/>
          </w:tcPr>
          <w:p>
            <w:pPr>
              <w:spacing w:before="65" w:line="190" w:lineRule="auto"/>
              <w:ind w:left="247"/>
              <w:rPr>
                <w:rFonts w:hint="eastAsia" w:ascii="宋体" w:hAnsi="宋体" w:eastAsia="宋体" w:cs="宋体"/>
                <w:color w:val="auto"/>
                <w:sz w:val="20"/>
                <w:szCs w:val="20"/>
                <w:highlight w:val="none"/>
                <w:lang w:eastAsia="zh-CN"/>
              </w:rPr>
            </w:pPr>
            <w:r>
              <w:rPr>
                <w:rFonts w:hint="eastAsia" w:ascii="宋体" w:hAnsi="宋体" w:eastAsia="宋体" w:cs="宋体"/>
                <w:color w:val="auto"/>
                <w:sz w:val="20"/>
                <w:szCs w:val="20"/>
                <w:highlight w:val="none"/>
                <w:lang w:eastAsia="zh-CN"/>
              </w:rPr>
              <w:t>含探头、充电器等整套配件</w:t>
            </w:r>
          </w:p>
        </w:tc>
        <w:tc>
          <w:tcPr>
            <w:tcW w:w="1073" w:type="dxa"/>
            <w:vAlign w:val="top"/>
          </w:tcPr>
          <w:p>
            <w:pPr>
              <w:spacing w:before="65" w:line="233" w:lineRule="auto"/>
              <w:ind w:left="489"/>
              <w:rPr>
                <w:rFonts w:ascii="宋体" w:hAnsi="宋体" w:eastAsia="宋体" w:cs="宋体"/>
                <w:color w:val="auto"/>
                <w:sz w:val="20"/>
                <w:szCs w:val="20"/>
                <w:highlight w:val="none"/>
              </w:rPr>
            </w:pPr>
          </w:p>
        </w:tc>
        <w:tc>
          <w:tcPr>
            <w:tcW w:w="1204" w:type="dxa"/>
            <w:vAlign w:val="top"/>
          </w:tcPr>
          <w:p>
            <w:pPr>
              <w:spacing w:before="65" w:line="233" w:lineRule="auto"/>
              <w:ind w:left="554"/>
              <w:rPr>
                <w:rFonts w:ascii="宋体" w:hAnsi="宋体" w:eastAsia="宋体" w:cs="宋体"/>
                <w:color w:val="auto"/>
                <w:sz w:val="20"/>
                <w:szCs w:val="20"/>
                <w:highlight w:val="none"/>
              </w:rPr>
            </w:pPr>
          </w:p>
        </w:tc>
      </w:tr>
    </w:tbl>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附加说明</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3.1.乙方提供的备件应符合原厂家设计制造标准要求，满足现场设备的使用要求。质量保质期不少于一年，自使用之日计算，在质量保证期内乙方有义务对其所供应的备件存在的质量问题无偿进行处理或更换。</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3.3.本</w:t>
      </w:r>
      <w:r>
        <w:rPr>
          <w:rFonts w:hint="eastAsia" w:ascii="宋体" w:hAnsi="宋体" w:eastAsia="宋体" w:cs="宋体"/>
          <w:color w:val="auto"/>
          <w:sz w:val="24"/>
          <w:szCs w:val="24"/>
          <w:highlight w:val="none"/>
          <w:lang w:eastAsia="zh-CN"/>
        </w:rPr>
        <w:t>技术规格书</w:t>
      </w:r>
      <w:r>
        <w:rPr>
          <w:rFonts w:hint="eastAsia" w:ascii="宋体" w:hAnsi="宋体" w:eastAsia="宋体" w:cs="宋体"/>
          <w:color w:val="auto"/>
          <w:sz w:val="24"/>
          <w:szCs w:val="24"/>
          <w:highlight w:val="none"/>
        </w:rPr>
        <w:t>用于合同执行期间对乙方所提供的设备（包括对分包外购设备）进行检验和性能验收试验，确保乙方所提供的设备符合</w:t>
      </w:r>
      <w:r>
        <w:rPr>
          <w:rFonts w:hint="eastAsia" w:ascii="宋体" w:hAnsi="宋体" w:eastAsia="宋体" w:cs="宋体"/>
          <w:color w:val="auto"/>
          <w:sz w:val="24"/>
          <w:szCs w:val="24"/>
          <w:highlight w:val="none"/>
          <w:lang w:eastAsia="zh-CN"/>
        </w:rPr>
        <w:t>技术规格书</w:t>
      </w:r>
      <w:r>
        <w:rPr>
          <w:rFonts w:hint="eastAsia" w:ascii="宋体" w:hAnsi="宋体" w:eastAsia="宋体" w:cs="宋体"/>
          <w:color w:val="auto"/>
          <w:sz w:val="24"/>
          <w:szCs w:val="24"/>
          <w:highlight w:val="none"/>
        </w:rPr>
        <w:t>要求。</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3.4.乙方应在本合同生效1个月内，向甲方提供与本合同设备有关的检验、性能验收 试验标准，有关标准应符合</w:t>
      </w:r>
      <w:r>
        <w:rPr>
          <w:rFonts w:hint="eastAsia" w:ascii="宋体" w:hAnsi="宋体" w:eastAsia="宋体" w:cs="宋体"/>
          <w:color w:val="auto"/>
          <w:sz w:val="24"/>
          <w:szCs w:val="24"/>
          <w:highlight w:val="none"/>
          <w:lang w:eastAsia="zh-CN"/>
        </w:rPr>
        <w:t>技术规格书</w:t>
      </w:r>
      <w:r>
        <w:rPr>
          <w:rFonts w:hint="eastAsia" w:ascii="宋体" w:hAnsi="宋体" w:eastAsia="宋体" w:cs="宋体"/>
          <w:color w:val="auto"/>
          <w:sz w:val="24"/>
          <w:szCs w:val="24"/>
          <w:highlight w:val="none"/>
        </w:rPr>
        <w:t>的规定。</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3.5.1.乙方提供的设备须附质量证明、检验记录和测试报告，并且作为交货时质量证明文件的组成部分。</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3.5.2.乙方现场服务人员应具有遵纪守法、遵守现场的各项规章和制度，了解合同设备 的设计，熟悉其结构，有相同或相近机组的现场工作经验，能够正确地进行现场</w:t>
      </w:r>
      <w:r>
        <w:rPr>
          <w:rFonts w:hint="eastAsia" w:ascii="宋体" w:hAnsi="宋体" w:eastAsia="宋体" w:cs="宋体"/>
          <w:color w:val="auto"/>
          <w:sz w:val="24"/>
          <w:szCs w:val="24"/>
          <w:highlight w:val="none"/>
          <w:lang w:eastAsia="zh-CN"/>
        </w:rPr>
        <w:t>技术</w:t>
      </w:r>
      <w:r>
        <w:rPr>
          <w:rFonts w:hint="eastAsia" w:ascii="宋体" w:hAnsi="宋体" w:eastAsia="宋体" w:cs="宋体"/>
          <w:color w:val="auto"/>
          <w:sz w:val="24"/>
          <w:szCs w:val="24"/>
          <w:highlight w:val="none"/>
        </w:rPr>
        <w:t>指导</w:t>
      </w:r>
      <w:r>
        <w:rPr>
          <w:rFonts w:hint="eastAsia" w:ascii="宋体" w:hAnsi="宋体" w:eastAsia="宋体" w:cs="宋体"/>
          <w:color w:val="auto"/>
          <w:sz w:val="24"/>
          <w:szCs w:val="24"/>
          <w:highlight w:val="none"/>
          <w:lang w:eastAsia="zh-CN"/>
        </w:rPr>
        <w:t>服务</w:t>
      </w:r>
      <w:r>
        <w:rPr>
          <w:rFonts w:hint="eastAsia" w:ascii="宋体" w:hAnsi="宋体" w:eastAsia="宋体" w:cs="宋体"/>
          <w:color w:val="auto"/>
          <w:sz w:val="24"/>
          <w:szCs w:val="24"/>
          <w:highlight w:val="none"/>
        </w:rPr>
        <w:t xml:space="preserve">。 </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3.5.3 乙方现场服务人员的任务主要包括设备货物的开箱检验、设备质量问题的处理、指导安装和调试、参加试运和性能验收试验。</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3.5.4 在安装和调试前，乙方技术服务人员应向甲方技术交底，主要包括即将进行的工序和方法。乙方技术人员要对施工情况进行确认和签证，否则甲方不能进行下一道工序。经乙方确认和签证的工序如因乙方技术服务人员指导错误而发生问题，乙方负全部责任。</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3.5.5 乙方现场服务人员的正常来去和更换</w:t>
      </w:r>
      <w:r>
        <w:rPr>
          <w:rFonts w:hint="eastAsia" w:ascii="宋体" w:hAnsi="宋体" w:eastAsia="宋体" w:cs="宋体"/>
          <w:color w:val="auto"/>
          <w:sz w:val="24"/>
          <w:szCs w:val="24"/>
          <w:highlight w:val="none"/>
          <w:lang w:eastAsia="zh-CN"/>
        </w:rPr>
        <w:t>，必须经过甲方同意</w:t>
      </w:r>
      <w:r>
        <w:rPr>
          <w:rFonts w:hint="eastAsia" w:ascii="宋体" w:hAnsi="宋体" w:eastAsia="宋体" w:cs="宋体"/>
          <w:color w:val="auto"/>
          <w:sz w:val="24"/>
          <w:szCs w:val="24"/>
          <w:highlight w:val="none"/>
        </w:rPr>
        <w:t>。</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附件四 提供资料</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4.1乙方在中标后向甲方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以下资料：</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4.2乙方提供的资料应使用国家法定单位制即国际单位制，语言为中文。</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4.3资料的组织结构清晰、逻辑性强。资料内容要正确、准确、一致、清晰完整，满足工程要求。</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4.4乙方提供的技术资料为每台设备4套。</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4.2.技术文件</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4.2.乙方应免费提供4套最终的正式图纸和资料书面文件给甲方及1套内容与书面 文件相同的只读电子文件，电子文件为PDF格式。</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4.2.随设备交货时，应有暖风器安装总图、使用说明书、装箱清单、产品合格证、 产品质量文件（含管材质量证明文件及水压试验报告）各1套。</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4.2.3乙方在中标后 10 天内将正确的纸版和电子版如下资料提供给甲方：</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4.2.4外购件明细表</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4.2.5备件明细表</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4.2.6各部分总图、装配图及零件图</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4.2.7提供出厂最终资料</w:t>
      </w:r>
    </w:p>
    <w:p>
      <w:pPr>
        <w:pStyle w:val="5"/>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hAnsi="宋体" w:eastAsia="宋体" w:cs="宋体"/>
          <w:color w:val="auto"/>
          <w:kern w:val="0"/>
          <w:sz w:val="24"/>
          <w:szCs w:val="24"/>
          <w:highlight w:val="none"/>
          <w:lang w:val="en-US" w:eastAsia="zh-CN"/>
        </w:rPr>
        <w:t>2.8</w:t>
      </w:r>
      <w:r>
        <w:rPr>
          <w:rFonts w:hint="eastAsia" w:ascii="宋体" w:hAnsi="宋体" w:eastAsia="宋体" w:cs="宋体"/>
          <w:color w:val="auto"/>
          <w:kern w:val="0"/>
          <w:sz w:val="24"/>
          <w:szCs w:val="24"/>
          <w:highlight w:val="none"/>
        </w:rPr>
        <w:t>邮寄地址：</w:t>
      </w:r>
      <w:r>
        <w:rPr>
          <w:rFonts w:hint="eastAsia" w:ascii="宋体" w:hAnsi="宋体" w:eastAsia="宋体" w:cs="宋体"/>
          <w:color w:val="auto"/>
          <w:kern w:val="0"/>
          <w:sz w:val="24"/>
          <w:szCs w:val="24"/>
          <w:highlight w:val="none"/>
          <w:lang w:val="en-US" w:eastAsia="zh-CN"/>
        </w:rPr>
        <w:t>甘肃省嘉峪关市嘉北工业园区宏晟电热公司</w:t>
      </w:r>
      <w:r>
        <w:rPr>
          <w:rFonts w:hint="eastAsia" w:hAnsi="宋体" w:eastAsia="宋体" w:cs="宋体"/>
          <w:color w:val="auto"/>
          <w:kern w:val="0"/>
          <w:sz w:val="24"/>
          <w:szCs w:val="24"/>
          <w:highlight w:val="none"/>
          <w:lang w:val="en-US" w:eastAsia="zh-CN"/>
        </w:rPr>
        <w:t>铝电保障作业区</w:t>
      </w:r>
      <w:r>
        <w:rPr>
          <w:rFonts w:hint="eastAsia" w:ascii="宋体" w:hAnsi="宋体" w:eastAsia="宋体" w:cs="宋体"/>
          <w:color w:val="auto"/>
          <w:kern w:val="0"/>
          <w:sz w:val="24"/>
          <w:szCs w:val="24"/>
          <w:highlight w:val="none"/>
          <w:lang w:val="en-US" w:eastAsia="zh-CN"/>
        </w:rPr>
        <w:t>库房</w:t>
      </w:r>
    </w:p>
    <w:p>
      <w:pPr>
        <w:pStyle w:val="5"/>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甲方邮寄信息：</w:t>
      </w:r>
    </w:p>
    <w:p>
      <w:pPr>
        <w:pStyle w:val="5"/>
        <w:spacing w:line="360" w:lineRule="auto"/>
        <w:ind w:firstLine="480" w:firstLineChars="200"/>
        <w:jc w:val="left"/>
        <w:rPr>
          <w:rFonts w:hint="eastAsia" w:hAnsi="宋体"/>
          <w:color w:val="auto"/>
          <w:kern w:val="0"/>
          <w:sz w:val="24"/>
          <w:szCs w:val="24"/>
          <w:highlight w:val="none"/>
        </w:rPr>
      </w:pPr>
      <w:r>
        <w:rPr>
          <w:rFonts w:hint="eastAsia" w:hAnsi="宋体"/>
          <w:color w:val="auto"/>
          <w:kern w:val="0"/>
          <w:sz w:val="24"/>
          <w:szCs w:val="24"/>
          <w:highlight w:val="none"/>
        </w:rPr>
        <w:t xml:space="preserve">邮政编码：735100 </w:t>
      </w:r>
    </w:p>
    <w:p>
      <w:pPr>
        <w:pStyle w:val="5"/>
        <w:spacing w:line="360" w:lineRule="auto"/>
        <w:ind w:firstLine="480" w:firstLineChars="200"/>
        <w:jc w:val="left"/>
        <w:rPr>
          <w:rFonts w:hint="eastAsia" w:hAnsi="宋体"/>
          <w:color w:val="auto"/>
          <w:kern w:val="0"/>
          <w:sz w:val="24"/>
          <w:szCs w:val="24"/>
          <w:highlight w:val="none"/>
          <w:lang w:eastAsia="zh-CN"/>
        </w:rPr>
      </w:pPr>
      <w:r>
        <w:rPr>
          <w:rFonts w:hint="eastAsia" w:hAnsi="宋体"/>
          <w:color w:val="auto"/>
          <w:kern w:val="0"/>
          <w:sz w:val="24"/>
          <w:szCs w:val="24"/>
          <w:highlight w:val="none"/>
        </w:rPr>
        <w:t xml:space="preserve">收件人： </w:t>
      </w:r>
      <w:r>
        <w:rPr>
          <w:rFonts w:hint="eastAsia" w:hAnsi="宋体"/>
          <w:color w:val="auto"/>
          <w:kern w:val="0"/>
          <w:sz w:val="24"/>
          <w:szCs w:val="24"/>
          <w:highlight w:val="none"/>
          <w:lang w:eastAsia="zh-CN"/>
        </w:rPr>
        <w:t>郑重</w:t>
      </w:r>
    </w:p>
    <w:p>
      <w:pPr>
        <w:pStyle w:val="5"/>
        <w:spacing w:line="360" w:lineRule="auto"/>
        <w:ind w:firstLine="480" w:firstLineChars="200"/>
        <w:jc w:val="left"/>
        <w:rPr>
          <w:rFonts w:hint="eastAsia" w:ascii="宋体" w:hAnsi="宋体" w:eastAsia="宋体" w:cs="宋体"/>
          <w:color w:val="auto"/>
          <w:sz w:val="24"/>
          <w:szCs w:val="24"/>
          <w:highlight w:val="none"/>
          <w:lang w:val="en-US" w:eastAsia="zh-CN"/>
        </w:rPr>
      </w:pPr>
      <w:r>
        <w:rPr>
          <w:rFonts w:hint="eastAsia" w:hAnsi="宋体"/>
          <w:color w:val="auto"/>
          <w:kern w:val="0"/>
          <w:sz w:val="24"/>
          <w:szCs w:val="24"/>
          <w:highlight w:val="none"/>
        </w:rPr>
        <w:t>电子邮箱：</w:t>
      </w:r>
      <w:r>
        <w:rPr>
          <w:rFonts w:hint="eastAsia" w:hAnsi="宋体"/>
          <w:color w:val="auto"/>
          <w:kern w:val="0"/>
          <w:sz w:val="24"/>
          <w:szCs w:val="24"/>
          <w:highlight w:val="none"/>
          <w:lang w:val="en-US" w:eastAsia="zh-CN"/>
        </w:rPr>
        <w:t>zhengzhong</w:t>
      </w:r>
      <w:r>
        <w:rPr>
          <w:rFonts w:hint="eastAsia" w:hAnsi="宋体"/>
          <w:color w:val="auto"/>
          <w:kern w:val="0"/>
          <w:sz w:val="24"/>
          <w:szCs w:val="24"/>
          <w:highlight w:val="none"/>
        </w:rPr>
        <w:t>@jiugang.com</w:t>
      </w:r>
    </w:p>
    <w:p>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附件五 售后服务</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 乙方在投标时应详细说明所愿意承诺的售后服务项目和内容。这些承诺将与本技术规范书具有同等效力。</w:t>
      </w:r>
    </w:p>
    <w:p>
      <w:pPr>
        <w:tabs>
          <w:tab w:val="left" w:pos="0"/>
          <w:tab w:val="left" w:pos="720"/>
          <w:tab w:val="left" w:pos="90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5.2 以下售后服务是最低的要求：</w:t>
      </w:r>
    </w:p>
    <w:p>
      <w:pPr>
        <w:tabs>
          <w:tab w:val="left" w:pos="0"/>
          <w:tab w:val="left" w:pos="720"/>
          <w:tab w:val="left" w:pos="90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5.2.1在产品质保期内设计、制造等质量问题由乙方负责无偿更换。</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5.2.2在合同产品的保质期内，对非乙方责任造成的设备损坏，乙方应提供修理服务；如属设备设计或制造缺陷引起的损坏，乙方应为甲方及时修理，并承担全部费用。今后设备运行阶段的售后服务，24小时内应有答复，48小时内至少应有处理意见。</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5.2.3自</w:t>
      </w:r>
      <w:r>
        <w:rPr>
          <w:rFonts w:hint="eastAsia" w:ascii="宋体" w:hAnsi="宋体" w:eastAsia="宋体" w:cs="宋体"/>
          <w:color w:val="auto"/>
          <w:sz w:val="24"/>
          <w:szCs w:val="24"/>
          <w:highlight w:val="none"/>
          <w:lang w:eastAsia="zh-CN"/>
        </w:rPr>
        <w:t>安装</w:t>
      </w:r>
      <w:r>
        <w:rPr>
          <w:rFonts w:hint="eastAsia" w:ascii="宋体" w:hAnsi="宋体" w:eastAsia="宋体" w:cs="宋体"/>
          <w:color w:val="auto"/>
          <w:sz w:val="24"/>
          <w:szCs w:val="24"/>
          <w:highlight w:val="none"/>
        </w:rPr>
        <w:t>现场之日起计算</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rPr>
        <w:t>个月。在质保期内如因产品质量问题出现故障，</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将无偿维修或更换损坏的元件，配件等，使</w:t>
      </w:r>
      <w:r>
        <w:rPr>
          <w:rFonts w:hint="eastAsia" w:ascii="宋体" w:hAnsi="宋体" w:eastAsia="宋体" w:cs="宋体"/>
          <w:color w:val="auto"/>
          <w:sz w:val="24"/>
          <w:szCs w:val="24"/>
          <w:highlight w:val="none"/>
          <w:lang w:eastAsia="zh-CN"/>
        </w:rPr>
        <w:t>备件</w:t>
      </w:r>
      <w:r>
        <w:rPr>
          <w:rFonts w:hint="eastAsia" w:ascii="宋体" w:hAnsi="宋体" w:eastAsia="宋体" w:cs="宋体"/>
          <w:color w:val="auto"/>
          <w:sz w:val="24"/>
          <w:szCs w:val="24"/>
          <w:highlight w:val="none"/>
        </w:rPr>
        <w:t>能正常工作。</w:t>
      </w:r>
    </w:p>
    <w:p>
      <w:pPr>
        <w:tabs>
          <w:tab w:val="left" w:pos="0"/>
          <w:tab w:val="left" w:pos="720"/>
          <w:tab w:val="left" w:pos="90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5.2.4质保期内，</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负责免费更换发生故障的或有缺陷的部件和设备。用来更换的设备和部件也应是全新的。</w:t>
      </w:r>
    </w:p>
    <w:p>
      <w:pPr>
        <w:tabs>
          <w:tab w:val="left" w:pos="0"/>
          <w:tab w:val="left" w:pos="900"/>
          <w:tab w:val="left" w:pos="1080"/>
        </w:tabs>
        <w:spacing w:line="360" w:lineRule="auto"/>
        <w:rPr>
          <w:rFonts w:hint="eastAsia" w:ascii="宋体" w:hAnsi="宋体"/>
          <w:b/>
          <w:color w:val="auto"/>
          <w:sz w:val="24"/>
          <w:szCs w:val="24"/>
          <w:highlight w:val="none"/>
        </w:rPr>
      </w:pPr>
      <w:r>
        <w:rPr>
          <w:rFonts w:hint="eastAsia" w:ascii="宋体" w:hAnsi="宋体"/>
          <w:b/>
          <w:color w:val="auto"/>
          <w:sz w:val="24"/>
          <w:szCs w:val="24"/>
          <w:highlight w:val="none"/>
        </w:rPr>
        <w:t>附件六  交货时间及地点</w:t>
      </w:r>
    </w:p>
    <w:p>
      <w:pPr>
        <w:pStyle w:val="5"/>
        <w:spacing w:line="360" w:lineRule="auto"/>
        <w:ind w:firstLine="480" w:firstLineChars="200"/>
        <w:jc w:val="left"/>
        <w:rPr>
          <w:rFonts w:hint="eastAsia" w:hAnsi="宋体"/>
          <w:color w:val="auto"/>
          <w:kern w:val="0"/>
          <w:sz w:val="24"/>
          <w:szCs w:val="24"/>
          <w:highlight w:val="none"/>
        </w:rPr>
      </w:pPr>
      <w:r>
        <w:rPr>
          <w:rFonts w:hint="eastAsia" w:hAnsi="宋体"/>
          <w:color w:val="auto"/>
          <w:kern w:val="0"/>
          <w:sz w:val="24"/>
          <w:szCs w:val="24"/>
          <w:highlight w:val="none"/>
          <w:lang w:val="en-US" w:eastAsia="zh-CN"/>
        </w:rPr>
        <w:t>6.1</w:t>
      </w:r>
      <w:r>
        <w:rPr>
          <w:rFonts w:hint="eastAsia" w:hAnsi="宋体"/>
          <w:color w:val="auto"/>
          <w:kern w:val="0"/>
          <w:sz w:val="24"/>
          <w:szCs w:val="24"/>
          <w:highlight w:val="none"/>
        </w:rPr>
        <w:t>交货时间：</w:t>
      </w:r>
      <w:r>
        <w:rPr>
          <w:rFonts w:hint="eastAsia" w:hAnsi="宋体" w:eastAsia="宋体" w:cs="Times New Roman"/>
          <w:color w:val="auto"/>
          <w:kern w:val="0"/>
          <w:sz w:val="24"/>
          <w:szCs w:val="24"/>
          <w:highlight w:val="none"/>
          <w:lang w:val="en-US" w:eastAsia="zh-CN"/>
        </w:rPr>
        <w:t>2025</w:t>
      </w:r>
      <w:r>
        <w:rPr>
          <w:rFonts w:hint="default" w:hAnsi="宋体" w:eastAsia="宋体" w:cs="Times New Roman"/>
          <w:color w:val="auto"/>
          <w:kern w:val="0"/>
          <w:sz w:val="24"/>
          <w:szCs w:val="24"/>
          <w:highlight w:val="none"/>
        </w:rPr>
        <w:t>年</w:t>
      </w:r>
      <w:r>
        <w:rPr>
          <w:rFonts w:hint="eastAsia" w:hAnsi="宋体" w:eastAsia="宋体" w:cs="Times New Roman"/>
          <w:color w:val="auto"/>
          <w:kern w:val="0"/>
          <w:sz w:val="24"/>
          <w:szCs w:val="24"/>
          <w:highlight w:val="none"/>
          <w:lang w:val="en-US" w:eastAsia="zh-CN"/>
        </w:rPr>
        <w:t>09</w:t>
      </w:r>
      <w:r>
        <w:rPr>
          <w:rFonts w:hint="default" w:hAnsi="宋体" w:eastAsia="宋体" w:cs="Times New Roman"/>
          <w:color w:val="auto"/>
          <w:kern w:val="0"/>
          <w:sz w:val="24"/>
          <w:szCs w:val="24"/>
          <w:highlight w:val="none"/>
        </w:rPr>
        <w:t>月</w:t>
      </w:r>
      <w:r>
        <w:rPr>
          <w:rFonts w:hint="eastAsia" w:hAnsi="宋体" w:eastAsia="宋体" w:cs="Times New Roman"/>
          <w:color w:val="auto"/>
          <w:kern w:val="0"/>
          <w:sz w:val="24"/>
          <w:szCs w:val="24"/>
          <w:highlight w:val="none"/>
          <w:lang w:val="en-US" w:eastAsia="zh-CN"/>
        </w:rPr>
        <w:t>30</w:t>
      </w:r>
      <w:r>
        <w:rPr>
          <w:rFonts w:hint="default" w:hAnsi="宋体" w:eastAsia="宋体" w:cs="Times New Roman"/>
          <w:color w:val="auto"/>
          <w:kern w:val="0"/>
          <w:sz w:val="24"/>
          <w:szCs w:val="24"/>
          <w:highlight w:val="none"/>
        </w:rPr>
        <w:t>日</w:t>
      </w:r>
      <w:r>
        <w:rPr>
          <w:rFonts w:hint="default" w:hAnsi="宋体" w:eastAsia="宋体" w:cs="Times New Roman"/>
          <w:color w:val="auto"/>
          <w:kern w:val="0"/>
          <w:sz w:val="24"/>
          <w:szCs w:val="24"/>
          <w:highlight w:val="none"/>
          <w:lang w:eastAsia="zh-CN"/>
        </w:rPr>
        <w:t>前</w:t>
      </w:r>
    </w:p>
    <w:p>
      <w:pPr>
        <w:pStyle w:val="5"/>
        <w:spacing w:line="360" w:lineRule="auto"/>
        <w:ind w:firstLine="480" w:firstLineChars="200"/>
        <w:jc w:val="left"/>
        <w:rPr>
          <w:rFonts w:hint="eastAsia" w:hAnsi="宋体"/>
          <w:color w:val="auto"/>
          <w:kern w:val="0"/>
          <w:sz w:val="24"/>
          <w:szCs w:val="24"/>
          <w:highlight w:val="none"/>
        </w:rPr>
      </w:pPr>
      <w:r>
        <w:rPr>
          <w:rFonts w:hint="eastAsia" w:hAnsi="宋体"/>
          <w:color w:val="auto"/>
          <w:kern w:val="0"/>
          <w:sz w:val="24"/>
          <w:szCs w:val="24"/>
          <w:highlight w:val="none"/>
          <w:lang w:val="en-US" w:eastAsia="zh-CN"/>
        </w:rPr>
        <w:t>6.2</w:t>
      </w:r>
      <w:r>
        <w:rPr>
          <w:rFonts w:hint="eastAsia" w:hAnsi="宋体"/>
          <w:color w:val="auto"/>
          <w:kern w:val="0"/>
          <w:sz w:val="24"/>
          <w:szCs w:val="24"/>
          <w:highlight w:val="none"/>
        </w:rPr>
        <w:t>交货地</w:t>
      </w:r>
      <w:r>
        <w:rPr>
          <w:rFonts w:hint="eastAsia" w:hAnsi="宋体" w:eastAsia="宋体" w:cs="Times New Roman"/>
          <w:color w:val="auto"/>
          <w:kern w:val="0"/>
          <w:sz w:val="24"/>
          <w:szCs w:val="24"/>
          <w:highlight w:val="none"/>
          <w:lang w:val="en-US" w:eastAsia="zh-CN"/>
        </w:rPr>
        <w:t>点：</w:t>
      </w:r>
      <w:r>
        <w:rPr>
          <w:rFonts w:hint="default" w:hAnsi="宋体" w:eastAsia="宋体" w:cs="Times New Roman"/>
          <w:color w:val="auto"/>
          <w:kern w:val="0"/>
          <w:sz w:val="24"/>
          <w:szCs w:val="24"/>
          <w:highlight w:val="none"/>
          <w:lang w:val="en-US" w:eastAsia="zh-CN"/>
        </w:rPr>
        <w:t>甘肃省嘉峪关市嘉北工业园区宏晟电热公司</w:t>
      </w:r>
      <w:r>
        <w:rPr>
          <w:rFonts w:hint="eastAsia" w:hAnsi="宋体" w:eastAsia="宋体" w:cs="Times New Roman"/>
          <w:color w:val="auto"/>
          <w:kern w:val="0"/>
          <w:sz w:val="24"/>
          <w:szCs w:val="24"/>
          <w:highlight w:val="none"/>
          <w:lang w:val="en-US" w:eastAsia="zh-CN"/>
        </w:rPr>
        <w:t>铝电保障作业区</w:t>
      </w:r>
      <w:r>
        <w:rPr>
          <w:rFonts w:hint="default" w:hAnsi="宋体" w:eastAsia="宋体" w:cs="Times New Roman"/>
          <w:color w:val="auto"/>
          <w:kern w:val="0"/>
          <w:sz w:val="24"/>
          <w:szCs w:val="24"/>
          <w:highlight w:val="none"/>
          <w:lang w:val="en-US" w:eastAsia="zh-CN"/>
        </w:rPr>
        <w:t>库房</w:t>
      </w:r>
    </w:p>
    <w:p>
      <w:pPr>
        <w:tabs>
          <w:tab w:val="left" w:pos="0"/>
          <w:tab w:val="left" w:pos="900"/>
          <w:tab w:val="left" w:pos="1080"/>
        </w:tabs>
        <w:spacing w:line="360" w:lineRule="auto"/>
        <w:rPr>
          <w:rFonts w:hint="eastAsia" w:ascii="宋体" w:hAnsi="宋体"/>
          <w:b/>
          <w:color w:val="auto"/>
          <w:sz w:val="24"/>
          <w:szCs w:val="24"/>
          <w:highlight w:val="none"/>
        </w:rPr>
      </w:pPr>
      <w:r>
        <w:rPr>
          <w:rFonts w:hint="eastAsia" w:ascii="宋体" w:hAnsi="宋体"/>
          <w:b/>
          <w:color w:val="auto"/>
          <w:sz w:val="24"/>
          <w:szCs w:val="24"/>
          <w:highlight w:val="none"/>
        </w:rPr>
        <w:t xml:space="preserve">附件七   </w:t>
      </w:r>
      <w:r>
        <w:rPr>
          <w:rFonts w:hint="eastAsia" w:ascii="宋体" w:hAnsi="宋体" w:eastAsia="宋体"/>
          <w:b/>
          <w:color w:val="auto"/>
          <w:sz w:val="24"/>
          <w:szCs w:val="24"/>
          <w:highlight w:val="none"/>
          <w:lang w:eastAsia="zh-CN"/>
        </w:rPr>
        <w:t>其他</w:t>
      </w:r>
    </w:p>
    <w:p>
      <w:pPr>
        <w:pStyle w:val="5"/>
        <w:spacing w:line="360" w:lineRule="auto"/>
        <w:ind w:firstLine="480" w:firstLineChars="200"/>
        <w:jc w:val="left"/>
        <w:rPr>
          <w:rFonts w:hint="eastAsia" w:hAnsi="宋体"/>
          <w:color w:val="auto"/>
          <w:kern w:val="0"/>
          <w:sz w:val="24"/>
          <w:szCs w:val="24"/>
          <w:highlight w:val="none"/>
        </w:rPr>
      </w:pPr>
      <w:r>
        <w:rPr>
          <w:rFonts w:hint="eastAsia" w:hAnsi="宋体"/>
          <w:color w:val="auto"/>
          <w:kern w:val="0"/>
          <w:sz w:val="24"/>
          <w:szCs w:val="24"/>
          <w:highlight w:val="none"/>
          <w:lang w:val="en-US" w:eastAsia="zh-CN"/>
        </w:rPr>
        <w:t>7.1</w:t>
      </w:r>
      <w:r>
        <w:rPr>
          <w:rFonts w:hint="eastAsia" w:hAnsi="宋体"/>
          <w:color w:val="auto"/>
          <w:kern w:val="0"/>
          <w:sz w:val="24"/>
          <w:szCs w:val="24"/>
          <w:highlight w:val="none"/>
        </w:rPr>
        <w:t>本协议一式四份，甲方三份，乙方一份。</w:t>
      </w:r>
    </w:p>
    <w:p>
      <w:pPr>
        <w:numPr>
          <w:ilvl w:val="0"/>
          <w:numId w:val="0"/>
        </w:numPr>
        <w:tabs>
          <w:tab w:val="left" w:pos="540"/>
          <w:tab w:val="left" w:pos="840"/>
          <w:tab w:val="left" w:pos="1080"/>
        </w:tabs>
        <w:spacing w:line="360" w:lineRule="auto"/>
        <w:ind w:firstLine="480" w:firstLineChars="200"/>
        <w:rPr>
          <w:rFonts w:hint="eastAsia" w:ascii="宋体" w:hAnsi="宋体"/>
          <w:color w:val="auto"/>
          <w:szCs w:val="21"/>
          <w:highlight w:val="none"/>
        </w:rPr>
      </w:pPr>
      <w:r>
        <w:rPr>
          <w:rFonts w:hint="eastAsia" w:ascii="宋体" w:hAnsi="宋体"/>
          <w:color w:val="auto"/>
          <w:sz w:val="24"/>
          <w:szCs w:val="24"/>
          <w:highlight w:val="none"/>
          <w:lang w:val="en-US" w:eastAsia="zh-CN"/>
        </w:rPr>
        <w:t>7.2</w:t>
      </w:r>
      <w:r>
        <w:rPr>
          <w:rFonts w:hint="eastAsia" w:ascii="宋体" w:hAnsi="宋体" w:eastAsia="宋体" w:cs="Times New Roman"/>
          <w:color w:val="auto"/>
          <w:sz w:val="24"/>
          <w:szCs w:val="24"/>
          <w:highlight w:val="none"/>
          <w:lang w:val="en-US" w:eastAsia="zh-CN"/>
        </w:rPr>
        <w:t>若                公司不能中标，则本技术</w:t>
      </w:r>
      <w:r>
        <w:rPr>
          <w:rFonts w:hint="eastAsia" w:ascii="宋体" w:hAnsi="宋体" w:cs="Times New Roman"/>
          <w:color w:val="auto"/>
          <w:sz w:val="24"/>
          <w:szCs w:val="24"/>
          <w:highlight w:val="none"/>
          <w:lang w:val="en-US" w:eastAsia="zh-CN"/>
        </w:rPr>
        <w:t>规格书</w:t>
      </w:r>
      <w:r>
        <w:rPr>
          <w:rFonts w:hint="eastAsia" w:ascii="宋体" w:hAnsi="宋体" w:eastAsia="宋体" w:cs="Times New Roman"/>
          <w:color w:val="auto"/>
          <w:sz w:val="24"/>
          <w:szCs w:val="24"/>
          <w:highlight w:val="none"/>
          <w:lang w:val="en-US" w:eastAsia="zh-CN"/>
        </w:rPr>
        <w:t>自动失效，双方互不承担任何责任。</w:t>
      </w:r>
    </w:p>
    <w:p>
      <w:pPr>
        <w:numPr>
          <w:ilvl w:val="0"/>
          <w:numId w:val="0"/>
        </w:numPr>
        <w:tabs>
          <w:tab w:val="left" w:pos="540"/>
          <w:tab w:val="left" w:pos="840"/>
          <w:tab w:val="left" w:pos="1080"/>
        </w:tabs>
        <w:spacing w:line="360" w:lineRule="auto"/>
        <w:ind w:firstLine="480" w:firstLineChars="200"/>
        <w:rPr>
          <w:rFonts w:hint="default" w:ascii="宋体" w:hAnsi="宋体" w:eastAsia="宋体" w:cs="Times New Roman"/>
          <w:color w:val="auto"/>
          <w:sz w:val="24"/>
          <w:szCs w:val="24"/>
          <w:highlight w:val="none"/>
          <w:lang w:val="en-US" w:eastAsia="zh-CN"/>
        </w:rPr>
      </w:pPr>
      <w:r>
        <w:rPr>
          <w:rFonts w:hint="eastAsia" w:ascii="宋体" w:hAnsi="宋体" w:eastAsia="宋体" w:cs="Times New Roman"/>
          <w:color w:val="auto"/>
          <w:sz w:val="24"/>
          <w:szCs w:val="24"/>
          <w:highlight w:val="none"/>
          <w:lang w:val="en-US" w:eastAsia="zh-CN"/>
        </w:rPr>
        <w:t>7.3本协议内容经由甲乙双方与  年  月  日  时-  时通过     方式商定。</w:t>
      </w:r>
    </w:p>
    <w:p>
      <w:pPr>
        <w:numPr>
          <w:ilvl w:val="0"/>
          <w:numId w:val="0"/>
        </w:numPr>
        <w:tabs>
          <w:tab w:val="left" w:pos="540"/>
          <w:tab w:val="left" w:pos="840"/>
          <w:tab w:val="left" w:pos="1080"/>
        </w:tabs>
        <w:spacing w:line="360" w:lineRule="auto"/>
        <w:ind w:firstLine="480" w:firstLineChars="200"/>
        <w:rPr>
          <w:rFonts w:hint="default" w:ascii="宋体" w:hAnsi="宋体" w:eastAsia="宋体" w:cs="Times New Roman"/>
          <w:color w:val="auto"/>
          <w:sz w:val="24"/>
          <w:szCs w:val="24"/>
          <w:highlight w:val="none"/>
          <w:lang w:val="en-US" w:eastAsia="zh-CN"/>
        </w:rPr>
      </w:pPr>
      <w:r>
        <w:rPr>
          <w:rFonts w:hint="eastAsia" w:ascii="宋体" w:hAnsi="宋体" w:eastAsia="宋体" w:cs="Times New Roman"/>
          <w:color w:val="auto"/>
          <w:sz w:val="24"/>
          <w:szCs w:val="24"/>
          <w:highlight w:val="none"/>
          <w:lang w:val="en-US" w:eastAsia="zh-CN"/>
        </w:rPr>
        <w:t>7.4甲乙双方应当就签订本协议的相关事宜保密，不得将签订主体、时间、内容等信息透露给其他第三人。</w:t>
      </w:r>
    </w:p>
    <w:p>
      <w:pPr>
        <w:tabs>
          <w:tab w:val="left" w:pos="1943"/>
        </w:tabs>
        <w:rPr>
          <w:rFonts w:hint="eastAsia" w:ascii="宋体" w:hAnsi="宋体"/>
          <w:b/>
          <w:color w:val="auto"/>
          <w:sz w:val="28"/>
          <w:szCs w:val="28"/>
          <w:highlight w:val="none"/>
        </w:rPr>
      </w:pPr>
    </w:p>
    <w:p>
      <w:pPr>
        <w:tabs>
          <w:tab w:val="left" w:pos="1943"/>
        </w:tabs>
        <w:rPr>
          <w:rFonts w:hint="eastAsia" w:ascii="宋体" w:hAnsi="宋体"/>
          <w:b/>
          <w:color w:val="auto"/>
          <w:sz w:val="28"/>
          <w:szCs w:val="28"/>
          <w:highlight w:val="none"/>
        </w:rPr>
      </w:pPr>
      <w:r>
        <w:rPr>
          <w:rFonts w:hint="eastAsia" w:ascii="宋体" w:hAnsi="宋体"/>
          <w:b/>
          <w:color w:val="auto"/>
          <w:sz w:val="28"/>
          <w:szCs w:val="28"/>
          <w:highlight w:val="none"/>
        </w:rPr>
        <w:t>甲方：</w:t>
      </w:r>
      <w:r>
        <w:rPr>
          <w:rFonts w:ascii="宋体" w:hAnsi="宋体"/>
          <w:b/>
          <w:color w:val="auto"/>
          <w:sz w:val="28"/>
          <w:szCs w:val="28"/>
          <w:highlight w:val="none"/>
        </w:rPr>
        <w:tab/>
      </w:r>
      <w:r>
        <w:rPr>
          <w:rFonts w:hint="eastAsia" w:ascii="宋体" w:hAnsi="宋体"/>
          <w:b/>
          <w:color w:val="auto"/>
          <w:sz w:val="28"/>
          <w:szCs w:val="28"/>
          <w:highlight w:val="none"/>
        </w:rPr>
        <w:t xml:space="preserve">                    乙方： </w:t>
      </w:r>
    </w:p>
    <w:p>
      <w:pPr>
        <w:tabs>
          <w:tab w:val="left" w:pos="1943"/>
        </w:tabs>
        <w:rPr>
          <w:rFonts w:hint="eastAsia" w:ascii="宋体" w:hAnsi="宋体"/>
          <w:b/>
          <w:color w:val="auto"/>
          <w:sz w:val="28"/>
          <w:szCs w:val="28"/>
          <w:highlight w:val="none"/>
          <w:lang w:val="en-US" w:eastAsia="zh-CN"/>
        </w:rPr>
      </w:pPr>
      <w:r>
        <w:rPr>
          <w:rFonts w:hint="eastAsia" w:ascii="宋体" w:hAnsi="宋体"/>
          <w:b/>
          <w:color w:val="auto"/>
          <w:sz w:val="28"/>
          <w:szCs w:val="28"/>
          <w:highlight w:val="none"/>
          <w:lang w:val="en-US" w:eastAsia="zh-CN"/>
        </w:rPr>
        <w:t xml:space="preserve">   </w:t>
      </w:r>
    </w:p>
    <w:p>
      <w:pPr>
        <w:tabs>
          <w:tab w:val="left" w:pos="1943"/>
        </w:tabs>
        <w:rPr>
          <w:rFonts w:hint="default" w:ascii="宋体" w:hAnsi="宋体"/>
          <w:b/>
          <w:color w:val="auto"/>
          <w:sz w:val="28"/>
          <w:szCs w:val="28"/>
          <w:highlight w:val="none"/>
          <w:lang w:val="en-US" w:eastAsia="zh-CN"/>
        </w:rPr>
      </w:pPr>
    </w:p>
    <w:p>
      <w:pPr>
        <w:rPr>
          <w:rFonts w:hint="eastAsia" w:ascii="宋体" w:hAnsi="宋体"/>
          <w:b/>
          <w:color w:val="auto"/>
          <w:sz w:val="28"/>
          <w:szCs w:val="28"/>
          <w:highlight w:val="none"/>
        </w:rPr>
      </w:pPr>
    </w:p>
    <w:p>
      <w:pPr>
        <w:rPr>
          <w:rFonts w:hint="eastAsia" w:ascii="宋体" w:hAnsi="宋体"/>
          <w:b/>
          <w:color w:val="auto"/>
          <w:sz w:val="28"/>
          <w:szCs w:val="28"/>
          <w:highlight w:val="none"/>
        </w:rPr>
      </w:pPr>
      <w:r>
        <w:rPr>
          <w:rFonts w:hint="eastAsia" w:ascii="宋体" w:hAnsi="宋体"/>
          <w:b/>
          <w:color w:val="auto"/>
          <w:sz w:val="28"/>
          <w:szCs w:val="28"/>
          <w:highlight w:val="none"/>
        </w:rPr>
        <w:t>甲方</w:t>
      </w:r>
      <w:r>
        <w:rPr>
          <w:rFonts w:hint="eastAsia" w:ascii="宋体" w:hAnsi="宋体"/>
          <w:b/>
          <w:color w:val="auto"/>
          <w:sz w:val="28"/>
          <w:szCs w:val="28"/>
          <w:highlight w:val="none"/>
          <w:lang w:val="en-US" w:eastAsia="zh-CN"/>
        </w:rPr>
        <w:t>签字盖章</w:t>
      </w:r>
      <w:r>
        <w:rPr>
          <w:rFonts w:hint="eastAsia" w:ascii="宋体" w:hAnsi="宋体"/>
          <w:b/>
          <w:color w:val="auto"/>
          <w:sz w:val="28"/>
          <w:szCs w:val="28"/>
          <w:highlight w:val="none"/>
        </w:rPr>
        <w:t>：</w:t>
      </w:r>
      <w:r>
        <w:rPr>
          <w:rFonts w:ascii="宋体" w:hAnsi="宋体"/>
          <w:b/>
          <w:color w:val="auto"/>
          <w:sz w:val="28"/>
          <w:szCs w:val="28"/>
          <w:highlight w:val="none"/>
        </w:rPr>
        <w:tab/>
      </w:r>
      <w:r>
        <w:rPr>
          <w:rFonts w:hint="eastAsia" w:ascii="宋体" w:hAnsi="宋体"/>
          <w:b/>
          <w:color w:val="auto"/>
          <w:sz w:val="28"/>
          <w:szCs w:val="28"/>
          <w:highlight w:val="none"/>
        </w:rPr>
        <w:t xml:space="preserve">                      乙方</w:t>
      </w:r>
      <w:r>
        <w:rPr>
          <w:rFonts w:hint="eastAsia" w:ascii="宋体" w:hAnsi="宋体"/>
          <w:b/>
          <w:color w:val="auto"/>
          <w:sz w:val="28"/>
          <w:szCs w:val="28"/>
          <w:highlight w:val="none"/>
          <w:lang w:val="en-US" w:eastAsia="zh-CN"/>
        </w:rPr>
        <w:t>签字盖章</w:t>
      </w:r>
      <w:r>
        <w:rPr>
          <w:rFonts w:hint="eastAsia" w:ascii="宋体" w:hAnsi="宋体"/>
          <w:b/>
          <w:color w:val="auto"/>
          <w:sz w:val="28"/>
          <w:szCs w:val="28"/>
          <w:highlight w:val="none"/>
        </w:rPr>
        <w:t>：</w:t>
      </w:r>
    </w:p>
    <w:p>
      <w:pPr>
        <w:rPr>
          <w:rFonts w:hint="eastAsia" w:ascii="宋体" w:hAnsi="宋体"/>
          <w:b/>
          <w:color w:val="auto"/>
          <w:sz w:val="28"/>
          <w:szCs w:val="28"/>
          <w:highlight w:val="none"/>
        </w:rPr>
      </w:pPr>
    </w:p>
    <w:p>
      <w:pPr>
        <w:rPr>
          <w:rFonts w:hint="eastAsia" w:ascii="宋体" w:hAnsi="宋体"/>
          <w:b/>
          <w:color w:val="auto"/>
          <w:sz w:val="28"/>
          <w:szCs w:val="28"/>
          <w:highlight w:val="none"/>
        </w:rPr>
      </w:pPr>
    </w:p>
    <w:p>
      <w:pPr>
        <w:rPr>
          <w:rFonts w:hint="eastAsia" w:ascii="宋体" w:hAnsi="宋体"/>
          <w:b/>
          <w:color w:val="auto"/>
          <w:sz w:val="28"/>
          <w:szCs w:val="28"/>
          <w:highlight w:val="none"/>
        </w:rPr>
      </w:pPr>
      <w:r>
        <w:rPr>
          <w:rFonts w:hint="eastAsia" w:ascii="宋体" w:hAnsi="宋体"/>
          <w:b/>
          <w:color w:val="auto"/>
          <w:sz w:val="28"/>
          <w:szCs w:val="28"/>
          <w:highlight w:val="none"/>
        </w:rPr>
        <w:t>电话：                            电话：</w:t>
      </w:r>
    </w:p>
    <w:p>
      <w:pPr>
        <w:rPr>
          <w:rFonts w:hint="eastAsia" w:ascii="宋体" w:hAnsi="宋体"/>
          <w:b/>
          <w:color w:val="auto"/>
          <w:sz w:val="28"/>
          <w:szCs w:val="28"/>
          <w:highlight w:val="none"/>
        </w:rPr>
      </w:pPr>
    </w:p>
    <w:p>
      <w:pPr>
        <w:ind w:firstLine="549" w:firstLineChars="196"/>
        <w:rPr>
          <w:rFonts w:hint="eastAsia" w:ascii="宋体" w:hAnsi="宋体"/>
          <w:b/>
          <w:color w:val="auto"/>
          <w:sz w:val="28"/>
          <w:szCs w:val="28"/>
          <w:highlight w:val="none"/>
        </w:rPr>
      </w:pPr>
      <w:r>
        <w:rPr>
          <w:rFonts w:hint="eastAsia" w:ascii="宋体" w:hAnsi="宋体"/>
          <w:b/>
          <w:color w:val="auto"/>
          <w:sz w:val="28"/>
          <w:szCs w:val="28"/>
          <w:highlight w:val="none"/>
        </w:rPr>
        <w:t>年   月   日</w:t>
      </w:r>
      <w:r>
        <w:rPr>
          <w:rFonts w:ascii="宋体" w:hAnsi="宋体"/>
          <w:b/>
          <w:color w:val="auto"/>
          <w:sz w:val="28"/>
          <w:szCs w:val="28"/>
          <w:highlight w:val="none"/>
        </w:rPr>
        <w:tab/>
      </w:r>
      <w:r>
        <w:rPr>
          <w:rFonts w:hint="eastAsia" w:ascii="宋体" w:hAnsi="宋体"/>
          <w:b/>
          <w:color w:val="auto"/>
          <w:sz w:val="28"/>
          <w:szCs w:val="28"/>
          <w:highlight w:val="none"/>
        </w:rPr>
        <w:t xml:space="preserve">                   年   月   日</w:t>
      </w:r>
    </w:p>
    <w:p>
      <w:pPr>
        <w:rPr>
          <w:color w:val="auto"/>
          <w:highlight w:val="none"/>
        </w:rPr>
      </w:pPr>
    </w:p>
    <w:p>
      <w:pPr>
        <w:spacing w:before="64" w:line="228" w:lineRule="auto"/>
        <w:ind w:left="441"/>
        <w:rPr>
          <w:rFonts w:ascii="宋体" w:hAnsi="宋体" w:eastAsia="宋体" w:cs="宋体"/>
          <w:color w:val="auto"/>
          <w:spacing w:val="6"/>
          <w:sz w:val="20"/>
          <w:szCs w:val="20"/>
          <w:highlight w:val="none"/>
        </w:rPr>
      </w:pPr>
    </w:p>
    <w:sectPr>
      <w:headerReference r:id="rId5" w:type="default"/>
      <w:pgSz w:w="11906" w:h="16839"/>
      <w:pgMar w:top="1644" w:right="1531" w:bottom="1644" w:left="1531" w:header="0" w:footer="0" w:gutter="0"/>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D07083"/>
    <w:multiLevelType w:val="singleLevel"/>
    <w:tmpl w:val="5FD07083"/>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OGViN2ExNjFkNjQzNGU3M2M5ZWNkY2M2ZWEyNjE3NDQifQ=="/>
  </w:docVars>
  <w:rsids>
    <w:rsidRoot w:val="00000000"/>
    <w:rsid w:val="018477A2"/>
    <w:rsid w:val="027C5214"/>
    <w:rsid w:val="02E661D0"/>
    <w:rsid w:val="03401077"/>
    <w:rsid w:val="0370464D"/>
    <w:rsid w:val="038A3960"/>
    <w:rsid w:val="04787C5D"/>
    <w:rsid w:val="05E173F2"/>
    <w:rsid w:val="060C5957"/>
    <w:rsid w:val="088A4403"/>
    <w:rsid w:val="098D41AA"/>
    <w:rsid w:val="0ADA341F"/>
    <w:rsid w:val="0D1A7D33"/>
    <w:rsid w:val="0D4C612B"/>
    <w:rsid w:val="0D696CDD"/>
    <w:rsid w:val="0E5A6753"/>
    <w:rsid w:val="0FF42DF8"/>
    <w:rsid w:val="10B90CE5"/>
    <w:rsid w:val="11082B6B"/>
    <w:rsid w:val="13B80654"/>
    <w:rsid w:val="13F204FA"/>
    <w:rsid w:val="140212F1"/>
    <w:rsid w:val="15FD7224"/>
    <w:rsid w:val="16E015A8"/>
    <w:rsid w:val="16FC6614"/>
    <w:rsid w:val="17DD00AB"/>
    <w:rsid w:val="1E6C6833"/>
    <w:rsid w:val="1EE53CE9"/>
    <w:rsid w:val="211C0654"/>
    <w:rsid w:val="232C638A"/>
    <w:rsid w:val="23DA7B95"/>
    <w:rsid w:val="2527315F"/>
    <w:rsid w:val="257C53A7"/>
    <w:rsid w:val="26D23DFE"/>
    <w:rsid w:val="286073CA"/>
    <w:rsid w:val="29565F0F"/>
    <w:rsid w:val="2CA451E4"/>
    <w:rsid w:val="2F560A17"/>
    <w:rsid w:val="2FDC6EC4"/>
    <w:rsid w:val="3129184D"/>
    <w:rsid w:val="312D39F9"/>
    <w:rsid w:val="31800A2B"/>
    <w:rsid w:val="32F75005"/>
    <w:rsid w:val="35B069A7"/>
    <w:rsid w:val="36BF4542"/>
    <w:rsid w:val="37FC2378"/>
    <w:rsid w:val="386D0B7F"/>
    <w:rsid w:val="38DF7CCF"/>
    <w:rsid w:val="3995038E"/>
    <w:rsid w:val="3A4B4EF0"/>
    <w:rsid w:val="3A8C0D2C"/>
    <w:rsid w:val="3D581DFE"/>
    <w:rsid w:val="3D5D1D71"/>
    <w:rsid w:val="3E2963F7"/>
    <w:rsid w:val="3F0B2EA0"/>
    <w:rsid w:val="3FCD0FD6"/>
    <w:rsid w:val="3FCD73F8"/>
    <w:rsid w:val="3FE377E9"/>
    <w:rsid w:val="428471F1"/>
    <w:rsid w:val="437858F3"/>
    <w:rsid w:val="44525B7B"/>
    <w:rsid w:val="4504286C"/>
    <w:rsid w:val="457C35C9"/>
    <w:rsid w:val="45B20519"/>
    <w:rsid w:val="461D5CF7"/>
    <w:rsid w:val="4C066EC9"/>
    <w:rsid w:val="4EAF1A9A"/>
    <w:rsid w:val="50C80BF1"/>
    <w:rsid w:val="52500E9E"/>
    <w:rsid w:val="52B14033"/>
    <w:rsid w:val="52F43F1F"/>
    <w:rsid w:val="53DC195D"/>
    <w:rsid w:val="53F92DE6"/>
    <w:rsid w:val="53FC2850"/>
    <w:rsid w:val="54462559"/>
    <w:rsid w:val="544667B3"/>
    <w:rsid w:val="544E012E"/>
    <w:rsid w:val="5482420A"/>
    <w:rsid w:val="57B10631"/>
    <w:rsid w:val="585432CB"/>
    <w:rsid w:val="596931A4"/>
    <w:rsid w:val="596A0A97"/>
    <w:rsid w:val="5A1D3D5C"/>
    <w:rsid w:val="5B2B4710"/>
    <w:rsid w:val="5B33135D"/>
    <w:rsid w:val="5BD8413C"/>
    <w:rsid w:val="5C8D5D82"/>
    <w:rsid w:val="5C987F79"/>
    <w:rsid w:val="5DDC5CDC"/>
    <w:rsid w:val="5EF32D67"/>
    <w:rsid w:val="5EF77271"/>
    <w:rsid w:val="5FEA53DD"/>
    <w:rsid w:val="5FFD540F"/>
    <w:rsid w:val="60583D40"/>
    <w:rsid w:val="63533B79"/>
    <w:rsid w:val="63F67023"/>
    <w:rsid w:val="656B3961"/>
    <w:rsid w:val="66E71979"/>
    <w:rsid w:val="67254250"/>
    <w:rsid w:val="69140A20"/>
    <w:rsid w:val="693C57A1"/>
    <w:rsid w:val="69963BA7"/>
    <w:rsid w:val="69B05C37"/>
    <w:rsid w:val="6A0168C1"/>
    <w:rsid w:val="6A253C0A"/>
    <w:rsid w:val="6BA92718"/>
    <w:rsid w:val="6C514364"/>
    <w:rsid w:val="6CD45C3A"/>
    <w:rsid w:val="6D7A5CF2"/>
    <w:rsid w:val="6E361438"/>
    <w:rsid w:val="70454F85"/>
    <w:rsid w:val="70DB2D4E"/>
    <w:rsid w:val="715F07E9"/>
    <w:rsid w:val="71C04563"/>
    <w:rsid w:val="761A519B"/>
    <w:rsid w:val="76A41765"/>
    <w:rsid w:val="778C1E57"/>
    <w:rsid w:val="77996CC0"/>
    <w:rsid w:val="77E837A3"/>
    <w:rsid w:val="78106856"/>
    <w:rsid w:val="79DC7338"/>
    <w:rsid w:val="7B2160D5"/>
    <w:rsid w:val="7B917CAE"/>
    <w:rsid w:val="7D2D2AA7"/>
    <w:rsid w:val="7D413543"/>
    <w:rsid w:val="7D6F2271"/>
    <w:rsid w:val="7E056CE6"/>
    <w:rsid w:val="7E21356B"/>
    <w:rsid w:val="7E43578D"/>
    <w:rsid w:val="7FAA0E3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next w:val="1"/>
    <w:link w:val="13"/>
    <w:qFormat/>
    <w:uiPriority w:val="0"/>
    <w:pPr>
      <w:keepNext/>
      <w:keepLines/>
      <w:spacing w:line="259" w:lineRule="auto"/>
      <w:ind w:left="84" w:hanging="10"/>
      <w:jc w:val="center"/>
      <w:outlineLvl w:val="0"/>
    </w:pPr>
    <w:rPr>
      <w:rFonts w:ascii="微软雅黑" w:hAnsi="微软雅黑" w:eastAsia="微软雅黑" w:cs="Times New Roman"/>
      <w:color w:val="000000"/>
      <w:sz w:val="48"/>
      <w:szCs w:val="22"/>
      <w:lang w:val="en-US" w:eastAsia="zh-CN" w:bidi="ar-SA"/>
    </w:rPr>
  </w:style>
  <w:style w:type="character" w:default="1" w:styleId="10">
    <w:name w:val="Default Paragraph Font"/>
    <w:semiHidden/>
    <w:qFormat/>
    <w:uiPriority w:val="0"/>
  </w:style>
  <w:style w:type="table" w:default="1" w:styleId="8">
    <w:name w:val="Normal Table"/>
    <w:unhideWhenUsed/>
    <w:qFormat/>
    <w:uiPriority w:val="99"/>
    <w:tblPr>
      <w:tblCellMar>
        <w:top w:w="0" w:type="dxa"/>
        <w:left w:w="108" w:type="dxa"/>
        <w:bottom w:w="0" w:type="dxa"/>
        <w:right w:w="108" w:type="dxa"/>
      </w:tblCellMar>
    </w:tblPr>
  </w:style>
  <w:style w:type="paragraph" w:styleId="3">
    <w:name w:val="Normal Indent"/>
    <w:basedOn w:val="1"/>
    <w:next w:val="1"/>
    <w:qFormat/>
    <w:uiPriority w:val="0"/>
    <w:pPr>
      <w:ind w:firstLine="420"/>
    </w:pPr>
  </w:style>
  <w:style w:type="paragraph" w:styleId="4">
    <w:name w:val="Body Text"/>
    <w:basedOn w:val="1"/>
    <w:semiHidden/>
    <w:qFormat/>
    <w:uiPriority w:val="0"/>
    <w:rPr>
      <w:rFonts w:ascii="Arial" w:hAnsi="Arial" w:eastAsia="Arial" w:cs="Arial"/>
      <w:sz w:val="21"/>
      <w:szCs w:val="21"/>
      <w:lang w:val="en-US" w:eastAsia="en-US" w:bidi="ar-SA"/>
    </w:rPr>
  </w:style>
  <w:style w:type="paragraph" w:styleId="5">
    <w:name w:val="Plain Text"/>
    <w:basedOn w:val="1"/>
    <w:qFormat/>
    <w:uiPriority w:val="0"/>
    <w:rPr>
      <w:rFonts w:ascii="宋体" w:hAnsi="Courier New"/>
    </w:rPr>
  </w:style>
  <w:style w:type="paragraph" w:styleId="6">
    <w:name w:val="Date"/>
    <w:basedOn w:val="1"/>
    <w:next w:val="1"/>
    <w:qFormat/>
    <w:uiPriority w:val="0"/>
    <w:rPr>
      <w:sz w:val="24"/>
    </w:rPr>
  </w:style>
  <w:style w:type="paragraph" w:styleId="7">
    <w:name w:val="toc 1"/>
    <w:basedOn w:val="1"/>
    <w:next w:val="1"/>
    <w:qFormat/>
    <w:uiPriority w:val="99"/>
    <w:pPr>
      <w:spacing w:before="120" w:after="120"/>
      <w:jc w:val="left"/>
    </w:pPr>
    <w:rPr>
      <w:b/>
      <w:bCs/>
      <w:caps/>
      <w:sz w:val="20"/>
      <w:szCs w:val="2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Table Text"/>
    <w:basedOn w:val="1"/>
    <w:semiHidden/>
    <w:qFormat/>
    <w:uiPriority w:val="0"/>
    <w:rPr>
      <w:rFonts w:ascii="Arial" w:hAnsi="Arial" w:eastAsia="Arial" w:cs="Arial"/>
      <w:sz w:val="21"/>
      <w:szCs w:val="21"/>
      <w:lang w:val="en-US" w:eastAsia="en-US" w:bidi="ar-SA"/>
    </w:rPr>
  </w:style>
  <w:style w:type="character" w:customStyle="1" w:styleId="13">
    <w:name w:val="标题 1 Char"/>
    <w:link w:val="2"/>
    <w:qFormat/>
    <w:uiPriority w:val="0"/>
    <w:rPr>
      <w:rFonts w:ascii="微软雅黑" w:hAnsi="微软雅黑" w:eastAsia="微软雅黑"/>
      <w:color w:val="000000"/>
      <w:sz w:val="48"/>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14</Pages>
  <Words>6906</Words>
  <Characters>8169</Characters>
  <TotalTime>0</TotalTime>
  <ScaleCrop>false</ScaleCrop>
  <LinksUpToDate>false</LinksUpToDate>
  <CharactersWithSpaces>8544</CharactersWithSpaces>
  <Application>WPS Office_12.1.0.16910_F1E327BC-269C-435d-A152-05C5408002CA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2021-01-18T13:33:00Z</dcterms:created>
  <dc:creator>Admin</dc:creator>
  <cp:lastModifiedBy>王长路</cp:lastModifiedBy>
  <dcterms:modified xsi:type="dcterms:W3CDTF">2025-05-28T09:41:17Z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2025-03-10T16:48:02Z</vt:filetime>
  </property>
  <property fmtid="{D5CDD505-2E9C-101B-9397-08002B2CF9AE}" pid="4" name="KSOProductBuildVer">
    <vt:lpwstr>2052-12.1.0.16910</vt:lpwstr>
  </property>
  <property fmtid="{D5CDD505-2E9C-101B-9397-08002B2CF9AE}" pid="5" name="ICV">
    <vt:lpwstr>DC0578F699EC4D71895F48E3178FA12B_13</vt:lpwstr>
  </property>
  <property fmtid="{D5CDD505-2E9C-101B-9397-08002B2CF9AE}" pid="6" name="KSOTemplateDocerSaveRecord">
    <vt:lpwstr>eyJoZGlkIjoiYjExZTdkYjgxYTY3OTJhMDIwYWM3MmY3MjQxODYwMjciLCJ1c2VySWQiOiI0MDk2NDY1ODAifQ==</vt:lpwstr>
  </property>
</Properties>
</file>