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530" w:firstLineChars="700"/>
        <w:jc w:val="both"/>
        <w:rPr>
          <w:rFonts w:hint="eastAsia" w:ascii="华文中宋" w:hAnsi="华文中宋" w:eastAsia="华文中宋" w:cs="华文中宋"/>
          <w:b/>
          <w:sz w:val="36"/>
          <w:szCs w:val="36"/>
        </w:rPr>
      </w:pPr>
    </w:p>
    <w:p>
      <w:pPr>
        <w:spacing w:line="360" w:lineRule="auto"/>
        <w:ind w:firstLine="2530" w:firstLineChars="700"/>
        <w:jc w:val="both"/>
        <w:rPr>
          <w:rFonts w:hint="eastAsia" w:ascii="华文中宋" w:hAnsi="华文中宋" w:eastAsia="华文中宋" w:cs="华文中宋"/>
          <w:b/>
          <w:sz w:val="36"/>
          <w:szCs w:val="36"/>
        </w:rPr>
      </w:pP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科力耐材公司炉窑工程部3-6号高炉热风炉换球主材采购技术协议</w:t>
      </w:r>
    </w:p>
    <w:p>
      <w:pPr>
        <w:spacing w:line="360" w:lineRule="auto"/>
        <w:ind w:firstLine="1968" w:firstLineChars="700"/>
        <w:jc w:val="both"/>
        <w:rPr>
          <w:rFonts w:hint="eastAsia" w:ascii="仿宋_GB2312" w:hAnsi="仿宋_GB2312" w:eastAsia="仿宋_GB2312" w:cs="仿宋_GB2312"/>
          <w:b/>
          <w:sz w:val="28"/>
          <w:szCs w:val="28"/>
          <w:lang w:val="en-US" w:eastAsia="zh-CN"/>
        </w:rPr>
      </w:pPr>
    </w:p>
    <w:p>
      <w:pPr>
        <w:spacing w:line="360" w:lineRule="auto"/>
        <w:ind w:firstLine="3253" w:firstLineChars="900"/>
        <w:jc w:val="both"/>
        <w:rPr>
          <w:rFonts w:hint="eastAsia" w:ascii="宋体" w:hAnsi="宋体" w:eastAsia="宋体" w:cs="宋体"/>
          <w:b/>
          <w:sz w:val="36"/>
          <w:szCs w:val="36"/>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napToGrid w:val="0"/>
        <w:ind w:firstLine="1120" w:firstLineChars="4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甲方：</w:t>
      </w:r>
      <w:r>
        <w:rPr>
          <w:rFonts w:hint="eastAsia" w:asciiTheme="minorEastAsia" w:hAnsiTheme="minorEastAsia" w:eastAsiaTheme="minorEastAsia" w:cstheme="minorEastAsia"/>
          <w:b w:val="0"/>
          <w:bCs/>
          <w:color w:val="auto"/>
          <w:sz w:val="28"/>
          <w:szCs w:val="28"/>
          <w:lang w:val="en-US" w:eastAsia="zh-CN"/>
        </w:rPr>
        <w:t>甘肃酒钢集团科力耐火材料股份有限公司</w:t>
      </w:r>
    </w:p>
    <w:p>
      <w:pPr>
        <w:spacing w:line="360" w:lineRule="exact"/>
        <w:rPr>
          <w:rFonts w:hint="eastAsia" w:asciiTheme="minorEastAsia" w:hAnsiTheme="minorEastAsia" w:eastAsiaTheme="minorEastAsia" w:cstheme="minorEastAsia"/>
          <w:b w:val="0"/>
          <w:bCs/>
          <w:color w:val="auto"/>
          <w:sz w:val="28"/>
          <w:szCs w:val="28"/>
        </w:rPr>
      </w:pPr>
    </w:p>
    <w:p>
      <w:pPr>
        <w:snapToGrid w:val="0"/>
        <w:ind w:firstLine="1120" w:firstLineChars="4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乙方</w:t>
      </w:r>
      <w:r>
        <w:rPr>
          <w:rFonts w:hint="eastAsia" w:asciiTheme="minorEastAsia" w:hAnsiTheme="minorEastAsia" w:eastAsiaTheme="minorEastAsia" w:cstheme="minorEastAsia"/>
          <w:b w:val="0"/>
          <w:bCs/>
          <w:color w:val="auto"/>
          <w:sz w:val="28"/>
          <w:szCs w:val="28"/>
          <w:lang w:val="en-US" w:eastAsia="zh-CN"/>
        </w:rPr>
        <w:t>：</w:t>
      </w:r>
    </w:p>
    <w:p>
      <w:pPr>
        <w:snapToGrid w:val="0"/>
        <w:ind w:firstLine="1120" w:firstLineChars="400"/>
        <w:rPr>
          <w:rFonts w:hint="eastAsia" w:asciiTheme="minorEastAsia" w:hAnsiTheme="minorEastAsia" w:eastAsiaTheme="minorEastAsia" w:cstheme="minorEastAsia"/>
          <w:b w:val="0"/>
          <w:bCs/>
          <w:color w:val="auto"/>
          <w:sz w:val="28"/>
          <w:szCs w:val="28"/>
          <w:lang w:eastAsia="zh-CN"/>
        </w:rPr>
      </w:pPr>
    </w:p>
    <w:p>
      <w:pPr>
        <w:snapToGrid w:val="0"/>
        <w:ind w:firstLine="840" w:firstLineChars="300"/>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 xml:space="preserve">        签订地点：甘肃省嘉峪关市</w:t>
      </w:r>
    </w:p>
    <w:p>
      <w:pPr>
        <w:snapToGrid w:val="0"/>
        <w:ind w:firstLine="840" w:firstLineChars="300"/>
        <w:rPr>
          <w:rFonts w:hint="eastAsia" w:asciiTheme="minorEastAsia" w:hAnsiTheme="minorEastAsia" w:eastAsiaTheme="minorEastAsia" w:cstheme="minorEastAsia"/>
          <w:b w:val="0"/>
          <w:bCs/>
          <w:color w:val="auto"/>
          <w:sz w:val="28"/>
          <w:szCs w:val="28"/>
          <w:lang w:val="en-US" w:eastAsia="zh-CN"/>
        </w:rPr>
      </w:pPr>
    </w:p>
    <w:p>
      <w:pPr>
        <w:snapToGrid w:val="0"/>
        <w:ind w:firstLine="1960" w:firstLineChars="7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 xml:space="preserve">签订时间： </w:t>
      </w:r>
      <w:r>
        <w:rPr>
          <w:rFonts w:hint="eastAsia" w:asciiTheme="minorEastAsia" w:hAnsiTheme="minorEastAsia" w:eastAsiaTheme="minorEastAsia" w:cstheme="minorEastAsia"/>
          <w:b w:val="0"/>
          <w:bCs/>
          <w:color w:val="auto"/>
          <w:sz w:val="28"/>
          <w:szCs w:val="28"/>
          <w:lang w:val="en-US" w:eastAsia="zh-CN"/>
        </w:rPr>
        <w:t xml:space="preserve">2022 </w:t>
      </w:r>
      <w:r>
        <w:rPr>
          <w:rFonts w:hint="eastAsia" w:asciiTheme="minorEastAsia" w:hAnsiTheme="minorEastAsia" w:eastAsiaTheme="minorEastAsia" w:cstheme="minorEastAsia"/>
          <w:b w:val="0"/>
          <w:bCs/>
          <w:color w:val="auto"/>
          <w:sz w:val="28"/>
          <w:szCs w:val="28"/>
        </w:rPr>
        <w:t xml:space="preserve">年 </w:t>
      </w:r>
      <w:r>
        <w:rPr>
          <w:rFonts w:hint="eastAsia" w:asciiTheme="minorEastAsia" w:hAnsiTheme="minorEastAsia" w:eastAsiaTheme="minorEastAsia" w:cstheme="minorEastAsia"/>
          <w:b w:val="0"/>
          <w:bCs/>
          <w:color w:val="auto"/>
          <w:sz w:val="28"/>
          <w:szCs w:val="28"/>
          <w:lang w:val="en-US" w:eastAsia="zh-CN"/>
        </w:rPr>
        <w:t xml:space="preserve">  </w:t>
      </w:r>
      <w:r>
        <w:rPr>
          <w:rFonts w:hint="eastAsia" w:asciiTheme="minorEastAsia" w:hAnsiTheme="minorEastAsia" w:eastAsiaTheme="minorEastAsia" w:cstheme="minorEastAsia"/>
          <w:b w:val="0"/>
          <w:bCs/>
          <w:color w:val="auto"/>
          <w:sz w:val="28"/>
          <w:szCs w:val="28"/>
        </w:rPr>
        <w:t>月</w:t>
      </w:r>
      <w:r>
        <w:rPr>
          <w:rFonts w:hint="eastAsia" w:asciiTheme="minorEastAsia" w:hAnsiTheme="minorEastAsia" w:eastAsiaTheme="minorEastAsia" w:cstheme="minorEastAsia"/>
          <w:b w:val="0"/>
          <w:bCs/>
          <w:color w:val="auto"/>
          <w:sz w:val="28"/>
          <w:szCs w:val="28"/>
          <w:lang w:val="en-US" w:eastAsia="zh-CN"/>
        </w:rPr>
        <w:t xml:space="preserve">   </w:t>
      </w:r>
      <w:r>
        <w:rPr>
          <w:rFonts w:hint="eastAsia" w:asciiTheme="minorEastAsia" w:hAnsiTheme="minorEastAsia" w:eastAsiaTheme="minorEastAsia" w:cstheme="minorEastAsia"/>
          <w:b w:val="0"/>
          <w:bCs/>
          <w:color w:val="auto"/>
          <w:sz w:val="28"/>
          <w:szCs w:val="28"/>
        </w:rPr>
        <w:t>日</w:t>
      </w:r>
    </w:p>
    <w:p>
      <w:pPr>
        <w:spacing w:line="360" w:lineRule="auto"/>
        <w:jc w:val="both"/>
        <w:rPr>
          <w:rFonts w:hint="eastAsia" w:ascii="仿宋_GB2312" w:hAnsi="仿宋_GB2312" w:eastAsia="仿宋_GB2312" w:cs="仿宋_GB2312"/>
          <w:b/>
          <w:sz w:val="28"/>
          <w:szCs w:val="28"/>
          <w:lang w:eastAsia="zh-CN"/>
        </w:rPr>
      </w:pPr>
    </w:p>
    <w:p>
      <w:pPr>
        <w:snapToGrid w:val="0"/>
        <w:spacing w:line="360" w:lineRule="auto"/>
        <w:jc w:val="center"/>
        <w:rPr>
          <w:rFonts w:hint="eastAsia" w:ascii="宋体" w:hAnsi="宋体"/>
          <w:b/>
          <w:color w:val="000000"/>
          <w:sz w:val="32"/>
          <w:szCs w:val="32"/>
        </w:rPr>
      </w:pPr>
      <w:r>
        <w:rPr>
          <w:rFonts w:hint="eastAsia" w:ascii="宋体" w:hAnsi="宋体"/>
          <w:b/>
          <w:color w:val="000000"/>
          <w:sz w:val="32"/>
          <w:szCs w:val="32"/>
        </w:rPr>
        <w:t>高炉热风炉年修项目耐火球</w:t>
      </w:r>
    </w:p>
    <w:p>
      <w:pPr>
        <w:snapToGrid w:val="0"/>
        <w:spacing w:line="360" w:lineRule="auto"/>
        <w:jc w:val="center"/>
        <w:rPr>
          <w:rFonts w:hint="eastAsia" w:ascii="宋体" w:hAnsi="宋体"/>
          <w:b/>
          <w:color w:val="000000"/>
          <w:sz w:val="32"/>
          <w:szCs w:val="32"/>
        </w:rPr>
      </w:pPr>
      <w:r>
        <w:rPr>
          <w:rFonts w:hint="eastAsia" w:ascii="宋体" w:hAnsi="宋体"/>
          <w:b/>
          <w:color w:val="000000"/>
          <w:sz w:val="32"/>
          <w:szCs w:val="32"/>
        </w:rPr>
        <w:t>供货技术协议</w:t>
      </w:r>
    </w:p>
    <w:p>
      <w:pPr>
        <w:snapToGrid w:val="0"/>
        <w:spacing w:line="360" w:lineRule="auto"/>
        <w:jc w:val="center"/>
        <w:rPr>
          <w:rFonts w:hint="eastAsia" w:ascii="宋体" w:hAnsi="宋体"/>
          <w:b/>
          <w:color w:val="000000"/>
          <w:sz w:val="32"/>
          <w:szCs w:val="32"/>
        </w:rPr>
      </w:pPr>
    </w:p>
    <w:p>
      <w:pPr>
        <w:snapToGrid w:val="0"/>
        <w:spacing w:line="360" w:lineRule="auto"/>
        <w:ind w:firstLine="720" w:firstLineChars="300"/>
        <w:rPr>
          <w:rFonts w:hint="eastAsia" w:ascii="宋体" w:hAnsi="宋体"/>
          <w:color w:val="0000FF"/>
          <w:sz w:val="24"/>
          <w:u w:val="single"/>
        </w:rPr>
      </w:pPr>
      <w:r>
        <w:rPr>
          <w:rFonts w:hint="eastAsia" w:ascii="宋体" w:hAnsi="宋体"/>
          <w:sz w:val="24"/>
        </w:rPr>
        <w:t>甘肃酒钢集团科力耐火材料股份有限公司（以下简称甲方）与</w:t>
      </w:r>
      <w:r>
        <w:rPr>
          <w:rFonts w:hint="eastAsia" w:ascii="宋体" w:hAnsi="宋体"/>
          <w:color w:val="0000FF"/>
          <w:sz w:val="24"/>
          <w:u w:val="single"/>
        </w:rPr>
        <w:t xml:space="preserve">                </w:t>
      </w:r>
    </w:p>
    <w:p>
      <w:pPr>
        <w:snapToGrid w:val="0"/>
        <w:spacing w:line="360" w:lineRule="auto"/>
        <w:rPr>
          <w:rFonts w:hint="eastAsia" w:ascii="宋体" w:hAnsi="宋体"/>
          <w:sz w:val="24"/>
        </w:rPr>
      </w:pPr>
      <w:r>
        <w:rPr>
          <w:rFonts w:hint="eastAsia" w:ascii="宋体" w:hAnsi="宋体"/>
          <w:color w:val="0000FF"/>
          <w:sz w:val="24"/>
          <w:u w:val="single"/>
        </w:rPr>
        <w:t xml:space="preserve">                </w:t>
      </w:r>
      <w:r>
        <w:rPr>
          <w:rFonts w:hint="eastAsia" w:ascii="宋体" w:hAnsi="宋体"/>
          <w:sz w:val="24"/>
        </w:rPr>
        <w:t>（以下简称乙方）就酒钢炼铁厂热风炉用耐火球、耐火砖等供货技术事宜进行洽谈，经双方协商，达成如下协议：</w:t>
      </w:r>
    </w:p>
    <w:p>
      <w:pPr>
        <w:snapToGrid w:val="0"/>
        <w:spacing w:line="360" w:lineRule="auto"/>
        <w:rPr>
          <w:rFonts w:hint="eastAsia" w:ascii="宋体" w:hAnsi="宋体"/>
          <w:b/>
          <w:sz w:val="24"/>
        </w:rPr>
      </w:pPr>
      <w:r>
        <w:rPr>
          <w:rFonts w:hint="eastAsia" w:ascii="宋体" w:hAnsi="宋体"/>
          <w:b/>
          <w:sz w:val="24"/>
        </w:rPr>
        <w:t>附件一  总则</w:t>
      </w:r>
    </w:p>
    <w:p>
      <w:pPr>
        <w:snapToGrid w:val="0"/>
        <w:spacing w:line="360" w:lineRule="auto"/>
        <w:ind w:firstLine="480" w:firstLineChars="200"/>
        <w:rPr>
          <w:rFonts w:hint="eastAsia" w:ascii="宋体" w:hAnsi="宋体"/>
          <w:sz w:val="24"/>
        </w:rPr>
      </w:pPr>
      <w:r>
        <w:rPr>
          <w:rFonts w:hint="eastAsia" w:ascii="宋体" w:hAnsi="宋体"/>
          <w:sz w:val="24"/>
        </w:rPr>
        <w:t>1.1  本技术协议作为甲方产品订货合同的附件，与订货合同同时生效，具有同等法律效力。合同执行期间双方再协商形成的补充协议和追加条款也具有同等法律效力。</w:t>
      </w:r>
    </w:p>
    <w:p>
      <w:pPr>
        <w:snapToGrid w:val="0"/>
        <w:spacing w:line="360" w:lineRule="auto"/>
        <w:ind w:firstLine="480" w:firstLineChars="200"/>
        <w:rPr>
          <w:rFonts w:hint="eastAsia" w:ascii="宋体" w:hAnsi="宋体"/>
          <w:sz w:val="24"/>
        </w:rPr>
      </w:pPr>
      <w:r>
        <w:rPr>
          <w:rFonts w:hint="eastAsia" w:ascii="宋体" w:hAnsi="宋体"/>
          <w:sz w:val="24"/>
        </w:rPr>
        <w:t>1.2  本技术协议所提出的是最低材料的技术要求，对一切技术细节和有关标准和规范不详细的，乙方应保证提供符合国家或行业有关标准和技术文件的优质产品。</w:t>
      </w:r>
    </w:p>
    <w:p>
      <w:pPr>
        <w:snapToGrid w:val="0"/>
        <w:spacing w:line="360" w:lineRule="auto"/>
        <w:ind w:firstLine="480" w:firstLineChars="200"/>
        <w:rPr>
          <w:rFonts w:hint="eastAsia" w:ascii="宋体" w:hAnsi="宋体"/>
          <w:sz w:val="24"/>
        </w:rPr>
      </w:pPr>
      <w:r>
        <w:rPr>
          <w:rFonts w:hint="eastAsia" w:ascii="宋体" w:hAnsi="宋体"/>
          <w:sz w:val="24"/>
        </w:rPr>
        <w:t>1.3  乙方提供的产品必须具有国内同行业近几年内的先进制造水平，采用先进工艺，合格材料，成熟的技术或专利技术。</w:t>
      </w:r>
    </w:p>
    <w:p>
      <w:pPr>
        <w:snapToGrid w:val="0"/>
        <w:spacing w:line="360" w:lineRule="auto"/>
        <w:ind w:firstLine="480" w:firstLineChars="200"/>
        <w:rPr>
          <w:rFonts w:hint="eastAsia" w:ascii="宋体" w:hAnsi="宋体"/>
          <w:sz w:val="24"/>
        </w:rPr>
      </w:pPr>
      <w:r>
        <w:rPr>
          <w:rFonts w:hint="eastAsia" w:ascii="宋体" w:hAnsi="宋体"/>
          <w:sz w:val="24"/>
        </w:rPr>
        <w:t>1.4  乙方提供的产品必须是全新、规范、先进的高质量可靠产品，能够确保连续稳定的工作。</w:t>
      </w:r>
    </w:p>
    <w:p>
      <w:pPr>
        <w:snapToGrid w:val="0"/>
        <w:spacing w:line="360" w:lineRule="auto"/>
        <w:ind w:firstLine="480" w:firstLineChars="200"/>
        <w:rPr>
          <w:rFonts w:hint="eastAsia" w:ascii="宋体" w:hAnsi="宋体"/>
          <w:sz w:val="24"/>
        </w:rPr>
      </w:pPr>
      <w:r>
        <w:rPr>
          <w:rFonts w:hint="eastAsia" w:ascii="宋体" w:hAnsi="宋体"/>
          <w:sz w:val="24"/>
        </w:rPr>
        <w:t>1.5  乙方提供货物的制造，材料的选择，都应按照国内外通用的现行标准和相应的技术规范执行，而这些标准和技术规范应为合同签字日为止最新公布发问的标准和技术规范。</w:t>
      </w:r>
    </w:p>
    <w:p>
      <w:pPr>
        <w:snapToGrid w:val="0"/>
        <w:spacing w:line="360" w:lineRule="auto"/>
        <w:ind w:firstLine="480" w:firstLineChars="200"/>
        <w:rPr>
          <w:rFonts w:hint="eastAsia" w:ascii="宋体" w:hAnsi="宋体"/>
          <w:sz w:val="24"/>
        </w:rPr>
      </w:pPr>
      <w:r>
        <w:rPr>
          <w:rFonts w:hint="eastAsia" w:ascii="宋体" w:hAnsi="宋体"/>
          <w:sz w:val="24"/>
        </w:rPr>
        <w:t>1.6  乙方须对热风炉系统耐火球使用质量承担全部责任。保证设备设计满足热风炉系统工艺要求。</w:t>
      </w:r>
    </w:p>
    <w:p>
      <w:pPr>
        <w:snapToGrid w:val="0"/>
        <w:spacing w:line="360" w:lineRule="auto"/>
        <w:ind w:firstLine="480" w:firstLineChars="200"/>
        <w:rPr>
          <w:rFonts w:hint="eastAsia" w:ascii="宋体" w:hAnsi="宋体"/>
          <w:sz w:val="24"/>
        </w:rPr>
      </w:pPr>
      <w:r>
        <w:rPr>
          <w:rFonts w:hint="eastAsia" w:ascii="宋体" w:hAnsi="宋体"/>
          <w:sz w:val="24"/>
        </w:rPr>
        <w:t>1.7  乙方在合同货物制造中，发生侵犯专利的行为时其侵权责任与甲方无关。</w:t>
      </w:r>
    </w:p>
    <w:p>
      <w:pPr>
        <w:snapToGrid w:val="0"/>
        <w:spacing w:line="360" w:lineRule="auto"/>
        <w:rPr>
          <w:rFonts w:hint="eastAsia" w:ascii="宋体" w:hAnsi="宋体"/>
          <w:sz w:val="24"/>
        </w:rPr>
      </w:pPr>
      <w:r>
        <w:rPr>
          <w:rFonts w:hint="eastAsia" w:ascii="宋体" w:hAnsi="宋体"/>
          <w:b/>
          <w:sz w:val="24"/>
        </w:rPr>
        <w:t>附件二  工程简介</w:t>
      </w:r>
    </w:p>
    <w:p>
      <w:pPr>
        <w:snapToGrid w:val="0"/>
        <w:spacing w:line="360" w:lineRule="auto"/>
        <w:ind w:firstLine="435"/>
        <w:rPr>
          <w:rFonts w:hint="eastAsia" w:ascii="宋体" w:hAnsi="宋体"/>
          <w:sz w:val="24"/>
        </w:rPr>
      </w:pPr>
      <w:r>
        <w:rPr>
          <w:rFonts w:hint="eastAsia" w:ascii="宋体" w:hAnsi="宋体"/>
          <w:sz w:val="24"/>
        </w:rPr>
        <w:t>高炉配套热风炉</w:t>
      </w:r>
      <w:r>
        <w:rPr>
          <w:rFonts w:hint="eastAsia" w:ascii="宋体" w:hAnsi="宋体"/>
          <w:sz w:val="24"/>
          <w:lang w:eastAsia="zh-CN"/>
        </w:rPr>
        <w:t>维修</w:t>
      </w:r>
      <w:r>
        <w:rPr>
          <w:rFonts w:hint="eastAsia" w:ascii="宋体" w:hAnsi="宋体"/>
          <w:sz w:val="24"/>
        </w:rPr>
        <w:t>耐火</w:t>
      </w:r>
      <w:r>
        <w:rPr>
          <w:rFonts w:hint="eastAsia" w:ascii="宋体" w:hAnsi="宋体"/>
          <w:sz w:val="24"/>
          <w:lang w:eastAsia="zh-CN"/>
        </w:rPr>
        <w:t>材料</w:t>
      </w:r>
      <w:r>
        <w:rPr>
          <w:rFonts w:hint="eastAsia" w:ascii="宋体" w:hAnsi="宋体"/>
          <w:sz w:val="24"/>
        </w:rPr>
        <w:t>供货。</w:t>
      </w:r>
    </w:p>
    <w:p>
      <w:pPr>
        <w:snapToGrid w:val="0"/>
        <w:spacing w:line="360" w:lineRule="auto"/>
        <w:rPr>
          <w:rFonts w:hint="eastAsia" w:ascii="宋体" w:hAnsi="宋体"/>
          <w:b/>
          <w:sz w:val="24"/>
        </w:rPr>
      </w:pPr>
      <w:r>
        <w:rPr>
          <w:rFonts w:hint="eastAsia" w:ascii="宋体" w:hAnsi="宋体"/>
          <w:b/>
          <w:sz w:val="24"/>
        </w:rPr>
        <w:t>附件三  供货范围</w:t>
      </w:r>
    </w:p>
    <w:p>
      <w:pPr>
        <w:snapToGrid w:val="0"/>
        <w:spacing w:line="360" w:lineRule="auto"/>
        <w:ind w:firstLine="435"/>
        <w:rPr>
          <w:rFonts w:hint="eastAsia" w:ascii="宋体" w:hAnsi="宋体"/>
          <w:sz w:val="24"/>
        </w:rPr>
      </w:pPr>
      <w:r>
        <w:rPr>
          <w:rFonts w:hint="eastAsia" w:ascii="宋体" w:hAnsi="宋体"/>
          <w:sz w:val="24"/>
        </w:rPr>
        <w:t>供货范围：</w:t>
      </w:r>
    </w:p>
    <w:p>
      <w:pPr>
        <w:snapToGrid w:val="0"/>
        <w:spacing w:line="360" w:lineRule="auto"/>
        <w:ind w:firstLine="435"/>
        <w:rPr>
          <w:rFonts w:hint="eastAsia" w:ascii="宋体" w:hAnsi="宋体"/>
          <w:sz w:val="24"/>
        </w:rPr>
      </w:pPr>
      <w:r>
        <w:rPr>
          <w:rFonts w:hint="eastAsia" w:ascii="宋体" w:hAnsi="宋体"/>
          <w:sz w:val="24"/>
          <w:lang w:val="en-US" w:eastAsia="zh-CN"/>
        </w:rPr>
        <w:t>1、</w:t>
      </w:r>
      <w:r>
        <w:rPr>
          <w:rFonts w:hint="eastAsia" w:ascii="宋体" w:hAnsi="宋体"/>
          <w:sz w:val="24"/>
        </w:rPr>
        <w:t>耐火球</w:t>
      </w:r>
      <w:r>
        <w:rPr>
          <w:rFonts w:hint="eastAsia" w:ascii="宋体" w:hAnsi="宋体"/>
          <w:sz w:val="24"/>
          <w:lang w:eastAsia="zh-CN"/>
        </w:rPr>
        <w:t>用量</w:t>
      </w:r>
      <w:r>
        <w:rPr>
          <w:rFonts w:hint="eastAsia" w:ascii="宋体" w:hAnsi="宋体"/>
          <w:sz w:val="24"/>
        </w:rPr>
        <w:t>（所有耐火球需机制）。</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5"/>
        <w:gridCol w:w="2430"/>
        <w:gridCol w:w="1080"/>
        <w:gridCol w:w="795"/>
        <w:gridCol w:w="108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数量（吨）</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高铝耐火球</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lang w:val="en-US"/>
              </w:rPr>
            </w:pPr>
            <w:r>
              <w:rPr>
                <w:rFonts w:hint="eastAsia"/>
                <w:lang w:val="en-US" w:eastAsia="zh-CN"/>
              </w:rPr>
              <w:t>390</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高铝耐火球</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lang w:val="en-US"/>
              </w:rPr>
            </w:pPr>
            <w:r>
              <w:rPr>
                <w:rFonts w:hint="eastAsia"/>
                <w:lang w:val="en-US" w:eastAsia="zh-CN"/>
              </w:rPr>
              <w:t>250</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高铝耐火球</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lang w:val="en-US"/>
              </w:rPr>
            </w:pPr>
            <w:r>
              <w:rPr>
                <w:rFonts w:hint="eastAsia"/>
                <w:lang w:val="en-US" w:eastAsia="zh-CN"/>
              </w:rPr>
              <w:t>140</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780</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rPr>
          <w:rFonts w:hint="eastAsia" w:ascii="宋体" w:hAnsi="宋体"/>
        </w:rPr>
      </w:pPr>
    </w:p>
    <w:p>
      <w:pPr>
        <w:numPr>
          <w:ilvl w:val="0"/>
          <w:numId w:val="1"/>
        </w:numPr>
        <w:snapToGrid w:val="0"/>
        <w:spacing w:line="360" w:lineRule="auto"/>
        <w:ind w:firstLine="435"/>
        <w:rPr>
          <w:rFonts w:hint="eastAsia" w:ascii="宋体" w:hAnsi="宋体"/>
          <w:sz w:val="24"/>
          <w:lang w:val="en-US" w:eastAsia="zh-CN"/>
        </w:rPr>
      </w:pPr>
      <w:r>
        <w:rPr>
          <w:rFonts w:hint="eastAsia" w:ascii="宋体" w:hAnsi="宋体"/>
          <w:sz w:val="24"/>
          <w:lang w:val="en-US" w:eastAsia="zh-CN"/>
        </w:rPr>
        <w:t>耐火砖、料用量</w:t>
      </w:r>
    </w:p>
    <w:tbl>
      <w:tblPr>
        <w:tblStyle w:val="10"/>
        <w:tblW w:w="9780" w:type="dxa"/>
        <w:tblInd w:w="-5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
        <w:gridCol w:w="540"/>
        <w:gridCol w:w="1515"/>
        <w:gridCol w:w="1230"/>
        <w:gridCol w:w="1365"/>
        <w:gridCol w:w="615"/>
        <w:gridCol w:w="780"/>
        <w:gridCol w:w="720"/>
        <w:gridCol w:w="660"/>
        <w:gridCol w:w="82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9780"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热风炉拱顶修复材料需求表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使用部位</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砖号</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规格号</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（公斤）</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总重</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66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损耗</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82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牌号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8250" w:type="dxa"/>
            <w:gridSpan w:val="9"/>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定型耐火材料</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迷宫墙</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R-1</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230×150×75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低蠕变高铝砖</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4.90</w:t>
            </w:r>
          </w:p>
        </w:tc>
        <w:tc>
          <w:tcPr>
            <w:tcW w:w="66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0.15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DRB</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迷宫墙部位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R-3</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230×150/135×75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低蠕变高铝砖</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6.6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 </w:t>
            </w:r>
          </w:p>
        </w:tc>
        <w:tc>
          <w:tcPr>
            <w:tcW w:w="66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 xml:space="preserve">3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DRB</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迷宫墙部位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炉墙</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T-3</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230*114*65</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粘土砖</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145.63</w:t>
            </w:r>
          </w:p>
        </w:tc>
        <w:tc>
          <w:tcPr>
            <w:tcW w:w="66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4.37</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含同配比泥浆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155.15</w:t>
            </w:r>
            <w:r>
              <w:rPr>
                <w:rFonts w:hint="eastAsia" w:ascii="宋体" w:hAnsi="宋体" w:eastAsia="宋体" w:cs="宋体"/>
                <w:i w:val="0"/>
                <w:color w:val="000000"/>
                <w:kern w:val="0"/>
                <w:sz w:val="21"/>
                <w:szCs w:val="21"/>
                <w:u w:val="none"/>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4.85</w:t>
            </w:r>
            <w:r>
              <w:rPr>
                <w:rFonts w:hint="eastAsia" w:ascii="宋体" w:hAnsi="宋体" w:eastAsia="宋体" w:cs="宋体"/>
                <w:i w:val="0"/>
                <w:color w:val="000000"/>
                <w:kern w:val="0"/>
                <w:sz w:val="21"/>
                <w:szCs w:val="21"/>
                <w:u w:val="none"/>
                <w:lang w:val="en-US" w:eastAsia="zh-CN" w:bidi="ar"/>
              </w:rPr>
              <w:t xml:space="preserve">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825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不定型耐火材料</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炉墙修补</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材料名称</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标准号</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数量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单重</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总重</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损耗（吨）</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4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磷酸盐耐火泥浆</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LP-65</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 xml:space="preserve">0.00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 xml:space="preserve">0.00 </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 xml:space="preserve">.00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w:t>
            </w:r>
            <w:r>
              <w:rPr>
                <w:rFonts w:hint="eastAsia" w:ascii="宋体" w:hAnsi="宋体" w:eastAsia="宋体" w:cs="宋体"/>
                <w:i w:val="0"/>
                <w:color w:val="000000"/>
                <w:sz w:val="21"/>
                <w:szCs w:val="21"/>
                <w:u w:val="none"/>
                <w:lang w:val="en-US" w:eastAsia="zh-CN"/>
              </w:rPr>
              <w:t>0</w:t>
            </w:r>
            <w:r>
              <w:rPr>
                <w:rFonts w:hint="eastAsia" w:ascii="宋体" w:hAnsi="宋体" w:cs="宋体"/>
                <w:i w:val="0"/>
                <w:color w:val="000000"/>
                <w:sz w:val="21"/>
                <w:szCs w:val="21"/>
                <w:u w:val="none"/>
                <w:lang w:val="en-US" w:eastAsia="zh-CN"/>
              </w:rPr>
              <w:t>.00</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w:t>
            </w:r>
            <w:r>
              <w:rPr>
                <w:rFonts w:hint="eastAsia" w:ascii="宋体" w:hAnsi="宋体" w:eastAsia="宋体" w:cs="宋体"/>
                <w:i w:val="0"/>
                <w:color w:val="000000"/>
                <w:sz w:val="21"/>
                <w:szCs w:val="21"/>
                <w:u w:val="none"/>
                <w:lang w:val="en-US" w:eastAsia="zh-CN"/>
              </w:rPr>
              <w:t>.00</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snapToGrid w:val="0"/>
        <w:spacing w:line="360" w:lineRule="auto"/>
        <w:rPr>
          <w:rFonts w:hint="eastAsia" w:ascii="宋体" w:hAnsi="宋体"/>
          <w:b/>
          <w:sz w:val="24"/>
        </w:rPr>
      </w:pPr>
      <w:r>
        <w:rPr>
          <w:rFonts w:hint="eastAsia" w:ascii="宋体" w:hAnsi="宋体"/>
          <w:b/>
          <w:sz w:val="24"/>
        </w:rPr>
        <w:t>附件四  理化指标</w:t>
      </w:r>
    </w:p>
    <w:p>
      <w:pPr>
        <w:snapToGrid w:val="0"/>
        <w:spacing w:line="360" w:lineRule="auto"/>
        <w:ind w:firstLine="360" w:firstLineChars="150"/>
        <w:rPr>
          <w:rFonts w:hint="eastAsia" w:ascii="宋体" w:hAnsi="宋体"/>
          <w:sz w:val="24"/>
        </w:rPr>
      </w:pPr>
      <w:r>
        <w:rPr>
          <w:rFonts w:hint="eastAsia" w:ascii="宋体" w:hAnsi="宋体"/>
          <w:sz w:val="24"/>
        </w:rPr>
        <w:t>4.1低蠕变高铝</w:t>
      </w:r>
      <w:r>
        <w:rPr>
          <w:rFonts w:hint="eastAsia" w:ascii="宋体" w:hAnsi="宋体"/>
          <w:sz w:val="24"/>
          <w:lang w:eastAsia="zh-CN"/>
        </w:rPr>
        <w:t>耐火球</w:t>
      </w:r>
      <w:r>
        <w:rPr>
          <w:rFonts w:hint="eastAsia" w:ascii="宋体" w:hAnsi="宋体"/>
          <w:sz w:val="24"/>
        </w:rPr>
        <w:t>理化指标</w:t>
      </w:r>
    </w:p>
    <w:tbl>
      <w:tblPr>
        <w:tblStyle w:val="10"/>
        <w:tblW w:w="0" w:type="auto"/>
        <w:jc w:val="center"/>
        <w:tblLayout w:type="fixed"/>
        <w:tblCellMar>
          <w:top w:w="0" w:type="dxa"/>
          <w:left w:w="108" w:type="dxa"/>
          <w:bottom w:w="0" w:type="dxa"/>
          <w:right w:w="108" w:type="dxa"/>
        </w:tblCellMar>
      </w:tblPr>
      <w:tblGrid>
        <w:gridCol w:w="1227"/>
        <w:gridCol w:w="505"/>
        <w:gridCol w:w="947"/>
        <w:gridCol w:w="1656"/>
        <w:gridCol w:w="1584"/>
        <w:gridCol w:w="1620"/>
      </w:tblGrid>
      <w:tr>
        <w:tblPrEx>
          <w:tblCellMar>
            <w:top w:w="0" w:type="dxa"/>
            <w:left w:w="108" w:type="dxa"/>
            <w:bottom w:w="0" w:type="dxa"/>
            <w:right w:w="108" w:type="dxa"/>
          </w:tblCellMar>
        </w:tblPrEx>
        <w:trPr>
          <w:trHeight w:val="848" w:hRule="atLeast"/>
          <w:jc w:val="center"/>
        </w:trPr>
        <w:tc>
          <w:tcPr>
            <w:tcW w:w="2679" w:type="dxa"/>
            <w:gridSpan w:val="3"/>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类别</w:t>
            </w:r>
          </w:p>
        </w:tc>
        <w:tc>
          <w:tcPr>
            <w:tcW w:w="16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Φ40低蠕变</w:t>
            </w:r>
          </w:p>
          <w:p>
            <w:pPr>
              <w:jc w:val="center"/>
              <w:rPr>
                <w:rFonts w:ascii="宋体" w:hAnsi="宋体" w:cs="宋体"/>
                <w:kern w:val="0"/>
                <w:szCs w:val="21"/>
              </w:rPr>
            </w:pPr>
            <w:r>
              <w:rPr>
                <w:rFonts w:hint="eastAsia" w:ascii="宋体" w:hAnsi="宋体" w:cs="宋体"/>
                <w:kern w:val="0"/>
                <w:szCs w:val="21"/>
              </w:rPr>
              <w:t>高铝质耐火球</w:t>
            </w:r>
          </w:p>
        </w:tc>
        <w:tc>
          <w:tcPr>
            <w:tcW w:w="1584"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Φ60低蠕变</w:t>
            </w:r>
          </w:p>
          <w:p>
            <w:pPr>
              <w:jc w:val="center"/>
              <w:rPr>
                <w:rFonts w:ascii="宋体" w:hAnsi="宋体" w:cs="宋体"/>
                <w:kern w:val="0"/>
                <w:szCs w:val="21"/>
              </w:rPr>
            </w:pPr>
            <w:r>
              <w:rPr>
                <w:rFonts w:hint="eastAsia" w:ascii="宋体" w:hAnsi="宋体" w:cs="宋体"/>
                <w:kern w:val="0"/>
                <w:szCs w:val="21"/>
              </w:rPr>
              <w:t>高铝质耐火球</w:t>
            </w:r>
          </w:p>
        </w:tc>
        <w:tc>
          <w:tcPr>
            <w:tcW w:w="1620"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Φ80低蠕变</w:t>
            </w:r>
          </w:p>
          <w:p>
            <w:pPr>
              <w:jc w:val="center"/>
              <w:rPr>
                <w:rFonts w:ascii="宋体" w:hAnsi="宋体" w:cs="宋体"/>
                <w:kern w:val="0"/>
                <w:szCs w:val="21"/>
              </w:rPr>
            </w:pPr>
            <w:r>
              <w:rPr>
                <w:rFonts w:hint="eastAsia" w:ascii="宋体" w:hAnsi="宋体" w:cs="宋体"/>
                <w:kern w:val="0"/>
                <w:szCs w:val="21"/>
              </w:rPr>
              <w:t>高铝质耐火球</w:t>
            </w:r>
          </w:p>
        </w:tc>
      </w:tr>
      <w:tr>
        <w:tblPrEx>
          <w:tblCellMar>
            <w:top w:w="0" w:type="dxa"/>
            <w:left w:w="108" w:type="dxa"/>
            <w:bottom w:w="0" w:type="dxa"/>
            <w:right w:w="108" w:type="dxa"/>
          </w:tblCellMar>
        </w:tblPrEx>
        <w:trPr>
          <w:trHeight w:val="311" w:hRule="atLeast"/>
          <w:jc w:val="center"/>
        </w:trPr>
        <w:tc>
          <w:tcPr>
            <w:tcW w:w="1227"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耐火度</w:t>
            </w:r>
          </w:p>
        </w:tc>
        <w:tc>
          <w:tcPr>
            <w:tcW w:w="1452" w:type="dxa"/>
            <w:gridSpan w:val="2"/>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6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宋体" w:hAnsi="宋体" w:cs="宋体"/>
                <w:kern w:val="0"/>
                <w:szCs w:val="21"/>
                <w:lang w:val="en-US"/>
              </w:rPr>
            </w:pPr>
            <w:r>
              <w:rPr>
                <w:rFonts w:hint="eastAsia" w:ascii="宋体" w:hAnsi="宋体" w:cs="宋体"/>
                <w:kern w:val="0"/>
                <w:szCs w:val="21"/>
              </w:rPr>
              <w:t>≥17</w:t>
            </w:r>
            <w:r>
              <w:rPr>
                <w:rFonts w:hint="eastAsia" w:ascii="宋体" w:hAnsi="宋体" w:cs="宋体"/>
                <w:kern w:val="0"/>
                <w:szCs w:val="21"/>
                <w:lang w:val="en-US" w:eastAsia="zh-CN"/>
              </w:rPr>
              <w:t>90</w:t>
            </w:r>
          </w:p>
        </w:tc>
        <w:tc>
          <w:tcPr>
            <w:tcW w:w="1584"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≥1790</w:t>
            </w:r>
          </w:p>
        </w:tc>
        <w:tc>
          <w:tcPr>
            <w:tcW w:w="1620"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≥1790</w:t>
            </w:r>
          </w:p>
        </w:tc>
      </w:tr>
      <w:tr>
        <w:tblPrEx>
          <w:tblCellMar>
            <w:top w:w="0" w:type="dxa"/>
            <w:left w:w="108" w:type="dxa"/>
            <w:bottom w:w="0" w:type="dxa"/>
            <w:right w:w="108" w:type="dxa"/>
          </w:tblCellMar>
        </w:tblPrEx>
        <w:trPr>
          <w:trHeight w:val="432" w:hRule="atLeast"/>
          <w:jc w:val="center"/>
        </w:trPr>
        <w:tc>
          <w:tcPr>
            <w:tcW w:w="1227"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荷重软化温度</w:t>
            </w:r>
          </w:p>
        </w:tc>
        <w:tc>
          <w:tcPr>
            <w:tcW w:w="1452" w:type="dxa"/>
            <w:gridSpan w:val="2"/>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656"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148</w:t>
            </w:r>
            <w:r>
              <w:rPr>
                <w:rFonts w:hint="eastAsia" w:ascii="宋体" w:hAnsi="宋体" w:cs="宋体"/>
                <w:kern w:val="0"/>
                <w:szCs w:val="21"/>
              </w:rPr>
              <w:t>0</w:t>
            </w:r>
          </w:p>
        </w:tc>
        <w:tc>
          <w:tcPr>
            <w:tcW w:w="1584"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r>
              <w:rPr>
                <w:rFonts w:hint="eastAsia" w:ascii="宋体" w:hAnsi="宋体" w:cs="宋体"/>
                <w:kern w:val="0"/>
                <w:szCs w:val="21"/>
                <w:lang w:val="en-US" w:eastAsia="zh-CN"/>
              </w:rPr>
              <w:t>5</w:t>
            </w:r>
            <w:r>
              <w:rPr>
                <w:rFonts w:hint="eastAsia" w:ascii="宋体" w:hAnsi="宋体" w:cs="宋体"/>
                <w:kern w:val="0"/>
                <w:szCs w:val="21"/>
              </w:rPr>
              <w:t>0</w:t>
            </w:r>
          </w:p>
        </w:tc>
        <w:tc>
          <w:tcPr>
            <w:tcW w:w="1620"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r>
              <w:rPr>
                <w:rFonts w:hint="eastAsia" w:ascii="宋体" w:hAnsi="宋体" w:cs="宋体"/>
                <w:kern w:val="0"/>
                <w:szCs w:val="21"/>
                <w:lang w:val="en-US" w:eastAsia="zh-CN"/>
              </w:rPr>
              <w:t>5</w:t>
            </w:r>
            <w:r>
              <w:rPr>
                <w:rFonts w:hint="eastAsia" w:ascii="宋体" w:hAnsi="宋体" w:cs="宋体"/>
                <w:kern w:val="0"/>
                <w:szCs w:val="21"/>
              </w:rPr>
              <w:t>0</w:t>
            </w:r>
          </w:p>
        </w:tc>
      </w:tr>
      <w:tr>
        <w:tblPrEx>
          <w:tblCellMar>
            <w:top w:w="0" w:type="dxa"/>
            <w:left w:w="108" w:type="dxa"/>
            <w:bottom w:w="0" w:type="dxa"/>
            <w:right w:w="108" w:type="dxa"/>
          </w:tblCellMar>
        </w:tblPrEx>
        <w:trPr>
          <w:trHeight w:val="311" w:hRule="atLeast"/>
          <w:jc w:val="center"/>
        </w:trPr>
        <w:tc>
          <w:tcPr>
            <w:tcW w:w="1227"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显气孔率</w:t>
            </w:r>
          </w:p>
        </w:tc>
        <w:tc>
          <w:tcPr>
            <w:tcW w:w="1452" w:type="dxa"/>
            <w:gridSpan w:val="2"/>
            <w:tcBorders>
              <w:top w:val="single" w:color="auto" w:sz="8" w:space="0"/>
              <w:left w:val="nil"/>
              <w:bottom w:val="single" w:color="auto" w:sz="8" w:space="0"/>
              <w:right w:val="single" w:color="000000" w:sz="8" w:space="0"/>
            </w:tcBorders>
            <w:noWrap w:val="0"/>
            <w:vAlign w:val="center"/>
          </w:tcPr>
          <w:p>
            <w:pPr>
              <w:widowControl/>
              <w:jc w:val="center"/>
              <w:rPr>
                <w:kern w:val="0"/>
                <w:szCs w:val="21"/>
              </w:rPr>
            </w:pPr>
            <w:r>
              <w:rPr>
                <w:kern w:val="0"/>
                <w:szCs w:val="21"/>
              </w:rPr>
              <w:t>%</w:t>
            </w:r>
          </w:p>
        </w:tc>
        <w:tc>
          <w:tcPr>
            <w:tcW w:w="1656"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23</w:t>
            </w:r>
          </w:p>
        </w:tc>
        <w:tc>
          <w:tcPr>
            <w:tcW w:w="1584"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22</w:t>
            </w:r>
          </w:p>
        </w:tc>
        <w:tc>
          <w:tcPr>
            <w:tcW w:w="162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22</w:t>
            </w:r>
          </w:p>
        </w:tc>
      </w:tr>
      <w:tr>
        <w:tblPrEx>
          <w:tblCellMar>
            <w:top w:w="0" w:type="dxa"/>
            <w:left w:w="108" w:type="dxa"/>
            <w:bottom w:w="0" w:type="dxa"/>
            <w:right w:w="108" w:type="dxa"/>
          </w:tblCellMar>
        </w:tblPrEx>
        <w:trPr>
          <w:trHeight w:val="311" w:hRule="atLeast"/>
          <w:jc w:val="center"/>
        </w:trPr>
        <w:tc>
          <w:tcPr>
            <w:tcW w:w="1227"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体密</w:t>
            </w:r>
          </w:p>
        </w:tc>
        <w:tc>
          <w:tcPr>
            <w:tcW w:w="1452" w:type="dxa"/>
            <w:gridSpan w:val="2"/>
            <w:tcBorders>
              <w:top w:val="single" w:color="auto" w:sz="8" w:space="0"/>
              <w:left w:val="nil"/>
              <w:bottom w:val="single" w:color="auto" w:sz="8" w:space="0"/>
              <w:right w:val="single" w:color="000000" w:sz="8" w:space="0"/>
            </w:tcBorders>
            <w:noWrap w:val="0"/>
            <w:vAlign w:val="center"/>
          </w:tcPr>
          <w:p>
            <w:pPr>
              <w:widowControl/>
              <w:jc w:val="center"/>
              <w:rPr>
                <w:kern w:val="0"/>
                <w:szCs w:val="21"/>
              </w:rPr>
            </w:pPr>
            <w:r>
              <w:rPr>
                <w:kern w:val="0"/>
                <w:szCs w:val="21"/>
              </w:rPr>
              <w:t>t/m</w:t>
            </w:r>
            <w:r>
              <w:rPr>
                <w:rFonts w:hint="eastAsia" w:ascii="宋体" w:hAnsi="宋体"/>
                <w:kern w:val="0"/>
                <w:szCs w:val="21"/>
              </w:rPr>
              <w:t>³</w:t>
            </w:r>
          </w:p>
        </w:tc>
        <w:tc>
          <w:tcPr>
            <w:tcW w:w="1656"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2.35</w:t>
            </w:r>
            <w:r>
              <w:rPr>
                <w:kern w:val="0"/>
                <w:szCs w:val="21"/>
              </w:rPr>
              <w:t>~</w:t>
            </w:r>
            <w:r>
              <w:rPr>
                <w:rFonts w:hint="eastAsia" w:ascii="宋体" w:hAnsi="宋体" w:cs="宋体"/>
                <w:kern w:val="0"/>
                <w:szCs w:val="21"/>
              </w:rPr>
              <w:t>2.5</w:t>
            </w:r>
          </w:p>
        </w:tc>
        <w:tc>
          <w:tcPr>
            <w:tcW w:w="1584"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2.</w:t>
            </w:r>
            <w:r>
              <w:rPr>
                <w:kern w:val="0"/>
                <w:szCs w:val="21"/>
              </w:rPr>
              <w:t xml:space="preserve"> </w:t>
            </w:r>
            <w:r>
              <w:rPr>
                <w:rFonts w:hint="eastAsia" w:ascii="宋体" w:hAnsi="宋体" w:cs="宋体"/>
                <w:kern w:val="0"/>
                <w:szCs w:val="21"/>
              </w:rPr>
              <w:t>5</w:t>
            </w:r>
            <w:r>
              <w:rPr>
                <w:kern w:val="0"/>
                <w:szCs w:val="21"/>
              </w:rPr>
              <w:t>~</w:t>
            </w:r>
            <w:r>
              <w:rPr>
                <w:rFonts w:hint="eastAsia" w:ascii="宋体" w:hAnsi="宋体" w:cs="宋体"/>
                <w:kern w:val="0"/>
                <w:szCs w:val="21"/>
              </w:rPr>
              <w:t>2.</w:t>
            </w:r>
            <w:r>
              <w:rPr>
                <w:rFonts w:hint="eastAsia" w:ascii="宋体" w:hAnsi="宋体" w:cs="宋体"/>
                <w:kern w:val="0"/>
                <w:szCs w:val="21"/>
                <w:lang w:val="en-US" w:eastAsia="zh-CN"/>
              </w:rPr>
              <w:t>6</w:t>
            </w:r>
          </w:p>
        </w:tc>
        <w:tc>
          <w:tcPr>
            <w:tcW w:w="162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kern w:val="0"/>
                <w:szCs w:val="21"/>
                <w:lang w:val="en-US" w:eastAsia="zh-CN"/>
              </w:rPr>
              <w:t>6</w:t>
            </w:r>
            <w:r>
              <w:rPr>
                <w:kern w:val="0"/>
                <w:szCs w:val="21"/>
              </w:rPr>
              <w:t>~</w:t>
            </w:r>
            <w:r>
              <w:rPr>
                <w:rFonts w:hint="eastAsia" w:ascii="宋体" w:hAnsi="宋体" w:cs="宋体"/>
                <w:kern w:val="0"/>
                <w:szCs w:val="21"/>
              </w:rPr>
              <w:t>2.</w:t>
            </w:r>
            <w:r>
              <w:rPr>
                <w:rFonts w:hint="eastAsia" w:ascii="宋体" w:hAnsi="宋体" w:cs="宋体"/>
                <w:kern w:val="0"/>
                <w:szCs w:val="21"/>
                <w:lang w:val="en-US" w:eastAsia="zh-CN"/>
              </w:rPr>
              <w:t>7</w:t>
            </w:r>
          </w:p>
        </w:tc>
      </w:tr>
      <w:tr>
        <w:tblPrEx>
          <w:tblCellMar>
            <w:top w:w="0" w:type="dxa"/>
            <w:left w:w="108" w:type="dxa"/>
            <w:bottom w:w="0" w:type="dxa"/>
            <w:right w:w="108" w:type="dxa"/>
          </w:tblCellMar>
        </w:tblPrEx>
        <w:trPr>
          <w:trHeight w:val="575" w:hRule="atLeast"/>
          <w:jc w:val="center"/>
        </w:trPr>
        <w:tc>
          <w:tcPr>
            <w:tcW w:w="1227"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常温耐压</w:t>
            </w:r>
          </w:p>
        </w:tc>
        <w:tc>
          <w:tcPr>
            <w:tcW w:w="1452"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kern w:val="0"/>
                <w:szCs w:val="21"/>
              </w:rPr>
            </w:pPr>
            <w:r>
              <w:rPr>
                <w:kern w:val="0"/>
                <w:szCs w:val="21"/>
              </w:rPr>
              <w:t>KN/</w:t>
            </w:r>
            <w:r>
              <w:rPr>
                <w:rFonts w:hint="eastAsia" w:ascii="宋体" w:hAnsi="宋体"/>
                <w:kern w:val="0"/>
                <w:szCs w:val="21"/>
              </w:rPr>
              <w:t>球、</w:t>
            </w:r>
            <w:r>
              <w:rPr>
                <w:kern w:val="0"/>
                <w:szCs w:val="21"/>
              </w:rPr>
              <w:t>KN</w:t>
            </w:r>
            <w:r>
              <w:rPr>
                <w:rFonts w:hint="eastAsia"/>
                <w:kern w:val="0"/>
                <w:szCs w:val="21"/>
              </w:rPr>
              <w:t xml:space="preserve"> </w:t>
            </w:r>
          </w:p>
        </w:tc>
        <w:tc>
          <w:tcPr>
            <w:tcW w:w="1656" w:type="dxa"/>
            <w:tcBorders>
              <w:top w:val="nil"/>
              <w:left w:val="nil"/>
              <w:bottom w:val="single" w:color="auto" w:sz="8" w:space="0"/>
              <w:right w:val="single" w:color="auto" w:sz="8" w:space="0"/>
            </w:tcBorders>
            <w:noWrap w:val="0"/>
            <w:vAlign w:val="center"/>
          </w:tcPr>
          <w:p>
            <w:pPr>
              <w:widowControl/>
              <w:jc w:val="center"/>
              <w:rPr>
                <w:rFonts w:hint="eastAsia" w:eastAsia="宋体"/>
                <w:kern w:val="0"/>
                <w:szCs w:val="21"/>
                <w:lang w:val="en-US" w:eastAsia="zh-CN"/>
              </w:rPr>
            </w:pPr>
            <w:r>
              <w:rPr>
                <w:rFonts w:hint="eastAsia" w:ascii="宋体" w:hAnsi="宋体" w:cs="宋体"/>
                <w:kern w:val="0"/>
                <w:szCs w:val="21"/>
                <w:lang w:val="en-US" w:eastAsia="zh-CN"/>
              </w:rPr>
              <w:t>1100～15000</w:t>
            </w:r>
          </w:p>
        </w:tc>
        <w:tc>
          <w:tcPr>
            <w:tcW w:w="1584"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18000</w:t>
            </w:r>
          </w:p>
        </w:tc>
        <w:tc>
          <w:tcPr>
            <w:tcW w:w="162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18000</w:t>
            </w:r>
          </w:p>
        </w:tc>
      </w:tr>
      <w:tr>
        <w:tblPrEx>
          <w:tblCellMar>
            <w:top w:w="0" w:type="dxa"/>
            <w:left w:w="108" w:type="dxa"/>
            <w:bottom w:w="0" w:type="dxa"/>
            <w:right w:w="108" w:type="dxa"/>
          </w:tblCellMar>
        </w:tblPrEx>
        <w:trPr>
          <w:trHeight w:val="311" w:hRule="atLeast"/>
          <w:jc w:val="center"/>
        </w:trPr>
        <w:tc>
          <w:tcPr>
            <w:tcW w:w="1227"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蠕变率</w:t>
            </w:r>
            <w:r>
              <w:rPr>
                <w:kern w:val="0"/>
                <w:szCs w:val="21"/>
              </w:rPr>
              <w:t>%</w:t>
            </w:r>
          </w:p>
        </w:tc>
        <w:tc>
          <w:tcPr>
            <w:tcW w:w="1452"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宋体" w:hAnsi="宋体"/>
                <w:kern w:val="0"/>
                <w:szCs w:val="21"/>
              </w:rPr>
            </w:pPr>
            <w:r>
              <w:rPr>
                <w:kern w:val="0"/>
                <w:szCs w:val="21"/>
              </w:rPr>
              <w:t>0.2Mpa</w:t>
            </w:r>
            <w:r>
              <w:rPr>
                <w:rFonts w:hint="eastAsia" w:ascii="宋体" w:hAnsi="宋体"/>
                <w:kern w:val="0"/>
                <w:szCs w:val="21"/>
              </w:rPr>
              <w:t>*5h*</w:t>
            </w:r>
          </w:p>
          <w:p>
            <w:pPr>
              <w:widowControl/>
              <w:jc w:val="center"/>
              <w:rPr>
                <w:kern w:val="0"/>
                <w:szCs w:val="21"/>
              </w:rPr>
            </w:pPr>
            <w:r>
              <w:rPr>
                <w:rFonts w:hint="eastAsia" w:ascii="宋体" w:hAnsi="宋体"/>
                <w:kern w:val="0"/>
                <w:szCs w:val="21"/>
              </w:rPr>
              <w:t>1400℃</w:t>
            </w:r>
          </w:p>
        </w:tc>
        <w:tc>
          <w:tcPr>
            <w:tcW w:w="1656"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1584"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w:t>
            </w:r>
            <w:r>
              <w:rPr>
                <w:rFonts w:hint="eastAsia" w:ascii="宋体" w:hAnsi="宋体" w:cs="宋体"/>
                <w:kern w:val="0"/>
                <w:szCs w:val="21"/>
                <w:lang w:val="en-US" w:eastAsia="zh-CN"/>
              </w:rPr>
              <w:t>3</w:t>
            </w:r>
          </w:p>
        </w:tc>
        <w:tc>
          <w:tcPr>
            <w:tcW w:w="162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w:t>
            </w:r>
            <w:r>
              <w:rPr>
                <w:rFonts w:hint="eastAsia" w:ascii="宋体" w:hAnsi="宋体" w:cs="宋体"/>
                <w:kern w:val="0"/>
                <w:szCs w:val="21"/>
                <w:lang w:val="en-US" w:eastAsia="zh-CN"/>
              </w:rPr>
              <w:t>3</w:t>
            </w:r>
          </w:p>
        </w:tc>
      </w:tr>
      <w:tr>
        <w:tblPrEx>
          <w:tblCellMar>
            <w:top w:w="0" w:type="dxa"/>
            <w:left w:w="108" w:type="dxa"/>
            <w:bottom w:w="0" w:type="dxa"/>
            <w:right w:w="108" w:type="dxa"/>
          </w:tblCellMar>
        </w:tblPrEx>
        <w:trPr>
          <w:trHeight w:val="311" w:hRule="atLeast"/>
          <w:jc w:val="center"/>
        </w:trPr>
        <w:tc>
          <w:tcPr>
            <w:tcW w:w="122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重烧线变化率</w:t>
            </w:r>
          </w:p>
        </w:tc>
        <w:tc>
          <w:tcPr>
            <w:tcW w:w="505" w:type="dxa"/>
            <w:vMerge w:val="restart"/>
            <w:tcBorders>
              <w:top w:val="nil"/>
              <w:left w:val="single" w:color="auto" w:sz="8" w:space="0"/>
              <w:bottom w:val="single" w:color="000000" w:sz="8" w:space="0"/>
              <w:right w:val="single" w:color="auto" w:sz="8" w:space="0"/>
            </w:tcBorders>
            <w:noWrap w:val="0"/>
            <w:vAlign w:val="center"/>
          </w:tcPr>
          <w:p>
            <w:pPr>
              <w:widowControl/>
              <w:jc w:val="center"/>
              <w:rPr>
                <w:kern w:val="0"/>
                <w:szCs w:val="21"/>
              </w:rPr>
            </w:pPr>
            <w:r>
              <w:rPr>
                <w:kern w:val="0"/>
                <w:szCs w:val="21"/>
              </w:rPr>
              <w:t>%</w:t>
            </w:r>
          </w:p>
        </w:tc>
        <w:tc>
          <w:tcPr>
            <w:tcW w:w="94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℃*h</w:t>
            </w:r>
          </w:p>
        </w:tc>
        <w:tc>
          <w:tcPr>
            <w:tcW w:w="1656" w:type="dxa"/>
            <w:tcBorders>
              <w:top w:val="nil"/>
              <w:left w:val="nil"/>
              <w:bottom w:val="single" w:color="auto" w:sz="8" w:space="0"/>
              <w:right w:val="single" w:color="auto" w:sz="8" w:space="0"/>
            </w:tcBorders>
            <w:noWrap w:val="0"/>
            <w:vAlign w:val="center"/>
          </w:tcPr>
          <w:p>
            <w:pPr>
              <w:widowControl/>
              <w:jc w:val="center"/>
              <w:rPr>
                <w:kern w:val="0"/>
                <w:szCs w:val="21"/>
              </w:rPr>
            </w:pPr>
            <w:r>
              <w:rPr>
                <w:kern w:val="0"/>
                <w:szCs w:val="21"/>
              </w:rPr>
              <w:t>1450*2</w:t>
            </w:r>
          </w:p>
        </w:tc>
        <w:tc>
          <w:tcPr>
            <w:tcW w:w="1584" w:type="dxa"/>
            <w:tcBorders>
              <w:top w:val="nil"/>
              <w:left w:val="nil"/>
              <w:bottom w:val="single" w:color="auto" w:sz="8" w:space="0"/>
              <w:right w:val="single" w:color="auto" w:sz="8" w:space="0"/>
            </w:tcBorders>
            <w:noWrap w:val="0"/>
            <w:vAlign w:val="center"/>
          </w:tcPr>
          <w:p>
            <w:pPr>
              <w:widowControl/>
              <w:jc w:val="center"/>
              <w:rPr>
                <w:kern w:val="0"/>
                <w:szCs w:val="21"/>
              </w:rPr>
            </w:pPr>
            <w:r>
              <w:rPr>
                <w:kern w:val="0"/>
                <w:szCs w:val="21"/>
              </w:rPr>
              <w:t>1450*2</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Cs w:val="21"/>
              </w:rPr>
            </w:pPr>
            <w:r>
              <w:rPr>
                <w:kern w:val="0"/>
                <w:szCs w:val="21"/>
              </w:rPr>
              <w:t>1450*2</w:t>
            </w:r>
          </w:p>
        </w:tc>
      </w:tr>
      <w:tr>
        <w:tblPrEx>
          <w:tblCellMar>
            <w:top w:w="0" w:type="dxa"/>
            <w:left w:w="108" w:type="dxa"/>
            <w:bottom w:w="0" w:type="dxa"/>
            <w:right w:w="108" w:type="dxa"/>
          </w:tblCellMar>
        </w:tblPrEx>
        <w:trPr>
          <w:trHeight w:val="311" w:hRule="atLeast"/>
          <w:jc w:val="center"/>
        </w:trPr>
        <w:tc>
          <w:tcPr>
            <w:tcW w:w="122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Cs w:val="21"/>
              </w:rPr>
            </w:pPr>
          </w:p>
        </w:tc>
        <w:tc>
          <w:tcPr>
            <w:tcW w:w="505" w:type="dxa"/>
            <w:vMerge w:val="continue"/>
            <w:tcBorders>
              <w:top w:val="nil"/>
              <w:left w:val="single" w:color="auto" w:sz="8" w:space="0"/>
              <w:bottom w:val="single" w:color="000000" w:sz="8" w:space="0"/>
              <w:right w:val="single" w:color="auto" w:sz="8" w:space="0"/>
            </w:tcBorders>
            <w:noWrap w:val="0"/>
            <w:vAlign w:val="center"/>
          </w:tcPr>
          <w:p>
            <w:pPr>
              <w:widowControl/>
              <w:jc w:val="left"/>
              <w:rPr>
                <w:kern w:val="0"/>
                <w:szCs w:val="21"/>
              </w:rPr>
            </w:pPr>
          </w:p>
        </w:tc>
        <w:tc>
          <w:tcPr>
            <w:tcW w:w="947" w:type="dxa"/>
            <w:tcBorders>
              <w:top w:val="nil"/>
              <w:left w:val="nil"/>
              <w:bottom w:val="single" w:color="auto" w:sz="8" w:space="0"/>
              <w:right w:val="single" w:color="auto" w:sz="8" w:space="0"/>
            </w:tcBorders>
            <w:noWrap w:val="0"/>
            <w:vAlign w:val="center"/>
          </w:tcPr>
          <w:p>
            <w:pPr>
              <w:widowControl/>
              <w:jc w:val="center"/>
              <w:rPr>
                <w:kern w:val="0"/>
                <w:szCs w:val="21"/>
              </w:rPr>
            </w:pPr>
            <w:r>
              <w:rPr>
                <w:kern w:val="0"/>
                <w:szCs w:val="21"/>
              </w:rPr>
              <w:t>%</w:t>
            </w:r>
          </w:p>
        </w:tc>
        <w:tc>
          <w:tcPr>
            <w:tcW w:w="1656" w:type="dxa"/>
            <w:tcBorders>
              <w:top w:val="nil"/>
              <w:left w:val="nil"/>
              <w:bottom w:val="single" w:color="auto" w:sz="8" w:space="0"/>
              <w:right w:val="single" w:color="auto" w:sz="8" w:space="0"/>
            </w:tcBorders>
            <w:noWrap w:val="0"/>
            <w:vAlign w:val="center"/>
          </w:tcPr>
          <w:p>
            <w:pPr>
              <w:widowControl/>
              <w:jc w:val="center"/>
              <w:rPr>
                <w:kern w:val="0"/>
                <w:szCs w:val="21"/>
              </w:rPr>
            </w:pPr>
          </w:p>
        </w:tc>
        <w:tc>
          <w:tcPr>
            <w:tcW w:w="1584" w:type="dxa"/>
            <w:tcBorders>
              <w:top w:val="nil"/>
              <w:left w:val="nil"/>
              <w:bottom w:val="single" w:color="auto" w:sz="8" w:space="0"/>
              <w:right w:val="single" w:color="auto" w:sz="8" w:space="0"/>
            </w:tcBorders>
            <w:noWrap w:val="0"/>
            <w:vAlign w:val="center"/>
          </w:tcPr>
          <w:p>
            <w:pPr>
              <w:widowControl/>
              <w:jc w:val="center"/>
              <w:rPr>
                <w:kern w:val="0"/>
                <w:szCs w:val="21"/>
              </w:rPr>
            </w:pP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Cs w:val="21"/>
              </w:rPr>
            </w:pPr>
          </w:p>
        </w:tc>
      </w:tr>
      <w:tr>
        <w:tblPrEx>
          <w:tblCellMar>
            <w:top w:w="0" w:type="dxa"/>
            <w:left w:w="108" w:type="dxa"/>
            <w:bottom w:w="0" w:type="dxa"/>
            <w:right w:w="108" w:type="dxa"/>
          </w:tblCellMar>
        </w:tblPrEx>
        <w:trPr>
          <w:trHeight w:val="311" w:hRule="atLeast"/>
          <w:jc w:val="center"/>
        </w:trPr>
        <w:tc>
          <w:tcPr>
            <w:tcW w:w="122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主要化学成份</w:t>
            </w:r>
          </w:p>
        </w:tc>
        <w:tc>
          <w:tcPr>
            <w:tcW w:w="505" w:type="dxa"/>
            <w:vMerge w:val="restart"/>
            <w:tcBorders>
              <w:top w:val="nil"/>
              <w:left w:val="single" w:color="auto" w:sz="8" w:space="0"/>
              <w:bottom w:val="single" w:color="000000" w:sz="8" w:space="0"/>
              <w:right w:val="single" w:color="auto" w:sz="8" w:space="0"/>
            </w:tcBorders>
            <w:noWrap w:val="0"/>
            <w:vAlign w:val="center"/>
          </w:tcPr>
          <w:p>
            <w:pPr>
              <w:widowControl/>
              <w:jc w:val="center"/>
              <w:rPr>
                <w:kern w:val="0"/>
                <w:szCs w:val="21"/>
              </w:rPr>
            </w:pPr>
            <w:r>
              <w:rPr>
                <w:kern w:val="0"/>
                <w:szCs w:val="21"/>
              </w:rPr>
              <w:t>%</w:t>
            </w:r>
          </w:p>
        </w:tc>
        <w:tc>
          <w:tcPr>
            <w:tcW w:w="947" w:type="dxa"/>
            <w:tcBorders>
              <w:top w:val="nil"/>
              <w:left w:val="nil"/>
              <w:bottom w:val="single" w:color="auto" w:sz="8" w:space="0"/>
              <w:right w:val="single" w:color="auto" w:sz="8" w:space="0"/>
            </w:tcBorders>
            <w:noWrap w:val="0"/>
            <w:vAlign w:val="top"/>
          </w:tcPr>
          <w:p>
            <w:pPr>
              <w:widowControl/>
              <w:jc w:val="left"/>
              <w:rPr>
                <w:kern w:val="0"/>
                <w:szCs w:val="21"/>
              </w:rPr>
            </w:pPr>
            <w:r>
              <w:rPr>
                <w:kern w:val="0"/>
                <w:szCs w:val="21"/>
              </w:rPr>
              <w:t>Al</w:t>
            </w:r>
            <w:r>
              <w:rPr>
                <w:kern w:val="0"/>
                <w:szCs w:val="21"/>
                <w:vertAlign w:val="subscript"/>
              </w:rPr>
              <w:t>2</w:t>
            </w:r>
            <w:r>
              <w:rPr>
                <w:kern w:val="0"/>
                <w:szCs w:val="21"/>
              </w:rPr>
              <w:t>O</w:t>
            </w:r>
            <w:r>
              <w:rPr>
                <w:kern w:val="0"/>
                <w:szCs w:val="21"/>
                <w:vertAlign w:val="subscript"/>
              </w:rPr>
              <w:t>3</w:t>
            </w:r>
          </w:p>
        </w:tc>
        <w:tc>
          <w:tcPr>
            <w:tcW w:w="1656" w:type="dxa"/>
            <w:tcBorders>
              <w:top w:val="nil"/>
              <w:left w:val="nil"/>
              <w:bottom w:val="single" w:color="auto" w:sz="8" w:space="0"/>
              <w:right w:val="single" w:color="auto" w:sz="8"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65</w:t>
            </w:r>
            <w:r>
              <w:rPr>
                <w:kern w:val="0"/>
                <w:szCs w:val="21"/>
              </w:rPr>
              <w:t>~</w:t>
            </w:r>
            <w:r>
              <w:rPr>
                <w:rFonts w:hint="eastAsia" w:ascii="宋体" w:hAnsi="宋体" w:cs="宋体"/>
                <w:kern w:val="0"/>
                <w:szCs w:val="21"/>
                <w:lang w:val="en-US" w:eastAsia="zh-CN"/>
              </w:rPr>
              <w:t>70</w:t>
            </w:r>
          </w:p>
        </w:tc>
        <w:tc>
          <w:tcPr>
            <w:tcW w:w="1584" w:type="dxa"/>
            <w:tcBorders>
              <w:top w:val="nil"/>
              <w:left w:val="nil"/>
              <w:bottom w:val="single" w:color="auto" w:sz="8" w:space="0"/>
              <w:right w:val="single" w:color="auto" w:sz="8"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65</w:t>
            </w:r>
            <w:r>
              <w:rPr>
                <w:kern w:val="0"/>
                <w:szCs w:val="21"/>
              </w:rPr>
              <w:t>~</w:t>
            </w:r>
            <w:r>
              <w:rPr>
                <w:rFonts w:hint="eastAsia" w:ascii="宋体" w:hAnsi="宋体" w:cs="宋体"/>
                <w:kern w:val="0"/>
                <w:szCs w:val="21"/>
                <w:lang w:val="en-US" w:eastAsia="zh-CN"/>
              </w:rPr>
              <w:t>70</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65</w:t>
            </w:r>
            <w:r>
              <w:rPr>
                <w:kern w:val="0"/>
                <w:szCs w:val="21"/>
              </w:rPr>
              <w:t>~</w:t>
            </w:r>
            <w:r>
              <w:rPr>
                <w:rFonts w:hint="eastAsia" w:ascii="宋体" w:hAnsi="宋体" w:cs="宋体"/>
                <w:kern w:val="0"/>
                <w:szCs w:val="21"/>
                <w:lang w:val="en-US" w:eastAsia="zh-CN"/>
              </w:rPr>
              <w:t>70</w:t>
            </w:r>
          </w:p>
        </w:tc>
      </w:tr>
      <w:tr>
        <w:tblPrEx>
          <w:tblCellMar>
            <w:top w:w="0" w:type="dxa"/>
            <w:left w:w="108" w:type="dxa"/>
            <w:bottom w:w="0" w:type="dxa"/>
            <w:right w:w="108" w:type="dxa"/>
          </w:tblCellMar>
        </w:tblPrEx>
        <w:trPr>
          <w:trHeight w:val="311" w:hRule="atLeast"/>
          <w:jc w:val="center"/>
        </w:trPr>
        <w:tc>
          <w:tcPr>
            <w:tcW w:w="122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kern w:val="0"/>
                <w:szCs w:val="21"/>
              </w:rPr>
            </w:pPr>
          </w:p>
        </w:tc>
        <w:tc>
          <w:tcPr>
            <w:tcW w:w="505" w:type="dxa"/>
            <w:vMerge w:val="continue"/>
            <w:tcBorders>
              <w:top w:val="nil"/>
              <w:left w:val="single" w:color="auto" w:sz="8" w:space="0"/>
              <w:bottom w:val="single" w:color="000000" w:sz="8" w:space="0"/>
              <w:right w:val="single" w:color="auto" w:sz="8" w:space="0"/>
            </w:tcBorders>
            <w:noWrap w:val="0"/>
            <w:vAlign w:val="center"/>
          </w:tcPr>
          <w:p>
            <w:pPr>
              <w:widowControl/>
              <w:jc w:val="left"/>
              <w:rPr>
                <w:kern w:val="0"/>
                <w:szCs w:val="21"/>
              </w:rPr>
            </w:pPr>
          </w:p>
        </w:tc>
        <w:tc>
          <w:tcPr>
            <w:tcW w:w="947" w:type="dxa"/>
            <w:tcBorders>
              <w:top w:val="nil"/>
              <w:left w:val="nil"/>
              <w:bottom w:val="single" w:color="auto" w:sz="8" w:space="0"/>
              <w:right w:val="single" w:color="auto" w:sz="8" w:space="0"/>
            </w:tcBorders>
            <w:noWrap w:val="0"/>
            <w:vAlign w:val="center"/>
          </w:tcPr>
          <w:p>
            <w:pPr>
              <w:widowControl/>
              <w:jc w:val="center"/>
              <w:rPr>
                <w:kern w:val="0"/>
                <w:szCs w:val="21"/>
              </w:rPr>
            </w:pPr>
            <w:r>
              <w:rPr>
                <w:kern w:val="0"/>
                <w:szCs w:val="21"/>
              </w:rPr>
              <w:t>Fe</w:t>
            </w:r>
            <w:r>
              <w:rPr>
                <w:kern w:val="0"/>
                <w:szCs w:val="21"/>
                <w:vertAlign w:val="subscript"/>
              </w:rPr>
              <w:t>2</w:t>
            </w:r>
            <w:r>
              <w:rPr>
                <w:kern w:val="0"/>
                <w:szCs w:val="21"/>
              </w:rPr>
              <w:t>O</w:t>
            </w:r>
            <w:r>
              <w:rPr>
                <w:kern w:val="0"/>
                <w:szCs w:val="21"/>
                <w:vertAlign w:val="subscript"/>
              </w:rPr>
              <w:t>3</w:t>
            </w:r>
          </w:p>
        </w:tc>
        <w:tc>
          <w:tcPr>
            <w:tcW w:w="1656"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1584"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w:t>
            </w:r>
          </w:p>
        </w:tc>
      </w:tr>
    </w:tbl>
    <w:p>
      <w:pPr>
        <w:snapToGrid w:val="0"/>
        <w:spacing w:line="360" w:lineRule="auto"/>
        <w:ind w:firstLine="240" w:firstLineChars="100"/>
        <w:rPr>
          <w:rFonts w:hint="eastAsia" w:ascii="宋体" w:hAnsi="宋体"/>
          <w:sz w:val="24"/>
          <w:lang w:val="en-US" w:eastAsia="zh-CN"/>
        </w:rPr>
      </w:pPr>
      <w:r>
        <w:rPr>
          <w:rFonts w:hint="eastAsia" w:ascii="宋体" w:hAnsi="宋体"/>
          <w:sz w:val="24"/>
        </w:rPr>
        <w:t>4.</w:t>
      </w:r>
      <w:r>
        <w:rPr>
          <w:rFonts w:hint="eastAsia" w:ascii="宋体" w:hAnsi="宋体"/>
          <w:sz w:val="24"/>
          <w:lang w:val="en-US" w:eastAsia="zh-CN"/>
        </w:rPr>
        <w:t>2耐火砖理化指标</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7"/>
        <w:gridCol w:w="2107"/>
        <w:gridCol w:w="990"/>
        <w:gridCol w:w="1394"/>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0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材料名称</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低蠕变高铝砖</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粘土</w:t>
            </w:r>
            <w:r>
              <w:rPr>
                <w:rFonts w:hint="eastAsia" w:ascii="宋体" w:hAnsi="宋体" w:eastAsia="宋体" w:cs="宋体"/>
                <w:i w:val="0"/>
                <w:color w:val="000000"/>
                <w:kern w:val="0"/>
                <w:sz w:val="21"/>
                <w:szCs w:val="21"/>
                <w:u w:val="none"/>
                <w:lang w:val="en-US" w:eastAsia="zh-CN" w:bidi="ar"/>
              </w:rPr>
              <w:t>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09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牌号</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DRB</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耐火度（℃）</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≥1790</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45</w:t>
            </w: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显气孔率（%）</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容重</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T/m³</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耐压强度</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MPa</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1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蠕变率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（0.2MPa×50h）</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1350</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荷重软化率0.2MPa（℃）</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≥1550</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sz w:val="21"/>
                <w:szCs w:val="21"/>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1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重烧线变化率</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℃×2h</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1450</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1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热震稳定性</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条件</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w:t>
            </w:r>
            <w:r>
              <w:rPr>
                <w:rFonts w:hint="eastAsia" w:ascii="宋体" w:hAnsi="宋体" w:eastAsia="宋体" w:cs="宋体"/>
                <w:i w:val="0"/>
                <w:color w:val="000000"/>
                <w:kern w:val="0"/>
                <w:sz w:val="21"/>
                <w:szCs w:val="21"/>
                <w:u w:val="none"/>
                <w:vertAlign w:val="superscript"/>
                <w:lang w:val="en-US" w:eastAsia="zh-CN" w:bidi="ar"/>
              </w:rPr>
              <w:t>ο</w:t>
            </w:r>
            <w:r>
              <w:rPr>
                <w:rFonts w:hint="eastAsia" w:ascii="宋体" w:hAnsi="宋体" w:eastAsia="宋体" w:cs="宋体"/>
                <w:i w:val="0"/>
                <w:color w:val="000000"/>
                <w:kern w:val="0"/>
                <w:sz w:val="21"/>
                <w:szCs w:val="21"/>
                <w:u w:val="none"/>
                <w:lang w:val="en-US" w:eastAsia="zh-CN" w:bidi="ar"/>
              </w:rPr>
              <w:t>水冷</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次数</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1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主要化学成分 %</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AL</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vertAlign w:val="subscript"/>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65～72</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Fe</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vertAlign w:val="subscript"/>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1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导热系数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（平均温度350±25</w:t>
            </w:r>
            <w:r>
              <w:rPr>
                <w:rFonts w:hint="eastAsia" w:ascii="宋体" w:hAnsi="宋体" w:eastAsia="宋体" w:cs="宋体"/>
                <w:i w:val="0"/>
                <w:color w:val="000000"/>
                <w:kern w:val="0"/>
                <w:sz w:val="21"/>
                <w:szCs w:val="21"/>
                <w:u w:val="none"/>
                <w:vertAlign w:val="superscript"/>
                <w:lang w:val="en-US" w:eastAsia="zh-CN" w:bidi="ar"/>
              </w:rPr>
              <w:t>o</w:t>
            </w:r>
            <w:r>
              <w:rPr>
                <w:rFonts w:hint="eastAsia" w:ascii="宋体" w:hAnsi="宋体" w:eastAsia="宋体" w:cs="宋体"/>
                <w:i w:val="0"/>
                <w:color w:val="000000"/>
                <w:kern w:val="0"/>
                <w:sz w:val="21"/>
                <w:szCs w:val="21"/>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W/(m k)</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snapToGrid w:val="0"/>
        <w:spacing w:line="360" w:lineRule="auto"/>
        <w:ind w:firstLine="240" w:firstLineChars="100"/>
        <w:rPr>
          <w:rFonts w:hint="eastAsia" w:ascii="宋体" w:hAnsi="宋体"/>
          <w:sz w:val="24"/>
        </w:rPr>
      </w:pPr>
      <w:r>
        <w:rPr>
          <w:rFonts w:hint="eastAsia" w:ascii="宋体" w:hAnsi="宋体"/>
          <w:sz w:val="24"/>
          <w:lang w:val="en-US" w:eastAsia="zh-CN"/>
        </w:rPr>
        <w:t>4.3不定型耐火材料</w:t>
      </w:r>
      <w:r>
        <w:rPr>
          <w:rFonts w:hint="eastAsia" w:ascii="宋体" w:hAnsi="宋体"/>
          <w:sz w:val="24"/>
        </w:rPr>
        <w:t>理化指标</w:t>
      </w:r>
    </w:p>
    <w:tbl>
      <w:tblPr>
        <w:tblStyle w:val="10"/>
        <w:tblW w:w="0" w:type="auto"/>
        <w:jc w:val="center"/>
        <w:tblLayout w:type="fixed"/>
        <w:tblCellMar>
          <w:top w:w="0" w:type="dxa"/>
          <w:left w:w="108" w:type="dxa"/>
          <w:bottom w:w="0" w:type="dxa"/>
          <w:right w:w="108" w:type="dxa"/>
        </w:tblCellMar>
      </w:tblPr>
      <w:tblGrid>
        <w:gridCol w:w="1806"/>
        <w:gridCol w:w="2096"/>
        <w:gridCol w:w="1438"/>
      </w:tblGrid>
      <w:tr>
        <w:tblPrEx>
          <w:tblCellMar>
            <w:top w:w="0" w:type="dxa"/>
            <w:left w:w="108" w:type="dxa"/>
            <w:bottom w:w="0" w:type="dxa"/>
            <w:right w:w="108" w:type="dxa"/>
          </w:tblCellMar>
        </w:tblPrEx>
        <w:trPr>
          <w:trHeight w:val="586" w:hRule="atLeast"/>
          <w:jc w:val="center"/>
        </w:trPr>
        <w:tc>
          <w:tcPr>
            <w:tcW w:w="3902" w:type="dxa"/>
            <w:gridSpan w:val="2"/>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类别</w:t>
            </w:r>
          </w:p>
        </w:tc>
        <w:tc>
          <w:tcPr>
            <w:tcW w:w="1438" w:type="dxa"/>
            <w:tcBorders>
              <w:top w:val="single" w:color="auto" w:sz="8" w:space="0"/>
              <w:left w:val="nil"/>
              <w:bottom w:val="single" w:color="auto" w:sz="8" w:space="0"/>
              <w:right w:val="single" w:color="auto" w:sz="8" w:space="0"/>
            </w:tcBorders>
            <w:noWrap w:val="0"/>
            <w:vAlign w:val="center"/>
          </w:tcPr>
          <w:p>
            <w:pPr>
              <w:jc w:val="center"/>
              <w:rPr>
                <w:rFonts w:ascii="宋体" w:hAnsi="宋体" w:cs="宋体"/>
                <w:kern w:val="0"/>
                <w:szCs w:val="21"/>
              </w:rPr>
            </w:pPr>
            <w:r>
              <w:rPr>
                <w:rFonts w:hint="eastAsia" w:ascii="宋体" w:hAnsi="宋体" w:cs="宋体"/>
                <w:kern w:val="0"/>
                <w:szCs w:val="21"/>
                <w:lang w:eastAsia="zh-CN"/>
              </w:rPr>
              <w:t>磷酸盐</w:t>
            </w:r>
            <w:r>
              <w:rPr>
                <w:rFonts w:hint="eastAsia" w:ascii="宋体" w:hAnsi="宋体" w:cs="宋体"/>
                <w:kern w:val="0"/>
                <w:szCs w:val="21"/>
              </w:rPr>
              <w:t>泥浆</w:t>
            </w:r>
          </w:p>
        </w:tc>
      </w:tr>
      <w:tr>
        <w:tblPrEx>
          <w:tblCellMar>
            <w:top w:w="0" w:type="dxa"/>
            <w:left w:w="108" w:type="dxa"/>
            <w:bottom w:w="0" w:type="dxa"/>
            <w:right w:w="108" w:type="dxa"/>
          </w:tblCellMar>
        </w:tblPrEx>
        <w:trPr>
          <w:trHeight w:val="300" w:hRule="atLeast"/>
          <w:jc w:val="center"/>
        </w:trPr>
        <w:tc>
          <w:tcPr>
            <w:tcW w:w="180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耐火度</w:t>
            </w:r>
          </w:p>
        </w:tc>
        <w:tc>
          <w:tcPr>
            <w:tcW w:w="209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438" w:type="dxa"/>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rPr>
              <w:t>17</w:t>
            </w:r>
            <w:r>
              <w:rPr>
                <w:rFonts w:hint="eastAsia" w:ascii="宋体" w:hAnsi="宋体" w:cs="宋体"/>
                <w:kern w:val="0"/>
                <w:szCs w:val="21"/>
                <w:lang w:val="en-US" w:eastAsia="zh-CN"/>
              </w:rPr>
              <w:t>50</w:t>
            </w:r>
          </w:p>
        </w:tc>
      </w:tr>
      <w:tr>
        <w:tblPrEx>
          <w:tblCellMar>
            <w:top w:w="0" w:type="dxa"/>
            <w:left w:w="108" w:type="dxa"/>
            <w:bottom w:w="0" w:type="dxa"/>
            <w:right w:w="108" w:type="dxa"/>
          </w:tblCellMar>
        </w:tblPrEx>
        <w:trPr>
          <w:trHeight w:val="417" w:hRule="atLeast"/>
          <w:jc w:val="center"/>
        </w:trPr>
        <w:tc>
          <w:tcPr>
            <w:tcW w:w="180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荷重软化温度</w:t>
            </w:r>
          </w:p>
        </w:tc>
        <w:tc>
          <w:tcPr>
            <w:tcW w:w="2096" w:type="dxa"/>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1438" w:type="dxa"/>
            <w:tcBorders>
              <w:top w:val="nil"/>
              <w:left w:val="nil"/>
              <w:bottom w:val="single" w:color="auto" w:sz="8" w:space="0"/>
              <w:right w:val="single" w:color="auto" w:sz="8"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1200</w:t>
            </w:r>
          </w:p>
        </w:tc>
      </w:tr>
      <w:tr>
        <w:tblPrEx>
          <w:tblCellMar>
            <w:top w:w="0" w:type="dxa"/>
            <w:left w:w="108" w:type="dxa"/>
            <w:bottom w:w="0" w:type="dxa"/>
            <w:right w:w="108" w:type="dxa"/>
          </w:tblCellMar>
        </w:tblPrEx>
        <w:trPr>
          <w:trHeight w:val="300" w:hRule="atLeast"/>
          <w:jc w:val="center"/>
        </w:trPr>
        <w:tc>
          <w:tcPr>
            <w:tcW w:w="180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显气孔率</w:t>
            </w:r>
          </w:p>
        </w:tc>
        <w:tc>
          <w:tcPr>
            <w:tcW w:w="2096" w:type="dxa"/>
            <w:tcBorders>
              <w:top w:val="single" w:color="auto" w:sz="8" w:space="0"/>
              <w:left w:val="nil"/>
              <w:bottom w:val="single" w:color="auto" w:sz="8" w:space="0"/>
              <w:right w:val="single" w:color="000000" w:sz="8" w:space="0"/>
            </w:tcBorders>
            <w:noWrap w:val="0"/>
            <w:vAlign w:val="center"/>
          </w:tcPr>
          <w:p>
            <w:pPr>
              <w:widowControl/>
              <w:jc w:val="center"/>
              <w:rPr>
                <w:kern w:val="0"/>
                <w:szCs w:val="21"/>
              </w:rPr>
            </w:pPr>
            <w:r>
              <w:rPr>
                <w:kern w:val="0"/>
                <w:szCs w:val="21"/>
              </w:rPr>
              <w:t>%</w:t>
            </w:r>
          </w:p>
        </w:tc>
        <w:tc>
          <w:tcPr>
            <w:tcW w:w="143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55" w:hRule="atLeast"/>
          <w:jc w:val="center"/>
        </w:trPr>
        <w:tc>
          <w:tcPr>
            <w:tcW w:w="180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常温耐压</w:t>
            </w:r>
          </w:p>
        </w:tc>
        <w:tc>
          <w:tcPr>
            <w:tcW w:w="2096" w:type="dxa"/>
            <w:tcBorders>
              <w:top w:val="single" w:color="auto" w:sz="8" w:space="0"/>
              <w:left w:val="nil"/>
              <w:bottom w:val="single" w:color="auto" w:sz="8" w:space="0"/>
              <w:right w:val="single" w:color="000000" w:sz="8" w:space="0"/>
            </w:tcBorders>
            <w:noWrap w:val="0"/>
            <w:vAlign w:val="center"/>
          </w:tcPr>
          <w:p>
            <w:pPr>
              <w:widowControl/>
              <w:jc w:val="center"/>
              <w:rPr>
                <w:kern w:val="0"/>
                <w:szCs w:val="21"/>
              </w:rPr>
            </w:pPr>
            <w:r>
              <w:rPr>
                <w:rFonts w:hint="eastAsia" w:ascii="宋体" w:hAnsi="宋体" w:cs="宋体"/>
                <w:kern w:val="0"/>
                <w:szCs w:val="21"/>
              </w:rPr>
              <w:t>mpa</w:t>
            </w:r>
          </w:p>
        </w:tc>
        <w:tc>
          <w:tcPr>
            <w:tcW w:w="143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55" w:hRule="atLeast"/>
          <w:jc w:val="center"/>
        </w:trPr>
        <w:tc>
          <w:tcPr>
            <w:tcW w:w="180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重烧线变化率</w:t>
            </w:r>
            <w:r>
              <w:rPr>
                <w:kern w:val="0"/>
                <w:szCs w:val="21"/>
              </w:rPr>
              <w:t>%</w:t>
            </w:r>
          </w:p>
        </w:tc>
        <w:tc>
          <w:tcPr>
            <w:tcW w:w="2096" w:type="dxa"/>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1350℃*2h</w:t>
            </w:r>
          </w:p>
        </w:tc>
        <w:tc>
          <w:tcPr>
            <w:tcW w:w="1438" w:type="dxa"/>
            <w:tcBorders>
              <w:top w:val="nil"/>
              <w:left w:val="nil"/>
              <w:bottom w:val="single" w:color="auto" w:sz="8" w:space="0"/>
              <w:right w:val="single" w:color="auto" w:sz="8" w:space="0"/>
            </w:tcBorders>
            <w:noWrap w:val="0"/>
            <w:vAlign w:val="center"/>
          </w:tcPr>
          <w:p>
            <w:pPr>
              <w:widowControl/>
              <w:jc w:val="center"/>
              <w:rPr>
                <w:kern w:val="0"/>
                <w:szCs w:val="21"/>
              </w:rPr>
            </w:pPr>
          </w:p>
        </w:tc>
      </w:tr>
      <w:tr>
        <w:tblPrEx>
          <w:tblCellMar>
            <w:top w:w="0" w:type="dxa"/>
            <w:left w:w="108" w:type="dxa"/>
            <w:bottom w:w="0" w:type="dxa"/>
            <w:right w:w="108" w:type="dxa"/>
          </w:tblCellMar>
        </w:tblPrEx>
        <w:trPr>
          <w:trHeight w:val="455" w:hRule="atLeast"/>
          <w:jc w:val="center"/>
        </w:trPr>
        <w:tc>
          <w:tcPr>
            <w:tcW w:w="180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000000"/>
                <w:kern w:val="0"/>
                <w:szCs w:val="21"/>
              </w:rPr>
              <w:t>Al</w:t>
            </w:r>
            <w:r>
              <w:rPr>
                <w:rFonts w:hint="eastAsia" w:ascii="宋体" w:hAnsi="宋体" w:cs="宋体"/>
                <w:color w:val="000000"/>
                <w:kern w:val="0"/>
                <w:szCs w:val="21"/>
                <w:vertAlign w:val="subscript"/>
              </w:rPr>
              <w:t>2</w:t>
            </w:r>
            <w:r>
              <w:rPr>
                <w:rFonts w:hint="eastAsia" w:ascii="宋体" w:hAnsi="宋体" w:cs="宋体"/>
                <w:color w:val="000000"/>
                <w:kern w:val="0"/>
                <w:szCs w:val="21"/>
              </w:rPr>
              <w:t>O</w:t>
            </w:r>
            <w:r>
              <w:rPr>
                <w:rFonts w:hint="eastAsia" w:ascii="宋体" w:hAnsi="宋体" w:cs="宋体"/>
                <w:color w:val="000000"/>
                <w:kern w:val="0"/>
                <w:szCs w:val="21"/>
                <w:vertAlign w:val="subscript"/>
              </w:rPr>
              <w:t>3</w:t>
            </w:r>
          </w:p>
        </w:tc>
        <w:tc>
          <w:tcPr>
            <w:tcW w:w="2096" w:type="dxa"/>
            <w:tcBorders>
              <w:top w:val="single" w:color="auto" w:sz="8" w:space="0"/>
              <w:left w:val="nil"/>
              <w:bottom w:val="single" w:color="auto" w:sz="8" w:space="0"/>
              <w:right w:val="single" w:color="000000" w:sz="8" w:space="0"/>
            </w:tcBorders>
            <w:noWrap w:val="0"/>
            <w:vAlign w:val="center"/>
          </w:tcPr>
          <w:p>
            <w:pPr>
              <w:widowControl/>
              <w:jc w:val="center"/>
              <w:rPr>
                <w:rFonts w:hint="eastAsia" w:eastAsia="宋体"/>
                <w:kern w:val="0"/>
                <w:szCs w:val="21"/>
                <w:lang w:val="en-US" w:eastAsia="zh-CN"/>
              </w:rPr>
            </w:pPr>
            <w:r>
              <w:rPr>
                <w:rFonts w:hint="eastAsia"/>
                <w:kern w:val="0"/>
                <w:szCs w:val="21"/>
                <w:lang w:val="en-US" w:eastAsia="zh-CN"/>
              </w:rPr>
              <w:t>(</w:t>
            </w:r>
            <w:r>
              <w:rPr>
                <w:kern w:val="0"/>
                <w:szCs w:val="21"/>
              </w:rPr>
              <w:t>%</w:t>
            </w:r>
            <w:r>
              <w:rPr>
                <w:rFonts w:hint="eastAsia"/>
                <w:kern w:val="0"/>
                <w:szCs w:val="21"/>
                <w:lang w:val="en-US" w:eastAsia="zh-CN"/>
              </w:rPr>
              <w:t>)＞</w:t>
            </w:r>
          </w:p>
        </w:tc>
        <w:tc>
          <w:tcPr>
            <w:tcW w:w="1438" w:type="dxa"/>
            <w:tcBorders>
              <w:top w:val="nil"/>
              <w:left w:val="nil"/>
              <w:bottom w:val="single" w:color="auto" w:sz="8" w:space="0"/>
              <w:right w:val="single" w:color="auto" w:sz="8"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45</w:t>
            </w:r>
          </w:p>
        </w:tc>
      </w:tr>
    </w:tbl>
    <w:p>
      <w:pPr>
        <w:snapToGrid w:val="0"/>
        <w:spacing w:line="360" w:lineRule="auto"/>
        <w:rPr>
          <w:rFonts w:hint="eastAsia"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验收要求</w:t>
      </w:r>
    </w:p>
    <w:p>
      <w:pPr>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4.4.1</w:t>
      </w:r>
      <w:r>
        <w:rPr>
          <w:rFonts w:hint="eastAsia" w:ascii="宋体" w:hAnsi="宋体"/>
          <w:sz w:val="24"/>
        </w:rPr>
        <w:t>耐火球必须为机制，</w:t>
      </w:r>
      <w:r>
        <w:rPr>
          <w:rFonts w:hint="eastAsia" w:ascii="宋体" w:hAnsi="宋体"/>
          <w:sz w:val="24"/>
          <w:lang w:eastAsia="zh-CN"/>
        </w:rPr>
        <w:t>甲方对</w:t>
      </w:r>
      <w:r>
        <w:rPr>
          <w:rFonts w:hint="eastAsia" w:ascii="宋体" w:hAnsi="宋体"/>
          <w:sz w:val="24"/>
        </w:rPr>
        <w:t>耐火球的理化指标、强度进行</w:t>
      </w:r>
      <w:r>
        <w:rPr>
          <w:rFonts w:hint="eastAsia" w:ascii="宋体" w:hAnsi="宋体"/>
          <w:sz w:val="24"/>
          <w:lang w:eastAsia="zh-CN"/>
        </w:rPr>
        <w:t>出厂前</w:t>
      </w:r>
      <w:r>
        <w:rPr>
          <w:rFonts w:hint="eastAsia" w:ascii="宋体" w:hAnsi="宋体"/>
          <w:sz w:val="24"/>
        </w:rPr>
        <w:t>抽检</w:t>
      </w:r>
      <w:r>
        <w:rPr>
          <w:rFonts w:hint="eastAsia" w:ascii="宋体" w:hAnsi="宋体"/>
          <w:sz w:val="24"/>
          <w:lang w:eastAsia="zh-CN"/>
        </w:rPr>
        <w:t>。</w:t>
      </w:r>
    </w:p>
    <w:p>
      <w:pPr>
        <w:snapToGrid w:val="0"/>
        <w:spacing w:line="360" w:lineRule="auto"/>
        <w:ind w:firstLine="480" w:firstLineChars="200"/>
        <w:rPr>
          <w:rFonts w:hint="eastAsia" w:ascii="宋体" w:hAnsi="宋体"/>
          <w:sz w:val="24"/>
          <w:lang w:eastAsia="zh-CN"/>
        </w:rPr>
      </w:pPr>
      <w:r>
        <w:rPr>
          <w:rFonts w:hint="eastAsia" w:ascii="宋体" w:hAnsi="宋体"/>
          <w:sz w:val="24"/>
          <w:lang w:val="en-US" w:eastAsia="zh-CN"/>
        </w:rPr>
        <w:t>4.4.2</w:t>
      </w:r>
      <w:r>
        <w:rPr>
          <w:rFonts w:hint="eastAsia" w:ascii="宋体" w:hAnsi="宋体"/>
          <w:sz w:val="24"/>
          <w:lang w:eastAsia="zh-CN"/>
        </w:rPr>
        <w:t>拱顶砖出厂前必须预砌，</w:t>
      </w:r>
      <w:r>
        <w:rPr>
          <w:rFonts w:hint="eastAsia" w:ascii="宋体" w:hAnsi="宋体"/>
          <w:sz w:val="24"/>
        </w:rPr>
        <w:t>甲方对</w:t>
      </w:r>
      <w:r>
        <w:rPr>
          <w:rFonts w:hint="eastAsia" w:ascii="宋体" w:hAnsi="宋体"/>
          <w:sz w:val="24"/>
          <w:lang w:eastAsia="zh-CN"/>
        </w:rPr>
        <w:t>拱顶的预砌过程进行现场跟踪验收，预砌砖缝需用黄板纸均匀留设。</w:t>
      </w:r>
    </w:p>
    <w:p>
      <w:pPr>
        <w:snapToGrid w:val="0"/>
        <w:spacing w:line="360" w:lineRule="auto"/>
        <w:ind w:firstLine="480" w:firstLineChars="200"/>
        <w:rPr>
          <w:rFonts w:hint="eastAsia" w:ascii="宋体" w:hAnsi="宋体"/>
          <w:sz w:val="24"/>
        </w:rPr>
      </w:pPr>
      <w:r>
        <w:rPr>
          <w:rFonts w:hint="eastAsia" w:ascii="宋体" w:hAnsi="宋体"/>
          <w:sz w:val="24"/>
          <w:lang w:val="en-US" w:eastAsia="zh-CN"/>
        </w:rPr>
        <w:t>4.4.3耐火材料出厂前必须进行抽样</w:t>
      </w:r>
      <w:r>
        <w:rPr>
          <w:rFonts w:hint="eastAsia" w:ascii="宋体" w:hAnsi="宋体"/>
          <w:sz w:val="24"/>
        </w:rPr>
        <w:t>，乙方须委托由国家认可的第三方进行化检验，并出具化检验报告，由此产生的化经验等其它费用由乙方承担，对于不合格产品甲方有权拒绝支付货款。</w:t>
      </w:r>
    </w:p>
    <w:p>
      <w:pPr>
        <w:snapToGrid w:val="0"/>
        <w:spacing w:line="360" w:lineRule="auto"/>
        <w:rPr>
          <w:rFonts w:hint="eastAsia" w:ascii="宋体" w:hAnsi="宋体"/>
          <w:b/>
          <w:sz w:val="24"/>
        </w:rPr>
      </w:pPr>
      <w:r>
        <w:rPr>
          <w:rFonts w:hint="eastAsia" w:ascii="宋体" w:hAnsi="宋体"/>
          <w:b/>
          <w:sz w:val="24"/>
        </w:rPr>
        <w:t>附件五  图纸资料交接</w:t>
      </w:r>
    </w:p>
    <w:p>
      <w:pPr>
        <w:snapToGrid w:val="0"/>
        <w:spacing w:line="360" w:lineRule="auto"/>
        <w:rPr>
          <w:rFonts w:hint="eastAsia" w:ascii="宋体" w:hAnsi="宋体"/>
          <w:sz w:val="24"/>
        </w:rPr>
      </w:pPr>
      <w:r>
        <w:rPr>
          <w:rFonts w:hint="eastAsia" w:ascii="宋体" w:hAnsi="宋体"/>
          <w:sz w:val="24"/>
        </w:rPr>
        <w:t xml:space="preserve">    5.1  第三方化检验报告书。</w:t>
      </w:r>
    </w:p>
    <w:p>
      <w:pPr>
        <w:snapToGrid w:val="0"/>
        <w:spacing w:line="360" w:lineRule="auto"/>
        <w:rPr>
          <w:rFonts w:hint="eastAsia" w:ascii="宋体" w:hAnsi="宋体"/>
          <w:sz w:val="24"/>
        </w:rPr>
      </w:pPr>
      <w:r>
        <w:rPr>
          <w:rFonts w:hint="eastAsia" w:ascii="宋体" w:hAnsi="宋体"/>
          <w:sz w:val="24"/>
        </w:rPr>
        <w:t xml:space="preserve">    5.2  产品质量保证书。</w:t>
      </w:r>
    </w:p>
    <w:p>
      <w:pPr>
        <w:snapToGrid w:val="0"/>
        <w:spacing w:line="360" w:lineRule="auto"/>
        <w:rPr>
          <w:rFonts w:hint="eastAsia" w:ascii="宋体" w:hAnsi="宋体"/>
          <w:sz w:val="24"/>
        </w:rPr>
      </w:pPr>
      <w:r>
        <w:rPr>
          <w:rFonts w:hint="eastAsia" w:ascii="宋体" w:hAnsi="宋体"/>
          <w:sz w:val="24"/>
        </w:rPr>
        <w:t xml:space="preserve">    5.3  合格证。</w:t>
      </w:r>
    </w:p>
    <w:p>
      <w:pPr>
        <w:snapToGrid w:val="0"/>
        <w:spacing w:line="360" w:lineRule="auto"/>
        <w:rPr>
          <w:rFonts w:hint="eastAsia" w:ascii="宋体" w:hAnsi="宋体"/>
          <w:sz w:val="24"/>
        </w:rPr>
      </w:pPr>
      <w:r>
        <w:rPr>
          <w:rFonts w:hint="eastAsia" w:ascii="宋体" w:hAnsi="宋体"/>
          <w:sz w:val="24"/>
        </w:rPr>
        <w:t xml:space="preserve">    5.4  产品使用说明书。</w:t>
      </w:r>
    </w:p>
    <w:p>
      <w:pPr>
        <w:snapToGrid w:val="0"/>
        <w:spacing w:line="360" w:lineRule="auto"/>
        <w:rPr>
          <w:rFonts w:hint="eastAsia" w:ascii="宋体" w:hAnsi="宋体"/>
          <w:b/>
          <w:sz w:val="24"/>
        </w:rPr>
      </w:pPr>
      <w:r>
        <w:rPr>
          <w:rFonts w:hint="eastAsia" w:ascii="宋体" w:hAnsi="宋体"/>
          <w:b/>
          <w:sz w:val="24"/>
        </w:rPr>
        <w:t>附件六  产品加工与储存、运输</w:t>
      </w:r>
    </w:p>
    <w:p>
      <w:pPr>
        <w:snapToGrid w:val="0"/>
        <w:spacing w:line="360" w:lineRule="auto"/>
        <w:rPr>
          <w:rFonts w:hint="eastAsia" w:ascii="宋体" w:hAnsi="宋体"/>
          <w:sz w:val="24"/>
        </w:rPr>
      </w:pPr>
      <w:r>
        <w:rPr>
          <w:rFonts w:hint="eastAsia" w:ascii="宋体" w:hAnsi="宋体"/>
          <w:sz w:val="24"/>
        </w:rPr>
        <w:t xml:space="preserve">    6.1  产品加工期间，甲方有权派人在现场进行检查、监督制造过程，乙方须无条件予以合作。</w:t>
      </w:r>
    </w:p>
    <w:p>
      <w:pPr>
        <w:snapToGrid w:val="0"/>
        <w:spacing w:line="360" w:lineRule="auto"/>
        <w:ind w:firstLine="480"/>
        <w:rPr>
          <w:rFonts w:hint="eastAsia" w:ascii="宋体" w:hAnsi="宋体"/>
          <w:sz w:val="24"/>
        </w:rPr>
      </w:pPr>
      <w:r>
        <w:rPr>
          <w:rFonts w:hint="eastAsia" w:ascii="宋体" w:hAnsi="宋体"/>
          <w:sz w:val="24"/>
        </w:rPr>
        <w:t>6.2  产品生产期间，原料混有杂物一律不得用于产品生产；一经被甲方发现，本批次产品按废品处理。</w:t>
      </w:r>
    </w:p>
    <w:p>
      <w:pPr>
        <w:snapToGrid w:val="0"/>
        <w:spacing w:line="360" w:lineRule="auto"/>
        <w:ind w:firstLine="480"/>
        <w:rPr>
          <w:rFonts w:hint="eastAsia" w:ascii="宋体" w:hAnsi="宋体"/>
          <w:sz w:val="24"/>
        </w:rPr>
      </w:pPr>
      <w:r>
        <w:rPr>
          <w:rFonts w:hint="eastAsia" w:ascii="宋体" w:hAnsi="宋体"/>
          <w:sz w:val="24"/>
        </w:rPr>
        <w:t>6.3  产品加工完毕，乙方须按照产品保存要求做好防雨、防碰撞、防摔工作，严禁露天储存与运输。</w:t>
      </w:r>
    </w:p>
    <w:p>
      <w:pPr>
        <w:snapToGrid w:val="0"/>
        <w:spacing w:line="360" w:lineRule="auto"/>
        <w:ind w:firstLine="480"/>
        <w:rPr>
          <w:rFonts w:hint="eastAsia" w:ascii="宋体" w:hAnsi="宋体"/>
          <w:sz w:val="24"/>
        </w:rPr>
      </w:pPr>
      <w:r>
        <w:rPr>
          <w:rFonts w:hint="eastAsia" w:ascii="宋体" w:hAnsi="宋体"/>
          <w:sz w:val="24"/>
        </w:rPr>
        <w:t>6.4  所有产品须按要求进行包装。请投标厂家在标书中说明包装要求及其并提供行业标准（包装袋强度必须保证运输，吊运没有破损或断带）。</w:t>
      </w:r>
    </w:p>
    <w:p>
      <w:pPr>
        <w:snapToGrid w:val="0"/>
        <w:spacing w:line="360" w:lineRule="auto"/>
        <w:rPr>
          <w:rFonts w:hint="eastAsia" w:ascii="宋体" w:hAnsi="宋体"/>
          <w:b/>
          <w:sz w:val="24"/>
        </w:rPr>
      </w:pPr>
      <w:r>
        <w:rPr>
          <w:rFonts w:hint="eastAsia" w:ascii="宋体" w:hAnsi="宋体"/>
          <w:b/>
          <w:sz w:val="24"/>
        </w:rPr>
        <w:t>附件七  交货</w:t>
      </w:r>
    </w:p>
    <w:p>
      <w:pPr>
        <w:snapToGrid w:val="0"/>
        <w:spacing w:line="360" w:lineRule="auto"/>
        <w:ind w:firstLine="480"/>
        <w:rPr>
          <w:rFonts w:hint="eastAsia" w:ascii="宋体" w:hAnsi="宋体"/>
          <w:sz w:val="24"/>
        </w:rPr>
      </w:pPr>
      <w:r>
        <w:rPr>
          <w:rFonts w:hint="eastAsia" w:ascii="宋体" w:hAnsi="宋体"/>
          <w:sz w:val="24"/>
        </w:rPr>
        <w:t>7.1  交货日期：</w:t>
      </w:r>
      <w:r>
        <w:rPr>
          <w:rFonts w:hint="eastAsia" w:ascii="宋体" w:hAnsi="宋体"/>
          <w:sz w:val="24"/>
          <w:lang w:eastAsia="zh-CN"/>
        </w:rPr>
        <w:t>耐火球交货</w:t>
      </w:r>
      <w:r>
        <w:rPr>
          <w:rFonts w:hint="eastAsia" w:ascii="宋体" w:hAnsi="宋体"/>
          <w:sz w:val="24"/>
          <w:lang w:val="en-US" w:eastAsia="zh-CN"/>
        </w:rPr>
        <w:t>2020年9月15日；耐火砖交货</w:t>
      </w:r>
      <w:r>
        <w:rPr>
          <w:rFonts w:hint="eastAsia" w:ascii="宋体" w:hAnsi="宋体"/>
          <w:sz w:val="24"/>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r>
        <w:rPr>
          <w:rFonts w:hint="eastAsia" w:ascii="宋体" w:hAnsi="宋体"/>
          <w:sz w:val="24"/>
          <w:lang w:val="en-US" w:eastAsia="zh-CN"/>
        </w:rPr>
        <w:t>(准确时间以甲方通知为准)</w:t>
      </w:r>
      <w:r>
        <w:rPr>
          <w:rFonts w:hint="eastAsia" w:ascii="宋体" w:hAnsi="宋体"/>
          <w:sz w:val="24"/>
        </w:rPr>
        <w:t>乙方将货物运至酒钢施工现场（甘肃省嘉峪关市酒钢厂区）。</w:t>
      </w:r>
    </w:p>
    <w:p>
      <w:pPr>
        <w:snapToGrid w:val="0"/>
        <w:spacing w:line="360" w:lineRule="auto"/>
        <w:ind w:firstLine="480"/>
        <w:rPr>
          <w:rFonts w:hint="eastAsia" w:ascii="宋体" w:hAnsi="宋体"/>
          <w:sz w:val="24"/>
        </w:rPr>
      </w:pPr>
      <w:r>
        <w:rPr>
          <w:rFonts w:hint="eastAsia" w:ascii="宋体" w:hAnsi="宋体"/>
          <w:sz w:val="24"/>
        </w:rPr>
        <w:t>7.2  产品交货</w:t>
      </w:r>
      <w:r>
        <w:rPr>
          <w:rFonts w:hint="eastAsia" w:ascii="宋体" w:hAnsi="宋体"/>
          <w:sz w:val="24"/>
          <w:lang w:eastAsia="zh-CN"/>
        </w:rPr>
        <w:t>规格及数量</w:t>
      </w:r>
      <w:r>
        <w:rPr>
          <w:rFonts w:hint="eastAsia" w:ascii="宋体" w:hAnsi="宋体"/>
          <w:sz w:val="24"/>
        </w:rPr>
        <w:t>以协议合同标定的数量为准。</w:t>
      </w:r>
    </w:p>
    <w:p>
      <w:pPr>
        <w:snapToGrid w:val="0"/>
        <w:spacing w:line="360" w:lineRule="auto"/>
        <w:ind w:firstLine="480"/>
        <w:rPr>
          <w:rFonts w:hint="eastAsia" w:ascii="宋体" w:hAnsi="宋体"/>
          <w:sz w:val="24"/>
        </w:rPr>
      </w:pPr>
      <w:r>
        <w:rPr>
          <w:rFonts w:hint="eastAsia" w:ascii="宋体" w:hAnsi="宋体"/>
          <w:sz w:val="24"/>
        </w:rPr>
        <w:t>7.3  产品交货到货后，乙方需派专人到现场与甲方人员共同清点到货数量并做好记录。</w:t>
      </w:r>
    </w:p>
    <w:p>
      <w:pPr>
        <w:snapToGrid w:val="0"/>
        <w:spacing w:line="360" w:lineRule="auto"/>
        <w:rPr>
          <w:rFonts w:hint="eastAsia" w:ascii="宋体" w:hAnsi="宋体"/>
          <w:b/>
          <w:sz w:val="24"/>
        </w:rPr>
      </w:pPr>
      <w:r>
        <w:rPr>
          <w:rFonts w:hint="eastAsia" w:ascii="宋体" w:hAnsi="宋体"/>
          <w:b/>
          <w:sz w:val="24"/>
        </w:rPr>
        <w:t>附件八  售后服务</w:t>
      </w:r>
    </w:p>
    <w:p>
      <w:pPr>
        <w:snapToGrid w:val="0"/>
        <w:spacing w:line="360" w:lineRule="auto"/>
        <w:ind w:firstLine="480"/>
        <w:rPr>
          <w:rFonts w:hint="eastAsia" w:ascii="宋体" w:hAnsi="宋体"/>
          <w:sz w:val="24"/>
        </w:rPr>
      </w:pPr>
      <w:r>
        <w:rPr>
          <w:rFonts w:hint="eastAsia" w:ascii="宋体" w:hAnsi="宋体"/>
          <w:sz w:val="24"/>
        </w:rPr>
        <w:t>乙方根据甲方的服务需求在48小时内提供所需服务，服务时必须满足甲方要求。</w:t>
      </w:r>
    </w:p>
    <w:p>
      <w:pPr>
        <w:snapToGrid w:val="0"/>
        <w:spacing w:line="360" w:lineRule="auto"/>
        <w:rPr>
          <w:rFonts w:hint="eastAsia" w:ascii="宋体" w:hAnsi="宋体"/>
          <w:b/>
          <w:sz w:val="24"/>
        </w:rPr>
      </w:pPr>
      <w:r>
        <w:rPr>
          <w:rFonts w:hint="eastAsia" w:ascii="宋体" w:hAnsi="宋体"/>
          <w:b/>
          <w:sz w:val="24"/>
        </w:rPr>
        <w:t>附件九  考核指标</w:t>
      </w:r>
    </w:p>
    <w:p>
      <w:pPr>
        <w:snapToGrid w:val="0"/>
        <w:spacing w:line="360" w:lineRule="auto"/>
        <w:ind w:firstLine="480" w:firstLineChars="200"/>
        <w:rPr>
          <w:rFonts w:hint="eastAsia" w:ascii="宋体" w:hAnsi="宋体"/>
          <w:sz w:val="24"/>
        </w:rPr>
      </w:pPr>
      <w:r>
        <w:rPr>
          <w:rFonts w:hint="eastAsia" w:ascii="宋体" w:hAnsi="宋体"/>
          <w:sz w:val="24"/>
        </w:rPr>
        <w:t>9.1  GB/T 2997 致密定形耐火制品体积密度、显气孔率和真气孔率试验方法，</w:t>
      </w:r>
      <w:r>
        <w:rPr>
          <w:rFonts w:hint="eastAsia" w:ascii="宋体" w:hAnsi="宋体"/>
          <w:b w:val="0"/>
          <w:bCs/>
          <w:sz w:val="24"/>
        </w:rPr>
        <w:t>检</w:t>
      </w:r>
      <w:bookmarkStart w:id="0" w:name="_GoBack"/>
      <w:r>
        <w:rPr>
          <w:rFonts w:hint="eastAsia" w:ascii="宋体" w:hAnsi="宋体"/>
          <w:b w:val="0"/>
          <w:bCs/>
          <w:sz w:val="24"/>
        </w:rPr>
        <w:t>验</w:t>
      </w:r>
      <w:bookmarkEnd w:id="0"/>
      <w:r>
        <w:rPr>
          <w:rFonts w:hint="eastAsia" w:ascii="宋体" w:hAnsi="宋体"/>
          <w:sz w:val="24"/>
        </w:rPr>
        <w:t>不合格按进货总金额的20%对乙方进行考核。</w:t>
      </w:r>
    </w:p>
    <w:p>
      <w:pPr>
        <w:snapToGrid w:val="0"/>
        <w:spacing w:line="360" w:lineRule="auto"/>
        <w:ind w:firstLine="480" w:firstLineChars="200"/>
        <w:rPr>
          <w:rFonts w:hint="eastAsia" w:ascii="宋体" w:hAnsi="宋体"/>
          <w:sz w:val="24"/>
        </w:rPr>
      </w:pPr>
      <w:r>
        <w:rPr>
          <w:rFonts w:hint="eastAsia" w:ascii="宋体" w:hAnsi="宋体"/>
          <w:sz w:val="24"/>
        </w:rPr>
        <w:t>9.2 GB/T 5072 耐火材料常温耐压强度试验方法，检验不合格按进货总金额的20%对乙方进行考核。</w:t>
      </w:r>
    </w:p>
    <w:p>
      <w:pPr>
        <w:snapToGrid w:val="0"/>
        <w:spacing w:line="360" w:lineRule="auto"/>
        <w:ind w:firstLine="480" w:firstLineChars="200"/>
        <w:rPr>
          <w:rFonts w:hint="eastAsia" w:ascii="宋体" w:hAnsi="宋体"/>
          <w:sz w:val="24"/>
        </w:rPr>
      </w:pPr>
      <w:r>
        <w:rPr>
          <w:rFonts w:hint="eastAsia" w:ascii="宋体" w:hAnsi="宋体"/>
          <w:sz w:val="24"/>
        </w:rPr>
        <w:t>9.3 GB/T 5073 耐火材料压蠕变试验方法，检验不合格按进货总金额的20%对乙方进行考核。</w:t>
      </w:r>
    </w:p>
    <w:p>
      <w:pPr>
        <w:snapToGrid w:val="0"/>
        <w:spacing w:line="360" w:lineRule="auto"/>
        <w:ind w:firstLine="480" w:firstLineChars="200"/>
        <w:rPr>
          <w:rFonts w:hint="eastAsia" w:ascii="宋体" w:hAnsi="宋体"/>
          <w:sz w:val="24"/>
        </w:rPr>
      </w:pPr>
      <w:r>
        <w:rPr>
          <w:rFonts w:hint="eastAsia" w:ascii="宋体" w:hAnsi="宋体"/>
          <w:sz w:val="24"/>
        </w:rPr>
        <w:t>9.4 GB/T 6900 铝硅系耐火材料化学分析方法，检验不合格按进货总金额的20%对乙方进行考核。</w:t>
      </w:r>
    </w:p>
    <w:p>
      <w:pPr>
        <w:snapToGrid w:val="0"/>
        <w:spacing w:line="360" w:lineRule="auto"/>
        <w:ind w:firstLine="480" w:firstLineChars="200"/>
        <w:rPr>
          <w:rFonts w:hint="eastAsia" w:ascii="宋体" w:hAnsi="宋体"/>
          <w:sz w:val="24"/>
        </w:rPr>
      </w:pPr>
      <w:r>
        <w:rPr>
          <w:rFonts w:hint="eastAsia" w:ascii="宋体" w:hAnsi="宋体"/>
          <w:sz w:val="24"/>
        </w:rPr>
        <w:t>9.5 GB/T 16546 定形耐火制品包装、标志、运输和储存，检验不合格按进货总金额的10%对乙方进行考核。</w:t>
      </w:r>
    </w:p>
    <w:p>
      <w:pPr>
        <w:snapToGrid w:val="0"/>
        <w:spacing w:line="360" w:lineRule="auto"/>
        <w:ind w:firstLine="480" w:firstLineChars="200"/>
        <w:rPr>
          <w:rFonts w:hint="eastAsia" w:ascii="宋体" w:hAnsi="宋体"/>
          <w:sz w:val="24"/>
        </w:rPr>
      </w:pPr>
      <w:r>
        <w:rPr>
          <w:rFonts w:hint="eastAsia" w:ascii="宋体" w:hAnsi="宋体"/>
          <w:sz w:val="24"/>
        </w:rPr>
        <w:t>9.6 YB/T 370   耐火制品荷重软化温度试验方法（非示差-升温法），检验不合格按进货总金额的20%对乙方进行考核。</w:t>
      </w:r>
    </w:p>
    <w:p>
      <w:pPr>
        <w:snapToGrid w:val="0"/>
        <w:spacing w:line="360" w:lineRule="auto"/>
        <w:ind w:firstLine="480" w:firstLineChars="200"/>
        <w:rPr>
          <w:rFonts w:hint="eastAsia" w:ascii="宋体" w:hAnsi="宋体"/>
          <w:sz w:val="24"/>
        </w:rPr>
      </w:pPr>
      <w:r>
        <w:rPr>
          <w:rFonts w:hint="eastAsia" w:ascii="宋体" w:hAnsi="宋体"/>
          <w:sz w:val="24"/>
        </w:rPr>
        <w:t>9.7  YB/T 376.3 耐火制品抗热震性试验方法第三部分：水急冷-裂纹判定法检验，不合格按进货总金额的20%对乙方进行考核。</w:t>
      </w:r>
    </w:p>
    <w:p>
      <w:pPr>
        <w:snapToGrid w:val="0"/>
        <w:spacing w:line="360" w:lineRule="auto"/>
        <w:rPr>
          <w:rFonts w:hint="eastAsia" w:ascii="宋体" w:hAnsi="宋体"/>
          <w:b/>
          <w:sz w:val="24"/>
        </w:rPr>
      </w:pPr>
      <w:r>
        <w:rPr>
          <w:rFonts w:hint="eastAsia" w:ascii="宋体" w:hAnsi="宋体"/>
          <w:b/>
          <w:sz w:val="24"/>
        </w:rPr>
        <w:t>附件十  其他</w:t>
      </w:r>
    </w:p>
    <w:p>
      <w:pPr>
        <w:spacing w:line="360" w:lineRule="auto"/>
        <w:ind w:firstLine="480" w:firstLineChars="200"/>
        <w:rPr>
          <w:rFonts w:hint="eastAsia" w:ascii="宋体" w:hAnsi="宋体"/>
          <w:sz w:val="24"/>
        </w:rPr>
      </w:pPr>
      <w:r>
        <w:rPr>
          <w:rFonts w:hint="eastAsia" w:ascii="宋体" w:hAnsi="宋体"/>
          <w:sz w:val="24"/>
        </w:rPr>
        <w:t>10.1  本协议作为商业合同的一部分，与商务合同具有同等法律效力，经双方代表签字后与商务合同同时生效。</w:t>
      </w:r>
    </w:p>
    <w:p>
      <w:pPr>
        <w:spacing w:line="360" w:lineRule="auto"/>
        <w:ind w:firstLine="480" w:firstLineChars="200"/>
        <w:rPr>
          <w:rFonts w:hint="eastAsia" w:ascii="宋体" w:hAnsi="宋体"/>
          <w:sz w:val="24"/>
        </w:rPr>
      </w:pPr>
      <w:r>
        <w:rPr>
          <w:rFonts w:hint="eastAsia" w:ascii="宋体" w:hAnsi="宋体"/>
          <w:sz w:val="24"/>
        </w:rPr>
        <w:t>10.2  除国家认可检验机构出具的检验报告外，乙方应</w:t>
      </w:r>
      <w:r>
        <w:rPr>
          <w:rFonts w:hint="eastAsia" w:ascii="宋体" w:hAnsi="宋体"/>
          <w:sz w:val="24"/>
          <w:lang w:eastAsia="zh-CN"/>
        </w:rPr>
        <w:t>以</w:t>
      </w:r>
      <w:r>
        <w:rPr>
          <w:rFonts w:hint="eastAsia" w:ascii="宋体" w:hAnsi="宋体"/>
          <w:sz w:val="24"/>
        </w:rPr>
        <w:t>产品批次向甲方提供自检检验报告一份。</w:t>
      </w:r>
    </w:p>
    <w:p>
      <w:pPr>
        <w:spacing w:line="360" w:lineRule="auto"/>
        <w:ind w:firstLine="480"/>
        <w:rPr>
          <w:rFonts w:hint="eastAsia" w:ascii="宋体" w:hAnsi="宋体"/>
          <w:sz w:val="24"/>
        </w:rPr>
      </w:pPr>
      <w:r>
        <w:rPr>
          <w:rFonts w:hint="eastAsia" w:ascii="宋体" w:hAnsi="宋体"/>
          <w:sz w:val="24"/>
        </w:rPr>
        <w:t>10.3  本协议一式贰份，甲乙双方分别保存。</w:t>
      </w:r>
    </w:p>
    <w:p>
      <w:pPr>
        <w:spacing w:line="360" w:lineRule="auto"/>
        <w:ind w:firstLine="480"/>
        <w:rPr>
          <w:rFonts w:hint="eastAsia" w:ascii="宋体" w:hAnsi="宋体"/>
          <w:sz w:val="24"/>
        </w:rPr>
      </w:pPr>
      <w:r>
        <w:rPr>
          <w:rFonts w:hint="eastAsia" w:ascii="宋体" w:hAnsi="宋体"/>
          <w:sz w:val="24"/>
        </w:rPr>
        <w:t>10.4  本协议未尽事宜，双方友好解决。若有异议，及时沟通解决。</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甲方：</w:t>
      </w:r>
      <w:r>
        <w:rPr>
          <w:rFonts w:hint="eastAsia" w:ascii="宋体" w:hAnsi="宋体"/>
          <w:sz w:val="24"/>
          <w:lang w:eastAsia="zh-CN"/>
        </w:rPr>
        <w:t>甘肃</w:t>
      </w:r>
      <w:r>
        <w:rPr>
          <w:rFonts w:hint="eastAsia" w:ascii="宋体" w:hAnsi="宋体"/>
          <w:sz w:val="24"/>
        </w:rPr>
        <w:t xml:space="preserve">酒钢集团科力耐火材料股份有限公司   乙方： </w:t>
      </w:r>
    </w:p>
    <w:p>
      <w:pPr>
        <w:spacing w:line="360" w:lineRule="auto"/>
        <w:rPr>
          <w:rFonts w:hint="eastAsia" w:ascii="宋体" w:hAnsi="宋体"/>
          <w:sz w:val="24"/>
        </w:rPr>
      </w:pPr>
      <w:r>
        <w:rPr>
          <w:rFonts w:hint="eastAsia" w:ascii="宋体" w:hAnsi="宋体"/>
          <w:sz w:val="24"/>
        </w:rPr>
        <w:t xml:space="preserve">代表:                                      </w:t>
      </w:r>
      <w:r>
        <w:rPr>
          <w:rFonts w:hint="eastAsia" w:ascii="宋体" w:hAnsi="宋体"/>
          <w:sz w:val="24"/>
          <w:lang w:val="en-US" w:eastAsia="zh-CN"/>
        </w:rPr>
        <w:t xml:space="preserve">  </w:t>
      </w:r>
      <w:r>
        <w:rPr>
          <w:rFonts w:hint="eastAsia" w:ascii="宋体" w:hAnsi="宋体"/>
          <w:sz w:val="24"/>
        </w:rPr>
        <w:t>代表：</w:t>
      </w:r>
    </w:p>
    <w:p>
      <w:pPr>
        <w:spacing w:line="360" w:lineRule="auto"/>
        <w:rPr>
          <w:rFonts w:hint="eastAsia" w:ascii="宋体" w:hAnsi="宋体"/>
          <w:sz w:val="24"/>
        </w:rPr>
      </w:pPr>
    </w:p>
    <w:p>
      <w:pPr>
        <w:spacing w:line="360" w:lineRule="auto"/>
        <w:ind w:firstLine="960" w:firstLineChars="400"/>
        <w:rPr>
          <w:rFonts w:hint="eastAsia" w:ascii="宋体" w:hAnsi="宋体" w:eastAsia="宋体"/>
          <w:sz w:val="24"/>
          <w:lang w:eastAsia="zh-CN"/>
        </w:rPr>
      </w:pPr>
      <w:r>
        <w:rPr>
          <w:rFonts w:hint="eastAsia" w:ascii="宋体" w:hAnsi="宋体"/>
          <w:sz w:val="24"/>
        </w:rPr>
        <w:t>年   月   日                              年    月    日</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p>
    <w:sectPr>
      <w:headerReference r:id="rId3" w:type="first"/>
      <w:footerReference r:id="rId6" w:type="first"/>
      <w:footerReference r:id="rId4" w:type="default"/>
      <w:footerReference r:id="rId5" w:type="even"/>
      <w:pgSz w:w="11906" w:h="16838"/>
      <w:pgMar w:top="1134" w:right="1416" w:bottom="1134" w:left="1531" w:header="851" w:footer="992" w:gutter="0"/>
      <w:pgNumType w:fmt="decimal"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Fonts w:hint="eastAsia"/>
      </w:rPr>
      <w:t>０</w:t>
    </w:r>
    <w:r>
      <w:rPr>
        <w:rStyle w:val="12"/>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B43D1"/>
    <w:multiLevelType w:val="singleLevel"/>
    <w:tmpl w:val="AFBB43D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E2D50"/>
    <w:rsid w:val="00010A1E"/>
    <w:rsid w:val="00045CD0"/>
    <w:rsid w:val="00060B14"/>
    <w:rsid w:val="000870F9"/>
    <w:rsid w:val="000979D0"/>
    <w:rsid w:val="00111AE7"/>
    <w:rsid w:val="00160DED"/>
    <w:rsid w:val="00163B7C"/>
    <w:rsid w:val="00167062"/>
    <w:rsid w:val="00186605"/>
    <w:rsid w:val="001A4549"/>
    <w:rsid w:val="001B4AE3"/>
    <w:rsid w:val="001C499F"/>
    <w:rsid w:val="001D3C86"/>
    <w:rsid w:val="001F276E"/>
    <w:rsid w:val="001F5ABD"/>
    <w:rsid w:val="002143E3"/>
    <w:rsid w:val="002467D3"/>
    <w:rsid w:val="002803D2"/>
    <w:rsid w:val="00282179"/>
    <w:rsid w:val="00292DE9"/>
    <w:rsid w:val="002A47F0"/>
    <w:rsid w:val="002C57AA"/>
    <w:rsid w:val="002D4EA3"/>
    <w:rsid w:val="00365619"/>
    <w:rsid w:val="003975B3"/>
    <w:rsid w:val="003C2B12"/>
    <w:rsid w:val="003E04EC"/>
    <w:rsid w:val="00414A1D"/>
    <w:rsid w:val="00430473"/>
    <w:rsid w:val="00483D2A"/>
    <w:rsid w:val="004864FA"/>
    <w:rsid w:val="00491BBE"/>
    <w:rsid w:val="0049536E"/>
    <w:rsid w:val="004B43A3"/>
    <w:rsid w:val="005011C8"/>
    <w:rsid w:val="00502876"/>
    <w:rsid w:val="00520486"/>
    <w:rsid w:val="00546275"/>
    <w:rsid w:val="00575FA8"/>
    <w:rsid w:val="00576909"/>
    <w:rsid w:val="00583058"/>
    <w:rsid w:val="00637745"/>
    <w:rsid w:val="00643A7C"/>
    <w:rsid w:val="0065032F"/>
    <w:rsid w:val="006544E3"/>
    <w:rsid w:val="0066213D"/>
    <w:rsid w:val="00664041"/>
    <w:rsid w:val="006A40BF"/>
    <w:rsid w:val="006A49D1"/>
    <w:rsid w:val="006B16B7"/>
    <w:rsid w:val="006B255F"/>
    <w:rsid w:val="006C481C"/>
    <w:rsid w:val="006D228F"/>
    <w:rsid w:val="00711279"/>
    <w:rsid w:val="007556FB"/>
    <w:rsid w:val="00755C2E"/>
    <w:rsid w:val="0077771D"/>
    <w:rsid w:val="007C4EEB"/>
    <w:rsid w:val="007E57DA"/>
    <w:rsid w:val="00814052"/>
    <w:rsid w:val="00816376"/>
    <w:rsid w:val="00843AF3"/>
    <w:rsid w:val="00895A9A"/>
    <w:rsid w:val="008D3343"/>
    <w:rsid w:val="00930390"/>
    <w:rsid w:val="00995B3B"/>
    <w:rsid w:val="009B50D5"/>
    <w:rsid w:val="009E2D50"/>
    <w:rsid w:val="00A10CBC"/>
    <w:rsid w:val="00A50C12"/>
    <w:rsid w:val="00A62052"/>
    <w:rsid w:val="00A70C79"/>
    <w:rsid w:val="00A80FAD"/>
    <w:rsid w:val="00A95CB6"/>
    <w:rsid w:val="00AA01AB"/>
    <w:rsid w:val="00AE2DA1"/>
    <w:rsid w:val="00AE5FE7"/>
    <w:rsid w:val="00AE75BF"/>
    <w:rsid w:val="00AF685B"/>
    <w:rsid w:val="00B0599A"/>
    <w:rsid w:val="00BB171E"/>
    <w:rsid w:val="00BC3A8F"/>
    <w:rsid w:val="00BD72FE"/>
    <w:rsid w:val="00BE0C32"/>
    <w:rsid w:val="00BE60EA"/>
    <w:rsid w:val="00BF5EA6"/>
    <w:rsid w:val="00C25E7A"/>
    <w:rsid w:val="00C3006F"/>
    <w:rsid w:val="00C77CF8"/>
    <w:rsid w:val="00C8506E"/>
    <w:rsid w:val="00C85B91"/>
    <w:rsid w:val="00CA2FB0"/>
    <w:rsid w:val="00CE4ABD"/>
    <w:rsid w:val="00CE7AA7"/>
    <w:rsid w:val="00CF7A42"/>
    <w:rsid w:val="00D22D61"/>
    <w:rsid w:val="00D26083"/>
    <w:rsid w:val="00D553D2"/>
    <w:rsid w:val="00D577D6"/>
    <w:rsid w:val="00D85ACF"/>
    <w:rsid w:val="00D86767"/>
    <w:rsid w:val="00DF4DB1"/>
    <w:rsid w:val="00DF7FF9"/>
    <w:rsid w:val="00E016E9"/>
    <w:rsid w:val="00E10EED"/>
    <w:rsid w:val="00E4511D"/>
    <w:rsid w:val="00ED2E85"/>
    <w:rsid w:val="00EE2DE6"/>
    <w:rsid w:val="00FC37EA"/>
    <w:rsid w:val="02371E5D"/>
    <w:rsid w:val="054A6B02"/>
    <w:rsid w:val="069B184D"/>
    <w:rsid w:val="06F03211"/>
    <w:rsid w:val="088F43C8"/>
    <w:rsid w:val="09F71582"/>
    <w:rsid w:val="0C9261F4"/>
    <w:rsid w:val="0CF73000"/>
    <w:rsid w:val="0FD74AB9"/>
    <w:rsid w:val="0FE24CD2"/>
    <w:rsid w:val="1013057D"/>
    <w:rsid w:val="111D24AC"/>
    <w:rsid w:val="1187413B"/>
    <w:rsid w:val="11A15785"/>
    <w:rsid w:val="120407D6"/>
    <w:rsid w:val="12353FB8"/>
    <w:rsid w:val="12B332E8"/>
    <w:rsid w:val="12BF2272"/>
    <w:rsid w:val="138F3C4D"/>
    <w:rsid w:val="13F64750"/>
    <w:rsid w:val="14415D2F"/>
    <w:rsid w:val="15727576"/>
    <w:rsid w:val="15FB33C4"/>
    <w:rsid w:val="18EC0675"/>
    <w:rsid w:val="1C034035"/>
    <w:rsid w:val="1D1D4338"/>
    <w:rsid w:val="1D51325D"/>
    <w:rsid w:val="1DE821F7"/>
    <w:rsid w:val="1E76369C"/>
    <w:rsid w:val="1F6A154C"/>
    <w:rsid w:val="211B36E1"/>
    <w:rsid w:val="24AF72D6"/>
    <w:rsid w:val="26484D3C"/>
    <w:rsid w:val="28A26638"/>
    <w:rsid w:val="294B5680"/>
    <w:rsid w:val="29602A12"/>
    <w:rsid w:val="2994017D"/>
    <w:rsid w:val="2AC4599C"/>
    <w:rsid w:val="2B0B7AD3"/>
    <w:rsid w:val="2B694D93"/>
    <w:rsid w:val="2B745ED5"/>
    <w:rsid w:val="2CCE366E"/>
    <w:rsid w:val="2DB25627"/>
    <w:rsid w:val="2DCD6F57"/>
    <w:rsid w:val="2E315C3F"/>
    <w:rsid w:val="2F340E9D"/>
    <w:rsid w:val="2F560F3B"/>
    <w:rsid w:val="30E125DC"/>
    <w:rsid w:val="31D113A3"/>
    <w:rsid w:val="32390AD6"/>
    <w:rsid w:val="34720FBA"/>
    <w:rsid w:val="3473094A"/>
    <w:rsid w:val="352D4E09"/>
    <w:rsid w:val="372F3EC7"/>
    <w:rsid w:val="396A73A8"/>
    <w:rsid w:val="39AF3668"/>
    <w:rsid w:val="3A381C32"/>
    <w:rsid w:val="3DCC57DC"/>
    <w:rsid w:val="3DF35DB6"/>
    <w:rsid w:val="3ED5266C"/>
    <w:rsid w:val="3F3E2931"/>
    <w:rsid w:val="4036521B"/>
    <w:rsid w:val="409B28BF"/>
    <w:rsid w:val="419202C7"/>
    <w:rsid w:val="426E22F3"/>
    <w:rsid w:val="42AB52F4"/>
    <w:rsid w:val="42E773F6"/>
    <w:rsid w:val="44127F83"/>
    <w:rsid w:val="44BC20D7"/>
    <w:rsid w:val="45A548DB"/>
    <w:rsid w:val="45AA29B7"/>
    <w:rsid w:val="45BB074E"/>
    <w:rsid w:val="46FC6425"/>
    <w:rsid w:val="478E535A"/>
    <w:rsid w:val="47EC34A9"/>
    <w:rsid w:val="49437344"/>
    <w:rsid w:val="49F05AF1"/>
    <w:rsid w:val="4B3147EB"/>
    <w:rsid w:val="4B7168D8"/>
    <w:rsid w:val="4CDA730F"/>
    <w:rsid w:val="4DB60C00"/>
    <w:rsid w:val="4F1F482A"/>
    <w:rsid w:val="4F6A28E6"/>
    <w:rsid w:val="50924ADE"/>
    <w:rsid w:val="50A225A7"/>
    <w:rsid w:val="51F930E0"/>
    <w:rsid w:val="524C3A26"/>
    <w:rsid w:val="56C01378"/>
    <w:rsid w:val="56DE143A"/>
    <w:rsid w:val="57212874"/>
    <w:rsid w:val="5BCB2A5F"/>
    <w:rsid w:val="5CD55049"/>
    <w:rsid w:val="5D277B49"/>
    <w:rsid w:val="5DF85EEB"/>
    <w:rsid w:val="5E7E78FC"/>
    <w:rsid w:val="5EBF57AD"/>
    <w:rsid w:val="60327E41"/>
    <w:rsid w:val="61CA03AF"/>
    <w:rsid w:val="633C04BB"/>
    <w:rsid w:val="64673A56"/>
    <w:rsid w:val="6522417C"/>
    <w:rsid w:val="656F2390"/>
    <w:rsid w:val="667440E4"/>
    <w:rsid w:val="67BD0CA1"/>
    <w:rsid w:val="67EF2384"/>
    <w:rsid w:val="687463C3"/>
    <w:rsid w:val="6A320F18"/>
    <w:rsid w:val="6BD07171"/>
    <w:rsid w:val="6D202397"/>
    <w:rsid w:val="6DB53BAF"/>
    <w:rsid w:val="6E6D7B96"/>
    <w:rsid w:val="6E9566B2"/>
    <w:rsid w:val="6EBF744F"/>
    <w:rsid w:val="6FF20151"/>
    <w:rsid w:val="7023735E"/>
    <w:rsid w:val="72A32944"/>
    <w:rsid w:val="7441385C"/>
    <w:rsid w:val="744B7C54"/>
    <w:rsid w:val="778A0071"/>
    <w:rsid w:val="77BD43F5"/>
    <w:rsid w:val="798847C2"/>
    <w:rsid w:val="79A34221"/>
    <w:rsid w:val="79FA7AE0"/>
    <w:rsid w:val="7A9970F5"/>
    <w:rsid w:val="7B645CD4"/>
    <w:rsid w:val="7B687EED"/>
    <w:rsid w:val="7D7E1E12"/>
    <w:rsid w:val="7E364807"/>
    <w:rsid w:val="7E96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nhideWhenUsed="0" w:uiPriority="99"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locked/>
    <w:uiPriority w:val="99"/>
    <w:rPr>
      <w:rFonts w:ascii="Arial" w:hAnsi="Arial" w:eastAsia="黑体"/>
      <w:sz w:val="20"/>
      <w:szCs w:val="20"/>
    </w:rPr>
  </w:style>
  <w:style w:type="paragraph" w:styleId="3">
    <w:name w:val="Normal Indent"/>
    <w:basedOn w:val="1"/>
    <w:unhideWhenUsed/>
    <w:qFormat/>
    <w:uiPriority w:val="0"/>
    <w:pPr>
      <w:snapToGrid w:val="0"/>
      <w:spacing w:beforeLines="0" w:afterLines="0" w:line="300" w:lineRule="auto"/>
      <w:ind w:firstLine="556"/>
    </w:pPr>
    <w:rPr>
      <w:rFonts w:hint="eastAsia" w:ascii="仿宋_GB2312" w:eastAsia="仿宋_GB2312"/>
      <w:kern w:val="0"/>
      <w:sz w:val="21"/>
    </w:rPr>
  </w:style>
  <w:style w:type="paragraph" w:styleId="4">
    <w:name w:val="Body Text"/>
    <w:basedOn w:val="1"/>
    <w:link w:val="17"/>
    <w:qFormat/>
    <w:uiPriority w:val="0"/>
    <w:pPr>
      <w:spacing w:after="120"/>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kern w:val="0"/>
      <w:sz w:val="18"/>
      <w:szCs w:val="20"/>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9">
    <w:name w:val="Body Text First Indent"/>
    <w:basedOn w:val="4"/>
    <w:qFormat/>
    <w:uiPriority w:val="0"/>
    <w:pPr>
      <w:ind w:firstLine="420" w:firstLineChars="100"/>
    </w:pPr>
  </w:style>
  <w:style w:type="character" w:styleId="12">
    <w:name w:val="page number"/>
    <w:basedOn w:val="11"/>
    <w:qFormat/>
    <w:uiPriority w:val="99"/>
  </w:style>
  <w:style w:type="character" w:styleId="13">
    <w:name w:val="FollowedHyperlink"/>
    <w:basedOn w:val="11"/>
    <w:qFormat/>
    <w:uiPriority w:val="0"/>
    <w:rPr>
      <w:rFonts w:ascii="Arial" w:hAnsi="Arial" w:eastAsia="Arial" w:cs="Arial"/>
      <w:color w:val="333333"/>
      <w:sz w:val="21"/>
      <w:szCs w:val="21"/>
      <w:u w:val="none"/>
    </w:rPr>
  </w:style>
  <w:style w:type="character" w:styleId="14">
    <w:name w:val="Hyperlink"/>
    <w:basedOn w:val="11"/>
    <w:qFormat/>
    <w:uiPriority w:val="0"/>
    <w:rPr>
      <w:rFonts w:hint="default" w:ascii="fontmui" w:hAnsi="fontmui" w:eastAsia="fontmui" w:cs="fontmui"/>
      <w:color w:val="333333"/>
      <w:sz w:val="21"/>
      <w:szCs w:val="21"/>
      <w:u w:val="none"/>
    </w:rPr>
  </w:style>
  <w:style w:type="character" w:customStyle="1" w:styleId="15">
    <w:name w:val="页脚 字符"/>
    <w:link w:val="7"/>
    <w:semiHidden/>
    <w:qFormat/>
    <w:locked/>
    <w:uiPriority w:val="99"/>
    <w:rPr>
      <w:sz w:val="18"/>
    </w:rPr>
  </w:style>
  <w:style w:type="character" w:customStyle="1" w:styleId="16">
    <w:name w:val="页眉 字符"/>
    <w:link w:val="8"/>
    <w:semiHidden/>
    <w:qFormat/>
    <w:locked/>
    <w:uiPriority w:val="99"/>
    <w:rPr>
      <w:sz w:val="18"/>
    </w:rPr>
  </w:style>
  <w:style w:type="character" w:customStyle="1" w:styleId="17">
    <w:name w:val="正文文本 字符"/>
    <w:basedOn w:val="11"/>
    <w:link w:val="4"/>
    <w:qFormat/>
    <w:uiPriority w:val="0"/>
    <w:rPr>
      <w:kern w:val="2"/>
      <w:sz w:val="21"/>
      <w:szCs w:val="24"/>
    </w:rPr>
  </w:style>
  <w:style w:type="character" w:customStyle="1" w:styleId="18">
    <w:name w:val="before"/>
    <w:basedOn w:val="11"/>
    <w:qFormat/>
    <w:uiPriority w:val="0"/>
    <w:rPr>
      <w:bdr w:val="single" w:color="auto" w:sz="48" w:space="0"/>
    </w:rPr>
  </w:style>
  <w:style w:type="character" w:customStyle="1" w:styleId="19">
    <w:name w:val="before1"/>
    <w:basedOn w:val="11"/>
    <w:qFormat/>
    <w:uiPriority w:val="0"/>
  </w:style>
  <w:style w:type="character" w:customStyle="1" w:styleId="20">
    <w:name w:val="credit"/>
    <w:basedOn w:val="11"/>
    <w:qFormat/>
    <w:uiPriority w:val="0"/>
    <w:rPr>
      <w:sz w:val="18"/>
      <w:szCs w:val="18"/>
    </w:rPr>
  </w:style>
  <w:style w:type="character" w:customStyle="1" w:styleId="21">
    <w:name w:val="hover40"/>
    <w:basedOn w:val="11"/>
    <w:qFormat/>
    <w:uiPriority w:val="0"/>
    <w:rPr>
      <w:color w:val="DF4127"/>
    </w:rPr>
  </w:style>
  <w:style w:type="character" w:customStyle="1" w:styleId="22">
    <w:name w:val="hover41"/>
    <w:basedOn w:val="11"/>
    <w:qFormat/>
    <w:uiPriority w:val="0"/>
    <w:rPr>
      <w:shd w:val="clear" w:fill="CC2C11"/>
    </w:rPr>
  </w:style>
  <w:style w:type="character" w:customStyle="1" w:styleId="23">
    <w:name w:val="hover42"/>
    <w:basedOn w:val="11"/>
    <w:qFormat/>
    <w:uiPriority w:val="0"/>
    <w:rPr>
      <w:color w:val="DF4127"/>
      <w:u w:val="none"/>
    </w:rPr>
  </w:style>
  <w:style w:type="character" w:customStyle="1" w:styleId="24">
    <w:name w:val="hover43"/>
    <w:basedOn w:val="11"/>
    <w:qFormat/>
    <w:uiPriority w:val="0"/>
    <w:rPr>
      <w:color w:val="1A85D7"/>
    </w:rPr>
  </w:style>
  <w:style w:type="character" w:customStyle="1" w:styleId="25">
    <w:name w:val="hover44"/>
    <w:basedOn w:val="11"/>
    <w:qFormat/>
    <w:uiPriority w:val="0"/>
    <w:rPr>
      <w:color w:val="DF4127"/>
    </w:rPr>
  </w:style>
  <w:style w:type="character" w:customStyle="1" w:styleId="26">
    <w:name w:val="hover45"/>
    <w:basedOn w:val="11"/>
    <w:qFormat/>
    <w:uiPriority w:val="0"/>
  </w:style>
  <w:style w:type="character" w:customStyle="1" w:styleId="27">
    <w:name w:val="after"/>
    <w:basedOn w:val="11"/>
    <w:qFormat/>
    <w:uiPriority w:val="0"/>
    <w:rPr>
      <w:bdr w:val="dashed" w:color="auto" w:sz="48" w:space="0"/>
    </w:rPr>
  </w:style>
  <w:style w:type="character" w:customStyle="1" w:styleId="28">
    <w:name w:val="after1"/>
    <w:basedOn w:val="11"/>
    <w:qFormat/>
    <w:uiPriority w:val="0"/>
    <w:rPr>
      <w:shd w:val="clear" w:fill="DF4127"/>
    </w:rPr>
  </w:style>
  <w:style w:type="character" w:customStyle="1" w:styleId="29">
    <w:name w:val="first-child"/>
    <w:basedOn w:val="11"/>
    <w:qFormat/>
    <w:uiPriority w:val="0"/>
    <w:rPr>
      <w:shd w:val="clear" w:fill="DF4127"/>
    </w:rPr>
  </w:style>
  <w:style w:type="character" w:customStyle="1" w:styleId="30">
    <w:name w:val="first-child1"/>
    <w:basedOn w:val="11"/>
    <w:qFormat/>
    <w:uiPriority w:val="0"/>
  </w:style>
  <w:style w:type="character" w:customStyle="1" w:styleId="31">
    <w:name w:val="active2"/>
    <w:basedOn w:val="11"/>
    <w:qFormat/>
    <w:uiPriority w:val="0"/>
    <w:rPr>
      <w:color w:val="DF4127"/>
    </w:rPr>
  </w:style>
  <w:style w:type="character" w:customStyle="1" w:styleId="32">
    <w:name w:val="before2"/>
    <w:basedOn w:val="11"/>
    <w:uiPriority w:val="0"/>
  </w:style>
  <w:style w:type="character" w:customStyle="1" w:styleId="33">
    <w:name w:val="hover"/>
    <w:basedOn w:val="11"/>
    <w:qFormat/>
    <w:uiPriority w:val="0"/>
    <w:rPr>
      <w:color w:val="DF4127"/>
      <w:u w:val="none"/>
    </w:rPr>
  </w:style>
  <w:style w:type="character" w:customStyle="1" w:styleId="34">
    <w:name w:val="hover1"/>
    <w:basedOn w:val="11"/>
    <w:qFormat/>
    <w:uiPriority w:val="0"/>
    <w:rPr>
      <w:shd w:val="clear" w:fill="CC2C11"/>
    </w:rPr>
  </w:style>
  <w:style w:type="character" w:customStyle="1" w:styleId="35">
    <w:name w:val="hover2"/>
    <w:basedOn w:val="11"/>
    <w:qFormat/>
    <w:uiPriority w:val="0"/>
    <w:rPr>
      <w:color w:val="DF4127"/>
    </w:rPr>
  </w:style>
  <w:style w:type="character" w:customStyle="1" w:styleId="36">
    <w:name w:val="hover3"/>
    <w:basedOn w:val="11"/>
    <w:uiPriority w:val="0"/>
    <w:rPr>
      <w:color w:val="DF4127"/>
    </w:rPr>
  </w:style>
  <w:style w:type="character" w:customStyle="1" w:styleId="37">
    <w:name w:val="hover4"/>
    <w:basedOn w:val="11"/>
    <w:qFormat/>
    <w:uiPriority w:val="0"/>
    <w:rPr>
      <w:color w:val="1A85D7"/>
    </w:rPr>
  </w:style>
  <w:style w:type="character" w:customStyle="1" w:styleId="38">
    <w:name w:val="hover5"/>
    <w:basedOn w:val="11"/>
    <w:qFormat/>
    <w:uiPriority w:val="0"/>
  </w:style>
  <w:style w:type="character" w:customStyle="1" w:styleId="39">
    <w:name w:val="hover46"/>
    <w:basedOn w:val="11"/>
    <w:uiPriority w:val="0"/>
  </w:style>
  <w:style w:type="character" w:customStyle="1" w:styleId="40">
    <w:name w:val="font11"/>
    <w:basedOn w:val="11"/>
    <w:uiPriority w:val="0"/>
    <w:rPr>
      <w:rFonts w:hint="eastAsia" w:ascii="宋体" w:hAnsi="宋体" w:eastAsia="宋体" w:cs="宋体"/>
      <w:color w:val="000000"/>
      <w:sz w:val="24"/>
      <w:szCs w:val="24"/>
      <w:u w:val="none"/>
      <w:vertAlign w:val="subscript"/>
    </w:rPr>
  </w:style>
  <w:style w:type="character" w:customStyle="1" w:styleId="41">
    <w:name w:val="font21"/>
    <w:basedOn w:val="11"/>
    <w:uiPriority w:val="0"/>
    <w:rPr>
      <w:rFonts w:hint="eastAsia" w:ascii="宋体" w:hAnsi="宋体" w:eastAsia="宋体" w:cs="宋体"/>
      <w:color w:val="000000"/>
      <w:sz w:val="24"/>
      <w:szCs w:val="24"/>
      <w:u w:val="none"/>
    </w:rPr>
  </w:style>
  <w:style w:type="character" w:customStyle="1" w:styleId="42">
    <w:name w:val="font01"/>
    <w:basedOn w:val="11"/>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358</Words>
  <Characters>2047</Characters>
  <Lines>17</Lines>
  <Paragraphs>4</Paragraphs>
  <TotalTime>1</TotalTime>
  <ScaleCrop>false</ScaleCrop>
  <LinksUpToDate>false</LinksUpToDate>
  <CharactersWithSpaces>2401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2018-01-26T02:59:00Z</dcterms:created>
  <dc:creator>微软用户</dc:creator>
  <cp:lastModifiedBy>Administrator</cp:lastModifiedBy>
  <cp:lastPrinted>2019-05-24T12:14:00Z</cp:lastPrinted>
  <dcterms:modified xsi:type="dcterms:W3CDTF">2022-05-05T11:54:52Z</dcterms:modified>
  <dc:title>协  议  会  签  单</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10501A4805264059A1780EF37720E994</vt:lpwstr>
  </property>
</Properties>
</file>