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720"/>
        </w:tabs>
        <w:spacing w:after="0" w:line="600" w:lineRule="exact"/>
        <w:ind w:firstLine="539"/>
        <w:rPr>
          <w:rFonts w:hint="eastAsia" w:ascii="华文楷体" w:hAnsi="华文楷体" w:eastAsia="华文楷体"/>
          <w:sz w:val="28"/>
          <w:szCs w:val="28"/>
          <w:lang w:val="en-US" w:eastAsia="zh-CN"/>
        </w:rPr>
      </w:pPr>
      <w:r>
        <w:rPr>
          <w:rFonts w:hint="eastAsia" w:ascii="华文楷体" w:hAnsi="华文楷体" w:eastAsia="华文楷体"/>
          <w:sz w:val="28"/>
          <w:szCs w:val="28"/>
          <w:lang w:val="en-US" w:eastAsia="zh-CN"/>
        </w:rPr>
        <w:t xml:space="preserve"> </w:t>
      </w:r>
    </w:p>
    <w:tbl>
      <w:tblPr>
        <w:tblStyle w:val="11"/>
        <w:tblpPr w:leftFromText="180" w:rightFromText="180" w:vertAnchor="page" w:horzAnchor="margin" w:tblpXSpec="right" w:tblpY="19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3" w:hRule="atLeast"/>
        </w:trPr>
        <w:tc>
          <w:tcPr>
            <w:tcW w:w="1310" w:type="dxa"/>
            <w:noWrap w:val="0"/>
            <w:vAlign w:val="center"/>
          </w:tcPr>
          <w:p>
            <w:pPr>
              <w:tabs>
                <w:tab w:val="left" w:pos="720"/>
              </w:tabs>
              <w:ind w:firstLine="0" w:firstLineChars="0"/>
              <w:rPr>
                <w:rFonts w:ascii="宋体" w:hAnsi="宋体"/>
              </w:rPr>
            </w:pPr>
            <w:r>
              <w:rPr>
                <w:rFonts w:hint="eastAsia" w:ascii="宋体" w:hAnsi="宋体"/>
              </w:rPr>
              <w:t>协议编号</w:t>
            </w:r>
          </w:p>
        </w:tc>
        <w:tc>
          <w:tcPr>
            <w:tcW w:w="3187" w:type="dxa"/>
            <w:noWrap w:val="0"/>
            <w:vAlign w:val="center"/>
          </w:tcPr>
          <w:p>
            <w:pPr>
              <w:tabs>
                <w:tab w:val="left" w:pos="720"/>
              </w:tabs>
              <w:ind w:right="34" w:rightChars="14" w:firstLine="0" w:firstLineChars="0"/>
              <w:jc w:val="center"/>
              <w:rPr>
                <w:rFonts w:ascii="宋体" w:hAnsi="宋体"/>
              </w:rPr>
            </w:pPr>
            <w:r>
              <w:rPr>
                <w:rFonts w:hint="eastAsia" w:ascii="宋体" w:hAnsi="宋体"/>
              </w:rPr>
              <w:t>BABS-JSXY-70142775</w:t>
            </w:r>
          </w:p>
        </w:tc>
      </w:tr>
    </w:tbl>
    <w:p>
      <w:pPr>
        <w:tabs>
          <w:tab w:val="left" w:pos="720"/>
        </w:tabs>
        <w:spacing w:line="360" w:lineRule="auto"/>
        <w:ind w:firstLine="539" w:firstLineChars="0"/>
        <w:rPr>
          <w:rFonts w:ascii="仿宋_GB2312" w:hAnsi="华文中宋" w:eastAsia="仿宋_GB2312"/>
          <w:b/>
          <w:sz w:val="36"/>
          <w:szCs w:val="36"/>
        </w:rPr>
      </w:pPr>
    </w:p>
    <w:p>
      <w:pPr>
        <w:tabs>
          <w:tab w:val="left" w:pos="720"/>
        </w:tabs>
        <w:spacing w:line="360" w:lineRule="auto"/>
        <w:ind w:firstLine="539" w:firstLineChars="0"/>
        <w:rPr>
          <w:rFonts w:ascii="仿宋_GB2312" w:hAnsi="华文中宋" w:eastAsia="仿宋_GB2312"/>
          <w:b/>
          <w:sz w:val="36"/>
          <w:szCs w:val="36"/>
        </w:rPr>
      </w:pPr>
    </w:p>
    <w:p>
      <w:pPr>
        <w:tabs>
          <w:tab w:val="left" w:pos="720"/>
        </w:tabs>
        <w:snapToGrid w:val="0"/>
        <w:spacing w:line="360" w:lineRule="auto"/>
        <w:ind w:right="2" w:rightChars="1" w:firstLine="539" w:firstLineChars="0"/>
        <w:jc w:val="center"/>
        <w:rPr>
          <w:rFonts w:hint="eastAsia" w:ascii="黑体" w:hAnsi="华文中宋" w:eastAsia="黑体"/>
          <w:b/>
          <w:sz w:val="44"/>
          <w:szCs w:val="44"/>
        </w:rPr>
      </w:pPr>
      <w:r>
        <w:rPr>
          <w:rFonts w:hint="eastAsia" w:ascii="黑体" w:hAnsi="华文中宋" w:eastAsia="黑体"/>
          <w:b/>
          <w:sz w:val="44"/>
          <w:szCs w:val="44"/>
        </w:rPr>
        <w:t>甘肃</w:t>
      </w:r>
      <w:r>
        <w:rPr>
          <w:rFonts w:ascii="黑体" w:hAnsi="华文中宋" w:eastAsia="黑体"/>
          <w:b/>
          <w:sz w:val="44"/>
          <w:szCs w:val="44"/>
        </w:rPr>
        <w:t>酒钢集团</w:t>
      </w:r>
      <w:r>
        <w:rPr>
          <w:rFonts w:hint="eastAsia" w:ascii="黑体" w:hAnsi="华文中宋" w:eastAsia="黑体"/>
          <w:b/>
          <w:sz w:val="44"/>
          <w:szCs w:val="44"/>
        </w:rPr>
        <w:t>宏兴钢铁股份有限公司</w:t>
      </w:r>
    </w:p>
    <w:p>
      <w:pPr>
        <w:tabs>
          <w:tab w:val="left" w:pos="720"/>
        </w:tabs>
        <w:spacing w:line="360" w:lineRule="auto"/>
        <w:ind w:firstLine="539" w:firstLineChars="0"/>
        <w:jc w:val="center"/>
        <w:rPr>
          <w:rFonts w:ascii="黑体" w:hAnsi="华文中宋" w:eastAsia="黑体"/>
          <w:b/>
          <w:sz w:val="44"/>
          <w:szCs w:val="44"/>
        </w:rPr>
      </w:pPr>
      <w:r>
        <w:rPr>
          <w:rFonts w:hint="eastAsia" w:ascii="黑体" w:hAnsi="华文中宋" w:eastAsia="黑体"/>
          <w:b/>
          <w:sz w:val="44"/>
          <w:szCs w:val="44"/>
        </w:rPr>
        <w:t>不锈钢分公司</w:t>
      </w:r>
    </w:p>
    <w:p>
      <w:pPr>
        <w:tabs>
          <w:tab w:val="left" w:pos="720"/>
        </w:tabs>
        <w:spacing w:line="360" w:lineRule="auto"/>
        <w:ind w:firstLine="539" w:firstLineChars="0"/>
        <w:rPr>
          <w:rFonts w:ascii="黑体" w:eastAsia="黑体"/>
          <w:sz w:val="30"/>
          <w:szCs w:val="30"/>
        </w:rPr>
      </w:pPr>
    </w:p>
    <w:p>
      <w:pPr>
        <w:tabs>
          <w:tab w:val="left" w:pos="720"/>
        </w:tabs>
        <w:spacing w:line="360" w:lineRule="auto"/>
        <w:ind w:firstLine="539" w:firstLineChars="0"/>
        <w:jc w:val="center"/>
        <w:rPr>
          <w:rFonts w:hint="eastAsia" w:ascii="黑体" w:eastAsia="黑体"/>
          <w:sz w:val="30"/>
          <w:szCs w:val="30"/>
          <w:u w:val="single"/>
        </w:rPr>
      </w:pPr>
      <w:r>
        <w:rPr>
          <w:rFonts w:hint="eastAsia" w:ascii="Arial" w:cs="Arial"/>
          <w:b/>
          <w:sz w:val="44"/>
        </w:rPr>
        <w:t>混酸石墨换热器技术协议</w:t>
      </w:r>
    </w:p>
    <w:p>
      <w:pPr>
        <w:tabs>
          <w:tab w:val="left" w:pos="720"/>
        </w:tabs>
        <w:spacing w:line="360" w:lineRule="auto"/>
        <w:ind w:firstLine="539" w:firstLineChars="0"/>
        <w:rPr>
          <w:rFonts w:hint="eastAsia" w:ascii="黑体" w:eastAsia="黑体"/>
          <w:sz w:val="30"/>
          <w:szCs w:val="30"/>
          <w:u w:val="single"/>
        </w:rPr>
      </w:pPr>
    </w:p>
    <w:p>
      <w:pPr>
        <w:tabs>
          <w:tab w:val="left" w:pos="720"/>
        </w:tabs>
        <w:spacing w:line="360" w:lineRule="auto"/>
        <w:ind w:firstLine="539" w:firstLineChars="0"/>
        <w:rPr>
          <w:rFonts w:ascii="黑体" w:eastAsia="黑体"/>
          <w:sz w:val="30"/>
          <w:szCs w:val="30"/>
          <w:u w:val="single"/>
        </w:rPr>
      </w:pPr>
    </w:p>
    <w:p>
      <w:pPr>
        <w:tabs>
          <w:tab w:val="left" w:pos="720"/>
        </w:tabs>
        <w:spacing w:line="360" w:lineRule="auto"/>
        <w:ind w:firstLine="539" w:firstLineChars="0"/>
        <w:rPr>
          <w:rFonts w:hint="eastAsia" w:ascii="黑体" w:eastAsia="黑体"/>
          <w:sz w:val="30"/>
          <w:szCs w:val="30"/>
        </w:rPr>
      </w:pPr>
      <w:r>
        <w:rPr>
          <w:rFonts w:hint="eastAsia" w:ascii="黑体" w:eastAsia="黑体"/>
          <w:sz w:val="30"/>
          <w:szCs w:val="30"/>
        </w:rPr>
        <w:t xml:space="preserve">    甲方：</w:t>
      </w:r>
    </w:p>
    <w:p>
      <w:pPr>
        <w:tabs>
          <w:tab w:val="left" w:pos="720"/>
        </w:tabs>
        <w:spacing w:line="360" w:lineRule="auto"/>
        <w:ind w:firstLine="539" w:firstLineChars="0"/>
        <w:rPr>
          <w:rFonts w:ascii="黑体" w:eastAsia="黑体"/>
          <w:sz w:val="30"/>
          <w:szCs w:val="30"/>
          <w:u w:val="single"/>
        </w:rPr>
      </w:pPr>
      <w:r>
        <w:rPr>
          <w:rFonts w:hint="eastAsia" w:ascii="黑体" w:eastAsia="黑体"/>
          <w:sz w:val="30"/>
          <w:szCs w:val="30"/>
        </w:rPr>
        <w:t xml:space="preserve">    乙方：</w:t>
      </w:r>
      <w:r>
        <w:rPr>
          <w:rFonts w:hint="eastAsia" w:ascii="黑体" w:eastAsia="黑体"/>
          <w:sz w:val="28"/>
          <w:szCs w:val="28"/>
          <w:u w:val="single"/>
        </w:rPr>
        <w:t xml:space="preserve">                  </w:t>
      </w:r>
    </w:p>
    <w:p>
      <w:pPr>
        <w:tabs>
          <w:tab w:val="left" w:pos="720"/>
        </w:tabs>
        <w:snapToGrid w:val="0"/>
        <w:spacing w:line="360" w:lineRule="auto"/>
        <w:ind w:right="2" w:rightChars="1" w:firstLine="539" w:firstLineChars="0"/>
        <w:rPr>
          <w:rFonts w:hint="eastAsia" w:ascii="黑体" w:eastAsia="黑体"/>
          <w:sz w:val="30"/>
          <w:szCs w:val="30"/>
        </w:rPr>
      </w:pPr>
      <w:r>
        <w:rPr>
          <w:rFonts w:hint="eastAsia" w:ascii="黑体" w:eastAsia="黑体"/>
          <w:sz w:val="30"/>
          <w:szCs w:val="30"/>
        </w:rPr>
        <w:t xml:space="preserve"> </w:t>
      </w:r>
    </w:p>
    <w:p>
      <w:pPr>
        <w:tabs>
          <w:tab w:val="left" w:pos="720"/>
        </w:tabs>
        <w:snapToGrid w:val="0"/>
        <w:spacing w:line="360" w:lineRule="auto"/>
        <w:ind w:right="2" w:rightChars="1" w:firstLine="539" w:firstLineChars="0"/>
        <w:rPr>
          <w:rFonts w:hint="eastAsia" w:ascii="Arial" w:cs="Arial"/>
          <w:b/>
          <w:sz w:val="32"/>
          <w:szCs w:val="32"/>
        </w:rPr>
      </w:pPr>
      <w:r>
        <w:rPr>
          <w:rFonts w:hint="eastAsia" w:ascii="黑体" w:eastAsia="黑体"/>
          <w:sz w:val="30"/>
          <w:szCs w:val="30"/>
        </w:rPr>
        <w:t xml:space="preserve">    日期：</w:t>
      </w:r>
    </w:p>
    <w:p>
      <w:pPr>
        <w:tabs>
          <w:tab w:val="left" w:pos="720"/>
        </w:tabs>
        <w:spacing w:line="360" w:lineRule="auto"/>
        <w:ind w:firstLine="539" w:firstLineChars="0"/>
        <w:rPr>
          <w:rFonts w:hint="eastAsia" w:ascii="宋体" w:hAnsi="宋体"/>
          <w:szCs w:val="24"/>
        </w:rPr>
      </w:pPr>
    </w:p>
    <w:p>
      <w:pPr>
        <w:tabs>
          <w:tab w:val="left" w:pos="720"/>
        </w:tabs>
        <w:spacing w:line="360" w:lineRule="auto"/>
        <w:ind w:firstLine="539" w:firstLineChars="0"/>
        <w:rPr>
          <w:rFonts w:hint="eastAsia" w:ascii="宋体" w:hAnsi="宋体"/>
          <w:szCs w:val="24"/>
        </w:rPr>
      </w:pPr>
    </w:p>
    <w:p>
      <w:pPr>
        <w:tabs>
          <w:tab w:val="left" w:pos="720"/>
        </w:tabs>
        <w:spacing w:line="360" w:lineRule="auto"/>
        <w:ind w:firstLine="539" w:firstLineChars="0"/>
        <w:rPr>
          <w:rFonts w:hint="eastAsia" w:ascii="宋体" w:hAnsi="宋体"/>
          <w:szCs w:val="24"/>
        </w:rPr>
      </w:pPr>
    </w:p>
    <w:p>
      <w:pPr>
        <w:tabs>
          <w:tab w:val="left" w:pos="720"/>
        </w:tabs>
        <w:spacing w:line="360" w:lineRule="auto"/>
        <w:ind w:firstLine="480" w:firstLineChars="200"/>
        <w:rPr>
          <w:rFonts w:hint="eastAsia" w:ascii="宋体" w:hAnsi="宋体"/>
          <w:szCs w:val="24"/>
        </w:rPr>
      </w:pPr>
      <w:r>
        <w:rPr>
          <w:rFonts w:hint="eastAsia" w:ascii="宋体" w:hAnsi="宋体"/>
          <w:szCs w:val="24"/>
        </w:rPr>
        <w:t>甘肃酒钢集团宏兴钢铁股份有限公司不锈钢分公司（以下称甲方）与**（以下称乙方）就甲方</w:t>
      </w:r>
      <w:r>
        <w:rPr>
          <w:rFonts w:hint="eastAsia" w:ascii="宋体" w:hAnsi="宋体"/>
          <w:szCs w:val="24"/>
          <w:u w:val="single"/>
        </w:rPr>
        <w:t>混酸石墨换热器</w:t>
      </w:r>
      <w:r>
        <w:rPr>
          <w:rFonts w:hint="eastAsia" w:ascii="宋体" w:hAnsi="宋体"/>
          <w:szCs w:val="24"/>
        </w:rPr>
        <w:t>事宜，冷轧二厂酸洗混酸石墨换热器为易损A类备件，本着有利于保障生产设备稳定运行，延长备件使用寿命，经甲方与乙方进行技术交流、磋商与论证，达成如下技术协议：</w:t>
      </w:r>
    </w:p>
    <w:p>
      <w:pPr>
        <w:tabs>
          <w:tab w:val="left" w:pos="720"/>
        </w:tabs>
        <w:spacing w:line="360" w:lineRule="auto"/>
        <w:ind w:firstLine="0" w:firstLineChars="0"/>
        <w:rPr>
          <w:rFonts w:hint="eastAsia" w:ascii="宋体" w:hAnsi="宋体"/>
          <w:b/>
          <w:szCs w:val="24"/>
        </w:rPr>
      </w:pPr>
      <w:r>
        <w:rPr>
          <w:rFonts w:hint="eastAsia" w:ascii="宋体" w:hAnsi="宋体"/>
          <w:b/>
          <w:szCs w:val="24"/>
        </w:rPr>
        <w:t>一 、 总则</w:t>
      </w:r>
    </w:p>
    <w:p>
      <w:pPr>
        <w:tabs>
          <w:tab w:val="left" w:pos="720"/>
          <w:tab w:val="left" w:pos="1080"/>
        </w:tabs>
        <w:spacing w:before="0" w:beforeAutospacing="0" w:after="0" w:afterAutospacing="0" w:line="360" w:lineRule="auto"/>
        <w:ind w:firstLine="539" w:firstLineChars="0"/>
        <w:rPr>
          <w:rFonts w:hint="eastAsia" w:ascii="宋体" w:hAnsi="宋体"/>
          <w:szCs w:val="24"/>
        </w:rPr>
      </w:pPr>
      <w:r>
        <w:rPr>
          <w:rFonts w:hint="eastAsia" w:ascii="宋体" w:hAnsi="宋体"/>
          <w:szCs w:val="24"/>
        </w:rPr>
        <w:t>本技术协议所提出的是最低标准的技术要求，并未对一切技术细节做出规定，也未充分引述有关标准和规范的条文，乙方应保证提供符合有关标准和技术文件的优质品。</w:t>
      </w:r>
    </w:p>
    <w:p>
      <w:pPr>
        <w:numPr>
          <w:ilvl w:val="0"/>
          <w:numId w:val="1"/>
        </w:num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乙方提供的混酸石墨换热器必须具有国内同行业近几年内的先进制造水平，采用先进工艺，合格材料，成熟的技术或专利技术。</w:t>
      </w:r>
    </w:p>
    <w:p>
      <w:pPr>
        <w:numPr>
          <w:ilvl w:val="0"/>
          <w:numId w:val="1"/>
        </w:num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乙方提供的混酸石墨换热器必须是全新、规范、先进的高质量可靠产品，能够确保连续稳定的工作。</w:t>
      </w:r>
    </w:p>
    <w:p>
      <w:pPr>
        <w:numPr>
          <w:ilvl w:val="0"/>
          <w:numId w:val="1"/>
        </w:num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 xml:space="preserve">乙方提供货物的制造，材料的选择，都应按照国内外通用的现行标准和相应的技术规范执行，而这些标准和技术规范应为合同签字日为止最新公布发行的标准和技术规范。 </w:t>
      </w:r>
    </w:p>
    <w:p>
      <w:pPr>
        <w:numPr>
          <w:ilvl w:val="0"/>
          <w:numId w:val="1"/>
        </w:numPr>
        <w:tabs>
          <w:tab w:val="left" w:pos="540"/>
          <w:tab w:val="left" w:pos="720"/>
        </w:tabs>
        <w:adjustRightInd/>
        <w:spacing w:before="0" w:beforeAutospacing="0" w:after="0" w:afterAutospacing="0" w:line="360" w:lineRule="auto"/>
        <w:ind w:firstLine="539" w:firstLineChars="0"/>
        <w:textAlignment w:val="auto"/>
        <w:rPr>
          <w:rFonts w:hint="eastAsia" w:ascii="宋体" w:hAnsi="宋体"/>
          <w:color w:val="FF0000"/>
          <w:szCs w:val="24"/>
        </w:rPr>
      </w:pPr>
      <w:r>
        <w:rPr>
          <w:rFonts w:hint="eastAsia" w:ascii="宋体" w:hAnsi="宋体"/>
          <w:szCs w:val="24"/>
        </w:rPr>
        <w:t>乙方在混酸石墨换热器的制造中，发生侵犯专利的行为时其侵权责任与甲方无关。</w:t>
      </w:r>
    </w:p>
    <w:p>
      <w:pPr>
        <w:tabs>
          <w:tab w:val="left" w:pos="540"/>
          <w:tab w:val="left" w:pos="720"/>
          <w:tab w:val="left" w:pos="1080"/>
        </w:tabs>
        <w:adjustRightInd/>
        <w:spacing w:before="0" w:beforeAutospacing="0" w:after="0" w:afterAutospacing="0" w:line="360" w:lineRule="auto"/>
        <w:ind w:firstLine="0" w:firstLineChars="0"/>
        <w:textAlignment w:val="auto"/>
        <w:rPr>
          <w:rFonts w:hint="eastAsia" w:ascii="宋体" w:hAnsi="宋体"/>
          <w:b/>
          <w:spacing w:val="-4"/>
          <w:kern w:val="28"/>
          <w:szCs w:val="24"/>
        </w:rPr>
      </w:pPr>
      <w:r>
        <w:rPr>
          <w:rFonts w:hint="eastAsia" w:ascii="宋体" w:hAnsi="宋体"/>
          <w:b/>
          <w:spacing w:val="-4"/>
          <w:kern w:val="28"/>
          <w:szCs w:val="24"/>
        </w:rPr>
        <w:t>二 、供货范围</w:t>
      </w:r>
    </w:p>
    <w:tbl>
      <w:tblPr>
        <w:tblStyle w:val="11"/>
        <w:tblW w:w="0" w:type="auto"/>
        <w:jc w:val="center"/>
        <w:tblLayout w:type="fixed"/>
        <w:tblCellMar>
          <w:top w:w="0" w:type="dxa"/>
          <w:left w:w="108" w:type="dxa"/>
          <w:bottom w:w="0" w:type="dxa"/>
          <w:right w:w="108" w:type="dxa"/>
        </w:tblCellMar>
      </w:tblPr>
      <w:tblGrid>
        <w:gridCol w:w="1177"/>
        <w:gridCol w:w="1087"/>
        <w:gridCol w:w="791"/>
        <w:gridCol w:w="618"/>
        <w:gridCol w:w="896"/>
        <w:gridCol w:w="943"/>
        <w:gridCol w:w="1080"/>
        <w:gridCol w:w="1132"/>
        <w:gridCol w:w="842"/>
        <w:gridCol w:w="665"/>
      </w:tblGrid>
      <w:tr>
        <w:trPr>
          <w:wBefore w:w="0" w:type="dxa"/>
          <w:wAfter w:w="0" w:type="dxa"/>
          <w:trHeight w:val="814" w:hRule="atLeast"/>
          <w:jc w:val="center"/>
        </w:trPr>
        <w:tc>
          <w:tcPr>
            <w:tcW w:w="1177"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Arial" w:hAnsi="Arial" w:eastAsia="楷体_GB2312" w:cs="Arial"/>
                <w:b/>
                <w:szCs w:val="24"/>
                <w:lang w:val="sq-AL"/>
              </w:rPr>
            </w:pPr>
            <w:r>
              <w:rPr>
                <w:rFonts w:hint="eastAsia" w:ascii="Arial" w:hAnsi="Arial" w:eastAsia="楷体_GB2312" w:cs="Arial"/>
                <w:b/>
                <w:szCs w:val="24"/>
                <w:lang w:val="sq-AL"/>
              </w:rPr>
              <w:t>物资名称</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default" w:ascii="Arial" w:hAnsi="Arial" w:eastAsia="楷体_GB2312" w:cs="Arial"/>
                <w:b/>
                <w:szCs w:val="24"/>
                <w:lang w:val="en-US" w:eastAsia="zh-CN"/>
              </w:rPr>
            </w:pPr>
            <w:r>
              <w:rPr>
                <w:rFonts w:hint="eastAsia" w:ascii="Arial" w:hAnsi="Arial" w:eastAsia="楷体_GB2312" w:cs="Arial"/>
                <w:b/>
                <w:szCs w:val="24"/>
                <w:lang w:val="sq-AL"/>
              </w:rPr>
              <w:t>现</w:t>
            </w:r>
            <w:r>
              <w:rPr>
                <w:rFonts w:ascii="Arial" w:hAnsi="Arial" w:eastAsia="楷体_GB2312" w:cs="Arial"/>
                <w:b/>
                <w:szCs w:val="24"/>
                <w:lang w:val="sq-AL"/>
              </w:rPr>
              <w:t>规格型号</w:t>
            </w:r>
            <w:r>
              <w:rPr>
                <w:rFonts w:hint="eastAsia" w:ascii="Arial" w:hAnsi="Arial" w:eastAsia="楷体_GB2312" w:cs="Arial"/>
                <w:b/>
                <w:szCs w:val="24"/>
                <w:lang w:val="en-US" w:eastAsia="zh-CN"/>
              </w:rPr>
              <w:t>/材质</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Arial" w:hAnsi="Arial" w:eastAsia="楷体_GB2312" w:cs="Arial"/>
                <w:b/>
                <w:szCs w:val="24"/>
                <w:lang w:val="sq-AL"/>
              </w:rPr>
            </w:pPr>
            <w:r>
              <w:rPr>
                <w:rFonts w:hint="eastAsia" w:ascii="Arial" w:hAnsi="Arial" w:eastAsia="楷体_GB2312" w:cs="Arial"/>
                <w:b/>
                <w:szCs w:val="24"/>
                <w:lang w:val="sq-AL"/>
              </w:rPr>
              <w:t>单位</w:t>
            </w:r>
          </w:p>
        </w:tc>
        <w:tc>
          <w:tcPr>
            <w:tcW w:w="61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Arial" w:hAnsi="Arial" w:eastAsia="楷体_GB2312" w:cs="Arial"/>
                <w:b/>
                <w:szCs w:val="24"/>
                <w:lang w:val="sq-AL"/>
              </w:rPr>
            </w:pPr>
            <w:r>
              <w:rPr>
                <w:rFonts w:hint="eastAsia" w:ascii="Arial" w:hAnsi="Arial" w:eastAsia="楷体_GB2312" w:cs="Arial"/>
                <w:b/>
                <w:szCs w:val="24"/>
                <w:lang w:val="sq-AL"/>
              </w:rPr>
              <w:t>数量</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Arial" w:hAnsi="Arial" w:eastAsia="楷体_GB2312" w:cs="Arial"/>
                <w:b/>
                <w:szCs w:val="24"/>
                <w:lang w:val="sq-AL"/>
              </w:rPr>
            </w:pPr>
            <w:r>
              <w:rPr>
                <w:rFonts w:hint="eastAsia" w:ascii="Arial" w:hAnsi="Arial" w:eastAsia="楷体_GB2312" w:cs="Arial"/>
                <w:b/>
                <w:szCs w:val="24"/>
                <w:lang w:val="sq-AL"/>
              </w:rPr>
              <w:t>单 重</w:t>
            </w:r>
          </w:p>
          <w:p>
            <w:pPr>
              <w:widowControl/>
              <w:ind w:firstLine="0" w:firstLineChars="0"/>
              <w:jc w:val="center"/>
              <w:rPr>
                <w:rFonts w:hint="eastAsia" w:ascii="Arial" w:hAnsi="Arial" w:eastAsia="楷体_GB2312" w:cs="Arial"/>
                <w:szCs w:val="24"/>
                <w:lang w:val="sq-AL"/>
              </w:rPr>
            </w:pPr>
            <w:r>
              <w:rPr>
                <w:rFonts w:hint="eastAsia" w:ascii="Arial" w:hAnsi="Arial" w:eastAsia="楷体_GB2312" w:cs="Arial"/>
                <w:szCs w:val="24"/>
                <w:lang w:val="sq-AL"/>
              </w:rPr>
              <w:t>（kg）</w:t>
            </w:r>
          </w:p>
        </w:tc>
        <w:tc>
          <w:tcPr>
            <w:tcW w:w="943"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Arial" w:hAnsi="Arial" w:eastAsia="楷体_GB2312" w:cs="Arial"/>
                <w:b/>
                <w:szCs w:val="24"/>
                <w:lang w:val="sq-AL"/>
              </w:rPr>
            </w:pPr>
            <w:r>
              <w:rPr>
                <w:rFonts w:hint="eastAsia" w:ascii="Arial" w:hAnsi="Arial" w:eastAsia="楷体_GB2312" w:cs="Arial"/>
                <w:b/>
                <w:szCs w:val="24"/>
                <w:lang w:val="sq-AL"/>
              </w:rPr>
              <w:t>总重</w:t>
            </w:r>
          </w:p>
          <w:p>
            <w:pPr>
              <w:widowControl/>
              <w:ind w:firstLine="0" w:firstLineChars="0"/>
              <w:jc w:val="center"/>
              <w:rPr>
                <w:rFonts w:hint="eastAsia" w:ascii="Arial" w:hAnsi="Arial" w:eastAsia="楷体_GB2312" w:cs="Arial"/>
                <w:szCs w:val="24"/>
                <w:lang w:val="sq-AL"/>
              </w:rPr>
            </w:pPr>
            <w:r>
              <w:rPr>
                <w:rFonts w:hint="eastAsia" w:ascii="Arial" w:hAnsi="Arial" w:eastAsia="楷体_GB2312" w:cs="Arial"/>
                <w:szCs w:val="24"/>
                <w:lang w:val="sq-AL"/>
              </w:rPr>
              <w:t>（kg）</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hint="eastAsia" w:ascii="Arial" w:hAnsi="Arial" w:eastAsia="楷体_GB2312" w:cs="Arial"/>
                <w:b/>
                <w:szCs w:val="24"/>
                <w:lang w:val="sq-AL"/>
              </w:rPr>
            </w:pPr>
            <w:r>
              <w:rPr>
                <w:rFonts w:hint="eastAsia" w:ascii="Arial" w:hAnsi="Arial" w:eastAsia="楷体_GB2312" w:cs="Arial"/>
                <w:b/>
                <w:szCs w:val="24"/>
                <w:lang w:val="sq-AL"/>
              </w:rPr>
              <w:t>使用介质</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Arial" w:hAnsi="Arial" w:eastAsia="楷体_GB2312" w:cs="Arial"/>
                <w:b/>
                <w:szCs w:val="24"/>
                <w:lang w:val="sq-AL"/>
              </w:rPr>
            </w:pPr>
            <w:r>
              <w:rPr>
                <w:rFonts w:hint="eastAsia" w:ascii="Arial" w:hAnsi="Arial" w:eastAsia="楷体_GB2312" w:cs="Arial"/>
                <w:b/>
                <w:szCs w:val="24"/>
                <w:lang w:val="sq-AL"/>
              </w:rPr>
              <w:t>生产厂家</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Arial" w:hAnsi="Arial" w:eastAsia="楷体_GB2312" w:cs="Arial"/>
                <w:b/>
                <w:szCs w:val="24"/>
                <w:lang w:val="sq-AL"/>
              </w:rPr>
            </w:pPr>
            <w:r>
              <w:rPr>
                <w:rFonts w:hint="eastAsia" w:ascii="Arial" w:hAnsi="Arial" w:eastAsia="楷体_GB2312" w:cs="Arial"/>
                <w:b/>
                <w:szCs w:val="24"/>
                <w:lang w:val="sq-AL"/>
              </w:rPr>
              <w:t>质量保证期（年）</w:t>
            </w:r>
          </w:p>
        </w:tc>
        <w:tc>
          <w:tcPr>
            <w:tcW w:w="66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Arial" w:hAnsi="Arial" w:eastAsia="楷体_GB2312" w:cs="Arial"/>
                <w:b/>
                <w:szCs w:val="24"/>
                <w:lang w:val="sq-AL"/>
              </w:rPr>
            </w:pPr>
            <w:r>
              <w:rPr>
                <w:rFonts w:hint="eastAsia" w:ascii="Arial" w:hAnsi="Arial" w:eastAsia="楷体_GB2312" w:cs="Arial"/>
                <w:b/>
                <w:szCs w:val="24"/>
                <w:lang w:val="sq-AL"/>
              </w:rPr>
              <w:t>备注</w:t>
            </w:r>
          </w:p>
        </w:tc>
      </w:tr>
      <w:tr>
        <w:tblPrEx>
          <w:tblCellMar>
            <w:top w:w="0" w:type="dxa"/>
            <w:left w:w="108" w:type="dxa"/>
            <w:bottom w:w="0" w:type="dxa"/>
            <w:right w:w="108" w:type="dxa"/>
          </w:tblCellMar>
        </w:tblPrEx>
        <w:trPr>
          <w:wBefore w:w="0" w:type="dxa"/>
          <w:wAfter w:w="0" w:type="dxa"/>
          <w:trHeight w:val="1126" w:hRule="atLeast"/>
          <w:jc w:val="center"/>
        </w:trPr>
        <w:tc>
          <w:tcPr>
            <w:tcW w:w="1177"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hint="eastAsia" w:ascii="宋体" w:hAnsi="宋体" w:cs="宋体"/>
                <w:color w:val="000000"/>
                <w:sz w:val="18"/>
                <w:szCs w:val="18"/>
              </w:rPr>
            </w:pPr>
            <w:r>
              <w:rPr>
                <w:rFonts w:hint="eastAsia" w:ascii="宋体" w:hAnsi="宋体" w:cs="宋体"/>
                <w:color w:val="000000"/>
                <w:sz w:val="18"/>
                <w:szCs w:val="18"/>
              </w:rPr>
              <w:t>换热器</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cs="宋体"/>
                <w:color w:val="000000"/>
                <w:sz w:val="18"/>
                <w:szCs w:val="18"/>
              </w:rPr>
            </w:pPr>
            <w:r>
              <w:rPr>
                <w:rFonts w:hint="eastAsia" w:ascii="宋体" w:hAnsi="宋体" w:cs="宋体"/>
                <w:color w:val="000000"/>
                <w:sz w:val="18"/>
                <w:szCs w:val="18"/>
              </w:rPr>
              <w:t>GTB 4-24-10-I-HP-5-T</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hint="eastAsia" w:ascii="宋体" w:hAnsi="宋体" w:cs="宋体"/>
                <w:color w:val="000000"/>
                <w:sz w:val="18"/>
                <w:szCs w:val="18"/>
              </w:rPr>
            </w:pPr>
            <w:r>
              <w:rPr>
                <w:rFonts w:hint="eastAsia" w:ascii="宋体" w:hAnsi="宋体" w:cs="宋体"/>
                <w:color w:val="000000"/>
                <w:sz w:val="18"/>
                <w:szCs w:val="18"/>
              </w:rPr>
              <w:t>台</w:t>
            </w:r>
          </w:p>
        </w:tc>
        <w:tc>
          <w:tcPr>
            <w:tcW w:w="618"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hint="eastAsia" w:ascii="宋体" w:hAnsi="宋体" w:cs="宋体"/>
                <w:color w:val="000000"/>
                <w:sz w:val="18"/>
                <w:szCs w:val="18"/>
              </w:rPr>
            </w:pPr>
            <w:r>
              <w:rPr>
                <w:rFonts w:hint="eastAsia" w:ascii="宋体" w:hAnsi="宋体" w:cs="宋体"/>
                <w:color w:val="000000"/>
                <w:sz w:val="18"/>
                <w:szCs w:val="18"/>
              </w:rPr>
              <w:t>1</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cs="宋体"/>
                <w:color w:val="000000"/>
                <w:sz w:val="18"/>
                <w:szCs w:val="18"/>
              </w:rPr>
            </w:pPr>
            <w:r>
              <w:rPr>
                <w:rFonts w:hint="eastAsia" w:ascii="宋体" w:hAnsi="宋体" w:cs="宋体"/>
                <w:color w:val="000000"/>
                <w:sz w:val="18"/>
                <w:szCs w:val="18"/>
              </w:rPr>
              <w:t>1114</w:t>
            </w:r>
          </w:p>
        </w:tc>
        <w:tc>
          <w:tcPr>
            <w:tcW w:w="943"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cs="宋体"/>
                <w:color w:val="000000"/>
                <w:sz w:val="18"/>
                <w:szCs w:val="18"/>
              </w:rPr>
            </w:pPr>
            <w:r>
              <w:rPr>
                <w:rFonts w:hint="eastAsia" w:ascii="宋体" w:hAnsi="宋体" w:cs="宋体"/>
                <w:color w:val="000000"/>
                <w:sz w:val="18"/>
                <w:szCs w:val="18"/>
              </w:rPr>
              <w:t>1114</w:t>
            </w:r>
          </w:p>
        </w:tc>
        <w:tc>
          <w:tcPr>
            <w:tcW w:w="1080"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color w:val="000000"/>
                <w:sz w:val="18"/>
                <w:szCs w:val="18"/>
              </w:rPr>
            </w:pPr>
            <w:r>
              <w:rPr>
                <w:rFonts w:hint="eastAsia" w:ascii="宋体" w:hAnsi="宋体" w:cs="宋体"/>
                <w:color w:val="000000"/>
                <w:sz w:val="18"/>
                <w:szCs w:val="18"/>
              </w:rPr>
              <w:t>混酸</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cs="宋体"/>
                <w:sz w:val="18"/>
                <w:szCs w:val="18"/>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cs="宋体"/>
                <w:color w:val="000000"/>
                <w:sz w:val="18"/>
                <w:szCs w:val="18"/>
              </w:rPr>
            </w:pPr>
            <w:r>
              <w:rPr>
                <w:rFonts w:hint="eastAsia" w:ascii="宋体" w:hAnsi="宋体" w:cs="宋体"/>
                <w:color w:val="000000"/>
                <w:sz w:val="18"/>
                <w:szCs w:val="18"/>
              </w:rPr>
              <w:t>1</w:t>
            </w:r>
          </w:p>
        </w:tc>
        <w:tc>
          <w:tcPr>
            <w:tcW w:w="66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cs="宋体"/>
                <w:color w:val="000000"/>
                <w:sz w:val="18"/>
                <w:szCs w:val="18"/>
              </w:rPr>
            </w:pPr>
          </w:p>
        </w:tc>
      </w:tr>
      <w:tr>
        <w:tblPrEx>
          <w:tblCellMar>
            <w:top w:w="0" w:type="dxa"/>
            <w:left w:w="108" w:type="dxa"/>
            <w:bottom w:w="0" w:type="dxa"/>
            <w:right w:w="108" w:type="dxa"/>
          </w:tblCellMar>
        </w:tblPrEx>
        <w:trPr>
          <w:wBefore w:w="0" w:type="dxa"/>
          <w:wAfter w:w="0" w:type="dxa"/>
          <w:trHeight w:val="1126" w:hRule="atLeast"/>
          <w:jc w:val="center"/>
        </w:trPr>
        <w:tc>
          <w:tcPr>
            <w:tcW w:w="1177"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密封垫片</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EPTFE</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套</w:t>
            </w:r>
          </w:p>
        </w:tc>
        <w:tc>
          <w:tcPr>
            <w:tcW w:w="618"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cs="宋体"/>
                <w:color w:val="000000"/>
                <w:sz w:val="18"/>
                <w:szCs w:val="18"/>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cs="宋体"/>
                <w:color w:val="000000"/>
                <w:sz w:val="18"/>
                <w:szCs w:val="18"/>
              </w:rPr>
            </w:pPr>
          </w:p>
        </w:tc>
        <w:tc>
          <w:tcPr>
            <w:tcW w:w="1080"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hint="eastAsia" w:ascii="宋体" w:hAnsi="宋体" w:cs="宋体"/>
                <w:color w:val="000000"/>
                <w:sz w:val="18"/>
                <w:szCs w:val="18"/>
              </w:rPr>
            </w:pPr>
            <w:r>
              <w:rPr>
                <w:rFonts w:hint="eastAsia" w:ascii="宋体" w:hAnsi="宋体" w:cs="宋体"/>
                <w:color w:val="000000"/>
                <w:sz w:val="18"/>
                <w:szCs w:val="18"/>
              </w:rPr>
              <w:t>混酸</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cs="宋体"/>
                <w:sz w:val="18"/>
                <w:szCs w:val="18"/>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66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cs="宋体"/>
                <w:color w:val="000000"/>
                <w:sz w:val="18"/>
                <w:szCs w:val="18"/>
              </w:rPr>
            </w:pPr>
          </w:p>
        </w:tc>
      </w:tr>
      <w:tr>
        <w:tblPrEx>
          <w:tblCellMar>
            <w:top w:w="0" w:type="dxa"/>
            <w:left w:w="108" w:type="dxa"/>
            <w:bottom w:w="0" w:type="dxa"/>
            <w:right w:w="108" w:type="dxa"/>
          </w:tblCellMar>
        </w:tblPrEx>
        <w:trPr>
          <w:wBefore w:w="0" w:type="dxa"/>
          <w:wAfter w:w="0" w:type="dxa"/>
          <w:trHeight w:val="1126" w:hRule="atLeast"/>
          <w:jc w:val="center"/>
        </w:trPr>
        <w:tc>
          <w:tcPr>
            <w:tcW w:w="1177"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进出口法兰垫片</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default" w:ascii="宋体" w:hAnsi="宋体" w:cs="宋体"/>
                <w:color w:val="000000"/>
                <w:sz w:val="18"/>
                <w:szCs w:val="18"/>
                <w:lang w:val="en-US" w:eastAsia="zh-CN"/>
              </w:rPr>
            </w:pP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片</w:t>
            </w:r>
          </w:p>
        </w:tc>
        <w:tc>
          <w:tcPr>
            <w:tcW w:w="618"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cs="宋体"/>
                <w:color w:val="000000"/>
                <w:sz w:val="18"/>
                <w:szCs w:val="18"/>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cs="宋体"/>
                <w:color w:val="000000"/>
                <w:sz w:val="18"/>
                <w:szCs w:val="18"/>
              </w:rPr>
            </w:pPr>
          </w:p>
        </w:tc>
        <w:tc>
          <w:tcPr>
            <w:tcW w:w="1080"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hint="eastAsia" w:ascii="宋体" w:hAnsi="宋体" w:cs="宋体"/>
                <w:color w:val="000000"/>
                <w:sz w:val="18"/>
                <w:szCs w:val="18"/>
              </w:rPr>
            </w:pPr>
            <w:r>
              <w:rPr>
                <w:rFonts w:hint="eastAsia" w:ascii="宋体" w:hAnsi="宋体" w:cs="宋体"/>
                <w:color w:val="000000"/>
                <w:sz w:val="18"/>
                <w:szCs w:val="18"/>
              </w:rPr>
              <w:t>混酸</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cs="宋体"/>
                <w:sz w:val="18"/>
                <w:szCs w:val="18"/>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66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cs="宋体"/>
                <w:color w:val="000000"/>
                <w:sz w:val="18"/>
                <w:szCs w:val="18"/>
              </w:rPr>
            </w:pPr>
          </w:p>
        </w:tc>
      </w:tr>
    </w:tbl>
    <w:p>
      <w:pPr>
        <w:tabs>
          <w:tab w:val="left" w:pos="720"/>
        </w:tabs>
        <w:spacing w:line="360" w:lineRule="auto"/>
        <w:ind w:firstLine="0" w:firstLineChars="0"/>
        <w:rPr>
          <w:rFonts w:hint="eastAsia" w:ascii="宋体" w:hAnsi="宋体"/>
          <w:b/>
          <w:szCs w:val="24"/>
        </w:rPr>
      </w:pPr>
      <w:r>
        <w:rPr>
          <w:rFonts w:hint="eastAsia" w:ascii="宋体" w:hAnsi="宋体"/>
          <w:b/>
          <w:szCs w:val="24"/>
        </w:rPr>
        <w:t>三、制造要求</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b/>
          <w:color w:val="FF0000"/>
          <w:szCs w:val="24"/>
        </w:rPr>
      </w:pPr>
      <w:r>
        <w:rPr>
          <w:rFonts w:hint="eastAsia" w:ascii="宋体" w:hAnsi="宋体"/>
          <w:b/>
          <w:szCs w:val="24"/>
        </w:rPr>
        <w:t>3.1主要技术要求：</w:t>
      </w:r>
      <w:r>
        <w:rPr>
          <w:rFonts w:hint="eastAsia" w:ascii="宋体" w:hAnsi="宋体"/>
          <w:b/>
          <w:color w:val="FF0000"/>
          <w:szCs w:val="24"/>
        </w:rPr>
        <w:t xml:space="preserve"> </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3.1.1 本协议中对混酸石墨换热器的使用性能要求必须满足以下条件：</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color w:val="FF0000"/>
          <w:szCs w:val="24"/>
        </w:rPr>
      </w:pPr>
      <w:r>
        <w:rPr>
          <w:rFonts w:hint="eastAsia" w:ascii="宋体" w:hAnsi="宋体"/>
          <w:szCs w:val="24"/>
        </w:rPr>
        <w:t>1、正常生产时混酸石墨换热器冷凝水电导率：小于50cm/μs，平均值保持在5-10 cm/μs。</w:t>
      </w:r>
      <w:r>
        <w:rPr>
          <w:rFonts w:hint="eastAsia" w:ascii="宋体" w:hAnsi="宋体"/>
          <w:color w:val="FF0000"/>
          <w:szCs w:val="24"/>
        </w:rPr>
        <w:t xml:space="preserve"> </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color w:val="FF0000"/>
          <w:szCs w:val="24"/>
        </w:rPr>
      </w:pPr>
      <w:r>
        <w:rPr>
          <w:rFonts w:hint="eastAsia" w:ascii="宋体" w:hAnsi="宋体"/>
          <w:szCs w:val="24"/>
        </w:rPr>
        <w:t>2、正常生产时混酸石墨换热器加热酸液温度：55-70℃。酸洗罐体满液位30m³，正常生产液位为60-70%，通常为为20m³。从室温加热至工艺温度时间不超过1小时。</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3、在正常工作压力、温度（55-70℃）下不允许发生混酸石墨换热器</w:t>
      </w:r>
      <w:r>
        <w:rPr>
          <w:rFonts w:ascii="宋体" w:hAnsi="宋体"/>
          <w:szCs w:val="24"/>
        </w:rPr>
        <w:t>恒力弹</w:t>
      </w:r>
      <w:r>
        <w:rPr>
          <w:rFonts w:hint="eastAsia" w:ascii="宋体" w:hAnsi="宋体"/>
          <w:szCs w:val="24"/>
        </w:rPr>
        <w:t>簧松动失效，及石墨封头密封泄漏等异常状况。</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4、热交换器封头与外壳：壳体表面必须做防腐处理，换热器壳体承受热交换器技术要求的系统压力（0.8Mpa）和管道载荷。</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5、混酸石墨换热器换热面积为：大于12.9 m²，换热器要求</w:t>
      </w:r>
      <w:r>
        <w:rPr>
          <w:rFonts w:hint="eastAsia" w:ascii="宋体" w:hAnsi="宋体"/>
          <w:color w:val="000000"/>
          <w:szCs w:val="24"/>
        </w:rPr>
        <w:t>整体式石墨块拼装</w:t>
      </w:r>
      <w:r>
        <w:rPr>
          <w:rFonts w:hint="eastAsia" w:ascii="宋体" w:hAnsi="宋体"/>
          <w:szCs w:val="24"/>
        </w:rPr>
        <w:t>。</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color w:val="FF0000"/>
          <w:szCs w:val="24"/>
        </w:rPr>
      </w:pPr>
      <w:r>
        <w:rPr>
          <w:rFonts w:hint="eastAsia" w:ascii="宋体" w:hAnsi="宋体"/>
          <w:szCs w:val="24"/>
        </w:rPr>
        <w:t>6、换热器总长度：约2362mm</w:t>
      </w:r>
      <w:r>
        <w:rPr>
          <w:rFonts w:ascii="宋体" w:hAnsi="宋体"/>
          <w:szCs w:val="24"/>
        </w:rPr>
        <w:t>(</w:t>
      </w:r>
      <w:r>
        <w:rPr>
          <w:rFonts w:hint="eastAsia" w:ascii="宋体" w:hAnsi="宋体"/>
          <w:szCs w:val="24"/>
        </w:rPr>
        <w:t>以实际确认的图纸为准)，进出口法兰规格：DN200</w:t>
      </w:r>
      <w:r>
        <w:rPr>
          <w:rFonts w:ascii="宋体" w:hAnsi="宋体"/>
          <w:szCs w:val="24"/>
        </w:rPr>
        <w:t>( HG20592-2009 PN10)</w:t>
      </w:r>
      <w:r>
        <w:rPr>
          <w:rFonts w:hint="eastAsia" w:ascii="宋体" w:hAnsi="宋体"/>
          <w:szCs w:val="24"/>
        </w:rPr>
        <w:t>。</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3.1.2 混酸石墨换热器材质技术参数</w:t>
      </w:r>
    </w:p>
    <w:p>
      <w:pPr>
        <w:widowControl/>
        <w:tabs>
          <w:tab w:val="left" w:pos="720"/>
        </w:tabs>
        <w:spacing w:before="0" w:beforeAutospacing="0" w:after="0" w:afterAutospacing="0" w:line="360" w:lineRule="auto"/>
        <w:ind w:firstLine="539" w:firstLineChars="0"/>
        <w:rPr>
          <w:rFonts w:ascii="宋体" w:hAnsi="宋体"/>
          <w:szCs w:val="24"/>
        </w:rPr>
      </w:pPr>
      <w:r>
        <w:rPr>
          <w:rFonts w:hint="eastAsia" w:ascii="宋体" w:hAnsi="宋体"/>
          <w:szCs w:val="24"/>
        </w:rPr>
        <w:t>1、混酸石墨换热器石墨块材质：采用纯PTFE树脂浸渍石墨，石墨原料选取超细石墨颗粒料，乙方需提供石墨材料原材料证明。</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8" w:hRule="atLeast"/>
          <w:jc w:val="center"/>
        </w:trPr>
        <w:tc>
          <w:tcPr>
            <w:tcW w:w="6857" w:type="dxa"/>
            <w:noWrap w:val="0"/>
            <w:vAlign w:val="center"/>
          </w:tcPr>
          <w:p>
            <w:pPr>
              <w:spacing w:line="480" w:lineRule="exact"/>
              <w:ind w:firstLine="604"/>
              <w:rPr>
                <w:rFonts w:ascii="Arial" w:hAnsi="Arial" w:cs="Arial"/>
                <w:sz w:val="20"/>
                <w:highlight w:val="none"/>
              </w:rPr>
            </w:pPr>
            <w:r>
              <w:rPr>
                <w:rFonts w:ascii="Arial" w:hAnsi="Arial" w:cs="Arial"/>
                <w:sz w:val="20"/>
                <w:highlight w:val="none"/>
              </w:rPr>
              <w:t>≤0.15mm</w:t>
            </w:r>
            <w:r>
              <w:rPr>
                <w:rFonts w:hint="eastAsia" w:ascii="Arial" w:hAnsi="Arial" w:cs="Arial"/>
                <w:sz w:val="20"/>
                <w:highlight w:val="none"/>
              </w:rPr>
              <w:t>超</w:t>
            </w:r>
            <w:r>
              <w:rPr>
                <w:rFonts w:ascii="Arial" w:hAnsi="Arial" w:cs="Arial"/>
                <w:sz w:val="20"/>
                <w:highlight w:val="none"/>
              </w:rPr>
              <w:t>细颗粒石墨材料性能参数（需提供各项检测报告）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0" w:hRule="atLeast"/>
          <w:jc w:val="center"/>
        </w:trPr>
        <w:tc>
          <w:tcPr>
            <w:tcW w:w="6857" w:type="dxa"/>
            <w:noWrap w:val="0"/>
            <w:vAlign w:val="center"/>
          </w:tcPr>
          <w:p>
            <w:pPr>
              <w:spacing w:line="300" w:lineRule="exact"/>
              <w:ind w:firstLine="604"/>
              <w:rPr>
                <w:rFonts w:ascii="Arial" w:hAnsi="Arial" w:cs="Arial"/>
                <w:sz w:val="20"/>
                <w:highlight w:val="none"/>
              </w:rPr>
            </w:pPr>
            <w:r>
              <w:rPr>
                <w:rFonts w:ascii="Arial" w:hAnsi="Arial" w:cs="Arial"/>
                <w:sz w:val="20"/>
                <w:highlight w:val="none"/>
              </w:rPr>
              <w:t>浸渍后石墨块性能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0" w:hRule="atLeast"/>
          <w:jc w:val="center"/>
        </w:trPr>
        <w:tc>
          <w:tcPr>
            <w:tcW w:w="6857" w:type="dxa"/>
            <w:noWrap w:val="0"/>
            <w:vAlign w:val="center"/>
          </w:tcPr>
          <w:p>
            <w:pPr>
              <w:spacing w:line="300" w:lineRule="exact"/>
              <w:ind w:firstLine="604"/>
              <w:rPr>
                <w:rFonts w:ascii="Arial" w:hAnsi="Arial" w:cs="Arial"/>
                <w:sz w:val="20"/>
                <w:highlight w:val="none"/>
              </w:rPr>
            </w:pPr>
            <w:r>
              <w:rPr>
                <w:rFonts w:ascii="Arial" w:hAnsi="Arial" w:cs="Arial"/>
                <w:sz w:val="20"/>
                <w:highlight w:val="none"/>
              </w:rPr>
              <w:t>颗粒度  mm     ≤0.015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8" w:hRule="atLeast"/>
          <w:jc w:val="center"/>
        </w:trPr>
        <w:tc>
          <w:tcPr>
            <w:tcW w:w="6857" w:type="dxa"/>
            <w:noWrap w:val="0"/>
            <w:vAlign w:val="center"/>
          </w:tcPr>
          <w:p>
            <w:pPr>
              <w:spacing w:line="300" w:lineRule="exact"/>
              <w:ind w:firstLine="604"/>
              <w:rPr>
                <w:rFonts w:ascii="Arial" w:hAnsi="Arial" w:cs="Arial"/>
                <w:sz w:val="20"/>
                <w:highlight w:val="none"/>
              </w:rPr>
            </w:pPr>
            <w:r>
              <w:rPr>
                <w:rFonts w:ascii="Arial" w:hAnsi="Arial" w:cs="Arial"/>
                <w:sz w:val="20"/>
                <w:highlight w:val="none"/>
              </w:rPr>
              <w:t>体积密度g/cm3   ≥1850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8" w:hRule="atLeast"/>
          <w:jc w:val="center"/>
        </w:trPr>
        <w:tc>
          <w:tcPr>
            <w:tcW w:w="6857" w:type="dxa"/>
            <w:noWrap w:val="0"/>
            <w:vAlign w:val="center"/>
          </w:tcPr>
          <w:p>
            <w:pPr>
              <w:spacing w:line="300" w:lineRule="exact"/>
              <w:ind w:firstLine="604"/>
              <w:rPr>
                <w:rFonts w:ascii="Arial" w:hAnsi="Arial" w:cs="Arial"/>
                <w:sz w:val="20"/>
                <w:highlight w:val="none"/>
              </w:rPr>
            </w:pPr>
            <w:r>
              <w:rPr>
                <w:rFonts w:ascii="Arial" w:hAnsi="Arial" w:cs="Arial"/>
                <w:sz w:val="20"/>
                <w:highlight w:val="none"/>
              </w:rPr>
              <w:t>抗压强度Mpa   ≥88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8" w:hRule="atLeast"/>
          <w:jc w:val="center"/>
        </w:trPr>
        <w:tc>
          <w:tcPr>
            <w:tcW w:w="6857" w:type="dxa"/>
            <w:noWrap w:val="0"/>
            <w:vAlign w:val="center"/>
          </w:tcPr>
          <w:p>
            <w:pPr>
              <w:spacing w:line="300" w:lineRule="exact"/>
              <w:ind w:firstLine="604"/>
              <w:rPr>
                <w:rFonts w:ascii="Arial" w:hAnsi="Arial" w:cs="Arial"/>
                <w:sz w:val="20"/>
                <w:highlight w:val="none"/>
              </w:rPr>
            </w:pPr>
            <w:r>
              <w:rPr>
                <w:rFonts w:ascii="Arial" w:hAnsi="Arial" w:cs="Arial"/>
                <w:sz w:val="20"/>
                <w:highlight w:val="none"/>
              </w:rPr>
              <w:t>抗弯强度Mpa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8" w:hRule="atLeast"/>
          <w:jc w:val="center"/>
        </w:trPr>
        <w:tc>
          <w:tcPr>
            <w:tcW w:w="6857" w:type="dxa"/>
            <w:noWrap w:val="0"/>
            <w:vAlign w:val="center"/>
          </w:tcPr>
          <w:p>
            <w:pPr>
              <w:spacing w:line="300" w:lineRule="exact"/>
              <w:ind w:firstLine="604"/>
              <w:rPr>
                <w:rFonts w:ascii="Arial" w:hAnsi="Arial" w:cs="Arial"/>
                <w:sz w:val="20"/>
                <w:highlight w:val="none"/>
              </w:rPr>
            </w:pPr>
            <w:r>
              <w:rPr>
                <w:rFonts w:ascii="Arial" w:hAnsi="Arial" w:cs="Arial"/>
                <w:sz w:val="20"/>
                <w:highlight w:val="none"/>
              </w:rPr>
              <w:t>抗拉强度Mpa  ≥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8" w:hRule="atLeast"/>
          <w:jc w:val="center"/>
        </w:trPr>
        <w:tc>
          <w:tcPr>
            <w:tcW w:w="6857" w:type="dxa"/>
            <w:noWrap w:val="0"/>
            <w:vAlign w:val="center"/>
          </w:tcPr>
          <w:p>
            <w:pPr>
              <w:spacing w:line="300" w:lineRule="exact"/>
              <w:ind w:firstLine="604"/>
              <w:rPr>
                <w:rFonts w:ascii="Arial" w:hAnsi="Arial" w:cs="Arial"/>
                <w:sz w:val="20"/>
                <w:highlight w:val="none"/>
              </w:rPr>
            </w:pPr>
            <w:r>
              <w:rPr>
                <w:rFonts w:ascii="Arial" w:hAnsi="Arial" w:cs="Arial"/>
                <w:sz w:val="20"/>
                <w:highlight w:val="none"/>
              </w:rPr>
              <w:t>电阻率 μΩ.m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8" w:hRule="atLeast"/>
          <w:jc w:val="center"/>
        </w:trPr>
        <w:tc>
          <w:tcPr>
            <w:tcW w:w="6857" w:type="dxa"/>
            <w:noWrap w:val="0"/>
            <w:vAlign w:val="center"/>
          </w:tcPr>
          <w:p>
            <w:pPr>
              <w:spacing w:line="480" w:lineRule="exact"/>
              <w:ind w:firstLine="604"/>
              <w:rPr>
                <w:rFonts w:ascii="Arial" w:hAnsi="Arial" w:cs="Arial"/>
                <w:sz w:val="20"/>
                <w:highlight w:val="none"/>
              </w:rPr>
            </w:pPr>
            <w:r>
              <w:rPr>
                <w:rFonts w:ascii="Arial" w:hAnsi="Arial" w:cs="Arial"/>
                <w:sz w:val="20"/>
                <w:highlight w:val="none"/>
              </w:rPr>
              <w:t>线膨胀系数≤5.2*10</w:t>
            </w:r>
            <w:r>
              <w:rPr>
                <w:rFonts w:ascii="Arial" w:hAnsi="Arial" w:cs="Arial"/>
                <w:sz w:val="20"/>
                <w:highlight w:val="none"/>
                <w:vertAlign w:val="superscript"/>
              </w:rPr>
              <w:t>-6</w:t>
            </w:r>
            <w:r>
              <w:rPr>
                <w:rFonts w:ascii="Arial" w:hAnsi="Arial" w:cs="Arial"/>
                <w:sz w:val="20"/>
                <w:highlight w:val="none"/>
              </w:rPr>
              <w:t>（130</w:t>
            </w:r>
            <w:r>
              <w:rPr>
                <w:rFonts w:ascii="Cambria Math" w:hAnsi="Cambria Math" w:cs="Cambria Math"/>
                <w:sz w:val="20"/>
                <w:highlight w:val="none"/>
              </w:rPr>
              <w:t>℃</w:t>
            </w:r>
            <w:r>
              <w:rPr>
                <w:rFonts w:ascii="Arial" w:hAnsi="Arial" w:cs="Arial"/>
                <w:sz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8" w:hRule="atLeast"/>
          <w:jc w:val="center"/>
        </w:trPr>
        <w:tc>
          <w:tcPr>
            <w:tcW w:w="6857" w:type="dxa"/>
            <w:noWrap w:val="0"/>
            <w:vAlign w:val="center"/>
          </w:tcPr>
          <w:p>
            <w:pPr>
              <w:spacing w:line="480" w:lineRule="exact"/>
              <w:ind w:left="480" w:leftChars="200" w:firstLine="0" w:firstLineChars="0"/>
              <w:rPr>
                <w:rFonts w:ascii="Arial" w:hAnsi="Arial" w:cs="Arial"/>
                <w:sz w:val="20"/>
                <w:highlight w:val="none"/>
              </w:rPr>
            </w:pPr>
            <w:r>
              <w:rPr>
                <w:rFonts w:ascii="Arial" w:hAnsi="Arial" w:cs="Arial"/>
                <w:sz w:val="20"/>
                <w:highlight w:val="none"/>
              </w:rPr>
              <w:t>1、用于加工生产石墨的原料焦炭中不含有Fe及其它金属杂质</w:t>
            </w:r>
            <w:r>
              <w:rPr>
                <w:rFonts w:ascii="Arial" w:hAnsi="Arial" w:cs="Arial"/>
                <w:sz w:val="20"/>
                <w:highlight w:val="none"/>
              </w:rPr>
              <w:br w:type="textWrapping"/>
            </w:r>
            <w:r>
              <w:rPr>
                <w:rFonts w:ascii="Arial" w:hAnsi="Arial" w:cs="Arial"/>
                <w:sz w:val="20"/>
                <w:highlight w:val="none"/>
              </w:rPr>
              <w:t>2、石墨块必须采用0.015mm</w:t>
            </w:r>
            <w:r>
              <w:rPr>
                <w:rFonts w:hint="eastAsia" w:ascii="Arial" w:hAnsi="Arial" w:cs="Arial"/>
                <w:sz w:val="20"/>
                <w:highlight w:val="none"/>
              </w:rPr>
              <w:t>以下</w:t>
            </w:r>
            <w:r>
              <w:rPr>
                <w:rFonts w:ascii="Arial" w:hAnsi="Arial" w:cs="Arial"/>
                <w:sz w:val="20"/>
                <w:highlight w:val="none"/>
              </w:rPr>
              <w:t>超细颗粒原料等静压压制并经过2600</w:t>
            </w:r>
            <w:r>
              <w:rPr>
                <w:rFonts w:ascii="Cambria Math" w:hAnsi="Cambria Math" w:cs="Cambria Math"/>
                <w:sz w:val="20"/>
                <w:highlight w:val="none"/>
              </w:rPr>
              <w:t>℃</w:t>
            </w:r>
            <w:r>
              <w:rPr>
                <w:rFonts w:ascii="Arial" w:hAnsi="Arial" w:cs="Arial"/>
                <w:sz w:val="20"/>
                <w:highlight w:val="none"/>
              </w:rPr>
              <w:t>以上高温石墨化处理</w:t>
            </w:r>
            <w:r>
              <w:rPr>
                <w:rFonts w:ascii="Arial" w:hAnsi="Arial" w:cs="Arial"/>
                <w:sz w:val="20"/>
                <w:highlight w:val="none"/>
              </w:rPr>
              <w:br w:type="textWrapping"/>
            </w:r>
            <w:r>
              <w:rPr>
                <w:rFonts w:ascii="Arial" w:hAnsi="Arial" w:cs="Arial"/>
                <w:sz w:val="20"/>
                <w:highlight w:val="none"/>
              </w:rPr>
              <w:t>3、浸渍后，满足设备最高操作温度200°C</w:t>
            </w:r>
            <w:r>
              <w:rPr>
                <w:rFonts w:ascii="Arial" w:hAnsi="Arial" w:cs="Arial"/>
                <w:sz w:val="20"/>
                <w:highlight w:val="none"/>
              </w:rPr>
              <w:br w:type="textWrapping"/>
            </w:r>
            <w:r>
              <w:rPr>
                <w:rFonts w:ascii="Arial" w:hAnsi="Arial" w:cs="Arial"/>
                <w:sz w:val="20"/>
                <w:highlight w:val="none"/>
              </w:rPr>
              <w:t>4、同时满足GB/T21432-2008《石墨制压力容器》 A级材料及TSG 21-2016《固定式压力容器安全技术监察规程》中对石墨原料的要求。</w:t>
            </w:r>
          </w:p>
        </w:tc>
      </w:tr>
    </w:tbl>
    <w:p>
      <w:pPr>
        <w:widowControl/>
        <w:tabs>
          <w:tab w:val="left" w:pos="720"/>
        </w:tabs>
        <w:spacing w:before="0" w:beforeAutospacing="0" w:after="0" w:afterAutospacing="0" w:line="360" w:lineRule="auto"/>
        <w:ind w:firstLine="539" w:firstLineChars="0"/>
        <w:rPr>
          <w:rFonts w:hint="eastAsia" w:ascii="宋体" w:hAnsi="宋体"/>
          <w:color w:val="FF0000"/>
          <w:szCs w:val="24"/>
        </w:rPr>
      </w:pPr>
      <w:r>
        <w:rPr>
          <w:rFonts w:hint="eastAsia" w:ascii="宋体" w:hAnsi="宋体"/>
          <w:color w:val="000000"/>
          <w:szCs w:val="24"/>
        </w:rPr>
        <w:t>2、换热器内部所有密封垫为非金属垫片（</w:t>
      </w:r>
      <w:r>
        <w:rPr>
          <w:rFonts w:hint="eastAsia" w:ascii="宋体" w:hAnsi="宋体"/>
          <w:szCs w:val="24"/>
        </w:rPr>
        <w:t>PTFE</w:t>
      </w:r>
      <w:r>
        <w:rPr>
          <w:rFonts w:hint="eastAsia" w:ascii="宋体" w:hAnsi="宋体"/>
          <w:color w:val="000000"/>
          <w:szCs w:val="24"/>
        </w:rPr>
        <w:t>），并适用于强腐蚀介质，能承受0-8bar蒸汽，0-6bar静环水压力，温度40-180℃工况条件</w:t>
      </w:r>
      <w:r>
        <w:rPr>
          <w:rFonts w:hint="eastAsia" w:ascii="宋体" w:hAnsi="宋体"/>
          <w:szCs w:val="24"/>
        </w:rPr>
        <w:t>。</w:t>
      </w:r>
    </w:p>
    <w:p>
      <w:pPr>
        <w:widowControl/>
        <w:tabs>
          <w:tab w:val="left" w:pos="720"/>
        </w:tabs>
        <w:spacing w:before="0" w:beforeAutospacing="0" w:after="0" w:afterAutospacing="0" w:line="360" w:lineRule="auto"/>
        <w:ind w:firstLine="539" w:firstLineChars="0"/>
        <w:rPr>
          <w:rFonts w:hint="eastAsia" w:ascii="宋体" w:hAnsi="宋体"/>
          <w:szCs w:val="24"/>
        </w:rPr>
      </w:pPr>
      <w:r>
        <w:rPr>
          <w:rFonts w:hint="eastAsia" w:ascii="宋体" w:hAnsi="宋体"/>
          <w:szCs w:val="24"/>
        </w:rPr>
        <w:t>3、石墨换热器外壳体为钢制，钢制壳体按GB150-1998《钢制压力容器》和HG20584-1998《钢制化工容器制造技术要求》验收，并受《压力容器安全技术监察规程》监察，</w:t>
      </w:r>
      <w:r>
        <w:rPr>
          <w:rFonts w:hint="eastAsia" w:ascii="宋体" w:hAnsi="宋体"/>
        </w:rPr>
        <w:t>壳体、五金件性能指标如下表：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552"/>
        <w:gridCol w:w="2068"/>
        <w:gridCol w:w="1550"/>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1788"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1080"/>
              </w:tabs>
              <w:spacing w:line="240" w:lineRule="auto"/>
              <w:ind w:firstLine="0" w:firstLineChars="0"/>
              <w:jc w:val="center"/>
              <w:rPr>
                <w:rFonts w:hint="eastAsia" w:ascii="宋体" w:hAnsi="宋体"/>
                <w:szCs w:val="21"/>
              </w:rPr>
            </w:pPr>
            <w:r>
              <w:rPr>
                <w:rFonts w:hint="eastAsia" w:ascii="宋体" w:hAnsi="宋体"/>
                <w:szCs w:val="21"/>
              </w:rPr>
              <w:t>壳体材料厚度mm</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1080"/>
              </w:tabs>
              <w:spacing w:line="240" w:lineRule="auto"/>
              <w:ind w:firstLine="0" w:firstLineChars="0"/>
              <w:jc w:val="center"/>
              <w:rPr>
                <w:rFonts w:hint="eastAsia" w:ascii="宋体" w:hAnsi="宋体"/>
                <w:szCs w:val="21"/>
              </w:rPr>
            </w:pPr>
            <w:r>
              <w:rPr>
                <w:rFonts w:hint="eastAsia" w:ascii="宋体" w:hAnsi="宋体"/>
                <w:szCs w:val="21"/>
              </w:rPr>
              <w:t>壳体焊缝系数</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1080"/>
              </w:tabs>
              <w:spacing w:line="240" w:lineRule="auto"/>
              <w:ind w:firstLine="0" w:firstLineChars="0"/>
              <w:jc w:val="center"/>
              <w:rPr>
                <w:rFonts w:hint="eastAsia" w:ascii="宋体" w:hAnsi="宋体"/>
                <w:szCs w:val="21"/>
              </w:rPr>
            </w:pPr>
            <w:r>
              <w:rPr>
                <w:rFonts w:hint="eastAsia" w:ascii="宋体" w:hAnsi="宋体"/>
                <w:szCs w:val="21"/>
              </w:rPr>
              <w:t>壳体设计压力MPa</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1080"/>
              </w:tabs>
              <w:spacing w:line="240" w:lineRule="auto"/>
              <w:ind w:firstLine="0" w:firstLineChars="0"/>
              <w:jc w:val="center"/>
              <w:rPr>
                <w:rFonts w:hint="eastAsia" w:ascii="宋体" w:hAnsi="宋体"/>
                <w:szCs w:val="21"/>
              </w:rPr>
            </w:pPr>
            <w:r>
              <w:rPr>
                <w:rFonts w:hint="eastAsia" w:ascii="宋体" w:hAnsi="宋体"/>
                <w:szCs w:val="21"/>
              </w:rPr>
              <w:t>五金件材料</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1080"/>
              </w:tabs>
              <w:spacing w:line="240" w:lineRule="auto"/>
              <w:ind w:firstLine="300" w:firstLineChars="125"/>
              <w:jc w:val="center"/>
              <w:rPr>
                <w:rFonts w:hint="eastAsia" w:ascii="宋体" w:hAnsi="宋体"/>
                <w:szCs w:val="21"/>
              </w:rPr>
            </w:pPr>
            <w:r>
              <w:rPr>
                <w:rFonts w:hint="eastAsia" w:ascii="宋体" w:hAnsi="宋体"/>
                <w:szCs w:val="21"/>
              </w:rPr>
              <w:t>盖板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7" w:hRule="atLeast"/>
          <w:jc w:val="center"/>
        </w:trPr>
        <w:tc>
          <w:tcPr>
            <w:tcW w:w="1788"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1080"/>
              </w:tabs>
              <w:spacing w:line="240" w:lineRule="auto"/>
              <w:ind w:firstLine="725"/>
              <w:jc w:val="both"/>
              <w:rPr>
                <w:rFonts w:hint="eastAsia" w:ascii="宋体" w:hAnsi="宋体"/>
                <w:szCs w:val="21"/>
              </w:rPr>
            </w:pPr>
            <w:r>
              <w:rPr>
                <w:rFonts w:hint="eastAsia" w:ascii="宋体" w:hAnsi="宋体"/>
                <w:szCs w:val="21"/>
              </w:rPr>
              <w:t>10</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1080"/>
              </w:tabs>
              <w:spacing w:line="240" w:lineRule="auto"/>
              <w:ind w:left="0" w:leftChars="0" w:firstLine="480" w:firstLineChars="200"/>
              <w:jc w:val="both"/>
              <w:rPr>
                <w:rFonts w:hint="eastAsia" w:ascii="宋体" w:hAnsi="宋体"/>
                <w:szCs w:val="21"/>
              </w:rPr>
            </w:pPr>
            <w:r>
              <w:rPr>
                <w:rFonts w:hint="eastAsia" w:ascii="宋体" w:hAnsi="宋体"/>
                <w:szCs w:val="21"/>
              </w:rPr>
              <w:t>0.85</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1080"/>
              </w:tabs>
              <w:spacing w:line="240" w:lineRule="auto"/>
              <w:ind w:firstLine="725"/>
              <w:jc w:val="both"/>
              <w:rPr>
                <w:rFonts w:hint="eastAsia" w:ascii="宋体" w:hAnsi="宋体"/>
                <w:szCs w:val="21"/>
              </w:rPr>
            </w:pPr>
            <w:r>
              <w:rPr>
                <w:rFonts w:hint="eastAsia" w:ascii="宋体" w:hAnsi="宋体"/>
                <w:szCs w:val="21"/>
              </w:rPr>
              <w:t>1.6</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1080"/>
              </w:tabs>
              <w:spacing w:line="240" w:lineRule="auto"/>
              <w:ind w:firstLine="0" w:firstLineChars="0"/>
              <w:jc w:val="center"/>
              <w:rPr>
                <w:rFonts w:hint="eastAsia" w:ascii="宋体" w:hAnsi="宋体"/>
                <w:szCs w:val="21"/>
              </w:rPr>
            </w:pPr>
            <w:r>
              <w:rPr>
                <w:rFonts w:hint="eastAsia" w:ascii="宋体" w:hAnsi="宋体"/>
                <w:szCs w:val="21"/>
              </w:rPr>
              <w:t>铬钼合金</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1080"/>
              </w:tabs>
              <w:spacing w:line="240" w:lineRule="auto"/>
              <w:ind w:firstLine="0" w:firstLineChars="0"/>
              <w:jc w:val="center"/>
              <w:rPr>
                <w:rFonts w:hint="eastAsia" w:ascii="宋体" w:hAnsi="宋体"/>
                <w:szCs w:val="21"/>
              </w:rPr>
            </w:pPr>
            <w:r>
              <w:rPr>
                <w:rFonts w:hint="eastAsia" w:ascii="宋体" w:hAnsi="宋体"/>
                <w:szCs w:val="21"/>
              </w:rPr>
              <w:t>Q235-B</w:t>
            </w:r>
          </w:p>
        </w:tc>
      </w:tr>
    </w:tbl>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b/>
          <w:szCs w:val="24"/>
        </w:rPr>
      </w:pPr>
      <w:r>
        <w:rPr>
          <w:rFonts w:hint="eastAsia" w:ascii="宋体" w:hAnsi="宋体"/>
          <w:b/>
          <w:szCs w:val="24"/>
        </w:rPr>
        <w:t xml:space="preserve">3.2工况条件： </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3.2.1使用介质：混酸，其中硝酸浓度:</w:t>
      </w:r>
      <w:r>
        <w:t xml:space="preserve"> </w:t>
      </w:r>
      <w:r>
        <w:rPr>
          <w:rFonts w:ascii="宋体" w:hAnsi="宋体"/>
          <w:szCs w:val="24"/>
        </w:rPr>
        <w:t>130-220</w:t>
      </w:r>
      <w:r>
        <w:rPr>
          <w:rFonts w:hint="eastAsia" w:ascii="宋体" w:hAnsi="宋体"/>
          <w:szCs w:val="24"/>
        </w:rPr>
        <w:t>g/l，氢氟酸浓度：20-55g/l金属离子浓度:最大45g/L。</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3.2.2混酸介质压力： 0.35</w:t>
      </w:r>
      <w:r>
        <w:t xml:space="preserve"> </w:t>
      </w:r>
      <w:r>
        <w:rPr>
          <w:rFonts w:hint="eastAsia"/>
        </w:rPr>
        <w:t>-0.6</w:t>
      </w:r>
      <w:r>
        <w:rPr>
          <w:rFonts w:ascii="宋体" w:hAnsi="宋体"/>
          <w:szCs w:val="24"/>
        </w:rPr>
        <w:t>Mpa</w:t>
      </w:r>
      <w:r>
        <w:rPr>
          <w:rFonts w:hint="eastAsia" w:ascii="宋体" w:hAnsi="宋体"/>
          <w:szCs w:val="24"/>
        </w:rPr>
        <w:t>。</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3.2.3介质温度范围：蒸汽温度120-180℃，酸介质温度50-75℃。</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3.2.4换热循环系统泵流量及扬程:350</w:t>
      </w:r>
      <w:r>
        <w:rPr>
          <w:rFonts w:ascii="宋体" w:hAnsi="宋体"/>
          <w:szCs w:val="24"/>
        </w:rPr>
        <w:t>m</w:t>
      </w:r>
      <w:r>
        <w:rPr>
          <w:rFonts w:ascii="宋体" w:hAnsi="宋体"/>
          <w:szCs w:val="24"/>
          <w:vertAlign w:val="superscript"/>
        </w:rPr>
        <w:t>3</w:t>
      </w:r>
      <w:r>
        <w:rPr>
          <w:rFonts w:ascii="宋体" w:hAnsi="宋体"/>
          <w:szCs w:val="24"/>
        </w:rPr>
        <w:t>/h</w:t>
      </w:r>
      <w:r>
        <w:rPr>
          <w:rFonts w:hint="eastAsia" w:ascii="宋体" w:hAnsi="宋体"/>
          <w:szCs w:val="24"/>
        </w:rPr>
        <w:t>，30m。</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b/>
          <w:szCs w:val="24"/>
        </w:rPr>
      </w:pPr>
      <w:r>
        <w:rPr>
          <w:rFonts w:hint="eastAsia" w:ascii="宋体" w:hAnsi="宋体"/>
          <w:b/>
          <w:szCs w:val="24"/>
        </w:rPr>
        <w:t>3.3外观质量要求</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3.3.1混酸石墨换热器安装尺寸与图纸标注尺寸相符，混酸石墨换热器表面做防腐处理，表面无凹凸、无点蚀、无划痕。</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color w:val="000000"/>
          <w:szCs w:val="24"/>
        </w:rPr>
      </w:pPr>
      <w:r>
        <w:rPr>
          <w:rFonts w:hint="eastAsia" w:ascii="宋体" w:hAnsi="宋体"/>
          <w:szCs w:val="24"/>
        </w:rPr>
        <w:t>3.3.2混酸石墨换热器进出口法兰面使用密封垫片密封</w:t>
      </w:r>
      <w:r>
        <w:rPr>
          <w:rFonts w:hint="eastAsia" w:ascii="宋体" w:hAnsi="宋体"/>
          <w:color w:val="000000"/>
          <w:szCs w:val="24"/>
        </w:rPr>
        <w:t>。</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b/>
          <w:szCs w:val="24"/>
        </w:rPr>
      </w:pPr>
      <w:r>
        <w:rPr>
          <w:rFonts w:hint="eastAsia" w:ascii="宋体" w:hAnsi="宋体"/>
          <w:b/>
          <w:szCs w:val="24"/>
        </w:rPr>
        <w:t>3.4质量验收</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3.4.1检验方法：外观检查，测量。</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3.4.2检测工具：卷尺。</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3.4.3验收标准：</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1、混酸石墨换热器外观尺寸必须与甲方所提供图纸或要求一致。</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2、乙方产品在出厂前进行出厂检验，并随备件附带产品合格证和出厂检验报告。</w:t>
      </w:r>
    </w:p>
    <w:p>
      <w:pPr>
        <w:tabs>
          <w:tab w:val="left" w:pos="540"/>
          <w:tab w:val="left" w:pos="720"/>
          <w:tab w:val="left" w:pos="1080"/>
        </w:tabs>
        <w:adjustRightInd/>
        <w:spacing w:before="0" w:beforeAutospacing="0" w:after="0" w:afterAutospacing="0" w:line="360" w:lineRule="auto"/>
        <w:ind w:firstLine="480" w:firstLineChars="200"/>
        <w:jc w:val="both"/>
        <w:textAlignment w:val="auto"/>
        <w:rPr>
          <w:rFonts w:hint="eastAsia" w:ascii="宋体" w:hAnsi="宋体"/>
          <w:szCs w:val="24"/>
        </w:rPr>
      </w:pPr>
      <w:r>
        <w:rPr>
          <w:rFonts w:hint="eastAsia" w:ascii="宋体" w:hAnsi="宋体"/>
          <w:szCs w:val="24"/>
        </w:rPr>
        <w:t>3、乙方提供带有零件清单的装配图、维修和装配手册、最终的水压试验证明及混酸换热器竣工文件。</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4、换热器的质量保证期为在甲方安装使用后，在甲方正确的操作使用情况下及现有工况条件下，使用一年以上且换热器无损坏、泄漏，无流量不足及换热能力下降的现象。</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5、乙方提供换热器壳体压力容器制造检验合格报告。</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b/>
          <w:szCs w:val="24"/>
        </w:rPr>
      </w:pPr>
      <w:r>
        <w:rPr>
          <w:rFonts w:hint="eastAsia" w:ascii="宋体" w:hAnsi="宋体"/>
          <w:b/>
          <w:szCs w:val="24"/>
        </w:rPr>
        <w:t>3.5包装及标识</w:t>
      </w:r>
    </w:p>
    <w:p>
      <w:pPr>
        <w:tabs>
          <w:tab w:val="left" w:pos="540"/>
          <w:tab w:val="left" w:pos="720"/>
          <w:tab w:val="left" w:pos="1080"/>
        </w:tabs>
        <w:adjustRightInd/>
        <w:spacing w:before="0" w:beforeAutospacing="0" w:after="0" w:afterAutospacing="0" w:line="360" w:lineRule="auto"/>
        <w:ind w:firstLine="539" w:firstLineChars="0"/>
        <w:rPr>
          <w:rFonts w:ascii="宋体" w:hAnsi="宋体"/>
          <w:szCs w:val="24"/>
        </w:rPr>
      </w:pPr>
      <w:r>
        <w:rPr>
          <w:rFonts w:hint="eastAsia" w:ascii="宋体" w:hAnsi="宋体"/>
          <w:szCs w:val="24"/>
        </w:rPr>
        <w:t>3.5.1标识：外包装上要注明物料名称、设备编码及生产厂家，包装应符合JB2759-80《机电产品包装通用技术条件》的规定。</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3.5.2 乙方随货提供的</w:t>
      </w:r>
      <w:r>
        <w:rPr>
          <w:rFonts w:ascii="宋体" w:hAnsi="宋体"/>
          <w:szCs w:val="24"/>
        </w:rPr>
        <w:t>混酸石墨换热器</w:t>
      </w:r>
      <w:r>
        <w:rPr>
          <w:rFonts w:hint="eastAsia" w:ascii="宋体" w:hAnsi="宋体"/>
          <w:szCs w:val="24"/>
        </w:rPr>
        <w:t>图纸及文件各1套并加盖制造商公章，包装箱单、原产地证明、质量保证书等</w:t>
      </w:r>
      <w:r>
        <w:rPr>
          <w:rFonts w:ascii="宋体" w:hAnsi="宋体"/>
          <w:szCs w:val="24"/>
        </w:rPr>
        <w:t>用塑料袋封装并放在包装箱内。</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3.5.3箱面各种标记必须齐全，如箱号、名称、收货单位等。</w:t>
      </w:r>
    </w:p>
    <w:p>
      <w:pPr>
        <w:tabs>
          <w:tab w:val="left" w:pos="540"/>
          <w:tab w:val="left" w:pos="720"/>
          <w:tab w:val="left" w:pos="1080"/>
        </w:tabs>
        <w:adjustRightInd/>
        <w:spacing w:line="360" w:lineRule="auto"/>
        <w:ind w:firstLine="0" w:firstLineChars="0"/>
        <w:textAlignment w:val="auto"/>
        <w:rPr>
          <w:rFonts w:hint="eastAsia" w:ascii="宋体" w:hAnsi="宋体"/>
          <w:b/>
          <w:szCs w:val="24"/>
        </w:rPr>
      </w:pPr>
      <w:r>
        <w:rPr>
          <w:rFonts w:hint="eastAsia" w:ascii="宋体" w:hAnsi="宋体"/>
          <w:b/>
          <w:szCs w:val="24"/>
        </w:rPr>
        <w:t>四、质保期要求</w:t>
      </w:r>
    </w:p>
    <w:p>
      <w:pPr>
        <w:tabs>
          <w:tab w:val="left" w:pos="540"/>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货物的质量保证期为混酸石墨换热器在安装调试验收合格后12个月或货到现场15个月。</w:t>
      </w:r>
    </w:p>
    <w:p>
      <w:pPr>
        <w:tabs>
          <w:tab w:val="left" w:pos="720"/>
          <w:tab w:val="left" w:pos="1080"/>
        </w:tabs>
        <w:adjustRightInd/>
        <w:spacing w:line="360" w:lineRule="auto"/>
        <w:ind w:firstLine="0" w:firstLineChars="0"/>
        <w:textAlignment w:val="auto"/>
        <w:rPr>
          <w:rFonts w:hint="eastAsia" w:ascii="宋体" w:hAnsi="宋体"/>
          <w:b/>
          <w:szCs w:val="24"/>
        </w:rPr>
      </w:pPr>
      <w:r>
        <w:rPr>
          <w:rFonts w:hint="eastAsia" w:ascii="宋体" w:hAnsi="宋体"/>
          <w:b/>
          <w:szCs w:val="24"/>
        </w:rPr>
        <w:t>五、售后服务要求</w:t>
      </w:r>
    </w:p>
    <w:p>
      <w:pPr>
        <w:tabs>
          <w:tab w:val="left" w:pos="720"/>
        </w:tabs>
        <w:snapToGrid w:val="0"/>
        <w:spacing w:before="0" w:beforeAutospacing="0" w:after="0" w:afterAutospacing="0" w:line="360" w:lineRule="auto"/>
        <w:ind w:firstLine="539" w:firstLineChars="0"/>
        <w:rPr>
          <w:rFonts w:hint="eastAsia" w:ascii="宋体" w:hAnsi="宋体"/>
          <w:szCs w:val="24"/>
        </w:rPr>
      </w:pPr>
      <w:r>
        <w:rPr>
          <w:rFonts w:hint="eastAsia" w:ascii="宋体" w:hAnsi="宋体"/>
          <w:szCs w:val="24"/>
        </w:rPr>
        <w:t>5.1 本协议中混酸石墨换热器在甲方现场安装、调试、试车期间，根据甲方的要求，乙方应委派技术人员进行现场技术服务，向甲方进行技术交底工作，对甲方的有关人员进行培训，并负责解决设计及制造质量方面存在的问题。</w:t>
      </w:r>
    </w:p>
    <w:p>
      <w:pPr>
        <w:tabs>
          <w:tab w:val="left" w:pos="720"/>
        </w:tabs>
        <w:snapToGrid w:val="0"/>
        <w:spacing w:before="0" w:beforeAutospacing="0" w:after="0" w:afterAutospacing="0" w:line="360" w:lineRule="auto"/>
        <w:ind w:firstLine="539" w:firstLineChars="0"/>
        <w:rPr>
          <w:rFonts w:hint="eastAsia" w:ascii="宋体" w:hAnsi="宋体"/>
          <w:szCs w:val="24"/>
        </w:rPr>
      </w:pPr>
      <w:r>
        <w:rPr>
          <w:rFonts w:hint="eastAsia" w:ascii="宋体" w:hAnsi="宋体"/>
          <w:szCs w:val="24"/>
        </w:rPr>
        <w:t>5.2 对于一年质保期内出现的混酸石墨换热器的质量问题，应甲方要求，乙方应在接到甲方通知后3天内委派技术人员到甲方现场解决处理。</w:t>
      </w:r>
    </w:p>
    <w:p>
      <w:pPr>
        <w:tabs>
          <w:tab w:val="left" w:pos="720"/>
        </w:tabs>
        <w:snapToGrid w:val="0"/>
        <w:spacing w:before="0" w:beforeAutospacing="0" w:after="0" w:afterAutospacing="0" w:line="360" w:lineRule="auto"/>
        <w:ind w:firstLine="539" w:firstLineChars="0"/>
        <w:rPr>
          <w:rFonts w:hint="eastAsia" w:ascii="宋体" w:hAnsi="宋体"/>
          <w:szCs w:val="24"/>
        </w:rPr>
      </w:pPr>
      <w:r>
        <w:rPr>
          <w:rFonts w:hint="eastAsia" w:ascii="宋体" w:hAnsi="宋体"/>
          <w:szCs w:val="24"/>
        </w:rPr>
        <w:t>5.3质保期内如因混酸石墨换热器本身制造引起的质量问题，发生的费用由乙方承担。</w:t>
      </w:r>
    </w:p>
    <w:p>
      <w:pPr>
        <w:tabs>
          <w:tab w:val="left" w:pos="720"/>
          <w:tab w:val="left" w:pos="1080"/>
        </w:tabs>
        <w:adjustRightInd/>
        <w:spacing w:line="360" w:lineRule="auto"/>
        <w:ind w:firstLine="0" w:firstLineChars="0"/>
        <w:textAlignment w:val="auto"/>
        <w:rPr>
          <w:rFonts w:hint="eastAsia" w:ascii="宋体" w:hAnsi="宋体"/>
          <w:b/>
          <w:szCs w:val="24"/>
        </w:rPr>
      </w:pPr>
      <w:r>
        <w:rPr>
          <w:rFonts w:hint="eastAsia" w:ascii="宋体" w:hAnsi="宋体"/>
          <w:b/>
          <w:szCs w:val="24"/>
        </w:rPr>
        <w:t>六、双方责任</w:t>
      </w:r>
    </w:p>
    <w:p>
      <w:pPr>
        <w:tabs>
          <w:tab w:val="left" w:pos="720"/>
          <w:tab w:val="left" w:pos="1080"/>
        </w:tabs>
        <w:adjustRightInd/>
        <w:spacing w:before="0" w:beforeAutospacing="0" w:after="0" w:afterAutospacing="0" w:line="360" w:lineRule="auto"/>
        <w:ind w:firstLine="539" w:firstLineChars="0"/>
        <w:textAlignment w:val="auto"/>
        <w:rPr>
          <w:rFonts w:hint="eastAsia" w:ascii="宋体" w:hAnsi="宋体"/>
          <w:b/>
          <w:szCs w:val="24"/>
        </w:rPr>
      </w:pPr>
      <w:r>
        <w:rPr>
          <w:rFonts w:hint="eastAsia" w:ascii="宋体" w:hAnsi="宋体"/>
          <w:b/>
          <w:szCs w:val="24"/>
        </w:rPr>
        <w:t>6.1甲方责任</w:t>
      </w:r>
    </w:p>
    <w:p>
      <w:pPr>
        <w:tabs>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6.1.1甲方向乙方提供必要的混酸石墨换热器技术参数和图纸。</w:t>
      </w:r>
    </w:p>
    <w:p>
      <w:pPr>
        <w:tabs>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6.1.2甲方配合乙方对现有混酸石墨换热器进行测绘。</w:t>
      </w:r>
    </w:p>
    <w:p>
      <w:pPr>
        <w:tabs>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6.1.3甲方有责任向乙方提供混酸石墨换热器的使用工况及目前使用中存在的问题，方便乙方制定正确的制造工艺。</w:t>
      </w:r>
    </w:p>
    <w:p>
      <w:pPr>
        <w:tabs>
          <w:tab w:val="left" w:pos="720"/>
          <w:tab w:val="left" w:pos="1080"/>
        </w:tabs>
        <w:adjustRightInd/>
        <w:spacing w:before="0" w:beforeAutospacing="0" w:after="0" w:afterAutospacing="0" w:line="360" w:lineRule="auto"/>
        <w:ind w:firstLine="539" w:firstLineChars="0"/>
        <w:textAlignment w:val="auto"/>
        <w:rPr>
          <w:rFonts w:hint="eastAsia" w:ascii="宋体" w:hAnsi="宋体"/>
          <w:b/>
          <w:szCs w:val="24"/>
        </w:rPr>
      </w:pPr>
      <w:r>
        <w:rPr>
          <w:rFonts w:hint="eastAsia" w:ascii="宋体" w:hAnsi="宋体"/>
          <w:b/>
          <w:szCs w:val="24"/>
        </w:rPr>
        <w:t>6.2乙方责任</w:t>
      </w:r>
    </w:p>
    <w:p>
      <w:pPr>
        <w:tabs>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6.2.1乙方提供或制造的混酸石墨换热器应保证满足甲方要求的上述技术要求以及工况使用条件，确保甲方的正常使用。</w:t>
      </w:r>
    </w:p>
    <w:p>
      <w:pPr>
        <w:tabs>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6.2.2乙方提供或制造制造的混酸石墨换热器必须注明原生产厂家，原生产厂家具备压力容器类特种设备制造许可。</w:t>
      </w:r>
    </w:p>
    <w:p>
      <w:pPr>
        <w:tabs>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6.2.3乙方提供或制造制造的混酸石墨换热器在出厂前须进行检测，向甲方提供相关的混酸石墨换热器检测报告。</w:t>
      </w:r>
    </w:p>
    <w:p>
      <w:pPr>
        <w:tabs>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6.2.4乙方对提供的混酸石墨换热器制造工艺、质量控制和产品检查、验收等均应符合国家标准。</w:t>
      </w:r>
    </w:p>
    <w:p>
      <w:pPr>
        <w:tabs>
          <w:tab w:val="left" w:pos="720"/>
          <w:tab w:val="left" w:pos="1080"/>
        </w:tabs>
        <w:adjustRightInd/>
        <w:spacing w:before="0" w:beforeAutospacing="0" w:after="0" w:afterAutospacing="0" w:line="360" w:lineRule="auto"/>
        <w:ind w:firstLine="539" w:firstLineChars="0"/>
        <w:textAlignment w:val="auto"/>
        <w:rPr>
          <w:rFonts w:hint="eastAsia" w:ascii="宋体" w:hAnsi="宋体"/>
          <w:szCs w:val="24"/>
        </w:rPr>
      </w:pPr>
      <w:r>
        <w:rPr>
          <w:rFonts w:hint="eastAsia" w:ascii="宋体" w:hAnsi="宋体"/>
          <w:szCs w:val="24"/>
        </w:rPr>
        <w:t>6.2.5甲方在使用乙方所供混酸石墨换热器过程中，如因乙方混酸石墨换热器出现质量问题，造成甲方生产、设备故障或事故的，乙方应在30天内免费重新提供合格备件。</w:t>
      </w:r>
    </w:p>
    <w:p>
      <w:pPr>
        <w:tabs>
          <w:tab w:val="left" w:pos="720"/>
        </w:tabs>
        <w:spacing w:line="520" w:lineRule="exact"/>
        <w:ind w:firstLine="0" w:firstLineChars="0"/>
        <w:rPr>
          <w:rFonts w:hint="eastAsia"/>
          <w:szCs w:val="24"/>
        </w:rPr>
      </w:pPr>
      <w:r>
        <w:rPr>
          <w:rFonts w:hint="eastAsia" w:eastAsia="黑体"/>
          <w:szCs w:val="24"/>
        </w:rPr>
        <w:t xml:space="preserve">七、 </w:t>
      </w:r>
      <w:r>
        <w:rPr>
          <w:rFonts w:hint="eastAsia"/>
          <w:szCs w:val="24"/>
        </w:rPr>
        <w:t>双方确定因履行本协议应遵守的保密义务如下：</w:t>
      </w:r>
    </w:p>
    <w:p>
      <w:pPr>
        <w:tabs>
          <w:tab w:val="left" w:pos="720"/>
        </w:tabs>
        <w:spacing w:before="0" w:beforeAutospacing="0" w:after="0" w:afterAutospacing="0" w:line="360" w:lineRule="auto"/>
        <w:ind w:firstLine="539" w:firstLineChars="0"/>
        <w:rPr>
          <w:rFonts w:hint="eastAsia" w:ascii="宋体" w:hAnsi="宋体"/>
          <w:szCs w:val="24"/>
        </w:rPr>
      </w:pPr>
      <w:r>
        <w:rPr>
          <w:rFonts w:hint="eastAsia" w:ascii="宋体" w:hAnsi="宋体"/>
          <w:szCs w:val="24"/>
        </w:rPr>
        <w:t>甲方提供的图纸和资料，乙方要严格保密，如果因乙方原因导致图纸和资料泄密，引起的后果由乙方负责。</w:t>
      </w:r>
    </w:p>
    <w:p>
      <w:pPr>
        <w:tabs>
          <w:tab w:val="left" w:pos="720"/>
          <w:tab w:val="left" w:pos="1080"/>
        </w:tabs>
        <w:adjustRightInd/>
        <w:spacing w:line="240" w:lineRule="auto"/>
        <w:ind w:firstLine="0" w:firstLineChars="0"/>
        <w:textAlignment w:val="auto"/>
        <w:rPr>
          <w:rFonts w:hint="eastAsia" w:ascii="宋体" w:hAnsi="宋体"/>
          <w:b/>
          <w:szCs w:val="24"/>
        </w:rPr>
      </w:pPr>
      <w:r>
        <w:rPr>
          <w:rFonts w:hint="eastAsia" w:ascii="宋体" w:hAnsi="宋体"/>
          <w:b/>
          <w:szCs w:val="24"/>
        </w:rPr>
        <w:t>八、资料交付要求</w:t>
      </w:r>
    </w:p>
    <w:p>
      <w:pPr>
        <w:tabs>
          <w:tab w:val="left" w:pos="720"/>
        </w:tabs>
        <w:spacing w:before="0" w:beforeAutospacing="0" w:after="0" w:afterAutospacing="0" w:line="360" w:lineRule="auto"/>
        <w:ind w:firstLine="539" w:firstLineChars="0"/>
        <w:rPr>
          <w:rFonts w:hint="eastAsia" w:ascii="宋体" w:hAnsi="宋体"/>
          <w:szCs w:val="24"/>
        </w:rPr>
      </w:pPr>
      <w:r>
        <w:rPr>
          <w:rFonts w:hint="eastAsia" w:ascii="宋体" w:hAnsi="宋体"/>
          <w:szCs w:val="24"/>
        </w:rPr>
        <w:t>8.1乙方向甲方交付资料</w:t>
      </w:r>
    </w:p>
    <w:p>
      <w:pPr>
        <w:tabs>
          <w:tab w:val="left" w:pos="720"/>
        </w:tabs>
        <w:spacing w:before="0" w:beforeAutospacing="0" w:after="0" w:afterAutospacing="0" w:line="360" w:lineRule="auto"/>
        <w:ind w:firstLine="539" w:firstLineChars="0"/>
        <w:rPr>
          <w:rFonts w:hint="eastAsia" w:ascii="宋体" w:hAnsi="宋体"/>
          <w:szCs w:val="24"/>
        </w:rPr>
      </w:pPr>
      <w:r>
        <w:rPr>
          <w:rFonts w:hint="eastAsia" w:ascii="宋体" w:hAnsi="宋体"/>
          <w:szCs w:val="24"/>
        </w:rPr>
        <w:t>8.1.1混酸石墨换热器装配图和零件图电子版。</w:t>
      </w:r>
    </w:p>
    <w:p>
      <w:pPr>
        <w:tabs>
          <w:tab w:val="left" w:pos="720"/>
        </w:tabs>
        <w:spacing w:before="0" w:beforeAutospacing="0" w:after="0" w:afterAutospacing="0" w:line="360" w:lineRule="auto"/>
        <w:ind w:firstLine="539" w:firstLineChars="0"/>
        <w:rPr>
          <w:rFonts w:hint="eastAsia" w:ascii="宋体" w:hAnsi="宋体"/>
          <w:szCs w:val="24"/>
        </w:rPr>
      </w:pPr>
      <w:r>
        <w:rPr>
          <w:rFonts w:hint="eastAsia" w:ascii="宋体" w:hAnsi="宋体"/>
          <w:szCs w:val="24"/>
        </w:rPr>
        <w:t>8.1.2混酸石墨换热器零部件材料证明。</w:t>
      </w:r>
    </w:p>
    <w:p>
      <w:pPr>
        <w:tabs>
          <w:tab w:val="left" w:pos="720"/>
        </w:tabs>
        <w:spacing w:before="0" w:beforeAutospacing="0" w:after="0" w:afterAutospacing="0" w:line="360" w:lineRule="auto"/>
        <w:ind w:firstLine="539" w:firstLineChars="0"/>
        <w:rPr>
          <w:rFonts w:hint="eastAsia" w:ascii="宋体" w:hAnsi="宋体"/>
          <w:szCs w:val="24"/>
        </w:rPr>
      </w:pPr>
      <w:r>
        <w:rPr>
          <w:rFonts w:hint="eastAsia" w:ascii="宋体" w:hAnsi="宋体"/>
          <w:szCs w:val="24"/>
        </w:rPr>
        <w:t>8.1.3换热器产品合格证和压力容器出厂检验报告。</w:t>
      </w:r>
    </w:p>
    <w:p>
      <w:pPr>
        <w:tabs>
          <w:tab w:val="left" w:pos="720"/>
        </w:tabs>
        <w:spacing w:before="156" w:beforeLines="50" w:after="156" w:afterLines="50" w:line="360" w:lineRule="auto"/>
        <w:ind w:firstLine="0" w:firstLineChars="0"/>
        <w:rPr>
          <w:rFonts w:hint="eastAsia" w:ascii="宋体" w:hAnsi="宋体"/>
          <w:b/>
          <w:szCs w:val="24"/>
        </w:rPr>
      </w:pPr>
      <w:r>
        <w:rPr>
          <w:rFonts w:hint="eastAsia" w:ascii="宋体" w:hAnsi="宋体"/>
          <w:b/>
          <w:szCs w:val="24"/>
        </w:rPr>
        <w:t>九、违约责任</w:t>
      </w:r>
    </w:p>
    <w:p>
      <w:pPr>
        <w:tabs>
          <w:tab w:val="left" w:pos="720"/>
        </w:tabs>
        <w:snapToGrid w:val="0"/>
        <w:spacing w:before="0" w:beforeAutospacing="0" w:after="0" w:afterAutospacing="0" w:line="360" w:lineRule="auto"/>
        <w:ind w:left="1" w:firstLine="539" w:firstLineChars="0"/>
        <w:rPr>
          <w:rFonts w:hint="eastAsia" w:ascii="宋体" w:hAnsi="宋体"/>
          <w:color w:val="000000"/>
          <w:szCs w:val="24"/>
        </w:rPr>
      </w:pPr>
      <w:r>
        <w:rPr>
          <w:rFonts w:hint="eastAsia" w:ascii="宋体" w:hAnsi="宋体"/>
          <w:color w:val="000000"/>
          <w:szCs w:val="24"/>
        </w:rPr>
        <w:t>9.1混酸石墨换热器质保期为一年，从上线使用之日开始计算，质保期内由于制作质量问题导致在使用过程中出现破裂或损坏影响正常使用的缺陷，乙方承担免费维修责任，如果确实无法修复则提供新的混酸石墨换热器，费用由乙方承担。</w:t>
      </w:r>
    </w:p>
    <w:p>
      <w:pPr>
        <w:tabs>
          <w:tab w:val="left" w:pos="720"/>
        </w:tabs>
        <w:snapToGrid w:val="0"/>
        <w:spacing w:before="0" w:beforeAutospacing="0" w:after="0" w:afterAutospacing="0" w:line="360" w:lineRule="auto"/>
        <w:ind w:left="1" w:firstLine="539" w:firstLineChars="0"/>
        <w:rPr>
          <w:rFonts w:hint="eastAsia" w:ascii="宋体" w:hAnsi="宋体"/>
          <w:szCs w:val="24"/>
        </w:rPr>
      </w:pPr>
      <w:r>
        <w:rPr>
          <w:rFonts w:hint="eastAsia" w:ascii="宋体" w:hAnsi="宋体"/>
          <w:color w:val="000000"/>
          <w:szCs w:val="24"/>
        </w:rPr>
        <w:t>9.2混酸石墨换热器的正常设计使用寿命大于2年，在此期间出现的任何质量问题乙方承担免费维修重新更换的责任</w:t>
      </w:r>
      <w:r>
        <w:rPr>
          <w:rFonts w:hint="eastAsia" w:ascii="宋体" w:hAnsi="宋体"/>
          <w:szCs w:val="24"/>
        </w:rPr>
        <w:t>。</w:t>
      </w:r>
    </w:p>
    <w:p>
      <w:pPr>
        <w:tabs>
          <w:tab w:val="left" w:pos="720"/>
        </w:tabs>
        <w:snapToGrid w:val="0"/>
        <w:spacing w:before="0" w:beforeAutospacing="0" w:after="0" w:afterAutospacing="0" w:line="360" w:lineRule="auto"/>
        <w:ind w:firstLine="539" w:firstLineChars="0"/>
        <w:rPr>
          <w:rFonts w:hint="eastAsia" w:ascii="宋体" w:hAnsi="宋体"/>
          <w:szCs w:val="24"/>
        </w:rPr>
      </w:pPr>
      <w:r>
        <w:rPr>
          <w:rFonts w:hint="eastAsia" w:ascii="宋体" w:hAnsi="宋体"/>
          <w:szCs w:val="24"/>
        </w:rPr>
        <w:t>9.3 混酸石墨换热器没有达到验收标准要求，视为不合格，不合格品甲方将不予接收。</w:t>
      </w:r>
    </w:p>
    <w:p>
      <w:pPr>
        <w:tabs>
          <w:tab w:val="left" w:pos="720"/>
        </w:tabs>
        <w:snapToGrid w:val="0"/>
        <w:spacing w:before="0" w:beforeAutospacing="0" w:after="0" w:afterAutospacing="0" w:line="360" w:lineRule="auto"/>
        <w:ind w:firstLine="539" w:firstLineChars="0"/>
        <w:rPr>
          <w:rFonts w:ascii="宋体" w:hAnsi="宋体"/>
          <w:szCs w:val="24"/>
        </w:rPr>
      </w:pPr>
      <w:r>
        <w:rPr>
          <w:rFonts w:hint="eastAsia" w:ascii="宋体" w:hAnsi="宋体"/>
          <w:color w:val="000000"/>
          <w:szCs w:val="24"/>
        </w:rPr>
        <w:t>9.4 因混酸石墨换热器</w:t>
      </w:r>
      <w:r>
        <w:rPr>
          <w:rFonts w:hint="eastAsia" w:ascii="宋体" w:hAnsi="宋体"/>
          <w:szCs w:val="24"/>
        </w:rPr>
        <w:t>制造质量问题导致甲方出现设备故障或事故，乙方除免费维修外，赔偿故障或事故直接损失。</w:t>
      </w:r>
    </w:p>
    <w:p>
      <w:pPr>
        <w:tabs>
          <w:tab w:val="left" w:pos="720"/>
        </w:tabs>
        <w:snapToGrid w:val="0"/>
        <w:spacing w:before="0" w:beforeAutospacing="0" w:after="0" w:afterAutospacing="0" w:line="360" w:lineRule="auto"/>
        <w:ind w:firstLine="539" w:firstLineChars="0"/>
        <w:rPr>
          <w:rFonts w:hint="eastAsia" w:ascii="宋体" w:hAnsi="宋体"/>
          <w:szCs w:val="24"/>
        </w:rPr>
      </w:pPr>
      <w:r>
        <w:rPr>
          <w:rFonts w:hint="eastAsia" w:ascii="宋体" w:hAnsi="宋体"/>
          <w:szCs w:val="24"/>
        </w:rPr>
        <w:t>9.5混酸石墨换热器没有达到制造要求中的除验收标准外的其它技术条款，视情况严重程度扣除协议款1-10%作为赔偿。如确实影响到产品使用寿命的，视为不合格，不予接收。</w:t>
      </w:r>
    </w:p>
    <w:p>
      <w:pPr>
        <w:tabs>
          <w:tab w:val="left" w:pos="0"/>
          <w:tab w:val="left" w:pos="720"/>
          <w:tab w:val="left" w:pos="900"/>
          <w:tab w:val="left" w:pos="1080"/>
        </w:tabs>
        <w:spacing w:line="360" w:lineRule="auto"/>
        <w:ind w:firstLine="0" w:firstLineChars="0"/>
        <w:rPr>
          <w:rFonts w:hint="eastAsia" w:ascii="宋体" w:hAnsi="宋体"/>
          <w:b/>
          <w:szCs w:val="24"/>
        </w:rPr>
      </w:pPr>
      <w:r>
        <w:rPr>
          <w:rFonts w:hint="eastAsia" w:ascii="宋体" w:hAnsi="宋体"/>
          <w:b/>
          <w:szCs w:val="24"/>
        </w:rPr>
        <w:t>十、其它</w:t>
      </w:r>
    </w:p>
    <w:p>
      <w:pPr>
        <w:keepNext w:val="0"/>
        <w:keepLines w:val="0"/>
        <w:pageBreakBefore w:val="0"/>
        <w:tabs>
          <w:tab w:val="left" w:pos="1080"/>
        </w:tabs>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Times New Roman"/>
          <w:spacing w:val="0"/>
          <w:szCs w:val="24"/>
        </w:rPr>
      </w:pPr>
      <w:r>
        <w:rPr>
          <w:rFonts w:hint="eastAsia" w:ascii="宋体" w:hAnsi="宋体" w:eastAsia="宋体" w:cs="Times New Roman"/>
          <w:spacing w:val="0"/>
          <w:szCs w:val="24"/>
        </w:rPr>
        <w:t>10.1设备出厂发运前按标准</w:t>
      </w:r>
      <w:r>
        <w:rPr>
          <w:rFonts w:hint="eastAsia" w:ascii="宋体" w:hAnsi="宋体" w:eastAsia="宋体" w:cs="Times New Roman"/>
          <w:spacing w:val="0"/>
          <w:szCs w:val="24"/>
          <w:lang w:eastAsia="zh-CN"/>
        </w:rPr>
        <w:t>在</w:t>
      </w:r>
      <w:r>
        <w:rPr>
          <w:rFonts w:hint="eastAsia" w:ascii="宋体" w:hAnsi="宋体" w:eastAsia="宋体" w:cs="Times New Roman"/>
          <w:spacing w:val="0"/>
          <w:szCs w:val="24"/>
        </w:rPr>
        <w:t>箱外</w:t>
      </w:r>
      <w:r>
        <w:rPr>
          <w:rFonts w:hint="eastAsia" w:ascii="宋体" w:hAnsi="宋体" w:eastAsia="宋体" w:cs="Times New Roman"/>
          <w:spacing w:val="0"/>
          <w:szCs w:val="24"/>
          <w:lang w:eastAsia="zh-CN"/>
        </w:rPr>
        <w:t>对</w:t>
      </w:r>
      <w:r>
        <w:rPr>
          <w:rFonts w:hint="eastAsia" w:ascii="宋体" w:hAnsi="宋体" w:eastAsia="宋体" w:cs="Times New Roman"/>
          <w:spacing w:val="0"/>
          <w:szCs w:val="24"/>
        </w:rPr>
        <w:t>合同号、 目的地、收件人单位、设备名称、箱号/捆号、毛净重、尺寸、吊装点</w:t>
      </w:r>
      <w:r>
        <w:rPr>
          <w:rFonts w:hint="eastAsia" w:ascii="宋体" w:hAnsi="宋体" w:eastAsia="宋体" w:cs="Times New Roman"/>
          <w:spacing w:val="0"/>
          <w:szCs w:val="24"/>
          <w:lang w:eastAsia="zh-CN"/>
        </w:rPr>
        <w:t>等</w:t>
      </w:r>
      <w:r>
        <w:rPr>
          <w:rFonts w:hint="eastAsia" w:ascii="宋体" w:hAnsi="宋体" w:eastAsia="宋体" w:cs="Times New Roman"/>
          <w:spacing w:val="0"/>
          <w:szCs w:val="24"/>
        </w:rPr>
        <w:t>进行标注。箱内设备用标签做标记，注明设备名称、安装位置，并在设备上带有铭牌。</w:t>
      </w:r>
    </w:p>
    <w:p>
      <w:pPr>
        <w:keepNext w:val="0"/>
        <w:keepLines w:val="0"/>
        <w:pageBreakBefore w:val="0"/>
        <w:tabs>
          <w:tab w:val="left" w:pos="1080"/>
        </w:tabs>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Times New Roman"/>
          <w:spacing w:val="0"/>
          <w:szCs w:val="24"/>
        </w:rPr>
      </w:pPr>
      <w:r>
        <w:rPr>
          <w:rFonts w:hint="eastAsia" w:ascii="宋体" w:hAnsi="宋体" w:eastAsia="宋体" w:cs="Times New Roman"/>
          <w:spacing w:val="0"/>
          <w:szCs w:val="24"/>
        </w:rPr>
        <w:t>10.2乙方按甲方要求及时发货，并对运输过程中造成的丢失、损坏等负责，不能以任何理由影响交货期。</w:t>
      </w:r>
    </w:p>
    <w:p>
      <w:pPr>
        <w:keepNext w:val="0"/>
        <w:keepLines w:val="0"/>
        <w:pageBreakBefore w:val="0"/>
        <w:tabs>
          <w:tab w:val="left" w:pos="1080"/>
        </w:tabs>
        <w:kinsoku/>
        <w:wordWrap/>
        <w:overflowPunct/>
        <w:topLinePunct w:val="0"/>
        <w:autoSpaceDE/>
        <w:autoSpaceDN/>
        <w:bidi w:val="0"/>
        <w:adjustRightInd/>
        <w:spacing w:before="0" w:beforeAutospacing="0" w:after="0" w:afterAutospacing="0" w:line="360" w:lineRule="auto"/>
        <w:ind w:left="0" w:leftChars="0" w:firstLine="480" w:firstLineChars="200"/>
        <w:textAlignment w:val="auto"/>
        <w:rPr>
          <w:rFonts w:hint="eastAsia" w:ascii="宋体" w:hAnsi="宋体" w:eastAsia="宋体" w:cs="Times New Roman"/>
          <w:spacing w:val="0"/>
          <w:szCs w:val="24"/>
          <w:lang w:val="en-US" w:eastAsia="zh-CN"/>
        </w:rPr>
      </w:pPr>
      <w:r>
        <w:rPr>
          <w:rFonts w:hint="eastAsia" w:ascii="宋体" w:hAnsi="宋体" w:eastAsia="宋体" w:cs="Times New Roman"/>
          <w:spacing w:val="0"/>
          <w:szCs w:val="24"/>
          <w:lang w:val="en-US" w:eastAsia="zh-CN"/>
        </w:rPr>
        <w:t>10.3</w:t>
      </w:r>
      <w:r>
        <w:rPr>
          <w:rFonts w:hint="eastAsia" w:ascii="宋体" w:hAnsi="宋体" w:eastAsia="宋体" w:cs="Times New Roman"/>
          <w:spacing w:val="0"/>
          <w:szCs w:val="24"/>
        </w:rPr>
        <w:t>本协议</w:t>
      </w:r>
      <w:r>
        <w:rPr>
          <w:rFonts w:hint="eastAsia" w:ascii="宋体" w:hAnsi="宋体" w:eastAsia="宋体" w:cs="Times New Roman"/>
          <w:spacing w:val="0"/>
          <w:szCs w:val="24"/>
          <w:lang w:eastAsia="zh-CN"/>
        </w:rPr>
        <w:t>为标前技术协议，</w:t>
      </w:r>
      <w:r>
        <w:rPr>
          <w:rFonts w:hint="eastAsia" w:ascii="宋体" w:hAnsi="宋体" w:eastAsia="宋体" w:cs="Times New Roman"/>
          <w:spacing w:val="0"/>
          <w:szCs w:val="24"/>
          <w:lang w:val="en-US" w:eastAsia="zh-CN"/>
        </w:rPr>
        <w:t>中标后才生效。</w:t>
      </w:r>
    </w:p>
    <w:p>
      <w:pPr>
        <w:keepNext w:val="0"/>
        <w:keepLines w:val="0"/>
        <w:pageBreakBefore w:val="0"/>
        <w:tabs>
          <w:tab w:val="left" w:pos="1080"/>
        </w:tabs>
        <w:kinsoku/>
        <w:wordWrap/>
        <w:overflowPunct/>
        <w:topLinePunct w:val="0"/>
        <w:autoSpaceDE/>
        <w:autoSpaceDN/>
        <w:bidi w:val="0"/>
        <w:adjustRightInd/>
        <w:spacing w:before="0" w:beforeAutospacing="0" w:after="0" w:afterAutospacing="0" w:line="360" w:lineRule="auto"/>
        <w:ind w:left="0" w:leftChars="0" w:firstLine="480" w:firstLineChars="200"/>
        <w:textAlignment w:val="auto"/>
        <w:rPr>
          <w:rFonts w:hint="default" w:ascii="宋体" w:hAnsi="宋体" w:eastAsia="宋体" w:cs="Times New Roman"/>
          <w:spacing w:val="0"/>
          <w:szCs w:val="24"/>
          <w:lang w:val="en-US" w:eastAsia="zh-CN"/>
        </w:rPr>
      </w:pPr>
      <w:r>
        <w:rPr>
          <w:rFonts w:hint="eastAsia" w:ascii="宋体" w:hAnsi="宋体" w:eastAsia="宋体" w:cs="Times New Roman"/>
          <w:spacing w:val="0"/>
          <w:szCs w:val="24"/>
          <w:lang w:val="en-US" w:eastAsia="zh-CN"/>
        </w:rPr>
        <w:t>10.4、若乙方不能中标，则本技术协议自动失效，双方互不承担任何责任。</w:t>
      </w:r>
    </w:p>
    <w:p>
      <w:pPr>
        <w:keepNext w:val="0"/>
        <w:keepLines w:val="0"/>
        <w:pageBreakBefore w:val="0"/>
        <w:tabs>
          <w:tab w:val="left" w:pos="1080"/>
        </w:tabs>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Times New Roman"/>
          <w:spacing w:val="0"/>
          <w:szCs w:val="24"/>
        </w:rPr>
      </w:pPr>
      <w:r>
        <w:rPr>
          <w:rFonts w:hint="eastAsia" w:ascii="宋体" w:hAnsi="宋体" w:eastAsia="宋体" w:cs="Times New Roman"/>
          <w:spacing w:val="0"/>
          <w:szCs w:val="24"/>
        </w:rPr>
        <w:t>10.</w:t>
      </w:r>
      <w:r>
        <w:rPr>
          <w:rFonts w:hint="eastAsia" w:ascii="宋体" w:hAnsi="宋体" w:eastAsia="宋体" w:cs="Times New Roman"/>
          <w:spacing w:val="0"/>
          <w:szCs w:val="24"/>
          <w:lang w:val="en-US" w:eastAsia="zh-CN"/>
        </w:rPr>
        <w:t>5</w:t>
      </w:r>
      <w:r>
        <w:rPr>
          <w:rFonts w:hint="eastAsia" w:ascii="宋体" w:hAnsi="宋体" w:eastAsia="宋体" w:cs="Times New Roman"/>
          <w:spacing w:val="0"/>
          <w:szCs w:val="24"/>
        </w:rPr>
        <w:t>本协议中未尽事宜，双方协商解决。</w:t>
      </w:r>
    </w:p>
    <w:p>
      <w:pPr>
        <w:keepNext w:val="0"/>
        <w:keepLines w:val="0"/>
        <w:pageBreakBefore w:val="0"/>
        <w:tabs>
          <w:tab w:val="left" w:pos="1080"/>
        </w:tabs>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b/>
          <w:spacing w:val="0"/>
          <w:sz w:val="28"/>
          <w:szCs w:val="28"/>
        </w:rPr>
      </w:pPr>
      <w:r>
        <w:rPr>
          <w:rFonts w:hint="eastAsia" w:ascii="宋体" w:hAnsi="宋体" w:eastAsia="宋体" w:cs="Times New Roman"/>
          <w:spacing w:val="0"/>
          <w:szCs w:val="24"/>
        </w:rPr>
        <w:t>10.</w:t>
      </w:r>
      <w:r>
        <w:rPr>
          <w:rFonts w:hint="eastAsia" w:ascii="宋体" w:hAnsi="宋体" w:eastAsia="宋体" w:cs="Times New Roman"/>
          <w:spacing w:val="0"/>
          <w:szCs w:val="24"/>
          <w:lang w:val="en-US" w:eastAsia="zh-CN"/>
        </w:rPr>
        <w:t>6</w:t>
      </w:r>
      <w:r>
        <w:rPr>
          <w:rFonts w:hint="eastAsia" w:ascii="宋体" w:hAnsi="宋体" w:eastAsia="宋体" w:cs="Times New Roman"/>
          <w:spacing w:val="0"/>
          <w:szCs w:val="24"/>
        </w:rPr>
        <w:t>本协议一式</w:t>
      </w:r>
      <w:r>
        <w:rPr>
          <w:rFonts w:hint="eastAsia" w:ascii="宋体" w:hAnsi="宋体" w:eastAsia="宋体" w:cs="Times New Roman"/>
          <w:spacing w:val="0"/>
          <w:szCs w:val="24"/>
          <w:lang w:eastAsia="zh-CN"/>
        </w:rPr>
        <w:t>四</w:t>
      </w:r>
      <w:r>
        <w:rPr>
          <w:rFonts w:hint="eastAsia" w:ascii="宋体" w:hAnsi="宋体" w:eastAsia="宋体" w:cs="Times New Roman"/>
          <w:spacing w:val="0"/>
          <w:szCs w:val="24"/>
        </w:rPr>
        <w:t>份，甲方</w:t>
      </w:r>
      <w:r>
        <w:rPr>
          <w:rFonts w:hint="eastAsia" w:ascii="宋体" w:hAnsi="宋体" w:eastAsia="宋体" w:cs="Times New Roman"/>
          <w:spacing w:val="0"/>
          <w:szCs w:val="24"/>
          <w:lang w:eastAsia="zh-CN"/>
        </w:rPr>
        <w:t>三</w:t>
      </w:r>
      <w:r>
        <w:rPr>
          <w:rFonts w:hint="eastAsia" w:ascii="宋体" w:hAnsi="宋体" w:eastAsia="宋体" w:cs="Times New Roman"/>
          <w:spacing w:val="0"/>
          <w:szCs w:val="24"/>
        </w:rPr>
        <w:t>份，乙方一份。</w:t>
      </w:r>
    </w:p>
    <w:p>
      <w:pPr>
        <w:tabs>
          <w:tab w:val="left" w:pos="720"/>
          <w:tab w:val="left" w:pos="1943"/>
        </w:tabs>
        <w:spacing w:line="720" w:lineRule="auto"/>
        <w:ind w:firstLine="0" w:firstLineChars="0"/>
        <w:rPr>
          <w:rFonts w:hint="eastAsia" w:ascii="宋体" w:hAnsi="宋体"/>
          <w:b/>
          <w:szCs w:val="24"/>
        </w:rPr>
      </w:pPr>
      <w:r>
        <w:rPr>
          <w:rFonts w:hint="eastAsia" w:ascii="宋体" w:hAnsi="宋体"/>
          <w:b/>
          <w:szCs w:val="24"/>
        </w:rPr>
        <w:t>甲方：甘肃酒钢</w:t>
      </w:r>
      <w:bookmarkStart w:id="0" w:name="_GoBack"/>
      <w:bookmarkEnd w:id="0"/>
      <w:r>
        <w:rPr>
          <w:rFonts w:hint="eastAsia" w:ascii="宋体" w:hAnsi="宋体"/>
          <w:b/>
          <w:szCs w:val="24"/>
        </w:rPr>
        <w:t>集团宏兴钢铁股份有限公司不锈钢分公司                                   甲方代表：</w:t>
      </w:r>
      <w:r>
        <w:rPr>
          <w:rFonts w:ascii="宋体" w:hAnsi="宋体"/>
          <w:b/>
          <w:szCs w:val="24"/>
        </w:rPr>
        <w:tab/>
      </w:r>
      <w:r>
        <w:rPr>
          <w:rFonts w:hint="eastAsia" w:ascii="宋体" w:hAnsi="宋体"/>
          <w:b/>
          <w:szCs w:val="24"/>
        </w:rPr>
        <w:t xml:space="preserve">                 年   月   日</w:t>
      </w:r>
    </w:p>
    <w:p>
      <w:pPr>
        <w:tabs>
          <w:tab w:val="left" w:pos="720"/>
          <w:tab w:val="left" w:pos="1943"/>
        </w:tabs>
        <w:spacing w:line="720" w:lineRule="auto"/>
        <w:ind w:firstLine="0" w:firstLineChars="0"/>
        <w:rPr>
          <w:rFonts w:hint="eastAsia" w:ascii="宋体" w:hAnsi="宋体"/>
          <w:b/>
          <w:szCs w:val="24"/>
        </w:rPr>
      </w:pPr>
      <w:r>
        <w:rPr>
          <w:rFonts w:hint="eastAsia" w:ascii="宋体" w:hAnsi="宋体"/>
          <w:b/>
          <w:szCs w:val="24"/>
        </w:rPr>
        <w:t>乙方：</w:t>
      </w:r>
    </w:p>
    <w:p>
      <w:pPr>
        <w:tabs>
          <w:tab w:val="left" w:pos="720"/>
          <w:tab w:val="left" w:pos="1943"/>
        </w:tabs>
        <w:spacing w:line="720" w:lineRule="auto"/>
        <w:ind w:firstLine="0" w:firstLineChars="0"/>
        <w:rPr>
          <w:rFonts w:hint="eastAsia" w:ascii="宋体" w:hAnsi="宋体"/>
          <w:b/>
          <w:szCs w:val="24"/>
        </w:rPr>
      </w:pPr>
      <w:r>
        <w:rPr>
          <w:rFonts w:hint="eastAsia" w:ascii="宋体" w:hAnsi="宋体"/>
          <w:b/>
          <w:szCs w:val="24"/>
        </w:rPr>
        <w:t>乙方代表：</w:t>
      </w:r>
      <w:r>
        <w:rPr>
          <w:rFonts w:hint="eastAsia" w:ascii="宋体" w:hAnsi="宋体"/>
          <w:b/>
          <w:szCs w:val="24"/>
          <w:lang w:val="en-US" w:eastAsia="zh-CN"/>
        </w:rPr>
        <w:t xml:space="preserve">                       </w:t>
      </w:r>
      <w:r>
        <w:rPr>
          <w:rFonts w:hint="eastAsia" w:ascii="宋体" w:hAnsi="宋体"/>
          <w:b/>
          <w:szCs w:val="24"/>
        </w:rPr>
        <w:t>年   月   日</w:t>
      </w:r>
      <w:r>
        <w:rPr>
          <w:rFonts w:ascii="宋体" w:hAnsi="宋体"/>
          <w:b/>
          <w:szCs w:val="24"/>
        </w:rPr>
        <w:tab/>
      </w:r>
      <w:r>
        <w:rPr>
          <w:rFonts w:hint="eastAsia" w:ascii="宋体" w:hAnsi="宋体"/>
          <w:b/>
          <w:szCs w:val="24"/>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仿宋_GB2312">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楷体_GB2312">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ind w:firstLine="544"/>
      <w:rPr>
        <w:rStyle w:val="14"/>
      </w:rPr>
    </w:pPr>
    <w:r>
      <w:fldChar w:fldCharType="begin"/>
    </w:r>
    <w:r>
      <w:rPr>
        <w:rStyle w:val="14"/>
      </w:rPr>
      <w:instrText xml:space="preserve">PAGE  </w:instrText>
    </w:r>
    <w:r>
      <w:fldChar w:fldCharType="separate"/>
    </w:r>
    <w:r>
      <w:rPr>
        <w:rStyle w:val="14"/>
        <w:lang/>
      </w:rPr>
      <w:t>7</w:t>
    </w:r>
    <w:r>
      <w:fldChar w:fldCharType="end"/>
    </w:r>
  </w:p>
  <w:p>
    <w:pPr>
      <w:pStyle w:val="7"/>
      <w:ind w:firstLine="5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ind w:firstLine="544"/>
      <w:rPr>
        <w:rStyle w:val="14"/>
      </w:rPr>
    </w:pPr>
    <w:r>
      <w:fldChar w:fldCharType="begin"/>
    </w:r>
    <w:r>
      <w:rPr>
        <w:rStyle w:val="14"/>
      </w:rPr>
      <w:instrText xml:space="preserve">PAGE  </w:instrText>
    </w:r>
    <w:r>
      <w:fldChar w:fldCharType="end"/>
    </w:r>
  </w:p>
  <w:p>
    <w:pPr>
      <w:pStyle w:val="7"/>
      <w:ind w:firstLine="5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5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79D9"/>
    <w:multiLevelType w:val="multilevel"/>
    <w:tmpl w:val="0EEE79D9"/>
    <w:lvl w:ilvl="0" w:tentative="0">
      <w:start w:val="1"/>
      <w:numFmt w:val="decimal"/>
      <w:lvlText w:val="1.%1"/>
      <w:lvlJc w:val="left"/>
      <w:pPr>
        <w:tabs>
          <w:tab w:val="left" w:pos="0"/>
        </w:tabs>
        <w:ind w:left="0" w:firstLine="0"/>
      </w:pPr>
      <w:rPr>
        <w:rFonts w:hint="default"/>
        <w:color w:val="auto"/>
      </w:rPr>
    </w:lvl>
    <w:lvl w:ilvl="1" w:tentative="0">
      <w:start w:val="1"/>
      <w:numFmt w:val="decimal"/>
      <w:lvlText w:val="%2、"/>
      <w:lvlJc w:val="left"/>
      <w:pPr>
        <w:tabs>
          <w:tab w:val="left" w:pos="1260"/>
        </w:tabs>
        <w:ind w:left="126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39"/>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87"/>
    <w:rsid w:val="0000476E"/>
    <w:rsid w:val="00010B77"/>
    <w:rsid w:val="00014FE0"/>
    <w:rsid w:val="00015F4D"/>
    <w:rsid w:val="00022125"/>
    <w:rsid w:val="000225A2"/>
    <w:rsid w:val="00025503"/>
    <w:rsid w:val="000353B5"/>
    <w:rsid w:val="00040B3A"/>
    <w:rsid w:val="00043E01"/>
    <w:rsid w:val="00051EFF"/>
    <w:rsid w:val="00054989"/>
    <w:rsid w:val="00055CE4"/>
    <w:rsid w:val="000647A0"/>
    <w:rsid w:val="00064B05"/>
    <w:rsid w:val="000676BE"/>
    <w:rsid w:val="00067AF3"/>
    <w:rsid w:val="000743D3"/>
    <w:rsid w:val="0008022C"/>
    <w:rsid w:val="000871F3"/>
    <w:rsid w:val="00093446"/>
    <w:rsid w:val="000A34DA"/>
    <w:rsid w:val="000A5EAD"/>
    <w:rsid w:val="000A69D8"/>
    <w:rsid w:val="000B0D5F"/>
    <w:rsid w:val="000B1421"/>
    <w:rsid w:val="000C1256"/>
    <w:rsid w:val="000C1837"/>
    <w:rsid w:val="000C317F"/>
    <w:rsid w:val="000C4E20"/>
    <w:rsid w:val="000D1904"/>
    <w:rsid w:val="000D6265"/>
    <w:rsid w:val="000D66AC"/>
    <w:rsid w:val="000E054B"/>
    <w:rsid w:val="000E53FB"/>
    <w:rsid w:val="000F325E"/>
    <w:rsid w:val="000F6B6B"/>
    <w:rsid w:val="000F7E42"/>
    <w:rsid w:val="001055CA"/>
    <w:rsid w:val="00107C6E"/>
    <w:rsid w:val="00107E30"/>
    <w:rsid w:val="00113D8C"/>
    <w:rsid w:val="00115E15"/>
    <w:rsid w:val="001201FD"/>
    <w:rsid w:val="001218B7"/>
    <w:rsid w:val="00131B51"/>
    <w:rsid w:val="0013244F"/>
    <w:rsid w:val="00137044"/>
    <w:rsid w:val="001418A2"/>
    <w:rsid w:val="00151C03"/>
    <w:rsid w:val="00153D12"/>
    <w:rsid w:val="00155019"/>
    <w:rsid w:val="00163369"/>
    <w:rsid w:val="00167133"/>
    <w:rsid w:val="00177005"/>
    <w:rsid w:val="00181B48"/>
    <w:rsid w:val="00185483"/>
    <w:rsid w:val="00193B02"/>
    <w:rsid w:val="0019681C"/>
    <w:rsid w:val="001A2C02"/>
    <w:rsid w:val="001A486E"/>
    <w:rsid w:val="001A72A0"/>
    <w:rsid w:val="001B5828"/>
    <w:rsid w:val="001B6EAC"/>
    <w:rsid w:val="001D09F5"/>
    <w:rsid w:val="001D7F97"/>
    <w:rsid w:val="001E0FC2"/>
    <w:rsid w:val="001E2DF0"/>
    <w:rsid w:val="001E4C1F"/>
    <w:rsid w:val="001F1C07"/>
    <w:rsid w:val="001F3CAA"/>
    <w:rsid w:val="001F7D9D"/>
    <w:rsid w:val="0020093F"/>
    <w:rsid w:val="00200CB1"/>
    <w:rsid w:val="00206EE4"/>
    <w:rsid w:val="002113A0"/>
    <w:rsid w:val="00212B68"/>
    <w:rsid w:val="00213D52"/>
    <w:rsid w:val="00216DC8"/>
    <w:rsid w:val="002229A5"/>
    <w:rsid w:val="00223E72"/>
    <w:rsid w:val="00237383"/>
    <w:rsid w:val="00242151"/>
    <w:rsid w:val="00244610"/>
    <w:rsid w:val="0025193E"/>
    <w:rsid w:val="00254753"/>
    <w:rsid w:val="0025697B"/>
    <w:rsid w:val="002623BE"/>
    <w:rsid w:val="00272298"/>
    <w:rsid w:val="0027446C"/>
    <w:rsid w:val="0028180A"/>
    <w:rsid w:val="0028327A"/>
    <w:rsid w:val="00284BDD"/>
    <w:rsid w:val="00286656"/>
    <w:rsid w:val="0029124C"/>
    <w:rsid w:val="0029487A"/>
    <w:rsid w:val="002965BB"/>
    <w:rsid w:val="0029750A"/>
    <w:rsid w:val="002A1306"/>
    <w:rsid w:val="002A411F"/>
    <w:rsid w:val="002D457A"/>
    <w:rsid w:val="002F2828"/>
    <w:rsid w:val="002F4B3C"/>
    <w:rsid w:val="003046F9"/>
    <w:rsid w:val="003073D1"/>
    <w:rsid w:val="00307DD1"/>
    <w:rsid w:val="00314BF3"/>
    <w:rsid w:val="003163BB"/>
    <w:rsid w:val="00321824"/>
    <w:rsid w:val="003223E1"/>
    <w:rsid w:val="00327391"/>
    <w:rsid w:val="00327EED"/>
    <w:rsid w:val="0033132B"/>
    <w:rsid w:val="003335F3"/>
    <w:rsid w:val="003340E9"/>
    <w:rsid w:val="00341012"/>
    <w:rsid w:val="00347A2C"/>
    <w:rsid w:val="00351009"/>
    <w:rsid w:val="003510F9"/>
    <w:rsid w:val="003545A4"/>
    <w:rsid w:val="00357CFE"/>
    <w:rsid w:val="00360225"/>
    <w:rsid w:val="003654BF"/>
    <w:rsid w:val="00367C49"/>
    <w:rsid w:val="00371DD7"/>
    <w:rsid w:val="00380DEC"/>
    <w:rsid w:val="00384CF1"/>
    <w:rsid w:val="003916D8"/>
    <w:rsid w:val="003939A9"/>
    <w:rsid w:val="003A15CB"/>
    <w:rsid w:val="003A25FF"/>
    <w:rsid w:val="003A6D7C"/>
    <w:rsid w:val="003C23F1"/>
    <w:rsid w:val="003D3F1C"/>
    <w:rsid w:val="003D48C7"/>
    <w:rsid w:val="003D4C4C"/>
    <w:rsid w:val="003D59EA"/>
    <w:rsid w:val="003E3337"/>
    <w:rsid w:val="003E6089"/>
    <w:rsid w:val="003F410C"/>
    <w:rsid w:val="0040240C"/>
    <w:rsid w:val="0040507C"/>
    <w:rsid w:val="00411593"/>
    <w:rsid w:val="0041489E"/>
    <w:rsid w:val="0042720E"/>
    <w:rsid w:val="0043527B"/>
    <w:rsid w:val="00435683"/>
    <w:rsid w:val="00441219"/>
    <w:rsid w:val="00453E59"/>
    <w:rsid w:val="00471187"/>
    <w:rsid w:val="004719E1"/>
    <w:rsid w:val="004742FE"/>
    <w:rsid w:val="00475990"/>
    <w:rsid w:val="00475D71"/>
    <w:rsid w:val="00476361"/>
    <w:rsid w:val="0048546A"/>
    <w:rsid w:val="004858A9"/>
    <w:rsid w:val="00486CE6"/>
    <w:rsid w:val="004871C0"/>
    <w:rsid w:val="00497133"/>
    <w:rsid w:val="00497750"/>
    <w:rsid w:val="004A709C"/>
    <w:rsid w:val="004B0E94"/>
    <w:rsid w:val="004B60FE"/>
    <w:rsid w:val="004B7B04"/>
    <w:rsid w:val="004B7EF5"/>
    <w:rsid w:val="004C636C"/>
    <w:rsid w:val="004C7B89"/>
    <w:rsid w:val="004D5558"/>
    <w:rsid w:val="004E1F79"/>
    <w:rsid w:val="004E5AC3"/>
    <w:rsid w:val="004E666B"/>
    <w:rsid w:val="004F407B"/>
    <w:rsid w:val="004F72F2"/>
    <w:rsid w:val="0050197C"/>
    <w:rsid w:val="00512FCE"/>
    <w:rsid w:val="00517A4F"/>
    <w:rsid w:val="005269EF"/>
    <w:rsid w:val="00531F76"/>
    <w:rsid w:val="00537982"/>
    <w:rsid w:val="00541861"/>
    <w:rsid w:val="00545615"/>
    <w:rsid w:val="005461B5"/>
    <w:rsid w:val="00547405"/>
    <w:rsid w:val="00554867"/>
    <w:rsid w:val="005558A0"/>
    <w:rsid w:val="0055682C"/>
    <w:rsid w:val="00563A62"/>
    <w:rsid w:val="0058162D"/>
    <w:rsid w:val="00584651"/>
    <w:rsid w:val="0058768A"/>
    <w:rsid w:val="005925A0"/>
    <w:rsid w:val="005926C8"/>
    <w:rsid w:val="00593539"/>
    <w:rsid w:val="005A249F"/>
    <w:rsid w:val="005B1C7E"/>
    <w:rsid w:val="005B6AEA"/>
    <w:rsid w:val="005C6661"/>
    <w:rsid w:val="005C6BCA"/>
    <w:rsid w:val="005D0F57"/>
    <w:rsid w:val="005D3765"/>
    <w:rsid w:val="005D4F5D"/>
    <w:rsid w:val="005D642D"/>
    <w:rsid w:val="005D7031"/>
    <w:rsid w:val="005D7545"/>
    <w:rsid w:val="005E01E7"/>
    <w:rsid w:val="005E2888"/>
    <w:rsid w:val="005F2FCD"/>
    <w:rsid w:val="006020A7"/>
    <w:rsid w:val="00605350"/>
    <w:rsid w:val="0061067E"/>
    <w:rsid w:val="00610EE0"/>
    <w:rsid w:val="00611A7A"/>
    <w:rsid w:val="0061416B"/>
    <w:rsid w:val="00617037"/>
    <w:rsid w:val="006253B6"/>
    <w:rsid w:val="006452EC"/>
    <w:rsid w:val="00646324"/>
    <w:rsid w:val="0065242E"/>
    <w:rsid w:val="006540EA"/>
    <w:rsid w:val="00654768"/>
    <w:rsid w:val="00660E66"/>
    <w:rsid w:val="00661903"/>
    <w:rsid w:val="00666FC0"/>
    <w:rsid w:val="0068233C"/>
    <w:rsid w:val="00682F99"/>
    <w:rsid w:val="0068400D"/>
    <w:rsid w:val="00684C35"/>
    <w:rsid w:val="006904D9"/>
    <w:rsid w:val="00690BA4"/>
    <w:rsid w:val="00694DCC"/>
    <w:rsid w:val="00696926"/>
    <w:rsid w:val="006A2889"/>
    <w:rsid w:val="006A4881"/>
    <w:rsid w:val="006B06A0"/>
    <w:rsid w:val="006B398A"/>
    <w:rsid w:val="006C365D"/>
    <w:rsid w:val="006D1CF7"/>
    <w:rsid w:val="006E00D0"/>
    <w:rsid w:val="006E4E36"/>
    <w:rsid w:val="006F2E99"/>
    <w:rsid w:val="0071182F"/>
    <w:rsid w:val="00715959"/>
    <w:rsid w:val="00720DA3"/>
    <w:rsid w:val="00721ABD"/>
    <w:rsid w:val="00721FDC"/>
    <w:rsid w:val="007316A2"/>
    <w:rsid w:val="00732615"/>
    <w:rsid w:val="0074064A"/>
    <w:rsid w:val="00740C20"/>
    <w:rsid w:val="0074438C"/>
    <w:rsid w:val="0074597F"/>
    <w:rsid w:val="00746853"/>
    <w:rsid w:val="007549D5"/>
    <w:rsid w:val="00763B2D"/>
    <w:rsid w:val="00764F02"/>
    <w:rsid w:val="00765EF5"/>
    <w:rsid w:val="007717FC"/>
    <w:rsid w:val="007732BB"/>
    <w:rsid w:val="00777F06"/>
    <w:rsid w:val="007876A4"/>
    <w:rsid w:val="00790C08"/>
    <w:rsid w:val="00790CDA"/>
    <w:rsid w:val="007914AE"/>
    <w:rsid w:val="007952DC"/>
    <w:rsid w:val="00796392"/>
    <w:rsid w:val="00797839"/>
    <w:rsid w:val="007A23B9"/>
    <w:rsid w:val="007B10C3"/>
    <w:rsid w:val="007B26F7"/>
    <w:rsid w:val="007C2512"/>
    <w:rsid w:val="007C3561"/>
    <w:rsid w:val="007D058E"/>
    <w:rsid w:val="007D7387"/>
    <w:rsid w:val="007E1F7A"/>
    <w:rsid w:val="007E5C2D"/>
    <w:rsid w:val="007E7F24"/>
    <w:rsid w:val="007F0260"/>
    <w:rsid w:val="007F39B6"/>
    <w:rsid w:val="007F7B79"/>
    <w:rsid w:val="00800545"/>
    <w:rsid w:val="008041D3"/>
    <w:rsid w:val="00815027"/>
    <w:rsid w:val="008162E0"/>
    <w:rsid w:val="00817C1B"/>
    <w:rsid w:val="00835120"/>
    <w:rsid w:val="00842122"/>
    <w:rsid w:val="00843402"/>
    <w:rsid w:val="00847349"/>
    <w:rsid w:val="00857691"/>
    <w:rsid w:val="00861B13"/>
    <w:rsid w:val="0086397E"/>
    <w:rsid w:val="00867228"/>
    <w:rsid w:val="00870407"/>
    <w:rsid w:val="00870CE1"/>
    <w:rsid w:val="0087224E"/>
    <w:rsid w:val="008766BB"/>
    <w:rsid w:val="00883256"/>
    <w:rsid w:val="00887139"/>
    <w:rsid w:val="0088741A"/>
    <w:rsid w:val="008A1D40"/>
    <w:rsid w:val="008A7B6B"/>
    <w:rsid w:val="008B0B85"/>
    <w:rsid w:val="008B3AD3"/>
    <w:rsid w:val="008B4545"/>
    <w:rsid w:val="008B5B6C"/>
    <w:rsid w:val="008B74B7"/>
    <w:rsid w:val="008C099F"/>
    <w:rsid w:val="008C5AF4"/>
    <w:rsid w:val="008D7646"/>
    <w:rsid w:val="008E18AF"/>
    <w:rsid w:val="008E1FA9"/>
    <w:rsid w:val="008E2C63"/>
    <w:rsid w:val="008E2E3B"/>
    <w:rsid w:val="008E6374"/>
    <w:rsid w:val="008F15C3"/>
    <w:rsid w:val="008F37C2"/>
    <w:rsid w:val="008F5726"/>
    <w:rsid w:val="008F6C4D"/>
    <w:rsid w:val="00902110"/>
    <w:rsid w:val="00903406"/>
    <w:rsid w:val="00910AA2"/>
    <w:rsid w:val="00913904"/>
    <w:rsid w:val="00921565"/>
    <w:rsid w:val="00924F7C"/>
    <w:rsid w:val="009327A5"/>
    <w:rsid w:val="009354E9"/>
    <w:rsid w:val="00935C97"/>
    <w:rsid w:val="00940F6A"/>
    <w:rsid w:val="009438E2"/>
    <w:rsid w:val="00946BD3"/>
    <w:rsid w:val="009608DC"/>
    <w:rsid w:val="00971C0F"/>
    <w:rsid w:val="009801FC"/>
    <w:rsid w:val="00982D47"/>
    <w:rsid w:val="009834EA"/>
    <w:rsid w:val="00983872"/>
    <w:rsid w:val="009841EB"/>
    <w:rsid w:val="009969BE"/>
    <w:rsid w:val="00997B21"/>
    <w:rsid w:val="009A09EF"/>
    <w:rsid w:val="009A6F2F"/>
    <w:rsid w:val="009B4112"/>
    <w:rsid w:val="009B7555"/>
    <w:rsid w:val="009B78B6"/>
    <w:rsid w:val="009C6D5E"/>
    <w:rsid w:val="009D46BB"/>
    <w:rsid w:val="009E1901"/>
    <w:rsid w:val="009E1FFD"/>
    <w:rsid w:val="009F4B8D"/>
    <w:rsid w:val="00A03093"/>
    <w:rsid w:val="00A04CBD"/>
    <w:rsid w:val="00A0584F"/>
    <w:rsid w:val="00A079A4"/>
    <w:rsid w:val="00A116DB"/>
    <w:rsid w:val="00A12DA3"/>
    <w:rsid w:val="00A15176"/>
    <w:rsid w:val="00A212B2"/>
    <w:rsid w:val="00A41BD2"/>
    <w:rsid w:val="00A4483B"/>
    <w:rsid w:val="00A44E3A"/>
    <w:rsid w:val="00A44E5B"/>
    <w:rsid w:val="00A46570"/>
    <w:rsid w:val="00A51748"/>
    <w:rsid w:val="00A5337D"/>
    <w:rsid w:val="00A54837"/>
    <w:rsid w:val="00A565A7"/>
    <w:rsid w:val="00A57671"/>
    <w:rsid w:val="00A57BEB"/>
    <w:rsid w:val="00A61661"/>
    <w:rsid w:val="00A62D35"/>
    <w:rsid w:val="00A72DC9"/>
    <w:rsid w:val="00A7714B"/>
    <w:rsid w:val="00A85188"/>
    <w:rsid w:val="00A85212"/>
    <w:rsid w:val="00A86D21"/>
    <w:rsid w:val="00A918D5"/>
    <w:rsid w:val="00A946EE"/>
    <w:rsid w:val="00A9516A"/>
    <w:rsid w:val="00AA72F4"/>
    <w:rsid w:val="00AB5EA1"/>
    <w:rsid w:val="00AC610C"/>
    <w:rsid w:val="00AC7237"/>
    <w:rsid w:val="00AD08FA"/>
    <w:rsid w:val="00AD104B"/>
    <w:rsid w:val="00AD2550"/>
    <w:rsid w:val="00AD55B7"/>
    <w:rsid w:val="00AD6193"/>
    <w:rsid w:val="00AE15F5"/>
    <w:rsid w:val="00AE16B8"/>
    <w:rsid w:val="00AE20D8"/>
    <w:rsid w:val="00AE2DF3"/>
    <w:rsid w:val="00AE2E3C"/>
    <w:rsid w:val="00AE4162"/>
    <w:rsid w:val="00AF4261"/>
    <w:rsid w:val="00AF47AF"/>
    <w:rsid w:val="00B06376"/>
    <w:rsid w:val="00B1248C"/>
    <w:rsid w:val="00B13AB4"/>
    <w:rsid w:val="00B13FE1"/>
    <w:rsid w:val="00B15A1A"/>
    <w:rsid w:val="00B16747"/>
    <w:rsid w:val="00B26F7E"/>
    <w:rsid w:val="00B271ED"/>
    <w:rsid w:val="00B352DF"/>
    <w:rsid w:val="00B37CCF"/>
    <w:rsid w:val="00B41B39"/>
    <w:rsid w:val="00B444B3"/>
    <w:rsid w:val="00B46BAA"/>
    <w:rsid w:val="00B509EB"/>
    <w:rsid w:val="00B54077"/>
    <w:rsid w:val="00B56CB9"/>
    <w:rsid w:val="00B57C93"/>
    <w:rsid w:val="00B600D7"/>
    <w:rsid w:val="00B60C60"/>
    <w:rsid w:val="00B71C88"/>
    <w:rsid w:val="00B75B0D"/>
    <w:rsid w:val="00B764F5"/>
    <w:rsid w:val="00B768A0"/>
    <w:rsid w:val="00B77574"/>
    <w:rsid w:val="00B8491F"/>
    <w:rsid w:val="00B901CF"/>
    <w:rsid w:val="00B93549"/>
    <w:rsid w:val="00B93652"/>
    <w:rsid w:val="00B9509C"/>
    <w:rsid w:val="00BA676D"/>
    <w:rsid w:val="00BC47C1"/>
    <w:rsid w:val="00BD4FCA"/>
    <w:rsid w:val="00BD5AC3"/>
    <w:rsid w:val="00BD7651"/>
    <w:rsid w:val="00BE4A6F"/>
    <w:rsid w:val="00BE553C"/>
    <w:rsid w:val="00BE5584"/>
    <w:rsid w:val="00BE6DC9"/>
    <w:rsid w:val="00BF1025"/>
    <w:rsid w:val="00BF127D"/>
    <w:rsid w:val="00BF1ECD"/>
    <w:rsid w:val="00BF1FE0"/>
    <w:rsid w:val="00C015BD"/>
    <w:rsid w:val="00C07EC9"/>
    <w:rsid w:val="00C2462B"/>
    <w:rsid w:val="00C24A0C"/>
    <w:rsid w:val="00C27A79"/>
    <w:rsid w:val="00C306F9"/>
    <w:rsid w:val="00C35739"/>
    <w:rsid w:val="00C44FAC"/>
    <w:rsid w:val="00C47428"/>
    <w:rsid w:val="00C52C09"/>
    <w:rsid w:val="00C62AC0"/>
    <w:rsid w:val="00C81E30"/>
    <w:rsid w:val="00C85787"/>
    <w:rsid w:val="00C86229"/>
    <w:rsid w:val="00C869A5"/>
    <w:rsid w:val="00C90F44"/>
    <w:rsid w:val="00C91592"/>
    <w:rsid w:val="00C92ED7"/>
    <w:rsid w:val="00C93F56"/>
    <w:rsid w:val="00C95D4D"/>
    <w:rsid w:val="00CA1C22"/>
    <w:rsid w:val="00CA32A4"/>
    <w:rsid w:val="00CA5016"/>
    <w:rsid w:val="00CA6705"/>
    <w:rsid w:val="00CA6A8E"/>
    <w:rsid w:val="00CB3E58"/>
    <w:rsid w:val="00CB524C"/>
    <w:rsid w:val="00CB7F63"/>
    <w:rsid w:val="00CC09C4"/>
    <w:rsid w:val="00CC19B2"/>
    <w:rsid w:val="00CC35EE"/>
    <w:rsid w:val="00CD1307"/>
    <w:rsid w:val="00CD4D9E"/>
    <w:rsid w:val="00CE2FDF"/>
    <w:rsid w:val="00CE6140"/>
    <w:rsid w:val="00CE6673"/>
    <w:rsid w:val="00CF0284"/>
    <w:rsid w:val="00CF3D81"/>
    <w:rsid w:val="00D00966"/>
    <w:rsid w:val="00D01DC5"/>
    <w:rsid w:val="00D031AC"/>
    <w:rsid w:val="00D031EE"/>
    <w:rsid w:val="00D066BC"/>
    <w:rsid w:val="00D07737"/>
    <w:rsid w:val="00D10B3E"/>
    <w:rsid w:val="00D12136"/>
    <w:rsid w:val="00D1563D"/>
    <w:rsid w:val="00D20DFC"/>
    <w:rsid w:val="00D25150"/>
    <w:rsid w:val="00D27D3D"/>
    <w:rsid w:val="00D31EA6"/>
    <w:rsid w:val="00D561ED"/>
    <w:rsid w:val="00D64CDB"/>
    <w:rsid w:val="00D65A18"/>
    <w:rsid w:val="00D84B75"/>
    <w:rsid w:val="00D876F1"/>
    <w:rsid w:val="00DA5C4F"/>
    <w:rsid w:val="00DB5EF6"/>
    <w:rsid w:val="00DC292C"/>
    <w:rsid w:val="00DD1377"/>
    <w:rsid w:val="00DD33F4"/>
    <w:rsid w:val="00DD563B"/>
    <w:rsid w:val="00DE2966"/>
    <w:rsid w:val="00DE4124"/>
    <w:rsid w:val="00DE4EAC"/>
    <w:rsid w:val="00DE711D"/>
    <w:rsid w:val="00DF4AC6"/>
    <w:rsid w:val="00E01AFF"/>
    <w:rsid w:val="00E035B9"/>
    <w:rsid w:val="00E108DB"/>
    <w:rsid w:val="00E11287"/>
    <w:rsid w:val="00E12D4D"/>
    <w:rsid w:val="00E14E01"/>
    <w:rsid w:val="00E14EDA"/>
    <w:rsid w:val="00E237C8"/>
    <w:rsid w:val="00E26C2A"/>
    <w:rsid w:val="00E31A06"/>
    <w:rsid w:val="00E363EE"/>
    <w:rsid w:val="00E3779B"/>
    <w:rsid w:val="00E410AC"/>
    <w:rsid w:val="00E4189E"/>
    <w:rsid w:val="00E51B5B"/>
    <w:rsid w:val="00E549E9"/>
    <w:rsid w:val="00E6312A"/>
    <w:rsid w:val="00E63B5C"/>
    <w:rsid w:val="00E64FB8"/>
    <w:rsid w:val="00E6783F"/>
    <w:rsid w:val="00E679BB"/>
    <w:rsid w:val="00E74A1A"/>
    <w:rsid w:val="00E7660A"/>
    <w:rsid w:val="00E76D53"/>
    <w:rsid w:val="00E85478"/>
    <w:rsid w:val="00E858CF"/>
    <w:rsid w:val="00E87BD0"/>
    <w:rsid w:val="00E95030"/>
    <w:rsid w:val="00EA0E58"/>
    <w:rsid w:val="00EA2F45"/>
    <w:rsid w:val="00EB2F7E"/>
    <w:rsid w:val="00EB5F63"/>
    <w:rsid w:val="00EB69E7"/>
    <w:rsid w:val="00ED207A"/>
    <w:rsid w:val="00ED2369"/>
    <w:rsid w:val="00EE2A71"/>
    <w:rsid w:val="00EE4427"/>
    <w:rsid w:val="00EE44ED"/>
    <w:rsid w:val="00EE5557"/>
    <w:rsid w:val="00EE5C4D"/>
    <w:rsid w:val="00EF1A7D"/>
    <w:rsid w:val="00EF2771"/>
    <w:rsid w:val="00EF74A2"/>
    <w:rsid w:val="00EF7C64"/>
    <w:rsid w:val="00F15AA9"/>
    <w:rsid w:val="00F17196"/>
    <w:rsid w:val="00F24845"/>
    <w:rsid w:val="00F2596C"/>
    <w:rsid w:val="00F32639"/>
    <w:rsid w:val="00F34F32"/>
    <w:rsid w:val="00F36258"/>
    <w:rsid w:val="00F36B80"/>
    <w:rsid w:val="00F42E2F"/>
    <w:rsid w:val="00F44F41"/>
    <w:rsid w:val="00F513BA"/>
    <w:rsid w:val="00F674F2"/>
    <w:rsid w:val="00F8397B"/>
    <w:rsid w:val="00FA03A3"/>
    <w:rsid w:val="00FA4EAE"/>
    <w:rsid w:val="00FB2057"/>
    <w:rsid w:val="00FB2C2D"/>
    <w:rsid w:val="00FB38A8"/>
    <w:rsid w:val="00FD2C41"/>
    <w:rsid w:val="00FD32A5"/>
    <w:rsid w:val="00FD4284"/>
    <w:rsid w:val="00FD438E"/>
    <w:rsid w:val="00FD7B42"/>
    <w:rsid w:val="00FE1735"/>
    <w:rsid w:val="00FE193B"/>
    <w:rsid w:val="00FE3DD5"/>
    <w:rsid w:val="00FE42F6"/>
    <w:rsid w:val="00FE77E9"/>
    <w:rsid w:val="00FF16AE"/>
    <w:rsid w:val="00FF343F"/>
    <w:rsid w:val="00FF4E1B"/>
    <w:rsid w:val="00FF5BA2"/>
    <w:rsid w:val="019E72AC"/>
    <w:rsid w:val="0212455F"/>
    <w:rsid w:val="03A90D06"/>
    <w:rsid w:val="06891B43"/>
    <w:rsid w:val="097A71F2"/>
    <w:rsid w:val="12B2553B"/>
    <w:rsid w:val="135C59C7"/>
    <w:rsid w:val="25664C67"/>
    <w:rsid w:val="324D38B4"/>
    <w:rsid w:val="32F571FB"/>
    <w:rsid w:val="34AA0506"/>
    <w:rsid w:val="3D6910C1"/>
    <w:rsid w:val="4C1324BE"/>
    <w:rsid w:val="4EB409B8"/>
    <w:rsid w:val="4F525EC6"/>
    <w:rsid w:val="4F6774FD"/>
    <w:rsid w:val="512F6145"/>
    <w:rsid w:val="58570EF5"/>
    <w:rsid w:val="5BA85B90"/>
    <w:rsid w:val="5D520412"/>
    <w:rsid w:val="63D30CA4"/>
    <w:rsid w:val="654744D3"/>
    <w:rsid w:val="6EFE2D27"/>
    <w:rsid w:val="70446567"/>
    <w:rsid w:val="72D27417"/>
    <w:rsid w:val="734B49D1"/>
    <w:rsid w:val="746C13B3"/>
    <w:rsid w:val="74A5616B"/>
    <w:rsid w:val="7A7B46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before="100" w:beforeAutospacing="1" w:after="100" w:afterAutospacing="1" w:line="360" w:lineRule="atLeast"/>
      <w:ind w:firstLine="302" w:firstLineChars="302"/>
      <w:textAlignment w:val="baseline"/>
    </w:pPr>
    <w:rPr>
      <w:sz w:val="24"/>
      <w:lang w:val="en-US" w:eastAsia="zh-CN" w:bidi="ar-SA"/>
    </w:rPr>
  </w:style>
  <w:style w:type="character" w:default="1" w:styleId="13">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2">
    <w:name w:val="annotation text"/>
    <w:basedOn w:val="1"/>
    <w:link w:val="17"/>
    <w:uiPriority w:val="0"/>
  </w:style>
  <w:style w:type="paragraph" w:styleId="3">
    <w:name w:val="Body Text"/>
    <w:basedOn w:val="1"/>
    <w:link w:val="18"/>
    <w:uiPriority w:val="0"/>
    <w:pPr>
      <w:widowControl/>
      <w:shd w:val="clear" w:color="auto" w:fill="FFFFFF"/>
      <w:adjustRightInd/>
      <w:spacing w:before="0" w:beforeAutospacing="0" w:after="1620" w:afterAutospacing="0" w:line="240" w:lineRule="atLeast"/>
      <w:ind w:firstLine="0" w:firstLineChars="0"/>
      <w:textAlignment w:val="auto"/>
    </w:pPr>
    <w:rPr>
      <w:sz w:val="29"/>
      <w:szCs w:val="29"/>
      <w:shd w:val="clear" w:color="auto" w:fill="FFFFFF"/>
    </w:rPr>
  </w:style>
  <w:style w:type="paragraph" w:styleId="4">
    <w:name w:val="Plain Text"/>
    <w:basedOn w:val="1"/>
    <w:uiPriority w:val="0"/>
    <w:pPr>
      <w:adjustRightInd/>
      <w:spacing w:line="240" w:lineRule="auto"/>
      <w:jc w:val="both"/>
      <w:textAlignment w:val="auto"/>
    </w:pPr>
    <w:rPr>
      <w:rFonts w:ascii="宋体" w:hAnsi="Courier New"/>
      <w:kern w:val="2"/>
      <w:sz w:val="21"/>
    </w:rPr>
  </w:style>
  <w:style w:type="paragraph" w:styleId="5">
    <w:name w:val="Date"/>
    <w:basedOn w:val="1"/>
    <w:next w:val="1"/>
    <w:link w:val="19"/>
    <w:uiPriority w:val="0"/>
    <w:pPr>
      <w:ind w:left="100" w:leftChars="2500"/>
    </w:pPr>
  </w:style>
  <w:style w:type="paragraph" w:styleId="6">
    <w:name w:val="Balloon Text"/>
    <w:basedOn w:val="1"/>
    <w:link w:val="20"/>
    <w:uiPriority w:val="0"/>
    <w:pPr>
      <w:spacing w:before="0" w:after="0" w:line="240" w:lineRule="auto"/>
    </w:pPr>
    <w:rPr>
      <w:sz w:val="18"/>
      <w:szCs w:val="18"/>
    </w:rPr>
  </w:style>
  <w:style w:type="paragraph" w:styleId="7">
    <w:name w:val="footer"/>
    <w:basedOn w:val="1"/>
    <w:uiPriority w:val="0"/>
    <w:pPr>
      <w:tabs>
        <w:tab w:val="center" w:pos="4153"/>
        <w:tab w:val="right" w:pos="8306"/>
      </w:tabs>
      <w:snapToGrid w:val="0"/>
      <w:spacing w:line="240" w:lineRule="atLeast"/>
    </w:pPr>
    <w:rPr>
      <w:sz w:val="18"/>
      <w:szCs w:val="18"/>
    </w:rPr>
  </w:style>
  <w:style w:type="paragraph" w:styleId="8">
    <w:name w:val="header"/>
    <w:basedOn w:val="1"/>
    <w:link w:val="2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unhideWhenUsed/>
    <w:uiPriority w:val="99"/>
    <w:pPr>
      <w:widowControl/>
      <w:adjustRightInd/>
      <w:spacing w:line="240" w:lineRule="auto"/>
      <w:ind w:firstLine="0" w:firstLineChars="0"/>
      <w:textAlignment w:val="auto"/>
    </w:pPr>
    <w:rPr>
      <w:rFonts w:ascii="宋体" w:hAnsi="宋体" w:cs="宋体"/>
      <w:szCs w:val="24"/>
    </w:rPr>
  </w:style>
  <w:style w:type="paragraph" w:styleId="10">
    <w:name w:val="annotation subject"/>
    <w:basedOn w:val="2"/>
    <w:next w:val="2"/>
    <w:link w:val="22"/>
    <w:uiPriority w:val="0"/>
    <w:rPr>
      <w:b/>
      <w:bCs/>
    </w:rPr>
  </w:style>
  <w:style w:type="table" w:styleId="12">
    <w:name w:val="Table Grid"/>
    <w:basedOn w:val="11"/>
    <w:uiPriority w:val="0"/>
    <w:tblPr>
      <w:tblStyle w:val="1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basedOn w:val="13"/>
    <w:uiPriority w:val="0"/>
  </w:style>
  <w:style w:type="character" w:styleId="15">
    <w:name w:val="annotation reference"/>
    <w:uiPriority w:val="0"/>
    <w:rPr>
      <w:sz w:val="21"/>
      <w:szCs w:val="21"/>
    </w:rPr>
  </w:style>
  <w:style w:type="paragraph" w:styleId="16">
    <w:name w:val="List Paragraph"/>
    <w:basedOn w:val="1"/>
    <w:qFormat/>
    <w:uiPriority w:val="99"/>
    <w:pPr>
      <w:adjustRightInd/>
      <w:spacing w:before="0" w:beforeAutospacing="0" w:after="0" w:afterAutospacing="0" w:line="240" w:lineRule="auto"/>
      <w:ind w:firstLine="420" w:firstLineChars="200"/>
      <w:jc w:val="both"/>
      <w:textAlignment w:val="auto"/>
    </w:pPr>
    <w:rPr>
      <w:kern w:val="2"/>
      <w:sz w:val="21"/>
    </w:rPr>
  </w:style>
  <w:style w:type="character" w:customStyle="1" w:styleId="17">
    <w:name w:val="批注文字 Char"/>
    <w:link w:val="2"/>
    <w:uiPriority w:val="0"/>
    <w:rPr>
      <w:sz w:val="24"/>
    </w:rPr>
  </w:style>
  <w:style w:type="character" w:customStyle="1" w:styleId="18">
    <w:name w:val="正文文本 Char"/>
    <w:link w:val="3"/>
    <w:uiPriority w:val="0"/>
    <w:rPr>
      <w:sz w:val="29"/>
      <w:szCs w:val="29"/>
      <w:shd w:val="clear" w:color="auto" w:fill="FFFFFF"/>
    </w:rPr>
  </w:style>
  <w:style w:type="character" w:customStyle="1" w:styleId="19">
    <w:name w:val="日期 Char"/>
    <w:link w:val="5"/>
    <w:uiPriority w:val="0"/>
    <w:rPr>
      <w:sz w:val="24"/>
    </w:rPr>
  </w:style>
  <w:style w:type="character" w:customStyle="1" w:styleId="20">
    <w:name w:val="批注框文本 Char"/>
    <w:link w:val="6"/>
    <w:uiPriority w:val="0"/>
    <w:rPr>
      <w:sz w:val="18"/>
      <w:szCs w:val="18"/>
    </w:rPr>
  </w:style>
  <w:style w:type="character" w:customStyle="1" w:styleId="21">
    <w:name w:val="页眉 Char"/>
    <w:link w:val="8"/>
    <w:uiPriority w:val="0"/>
    <w:rPr>
      <w:sz w:val="18"/>
      <w:szCs w:val="18"/>
    </w:rPr>
  </w:style>
  <w:style w:type="character" w:customStyle="1" w:styleId="22">
    <w:name w:val="批注主题 Char"/>
    <w:link w:val="10"/>
    <w:uiPriority w:val="0"/>
    <w:rPr>
      <w:b/>
      <w:bCs/>
      <w:sz w:val="24"/>
    </w:rPr>
  </w:style>
  <w:style w:type="character" w:customStyle="1" w:styleId="23">
    <w:name w:val="正文文本 Char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580</Words>
  <Characters>3307</Characters>
  <Lines>27</Lines>
  <Paragraphs>7</Paragraphs>
  <TotalTime>326</TotalTime>
  <ScaleCrop>false</ScaleCrop>
  <LinksUpToDate>false</LinksUpToDate>
  <CharactersWithSpaces>3880</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2018-01-29T00:34:00Z</dcterms:created>
  <dc:creator>Lenovo User</dc:creator>
  <cp:lastModifiedBy>南音雨阁</cp:lastModifiedBy>
  <cp:lastPrinted>2016-01-29T01:49:00Z</cp:lastPrinted>
  <dcterms:modified xsi:type="dcterms:W3CDTF">2022-06-15T08:19:26Z</dcterms:modified>
  <dc:title>甘肃酒钢集团本部不锈钢冷轧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CF34DA20CA5241CB88376D5D33BFB252</vt:lpwstr>
  </property>
</Properties>
</file>