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华文中宋" w:hAnsi="华文中宋" w:eastAsia="华文中宋"/>
          <w:sz w:val="32"/>
          <w:szCs w:val="32"/>
        </w:rPr>
      </w:pPr>
      <w:r>
        <w:rPr>
          <w:rFonts w:hint="eastAsia" w:ascii="华文中宋" w:hAnsi="华文中宋" w:eastAsia="华文中宋"/>
          <w:sz w:val="32"/>
          <w:szCs w:val="32"/>
        </w:rPr>
        <w:t>协同办公平台维护服务项目</w:t>
      </w:r>
      <w:bookmarkStart w:id="0" w:name="_GoBack"/>
      <w:bookmarkEnd w:id="0"/>
    </w:p>
    <w:p>
      <w:pPr>
        <w:pStyle w:val="5"/>
        <w:numPr>
          <w:ilvl w:val="0"/>
          <w:numId w:val="1"/>
        </w:numPr>
        <w:spacing w:line="600" w:lineRule="exact"/>
        <w:ind w:firstLineChars="0"/>
        <w:jc w:val="left"/>
        <w:outlineLvl w:val="0"/>
        <w:rPr>
          <w:rFonts w:ascii="宋体" w:hAnsi="宋体" w:eastAsia="宋体"/>
          <w:sz w:val="22"/>
          <w:szCs w:val="22"/>
        </w:rPr>
      </w:pPr>
      <w:r>
        <w:rPr>
          <w:rFonts w:hint="eastAsia" w:ascii="宋体" w:hAnsi="宋体" w:eastAsia="宋体"/>
          <w:sz w:val="22"/>
          <w:szCs w:val="22"/>
        </w:rPr>
        <w:t>标准服务内容</w:t>
      </w:r>
    </w:p>
    <w:tbl>
      <w:tblPr>
        <w:tblStyle w:val="3"/>
        <w:tblpPr w:leftFromText="180" w:rightFromText="180" w:vertAnchor="text" w:horzAnchor="margin" w:tblpXSpec="center" w:tblpY="25"/>
        <w:tblW w:w="9039" w:type="dxa"/>
        <w:tblInd w:w="0" w:type="dxa"/>
        <w:tblLayout w:type="autofit"/>
        <w:tblCellMar>
          <w:top w:w="0" w:type="dxa"/>
          <w:left w:w="108" w:type="dxa"/>
          <w:bottom w:w="0" w:type="dxa"/>
          <w:right w:w="108" w:type="dxa"/>
        </w:tblCellMar>
      </w:tblPr>
      <w:tblGrid>
        <w:gridCol w:w="1101"/>
        <w:gridCol w:w="2126"/>
        <w:gridCol w:w="4370"/>
        <w:gridCol w:w="1442"/>
      </w:tblGrid>
      <w:tr>
        <w:tblPrEx>
          <w:tblCellMar>
            <w:top w:w="0" w:type="dxa"/>
            <w:left w:w="108" w:type="dxa"/>
            <w:bottom w:w="0" w:type="dxa"/>
            <w:right w:w="108" w:type="dxa"/>
          </w:tblCellMar>
        </w:tblPrEx>
        <w:trPr>
          <w:trHeight w:val="500" w:hRule="atLeast"/>
        </w:trPr>
        <w:tc>
          <w:tcPr>
            <w:tcW w:w="1101" w:type="dxa"/>
            <w:tcBorders>
              <w:top w:val="single" w:color="auto" w:sz="8" w:space="0"/>
              <w:left w:val="single" w:color="auto" w:sz="8" w:space="0"/>
              <w:bottom w:val="single" w:color="auto" w:sz="8" w:space="0"/>
              <w:right w:val="single" w:color="auto" w:sz="8" w:space="0"/>
            </w:tcBorders>
            <w:shd w:val="clear" w:color="auto" w:fill="FFFF99"/>
            <w:noWrap w:val="0"/>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服务</w:t>
            </w:r>
          </w:p>
          <w:p>
            <w:pPr>
              <w:spacing w:line="360" w:lineRule="auto"/>
              <w:jc w:val="center"/>
              <w:rPr>
                <w:rFonts w:ascii="宋体" w:hAnsi="宋体" w:cs="宋体"/>
                <w:b/>
                <w:bCs/>
                <w:color w:val="000000"/>
                <w:szCs w:val="21"/>
              </w:rPr>
            </w:pPr>
            <w:r>
              <w:rPr>
                <w:rFonts w:hint="eastAsia" w:ascii="宋体" w:hAnsi="宋体" w:cs="宋体"/>
                <w:b/>
                <w:bCs/>
                <w:color w:val="000000"/>
                <w:szCs w:val="21"/>
              </w:rPr>
              <w:t>类型</w:t>
            </w:r>
          </w:p>
        </w:tc>
        <w:tc>
          <w:tcPr>
            <w:tcW w:w="2126" w:type="dxa"/>
            <w:tcBorders>
              <w:top w:val="single" w:color="auto" w:sz="8" w:space="0"/>
              <w:left w:val="nil"/>
              <w:bottom w:val="single" w:color="auto" w:sz="8" w:space="0"/>
              <w:right w:val="single" w:color="000000" w:sz="8" w:space="0"/>
            </w:tcBorders>
            <w:shd w:val="clear" w:color="auto" w:fill="FFFF99"/>
            <w:noWrap w:val="0"/>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服务项目</w:t>
            </w:r>
          </w:p>
        </w:tc>
        <w:tc>
          <w:tcPr>
            <w:tcW w:w="4370" w:type="dxa"/>
            <w:tcBorders>
              <w:top w:val="single" w:color="auto" w:sz="8" w:space="0"/>
              <w:left w:val="nil"/>
              <w:bottom w:val="single" w:color="auto" w:sz="8" w:space="0"/>
              <w:right w:val="single" w:color="auto" w:sz="8" w:space="0"/>
            </w:tcBorders>
            <w:shd w:val="clear" w:color="auto" w:fill="FFFF99"/>
            <w:noWrap w:val="0"/>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服务说明</w:t>
            </w:r>
          </w:p>
        </w:tc>
        <w:tc>
          <w:tcPr>
            <w:tcW w:w="1442" w:type="dxa"/>
            <w:tcBorders>
              <w:top w:val="single" w:color="auto" w:sz="8" w:space="0"/>
              <w:left w:val="nil"/>
              <w:bottom w:val="single" w:color="auto" w:sz="4" w:space="0"/>
              <w:right w:val="single" w:color="auto" w:sz="8" w:space="0"/>
            </w:tcBorders>
            <w:shd w:val="clear" w:color="auto" w:fill="FFFF99"/>
            <w:noWrap w:val="0"/>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服务频度</w:t>
            </w:r>
          </w:p>
        </w:tc>
      </w:tr>
      <w:tr>
        <w:tblPrEx>
          <w:tblCellMar>
            <w:top w:w="0" w:type="dxa"/>
            <w:left w:w="108" w:type="dxa"/>
            <w:bottom w:w="0" w:type="dxa"/>
            <w:right w:w="108" w:type="dxa"/>
          </w:tblCellMar>
        </w:tblPrEx>
        <w:trPr>
          <w:trHeight w:val="1111" w:hRule="atLeast"/>
        </w:trPr>
        <w:tc>
          <w:tcPr>
            <w:tcW w:w="1101" w:type="dxa"/>
            <w:vMerge w:val="restart"/>
            <w:tcBorders>
              <w:top w:val="single" w:color="auto" w:sz="8" w:space="0"/>
              <w:left w:val="single" w:color="auto" w:sz="8" w:space="0"/>
              <w:right w:val="single" w:color="auto" w:sz="8" w:space="0"/>
            </w:tcBorders>
            <w:shd w:val="clear" w:color="auto" w:fill="DBDBDB"/>
            <w:noWrap/>
            <w:vAlign w:val="center"/>
          </w:tcPr>
          <w:p>
            <w:pPr>
              <w:spacing w:line="360" w:lineRule="auto"/>
              <w:jc w:val="center"/>
              <w:rPr>
                <w:rFonts w:ascii="宋体" w:hAnsi="宋体" w:cs="宋体"/>
                <w:b/>
                <w:bCs/>
                <w:color w:val="000000"/>
                <w:szCs w:val="21"/>
              </w:rPr>
            </w:pPr>
            <w:r>
              <w:rPr>
                <w:rFonts w:hint="eastAsia" w:ascii="宋体" w:hAnsi="宋体" w:cs="宋体"/>
                <w:b/>
                <w:bCs/>
                <w:color w:val="000000"/>
                <w:szCs w:val="21"/>
              </w:rPr>
              <w:t>标准服务内容</w:t>
            </w:r>
          </w:p>
          <w:p>
            <w:pPr>
              <w:spacing w:line="360" w:lineRule="auto"/>
              <w:jc w:val="center"/>
              <w:rPr>
                <w:rFonts w:ascii="宋体" w:hAnsi="宋体" w:cs="宋体"/>
                <w:b/>
                <w:bCs/>
                <w:color w:val="000000"/>
                <w:szCs w:val="21"/>
              </w:rPr>
            </w:pPr>
            <w:r>
              <w:rPr>
                <w:rFonts w:hint="eastAsia" w:ascii="宋体" w:hAnsi="宋体" w:cs="宋体"/>
                <w:color w:val="000000"/>
                <w:szCs w:val="21"/>
              </w:rPr>
              <w:t>（标准服务问题响应时间5天*8小时）</w:t>
            </w: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在线报障</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客户可在线通过蓝凌云服务平台提交服务问题，服务工程师将根据问题内容进行相应处理，客户可在线了解问题处理进度</w:t>
            </w:r>
          </w:p>
        </w:tc>
        <w:tc>
          <w:tcPr>
            <w:tcW w:w="1442"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不限次数</w:t>
            </w: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蓝凌客户空间（钉钉）</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通过钉钉APP，客户与服务工程师进行互动，咨询、问题处理等</w:t>
            </w:r>
          </w:p>
        </w:tc>
        <w:tc>
          <w:tcPr>
            <w:tcW w:w="144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000000"/>
                <w:szCs w:val="21"/>
              </w:rPr>
            </w:pP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远程服务</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通过在线沟通、远程电话/视频、远程控制等方式，为客户提供远程在线支持服务</w:t>
            </w:r>
          </w:p>
        </w:tc>
        <w:tc>
          <w:tcPr>
            <w:tcW w:w="144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000000"/>
                <w:szCs w:val="21"/>
              </w:rPr>
            </w:pP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ascii="宋体" w:hAnsi="宋体" w:cs="宋体"/>
                <w:color w:val="000000"/>
                <w:szCs w:val="21"/>
              </w:rPr>
              <w:t>400</w:t>
            </w:r>
            <w:r>
              <w:rPr>
                <w:rFonts w:hint="eastAsia" w:ascii="宋体" w:hAnsi="宋体" w:cs="宋体"/>
                <w:color w:val="000000"/>
                <w:szCs w:val="21"/>
              </w:rPr>
              <w:t>热线技术支持</w:t>
            </w:r>
            <w:r>
              <w:rPr>
                <w:rFonts w:ascii="宋体" w:hAnsi="宋体" w:cs="宋体"/>
                <w:color w:val="000000"/>
                <w:szCs w:val="21"/>
              </w:rPr>
              <w:t>（</w:t>
            </w:r>
            <w:r>
              <w:rPr>
                <w:rFonts w:hint="eastAsia" w:ascii="宋体" w:hAnsi="宋体" w:cs="宋体"/>
                <w:color w:val="000000"/>
                <w:szCs w:val="21"/>
              </w:rPr>
              <w:t>4006-222-312）</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1-产品咨询；2-服务咨询；3-服务投诉，由专人受理，为客户解答蓝凌软件产品使用与维护问题</w:t>
            </w:r>
          </w:p>
        </w:tc>
        <w:tc>
          <w:tcPr>
            <w:tcW w:w="144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000000"/>
                <w:szCs w:val="21"/>
              </w:rPr>
            </w:pP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邮件</w:t>
            </w:r>
            <w:r>
              <w:rPr>
                <w:rFonts w:ascii="宋体" w:hAnsi="宋体" w:cs="宋体"/>
                <w:color w:val="000000"/>
                <w:szCs w:val="21"/>
              </w:rPr>
              <w:t>服务</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客户可通过邮件提出服务请求，并可通过邮件获得蓝凌最新服务、产品等相关信息</w:t>
            </w:r>
          </w:p>
        </w:tc>
        <w:tc>
          <w:tcPr>
            <w:tcW w:w="144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000000"/>
                <w:szCs w:val="21"/>
              </w:rPr>
            </w:pP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智能客服</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提供智能客服机器人7*24小时自助服务，在线问答</w:t>
            </w:r>
          </w:p>
        </w:tc>
        <w:tc>
          <w:tcPr>
            <w:tcW w:w="144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000000"/>
                <w:szCs w:val="21"/>
              </w:rPr>
            </w:pP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服务预约</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在线提前预约服务，让您的工作合理排期</w:t>
            </w:r>
          </w:p>
        </w:tc>
        <w:tc>
          <w:tcPr>
            <w:tcW w:w="1442" w:type="dxa"/>
            <w:vMerge w:val="continue"/>
            <w:tcBorders>
              <w:top w:val="single" w:color="auto" w:sz="4" w:space="0"/>
              <w:left w:val="single" w:color="auto" w:sz="4" w:space="0"/>
              <w:bottom w:val="single" w:color="auto" w:sz="4" w:space="0"/>
              <w:right w:val="single" w:color="auto" w:sz="4" w:space="0"/>
            </w:tcBorders>
            <w:noWrap w:val="0"/>
            <w:vAlign w:val="top"/>
          </w:tcPr>
          <w:p>
            <w:pPr>
              <w:spacing w:line="360" w:lineRule="auto"/>
              <w:rPr>
                <w:rFonts w:ascii="宋体" w:hAnsi="宋体" w:cs="宋体"/>
                <w:color w:val="000000"/>
                <w:szCs w:val="21"/>
              </w:rPr>
            </w:pPr>
          </w:p>
        </w:tc>
      </w:tr>
      <w:tr>
        <w:tblPrEx>
          <w:tblCellMar>
            <w:top w:w="0" w:type="dxa"/>
            <w:left w:w="108" w:type="dxa"/>
            <w:bottom w:w="0" w:type="dxa"/>
            <w:right w:w="108" w:type="dxa"/>
          </w:tblCellMar>
        </w:tblPrEx>
        <w:trPr>
          <w:trHeight w:val="633" w:hRule="atLeast"/>
        </w:trPr>
        <w:tc>
          <w:tcPr>
            <w:tcW w:w="1101" w:type="dxa"/>
            <w:vMerge w:val="restart"/>
            <w:tcBorders>
              <w:top w:val="single" w:color="auto" w:sz="8" w:space="0"/>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p>
            <w:pPr>
              <w:spacing w:line="360" w:lineRule="auto"/>
              <w:rPr>
                <w:rFonts w:ascii="宋体" w:hAnsi="宋体" w:cs="宋体"/>
                <w:b/>
                <w:bCs/>
                <w:color w:val="000000"/>
                <w:szCs w:val="21"/>
              </w:rPr>
            </w:pPr>
          </w:p>
          <w:p>
            <w:pPr>
              <w:spacing w:line="360" w:lineRule="auto"/>
              <w:rPr>
                <w:rFonts w:ascii="宋体" w:hAnsi="宋体" w:cs="宋体"/>
                <w:b/>
                <w:bCs/>
                <w:color w:val="000000"/>
                <w:szCs w:val="21"/>
              </w:rPr>
            </w:pPr>
            <w:r>
              <w:rPr>
                <w:rFonts w:hint="eastAsia" w:ascii="宋体" w:hAnsi="宋体" w:cs="宋体"/>
                <w:b/>
                <w:bCs/>
                <w:color w:val="000000"/>
                <w:szCs w:val="21"/>
              </w:rPr>
              <w:t>标准产品支持服务</w:t>
            </w: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szCs w:val="21"/>
              </w:rPr>
            </w:pPr>
            <w:r>
              <w:rPr>
                <w:rFonts w:hint="eastAsia" w:ascii="宋体" w:hAnsi="宋体" w:cs="宋体"/>
                <w:szCs w:val="21"/>
              </w:rPr>
              <w:t>补丁安装信息</w:t>
            </w:r>
          </w:p>
        </w:tc>
        <w:tc>
          <w:tcPr>
            <w:tcW w:w="4370" w:type="dxa"/>
            <w:tcBorders>
              <w:top w:val="nil"/>
              <w:left w:val="nil"/>
              <w:bottom w:val="single" w:color="auto" w:sz="8"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补丁安装详情，了解自己产品补丁信息</w:t>
            </w:r>
          </w:p>
        </w:tc>
        <w:tc>
          <w:tcPr>
            <w:tcW w:w="1442"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宋体" w:hAnsi="宋体" w:cs="宋体"/>
                <w:szCs w:val="21"/>
              </w:rPr>
            </w:pPr>
            <w:r>
              <w:rPr>
                <w:rFonts w:hint="eastAsia" w:ascii="宋体" w:hAnsi="宋体" w:cs="宋体"/>
                <w:szCs w:val="21"/>
              </w:rPr>
              <w:t>依据</w:t>
            </w:r>
            <w:r>
              <w:rPr>
                <w:rFonts w:ascii="宋体" w:hAnsi="宋体" w:cs="宋体"/>
                <w:szCs w:val="21"/>
              </w:rPr>
              <w:t>补丁发布周期</w:t>
            </w: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szCs w:val="21"/>
              </w:rPr>
            </w:pPr>
            <w:r>
              <w:rPr>
                <w:rFonts w:hint="eastAsia" w:ascii="宋体" w:hAnsi="宋体" w:cs="宋体"/>
                <w:szCs w:val="21"/>
              </w:rPr>
              <w:t>产品文档</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szCs w:val="21"/>
              </w:rPr>
            </w:pPr>
            <w:r>
              <w:rPr>
                <w:rFonts w:hint="eastAsia" w:ascii="宋体" w:hAnsi="宋体" w:cs="宋体"/>
                <w:szCs w:val="21"/>
              </w:rPr>
              <w:t>操作手册（纸质或者电子文档）通知、寄送服务</w:t>
            </w:r>
          </w:p>
        </w:tc>
        <w:tc>
          <w:tcPr>
            <w:tcW w:w="1442" w:type="dxa"/>
            <w:tcBorders>
              <w:top w:val="single" w:color="auto" w:sz="4" w:space="0"/>
              <w:left w:val="nil"/>
              <w:bottom w:val="single" w:color="auto" w:sz="8" w:space="0"/>
              <w:right w:val="single" w:color="auto" w:sz="8" w:space="0"/>
            </w:tcBorders>
            <w:noWrap w:val="0"/>
            <w:vAlign w:val="center"/>
          </w:tcPr>
          <w:p>
            <w:pPr>
              <w:spacing w:line="360" w:lineRule="auto"/>
              <w:rPr>
                <w:rFonts w:ascii="宋体" w:hAnsi="宋体" w:cs="宋体"/>
                <w:szCs w:val="21"/>
              </w:rPr>
            </w:pPr>
            <w:r>
              <w:rPr>
                <w:rFonts w:hint="eastAsia" w:ascii="宋体" w:hAnsi="宋体" w:cs="宋体"/>
                <w:szCs w:val="21"/>
              </w:rPr>
              <w:t>不限次数</w:t>
            </w:r>
          </w:p>
        </w:tc>
      </w:tr>
      <w:tr>
        <w:tblPrEx>
          <w:tblCellMar>
            <w:top w:w="0" w:type="dxa"/>
            <w:left w:w="108" w:type="dxa"/>
            <w:bottom w:w="0" w:type="dxa"/>
            <w:right w:w="108" w:type="dxa"/>
          </w:tblCellMar>
        </w:tblPrEx>
        <w:trPr>
          <w:trHeight w:val="1028"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版本升级服务</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在服务期内，蓝凌免费向客户提供同系列产品的中、小版本升级服务（不包含定制模块）</w:t>
            </w:r>
          </w:p>
        </w:tc>
        <w:tc>
          <w:tcPr>
            <w:tcW w:w="1442"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依据</w:t>
            </w:r>
            <w:r>
              <w:rPr>
                <w:rFonts w:ascii="宋体" w:hAnsi="宋体" w:cs="宋体"/>
                <w:color w:val="000000"/>
                <w:szCs w:val="21"/>
              </w:rPr>
              <w:t>产品</w:t>
            </w:r>
            <w:r>
              <w:rPr>
                <w:rFonts w:hint="eastAsia" w:ascii="宋体" w:hAnsi="宋体" w:cs="宋体"/>
                <w:color w:val="000000"/>
                <w:szCs w:val="21"/>
              </w:rPr>
              <w:t>版本发版</w:t>
            </w:r>
            <w:r>
              <w:rPr>
                <w:rFonts w:ascii="宋体" w:hAnsi="宋体" w:cs="宋体"/>
                <w:color w:val="000000"/>
                <w:szCs w:val="21"/>
              </w:rPr>
              <w:t>周期</w:t>
            </w:r>
          </w:p>
        </w:tc>
      </w:tr>
      <w:tr>
        <w:tblPrEx>
          <w:tblCellMar>
            <w:top w:w="0" w:type="dxa"/>
            <w:left w:w="108" w:type="dxa"/>
            <w:bottom w:w="0" w:type="dxa"/>
            <w:right w:w="108" w:type="dxa"/>
          </w:tblCellMar>
        </w:tblPrEx>
        <w:trPr>
          <w:trHeight w:val="633" w:hRule="atLeast"/>
        </w:trPr>
        <w:tc>
          <w:tcPr>
            <w:tcW w:w="1101" w:type="dxa"/>
            <w:vMerge w:val="continue"/>
            <w:tcBorders>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szCs w:val="21"/>
              </w:rPr>
            </w:pPr>
            <w:r>
              <w:rPr>
                <w:rFonts w:hint="eastAsia" w:ascii="宋体" w:hAnsi="宋体" w:cs="宋体"/>
                <w:szCs w:val="21"/>
              </w:rPr>
              <w:t>需求&amp;建议</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szCs w:val="21"/>
              </w:rPr>
            </w:pPr>
            <w:r>
              <w:rPr>
                <w:rFonts w:hint="eastAsia" w:ascii="宋体" w:hAnsi="宋体" w:cs="宋体"/>
                <w:color w:val="000000"/>
                <w:szCs w:val="21"/>
              </w:rPr>
              <w:t>通过服务平台的需求建议管道接收客户对蓝凌产品功能的优化或需求建议，打造更贴近客户需要的产品</w:t>
            </w:r>
          </w:p>
        </w:tc>
        <w:tc>
          <w:tcPr>
            <w:tcW w:w="1442" w:type="dxa"/>
            <w:tcBorders>
              <w:top w:val="nil"/>
              <w:left w:val="nil"/>
              <w:bottom w:val="single" w:color="auto" w:sz="8" w:space="0"/>
              <w:right w:val="single" w:color="auto" w:sz="8" w:space="0"/>
            </w:tcBorders>
            <w:noWrap w:val="0"/>
            <w:vAlign w:val="center"/>
          </w:tcPr>
          <w:p>
            <w:pPr>
              <w:spacing w:line="360" w:lineRule="auto"/>
              <w:rPr>
                <w:rFonts w:ascii="宋体" w:hAnsi="宋体" w:cs="宋体"/>
                <w:szCs w:val="21"/>
              </w:rPr>
            </w:pPr>
            <w:r>
              <w:rPr>
                <w:rFonts w:hint="eastAsia" w:ascii="宋体" w:hAnsi="宋体" w:cs="宋体"/>
                <w:color w:val="000000"/>
                <w:szCs w:val="21"/>
              </w:rPr>
              <w:t>依据</w:t>
            </w:r>
            <w:r>
              <w:rPr>
                <w:rFonts w:ascii="宋体" w:hAnsi="宋体" w:cs="宋体"/>
                <w:color w:val="000000"/>
                <w:szCs w:val="21"/>
              </w:rPr>
              <w:t>产品</w:t>
            </w:r>
            <w:r>
              <w:rPr>
                <w:rFonts w:hint="eastAsia" w:ascii="宋体" w:hAnsi="宋体" w:cs="宋体"/>
                <w:color w:val="000000"/>
                <w:szCs w:val="21"/>
              </w:rPr>
              <w:t>中小版本发版</w:t>
            </w:r>
            <w:r>
              <w:rPr>
                <w:rFonts w:ascii="宋体" w:hAnsi="宋体" w:cs="宋体"/>
                <w:color w:val="000000"/>
                <w:szCs w:val="21"/>
              </w:rPr>
              <w:t>周期</w:t>
            </w:r>
          </w:p>
        </w:tc>
      </w:tr>
      <w:tr>
        <w:tblPrEx>
          <w:tblCellMar>
            <w:top w:w="0" w:type="dxa"/>
            <w:left w:w="108" w:type="dxa"/>
            <w:bottom w:w="0" w:type="dxa"/>
            <w:right w:w="108" w:type="dxa"/>
          </w:tblCellMar>
        </w:tblPrEx>
        <w:trPr>
          <w:trHeight w:val="633" w:hRule="atLeast"/>
        </w:trPr>
        <w:tc>
          <w:tcPr>
            <w:tcW w:w="1101"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r>
              <w:rPr>
                <w:rFonts w:hint="eastAsia" w:ascii="宋体" w:hAnsi="宋体" w:cs="宋体"/>
                <w:b/>
                <w:bCs/>
                <w:color w:val="000000"/>
                <w:szCs w:val="21"/>
              </w:rPr>
              <w:t>服务巡检</w:t>
            </w: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lang w:eastAsia="zh-TW"/>
              </w:rPr>
            </w:pPr>
            <w:r>
              <w:rPr>
                <w:rFonts w:hint="eastAsia" w:ascii="宋体" w:hAnsi="宋体" w:cs="宋体"/>
                <w:szCs w:val="21"/>
              </w:rPr>
              <w:t>系统巡检/电话巡检</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通过AGP云健康监控平台，为客户提供健康检查、实时监控、趋势分析、数据分析、问题预警、快照抓取等IT系统管理服务，并生成巡检报告</w:t>
            </w:r>
          </w:p>
        </w:tc>
        <w:tc>
          <w:tcPr>
            <w:tcW w:w="1442"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4次/年</w:t>
            </w:r>
          </w:p>
        </w:tc>
      </w:tr>
      <w:tr>
        <w:tblPrEx>
          <w:tblCellMar>
            <w:top w:w="0" w:type="dxa"/>
            <w:left w:w="108" w:type="dxa"/>
            <w:bottom w:w="0" w:type="dxa"/>
            <w:right w:w="108" w:type="dxa"/>
          </w:tblCellMar>
        </w:tblPrEx>
        <w:trPr>
          <w:trHeight w:val="633" w:hRule="atLeast"/>
        </w:trPr>
        <w:tc>
          <w:tcPr>
            <w:tcW w:w="1101"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b/>
                <w:bCs/>
                <w:szCs w:val="21"/>
              </w:rPr>
            </w:pPr>
            <w:r>
              <w:rPr>
                <w:rFonts w:hint="eastAsia" w:ascii="宋体" w:hAnsi="宋体" w:cs="宋体"/>
                <w:b/>
                <w:bCs/>
                <w:szCs w:val="21"/>
              </w:rPr>
              <w:t>UI标准支持服务</w:t>
            </w:r>
          </w:p>
        </w:tc>
        <w:tc>
          <w:tcPr>
            <w:tcW w:w="2126" w:type="dxa"/>
            <w:tcBorders>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szCs w:val="21"/>
              </w:rPr>
            </w:pPr>
            <w:r>
              <w:rPr>
                <w:rFonts w:hint="eastAsia" w:ascii="宋体" w:hAnsi="宋体" w:cs="宋体"/>
                <w:szCs w:val="21"/>
              </w:rPr>
              <w:t>节日主题皮肤包服务</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szCs w:val="21"/>
              </w:rPr>
            </w:pPr>
            <w:r>
              <w:rPr>
                <w:rFonts w:hint="eastAsia" w:ascii="宋体" w:hAnsi="宋体" w:cs="宋体"/>
                <w:color w:val="000000"/>
                <w:szCs w:val="21"/>
              </w:rPr>
              <w:t>提供节庆日系统主页及登陆库主题资源包</w:t>
            </w:r>
          </w:p>
        </w:tc>
        <w:tc>
          <w:tcPr>
            <w:tcW w:w="1442" w:type="dxa"/>
            <w:tcBorders>
              <w:top w:val="nil"/>
              <w:left w:val="nil"/>
              <w:bottom w:val="single" w:color="auto" w:sz="8" w:space="0"/>
              <w:right w:val="single" w:color="auto" w:sz="8" w:space="0"/>
            </w:tcBorders>
            <w:noWrap w:val="0"/>
            <w:vAlign w:val="center"/>
          </w:tcPr>
          <w:p>
            <w:pPr>
              <w:spacing w:line="360" w:lineRule="auto"/>
              <w:rPr>
                <w:rFonts w:ascii="宋体" w:hAnsi="宋体" w:cs="宋体"/>
                <w:szCs w:val="21"/>
              </w:rPr>
            </w:pPr>
            <w:r>
              <w:rPr>
                <w:rFonts w:hint="eastAsia" w:ascii="宋体" w:hAnsi="宋体" w:cs="宋体"/>
                <w:szCs w:val="21"/>
              </w:rPr>
              <w:t>依据</w:t>
            </w:r>
            <w:r>
              <w:rPr>
                <w:rFonts w:ascii="宋体" w:hAnsi="宋体" w:cs="宋体"/>
                <w:szCs w:val="21"/>
              </w:rPr>
              <w:t>国家法定节假日提供</w:t>
            </w:r>
          </w:p>
        </w:tc>
      </w:tr>
      <w:tr>
        <w:tblPrEx>
          <w:tblCellMar>
            <w:top w:w="0" w:type="dxa"/>
            <w:left w:w="108" w:type="dxa"/>
            <w:bottom w:w="0" w:type="dxa"/>
            <w:right w:w="108" w:type="dxa"/>
          </w:tblCellMar>
        </w:tblPrEx>
        <w:trPr>
          <w:trHeight w:val="267" w:hRule="atLeast"/>
        </w:trPr>
        <w:tc>
          <w:tcPr>
            <w:tcW w:w="1101" w:type="dxa"/>
            <w:vMerge w:val="restart"/>
            <w:tcBorders>
              <w:top w:val="single" w:color="auto" w:sz="8" w:space="0"/>
              <w:left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r>
              <w:rPr>
                <w:rFonts w:hint="eastAsia" w:ascii="宋体" w:hAnsi="宋体" w:cs="宋体"/>
                <w:b/>
                <w:bCs/>
                <w:color w:val="000000"/>
                <w:szCs w:val="21"/>
              </w:rPr>
              <w:t>知识共享</w:t>
            </w: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知识库、FAQ</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提供系统自助服务：FAQ库，知识库，案例库等，帮助客户自行查找解决方案形成系统自助服务模式</w:t>
            </w:r>
          </w:p>
        </w:tc>
        <w:tc>
          <w:tcPr>
            <w:tcW w:w="1442" w:type="dxa"/>
            <w:vMerge w:val="restart"/>
            <w:tcBorders>
              <w:top w:val="nil"/>
              <w:left w:val="nil"/>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不限</w:t>
            </w:r>
            <w:r>
              <w:rPr>
                <w:rFonts w:ascii="宋体" w:hAnsi="宋体" w:cs="宋体"/>
                <w:color w:val="000000"/>
                <w:szCs w:val="21"/>
              </w:rPr>
              <w:t>次数</w:t>
            </w:r>
          </w:p>
        </w:tc>
      </w:tr>
      <w:tr>
        <w:tblPrEx>
          <w:tblCellMar>
            <w:top w:w="0" w:type="dxa"/>
            <w:left w:w="108" w:type="dxa"/>
            <w:bottom w:w="0" w:type="dxa"/>
            <w:right w:w="108" w:type="dxa"/>
          </w:tblCellMar>
        </w:tblPrEx>
        <w:trPr>
          <w:trHeight w:val="456" w:hRule="atLeast"/>
        </w:trPr>
        <w:tc>
          <w:tcPr>
            <w:tcW w:w="1101" w:type="dxa"/>
            <w:vMerge w:val="continue"/>
            <w:tcBorders>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b/>
                <w:bCs/>
                <w:color w:val="000000"/>
                <w:szCs w:val="21"/>
              </w:rPr>
            </w:pPr>
          </w:p>
        </w:tc>
        <w:tc>
          <w:tcPr>
            <w:tcW w:w="2126" w:type="dxa"/>
            <w:tcBorders>
              <w:top w:val="single" w:color="auto" w:sz="8" w:space="0"/>
              <w:left w:val="single" w:color="auto" w:sz="8" w:space="0"/>
              <w:bottom w:val="single" w:color="auto" w:sz="8" w:space="0"/>
              <w:right w:val="single" w:color="auto"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在线培训</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通过在线课堂、在线直播等方式帮助客户提升产品应用能力和系统维护水平</w:t>
            </w:r>
          </w:p>
        </w:tc>
        <w:tc>
          <w:tcPr>
            <w:tcW w:w="1442" w:type="dxa"/>
            <w:vMerge w:val="continue"/>
            <w:tcBorders>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p>
        </w:tc>
      </w:tr>
      <w:tr>
        <w:tblPrEx>
          <w:tblCellMar>
            <w:top w:w="0" w:type="dxa"/>
            <w:left w:w="108" w:type="dxa"/>
            <w:bottom w:w="0" w:type="dxa"/>
            <w:right w:w="108" w:type="dxa"/>
          </w:tblCellMar>
        </w:tblPrEx>
        <w:trPr>
          <w:trHeight w:val="692" w:hRule="atLeast"/>
        </w:trPr>
        <w:tc>
          <w:tcPr>
            <w:tcW w:w="1101" w:type="dxa"/>
            <w:tcBorders>
              <w:top w:val="single" w:color="auto" w:sz="8" w:space="0"/>
              <w:left w:val="single" w:color="auto" w:sz="8" w:space="0"/>
              <w:bottom w:val="single" w:color="auto" w:sz="8" w:space="0"/>
              <w:right w:val="single" w:color="auto" w:sz="8" w:space="0"/>
            </w:tcBorders>
            <w:shd w:val="clear" w:color="auto" w:fill="DBDBDB"/>
            <w:noWrap/>
            <w:vAlign w:val="center"/>
          </w:tcPr>
          <w:p>
            <w:pPr>
              <w:spacing w:line="360" w:lineRule="auto"/>
              <w:rPr>
                <w:rFonts w:ascii="宋体" w:hAnsi="宋体" w:cs="宋体"/>
                <w:b/>
                <w:bCs/>
                <w:color w:val="000000"/>
                <w:szCs w:val="21"/>
              </w:rPr>
            </w:pPr>
            <w:r>
              <w:rPr>
                <w:rFonts w:hint="eastAsia" w:ascii="宋体" w:hAnsi="宋体" w:cs="宋体"/>
                <w:b/>
                <w:bCs/>
                <w:color w:val="000000"/>
                <w:szCs w:val="21"/>
              </w:rPr>
              <w:t>老客户</w:t>
            </w:r>
            <w:r>
              <w:rPr>
                <w:rFonts w:ascii="宋体" w:hAnsi="宋体" w:cs="宋体"/>
                <w:b/>
                <w:bCs/>
                <w:color w:val="000000"/>
                <w:szCs w:val="21"/>
              </w:rPr>
              <w:t>技术沙龙</w:t>
            </w:r>
          </w:p>
        </w:tc>
        <w:tc>
          <w:tcPr>
            <w:tcW w:w="2126" w:type="dxa"/>
            <w:tcBorders>
              <w:top w:val="single" w:color="auto" w:sz="8" w:space="0"/>
              <w:left w:val="nil"/>
              <w:bottom w:val="single" w:color="auto" w:sz="8" w:space="0"/>
              <w:right w:val="single" w:color="000000" w:sz="8" w:space="0"/>
            </w:tcBorders>
            <w:shd w:val="clear" w:color="auto" w:fill="DBDBDB"/>
            <w:noWrap w:val="0"/>
            <w:vAlign w:val="center"/>
          </w:tcPr>
          <w:p>
            <w:pPr>
              <w:spacing w:line="360" w:lineRule="auto"/>
              <w:rPr>
                <w:rFonts w:ascii="宋体" w:hAnsi="宋体" w:cs="宋体"/>
                <w:color w:val="000000"/>
                <w:szCs w:val="21"/>
              </w:rPr>
            </w:pPr>
            <w:r>
              <w:rPr>
                <w:rFonts w:hint="eastAsia" w:ascii="宋体" w:hAnsi="宋体" w:cs="宋体"/>
                <w:color w:val="000000"/>
                <w:szCs w:val="21"/>
              </w:rPr>
              <w:t>老客户技术</w:t>
            </w:r>
            <w:r>
              <w:rPr>
                <w:rFonts w:ascii="宋体" w:hAnsi="宋体" w:cs="宋体"/>
                <w:color w:val="000000"/>
                <w:szCs w:val="21"/>
              </w:rPr>
              <w:t>沙龙</w:t>
            </w:r>
          </w:p>
        </w:tc>
        <w:tc>
          <w:tcPr>
            <w:tcW w:w="4370"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每年分区域提供老客户技术沙龙交流，传递蓝凌产品新功能及解决方案，常见问题处理，客户案例等内容</w:t>
            </w:r>
          </w:p>
        </w:tc>
        <w:tc>
          <w:tcPr>
            <w:tcW w:w="1442" w:type="dxa"/>
            <w:tcBorders>
              <w:top w:val="nil"/>
              <w:left w:val="nil"/>
              <w:bottom w:val="single" w:color="auto" w:sz="8" w:space="0"/>
              <w:right w:val="single" w:color="auto" w:sz="8" w:space="0"/>
            </w:tcBorders>
            <w:noWrap w:val="0"/>
            <w:vAlign w:val="center"/>
          </w:tcPr>
          <w:p>
            <w:pPr>
              <w:spacing w:line="360" w:lineRule="auto"/>
              <w:rPr>
                <w:rFonts w:ascii="宋体" w:hAnsi="宋体" w:cs="宋体"/>
                <w:color w:val="000000"/>
                <w:szCs w:val="21"/>
              </w:rPr>
            </w:pPr>
            <w:r>
              <w:rPr>
                <w:rFonts w:hint="eastAsia" w:ascii="宋体" w:hAnsi="宋体" w:cs="宋体"/>
                <w:color w:val="000000"/>
                <w:szCs w:val="21"/>
              </w:rPr>
              <w:t>1</w:t>
            </w:r>
            <w:r>
              <w:rPr>
                <w:rFonts w:ascii="宋体" w:hAnsi="宋体" w:cs="宋体"/>
                <w:color w:val="000000"/>
                <w:szCs w:val="21"/>
              </w:rPr>
              <w:t>~2</w:t>
            </w:r>
            <w:r>
              <w:rPr>
                <w:rFonts w:hint="eastAsia" w:ascii="宋体" w:hAnsi="宋体" w:cs="宋体"/>
                <w:color w:val="000000"/>
                <w:szCs w:val="21"/>
              </w:rPr>
              <w:t>次</w:t>
            </w:r>
            <w:r>
              <w:rPr>
                <w:rFonts w:ascii="宋体" w:hAnsi="宋体" w:cs="宋体"/>
                <w:color w:val="000000"/>
                <w:szCs w:val="21"/>
              </w:rPr>
              <w:t>/年</w:t>
            </w:r>
          </w:p>
        </w:tc>
      </w:tr>
    </w:tbl>
    <w:p>
      <w:pPr>
        <w:spacing w:line="600" w:lineRule="exact"/>
        <w:jc w:val="left"/>
        <w:outlineLvl w:val="0"/>
        <w:rPr>
          <w:rFonts w:ascii="宋体" w:hAnsi="宋体" w:eastAsia="宋体"/>
          <w:sz w:val="22"/>
          <w:szCs w:val="22"/>
        </w:rPr>
      </w:pPr>
      <w:r>
        <w:rPr>
          <w:rFonts w:hint="eastAsia" w:ascii="宋体" w:hAnsi="宋体" w:eastAsia="宋体"/>
          <w:sz w:val="22"/>
          <w:szCs w:val="22"/>
          <w:lang w:val="en-US" w:eastAsia="zh-CN"/>
        </w:rPr>
        <w:t>二</w:t>
      </w:r>
      <w:r>
        <w:rPr>
          <w:rFonts w:hint="eastAsia" w:ascii="宋体" w:hAnsi="宋体" w:eastAsia="宋体"/>
          <w:sz w:val="22"/>
          <w:szCs w:val="22"/>
        </w:rPr>
        <w:t>、服务人员要求</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）售后服务专员需熟悉甲方协同办公平台的系统架构和业务部署情况；</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（2）系统安装服务人员需实施过</w:t>
      </w:r>
      <w:r>
        <w:rPr>
          <w:rFonts w:ascii="宋体" w:hAnsi="宋体" w:eastAsia="宋体" w:cs="宋体"/>
          <w:color w:val="000000"/>
          <w:kern w:val="0"/>
          <w:sz w:val="22"/>
          <w:szCs w:val="22"/>
        </w:rPr>
        <w:t>5</w:t>
      </w:r>
      <w:r>
        <w:rPr>
          <w:rFonts w:hint="eastAsia" w:ascii="宋体" w:hAnsi="宋体" w:eastAsia="宋体" w:cs="宋体"/>
          <w:color w:val="000000"/>
          <w:kern w:val="0"/>
          <w:sz w:val="22"/>
          <w:szCs w:val="22"/>
        </w:rPr>
        <w:t>个以上相关或者类似项目，具有组织管理实施的能力；</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（3）现场服务人员需参与实施过甲方协同办公平台项目建设。</w:t>
      </w:r>
    </w:p>
    <w:p>
      <w:pPr>
        <w:spacing w:line="600" w:lineRule="exact"/>
        <w:jc w:val="left"/>
        <w:outlineLvl w:val="0"/>
        <w:rPr>
          <w:rFonts w:ascii="宋体" w:hAnsi="宋体" w:eastAsia="宋体"/>
          <w:sz w:val="22"/>
          <w:szCs w:val="22"/>
        </w:rPr>
      </w:pPr>
      <w:r>
        <w:rPr>
          <w:rFonts w:hint="eastAsia" w:ascii="宋体" w:hAnsi="宋体" w:eastAsia="宋体"/>
          <w:sz w:val="22"/>
          <w:szCs w:val="22"/>
          <w:lang w:val="en-US" w:eastAsia="zh-CN"/>
        </w:rPr>
        <w:t>三</w:t>
      </w:r>
      <w:r>
        <w:rPr>
          <w:rFonts w:hint="eastAsia" w:ascii="宋体" w:hAnsi="宋体" w:eastAsia="宋体"/>
          <w:sz w:val="22"/>
          <w:szCs w:val="22"/>
        </w:rPr>
        <w:t>、服务保障和承诺要求</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1</w:t>
      </w:r>
      <w:r>
        <w:rPr>
          <w:rFonts w:hint="eastAsia" w:ascii="宋体" w:hAnsi="宋体" w:eastAsia="宋体" w:cs="宋体"/>
          <w:color w:val="000000"/>
          <w:kern w:val="0"/>
          <w:sz w:val="22"/>
          <w:szCs w:val="22"/>
        </w:rPr>
        <w:t>）乙方承诺依据服务内容保证能及时有效响应各项服务；</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（2）乙方承诺能本着为用户着想的态度，在标准服务产品中标准支持时间之外碰到紧急问题时，由西安分公司立即组织故障分析并提供远程服务，帮助用户渡过难关；</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（3）乙方承诺在标准支持时间之外且在甲方工作时间之内由西安分公司提供运维服务，并提供具体运维人员电话，邮件等联系方式，运维人员变更及时通知甲方相关人员；</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w:t>
      </w:r>
      <w:r>
        <w:rPr>
          <w:rFonts w:ascii="宋体" w:hAnsi="宋体" w:eastAsia="宋体" w:cs="宋体"/>
          <w:color w:val="000000"/>
          <w:kern w:val="0"/>
          <w:sz w:val="22"/>
          <w:szCs w:val="22"/>
        </w:rPr>
        <w:t>4</w:t>
      </w:r>
      <w:r>
        <w:rPr>
          <w:rFonts w:hint="eastAsia" w:ascii="宋体" w:hAnsi="宋体" w:eastAsia="宋体" w:cs="宋体"/>
          <w:color w:val="000000"/>
          <w:kern w:val="0"/>
          <w:sz w:val="22"/>
          <w:szCs w:val="22"/>
        </w:rPr>
        <w:t>） 乙方承诺在服务期间真正做好知识转移，为甲方培养出协同办公平台的不同层次的维护力量；</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（5）乙方承诺在服务过程中通过现场咨询、远程访问或电话响应服务问题，根据问题性质的严重性及对用户造成的影响程度进行应答。服务问题支持与响应标准详见下表</w:t>
      </w:r>
      <w:r>
        <w:rPr>
          <w:rFonts w:ascii="宋体" w:hAnsi="宋体" w:eastAsia="宋体" w:cs="宋体"/>
          <w:color w:val="000000"/>
          <w:kern w:val="0"/>
          <w:sz w:val="22"/>
          <w:szCs w:val="22"/>
        </w:rPr>
        <w:t>：</w:t>
      </w:r>
    </w:p>
    <w:tbl>
      <w:tblPr>
        <w:tblStyle w:val="3"/>
        <w:tblW w:w="9400" w:type="dxa"/>
        <w:jc w:val="center"/>
        <w:tblLayout w:type="autofit"/>
        <w:tblCellMar>
          <w:top w:w="0" w:type="dxa"/>
          <w:left w:w="108" w:type="dxa"/>
          <w:bottom w:w="0" w:type="dxa"/>
          <w:right w:w="108" w:type="dxa"/>
        </w:tblCellMar>
      </w:tblPr>
      <w:tblGrid>
        <w:gridCol w:w="1020"/>
        <w:gridCol w:w="1943"/>
        <w:gridCol w:w="5003"/>
        <w:gridCol w:w="1434"/>
      </w:tblGrid>
      <w:tr>
        <w:tblPrEx>
          <w:tblCellMar>
            <w:top w:w="0" w:type="dxa"/>
            <w:left w:w="108" w:type="dxa"/>
            <w:bottom w:w="0" w:type="dxa"/>
            <w:right w:w="108" w:type="dxa"/>
          </w:tblCellMar>
        </w:tblPrEx>
        <w:trPr>
          <w:trHeight w:val="925" w:hRule="atLeast"/>
          <w:jc w:val="center"/>
        </w:trPr>
        <w:tc>
          <w:tcPr>
            <w:tcW w:w="1020"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响应级别</w:t>
            </w:r>
          </w:p>
        </w:tc>
        <w:tc>
          <w:tcPr>
            <w:tcW w:w="1943"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问题现象</w:t>
            </w:r>
          </w:p>
        </w:tc>
        <w:tc>
          <w:tcPr>
            <w:tcW w:w="5003" w:type="dxa"/>
            <w:tcBorders>
              <w:top w:val="single" w:color="auto" w:sz="4" w:space="0"/>
              <w:left w:val="single" w:color="auto" w:sz="4" w:space="0"/>
              <w:bottom w:val="single" w:color="auto" w:sz="4" w:space="0"/>
              <w:right w:val="single" w:color="auto" w:sz="4" w:space="0"/>
            </w:tcBorders>
            <w:shd w:val="clear" w:color="auto" w:fill="FFFF99"/>
            <w:noWrap w:val="0"/>
            <w:vAlign w:val="center"/>
          </w:tcPr>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支持响应服务</w:t>
            </w:r>
          </w:p>
        </w:tc>
        <w:tc>
          <w:tcPr>
            <w:tcW w:w="1434" w:type="dxa"/>
            <w:tcBorders>
              <w:top w:val="single" w:color="auto" w:sz="4" w:space="0"/>
              <w:left w:val="single" w:color="auto" w:sz="4" w:space="0"/>
              <w:bottom w:val="single" w:color="auto" w:sz="4" w:space="0"/>
              <w:right w:val="single" w:color="auto" w:sz="4" w:space="0"/>
            </w:tcBorders>
            <w:shd w:val="clear" w:color="auto" w:fill="FFFF99"/>
            <w:noWrap w:val="0"/>
            <w:vAlign w:val="top"/>
          </w:tcPr>
          <w:p>
            <w:pPr>
              <w:widowControl/>
              <w:jc w:val="center"/>
              <w:rPr>
                <w:rFonts w:ascii="宋体" w:hAnsi="宋体" w:cs="宋体"/>
                <w:b/>
                <w:bCs/>
                <w:color w:val="000000"/>
                <w:kern w:val="0"/>
                <w:sz w:val="20"/>
                <w:szCs w:val="20"/>
              </w:rPr>
            </w:pPr>
          </w:p>
          <w:p>
            <w:pPr>
              <w:widowControl/>
              <w:jc w:val="center"/>
              <w:rPr>
                <w:rFonts w:ascii="宋体" w:hAnsi="宋体" w:cs="宋体"/>
                <w:b/>
                <w:bCs/>
                <w:color w:val="000000"/>
                <w:kern w:val="0"/>
                <w:sz w:val="20"/>
                <w:szCs w:val="20"/>
              </w:rPr>
            </w:pPr>
            <w:r>
              <w:rPr>
                <w:rFonts w:hint="eastAsia" w:ascii="宋体" w:hAnsi="宋体" w:cs="宋体"/>
                <w:b/>
                <w:bCs/>
                <w:color w:val="000000"/>
                <w:kern w:val="0"/>
                <w:sz w:val="20"/>
                <w:szCs w:val="20"/>
              </w:rPr>
              <w:t>服务</w:t>
            </w:r>
            <w:r>
              <w:rPr>
                <w:rFonts w:ascii="宋体" w:hAnsi="宋体" w:cs="宋体"/>
                <w:b/>
                <w:bCs/>
                <w:color w:val="000000"/>
                <w:kern w:val="0"/>
                <w:sz w:val="20"/>
                <w:szCs w:val="20"/>
              </w:rPr>
              <w:t>响应</w:t>
            </w:r>
            <w:r>
              <w:rPr>
                <w:rFonts w:hint="eastAsia" w:ascii="宋体" w:hAnsi="宋体" w:cs="宋体"/>
                <w:b/>
                <w:bCs/>
                <w:color w:val="000000"/>
                <w:kern w:val="0"/>
                <w:sz w:val="20"/>
                <w:szCs w:val="20"/>
              </w:rPr>
              <w:t>时间</w:t>
            </w:r>
            <w:r>
              <w:rPr>
                <w:rFonts w:ascii="宋体" w:hAnsi="宋体" w:cs="宋体"/>
                <w:b/>
                <w:bCs/>
                <w:color w:val="000000"/>
                <w:kern w:val="0"/>
                <w:sz w:val="20"/>
                <w:szCs w:val="20"/>
              </w:rPr>
              <w:t>（</w:t>
            </w:r>
            <w:r>
              <w:rPr>
                <w:rFonts w:hint="eastAsia" w:ascii="宋体" w:hAnsi="宋体" w:cs="宋体"/>
                <w:b/>
                <w:bCs/>
                <w:color w:val="000000"/>
                <w:kern w:val="0"/>
                <w:sz w:val="20"/>
                <w:szCs w:val="20"/>
              </w:rPr>
              <w:t>工作</w:t>
            </w:r>
            <w:r>
              <w:rPr>
                <w:rFonts w:ascii="宋体" w:hAnsi="宋体" w:cs="宋体"/>
                <w:b/>
                <w:bCs/>
                <w:color w:val="000000"/>
                <w:kern w:val="0"/>
                <w:sz w:val="20"/>
                <w:szCs w:val="20"/>
              </w:rPr>
              <w:t>小时）</w:t>
            </w:r>
          </w:p>
        </w:tc>
      </w:tr>
      <w:tr>
        <w:tblPrEx>
          <w:tblCellMar>
            <w:top w:w="0" w:type="dxa"/>
            <w:left w:w="108" w:type="dxa"/>
            <w:bottom w:w="0" w:type="dxa"/>
            <w:right w:w="108" w:type="dxa"/>
          </w:tblCellMar>
        </w:tblPrEx>
        <w:trPr>
          <w:trHeight w:val="1043" w:hRule="atLeast"/>
          <w:jc w:val="center"/>
        </w:trPr>
        <w:tc>
          <w:tcPr>
            <w:tcW w:w="102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一级</w:t>
            </w:r>
          </w:p>
        </w:tc>
        <w:tc>
          <w:tcPr>
            <w:tcW w:w="19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系统瘫痪，对最终用户的业务运作有重大影响，系统已不能正常工作。</w:t>
            </w:r>
          </w:p>
        </w:tc>
        <w:tc>
          <w:tcPr>
            <w:tcW w:w="500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在接到用户报告（书面或详细的电话报告）后，立即召开技术协调会分析故障原因，如确认远程不能解决故障，派技术工程师以最快的速度，48小时以内赶到用户现场解决故障。</w:t>
            </w:r>
          </w:p>
        </w:tc>
        <w:tc>
          <w:tcPr>
            <w:tcW w:w="1434"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rPr>
            </w:pPr>
          </w:p>
          <w:p>
            <w:pPr>
              <w:widowControl/>
              <w:rPr>
                <w:rFonts w:ascii="宋体" w:hAnsi="宋体" w:cs="宋体"/>
                <w:color w:val="000000"/>
                <w:kern w:val="0"/>
                <w:sz w:val="20"/>
                <w:szCs w:val="20"/>
              </w:rPr>
            </w:pPr>
            <w:r>
              <w:rPr>
                <w:rFonts w:hint="eastAsia" w:ascii="宋体" w:hAnsi="宋体" w:cs="宋体"/>
                <w:color w:val="000000"/>
                <w:kern w:val="0"/>
                <w:sz w:val="20"/>
                <w:szCs w:val="20"/>
              </w:rPr>
              <w:t>1小时以内</w:t>
            </w:r>
          </w:p>
        </w:tc>
      </w:tr>
      <w:tr>
        <w:tblPrEx>
          <w:tblCellMar>
            <w:top w:w="0" w:type="dxa"/>
            <w:left w:w="108" w:type="dxa"/>
            <w:bottom w:w="0" w:type="dxa"/>
            <w:right w:w="108" w:type="dxa"/>
          </w:tblCellMar>
        </w:tblPrEx>
        <w:trPr>
          <w:trHeight w:val="1696" w:hRule="atLeast"/>
          <w:jc w:val="center"/>
        </w:trPr>
        <w:tc>
          <w:tcPr>
            <w:tcW w:w="102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二级</w:t>
            </w:r>
          </w:p>
        </w:tc>
        <w:tc>
          <w:tcPr>
            <w:tcW w:w="19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系统核心功能受损，严重影响用户使用系统，使最终用户的业务运作受到重要影响。</w:t>
            </w:r>
          </w:p>
        </w:tc>
        <w:tc>
          <w:tcPr>
            <w:tcW w:w="500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在接到用户报告（书面或详细的电话报告）后，立即召开技术协调会分析故障原因，采取以下三种措施解决故障，乙方接到电话后立即指派技术工程师提供技术服务。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1、 通过电话指导用户自己解决故障。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2、 技术小组远程解决故障。</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    3、 技术工程师到用户现场解决故障。</w:t>
            </w:r>
          </w:p>
        </w:tc>
        <w:tc>
          <w:tcPr>
            <w:tcW w:w="1434"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rPr>
            </w:pPr>
          </w:p>
          <w:p>
            <w:pPr>
              <w:widowControl/>
              <w:rPr>
                <w:rFonts w:ascii="宋体" w:hAnsi="宋体" w:cs="宋体"/>
                <w:color w:val="000000"/>
                <w:kern w:val="0"/>
                <w:sz w:val="20"/>
                <w:szCs w:val="20"/>
              </w:rPr>
            </w:pPr>
          </w:p>
          <w:p>
            <w:pPr>
              <w:widowControl/>
              <w:rPr>
                <w:rFonts w:ascii="宋体" w:hAnsi="宋体" w:cs="宋体"/>
                <w:color w:val="000000"/>
                <w:kern w:val="0"/>
                <w:sz w:val="20"/>
                <w:szCs w:val="20"/>
              </w:rPr>
            </w:pPr>
          </w:p>
          <w:p>
            <w:pPr>
              <w:widowControl/>
              <w:rPr>
                <w:rFonts w:ascii="宋体" w:hAnsi="宋体" w:cs="宋体"/>
                <w:color w:val="000000"/>
                <w:kern w:val="0"/>
                <w:sz w:val="20"/>
                <w:szCs w:val="20"/>
              </w:rPr>
            </w:pPr>
            <w:r>
              <w:rPr>
                <w:rFonts w:hint="eastAsia" w:ascii="宋体" w:hAnsi="宋体" w:cs="宋体"/>
                <w:color w:val="000000"/>
                <w:kern w:val="0"/>
                <w:sz w:val="20"/>
                <w:szCs w:val="20"/>
              </w:rPr>
              <w:t>8小时以内</w:t>
            </w:r>
          </w:p>
        </w:tc>
      </w:tr>
      <w:tr>
        <w:tblPrEx>
          <w:tblCellMar>
            <w:top w:w="0" w:type="dxa"/>
            <w:left w:w="108" w:type="dxa"/>
            <w:bottom w:w="0" w:type="dxa"/>
            <w:right w:w="108" w:type="dxa"/>
          </w:tblCellMar>
        </w:tblPrEx>
        <w:trPr>
          <w:trHeight w:val="960" w:hRule="atLeast"/>
          <w:jc w:val="center"/>
        </w:trPr>
        <w:tc>
          <w:tcPr>
            <w:tcW w:w="102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三级</w:t>
            </w:r>
          </w:p>
        </w:tc>
        <w:tc>
          <w:tcPr>
            <w:tcW w:w="19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产品的部分操作功能受损，但最终用户在合理使用下大部分功能仍可正常工作。</w:t>
            </w:r>
          </w:p>
        </w:tc>
        <w:tc>
          <w:tcPr>
            <w:tcW w:w="500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通过电话指导用户解决。用户解决不了的，则需提交书面报告，乙方将派技术工程师到现场解决。</w:t>
            </w:r>
          </w:p>
        </w:tc>
        <w:tc>
          <w:tcPr>
            <w:tcW w:w="1434"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rPr>
            </w:pPr>
          </w:p>
          <w:p>
            <w:pPr>
              <w:widowControl/>
              <w:rPr>
                <w:rFonts w:ascii="宋体" w:hAnsi="宋体" w:cs="宋体"/>
                <w:color w:val="000000"/>
                <w:kern w:val="0"/>
                <w:sz w:val="20"/>
                <w:szCs w:val="20"/>
              </w:rPr>
            </w:pPr>
          </w:p>
          <w:p>
            <w:pPr>
              <w:widowControl/>
              <w:rPr>
                <w:rFonts w:ascii="宋体" w:hAnsi="宋体" w:cs="宋体"/>
                <w:color w:val="000000"/>
                <w:kern w:val="0"/>
                <w:sz w:val="20"/>
                <w:szCs w:val="20"/>
              </w:rPr>
            </w:pPr>
            <w:r>
              <w:rPr>
                <w:rFonts w:hint="eastAsia" w:ascii="宋体" w:hAnsi="宋体" w:cs="宋体"/>
                <w:color w:val="000000"/>
                <w:kern w:val="0"/>
                <w:sz w:val="20"/>
                <w:szCs w:val="20"/>
              </w:rPr>
              <w:t>1～12小时</w:t>
            </w:r>
          </w:p>
        </w:tc>
      </w:tr>
      <w:tr>
        <w:tblPrEx>
          <w:tblCellMar>
            <w:top w:w="0" w:type="dxa"/>
            <w:left w:w="108" w:type="dxa"/>
            <w:bottom w:w="0" w:type="dxa"/>
            <w:right w:w="108" w:type="dxa"/>
          </w:tblCellMar>
        </w:tblPrEx>
        <w:trPr>
          <w:trHeight w:val="1594" w:hRule="atLeast"/>
          <w:jc w:val="center"/>
        </w:trPr>
        <w:tc>
          <w:tcPr>
            <w:tcW w:w="102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四级</w:t>
            </w:r>
          </w:p>
        </w:tc>
        <w:tc>
          <w:tcPr>
            <w:tcW w:w="19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在产品的功能、安装或配置方面需要信息或支援，指对产品使用不构成影响的技术服务请求/咨询等。</w:t>
            </w:r>
          </w:p>
        </w:tc>
        <w:tc>
          <w:tcPr>
            <w:tcW w:w="500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通过电话指导用户解决。</w:t>
            </w:r>
          </w:p>
        </w:tc>
        <w:tc>
          <w:tcPr>
            <w:tcW w:w="1434"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rPr>
            </w:pPr>
          </w:p>
          <w:p>
            <w:pPr>
              <w:widowControl/>
              <w:rPr>
                <w:rFonts w:ascii="宋体" w:hAnsi="宋体" w:cs="宋体"/>
                <w:color w:val="000000"/>
                <w:kern w:val="0"/>
                <w:sz w:val="20"/>
                <w:szCs w:val="20"/>
              </w:rPr>
            </w:pPr>
          </w:p>
          <w:p>
            <w:pPr>
              <w:widowControl/>
              <w:rPr>
                <w:rFonts w:ascii="宋体" w:hAnsi="宋体" w:cs="宋体"/>
                <w:color w:val="000000"/>
                <w:kern w:val="0"/>
                <w:sz w:val="20"/>
                <w:szCs w:val="20"/>
              </w:rPr>
            </w:pPr>
            <w:r>
              <w:rPr>
                <w:rFonts w:hint="eastAsia" w:ascii="宋体" w:hAnsi="宋体" w:cs="宋体"/>
                <w:color w:val="000000"/>
                <w:kern w:val="0"/>
                <w:sz w:val="20"/>
                <w:szCs w:val="20"/>
              </w:rPr>
              <w:t>1～16小时</w:t>
            </w:r>
          </w:p>
        </w:tc>
      </w:tr>
      <w:tr>
        <w:tblPrEx>
          <w:tblCellMar>
            <w:top w:w="0" w:type="dxa"/>
            <w:left w:w="108" w:type="dxa"/>
            <w:bottom w:w="0" w:type="dxa"/>
            <w:right w:w="108" w:type="dxa"/>
          </w:tblCellMar>
        </w:tblPrEx>
        <w:trPr>
          <w:trHeight w:val="870" w:hRule="atLeast"/>
          <w:jc w:val="center"/>
        </w:trPr>
        <w:tc>
          <w:tcPr>
            <w:tcW w:w="1020" w:type="dxa"/>
            <w:tcBorders>
              <w:top w:val="nil"/>
              <w:left w:val="single" w:color="auto" w:sz="4" w:space="0"/>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五级</w:t>
            </w:r>
          </w:p>
        </w:tc>
        <w:tc>
          <w:tcPr>
            <w:tcW w:w="194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非故障情况下，功能建议或功能变更。</w:t>
            </w:r>
          </w:p>
        </w:tc>
        <w:tc>
          <w:tcPr>
            <w:tcW w:w="5003" w:type="dxa"/>
            <w:tcBorders>
              <w:top w:val="nil"/>
              <w:left w:val="nil"/>
              <w:bottom w:val="single" w:color="auto" w:sz="4" w:space="0"/>
              <w:right w:val="single" w:color="auto" w:sz="4" w:space="0"/>
            </w:tcBorders>
            <w:noWrap w:val="0"/>
            <w:vAlign w:val="center"/>
          </w:tcPr>
          <w:p>
            <w:pPr>
              <w:widowControl/>
              <w:rPr>
                <w:rFonts w:ascii="宋体" w:hAnsi="宋体" w:cs="宋体"/>
                <w:color w:val="000000"/>
                <w:kern w:val="0"/>
                <w:sz w:val="20"/>
                <w:szCs w:val="20"/>
              </w:rPr>
            </w:pPr>
            <w:r>
              <w:rPr>
                <w:rFonts w:hint="eastAsia" w:ascii="宋体" w:hAnsi="宋体" w:cs="宋体"/>
                <w:color w:val="000000"/>
                <w:kern w:val="0"/>
                <w:sz w:val="20"/>
                <w:szCs w:val="20"/>
              </w:rPr>
              <w:t>功能建议：由乙方技术工程师收集反馈给产品中心进行评审，是否实现乙方不给予承诺；功能变更：通过付费定制方式实现。</w:t>
            </w:r>
          </w:p>
        </w:tc>
        <w:tc>
          <w:tcPr>
            <w:tcW w:w="1434" w:type="dxa"/>
            <w:tcBorders>
              <w:top w:val="nil"/>
              <w:left w:val="nil"/>
              <w:bottom w:val="single" w:color="auto" w:sz="4" w:space="0"/>
              <w:right w:val="single" w:color="auto" w:sz="4" w:space="0"/>
            </w:tcBorders>
            <w:noWrap w:val="0"/>
            <w:vAlign w:val="top"/>
          </w:tcPr>
          <w:p>
            <w:pPr>
              <w:widowControl/>
              <w:rPr>
                <w:rFonts w:ascii="宋体" w:hAnsi="宋体" w:cs="宋体"/>
                <w:color w:val="000000"/>
                <w:kern w:val="0"/>
                <w:sz w:val="20"/>
                <w:szCs w:val="20"/>
              </w:rPr>
            </w:pPr>
          </w:p>
          <w:p>
            <w:pPr>
              <w:widowControl/>
              <w:rPr>
                <w:rFonts w:ascii="宋体" w:hAnsi="宋体" w:cs="宋体"/>
                <w:color w:val="000000"/>
                <w:kern w:val="0"/>
                <w:sz w:val="20"/>
                <w:szCs w:val="20"/>
              </w:rPr>
            </w:pPr>
            <w:r>
              <w:rPr>
                <w:rFonts w:hint="eastAsia" w:ascii="宋体" w:hAnsi="宋体" w:cs="宋体"/>
                <w:color w:val="000000"/>
                <w:kern w:val="0"/>
                <w:sz w:val="20"/>
                <w:szCs w:val="20"/>
              </w:rPr>
              <w:t>1～24小时</w:t>
            </w:r>
          </w:p>
        </w:tc>
      </w:tr>
    </w:tbl>
    <w:p>
      <w:pPr>
        <w:spacing w:line="600" w:lineRule="exact"/>
        <w:jc w:val="left"/>
        <w:outlineLvl w:val="0"/>
        <w:rPr>
          <w:rFonts w:ascii="宋体" w:hAnsi="宋体" w:eastAsia="宋体"/>
          <w:sz w:val="22"/>
          <w:szCs w:val="22"/>
        </w:rPr>
      </w:pPr>
      <w:r>
        <w:rPr>
          <w:rFonts w:hint="eastAsia" w:ascii="宋体" w:hAnsi="宋体"/>
          <w:sz w:val="22"/>
          <w:szCs w:val="22"/>
          <w:lang w:val="en-US" w:eastAsia="zh-CN"/>
        </w:rPr>
        <w:t>四</w:t>
      </w:r>
      <w:r>
        <w:rPr>
          <w:rFonts w:hint="eastAsia" w:ascii="宋体" w:hAnsi="宋体" w:eastAsia="宋体"/>
          <w:sz w:val="22"/>
          <w:szCs w:val="22"/>
        </w:rPr>
        <w:t>、服务流程说明</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乙方针对客户提出的问题遵循“首问负责制”原则。所有问题由“总部分拣中心”受理并按问题类型分拣后流转，各服务支撑团队按不同问题类型进行针对性处理，问题解决后经客户确认关闭。</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具体服务流程如下：</w:t>
      </w:r>
    </w:p>
    <w:p>
      <w:pPr>
        <w:pStyle w:val="2"/>
        <w:spacing w:line="360" w:lineRule="auto"/>
        <w:ind w:firstLine="480" w:firstLineChars="200"/>
        <w:jc w:val="center"/>
      </w:pPr>
      <w:r>
        <w:object>
          <v:shape id="_x0000_i1025" o:spt="75" type="#_x0000_t75" style="height:326.4pt;width:381pt;" o:ole="t" filled="f" o:preferrelative="t" stroked="f" coordsize="21600,21600">
            <v:path/>
            <v:fill on="f" focussize="0,0"/>
            <v:stroke on="f" joinstyle="miter"/>
            <v:imagedata r:id="rId5" o:title=""/>
            <o:lock v:ext="edit" aspectratio="t"/>
            <w10:wrap type="none"/>
            <w10:anchorlock/>
          </v:shape>
          <o:OLEObject Type="Embed" ProgID="Visio.Drawing.11" ShapeID="_x0000_i1025" DrawAspect="Content" ObjectID="_1468075725" r:id="rId4">
            <o:LockedField>false</o:LockedField>
          </o:OLEObject>
        </w:object>
      </w:r>
    </w:p>
    <w:p>
      <w:pPr>
        <w:widowControl/>
        <w:ind w:firstLine="420" w:firstLineChars="200"/>
        <w:jc w:val="left"/>
        <w:rPr>
          <w:rFonts w:ascii="宋体" w:hAnsi="宋体" w:eastAsia="宋体" w:cs="宋体"/>
          <w:color w:val="000000"/>
          <w:kern w:val="0"/>
          <w:sz w:val="22"/>
          <w:szCs w:val="22"/>
        </w:rPr>
      </w:pPr>
      <w:r>
        <w:rPr>
          <w:rFonts w:hint="eastAsia"/>
        </w:rPr>
        <w:t xml:space="preserve"> </w:t>
      </w:r>
      <w:r>
        <w:rPr>
          <w:rFonts w:hint="eastAsia" w:ascii="宋体" w:hAnsi="宋体" w:eastAsia="宋体" w:cs="宋体"/>
          <w:color w:val="000000"/>
          <w:kern w:val="0"/>
          <w:sz w:val="22"/>
          <w:szCs w:val="22"/>
        </w:rPr>
        <w:t>客户在服务网站上提交的问题，经乙方服务工程师给出解决方法或建议后，</w:t>
      </w:r>
      <w:r>
        <w:rPr>
          <w:rFonts w:hint="eastAsia" w:ascii="宋体" w:hAnsi="宋体" w:eastAsia="宋体" w:cs="宋体"/>
          <w:b/>
          <w:color w:val="000000"/>
          <w:kern w:val="0"/>
          <w:sz w:val="22"/>
          <w:szCs w:val="22"/>
        </w:rPr>
        <w:t>超过一个月</w:t>
      </w:r>
      <w:r>
        <w:rPr>
          <w:rFonts w:hint="eastAsia" w:ascii="宋体" w:hAnsi="宋体" w:eastAsia="宋体" w:cs="宋体"/>
          <w:color w:val="000000"/>
          <w:kern w:val="0"/>
          <w:sz w:val="22"/>
          <w:szCs w:val="22"/>
        </w:rPr>
        <w:t>仍没有对解决方案进行确认或反馈的，系统自动关闭该问题，并同时邮件通知客户问题已自动关闭，客户可以申请重新开放。</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对系统自动关闭的问题，客户若在</w:t>
      </w:r>
      <w:r>
        <w:rPr>
          <w:rFonts w:hint="eastAsia" w:ascii="宋体" w:hAnsi="宋体" w:eastAsia="宋体" w:cs="宋体"/>
          <w:b/>
          <w:color w:val="000000"/>
          <w:kern w:val="0"/>
          <w:sz w:val="22"/>
          <w:szCs w:val="22"/>
        </w:rPr>
        <w:t>关闭后的一个月</w:t>
      </w:r>
      <w:r>
        <w:rPr>
          <w:rFonts w:hint="eastAsia" w:ascii="宋体" w:hAnsi="宋体" w:eastAsia="宋体" w:cs="宋体"/>
          <w:color w:val="000000"/>
          <w:kern w:val="0"/>
          <w:sz w:val="22"/>
          <w:szCs w:val="22"/>
        </w:rPr>
        <w:t>内没有提出重新开放，则正式结束该问题。</w:t>
      </w:r>
    </w:p>
    <w:p>
      <w:pPr>
        <w:pStyle w:val="5"/>
        <w:numPr>
          <w:ilvl w:val="0"/>
          <w:numId w:val="0"/>
        </w:numPr>
        <w:spacing w:line="600" w:lineRule="exact"/>
        <w:ind w:leftChars="0"/>
        <w:jc w:val="left"/>
        <w:outlineLvl w:val="0"/>
        <w:rPr>
          <w:rFonts w:ascii="宋体" w:hAnsi="宋体" w:eastAsia="宋体"/>
          <w:sz w:val="22"/>
          <w:szCs w:val="22"/>
        </w:rPr>
      </w:pPr>
      <w:r>
        <w:rPr>
          <w:rFonts w:hint="eastAsia" w:ascii="宋体" w:hAnsi="宋体"/>
          <w:sz w:val="22"/>
          <w:szCs w:val="22"/>
          <w:lang w:val="en-US" w:eastAsia="zh-CN"/>
        </w:rPr>
        <w:t>五、</w:t>
      </w:r>
      <w:r>
        <w:rPr>
          <w:rFonts w:hint="eastAsia" w:ascii="宋体" w:hAnsi="宋体" w:eastAsia="宋体"/>
          <w:sz w:val="22"/>
          <w:szCs w:val="22"/>
        </w:rPr>
        <w:t>服务前提假设</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（1）乙方产品服务只针对有合法使用乙方EKP、KMS、EIS、KK系列软件许可的客户；</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（2）乙方产品服务不包含客户运行乙方系统所需的硬件、网络、操作系统及客户端。</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（3）乙方只为在服务有效期内的客户提供服务。不在服务有效期内，乙方方将不对服务请求做出任何承诺。（服务有效期有两种：产品/项目合同中约定的免费服务期和交纳服务费用的有偿服务期）；</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（4）在对客户系统进行维护前，客户方需做好数据备份，完成备份后再通知乙方方给予维护；客户在备份过程中，因操作不当而出现的数据丢失或数据无法恢复的情况，乙方方不承担任何责任；</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（5）如客户基于后续自行维护有开源需要，则需签署《开放源代码保密协议》，向乙方方申请对所提供的软件系统开放源代码，乙方方不提供开源模块的代码级维护服务。</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（6）客户需提供所有符合要求的乙方软件运作硬件和必须的基础设施。在评审程序中，乙方根据需要可建议客户增加硬件和软件以保证服务质量水平，并在以后运作的基础上进行监控。</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（7）客户需提供和自行管理所有通讯网络问题，避免影响乙方提供协议上所要求的服务。</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（8）被授权使用乙方软件系统的所有用户已得到充分的培训。新用户培训或要求提供二次以上培训的成本，将根据实际工作量收取相应费用。</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（9）系统管理员已被充分培训并证明有承担系统管理员工作的基本能力。</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（10）新功能或报告的开发视同为新项目，增加的乙方软件产品模块的实施和支持需另签补充协议。</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（11）所有操作流程、乙方软件产品开发程序和其他支持环境已被开发完成，在工作中无突出错误存在。售后服务开始后发现的错误以及对其的修正视同为按单独工作量计费的项目。</w:t>
      </w:r>
    </w:p>
    <w:p>
      <w:pPr>
        <w:widowControl/>
        <w:ind w:firstLine="440" w:firstLineChars="200"/>
        <w:jc w:val="left"/>
        <w:rPr>
          <w:rFonts w:ascii="宋体" w:hAnsi="宋体" w:eastAsia="宋体" w:cs="宋体"/>
          <w:color w:val="000000"/>
          <w:kern w:val="0"/>
          <w:sz w:val="22"/>
          <w:szCs w:val="22"/>
        </w:rPr>
      </w:pPr>
      <w:r>
        <w:rPr>
          <w:rFonts w:hint="eastAsia" w:ascii="宋体" w:hAnsi="宋体" w:eastAsia="宋体" w:cs="宋体"/>
          <w:color w:val="000000"/>
          <w:kern w:val="0"/>
          <w:sz w:val="22"/>
          <w:szCs w:val="22"/>
        </w:rPr>
        <w:t>（12）客户已经制定所有相关政策文件，例如安全政策、业务连贯性计划、备份和恢复程序等。乙方可以协助客户制定未完成或需要修改的政策，视同为按工作量计费的项目。</w:t>
      </w:r>
    </w:p>
    <w:p>
      <w:pPr>
        <w:widowControl/>
        <w:jc w:val="left"/>
        <w:rPr>
          <w:rFonts w:ascii="宋体" w:hAnsi="宋体" w:eastAsia="宋体" w:cs="宋体"/>
          <w:color w:val="000000"/>
          <w:kern w:val="0"/>
          <w:sz w:val="20"/>
          <w:szCs w:val="20"/>
        </w:rPr>
      </w:pPr>
    </w:p>
    <w:p/>
    <w:sectPr>
      <w:pgSz w:w="11906" w:h="16838"/>
      <w:pgMar w:top="851" w:right="1021" w:bottom="851" w:left="102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E80A35"/>
    <w:multiLevelType w:val="multilevel"/>
    <w:tmpl w:val="03E80A35"/>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9A93EE8"/>
    <w:rsid w:val="2B760DFA"/>
    <w:rsid w:val="33C67BEF"/>
    <w:rsid w:val="37F76316"/>
    <w:rsid w:val="6C810C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2021-09-02T03:38:00Z</dcterms:created>
  <dc:creator>hp</dc:creator>
  <cp:lastModifiedBy>糖糖</cp:lastModifiedBy>
  <dcterms:modified xsi:type="dcterms:W3CDTF">2021-09-02T03:40:09Z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914D2B8796C14A0C9D8AB59EA91F28DF</vt:lpwstr>
  </property>
</Properties>
</file>