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bidi w:val="0"/>
        <w:snapToGrid w:val="0"/>
        <w:spacing w:line="240" w:lineRule="auto"/>
        <w:ind w:right="-447"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甘肃</w:t>
      </w:r>
      <w:r>
        <w:rPr>
          <w:rFonts w:hint="eastAsia" w:ascii="宋体" w:hAnsi="宋体" w:cs="宋体"/>
          <w:b/>
          <w:color w:val="auto"/>
          <w:sz w:val="32"/>
          <w:szCs w:val="32"/>
          <w:highlight w:val="none"/>
        </w:rPr>
        <w:t>酒钢集团宏兴钢铁股份有限公司</w:t>
      </w:r>
    </w:p>
    <w:p>
      <w:pPr>
        <w:pageBreakBefore w:val="0"/>
        <w:widowControl w:val="0"/>
        <w:kinsoku/>
        <w:overflowPunct/>
        <w:topLinePunct w:val="0"/>
        <w:bidi w:val="0"/>
        <w:snapToGrid w:val="0"/>
        <w:spacing w:line="240" w:lineRule="auto"/>
        <w:ind w:right="-447" w:firstLine="0" w:firstLineChars="0"/>
        <w:jc w:val="center"/>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lang w:eastAsia="zh-CN"/>
        </w:rPr>
        <w:t>高级别承压设备用钢板研制开发项目技术服务采购</w:t>
      </w:r>
    </w:p>
    <w:p>
      <w:pPr>
        <w:pageBreakBefore w:val="0"/>
        <w:widowControl w:val="0"/>
        <w:kinsoku/>
        <w:overflowPunct/>
        <w:topLinePunct w:val="0"/>
        <w:bidi w:val="0"/>
        <w:adjustRightInd/>
        <w:spacing w:line="240" w:lineRule="auto"/>
        <w:ind w:firstLine="0" w:firstLineChars="0"/>
        <w:jc w:val="center"/>
        <w:textAlignment w:val="auto"/>
        <w:rPr>
          <w:rFonts w:hint="eastAsia" w:ascii="宋体" w:hAnsi="宋体" w:eastAsia="仿宋_GB2312" w:cs="宋体"/>
          <w:b/>
          <w:color w:val="auto"/>
          <w:sz w:val="32"/>
          <w:szCs w:val="32"/>
          <w:highlight w:val="none"/>
          <w:lang w:eastAsia="zh-CN"/>
        </w:rPr>
      </w:pPr>
      <w:r>
        <w:rPr>
          <w:rFonts w:hint="eastAsia" w:ascii="宋体" w:hAnsi="宋体" w:cs="宋体"/>
          <w:b/>
          <w:color w:val="auto"/>
          <w:sz w:val="32"/>
          <w:szCs w:val="32"/>
          <w:highlight w:val="none"/>
        </w:rPr>
        <w:t>技术</w:t>
      </w:r>
      <w:r>
        <w:rPr>
          <w:rFonts w:hint="eastAsia" w:ascii="宋体" w:hAnsi="宋体" w:cs="宋体"/>
          <w:b/>
          <w:color w:val="auto"/>
          <w:sz w:val="32"/>
          <w:szCs w:val="32"/>
          <w:highlight w:val="none"/>
          <w:lang w:eastAsia="zh-CN"/>
        </w:rPr>
        <w:t>规格书</w:t>
      </w:r>
    </w:p>
    <w:p>
      <w:pPr>
        <w:keepNext w:val="0"/>
        <w:keepLines w:val="0"/>
        <w:pageBreakBefore w:val="0"/>
        <w:widowControl w:val="0"/>
        <w:kinsoku/>
        <w:wordWrap/>
        <w:overflowPunct/>
        <w:topLinePunct w:val="0"/>
        <w:autoSpaceDE/>
        <w:autoSpaceDN/>
        <w:bidi w:val="0"/>
        <w:snapToGrid w:val="0"/>
        <w:spacing w:line="600" w:lineRule="exact"/>
        <w:ind w:right="3" w:rightChars="1" w:firstLine="0" w:firstLineChars="0"/>
        <w:jc w:val="center"/>
        <w:rPr>
          <w:rFonts w:hint="eastAsia" w:ascii="华文中宋" w:hAnsi="华文中宋" w:eastAsia="华文中宋" w:cs="华文中宋"/>
          <w:b/>
          <w:color w:val="auto"/>
          <w:sz w:val="36"/>
          <w:szCs w:val="36"/>
          <w:highlight w:val="none"/>
          <w:lang w:eastAsia="zh-CN"/>
        </w:rPr>
      </w:pPr>
    </w:p>
    <w:p>
      <w:pPr>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Arial" w:cs="Arial"/>
          <w:b/>
          <w:bCs/>
          <w:color w:val="auto"/>
          <w:kern w:val="2"/>
          <w:sz w:val="36"/>
          <w:szCs w:val="36"/>
          <w:highlight w:val="none"/>
        </w:rPr>
      </w:pPr>
      <w:bookmarkStart w:id="1" w:name="_GoBack"/>
      <w:bookmarkEnd w:id="1"/>
    </w:p>
    <w:p>
      <w:pPr>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Arial" w:cs="Arial"/>
          <w:b/>
          <w:bCs/>
          <w:color w:val="auto"/>
          <w:kern w:val="2"/>
          <w:sz w:val="36"/>
          <w:szCs w:val="36"/>
          <w:highlight w:val="none"/>
        </w:rPr>
      </w:pPr>
    </w:p>
    <w:p>
      <w:pPr>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Arial" w:cs="Arial"/>
          <w:b/>
          <w:bCs/>
          <w:color w:val="auto"/>
          <w:kern w:val="2"/>
          <w:sz w:val="36"/>
          <w:szCs w:val="36"/>
          <w:highlight w:val="none"/>
        </w:rPr>
      </w:pPr>
    </w:p>
    <w:p>
      <w:pPr>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Arial" w:cs="Arial"/>
          <w:b/>
          <w:bCs/>
          <w:color w:val="auto"/>
          <w:kern w:val="2"/>
          <w:sz w:val="36"/>
          <w:szCs w:val="36"/>
          <w:highlight w:val="none"/>
        </w:rPr>
      </w:pPr>
    </w:p>
    <w:p>
      <w:pPr>
        <w:pStyle w:val="16"/>
        <w:rPr>
          <w:rFonts w:hint="eastAsia" w:ascii="Arial" w:cs="Arial"/>
          <w:b w:val="0"/>
          <w:bCs w:val="0"/>
          <w:color w:val="auto"/>
          <w:kern w:val="2"/>
          <w:sz w:val="36"/>
          <w:szCs w:val="36"/>
          <w:highlight w:val="none"/>
        </w:rPr>
      </w:pPr>
    </w:p>
    <w:p>
      <w:pPr>
        <w:pStyle w:val="18"/>
        <w:rPr>
          <w:rFonts w:hint="eastAsia"/>
          <w:color w:val="auto"/>
          <w:highlight w:val="none"/>
        </w:rPr>
      </w:pPr>
    </w:p>
    <w:p>
      <w:pPr>
        <w:pStyle w:val="20"/>
        <w:rPr>
          <w:rFonts w:hint="eastAsia"/>
          <w:color w:val="auto"/>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keepNext w:val="0"/>
        <w:keepLines w:val="0"/>
        <w:pageBreakBefore w:val="0"/>
        <w:widowControl w:val="0"/>
        <w:kinsoku/>
        <w:wordWrap/>
        <w:overflowPunct/>
        <w:topLinePunct w:val="0"/>
        <w:autoSpaceDE/>
        <w:autoSpaceDN/>
        <w:bidi w:val="0"/>
        <w:snapToGrid w:val="0"/>
        <w:spacing w:line="600" w:lineRule="exact"/>
        <w:ind w:right="3" w:rightChars="1" w:firstLine="641" w:firstLineChars="200"/>
        <w:jc w:val="left"/>
        <w:rPr>
          <w:rFonts w:hint="default" w:ascii="华文中宋" w:hAnsi="华文中宋" w:eastAsia="华文中宋" w:cs="华文中宋"/>
          <w:b/>
          <w:color w:val="auto"/>
          <w:sz w:val="32"/>
          <w:szCs w:val="32"/>
          <w:highlight w:val="none"/>
          <w:lang w:val="en-US" w:eastAsia="zh-CN"/>
        </w:rPr>
      </w:pPr>
      <w:r>
        <w:rPr>
          <w:rFonts w:hint="eastAsia" w:ascii="华文中宋" w:hAnsi="华文中宋" w:eastAsia="华文中宋" w:cs="华文中宋"/>
          <w:b/>
          <w:color w:val="auto"/>
          <w:sz w:val="32"/>
          <w:szCs w:val="32"/>
          <w:highlight w:val="none"/>
        </w:rPr>
        <w:t>甲方：</w:t>
      </w:r>
      <w:r>
        <w:rPr>
          <w:rFonts w:hint="eastAsia" w:ascii="华文中宋" w:hAnsi="华文中宋" w:eastAsia="华文中宋" w:cs="华文中宋"/>
          <w:b/>
          <w:color w:val="auto"/>
          <w:sz w:val="32"/>
          <w:szCs w:val="32"/>
          <w:highlight w:val="none"/>
          <w:lang w:eastAsia="zh-CN"/>
        </w:rPr>
        <w:t>甘肃</w:t>
      </w:r>
      <w:r>
        <w:rPr>
          <w:rFonts w:hint="eastAsia" w:ascii="华文中宋" w:hAnsi="华文中宋" w:eastAsia="华文中宋" w:cs="华文中宋"/>
          <w:b/>
          <w:color w:val="auto"/>
          <w:sz w:val="32"/>
          <w:szCs w:val="32"/>
          <w:highlight w:val="none"/>
        </w:rPr>
        <w:t>酒钢集团宏兴</w:t>
      </w:r>
      <w:r>
        <w:rPr>
          <w:rFonts w:hint="eastAsia" w:ascii="华文中宋" w:hAnsi="华文中宋" w:eastAsia="华文中宋" w:cs="华文中宋"/>
          <w:b/>
          <w:color w:val="auto"/>
          <w:sz w:val="32"/>
          <w:szCs w:val="32"/>
          <w:highlight w:val="none"/>
          <w:lang w:eastAsia="zh-CN"/>
        </w:rPr>
        <w:t>钢铁</w:t>
      </w:r>
      <w:r>
        <w:rPr>
          <w:rFonts w:hint="eastAsia" w:ascii="华文中宋" w:hAnsi="华文中宋" w:eastAsia="华文中宋" w:cs="华文中宋"/>
          <w:b/>
          <w:color w:val="auto"/>
          <w:sz w:val="32"/>
          <w:szCs w:val="32"/>
          <w:highlight w:val="none"/>
        </w:rPr>
        <w:t>股份</w:t>
      </w:r>
      <w:r>
        <w:rPr>
          <w:rFonts w:hint="eastAsia" w:ascii="华文中宋" w:hAnsi="华文中宋" w:eastAsia="华文中宋" w:cs="华文中宋"/>
          <w:b/>
          <w:color w:val="auto"/>
          <w:sz w:val="32"/>
          <w:szCs w:val="32"/>
          <w:highlight w:val="none"/>
          <w:lang w:eastAsia="zh-CN"/>
        </w:rPr>
        <w:t>有限</w:t>
      </w:r>
      <w:r>
        <w:rPr>
          <w:rFonts w:hint="eastAsia" w:ascii="华文中宋" w:hAnsi="华文中宋" w:eastAsia="华文中宋" w:cs="华文中宋"/>
          <w:b/>
          <w:color w:val="auto"/>
          <w:sz w:val="32"/>
          <w:szCs w:val="32"/>
          <w:highlight w:val="none"/>
        </w:rPr>
        <w:t>公司</w:t>
      </w:r>
      <w:r>
        <w:rPr>
          <w:rFonts w:hint="eastAsia" w:ascii="华文中宋" w:hAnsi="华文中宋" w:eastAsia="华文中宋" w:cs="华文中宋"/>
          <w:b/>
          <w:color w:val="auto"/>
          <w:sz w:val="32"/>
          <w:szCs w:val="32"/>
          <w:highlight w:val="none"/>
          <w:lang w:val="en-US" w:eastAsia="zh-CN"/>
        </w:rPr>
        <w:t>炼轧厂</w:t>
      </w:r>
    </w:p>
    <w:p>
      <w:pPr>
        <w:pStyle w:val="3"/>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napToGrid w:val="0"/>
        <w:spacing w:line="600" w:lineRule="exact"/>
        <w:ind w:left="0" w:leftChars="0" w:right="3" w:rightChars="1" w:firstLine="641" w:firstLineChars="200"/>
        <w:jc w:val="both"/>
        <w:rPr>
          <w:rFonts w:hint="eastAsia" w:ascii="华文中宋" w:hAnsi="华文中宋" w:eastAsia="华文中宋" w:cs="华文中宋"/>
          <w:b/>
          <w:color w:val="auto"/>
          <w:sz w:val="32"/>
          <w:szCs w:val="32"/>
          <w:highlight w:val="none"/>
          <w:lang w:val="sq-AL" w:eastAsia="zh-CN"/>
        </w:rPr>
      </w:pPr>
      <w:r>
        <w:rPr>
          <w:rFonts w:hint="eastAsia" w:ascii="华文中宋" w:hAnsi="华文中宋" w:eastAsia="华文中宋" w:cs="华文中宋"/>
          <w:b/>
          <w:color w:val="auto"/>
          <w:sz w:val="32"/>
          <w:szCs w:val="32"/>
          <w:highlight w:val="none"/>
          <w:lang w:val="en-US" w:eastAsia="zh-CN"/>
        </w:rPr>
        <w:t>乙方：</w:t>
      </w:r>
    </w:p>
    <w:p>
      <w:pPr>
        <w:keepNext w:val="0"/>
        <w:keepLines w:val="0"/>
        <w:pageBreakBefore w:val="0"/>
        <w:widowControl w:val="0"/>
        <w:kinsoku/>
        <w:wordWrap/>
        <w:overflowPunct/>
        <w:topLinePunct w:val="0"/>
        <w:autoSpaceDE/>
        <w:autoSpaceDN/>
        <w:bidi w:val="0"/>
        <w:spacing w:line="600" w:lineRule="exact"/>
        <w:ind w:left="0" w:leftChars="0" w:firstLine="420" w:firstLineChars="200"/>
        <w:rPr>
          <w:rFonts w:hint="eastAsia" w:ascii="宋体" w:hAnsi="宋体"/>
          <w:color w:val="auto"/>
          <w:sz w:val="21"/>
          <w:szCs w:val="21"/>
          <w:highlight w:val="none"/>
        </w:rPr>
      </w:pPr>
    </w:p>
    <w:p>
      <w:pPr>
        <w:pStyle w:val="3"/>
        <w:rPr>
          <w:rFonts w:hint="eastAsia" w:ascii="宋体" w:hAnsi="宋体"/>
          <w:color w:val="auto"/>
          <w:sz w:val="21"/>
          <w:szCs w:val="21"/>
          <w:highlight w:val="none"/>
        </w:rPr>
      </w:pPr>
    </w:p>
    <w:p>
      <w:pPr>
        <w:pStyle w:val="3"/>
        <w:rPr>
          <w:rFonts w:hint="default" w:ascii="仿宋" w:hAnsi="仿宋" w:eastAsia="仿宋" w:cs="仿宋"/>
          <w:b w:val="0"/>
          <w:bCs w:val="0"/>
          <w:color w:val="auto"/>
          <w:kern w:val="2"/>
          <w:sz w:val="32"/>
          <w:szCs w:val="32"/>
          <w:highlight w:val="none"/>
          <w:lang w:val="en-US" w:eastAsia="zh-CN" w:bidi="ar-SA"/>
        </w:rPr>
      </w:pPr>
      <w:r>
        <w:rPr>
          <w:rFonts w:hint="eastAsia" w:ascii="宋体" w:hAnsi="宋体"/>
          <w:color w:val="auto"/>
          <w:sz w:val="21"/>
          <w:szCs w:val="21"/>
          <w:highlight w:val="none"/>
          <w:lang w:val="en-US" w:eastAsia="zh-CN"/>
        </w:rPr>
        <w:t xml:space="preserve">                                    </w:t>
      </w:r>
      <w:r>
        <w:rPr>
          <w:rFonts w:hint="eastAsia" w:ascii="仿宋" w:hAnsi="仿宋" w:eastAsia="仿宋" w:cs="仿宋"/>
          <w:b w:val="0"/>
          <w:bCs w:val="0"/>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leftChars="0" w:firstLine="640" w:firstLineChars="200"/>
        <w:jc w:val="left"/>
        <w:rPr>
          <w:rFonts w:hint="eastAsia" w:ascii="仿宋" w:hAnsi="仿宋" w:eastAsia="仿宋" w:cs="仿宋"/>
          <w:b w:val="0"/>
          <w:bCs w:val="0"/>
          <w:color w:val="auto"/>
          <w:sz w:val="32"/>
          <w:szCs w:val="32"/>
          <w:highlight w:val="none"/>
        </w:rPr>
      </w:pPr>
    </w:p>
    <w:p>
      <w:pPr>
        <w:pStyle w:val="13"/>
        <w:rPr>
          <w:rFonts w:hint="eastAsia"/>
          <w:color w:val="auto"/>
          <w:highlight w:val="none"/>
        </w:rPr>
      </w:pPr>
    </w:p>
    <w:p>
      <w:pPr>
        <w:pStyle w:val="9"/>
        <w:rPr>
          <w:rFonts w:hint="eastAsia"/>
          <w:color w:val="auto"/>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leftChars="0" w:firstLine="640" w:firstLineChars="200"/>
        <w:jc w:val="left"/>
        <w:rPr>
          <w:rFonts w:hint="eastAsia" w:ascii="仿宋" w:hAnsi="仿宋" w:eastAsia="仿宋" w:cs="仿宋"/>
          <w:b w:val="0"/>
          <w:bCs w:val="0"/>
          <w:color w:val="auto"/>
          <w:sz w:val="32"/>
          <w:szCs w:val="32"/>
          <w:highlight w:val="none"/>
          <w:u w:val="single"/>
          <w:lang w:val="en-US" w:eastAsia="zh-CN"/>
        </w:rPr>
      </w:pPr>
      <w:r>
        <w:rPr>
          <w:rFonts w:hint="eastAsia" w:ascii="仿宋" w:hAnsi="仿宋" w:eastAsia="仿宋" w:cs="仿宋"/>
          <w:b w:val="0"/>
          <w:bCs w:val="0"/>
          <w:color w:val="auto"/>
          <w:sz w:val="32"/>
          <w:szCs w:val="32"/>
          <w:highlight w:val="none"/>
        </w:rPr>
        <w:t>甘肃酒钢集团宏兴</w:t>
      </w:r>
      <w:r>
        <w:rPr>
          <w:rFonts w:hint="eastAsia" w:ascii="仿宋" w:hAnsi="仿宋" w:eastAsia="仿宋" w:cs="仿宋"/>
          <w:b w:val="0"/>
          <w:bCs w:val="0"/>
          <w:color w:val="auto"/>
          <w:sz w:val="32"/>
          <w:szCs w:val="32"/>
          <w:highlight w:val="none"/>
          <w:lang w:eastAsia="zh-CN"/>
        </w:rPr>
        <w:t>钢铁</w:t>
      </w:r>
      <w:r>
        <w:rPr>
          <w:rFonts w:hint="eastAsia" w:ascii="仿宋" w:hAnsi="仿宋" w:eastAsia="仿宋" w:cs="仿宋"/>
          <w:b w:val="0"/>
          <w:bCs w:val="0"/>
          <w:color w:val="auto"/>
          <w:sz w:val="32"/>
          <w:szCs w:val="32"/>
          <w:highlight w:val="none"/>
        </w:rPr>
        <w:t>股份</w:t>
      </w:r>
      <w:r>
        <w:rPr>
          <w:rFonts w:hint="eastAsia" w:ascii="仿宋" w:hAnsi="仿宋" w:eastAsia="仿宋" w:cs="仿宋"/>
          <w:b w:val="0"/>
          <w:bCs w:val="0"/>
          <w:color w:val="auto"/>
          <w:sz w:val="32"/>
          <w:szCs w:val="32"/>
          <w:highlight w:val="none"/>
          <w:lang w:eastAsia="zh-CN"/>
        </w:rPr>
        <w:t>有限</w:t>
      </w:r>
      <w:r>
        <w:rPr>
          <w:rFonts w:hint="eastAsia" w:ascii="仿宋" w:hAnsi="仿宋" w:eastAsia="仿宋" w:cs="仿宋"/>
          <w:b w:val="0"/>
          <w:bCs w:val="0"/>
          <w:color w:val="auto"/>
          <w:sz w:val="32"/>
          <w:szCs w:val="32"/>
          <w:highlight w:val="none"/>
        </w:rPr>
        <w:t>公司（以下称甲方）与</w:t>
      </w:r>
      <w:r>
        <w:rPr>
          <w:rFonts w:hint="eastAsia" w:ascii="仿宋" w:hAnsi="仿宋" w:eastAsia="仿宋" w:cs="仿宋"/>
          <w:b w:val="0"/>
          <w:bCs w:val="0"/>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leftChars="0" w:firstLine="0" w:firstLineChars="0"/>
        <w:jc w:val="left"/>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rPr>
        <w:t>（以下称乙方）就</w:t>
      </w:r>
      <w:r>
        <w:rPr>
          <w:rFonts w:hint="eastAsia" w:ascii="仿宋" w:hAnsi="仿宋" w:eastAsia="仿宋" w:cs="仿宋"/>
          <w:b w:val="0"/>
          <w:bCs w:val="0"/>
          <w:color w:val="auto"/>
          <w:sz w:val="32"/>
          <w:szCs w:val="32"/>
          <w:highlight w:val="none"/>
          <w:lang w:eastAsia="zh-CN"/>
        </w:rPr>
        <w:t>甲方</w:t>
      </w:r>
      <w:r>
        <w:rPr>
          <w:rFonts w:hint="eastAsia" w:ascii="仿宋" w:hAnsi="仿宋" w:eastAsia="仿宋" w:cs="仿宋"/>
          <w:b w:val="0"/>
          <w:bCs w:val="0"/>
          <w:color w:val="auto"/>
          <w:sz w:val="32"/>
          <w:szCs w:val="32"/>
          <w:highlight w:val="none"/>
          <w:lang w:val="en-US" w:eastAsia="zh-CN"/>
        </w:rPr>
        <w:t>高级别承压设备用钢板研制开发项目，经</w:t>
      </w:r>
      <w:r>
        <w:rPr>
          <w:rFonts w:hint="eastAsia" w:ascii="仿宋" w:hAnsi="仿宋" w:eastAsia="仿宋" w:cs="仿宋"/>
          <w:b w:val="0"/>
          <w:bCs w:val="0"/>
          <w:color w:val="auto"/>
          <w:sz w:val="32"/>
          <w:szCs w:val="32"/>
          <w:highlight w:val="none"/>
          <w:lang w:eastAsia="zh-CN"/>
        </w:rPr>
        <w:t>双方协商，达成如下技术规格协议：</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left="0" w:leftChars="0" w:firstLine="0" w:firstLineChars="0"/>
        <w:jc w:val="left"/>
        <w:textAlignment w:val="baseline"/>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一、总则</w:t>
      </w:r>
    </w:p>
    <w:p>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1.1本技术规格协议所提出的是最低标准的技术要求，并未对一切技术细节做出规定，也未充分引述有关标准和规范的条文，乙方应保证提供符合有关标准和技术文件的优质服务。</w:t>
      </w:r>
    </w:p>
    <w:p>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1.2乙方提供技术服务研究过程规范，数据真实可靠，结果分析合理、有据，研究报告规范、美观。</w:t>
      </w:r>
    </w:p>
    <w:p>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1.3乙方在试验过程中不得随意更改内容，需要时，提出更改理由及方案，经甲方同意后更改；</w:t>
      </w:r>
    </w:p>
    <w:p>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1.4乙方在提供技术服务中，发生侵犯专利的行为时其侵权责任与甲方无关。</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auto"/>
        <w:rPr>
          <w:rFonts w:hint="eastAsia" w:ascii="仿宋" w:hAnsi="仿宋" w:eastAsia="仿宋" w:cs="仿宋"/>
          <w:b/>
          <w:color w:val="auto"/>
          <w:spacing w:val="-4"/>
          <w:kern w:val="28"/>
          <w:sz w:val="32"/>
          <w:szCs w:val="32"/>
          <w:highlight w:val="none"/>
        </w:rPr>
      </w:pPr>
      <w:r>
        <w:rPr>
          <w:rFonts w:hint="eastAsia" w:ascii="仿宋" w:hAnsi="仿宋" w:eastAsia="仿宋" w:cs="仿宋"/>
          <w:b/>
          <w:color w:val="auto"/>
          <w:spacing w:val="-4"/>
          <w:kern w:val="28"/>
          <w:sz w:val="32"/>
          <w:szCs w:val="32"/>
          <w:highlight w:val="none"/>
        </w:rPr>
        <w:t>二、</w:t>
      </w:r>
      <w:r>
        <w:rPr>
          <w:rFonts w:hint="eastAsia" w:ascii="仿宋" w:hAnsi="仿宋" w:eastAsia="仿宋" w:cs="仿宋"/>
          <w:b/>
          <w:color w:val="auto"/>
          <w:spacing w:val="-4"/>
          <w:kern w:val="28"/>
          <w:sz w:val="32"/>
          <w:szCs w:val="32"/>
          <w:highlight w:val="none"/>
          <w:lang w:val="en-US" w:eastAsia="zh-CN"/>
        </w:rPr>
        <w:t>技术服务</w:t>
      </w:r>
      <w:r>
        <w:rPr>
          <w:rFonts w:hint="eastAsia" w:ascii="仿宋" w:hAnsi="仿宋" w:eastAsia="仿宋" w:cs="仿宋"/>
          <w:b/>
          <w:color w:val="auto"/>
          <w:spacing w:val="-4"/>
          <w:kern w:val="28"/>
          <w:sz w:val="32"/>
          <w:szCs w:val="32"/>
          <w:highlight w:val="none"/>
        </w:rPr>
        <w:t>范围</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高级别承压设备用钢板研制开发项目基于酒钢新建4200mm宽厚板产线的先进设备条件，研发高级别承压设备用钢Q345R、Q345R(HIC)、15CrMoR(HIC)和12Cr1MoVR（HIC）的成分、冶炼、连铸、轧制及热处理工艺，充分考虑钢种成分、加热制度、轧制变形、热处理等各工艺参数对后续生产产品组织和力学性能的影响，在冶金工艺原理的基础上分析讨论影响性能波动的主要影响因素，指导制定合理化工艺方案，实现不同厚度规格的系列承压设备用钢轧制及热处理工艺开发与应用，具备批量生产的能力，形成一整套绿色、低成本、高效率的生产流程。主要研究工作如下：</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（1）研究微合金元素对Q345R钢组织性能的影响，完成10-40mmQ345R低成本成分设计及40-100mm厚规格Q345R成分设计，提高承压设备用Q345R钢市场竞争力。</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研究低成本Q345R钢中的再结晶、相变及析出规律；研究轧制及热处理工艺对Q345R钢组织性能的影响；阐明合金强化机理；完成轧制及热处理工艺路线设计；充分发挥新中板设备优势，实现Q345R钢高性能稳定生产。</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（3）研究合金元素对Q345R(HIC)、15CrMoR(R-HIC)和12Cr1MoVR（HIC）钢组织性能的影响，完成抗氢致开裂承压设备用钢成分设计；</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4）研究Q345R(HIC)、15CrMoR(HIC)和12Cr1MoVR（HIC）钢中的再结晶、相变及析出规律；研究轧制及热处理工艺参数对Q345R(HIC)、15CrMoR(HIC)和12Cr1MoVR（HIC）钢组织性能的影响；阐明合金强化机理；完成轧制及热处理工艺路线设计；实现抗氢致开裂承压设备用钢高性能稳定生产；</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（5）研究轧制、热处理温度对铬钼钢晶粒尺寸以及析出相的影响，优化工艺参数，有效减少薄规格铬钼钢热处理后的性能波动；</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（6）研究厚规格铬钼钢均质化控制技术，提出轧制工艺优化思路和方案，有效减少厚规格铬钼钢轧制渗透力不足导致的性能波动；</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（7）研究高级别承压设备用钢的高温拉伸强度、低温韧性及抗氢致开裂性能，并分析其抗氢致开裂机理。</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240" w:lineRule="auto"/>
        <w:ind w:firstLine="0" w:firstLineChars="0"/>
        <w:jc w:val="left"/>
        <w:textAlignment w:val="auto"/>
        <w:rPr>
          <w:rFonts w:hint="eastAsia" w:ascii="仿宋" w:hAnsi="仿宋" w:eastAsia="仿宋" w:cs="仿宋"/>
          <w:b/>
          <w:color w:val="auto"/>
          <w:spacing w:val="-4"/>
          <w:kern w:val="28"/>
          <w:sz w:val="32"/>
          <w:szCs w:val="32"/>
          <w:highlight w:val="none"/>
        </w:rPr>
      </w:pPr>
      <w:r>
        <w:rPr>
          <w:rFonts w:hint="eastAsia" w:ascii="仿宋" w:hAnsi="仿宋" w:eastAsia="仿宋" w:cs="仿宋"/>
          <w:b/>
          <w:color w:val="auto"/>
          <w:spacing w:val="-4"/>
          <w:kern w:val="28"/>
          <w:sz w:val="32"/>
          <w:szCs w:val="32"/>
          <w:highlight w:val="none"/>
        </w:rPr>
        <w:t>三、</w:t>
      </w:r>
      <w:r>
        <w:rPr>
          <w:rFonts w:hint="eastAsia" w:ascii="仿宋" w:hAnsi="仿宋" w:eastAsia="仿宋" w:cs="仿宋"/>
          <w:b/>
          <w:color w:val="auto"/>
          <w:spacing w:val="-4"/>
          <w:kern w:val="28"/>
          <w:sz w:val="32"/>
          <w:szCs w:val="32"/>
          <w:highlight w:val="none"/>
          <w:lang w:val="en-US" w:eastAsia="zh-CN"/>
        </w:rPr>
        <w:t>技术服务</w:t>
      </w:r>
      <w:r>
        <w:rPr>
          <w:rFonts w:hint="eastAsia" w:ascii="仿宋" w:hAnsi="仿宋" w:eastAsia="仿宋" w:cs="仿宋"/>
          <w:b/>
          <w:color w:val="auto"/>
          <w:spacing w:val="-4"/>
          <w:kern w:val="28"/>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3.1主要技术要求</w:t>
      </w:r>
    </w:p>
    <w:p>
      <w:pPr>
        <w:autoSpaceDE w:val="0"/>
        <w:autoSpaceDN w:val="0"/>
        <w:adjustRightInd w:val="0"/>
        <w:spacing w:line="56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所研发的承压设备用钢板各项力学性能应满足如表1、表2中的力学性能指标要求，抗氢致开裂钢满足HIC性能要求。</w:t>
      </w:r>
      <w:r>
        <w:rPr>
          <w:rFonts w:hint="eastAsia" w:ascii="仿宋" w:hAnsi="仿宋" w:eastAsia="仿宋" w:cs="仿宋"/>
          <w:color w:val="auto"/>
          <w:sz w:val="32"/>
          <w:szCs w:val="32"/>
          <w:highlight w:val="none"/>
          <w:lang w:eastAsia="zh-CN"/>
        </w:rPr>
        <w:t>（满足</w:t>
      </w:r>
      <w:r>
        <w:rPr>
          <w:rFonts w:hint="eastAsia" w:ascii="仿宋" w:hAnsi="仿宋" w:eastAsia="仿宋" w:cs="仿宋"/>
          <w:color w:val="auto"/>
          <w:sz w:val="32"/>
          <w:szCs w:val="32"/>
          <w:highlight w:val="none"/>
          <w:lang w:val="en-US" w:eastAsia="zh-CN"/>
        </w:rPr>
        <w:t>GB/T713.2-2023及T-SSEA 0380-2024 T-CSTA 0089-2024《临氢设备用铬钼合金钢钢板》相关要求</w:t>
      </w:r>
      <w:r>
        <w:rPr>
          <w:rFonts w:hint="eastAsia" w:ascii="仿宋" w:hAnsi="仿宋" w:eastAsia="仿宋" w:cs="仿宋"/>
          <w:color w:val="auto"/>
          <w:sz w:val="32"/>
          <w:szCs w:val="32"/>
          <w:highlight w:val="none"/>
          <w:lang w:eastAsia="zh-CN"/>
        </w:rPr>
        <w:t>）</w:t>
      </w:r>
    </w:p>
    <w:p>
      <w:pPr>
        <w:widowControl/>
        <w:spacing w:before="156" w:beforeLines="50" w:line="360" w:lineRule="auto"/>
        <w:ind w:left="0" w:leftChars="0" w:firstLine="0" w:firstLineChars="0"/>
        <w:jc w:val="center"/>
        <w:rPr>
          <w:rFonts w:ascii="仿宋" w:hAnsi="仿宋" w:eastAsia="仿宋"/>
          <w:color w:val="auto"/>
          <w:sz w:val="24"/>
          <w:highlight w:val="none"/>
        </w:rPr>
      </w:pPr>
      <w:r>
        <w:rPr>
          <w:rFonts w:ascii="仿宋" w:hAnsi="仿宋" w:eastAsia="仿宋"/>
          <w:color w:val="auto"/>
          <w:sz w:val="24"/>
          <w:highlight w:val="none"/>
        </w:rPr>
        <w:t>表</w:t>
      </w: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 xml:space="preserve"> </w:t>
      </w:r>
      <w:r>
        <w:rPr>
          <w:rFonts w:ascii="仿宋" w:hAnsi="仿宋" w:eastAsia="仿宋"/>
          <w:color w:val="auto"/>
          <w:sz w:val="24"/>
          <w:highlight w:val="none"/>
        </w:rPr>
        <w:t>承压设备用钢板力学性能指标</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9"/>
        <w:gridCol w:w="1240"/>
        <w:gridCol w:w="840"/>
        <w:gridCol w:w="1215"/>
        <w:gridCol w:w="1310"/>
        <w:gridCol w:w="885"/>
        <w:gridCol w:w="710"/>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牌号</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交货状态</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厚度</w:t>
            </w:r>
            <w:r>
              <w:rPr>
                <w:rStyle w:val="23"/>
                <w:rFonts w:eastAsia="仿宋"/>
                <w:color w:val="auto"/>
                <w:highlight w:val="none"/>
                <w:lang w:val="en-US" w:eastAsia="zh-CN" w:bidi="ar"/>
              </w:rPr>
              <w:t>/mm</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拉伸试验</w:t>
            </w:r>
          </w:p>
        </w:tc>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冲击试验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抗拉强度</w:t>
            </w:r>
            <w:r>
              <w:rPr>
                <w:rStyle w:val="23"/>
                <w:rFonts w:eastAsia="仿宋"/>
                <w:color w:val="auto"/>
                <w:highlight w:val="none"/>
                <w:lang w:val="en-US" w:eastAsia="zh-CN" w:bidi="ar"/>
              </w:rPr>
              <w:t>Rm/MPa</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下屈服强度</w:t>
            </w:r>
            <w:r>
              <w:rPr>
                <w:rStyle w:val="23"/>
                <w:rFonts w:eastAsia="仿宋"/>
                <w:color w:val="auto"/>
                <w:highlight w:val="none"/>
                <w:lang w:val="en-US" w:eastAsia="zh-CN" w:bidi="ar"/>
              </w:rPr>
              <w:t>R</w:t>
            </w:r>
            <w:r>
              <w:rPr>
                <w:rStyle w:val="24"/>
                <w:rFonts w:eastAsia="仿宋"/>
                <w:color w:val="auto"/>
                <w:highlight w:val="none"/>
                <w:lang w:val="en-US" w:eastAsia="zh-CN" w:bidi="ar"/>
              </w:rPr>
              <w:t>el</w:t>
            </w:r>
            <w:r>
              <w:rPr>
                <w:rStyle w:val="23"/>
                <w:rFonts w:eastAsia="仿宋"/>
                <w:color w:val="auto"/>
                <w:highlight w:val="none"/>
                <w:lang w:val="en-US" w:eastAsia="zh-CN" w:bidi="ar"/>
              </w:rPr>
              <w:t>/MPa</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断后伸长率</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温度/℃</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冲击功</w:t>
            </w:r>
            <w:r>
              <w:rPr>
                <w:rStyle w:val="23"/>
                <w:rFonts w:eastAsia="仿宋"/>
                <w:color w:val="auto"/>
                <w:highlight w:val="none"/>
                <w:lang w:val="en-US" w:eastAsia="zh-CN" w:bidi="ar"/>
              </w:rPr>
              <w:t>KV</w:t>
            </w:r>
            <w:r>
              <w:rPr>
                <w:rStyle w:val="24"/>
                <w:rFonts w:eastAsia="仿宋"/>
                <w:color w:val="auto"/>
                <w:highlight w:val="none"/>
                <w:lang w:val="en-US" w:eastAsia="zh-CN" w:bidi="ar"/>
              </w:rPr>
              <w:t>2</w:t>
            </w:r>
            <w:r>
              <w:rPr>
                <w:rStyle w:val="23"/>
                <w:rFonts w:eastAsia="仿宋"/>
                <w:color w:val="auto"/>
                <w:highlight w:val="none"/>
                <w:lang w:val="en-US" w:eastAsia="zh-CN" w:bidi="ar"/>
              </w:rPr>
              <w:t>/J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不小于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A/%</w:t>
            </w: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不小于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Q345R/</w:t>
            </w:r>
          </w:p>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Q345R(HIC)</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N</w:t>
            </w:r>
            <w:r>
              <w:rPr>
                <w:rStyle w:val="25"/>
                <w:color w:val="auto"/>
                <w:highlight w:val="none"/>
                <w:lang w:val="en-US" w:eastAsia="zh-CN" w:bidi="ar"/>
              </w:rPr>
              <w:t>，</w:t>
            </w:r>
            <w:r>
              <w:rPr>
                <w:rStyle w:val="26"/>
                <w:rFonts w:eastAsia="宋体"/>
                <w:color w:val="auto"/>
                <w:highlight w:val="none"/>
                <w:lang w:val="en-US" w:eastAsia="zh-CN" w:bidi="ar"/>
              </w:rPr>
              <w:t>N(AC)+T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10~16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510</w:t>
            </w:r>
            <w:r>
              <w:rPr>
                <w:rStyle w:val="26"/>
                <w:rFonts w:eastAsia="宋体"/>
                <w:color w:val="auto"/>
                <w:highlight w:val="none"/>
                <w:lang w:val="en-US" w:eastAsia="zh-CN" w:bidi="ar"/>
              </w:rPr>
              <w:t>~640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345</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r>
              <w:rPr>
                <w:rStyle w:val="26"/>
                <w:rFonts w:eastAsia="宋体"/>
                <w:color w:val="auto"/>
                <w:highlight w:val="none"/>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r>
              <w:rPr>
                <w:rStyle w:val="26"/>
                <w:rFonts w:eastAsia="宋体"/>
                <w:color w:val="auto"/>
                <w:highlight w:val="none"/>
                <w:lang w:val="en-US" w:eastAsia="zh-CN" w:bidi="ar"/>
              </w:rPr>
              <w:t>00~630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325</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w:t>
            </w:r>
            <w:r>
              <w:rPr>
                <w:rStyle w:val="26"/>
                <w:rFonts w:eastAsia="宋体"/>
                <w:color w:val="auto"/>
                <w:highlight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49</w:t>
            </w:r>
            <w:r>
              <w:rPr>
                <w:rStyle w:val="26"/>
                <w:rFonts w:eastAsia="宋体"/>
                <w:color w:val="auto"/>
                <w:highlight w:val="none"/>
                <w:lang w:val="en-US" w:eastAsia="zh-CN" w:bidi="ar"/>
              </w:rPr>
              <w:t>0~620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315</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Style w:val="26"/>
                <w:rFonts w:eastAsia="宋体"/>
                <w:color w:val="auto"/>
                <w:highlight w:val="none"/>
                <w:lang w:val="en-US" w:eastAsia="zh-CN" w:bidi="ar"/>
              </w:rPr>
              <w:t>0~70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w:t>
            </w:r>
            <w:r>
              <w:rPr>
                <w:rStyle w:val="26"/>
                <w:rFonts w:eastAsia="宋体"/>
                <w:color w:val="auto"/>
                <w:highlight w:val="none"/>
                <w:lang w:val="en-US" w:eastAsia="zh-CN" w:bidi="ar"/>
              </w:rPr>
              <w:t>0~610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12Cr</w:t>
            </w:r>
            <w:r>
              <w:rPr>
                <w:rStyle w:val="26"/>
                <w:rFonts w:eastAsia="宋体"/>
                <w:color w:val="auto"/>
                <w:highlight w:val="none"/>
                <w:lang w:val="en-US" w:eastAsia="zh-CN" w:bidi="ar"/>
              </w:rPr>
              <w:t>1Mo1VR(HIC)</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N</w:t>
            </w:r>
            <w:r>
              <w:rPr>
                <w:rStyle w:val="25"/>
                <w:color w:val="auto"/>
                <w:highlight w:val="none"/>
                <w:lang w:val="en-US" w:eastAsia="zh-CN" w:bidi="ar"/>
              </w:rPr>
              <w:t>（</w:t>
            </w:r>
            <w:r>
              <w:rPr>
                <w:rStyle w:val="26"/>
                <w:rFonts w:eastAsia="宋体"/>
                <w:color w:val="auto"/>
                <w:highlight w:val="none"/>
                <w:lang w:val="en-US" w:eastAsia="zh-CN" w:bidi="ar"/>
              </w:rPr>
              <w:t>AC</w:t>
            </w:r>
            <w:r>
              <w:rPr>
                <w:rStyle w:val="25"/>
                <w:color w:val="auto"/>
                <w:highlight w:val="none"/>
                <w:lang w:val="en-US" w:eastAsia="zh-CN" w:bidi="ar"/>
              </w:rPr>
              <w:t>）</w:t>
            </w:r>
            <w:r>
              <w:rPr>
                <w:rStyle w:val="26"/>
                <w:rFonts w:eastAsia="宋体"/>
                <w:color w:val="auto"/>
                <w:highlight w:val="none"/>
                <w:lang w:val="en-US" w:eastAsia="zh-CN" w:bidi="ar"/>
              </w:rPr>
              <w:t>+T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44</w:t>
            </w:r>
            <w:r>
              <w:rPr>
                <w:rStyle w:val="26"/>
                <w:rFonts w:eastAsia="宋体"/>
                <w:color w:val="auto"/>
                <w:highlight w:val="none"/>
                <w:lang w:val="en-US" w:eastAsia="zh-CN" w:bidi="ar"/>
              </w:rPr>
              <w:t>0~590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15CrMoR(HIC)</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N</w:t>
            </w:r>
            <w:r>
              <w:rPr>
                <w:rStyle w:val="25"/>
                <w:color w:val="auto"/>
                <w:highlight w:val="none"/>
                <w:lang w:val="en-US" w:eastAsia="zh-CN" w:bidi="ar"/>
              </w:rPr>
              <w:t>（</w:t>
            </w:r>
            <w:r>
              <w:rPr>
                <w:rStyle w:val="26"/>
                <w:rFonts w:eastAsia="宋体"/>
                <w:color w:val="auto"/>
                <w:highlight w:val="none"/>
                <w:lang w:val="en-US" w:eastAsia="zh-CN" w:bidi="ar"/>
              </w:rPr>
              <w:t>AC</w:t>
            </w:r>
            <w:r>
              <w:rPr>
                <w:rStyle w:val="25"/>
                <w:color w:val="auto"/>
                <w:highlight w:val="none"/>
                <w:lang w:val="en-US" w:eastAsia="zh-CN" w:bidi="ar"/>
              </w:rPr>
              <w:t>）</w:t>
            </w:r>
            <w:r>
              <w:rPr>
                <w:rStyle w:val="26"/>
                <w:rFonts w:eastAsia="宋体"/>
                <w:color w:val="auto"/>
                <w:highlight w:val="none"/>
                <w:lang w:val="en-US" w:eastAsia="zh-CN" w:bidi="ar"/>
              </w:rPr>
              <w:t>+T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450~590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47</w:t>
            </w:r>
          </w:p>
        </w:tc>
      </w:tr>
    </w:tbl>
    <w:p>
      <w:pPr>
        <w:autoSpaceDE w:val="0"/>
        <w:autoSpaceDN w:val="0"/>
        <w:adjustRightInd w:val="0"/>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10～40mm低成本Q345R开发量大于5000吨，性能合格率大于95%；Q345R厚规格40～</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0mm大于500吨，性能合格率大于9</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p>
    <w:p>
      <w:pPr>
        <w:autoSpaceDE w:val="0"/>
        <w:autoSpaceDN w:val="0"/>
        <w:adjustRightInd w:val="0"/>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开发抗氢致开裂钢Q345R（HIC）、15CrMoR（HIC）及12Cr1MoVR（HIC），开发量大于500吨，性能合格率大于9</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p>
    <w:p>
      <w:pPr>
        <w:autoSpaceDE w:val="0"/>
        <w:autoSpaceDN w:val="0"/>
        <w:adjustRightInd w:val="0"/>
        <w:spacing w:line="56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发表省级以上论文2篇。</w:t>
      </w:r>
    </w:p>
    <w:p>
      <w:pPr>
        <w:autoSpaceDE w:val="0"/>
        <w:autoSpaceDN w:val="0"/>
        <w:adjustRightInd w:val="0"/>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完成和提交项目结题报告</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仿宋" w:hAnsi="仿宋" w:eastAsia="仿宋" w:cs="仿宋"/>
          <w:b/>
          <w:color w:val="auto"/>
          <w:sz w:val="32"/>
          <w:szCs w:val="32"/>
          <w:highlight w:val="none"/>
        </w:rPr>
      </w:pPr>
      <w:bookmarkStart w:id="0" w:name="_Toc15912"/>
      <w:r>
        <w:rPr>
          <w:rFonts w:hint="eastAsia" w:ascii="仿宋" w:hAnsi="仿宋" w:eastAsia="仿宋" w:cs="仿宋"/>
          <w:b/>
          <w:color w:val="auto"/>
          <w:sz w:val="32"/>
          <w:szCs w:val="32"/>
          <w:highlight w:val="none"/>
        </w:rPr>
        <w:t>3.2技术服务质量要求</w:t>
      </w:r>
      <w:bookmarkEnd w:id="0"/>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3.2.1研究过程规范，数据真实可靠。</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3.2.2结果分析合理、有据，研究报告规范、美观。</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3.2.3乙方在试验过程中不得随意更改内容，需要时，提出更改理由及方案，经甲方同意后更改。</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3.2.4甲方派技术人员参与整个研究过程。</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仿宋" w:hAnsi="仿宋" w:eastAsia="仿宋" w:cs="仿宋"/>
          <w:b/>
          <w:bCs/>
          <w:color w:val="auto"/>
          <w:kern w:val="44"/>
          <w:sz w:val="32"/>
          <w:szCs w:val="32"/>
          <w:highlight w:val="none"/>
          <w:lang w:val="en-US" w:eastAsia="zh-CN" w:bidi="ar-SA"/>
        </w:rPr>
      </w:pPr>
      <w:r>
        <w:rPr>
          <w:rFonts w:hint="eastAsia" w:ascii="仿宋" w:hAnsi="仿宋" w:eastAsia="仿宋" w:cs="仿宋"/>
          <w:b/>
          <w:bCs/>
          <w:color w:val="auto"/>
          <w:kern w:val="44"/>
          <w:sz w:val="32"/>
          <w:szCs w:val="32"/>
          <w:highlight w:val="none"/>
          <w:lang w:val="en-US" w:eastAsia="zh-CN" w:bidi="ar-SA"/>
        </w:rPr>
        <w:t>3.3项目进度要求</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2026年12月31日前，完成全部委托研究内容，并将研究报告及实验数据提交给甲方。</w:t>
      </w:r>
    </w:p>
    <w:p>
      <w:pPr>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lang w:val="en-US" w:eastAsia="zh-CN"/>
        </w:rPr>
        <w:t>质保</w:t>
      </w:r>
      <w:r>
        <w:rPr>
          <w:rFonts w:hint="eastAsia" w:ascii="仿宋" w:hAnsi="仿宋" w:eastAsia="仿宋" w:cs="仿宋"/>
          <w:b/>
          <w:color w:val="auto"/>
          <w:sz w:val="32"/>
          <w:szCs w:val="32"/>
          <w:highlight w:val="none"/>
        </w:rPr>
        <w:t>期要求</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en-US" w:eastAsia="zh-CN" w:bidi="ar-SA"/>
        </w:rPr>
        <w:t xml:space="preserve">4.1 </w:t>
      </w:r>
      <w:r>
        <w:rPr>
          <w:rFonts w:hint="eastAsia" w:ascii="仿宋" w:hAnsi="仿宋" w:eastAsia="仿宋" w:cs="仿宋"/>
          <w:b w:val="0"/>
          <w:bCs w:val="0"/>
          <w:color w:val="auto"/>
          <w:kern w:val="0"/>
          <w:sz w:val="32"/>
          <w:szCs w:val="32"/>
          <w:highlight w:val="none"/>
          <w:lang w:val="sq-AL" w:eastAsia="zh-CN" w:bidi="ar-SA"/>
        </w:rPr>
        <w:t>双方确定因履行本合应遵守的保密义务如下：</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甲方：</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1.保密内容（包括技术信息和经营信息）：乙方课题研究相关成果。</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2.涉密人员范围：项目参加人员，包括直接或间接参与合作事项的管理人员、职员、顾问和其他雇员。</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3.保密期限：合同有效期及合同终止后两年内。</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4.泄密责任：赔偿乙方本合同金额的20%。</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乙方：</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1.保密内容（包括技术信息和经营信息）：甲方公司技术信息、经营信息、人员信息等在内的所有与甲方公司运营相关的信息。</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2.涉密人员范围：项目参加人员，包括直接或间接参与合作事项的管理人员、职员、顾问和其他雇员。</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3.保密期限：合同有效期及合同终止后两年内。</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sq-AL" w:eastAsia="zh-CN" w:bidi="ar-SA"/>
        </w:rPr>
      </w:pPr>
      <w:r>
        <w:rPr>
          <w:rFonts w:hint="eastAsia" w:ascii="仿宋" w:hAnsi="仿宋" w:eastAsia="仿宋" w:cs="仿宋"/>
          <w:b w:val="0"/>
          <w:bCs w:val="0"/>
          <w:color w:val="auto"/>
          <w:kern w:val="0"/>
          <w:sz w:val="32"/>
          <w:szCs w:val="32"/>
          <w:highlight w:val="none"/>
          <w:lang w:val="sq-AL" w:eastAsia="zh-CN" w:bidi="ar-SA"/>
        </w:rPr>
        <w:t>4.泄密责任：赔偿甲方本合同金额的20%。</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 xml:space="preserve">4.2 </w:t>
      </w:r>
      <w:r>
        <w:rPr>
          <w:rFonts w:hint="eastAsia" w:ascii="仿宋" w:hAnsi="仿宋" w:eastAsia="仿宋" w:cs="仿宋"/>
          <w:b w:val="0"/>
          <w:bCs w:val="0"/>
          <w:color w:val="auto"/>
          <w:kern w:val="0"/>
          <w:sz w:val="32"/>
          <w:szCs w:val="32"/>
          <w:highlight w:val="none"/>
          <w:lang w:val="sq-AL" w:eastAsia="zh-CN" w:bidi="ar-SA"/>
        </w:rPr>
        <w:t>乙方所提供的</w:t>
      </w:r>
      <w:r>
        <w:rPr>
          <w:rFonts w:hint="eastAsia" w:ascii="仿宋" w:hAnsi="仿宋" w:eastAsia="仿宋" w:cs="仿宋"/>
          <w:b w:val="0"/>
          <w:bCs w:val="0"/>
          <w:color w:val="auto"/>
          <w:kern w:val="0"/>
          <w:sz w:val="32"/>
          <w:szCs w:val="32"/>
          <w:highlight w:val="none"/>
          <w:lang w:val="en-US" w:eastAsia="zh-CN" w:bidi="ar-SA"/>
        </w:rPr>
        <w:t>技术服务需通过酒钢专家委员会考评</w:t>
      </w:r>
      <w:r>
        <w:rPr>
          <w:rFonts w:hint="eastAsia" w:ascii="仿宋" w:hAnsi="仿宋" w:eastAsia="仿宋" w:cs="仿宋"/>
          <w:b w:val="0"/>
          <w:bCs w:val="0"/>
          <w:color w:val="auto"/>
          <w:kern w:val="0"/>
          <w:sz w:val="32"/>
          <w:szCs w:val="32"/>
          <w:highlight w:val="none"/>
          <w:lang w:val="sq-AL"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0" w:firstLineChars="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售后服务要求</w:t>
      </w:r>
    </w:p>
    <w:p>
      <w:pPr>
        <w:keepNext w:val="0"/>
        <w:keepLines w:val="0"/>
        <w:pageBreakBefore w:val="0"/>
        <w:widowControl w:val="0"/>
        <w:tabs>
          <w:tab w:val="left" w:pos="540"/>
          <w:tab w:val="left" w:pos="720"/>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5.1乙方提供技术服务过程以及完成技术服务后对甲方应进行必要的技术培训，针对甲方项目执行期间存在的疑问提供必要的技术培训。</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六、双方责任</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6.1</w:t>
      </w:r>
      <w:r>
        <w:rPr>
          <w:rFonts w:hint="eastAsia" w:ascii="仿宋" w:hAnsi="仿宋" w:eastAsia="仿宋" w:cs="仿宋"/>
          <w:color w:val="auto"/>
          <w:sz w:val="32"/>
          <w:szCs w:val="32"/>
          <w:highlight w:val="none"/>
        </w:rPr>
        <w:t>甲方责任</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6.1.1因甲方错误提供运行环境参数及物料技术参数导致的采购异议问题，由甲方承担所有责任。</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6.1.2合同期内因甲方未按使用说明书要求进行试验造成的设备损坏情况，由甲方承担所有责任。</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6.2乙方责任</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6.2.1因乙方疏忽或预前确认不到位造成的错误服务由乙方承担所有事后处理责任。</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6.2.2乙方未按此合同所述条款进行服务造成的损失由乙方承担所有责任。</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firstLine="0" w:firstLineChars="0"/>
        <w:jc w:val="both"/>
        <w:textAlignment w:val="baselin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七、违约责任</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8.1乙方对未按协议具体条款提供技术服务、延期提供技术服务、未按期提供服务或不服务的情况造成的损失负全部责任。</w:t>
      </w:r>
    </w:p>
    <w:p>
      <w:pPr>
        <w:keepNext w:val="0"/>
        <w:keepLines w:val="0"/>
        <w:pageBreakBefore w:val="0"/>
        <w:widowControl w:val="0"/>
        <w:tabs>
          <w:tab w:val="left" w:pos="0"/>
          <w:tab w:val="left" w:pos="720"/>
          <w:tab w:val="left" w:pos="900"/>
          <w:tab w:val="left" w:pos="1080"/>
        </w:tabs>
        <w:kinsoku/>
        <w:wordWrap/>
        <w:overflowPunct/>
        <w:topLinePunct w:val="0"/>
        <w:autoSpaceDE/>
        <w:autoSpaceDN/>
        <w:bidi w:val="0"/>
        <w:adjustRightInd w:val="0"/>
        <w:snapToGrid/>
        <w:spacing w:before="0" w:beforeAutospacing="0" w:after="0" w:afterAutospacing="0" w:line="600" w:lineRule="exact"/>
        <w:ind w:firstLine="0" w:firstLineChars="0"/>
        <w:jc w:val="both"/>
        <w:textAlignment w:val="baselin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八</w:t>
      </w:r>
      <w:r>
        <w:rPr>
          <w:rFonts w:hint="eastAsia" w:ascii="仿宋" w:hAnsi="仿宋" w:eastAsia="仿宋" w:cs="仿宋"/>
          <w:b/>
          <w:color w:val="auto"/>
          <w:sz w:val="32"/>
          <w:szCs w:val="32"/>
          <w:highlight w:val="none"/>
        </w:rPr>
        <w:t>、其它</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sq-AL" w:eastAsia="zh-CN"/>
        </w:rPr>
      </w:pPr>
      <w:r>
        <w:rPr>
          <w:rFonts w:hint="eastAsia" w:ascii="仿宋" w:hAnsi="仿宋" w:eastAsia="仿宋" w:cs="仿宋"/>
          <w:color w:val="auto"/>
          <w:sz w:val="32"/>
          <w:szCs w:val="32"/>
          <w:highlight w:val="none"/>
          <w:lang w:val="en-US" w:eastAsia="zh-CN"/>
        </w:rPr>
        <w:t>8.1</w:t>
      </w:r>
      <w:r>
        <w:rPr>
          <w:rFonts w:hint="eastAsia" w:ascii="仿宋" w:hAnsi="仿宋" w:eastAsia="仿宋" w:cs="仿宋"/>
          <w:color w:val="auto"/>
          <w:sz w:val="32"/>
          <w:szCs w:val="32"/>
          <w:highlight w:val="none"/>
          <w:lang w:val="sq-AL" w:eastAsia="zh-CN"/>
        </w:rPr>
        <w:t>本技术协议作为</w:t>
      </w:r>
      <w:r>
        <w:rPr>
          <w:rFonts w:hint="eastAsia" w:ascii="仿宋" w:hAnsi="仿宋" w:eastAsia="仿宋" w:cs="仿宋"/>
          <w:color w:val="auto"/>
          <w:sz w:val="32"/>
          <w:szCs w:val="32"/>
          <w:highlight w:val="none"/>
          <w:lang w:val="en-US" w:eastAsia="zh-CN"/>
        </w:rPr>
        <w:t>技术服务</w:t>
      </w:r>
      <w:r>
        <w:rPr>
          <w:rFonts w:hint="eastAsia" w:ascii="仿宋" w:hAnsi="仿宋" w:eastAsia="仿宋" w:cs="仿宋"/>
          <w:color w:val="auto"/>
          <w:sz w:val="32"/>
          <w:szCs w:val="32"/>
          <w:highlight w:val="none"/>
          <w:lang w:val="sq-AL" w:eastAsia="zh-CN"/>
        </w:rPr>
        <w:t>合同的附件之一，为设计、生产、验收产品质量的技术依据。关于</w:t>
      </w:r>
      <w:r>
        <w:rPr>
          <w:rFonts w:hint="eastAsia" w:ascii="仿宋" w:hAnsi="仿宋" w:eastAsia="仿宋" w:cs="仿宋"/>
          <w:color w:val="auto"/>
          <w:sz w:val="32"/>
          <w:szCs w:val="32"/>
          <w:highlight w:val="none"/>
          <w:lang w:val="en-US" w:eastAsia="zh-CN"/>
        </w:rPr>
        <w:t>技术服务完成</w:t>
      </w:r>
      <w:r>
        <w:rPr>
          <w:rFonts w:hint="eastAsia" w:ascii="仿宋" w:hAnsi="仿宋" w:eastAsia="仿宋" w:cs="仿宋"/>
          <w:color w:val="auto"/>
          <w:sz w:val="32"/>
          <w:szCs w:val="32"/>
          <w:highlight w:val="none"/>
          <w:lang w:val="sq-AL" w:eastAsia="zh-CN"/>
        </w:rPr>
        <w:t>时间、付款方式、服务及酬金、违约责任及处理办法等，均以合同为准。</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sq-AL" w:eastAsia="zh-CN"/>
        </w:rPr>
      </w:pPr>
      <w:r>
        <w:rPr>
          <w:rFonts w:hint="eastAsia" w:ascii="仿宋" w:hAnsi="仿宋" w:eastAsia="仿宋" w:cs="仿宋"/>
          <w:color w:val="auto"/>
          <w:sz w:val="32"/>
          <w:szCs w:val="32"/>
          <w:highlight w:val="none"/>
          <w:lang w:val="en-US" w:eastAsia="zh-CN"/>
        </w:rPr>
        <w:t>8.2</w:t>
      </w:r>
      <w:r>
        <w:rPr>
          <w:rFonts w:hint="eastAsia" w:ascii="仿宋" w:hAnsi="仿宋" w:eastAsia="仿宋" w:cs="仿宋"/>
          <w:color w:val="auto"/>
          <w:sz w:val="32"/>
          <w:szCs w:val="32"/>
          <w:highlight w:val="none"/>
          <w:lang w:val="sq-AL" w:eastAsia="zh-CN"/>
        </w:rPr>
        <w:t>本技术规格协议与合同具有同等的法律效力。</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sq-AL" w:eastAsia="zh-CN"/>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val="sq-AL"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val="sq-AL" w:eastAsia="zh-CN"/>
        </w:rPr>
        <w:t>本技术规格协议中未尽事宜，双方协商解决。</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val="sq-AL"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sq-AL" w:eastAsia="zh-CN"/>
        </w:rPr>
        <w:t>本技术规格协议一式四份，甲方三份，乙方一份</w:t>
      </w:r>
      <w:r>
        <w:rPr>
          <w:rFonts w:hint="eastAsia" w:ascii="仿宋" w:hAnsi="仿宋" w:eastAsia="仿宋" w:cs="仿宋"/>
          <w:color w:val="auto"/>
          <w:sz w:val="32"/>
          <w:szCs w:val="32"/>
          <w:highlight w:val="none"/>
          <w:lang w:val="en-US" w:eastAsia="zh-CN"/>
        </w:rPr>
        <w:t>。</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8.5</w:t>
      </w:r>
      <w:r>
        <w:rPr>
          <w:rFonts w:hint="eastAsia" w:ascii="仿宋" w:hAnsi="仿宋" w:eastAsia="仿宋" w:cs="仿宋"/>
          <w:color w:val="auto"/>
          <w:sz w:val="32"/>
          <w:szCs w:val="32"/>
          <w:highlight w:val="none"/>
          <w:lang w:val="sq-AL" w:eastAsia="zh-CN"/>
        </w:rPr>
        <w:t>本技术规格协议</w:t>
      </w:r>
      <w:r>
        <w:rPr>
          <w:rFonts w:hint="eastAsia" w:ascii="仿宋" w:hAnsi="仿宋" w:eastAsia="仿宋" w:cs="仿宋"/>
          <w:color w:val="auto"/>
          <w:sz w:val="32"/>
          <w:szCs w:val="32"/>
          <w:highlight w:val="none"/>
          <w:lang w:val="en-US" w:eastAsia="zh-CN"/>
        </w:rPr>
        <w:t>为标前技术规格协议，如乙方未中标，本协议自动失效。</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甲方单位名称：甘肃酒钢集团宏兴钢铁股份有限公司炼轧厂  </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  </w:t>
      </w: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甲方代表：                              年   月   日</w:t>
      </w:r>
    </w:p>
    <w:p>
      <w:pPr>
        <w:pStyle w:val="3"/>
        <w:rPr>
          <w:rFonts w:hint="eastAsia" w:ascii="仿宋" w:hAnsi="仿宋" w:eastAsia="仿宋" w:cs="仿宋"/>
          <w:b/>
          <w:bCs/>
          <w:color w:val="auto"/>
          <w:sz w:val="32"/>
          <w:szCs w:val="32"/>
          <w:highlight w:val="none"/>
          <w:lang w:val="en-US" w:eastAsia="zh-CN"/>
        </w:rPr>
      </w:pPr>
    </w:p>
    <w:p>
      <w:pPr>
        <w:rPr>
          <w:rFonts w:hint="eastAsia"/>
          <w:color w:val="auto"/>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乙方单位名称：</w:t>
      </w:r>
    </w:p>
    <w:p>
      <w:pPr>
        <w:pStyle w:val="3"/>
        <w:rPr>
          <w:rFonts w:hint="eastAsia" w:ascii="仿宋" w:hAnsi="仿宋" w:eastAsia="仿宋" w:cs="仿宋"/>
          <w:b/>
          <w:bCs/>
          <w:color w:val="auto"/>
          <w:sz w:val="32"/>
          <w:szCs w:val="32"/>
          <w:highlight w:val="none"/>
          <w:lang w:val="en-US" w:eastAsia="zh-CN"/>
        </w:rPr>
      </w:pPr>
    </w:p>
    <w:p>
      <w:pPr>
        <w:rPr>
          <w:rFonts w:hint="eastAsia" w:ascii="仿宋" w:hAnsi="仿宋" w:eastAsia="仿宋" w:cs="仿宋"/>
          <w:b/>
          <w:bCs/>
          <w:color w:val="auto"/>
          <w:sz w:val="32"/>
          <w:szCs w:val="32"/>
          <w:highlight w:val="none"/>
          <w:lang w:val="en-US" w:eastAsia="zh-CN"/>
        </w:rPr>
      </w:pPr>
    </w:p>
    <w:p>
      <w:pPr>
        <w:pStyle w:val="3"/>
        <w:rPr>
          <w:rFonts w:hint="eastAsia"/>
          <w:color w:val="auto"/>
          <w:highlight w:val="none"/>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乙方代表：                              年   月   日</w:t>
      </w:r>
    </w:p>
    <w:p>
      <w:pPr>
        <w:pStyle w:val="2"/>
        <w:bidi w:val="0"/>
        <w:rPr>
          <w:rStyle w:val="22"/>
          <w:rFonts w:hint="eastAsia"/>
          <w:b/>
          <w:bCs w:val="0"/>
          <w:color w:val="auto"/>
          <w:highlight w:val="none"/>
        </w:rPr>
      </w:pPr>
    </w:p>
    <w:p>
      <w:pPr>
        <w:rPr>
          <w:rStyle w:val="22"/>
          <w:rFonts w:hint="eastAsia"/>
          <w:b/>
          <w:bCs w:val="0"/>
          <w:color w:val="auto"/>
          <w:highlight w:val="none"/>
        </w:rPr>
      </w:pPr>
    </w:p>
    <w:p>
      <w:pPr>
        <w:keepNext w:val="0"/>
        <w:keepLines w:val="0"/>
        <w:pageBreakBefore w:val="0"/>
        <w:widowControl w:val="0"/>
        <w:tabs>
          <w:tab w:val="left" w:pos="1080"/>
        </w:tabs>
        <w:kinsoku/>
        <w:wordWrap/>
        <w:overflowPunct/>
        <w:topLinePunct w:val="0"/>
        <w:autoSpaceDE/>
        <w:autoSpaceDN/>
        <w:bidi w:val="0"/>
        <w:adjustRightInd/>
        <w:snapToGrid/>
        <w:spacing w:before="0" w:beforeAutospacing="0" w:after="0" w:afterAutospacing="0" w:line="600" w:lineRule="exact"/>
        <w:ind w:firstLine="721" w:firstLineChars="200"/>
        <w:jc w:val="both"/>
        <w:textAlignment w:val="auto"/>
        <w:rPr>
          <w:rStyle w:val="22"/>
          <w:rFonts w:hint="eastAsia"/>
          <w:b/>
          <w:bCs w:val="0"/>
          <w:color w:val="auto"/>
          <w:highlight w:val="none"/>
        </w:rPr>
      </w:pPr>
    </w:p>
    <w:sectPr>
      <w:pgSz w:w="11906" w:h="16838"/>
      <w:pgMar w:top="1701" w:right="1559"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YTgxN2RlMjM2ZGNiNzhmZjE3Mzc2ZDljYTY1ZWUifQ=="/>
    <w:docVar w:name="KSO_WPS_MARK_KEY" w:val="23a65763-7241-4953-a20b-6ce7917a3699"/>
  </w:docVars>
  <w:rsids>
    <w:rsidRoot w:val="5F0524A2"/>
    <w:rsid w:val="04F77C74"/>
    <w:rsid w:val="06A25465"/>
    <w:rsid w:val="088E3EF3"/>
    <w:rsid w:val="09331ABF"/>
    <w:rsid w:val="12F57906"/>
    <w:rsid w:val="15F116BA"/>
    <w:rsid w:val="16BA4105"/>
    <w:rsid w:val="16CB6312"/>
    <w:rsid w:val="1A7940DF"/>
    <w:rsid w:val="1A911EC9"/>
    <w:rsid w:val="1B1C538E"/>
    <w:rsid w:val="1BC838BC"/>
    <w:rsid w:val="1DB467C0"/>
    <w:rsid w:val="24913F18"/>
    <w:rsid w:val="26865DB2"/>
    <w:rsid w:val="304D32BE"/>
    <w:rsid w:val="32741C3E"/>
    <w:rsid w:val="32E76AE8"/>
    <w:rsid w:val="353A7CCD"/>
    <w:rsid w:val="37EF7C5B"/>
    <w:rsid w:val="439660FE"/>
    <w:rsid w:val="43C55D14"/>
    <w:rsid w:val="449F0DA3"/>
    <w:rsid w:val="47F15329"/>
    <w:rsid w:val="4A677B24"/>
    <w:rsid w:val="4E5B174E"/>
    <w:rsid w:val="50B72131"/>
    <w:rsid w:val="537B019D"/>
    <w:rsid w:val="54DB76A5"/>
    <w:rsid w:val="55705A76"/>
    <w:rsid w:val="5829466B"/>
    <w:rsid w:val="58D713F9"/>
    <w:rsid w:val="5D6E3BFC"/>
    <w:rsid w:val="5F0524A2"/>
    <w:rsid w:val="67A45ABC"/>
    <w:rsid w:val="6D7101EF"/>
    <w:rsid w:val="6F881820"/>
    <w:rsid w:val="712559EA"/>
    <w:rsid w:val="76402E54"/>
    <w:rsid w:val="77310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1968" w:firstLineChars="200"/>
      <w:jc w:val="both"/>
    </w:pPr>
    <w:rPr>
      <w:rFonts w:ascii="Times New Roman" w:hAnsi="Times New Roman" w:eastAsia="仿宋_GB2312" w:cs="Arial"/>
      <w:kern w:val="2"/>
      <w:sz w:val="32"/>
      <w:szCs w:val="22"/>
      <w:lang w:val="en-US" w:eastAsia="zh-CN" w:bidi="ar-SA"/>
    </w:rPr>
  </w:style>
  <w:style w:type="paragraph" w:styleId="2">
    <w:name w:val="heading 1"/>
    <w:basedOn w:val="3"/>
    <w:next w:val="4"/>
    <w:link w:val="22"/>
    <w:qFormat/>
    <w:uiPriority w:val="9"/>
    <w:pPr>
      <w:keepNext/>
      <w:keepLines/>
      <w:spacing w:beforeLines="0" w:beforeAutospacing="0" w:afterLines="0" w:afterAutospacing="0" w:line="560" w:lineRule="exact"/>
      <w:ind w:firstLine="0" w:firstLineChars="0"/>
      <w:jc w:val="center"/>
      <w:outlineLvl w:val="0"/>
    </w:pPr>
    <w:rPr>
      <w:rFonts w:ascii="华文中宋" w:hAnsi="华文中宋" w:eastAsia="华文中宋"/>
      <w:kern w:val="44"/>
      <w:sz w:val="36"/>
    </w:rPr>
  </w:style>
  <w:style w:type="paragraph" w:styleId="4">
    <w:name w:val="heading 2"/>
    <w:basedOn w:val="5"/>
    <w:next w:val="6"/>
    <w:unhideWhenUsed/>
    <w:qFormat/>
    <w:uiPriority w:val="9"/>
    <w:pPr>
      <w:keepNext/>
      <w:keepLines/>
      <w:spacing w:beforeLines="0" w:beforeAutospacing="0" w:afterLines="0" w:afterAutospacing="0" w:line="500" w:lineRule="exact"/>
      <w:ind w:firstLine="0" w:firstLineChars="0"/>
      <w:outlineLvl w:val="1"/>
    </w:pPr>
    <w:rPr>
      <w:rFonts w:ascii="Arial" w:hAnsi="Arial" w:eastAsia="黑体"/>
    </w:rPr>
  </w:style>
  <w:style w:type="paragraph" w:styleId="6">
    <w:name w:val="heading 3"/>
    <w:basedOn w:val="1"/>
    <w:next w:val="1"/>
    <w:unhideWhenUsed/>
    <w:qFormat/>
    <w:uiPriority w:val="9"/>
    <w:pPr>
      <w:keepNext/>
      <w:keepLines/>
      <w:spacing w:beforeLines="0" w:beforeAutospacing="0" w:afterLines="0" w:afterAutospacing="0" w:line="500" w:lineRule="exact"/>
      <w:outlineLvl w:val="2"/>
    </w:pPr>
    <w:rPr>
      <w:rFonts w:ascii="Times New Roman" w:hAnsi="Times New Roman"/>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toc 1"/>
    <w:basedOn w:val="1"/>
    <w:next w:val="1"/>
    <w:unhideWhenUsed/>
    <w:qFormat/>
    <w:uiPriority w:val="39"/>
    <w:pPr>
      <w:spacing w:line="360" w:lineRule="exact"/>
      <w:ind w:firstLine="0" w:firstLineChars="0"/>
    </w:pPr>
    <w:rPr>
      <w:rFonts w:ascii="Times New Roman" w:hAnsi="Times New Roman"/>
    </w:rPr>
  </w:style>
  <w:style w:type="paragraph" w:styleId="5">
    <w:name w:val="toc 2"/>
    <w:basedOn w:val="1"/>
    <w:next w:val="1"/>
    <w:unhideWhenUsed/>
    <w:qFormat/>
    <w:uiPriority w:val="39"/>
    <w:pPr>
      <w:spacing w:line="360" w:lineRule="exact"/>
      <w:ind w:left="420" w:leftChars="200" w:firstLine="0" w:firstLineChars="0"/>
    </w:pPr>
    <w:rPr>
      <w:rFonts w:ascii="Times New Roman" w:hAnsi="Times New Roman"/>
    </w:rPr>
  </w:style>
  <w:style w:type="paragraph" w:styleId="7">
    <w:name w:val="caption"/>
    <w:basedOn w:val="1"/>
    <w:next w:val="1"/>
    <w:qFormat/>
    <w:uiPriority w:val="99"/>
    <w:rPr>
      <w:rFonts w:ascii="Arial" w:hAnsi="Arial" w:eastAsia="黑体"/>
      <w:sz w:val="20"/>
      <w:szCs w:val="20"/>
    </w:rPr>
  </w:style>
  <w:style w:type="paragraph" w:styleId="8">
    <w:name w:val="toa heading"/>
    <w:basedOn w:val="1"/>
    <w:next w:val="1"/>
    <w:unhideWhenUsed/>
    <w:qFormat/>
    <w:uiPriority w:val="99"/>
    <w:pPr>
      <w:spacing w:before="120"/>
    </w:pPr>
    <w:rPr>
      <w:rFonts w:ascii="Arial" w:hAnsi="Arial" w:cs="Arial"/>
      <w:sz w:val="24"/>
    </w:rPr>
  </w:style>
  <w:style w:type="paragraph" w:styleId="9">
    <w:name w:val="index 6"/>
    <w:basedOn w:val="1"/>
    <w:next w:val="1"/>
    <w:qFormat/>
    <w:uiPriority w:val="0"/>
    <w:pPr>
      <w:ind w:left="2100"/>
    </w:pPr>
  </w:style>
  <w:style w:type="paragraph" w:styleId="10">
    <w:name w:val="Body Text"/>
    <w:basedOn w:val="1"/>
    <w:next w:val="1"/>
    <w:qFormat/>
    <w:uiPriority w:val="1"/>
    <w:rPr>
      <w:rFonts w:ascii="宋体" w:hAnsi="宋体" w:eastAsia="宋体" w:cs="宋体"/>
      <w:sz w:val="30"/>
      <w:szCs w:val="30"/>
      <w:lang w:val="zh-CN" w:eastAsia="zh-CN" w:bidi="zh-CN"/>
    </w:rPr>
  </w:style>
  <w:style w:type="paragraph" w:styleId="11">
    <w:name w:val="toc 4"/>
    <w:next w:val="1"/>
    <w:qFormat/>
    <w:uiPriority w:val="0"/>
    <w:pPr>
      <w:wordWrap w:val="0"/>
      <w:spacing w:before="0" w:line="240" w:lineRule="auto"/>
      <w:ind w:left="850"/>
      <w:jc w:val="both"/>
    </w:pPr>
    <w:rPr>
      <w:rFonts w:ascii="Times New Roman" w:hAnsi="Times New Roman" w:eastAsia="宋体" w:cs="Times New Roman"/>
      <w:sz w:val="21"/>
    </w:rPr>
  </w:style>
  <w:style w:type="paragraph" w:styleId="12">
    <w:name w:val="HTML Preformatted"/>
    <w:basedOn w:val="1"/>
    <w:qFormat/>
    <w:uiPriority w:val="0"/>
    <w:rPr>
      <w:rFonts w:ascii="Courier New" w:hAnsi="Courier New"/>
      <w:sz w:val="20"/>
    </w:rPr>
  </w:style>
  <w:style w:type="paragraph" w:styleId="13">
    <w:name w:val="Body Text First Indent"/>
    <w:basedOn w:val="12"/>
    <w:next w:val="9"/>
    <w:qFormat/>
    <w:uiPriority w:val="0"/>
    <w:pPr>
      <w:ind w:firstLine="420" w:firstLineChars="100"/>
    </w:pPr>
  </w:style>
  <w:style w:type="paragraph" w:customStyle="1" w:styleId="16">
    <w:name w:val="Heading1"/>
    <w:basedOn w:val="17"/>
    <w:next w:val="18"/>
    <w:qFormat/>
    <w:uiPriority w:val="0"/>
    <w:pPr>
      <w:keepNext/>
      <w:keepLines/>
      <w:tabs>
        <w:tab w:val="right" w:leader="dot" w:pos="9061"/>
      </w:tabs>
      <w:spacing w:before="100" w:beforeAutospacing="1" w:after="100" w:afterAutospacing="1" w:line="360" w:lineRule="auto"/>
      <w:ind w:firstLine="302" w:firstLineChars="302"/>
      <w:textAlignment w:val="baseline"/>
    </w:pPr>
    <w:rPr>
      <w:rFonts w:cs="Times New Roman"/>
      <w:b/>
      <w:bCs/>
      <w:kern w:val="44"/>
      <w:sz w:val="28"/>
      <w:szCs w:val="44"/>
    </w:rPr>
  </w:style>
  <w:style w:type="paragraph" w:customStyle="1" w:styleId="17">
    <w:name w:val="TOC1"/>
    <w:basedOn w:val="1"/>
    <w:next w:val="1"/>
    <w:semiHidden/>
    <w:qFormat/>
    <w:uiPriority w:val="0"/>
    <w:pPr>
      <w:tabs>
        <w:tab w:val="right" w:leader="dot" w:pos="9061"/>
      </w:tabs>
      <w:spacing w:before="100" w:beforeAutospacing="1" w:after="100" w:afterAutospacing="1" w:line="480" w:lineRule="auto"/>
      <w:ind w:firstLine="302" w:firstLineChars="302"/>
      <w:textAlignment w:val="baseline"/>
    </w:pPr>
  </w:style>
  <w:style w:type="paragraph" w:customStyle="1" w:styleId="18">
    <w:name w:val="Heading2"/>
    <w:basedOn w:val="19"/>
    <w:next w:val="20"/>
    <w:qFormat/>
    <w:uiPriority w:val="0"/>
    <w:pPr>
      <w:keepNext/>
      <w:keepLines/>
      <w:spacing w:before="100" w:beforeAutospacing="1" w:after="100" w:afterAutospacing="1" w:line="360" w:lineRule="auto"/>
      <w:ind w:left="420" w:leftChars="200" w:firstLine="302" w:firstLineChars="302"/>
      <w:textAlignment w:val="baseline"/>
    </w:pPr>
    <w:rPr>
      <w:rFonts w:ascii="Cambria" w:hAnsi="Cambria" w:cs="Times New Roman"/>
      <w:b/>
      <w:bCs/>
      <w:sz w:val="28"/>
      <w:szCs w:val="32"/>
    </w:rPr>
  </w:style>
  <w:style w:type="paragraph" w:customStyle="1" w:styleId="19">
    <w:name w:val="TOC2"/>
    <w:basedOn w:val="1"/>
    <w:next w:val="1"/>
    <w:semiHidden/>
    <w:qFormat/>
    <w:uiPriority w:val="0"/>
    <w:pPr>
      <w:spacing w:before="100" w:beforeAutospacing="1" w:after="100" w:afterAutospacing="1" w:line="360" w:lineRule="atLeast"/>
      <w:ind w:left="420" w:leftChars="200" w:firstLine="302" w:firstLineChars="302"/>
      <w:textAlignment w:val="baseline"/>
    </w:pPr>
  </w:style>
  <w:style w:type="paragraph" w:customStyle="1" w:styleId="20">
    <w:name w:val="Heading3"/>
    <w:basedOn w:val="21"/>
    <w:next w:val="1"/>
    <w:qFormat/>
    <w:uiPriority w:val="0"/>
    <w:pPr>
      <w:keepNext/>
      <w:keepLines/>
      <w:spacing w:before="100" w:beforeAutospacing="1" w:after="100" w:afterAutospacing="1" w:line="416" w:lineRule="auto"/>
      <w:ind w:left="840" w:leftChars="400" w:firstLine="302" w:firstLineChars="302"/>
      <w:textAlignment w:val="baseline"/>
    </w:pPr>
    <w:rPr>
      <w:rFonts w:cs="Times New Roman"/>
      <w:b/>
      <w:bCs/>
      <w:sz w:val="28"/>
      <w:szCs w:val="32"/>
    </w:rPr>
  </w:style>
  <w:style w:type="paragraph" w:customStyle="1" w:styleId="21">
    <w:name w:val="TOC3"/>
    <w:basedOn w:val="1"/>
    <w:next w:val="1"/>
    <w:qFormat/>
    <w:uiPriority w:val="0"/>
    <w:pPr>
      <w:spacing w:before="100" w:beforeAutospacing="1" w:after="100" w:afterAutospacing="1" w:line="360" w:lineRule="atLeast"/>
      <w:ind w:left="840" w:leftChars="400" w:firstLine="302" w:firstLineChars="302"/>
      <w:textAlignment w:val="baseline"/>
    </w:pPr>
  </w:style>
  <w:style w:type="character" w:customStyle="1" w:styleId="22">
    <w:name w:val="标题 1 Char"/>
    <w:link w:val="2"/>
    <w:qFormat/>
    <w:locked/>
    <w:uiPriority w:val="99"/>
    <w:rPr>
      <w:rFonts w:ascii="华文中宋" w:hAnsi="华文中宋" w:eastAsia="华文中宋"/>
      <w:kern w:val="44"/>
      <w:sz w:val="36"/>
    </w:rPr>
  </w:style>
  <w:style w:type="character" w:customStyle="1" w:styleId="23">
    <w:name w:val="font21"/>
    <w:basedOn w:val="15"/>
    <w:uiPriority w:val="0"/>
    <w:rPr>
      <w:rFonts w:hint="default" w:ascii="Times New Roman" w:hAnsi="Times New Roman" w:cs="Times New Roman"/>
      <w:b/>
      <w:bCs/>
      <w:color w:val="000000"/>
      <w:sz w:val="21"/>
      <w:szCs w:val="21"/>
      <w:u w:val="none"/>
    </w:rPr>
  </w:style>
  <w:style w:type="character" w:customStyle="1" w:styleId="24">
    <w:name w:val="font41"/>
    <w:basedOn w:val="15"/>
    <w:qFormat/>
    <w:uiPriority w:val="0"/>
    <w:rPr>
      <w:rFonts w:hint="default" w:ascii="Times New Roman" w:hAnsi="Times New Roman" w:cs="Times New Roman"/>
      <w:b/>
      <w:bCs/>
      <w:color w:val="000000"/>
      <w:sz w:val="21"/>
      <w:szCs w:val="21"/>
      <w:u w:val="none"/>
      <w:vertAlign w:val="subscript"/>
    </w:rPr>
  </w:style>
  <w:style w:type="character" w:customStyle="1" w:styleId="25">
    <w:name w:val="font51"/>
    <w:basedOn w:val="15"/>
    <w:qFormat/>
    <w:uiPriority w:val="0"/>
    <w:rPr>
      <w:rFonts w:hint="eastAsia" w:ascii="仿宋" w:hAnsi="仿宋" w:eastAsia="仿宋" w:cs="仿宋"/>
      <w:color w:val="000000"/>
      <w:sz w:val="21"/>
      <w:szCs w:val="21"/>
      <w:u w:val="none"/>
    </w:rPr>
  </w:style>
  <w:style w:type="character" w:customStyle="1" w:styleId="26">
    <w:name w:val="font31"/>
    <w:basedOn w:val="1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2330</Words>
  <Characters>2832</Characters>
  <Lines>0</Lines>
  <Paragraphs>0</Paragraphs>
  <TotalTime>23</TotalTime>
  <ScaleCrop>false</ScaleCrop>
  <LinksUpToDate>false</LinksUpToDate>
  <CharactersWithSpaces>2971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2023-04-15T01:04:00Z</dcterms:created>
  <dc:creator>许荣</dc:creator>
  <cp:lastModifiedBy>许荣</cp:lastModifiedBy>
  <dcterms:modified xsi:type="dcterms:W3CDTF">2025-02-10T01:17:40Z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CB185FF609184498B601EF7A1C8F24E8_13</vt:lpwstr>
  </property>
</Properties>
</file>