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baseline"/>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rPr>
        <w:t>酒钢集团东兴铝业陇西分公司</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baseline"/>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rPr>
        <w:t>衍射仪</w:t>
      </w:r>
      <w:r>
        <w:rPr>
          <w:rFonts w:hint="eastAsia" w:ascii="华文中宋" w:hAnsi="华文中宋" w:eastAsia="华文中宋" w:cs="华文中宋"/>
          <w:b w:val="0"/>
          <w:bCs/>
          <w:sz w:val="36"/>
          <w:szCs w:val="36"/>
          <w:lang w:eastAsia="zh-CN"/>
        </w:rPr>
        <w:t>、</w:t>
      </w:r>
      <w:r>
        <w:rPr>
          <w:rFonts w:hint="eastAsia" w:ascii="华文中宋" w:hAnsi="华文中宋" w:eastAsia="华文中宋" w:cs="华文中宋"/>
          <w:b w:val="0"/>
          <w:bCs/>
          <w:sz w:val="36"/>
          <w:szCs w:val="36"/>
        </w:rPr>
        <w:t>光谱仪</w:t>
      </w:r>
      <w:r>
        <w:rPr>
          <w:rFonts w:hint="eastAsia" w:ascii="华文中宋" w:hAnsi="华文中宋" w:eastAsia="华文中宋" w:cs="华文中宋"/>
          <w:b w:val="0"/>
          <w:bCs/>
          <w:sz w:val="36"/>
          <w:szCs w:val="36"/>
          <w:lang w:val="en-US" w:eastAsia="zh-CN"/>
        </w:rPr>
        <w:t>及气相色谱仪</w:t>
      </w:r>
      <w:r>
        <w:rPr>
          <w:rFonts w:hint="eastAsia" w:ascii="华文中宋" w:hAnsi="华文中宋" w:eastAsia="华文中宋" w:cs="华文中宋"/>
          <w:b w:val="0"/>
          <w:bCs/>
          <w:sz w:val="36"/>
          <w:szCs w:val="36"/>
        </w:rPr>
        <w:t>维保</w:t>
      </w:r>
    </w:p>
    <w:p>
      <w:pPr>
        <w:pStyle w:val="2"/>
        <w:keepNext w:val="0"/>
        <w:keepLines w:val="0"/>
        <w:pageBreakBefore w:val="0"/>
        <w:widowControl w:val="0"/>
        <w:numPr>
          <w:ilvl w:val="1"/>
          <w:numId w:val="0"/>
        </w:numPr>
        <w:kinsoku/>
        <w:wordWrap/>
        <w:overflowPunct/>
        <w:topLinePunct w:val="0"/>
        <w:autoSpaceDE/>
        <w:autoSpaceDN/>
        <w:bidi w:val="0"/>
        <w:adjustRightInd w:val="0"/>
        <w:spacing w:line="560" w:lineRule="exact"/>
        <w:ind w:leftChars="0"/>
        <w:textAlignment w:val="baseline"/>
        <w:rPr>
          <w:rFonts w:hint="eastAsia"/>
        </w:rPr>
      </w:pPr>
    </w:p>
    <w:p>
      <w:pPr>
        <w:keepNext w:val="0"/>
        <w:keepLines w:val="0"/>
        <w:pageBreakBefore w:val="0"/>
        <w:widowControl w:val="0"/>
        <w:kinsoku/>
        <w:wordWrap/>
        <w:overflowPunct/>
        <w:topLinePunct w:val="0"/>
        <w:autoSpaceDE/>
        <w:autoSpaceDN/>
        <w:bidi w:val="0"/>
        <w:spacing w:line="560" w:lineRule="exact"/>
        <w:ind w:left="0" w:right="0" w:rightChars="0" w:firstLine="643" w:firstLineChars="200"/>
        <w:rPr>
          <w:rFonts w:hint="eastAsia" w:ascii="仿宋" w:hAnsi="仿宋" w:eastAsia="仿宋" w:cs="仿宋"/>
          <w:b/>
          <w:sz w:val="32"/>
          <w:szCs w:val="32"/>
        </w:rPr>
      </w:pPr>
      <w:r>
        <w:rPr>
          <w:rFonts w:hint="eastAsia" w:ascii="仿宋" w:hAnsi="仿宋" w:eastAsia="仿宋" w:cs="仿宋"/>
          <w:b/>
          <w:sz w:val="32"/>
          <w:szCs w:val="32"/>
        </w:rPr>
        <w:t>一</w:t>
      </w:r>
      <w:r>
        <w:rPr>
          <w:rFonts w:hint="eastAsia" w:ascii="仿宋" w:hAnsi="仿宋" w:eastAsia="仿宋" w:cs="仿宋"/>
          <w:b/>
          <w:sz w:val="32"/>
          <w:szCs w:val="32"/>
          <w:lang w:eastAsia="zh-CN"/>
        </w:rPr>
        <w:t>、</w:t>
      </w:r>
      <w:r>
        <w:rPr>
          <w:rFonts w:hint="eastAsia" w:ascii="仿宋" w:hAnsi="仿宋" w:eastAsia="仿宋" w:cs="仿宋"/>
          <w:b/>
          <w:sz w:val="32"/>
          <w:szCs w:val="32"/>
        </w:rPr>
        <w:t>总则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right="0" w:righ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本技术</w:t>
      </w:r>
      <w:r>
        <w:rPr>
          <w:rFonts w:hint="eastAsia" w:ascii="仿宋" w:hAnsi="仿宋" w:eastAsia="仿宋" w:cs="仿宋"/>
          <w:sz w:val="32"/>
          <w:szCs w:val="32"/>
          <w:lang w:eastAsia="zh-CN"/>
        </w:rPr>
        <w:t>规格书</w:t>
      </w:r>
      <w:r>
        <w:rPr>
          <w:rFonts w:hint="eastAsia" w:ascii="仿宋" w:hAnsi="仿宋" w:eastAsia="仿宋" w:cs="仿宋"/>
          <w:sz w:val="32"/>
          <w:szCs w:val="32"/>
        </w:rPr>
        <w:t>适用于甘肃东兴铝业有限公司陇西分公司衍射仪及光谱仪维保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它提出了维保相关的性能、备件、材料等方面的技术要求及有关服务。</w:t>
      </w:r>
    </w:p>
    <w:p>
      <w:pPr>
        <w:keepNext w:val="0"/>
        <w:keepLines w:val="0"/>
        <w:pageBreakBefore w:val="0"/>
        <w:widowControl w:val="0"/>
        <w:tabs>
          <w:tab w:val="left" w:pos="1080"/>
        </w:tabs>
        <w:kinsoku/>
        <w:wordWrap/>
        <w:overflowPunct/>
        <w:topLinePunct w:val="0"/>
        <w:autoSpaceDE/>
        <w:autoSpaceDN/>
        <w:bidi w:val="0"/>
        <w:adjustRightInd w:val="0"/>
        <w:spacing w:line="560" w:lineRule="exact"/>
        <w:ind w:left="0" w:right="0" w:righ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w:t>
      </w:r>
      <w:r>
        <w:rPr>
          <w:rFonts w:hint="eastAsia" w:ascii="仿宋" w:hAnsi="仿宋" w:eastAsia="仿宋" w:cs="仿宋"/>
          <w:sz w:val="32"/>
          <w:szCs w:val="32"/>
          <w:lang w:eastAsia="zh-CN"/>
        </w:rPr>
        <w:t>技术规格书</w:t>
      </w:r>
      <w:r>
        <w:rPr>
          <w:rFonts w:hint="eastAsia" w:ascii="仿宋" w:hAnsi="仿宋" w:eastAsia="仿宋" w:cs="仿宋"/>
          <w:sz w:val="32"/>
          <w:szCs w:val="32"/>
        </w:rPr>
        <w:t>所提出的是最低标准的技术要求，并未对一切技术细节做出规定，也未充分引述有关标准和规范的条文，乙方应提供本技术说明和要求及满足甲方使用要求的优质备件、材料和产品。</w:t>
      </w:r>
    </w:p>
    <w:p>
      <w:pPr>
        <w:keepNext w:val="0"/>
        <w:keepLines w:val="0"/>
        <w:pageBreakBefore w:val="0"/>
        <w:widowControl w:val="0"/>
        <w:tabs>
          <w:tab w:val="left" w:pos="1080"/>
        </w:tabs>
        <w:kinsoku/>
        <w:wordWrap/>
        <w:overflowPunct/>
        <w:topLinePunct w:val="0"/>
        <w:autoSpaceDE/>
        <w:autoSpaceDN/>
        <w:bidi w:val="0"/>
        <w:adjustRightInd w:val="0"/>
        <w:spacing w:line="560" w:lineRule="exact"/>
        <w:ind w:left="0" w:right="0" w:righ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本</w:t>
      </w:r>
      <w:r>
        <w:rPr>
          <w:rFonts w:hint="eastAsia" w:ascii="仿宋" w:hAnsi="仿宋" w:eastAsia="仿宋" w:cs="仿宋"/>
          <w:sz w:val="32"/>
          <w:szCs w:val="32"/>
          <w:lang w:eastAsia="zh-CN"/>
        </w:rPr>
        <w:t>技术规格书</w:t>
      </w:r>
      <w:r>
        <w:rPr>
          <w:rFonts w:hint="eastAsia" w:ascii="仿宋" w:hAnsi="仿宋" w:eastAsia="仿宋" w:cs="仿宋"/>
          <w:sz w:val="32"/>
          <w:szCs w:val="32"/>
        </w:rPr>
        <w:t>所用的标准应与甲方现有衍射仪及光谱仪标准一致，如因市场设备或备件升级换代，按较高标准执行。</w:t>
      </w:r>
    </w:p>
    <w:p>
      <w:pPr>
        <w:keepNext w:val="0"/>
        <w:keepLines w:val="0"/>
        <w:pageBreakBefore w:val="0"/>
        <w:widowControl w:val="0"/>
        <w:tabs>
          <w:tab w:val="left" w:pos="1080"/>
        </w:tabs>
        <w:kinsoku/>
        <w:wordWrap/>
        <w:overflowPunct/>
        <w:topLinePunct w:val="0"/>
        <w:autoSpaceDE/>
        <w:autoSpaceDN/>
        <w:bidi w:val="0"/>
        <w:spacing w:line="560" w:lineRule="exact"/>
        <w:ind w:left="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本</w:t>
      </w:r>
      <w:r>
        <w:rPr>
          <w:rFonts w:hint="eastAsia" w:ascii="仿宋" w:hAnsi="仿宋" w:eastAsia="仿宋" w:cs="仿宋"/>
          <w:sz w:val="32"/>
          <w:szCs w:val="32"/>
          <w:lang w:eastAsia="zh-CN"/>
        </w:rPr>
        <w:t>技术规格书</w:t>
      </w:r>
      <w:r>
        <w:rPr>
          <w:rFonts w:hint="eastAsia" w:ascii="仿宋" w:hAnsi="仿宋" w:eastAsia="仿宋" w:cs="仿宋"/>
          <w:sz w:val="32"/>
          <w:szCs w:val="32"/>
        </w:rPr>
        <w:t>作为甲方设备设施外委</w:t>
      </w:r>
      <w:r>
        <w:rPr>
          <w:rFonts w:hint="eastAsia" w:ascii="仿宋" w:hAnsi="仿宋" w:eastAsia="仿宋" w:cs="仿宋"/>
          <w:sz w:val="32"/>
          <w:szCs w:val="32"/>
          <w:lang w:eastAsia="zh-CN"/>
        </w:rPr>
        <w:t>维保</w:t>
      </w:r>
      <w:r>
        <w:rPr>
          <w:rFonts w:hint="eastAsia" w:ascii="仿宋" w:hAnsi="仿宋" w:eastAsia="仿宋" w:cs="仿宋"/>
          <w:sz w:val="32"/>
          <w:szCs w:val="32"/>
        </w:rPr>
        <w:t>合同的附件，与</w:t>
      </w:r>
      <w:r>
        <w:rPr>
          <w:rFonts w:hint="eastAsia" w:ascii="仿宋" w:hAnsi="仿宋" w:eastAsia="仿宋" w:cs="仿宋"/>
          <w:sz w:val="32"/>
          <w:szCs w:val="32"/>
          <w:lang w:eastAsia="zh-CN"/>
        </w:rPr>
        <w:t>维保</w:t>
      </w:r>
      <w:r>
        <w:rPr>
          <w:rFonts w:hint="eastAsia" w:ascii="仿宋" w:hAnsi="仿宋" w:eastAsia="仿宋" w:cs="仿宋"/>
          <w:sz w:val="32"/>
          <w:szCs w:val="32"/>
        </w:rPr>
        <w:t>合同同时生效，具有同等法律效力。合同执行期间双方再协商形成的补充</w:t>
      </w:r>
      <w:r>
        <w:rPr>
          <w:rFonts w:hint="eastAsia" w:ascii="仿宋" w:hAnsi="仿宋" w:eastAsia="仿宋" w:cs="仿宋"/>
          <w:sz w:val="32"/>
          <w:szCs w:val="32"/>
          <w:lang w:val="en-US" w:eastAsia="zh-CN"/>
        </w:rPr>
        <w:t>协议</w:t>
      </w:r>
      <w:r>
        <w:rPr>
          <w:rFonts w:hint="eastAsia" w:ascii="仿宋" w:hAnsi="仿宋" w:eastAsia="仿宋" w:cs="仿宋"/>
          <w:sz w:val="32"/>
          <w:szCs w:val="32"/>
        </w:rPr>
        <w:t>和追加条款也具有同等法律效力。</w:t>
      </w:r>
    </w:p>
    <w:p>
      <w:pPr>
        <w:keepNext w:val="0"/>
        <w:keepLines w:val="0"/>
        <w:pageBreakBefore w:val="0"/>
        <w:widowControl w:val="0"/>
        <w:tabs>
          <w:tab w:val="left" w:pos="720"/>
          <w:tab w:val="left" w:pos="1080"/>
        </w:tabs>
        <w:kinsoku/>
        <w:wordWrap/>
        <w:overflowPunct/>
        <w:topLinePunct w:val="0"/>
        <w:autoSpaceDE/>
        <w:autoSpaceDN/>
        <w:bidi w:val="0"/>
        <w:adjustRightInd/>
        <w:spacing w:line="560" w:lineRule="exact"/>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乙方提供的设备</w:t>
      </w:r>
      <w:r>
        <w:rPr>
          <w:rFonts w:hint="eastAsia" w:ascii="仿宋" w:hAnsi="仿宋" w:eastAsia="仿宋" w:cs="仿宋"/>
          <w:sz w:val="32"/>
          <w:szCs w:val="32"/>
          <w:lang w:eastAsia="zh-CN"/>
        </w:rPr>
        <w:t>维保</w:t>
      </w:r>
      <w:r>
        <w:rPr>
          <w:rFonts w:hint="eastAsia" w:ascii="仿宋" w:hAnsi="仿宋" w:eastAsia="仿宋" w:cs="仿宋"/>
          <w:sz w:val="32"/>
          <w:szCs w:val="32"/>
        </w:rPr>
        <w:t>备品备件及材料必须</w:t>
      </w:r>
      <w:r>
        <w:rPr>
          <w:rFonts w:hint="eastAsia" w:ascii="仿宋" w:hAnsi="仿宋" w:eastAsia="仿宋" w:cs="仿宋"/>
          <w:sz w:val="32"/>
          <w:szCs w:val="32"/>
          <w:lang w:eastAsia="zh-CN"/>
        </w:rPr>
        <w:t>是设备原厂家生产</w:t>
      </w:r>
      <w:r>
        <w:rPr>
          <w:rFonts w:hint="eastAsia" w:ascii="仿宋" w:hAnsi="仿宋" w:eastAsia="仿宋" w:cs="仿宋"/>
          <w:sz w:val="32"/>
          <w:szCs w:val="32"/>
        </w:rPr>
        <w:t>。</w:t>
      </w:r>
    </w:p>
    <w:p>
      <w:pPr>
        <w:keepNext w:val="0"/>
        <w:keepLines w:val="0"/>
        <w:pageBreakBefore w:val="0"/>
        <w:widowControl w:val="0"/>
        <w:tabs>
          <w:tab w:val="left" w:pos="720"/>
          <w:tab w:val="left" w:pos="1080"/>
        </w:tabs>
        <w:kinsoku/>
        <w:wordWrap/>
        <w:overflowPunct/>
        <w:topLinePunct w:val="0"/>
        <w:autoSpaceDE/>
        <w:autoSpaceDN/>
        <w:bidi w:val="0"/>
        <w:adjustRightInd/>
        <w:spacing w:line="560" w:lineRule="exact"/>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乙方提供的设备备品备件及材料必须是全新、规范、先进的高质量可靠产品，大修后设备能够确保连续稳定的工作。</w:t>
      </w:r>
    </w:p>
    <w:p>
      <w:pPr>
        <w:keepNext w:val="0"/>
        <w:keepLines w:val="0"/>
        <w:pageBreakBefore w:val="0"/>
        <w:widowControl w:val="0"/>
        <w:tabs>
          <w:tab w:val="left" w:pos="720"/>
          <w:tab w:val="left" w:pos="1080"/>
        </w:tabs>
        <w:kinsoku/>
        <w:wordWrap/>
        <w:overflowPunct/>
        <w:topLinePunct w:val="0"/>
        <w:autoSpaceDE/>
        <w:autoSpaceDN/>
        <w:bidi w:val="0"/>
        <w:adjustRightInd/>
        <w:spacing w:line="560" w:lineRule="exact"/>
        <w:ind w:left="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乙方提供货物的制造，材料的选择</w:t>
      </w:r>
      <w:bookmarkStart w:id="0" w:name="_GoBack"/>
      <w:bookmarkEnd w:id="0"/>
      <w:r>
        <w:rPr>
          <w:rFonts w:hint="eastAsia" w:ascii="仿宋" w:hAnsi="仿宋" w:eastAsia="仿宋" w:cs="仿宋"/>
          <w:sz w:val="32"/>
          <w:szCs w:val="32"/>
        </w:rPr>
        <w:t>，都应按照国内外通用的现行标准和相应的技术规范执行，而这些标准和技术规范应为合同签字日为止最新公布发问的标准和技术规范。</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8.乙方光谱仪维保技术人员必须为原设备厂家在职人员。</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乙方在合同设备设施</w:t>
      </w:r>
      <w:r>
        <w:rPr>
          <w:rFonts w:hint="eastAsia" w:ascii="仿宋" w:hAnsi="仿宋" w:eastAsia="仿宋" w:cs="仿宋"/>
          <w:sz w:val="32"/>
          <w:szCs w:val="32"/>
          <w:lang w:eastAsia="zh-CN"/>
        </w:rPr>
        <w:t>维保</w:t>
      </w:r>
      <w:r>
        <w:rPr>
          <w:rFonts w:hint="eastAsia" w:ascii="仿宋" w:hAnsi="仿宋" w:eastAsia="仿宋" w:cs="仿宋"/>
          <w:sz w:val="32"/>
          <w:szCs w:val="32"/>
        </w:rPr>
        <w:t>中，发生侵犯专利的行为时其侵权责任与甲方无关。</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lang w:eastAsia="zh-CN"/>
        </w:rPr>
        <w:t>二、维保</w:t>
      </w:r>
      <w:r>
        <w:rPr>
          <w:rFonts w:hint="eastAsia" w:ascii="仿宋" w:hAnsi="仿宋" w:eastAsia="仿宋" w:cs="仿宋"/>
          <w:b/>
          <w:sz w:val="32"/>
          <w:szCs w:val="32"/>
        </w:rPr>
        <w:t>技术标准及要求</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（一）光谱仪维保内容：</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标准化数据、暗电流、原始光强、UV 光室光强进行测试</w:t>
      </w:r>
      <w:r>
        <w:rPr>
          <w:rFonts w:hint="eastAsia" w:ascii="仿宋" w:hAnsi="仿宋" w:eastAsia="仿宋" w:cs="仿宋"/>
          <w:sz w:val="32"/>
          <w:szCs w:val="32"/>
          <w:lang w:val="en-US" w:eastAsia="zh-CN"/>
        </w:rPr>
        <w:t xml:space="preserve"> （Spectro、OBLF）；</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对仪器内部、石英窗、废气过滤系统、光源、读出系统进行清洁</w:t>
      </w:r>
      <w:r>
        <w:rPr>
          <w:rFonts w:hint="eastAsia" w:ascii="仿宋" w:hAnsi="仿宋" w:eastAsia="仿宋" w:cs="仿宋"/>
          <w:sz w:val="32"/>
          <w:szCs w:val="32"/>
          <w:lang w:val="en-US" w:eastAsia="zh-CN"/>
        </w:rPr>
        <w:t>（Spectro、OBLF）</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描迹位置、氮气过滤系统功能进行检测</w:t>
      </w:r>
      <w:r>
        <w:rPr>
          <w:rFonts w:hint="eastAsia" w:ascii="仿宋" w:hAnsi="仿宋" w:eastAsia="仿宋" w:cs="仿宋"/>
          <w:sz w:val="32"/>
          <w:szCs w:val="32"/>
          <w:lang w:val="en-US" w:eastAsia="zh-CN"/>
        </w:rPr>
        <w:t>（Spectro、OBLF）</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w:t>
      </w:r>
      <w:r>
        <w:rPr>
          <w:rFonts w:hint="eastAsia" w:ascii="仿宋" w:hAnsi="仿宋" w:eastAsia="仿宋" w:cs="仿宋"/>
          <w:sz w:val="32"/>
          <w:szCs w:val="32"/>
          <w:lang w:eastAsia="zh-CN"/>
        </w:rPr>
        <w:t>快门、压舌板及各光路、电缆接头等连接处进行检测</w:t>
      </w:r>
      <w:r>
        <w:rPr>
          <w:rFonts w:hint="eastAsia" w:ascii="仿宋" w:hAnsi="仿宋" w:eastAsia="仿宋" w:cs="仿宋"/>
          <w:sz w:val="32"/>
          <w:szCs w:val="32"/>
          <w:lang w:val="en-US" w:eastAsia="zh-CN"/>
        </w:rPr>
        <w:t>（Spectro、OBLF）</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5.对</w:t>
      </w:r>
      <w:r>
        <w:rPr>
          <w:rFonts w:hint="eastAsia" w:ascii="仿宋" w:hAnsi="仿宋" w:eastAsia="仿宋" w:cs="仿宋"/>
          <w:sz w:val="32"/>
          <w:szCs w:val="32"/>
          <w:lang w:eastAsia="zh-CN"/>
        </w:rPr>
        <w:t>光室光纤、光路进行检测</w:t>
      </w:r>
      <w:r>
        <w:rPr>
          <w:rFonts w:hint="eastAsia" w:ascii="仿宋" w:hAnsi="仿宋" w:eastAsia="仿宋" w:cs="仿宋"/>
          <w:sz w:val="32"/>
          <w:szCs w:val="32"/>
          <w:lang w:val="en-US" w:eastAsia="zh-CN"/>
        </w:rPr>
        <w:t>（Spectro、OBLF）</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6.对</w:t>
      </w:r>
      <w:r>
        <w:rPr>
          <w:rFonts w:hint="eastAsia" w:ascii="仿宋" w:hAnsi="仿宋" w:eastAsia="仿宋" w:cs="仿宋"/>
          <w:sz w:val="32"/>
          <w:szCs w:val="32"/>
          <w:lang w:eastAsia="zh-CN"/>
        </w:rPr>
        <w:t>电气系统进行电压测量</w:t>
      </w:r>
      <w:r>
        <w:rPr>
          <w:rFonts w:hint="eastAsia" w:ascii="仿宋" w:hAnsi="仿宋" w:eastAsia="仿宋" w:cs="仿宋"/>
          <w:sz w:val="32"/>
          <w:szCs w:val="32"/>
          <w:lang w:val="en-US" w:eastAsia="zh-CN"/>
        </w:rPr>
        <w:t>（Spectro、OBLF）</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7.对</w:t>
      </w:r>
      <w:r>
        <w:rPr>
          <w:rFonts w:hint="eastAsia" w:ascii="仿宋" w:hAnsi="仿宋" w:eastAsia="仿宋" w:cs="仿宋"/>
          <w:sz w:val="32"/>
          <w:szCs w:val="32"/>
          <w:lang w:eastAsia="zh-CN"/>
        </w:rPr>
        <w:t>标准化所有分析程序、稳定性进行检测</w:t>
      </w:r>
      <w:r>
        <w:rPr>
          <w:rFonts w:hint="eastAsia" w:ascii="仿宋" w:hAnsi="仿宋" w:eastAsia="仿宋" w:cs="仿宋"/>
          <w:sz w:val="32"/>
          <w:szCs w:val="32"/>
          <w:lang w:val="en-US" w:eastAsia="zh-CN"/>
        </w:rPr>
        <w:t>（Spectro、OBLF）</w:t>
      </w:r>
      <w:r>
        <w:rPr>
          <w:rFonts w:hint="eastAsia" w:ascii="仿宋" w:hAnsi="仿宋" w:eastAsia="仿宋" w:cs="仿宋"/>
          <w:sz w:val="32"/>
          <w:szCs w:val="32"/>
          <w:lang w:eastAsia="zh-CN"/>
        </w:rPr>
        <w:t>；</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8.对仪器分析软件进行检测，调整相关参数（Spectro、OBLF）；</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9.更换氩气净化管（Spectro）；</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10.清理检测真空泵，更换真空泵油（OBLF）。</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（二）衍射仪维保内容</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1.对测角仪角度进行测试及保养；</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2.对光管进行性能的检测；</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3.对仪器分析光路进行校准；</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4.对机械部位进行检查、保养；</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5.对高、低压电路进行检测；</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6.对分析程序、稳定性进行检测；</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7.对仪器分析软件进行检测，调整相关参数；</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8.对设备内部核心区域进行清灰处理。</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（三）气相色谱仪维保内容</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1.对分析程序的稳定性进行检测；</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2.对仪器分析软件进行检测，修正分析曲线，调整相关参数；</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3.对色谱仪、震荡仪内部核心区域进行清灰处理；</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4.更换色谱柱；</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5.开展日常维护保养及操作能力提升培训。</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(四）根据以上维保内容，需乙方提供以下备件（但不仅限于以下备件）：</w:t>
      </w:r>
    </w:p>
    <w:tbl>
      <w:tblPr>
        <w:tblStyle w:val="7"/>
        <w:tblW w:w="91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835"/>
        <w:gridCol w:w="2838"/>
        <w:gridCol w:w="1817"/>
        <w:gridCol w:w="1133"/>
        <w:gridCol w:w="1133"/>
        <w:gridCol w:w="14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73"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描述</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订货号</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单位</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数量</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氩气净化管</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75160211</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Times New Roman"/>
                <w:sz w:val="20"/>
                <w:szCs w:val="20"/>
                <w:lang w:val="en-US" w:eastAsia="zh-CN"/>
              </w:rPr>
              <w:t>Spectro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sz w:val="20"/>
                <w:szCs w:val="20"/>
              </w:rPr>
              <w:t>伊尔姆真空泵油</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Times New Roman"/>
                <w:sz w:val="20"/>
                <w:szCs w:val="20"/>
                <w:lang w:val="en-US" w:eastAsia="zh-CN"/>
              </w:rPr>
              <w:t>OBLF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39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色谱柱</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0318-0201-15</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Times New Roman"/>
                <w:sz w:val="20"/>
                <w:szCs w:val="20"/>
                <w:lang w:val="en-US" w:eastAsia="zh-CN"/>
              </w:rPr>
            </w:pPr>
            <w:r>
              <w:rPr>
                <w:rFonts w:hint="eastAsia" w:ascii="宋体" w:hAnsi="宋体" w:eastAsia="宋体" w:cs="Times New Roman"/>
                <w:sz w:val="20"/>
                <w:szCs w:val="20"/>
                <w:lang w:val="en-US" w:eastAsia="zh-CN"/>
              </w:rPr>
              <w:t>气相色谱仪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39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石英护套</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48207013</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Times New Roman"/>
                <w:sz w:val="20"/>
                <w:szCs w:val="20"/>
                <w:lang w:val="en-US" w:eastAsia="zh-CN"/>
              </w:rPr>
            </w:pPr>
            <w:r>
              <w:rPr>
                <w:rFonts w:hint="eastAsia" w:ascii="宋体" w:hAnsi="宋体" w:cs="Times New Roman"/>
                <w:sz w:val="20"/>
                <w:szCs w:val="20"/>
                <w:lang w:val="en-US" w:eastAsia="zh-CN"/>
              </w:rPr>
              <w:t>SpectroMAXx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39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火花台套</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75360120</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sz w:val="20"/>
                <w:szCs w:val="20"/>
                <w:lang w:val="en-US" w:eastAsia="zh-CN"/>
              </w:rPr>
            </w:pPr>
            <w:r>
              <w:rPr>
                <w:rFonts w:hint="eastAsia" w:ascii="宋体" w:hAnsi="宋体" w:cs="Times New Roman"/>
                <w:sz w:val="20"/>
                <w:szCs w:val="20"/>
                <w:lang w:val="en-US" w:eastAsia="zh-CN"/>
              </w:rPr>
              <w:t>SpectroMAXx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39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高压灯泡</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532278500711</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Times New Roman"/>
                <w:sz w:val="20"/>
                <w:szCs w:val="20"/>
                <w:lang w:val="en-US" w:eastAsia="zh-CN"/>
              </w:rPr>
            </w:pPr>
            <w:r>
              <w:rPr>
                <w:rFonts w:hint="eastAsia" w:ascii="宋体" w:hAnsi="宋体" w:cs="Times New Roman"/>
                <w:sz w:val="20"/>
                <w:szCs w:val="20"/>
                <w:lang w:val="en-US" w:eastAsia="zh-CN"/>
              </w:rPr>
              <w:t>Cubix PRO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8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283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低压灯泡</w:t>
            </w:r>
          </w:p>
        </w:tc>
        <w:tc>
          <w:tcPr>
            <w:tcW w:w="18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532213440617</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个</w:t>
            </w:r>
          </w:p>
        </w:tc>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p>
        </w:tc>
        <w:tc>
          <w:tcPr>
            <w:tcW w:w="142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Times New Roman"/>
                <w:sz w:val="20"/>
                <w:szCs w:val="20"/>
                <w:lang w:val="en-US" w:eastAsia="zh-CN"/>
              </w:rPr>
            </w:pPr>
            <w:r>
              <w:rPr>
                <w:rFonts w:hint="eastAsia" w:ascii="宋体" w:hAnsi="宋体" w:cs="Times New Roman"/>
                <w:sz w:val="20"/>
                <w:szCs w:val="20"/>
                <w:lang w:val="en-US" w:eastAsia="zh-CN"/>
              </w:rPr>
              <w:t>Cubix PRO</w:t>
            </w:r>
          </w:p>
        </w:tc>
      </w:tr>
    </w:tbl>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三、附加说明</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1.设备维保配件材料接收、运输到东兴铝业陇西分公司，由乙方人员负责交货。</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2.调试安装过程全部由乙方安排技术人员负责，技术人员为设备厂家工程师，甲方现场监管。</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乙方负责设备配件的包装，并承诺采用符合标准的保护措施进行包装，包装箱必须密闭坚固，适于海、陆、空运输。有良好的防潮、防震、防锈和防野蛮装卸的保护措施，以确保货物安全运抵用户现场。运抵用户现场时，设备外部必须保持完好和坚固的外包装。包装材料必须符合中国进口动植物检验检疫的有关规定。</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4.货物、材料由甲乙双方的人员共同开箱检查确认，乙方承诺对其包装或其保护措施不妥引起的货物锈蚀、缺失和损坏负责。</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5.乙方人员在设备维保期间交通、吃、住、行费用自行负担，甲方负责办理进门手续。</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四、技术服务</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1.乙方维护完后设备性能优于维护前，并保证分析结果在误差范围内。</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2.乙方应保证原有程序的正确性。</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3.Spectro光谱仪维保服务类型为一年内2次，衍射仪服务类型为1PM+1CM。</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衍射仪、光谱仪及气相色谱仪维保的保修期按验收合格报告签字日期算起壹年。保修期内非甲方操作错误或非自然灾害发生的设备相同故障，乙方免费修理，所发生的相关费用由乙方负责。质量保证期满后，乙方保证以优惠价格向甲方提供维修配件。保修期内维修响应时间为24小时（法定工作时间），乙方维修人员达到甲方时间为48小时。</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4.乙方负责设备的维修、调试及对甲方操作人员的操作技术培训、对甲方操作人员进行专业知识培训，常规维护培训。</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五、设备验收</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1.甲方在乙方维护保养、调试并运行合格后，对整体维保质量进行验收。双方在验收报告上签字，代表验收完毕。</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2.维修后光谱仪设备的光强与原始光强比较，光强衰减不大于10%。</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3.光谱仪Fe、Mg、Si、Cu、Ga、Zn、Mn、Ti元素的准确性和重复性良好，符合光电直读发射光谱分析方法GB/T 7999-2015要求。</w:t>
      </w:r>
    </w:p>
    <w:p>
      <w:pPr>
        <w:keepNext w:val="0"/>
        <w:keepLines w:val="0"/>
        <w:pageBreakBefore w:val="0"/>
        <w:widowControl w:val="0"/>
        <w:numPr>
          <w:ilvl w:val="0"/>
          <w:numId w:val="0"/>
        </w:numPr>
        <w:tabs>
          <w:tab w:val="left" w:pos="720"/>
          <w:tab w:val="left" w:pos="1080"/>
        </w:tabs>
        <w:kinsoku/>
        <w:wordWrap/>
        <w:overflowPunct/>
        <w:topLinePunct w:val="0"/>
        <w:autoSpaceDE/>
        <w:autoSpaceDN/>
        <w:bidi w:val="0"/>
        <w:adjustRightInd/>
        <w:spacing w:line="560" w:lineRule="exact"/>
        <w:ind w:left="0"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4.色谱仪分析偏差在程序范围，分析程序稳定，所有分析数据显示正常。</w:t>
      </w:r>
    </w:p>
    <w:p>
      <w:pPr>
        <w:tabs>
          <w:tab w:val="left" w:pos="3179"/>
        </w:tabs>
        <w:rPr>
          <w:rFonts w:hint="eastAsia" w:ascii="宋体" w:hAnsi="Times New Roman" w:cs="Times New Roman"/>
          <w:color w:val="000000"/>
          <w:sz w:val="21"/>
          <w:szCs w:val="21"/>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5E6F"/>
    <w:multiLevelType w:val="multilevel"/>
    <w:tmpl w:val="46335E6F"/>
    <w:lvl w:ilvl="0" w:tentative="0">
      <w:start w:val="1"/>
      <w:numFmt w:val="decimal"/>
      <w:pStyle w:val="3"/>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6DE37B95"/>
    <w:multiLevelType w:val="multilevel"/>
    <w:tmpl w:val="6DE37B95"/>
    <w:lvl w:ilvl="0" w:tentative="0">
      <w:start w:val="1"/>
      <w:numFmt w:val="decimal"/>
      <w:lvlText w:val="1.4.5.%1"/>
      <w:lvlJc w:val="left"/>
      <w:pPr>
        <w:tabs>
          <w:tab w:val="left" w:pos="720"/>
        </w:tabs>
        <w:ind w:left="0" w:firstLine="0"/>
      </w:pPr>
      <w:rPr>
        <w:rFonts w:hint="eastAsia"/>
      </w:rPr>
    </w:lvl>
    <w:lvl w:ilvl="1" w:tentative="0">
      <w:start w:val="1"/>
      <w:numFmt w:val="decimal"/>
      <w:pStyle w:val="2"/>
      <w:lvlText w:val="%1.%2"/>
      <w:lvlJc w:val="left"/>
      <w:pPr>
        <w:tabs>
          <w:tab w:val="left" w:pos="360"/>
        </w:tabs>
        <w:ind w:left="0" w:firstLine="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2707"/>
    <w:rsid w:val="01962635"/>
    <w:rsid w:val="04394325"/>
    <w:rsid w:val="07110827"/>
    <w:rsid w:val="0725282A"/>
    <w:rsid w:val="076314E4"/>
    <w:rsid w:val="08CD41AD"/>
    <w:rsid w:val="1014752A"/>
    <w:rsid w:val="120B6FE3"/>
    <w:rsid w:val="158657AD"/>
    <w:rsid w:val="1DF536DB"/>
    <w:rsid w:val="1FB45055"/>
    <w:rsid w:val="205E2AC9"/>
    <w:rsid w:val="28AA7D3A"/>
    <w:rsid w:val="2A2A6C1E"/>
    <w:rsid w:val="2ED6041B"/>
    <w:rsid w:val="330968DE"/>
    <w:rsid w:val="3842790D"/>
    <w:rsid w:val="4C450AE6"/>
    <w:rsid w:val="4C927364"/>
    <w:rsid w:val="5A391156"/>
    <w:rsid w:val="5CA47D30"/>
    <w:rsid w:val="6981283E"/>
    <w:rsid w:val="6D1B4C5E"/>
    <w:rsid w:val="74106D98"/>
    <w:rsid w:val="76A37E4E"/>
    <w:rsid w:val="79E23ABC"/>
    <w:rsid w:val="7F5F11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引言二级条标题"/>
    <w:basedOn w:val="3"/>
    <w:next w:val="4"/>
    <w:qFormat/>
    <w:uiPriority w:val="0"/>
    <w:pPr>
      <w:numPr>
        <w:ilvl w:val="1"/>
        <w:numId w:val="1"/>
      </w:numPr>
    </w:pPr>
  </w:style>
  <w:style w:type="paragraph" w:customStyle="1" w:styleId="3">
    <w:name w:val="引言一级条标题"/>
    <w:basedOn w:val="1"/>
    <w:next w:val="4"/>
    <w:qFormat/>
    <w:uiPriority w:val="0"/>
    <w:pPr>
      <w:numPr>
        <w:ilvl w:val="0"/>
        <w:numId w:val="2"/>
      </w:numPr>
    </w:pPr>
    <w:rPr>
      <w:rFonts w:eastAsia="黑体"/>
      <w:b/>
    </w:rPr>
  </w:style>
  <w:style w:type="paragraph" w:customStyle="1" w:styleId="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5">
    <w:name w:val="footer"/>
    <w:basedOn w:val="1"/>
    <w:qFormat/>
    <w:uiPriority w:val="99"/>
    <w:pPr>
      <w:tabs>
        <w:tab w:val="center" w:pos="4153"/>
        <w:tab w:val="right" w:pos="8306"/>
      </w:tabs>
      <w:snapToGrid w:val="0"/>
      <w:spacing w:line="240" w:lineRule="atLeas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yangl</cp:lastModifiedBy>
  <dcterms:modified xsi:type="dcterms:W3CDTF">2024-04-02T07:20:36Z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