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榆钢公司炼钢分厂炼钢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方坯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连铸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保护渣技术协议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甲方：</w:t>
      </w:r>
      <w:r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  <w:t>酒钢（集团）</w:t>
      </w:r>
      <w:r>
        <w:rPr>
          <w:rFonts w:hint="eastAsia" w:ascii="宋体" w:hAnsi="宋体" w:eastAsia="宋体" w:cs="宋体"/>
          <w:b/>
          <w:bCs/>
          <w:sz w:val="24"/>
          <w:szCs w:val="21"/>
        </w:rPr>
        <w:t>榆中钢铁有限责任公司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乙方：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贵公司中标榆中钢铁有限责任公司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炼钢方坯连铸保护渣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供应业务，为保证贵公司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供应的连铸保护渣质量满足榆钢炼钢连铸正常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，在平等、公开、互利的基础上，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协商，就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榆中钢铁有限责任公司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炼钢方坯连铸保护渣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的技术要求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、技术服务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安全管理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等事宜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一、甲乙双方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乙方提供的方坯连铸保护渣应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在保证本协议的技术要求和技术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等相关规定的前提下，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必须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保证符合国家、行业的有关法律法规、标准规范的规定。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同时，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保证甲方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炼钢连铸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安全生产、稳定顺行，符合环保要求。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乙方提供的方坯连铸保护渣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理化指标必须达到生产厂家控制标准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,满足榆钢炼钢连铸浇注要求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甲方保留对乙方提供的技术资料提出补充和修改的权利，乙方在此承诺予以配合。如乙方提出修改，应征得甲方同意，或双方协商解决。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乙方从甲方获得的所有技术资料的技术所有权属于甲方，乙方不得出售、转让或向第三方泄露，也不得用于本协议以外的其它目的。如发生泄密事件，乙方将承担相应的法律责任并向甲方赔偿损失。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乙方在制造过程中发生违法、侵犯专利等行为，责任与甲方无关，由乙方承担相应的责任，并不得影响甲方的利益。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乙方正常供货期间，甲方有权安排其他厂家（第三方）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进行连铸保护渣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生产基本条件：生产钢种方坯普碳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HPB300钢、HRB400钢、HRB500钢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系列钢种；结晶器采用液面自控，钢水液面波动≤3mm；结晶器内钢水温度1470℃-1570℃。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保护渣使用过程中不结块、铺展性好、熔化性能良好，液渣层厚度8-15mm，保护渣单耗量≤0.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kg/t，不得出现保护渣性能差导致的漏钢事故或产品质量缺陷，具体理化指标参照下表：</w:t>
      </w:r>
    </w:p>
    <w:tbl>
      <w:tblPr>
        <w:tblStyle w:val="3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52"/>
        <w:gridCol w:w="1082"/>
        <w:gridCol w:w="1217"/>
        <w:gridCol w:w="1151"/>
        <w:gridCol w:w="116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74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理化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方坯普碳钢保护渣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MgO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Al2O3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H2O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Fe2O3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C固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6.0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9.0±2.0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物理指标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CaO/SiO2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粘度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1300℃/泊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半球点温度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/℃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熔速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1535℃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0.97±0.2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4.0±1.0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1100±40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40±10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保护渣包装：吨袋包装，吨袋内每小袋单重5kg，小袋包装袋内有塑料防潮，吨袋包装袋内有塑料防潮；吨袋包装袋必须有相应的产品名称、生产日期，包装完整、无破损；吨袋包装袋和吊袋称重必须符合称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外观质量标准：无受潮结块或者异常结块现象，无异物，色泽均匀，无明显差异，粒度均匀，粉末少。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每批次到货，产品应提供相应质保书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产品检验报告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理化指标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产品保质期：一年。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 xml:space="preserve">根据产品的使用情况，乙方应进行技术分析及产品质量和工艺措施的持续改进。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乙方依据使用情况和甲方要求，及时派专职技术人员到现场进行技术服务，跟踪其产品使用情况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定期安排专职技术人员对甲方使用情况进行现场指导。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有义务根据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甲方炼钢连铸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需要，对产品进行升级，以提高产品质量，满足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炼钢连铸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乙方应具备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相应的安全管理资质和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完善的安全管理文件，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现场技术人员掌握必备的安全知识和技能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有较高的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乙方在甲方作业区域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从事具体工作的员工，必须遵循甲方的各项规章制度，具体要求以甲方提供的有效文件为准。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乙方必须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接受甲方的安全告知与交底，服从甲方现场安全管理要求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技术服务人员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在甲方区域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内因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违纪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或不服从现场安全管理等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造成的一切安全事故及由此带来的后果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均由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乙方供货的连铸保护渣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质量问题，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造成甲方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人身伤害、设备损坏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事故，乙方负责全部赔偿。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违约考核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因乙方供货的连铸保护渣包装不符合技术要求，吨袋包装和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小袋包装袋内无塑料防潮，吨袋包装袋无相应的产品名称和生产日期，吨袋包装存在破损，吨袋包装袋和吊袋称重不符合要求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，发现一次考核1000元。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乙方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供货的连铸保护渣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到达现场，每批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次中包连铸保护渣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必须向甲方提供质保书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产品检验报告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理化指标，若无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以上任何一项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或标注不清晰，每次考核1000元。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因乙方供货的连铸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保护渣使用过程中铺展性差，结块，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熔化性能差和熔速快，造成保护渣单耗量超计划的，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每次考核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000～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因乙方供货的连铸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保护渣使用过程中铺展性差，结块，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熔化性能差和熔速快，造成单流漏钢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事故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或非计划停浇事故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的，按照事故分析报告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，乙方赔付甲方所有生产和设备损失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因乙方供货的连铸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保护渣质量存在问题，造成铸坯质量缺陷和废品的，乙方赔付甲方铸坯质量缺陷和废品所有损失。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因乙方供货的连铸保护渣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出现断货，使用其他供货厂家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连铸保护渣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时，对原厂家考核10000～30000元。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因乙方供货的连铸保护渣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现场不能使用或存在质量问题，甲方有权拒绝使用，按退货处理，费用由乙方承担。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因乙方供货的连铸保护渣质量问题，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甲方有权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进行停用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，通知乙方确认并整改；对连续出现质量问题，不能满足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炼钢连铸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使用要求，经两次整改无效的，甲方有权提前终止合同和取消其供方资格；对提前终止合同给甲方造成的损失在月底结算中扣除。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乙方在甲方作业区域从事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技术服务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的员工，必须遵循甲方的各项规章制度，具体要求以甲方提供的有效文件为准，否则按照相关制度进行处罚。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本协议解释权归甲方。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未尽事宜双方共同协商解决。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此协议一式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三份，卖家一份、榆钢公司一份、采购供应分公司一份，本协议随采购合同生效。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以下无正文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甲方：酒钢（集团）榆中钢铁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有限责任公司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签字（盖章）：                         签字（盖章）：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签订日期：     年    月    日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签订日期：    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22" w:firstLineChars="200"/>
        <w:rPr>
          <w:rFonts w:hint="eastAsia" w:ascii="仿宋_GB2312" w:eastAsia="仿宋_GB2312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C3F5B"/>
    <w:rsid w:val="0E451464"/>
    <w:rsid w:val="1E8428A9"/>
    <w:rsid w:val="2DD216C9"/>
    <w:rsid w:val="309459B2"/>
    <w:rsid w:val="39886767"/>
    <w:rsid w:val="3E196666"/>
    <w:rsid w:val="40060EB2"/>
    <w:rsid w:val="49253BCE"/>
    <w:rsid w:val="638B2450"/>
    <w:rsid w:val="66DD2932"/>
    <w:rsid w:val="6B7A26FB"/>
    <w:rsid w:val="73E6608C"/>
    <w:rsid w:val="7985019B"/>
    <w:rsid w:val="7BA032D3"/>
    <w:rsid w:val="7D4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2018-09-12T06:50:00Z</dcterms:created>
  <dc:creator>Administrator</dc:creator>
  <cp:lastModifiedBy>Administrator</cp:lastModifiedBy>
  <dcterms:modified xsi:type="dcterms:W3CDTF">2021-06-25T06:57:39Z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