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7A4A8">
      <w:pPr>
        <w:keepNext w:val="0"/>
        <w:keepLines w:val="0"/>
        <w:pageBreakBefore w:val="0"/>
        <w:widowControl w:val="0"/>
        <w:kinsoku/>
        <w:wordWrap/>
        <w:overflowPunct/>
        <w:topLinePunct w:val="0"/>
        <w:autoSpaceDE/>
        <w:autoSpaceDN/>
        <w:bidi w:val="0"/>
        <w:adjustRightInd/>
        <w:snapToGrid/>
        <w:spacing w:before="480" w:after="200"/>
        <w:jc w:val="center"/>
        <w:textAlignment w:val="auto"/>
        <w:rPr>
          <w:rFonts w:hint="default" w:ascii="Times New Roman" w:hAnsi="Times New Roman" w:eastAsia="华文中宋" w:cs="Times New Roman"/>
          <w:b w:val="0"/>
          <w:bCs w:val="0"/>
          <w:sz w:val="36"/>
          <w:szCs w:val="36"/>
          <w:lang w:val="en-US" w:eastAsia="zh-CN"/>
        </w:rPr>
      </w:pPr>
      <w:r>
        <w:rPr>
          <w:rFonts w:hint="default" w:ascii="Times New Roman" w:hAnsi="Times New Roman" w:eastAsia="华文中宋" w:cs="Times New Roman"/>
          <w:b w:val="0"/>
          <w:bCs w:val="0"/>
          <w:sz w:val="36"/>
          <w:szCs w:val="36"/>
          <w:lang w:eastAsia="zh-CN"/>
        </w:rPr>
        <w:t>酒钢集团东兴铝业公司嘉峪关分公司</w:t>
      </w:r>
      <w:r>
        <w:rPr>
          <w:rFonts w:hint="default" w:ascii="Times New Roman" w:hAnsi="Times New Roman" w:eastAsia="华文中宋" w:cs="Times New Roman"/>
          <w:b w:val="0"/>
          <w:bCs w:val="0"/>
          <w:sz w:val="36"/>
          <w:szCs w:val="36"/>
          <w:lang w:eastAsia="zh-CN"/>
        </w:rPr>
        <w:br w:type="textWrapping"/>
      </w:r>
      <w:r>
        <w:rPr>
          <w:rFonts w:hint="default" w:ascii="Times New Roman" w:hAnsi="Times New Roman" w:eastAsia="华文中宋" w:cs="Times New Roman"/>
          <w:b w:val="0"/>
          <w:bCs w:val="0"/>
          <w:sz w:val="36"/>
          <w:szCs w:val="36"/>
          <w:lang w:val="en-US" w:eastAsia="zh-CN"/>
        </w:rPr>
        <w:t>网络化母线磁流体稳定性原位升级项目效果评价技术服务</w:t>
      </w:r>
    </w:p>
    <w:p w14:paraId="4B7FF294">
      <w:pPr>
        <w:keepNext w:val="0"/>
        <w:keepLines w:val="0"/>
        <w:pageBreakBefore w:val="0"/>
        <w:widowControl w:val="0"/>
        <w:kinsoku/>
        <w:wordWrap/>
        <w:overflowPunct/>
        <w:topLinePunct w:val="0"/>
        <w:autoSpaceDE/>
        <w:autoSpaceDN/>
        <w:bidi w:val="0"/>
        <w:adjustRightInd/>
        <w:snapToGrid/>
        <w:spacing w:line="600" w:lineRule="exact"/>
        <w:ind w:left="1" w:right="458" w:rightChars="218"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一、</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服务地点</w:t>
      </w:r>
    </w:p>
    <w:p w14:paraId="2D049E57">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酒钢集团东兴铝业公司嘉峪关分公司</w:t>
      </w:r>
    </w:p>
    <w:p w14:paraId="256495F0">
      <w:pPr>
        <w:keepNext w:val="0"/>
        <w:keepLines w:val="0"/>
        <w:pageBreakBefore w:val="0"/>
        <w:widowControl w:val="0"/>
        <w:kinsoku/>
        <w:wordWrap/>
        <w:overflowPunct/>
        <w:topLinePunct w:val="0"/>
        <w:autoSpaceDE/>
        <w:autoSpaceDN/>
        <w:bidi w:val="0"/>
        <w:adjustRightInd/>
        <w:snapToGrid/>
        <w:spacing w:line="600" w:lineRule="exact"/>
        <w:ind w:left="1" w:right="458" w:rightChars="218"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二、技术服务内容</w:t>
      </w:r>
    </w:p>
    <w:p w14:paraId="1F4CFB08">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在东兴铝业公司嘉峪关分公司</w:t>
      </w:r>
      <w:r>
        <w:rPr>
          <w:rFonts w:hint="eastAsia" w:ascii="Times New Roman" w:hAnsi="Times New Roman" w:eastAsia="仿宋_GB2312" w:cs="Times New Roman"/>
          <w:sz w:val="32"/>
          <w:szCs w:val="32"/>
          <w:lang w:val="en-US" w:eastAsia="zh-CN"/>
        </w:rPr>
        <w:t>电解一作业区开展网络化母线磁流体稳定性原位升级项目效果评价技术服</w:t>
      </w:r>
      <w:r>
        <w:rPr>
          <w:rFonts w:hint="eastAsia" w:ascii="Times New Roman" w:hAnsi="Times New Roman" w:eastAsia="仿宋_GB2312" w:cs="Times New Roman"/>
          <w:sz w:val="32"/>
          <w:szCs w:val="32"/>
          <w:lang w:val="en-US" w:eastAsia="zh-CN"/>
        </w:rPr>
        <w:t>务，为甲方“铝电解槽网络化母线磁流体稳定性原位升级”提供客观、有效、权威的效果评估。</w:t>
      </w:r>
      <w:r>
        <w:rPr>
          <w:rFonts w:hint="default" w:ascii="Times New Roman" w:hAnsi="Times New Roman" w:eastAsia="仿宋_GB2312" w:cs="Times New Roman"/>
          <w:sz w:val="32"/>
          <w:szCs w:val="32"/>
          <w:lang w:val="en-US" w:eastAsia="zh-CN"/>
        </w:rPr>
        <w:t>对选定的</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台500kA铝电解槽（对比槽</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台、试验槽</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台）</w:t>
      </w:r>
      <w:r>
        <w:rPr>
          <w:rFonts w:hint="default" w:ascii="Times New Roman" w:hAnsi="Times New Roman" w:eastAsia="仿宋_GB2312" w:cs="Times New Roman"/>
          <w:sz w:val="32"/>
          <w:szCs w:val="32"/>
          <w:lang w:val="en-US" w:eastAsia="zh-CN"/>
        </w:rPr>
        <w:t>进行铝电解槽串并联电路分布测试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铝液层内磁流体稳定性测试</w:t>
      </w:r>
      <w:r>
        <w:rPr>
          <w:rFonts w:hint="eastAsia" w:ascii="Times New Roman" w:hAnsi="Times New Roman" w:eastAsia="仿宋_GB2312" w:cs="Times New Roman"/>
          <w:sz w:val="32"/>
          <w:szCs w:val="32"/>
          <w:lang w:val="en-US" w:eastAsia="zh-CN"/>
        </w:rPr>
        <w:t>、电流效率测试、黑电压测试与数据分析、</w:t>
      </w:r>
      <w:r>
        <w:rPr>
          <w:rFonts w:hint="default" w:ascii="Times New Roman" w:hAnsi="Times New Roman" w:eastAsia="仿宋_GB2312" w:cs="Times New Roman"/>
          <w:sz w:val="32"/>
          <w:szCs w:val="32"/>
          <w:lang w:val="en-US" w:eastAsia="zh-CN"/>
        </w:rPr>
        <w:t>综合分析与评价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节能效果评估</w:t>
      </w:r>
      <w:r>
        <w:rPr>
          <w:rFonts w:hint="eastAsia" w:ascii="Times New Roman" w:hAnsi="Times New Roman" w:eastAsia="仿宋_GB2312" w:cs="Times New Roman"/>
          <w:sz w:val="32"/>
          <w:szCs w:val="32"/>
          <w:lang w:val="en-US" w:eastAsia="zh-CN"/>
        </w:rPr>
        <w:t>，并出具相应的报告，具体内容如下：</w:t>
      </w:r>
    </w:p>
    <w:p w14:paraId="7AFEB216">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铝电解槽串并联电路分布测试内容</w:t>
      </w:r>
    </w:p>
    <w:p w14:paraId="443E0075">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各段母线压降；</w:t>
      </w:r>
    </w:p>
    <w:p w14:paraId="0E633DA4">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卡具压降；</w:t>
      </w:r>
    </w:p>
    <w:p w14:paraId="70DF2536">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各导杆压降；</w:t>
      </w:r>
    </w:p>
    <w:p w14:paraId="1CD49AEB">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爆炸焊压降；</w:t>
      </w:r>
    </w:p>
    <w:p w14:paraId="284037BD">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钢爪压降；</w:t>
      </w:r>
    </w:p>
    <w:p w14:paraId="73589888">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极间压降；</w:t>
      </w:r>
    </w:p>
    <w:p w14:paraId="1FDAB6A6">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槽底压降；</w:t>
      </w:r>
    </w:p>
    <w:p w14:paraId="6C9C3932">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导杆等距压降（阳极电流分布）；</w:t>
      </w:r>
    </w:p>
    <w:p w14:paraId="20BF9930">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阴极软带压降（阴极电流分布）。</w:t>
      </w:r>
    </w:p>
    <w:p w14:paraId="757C9457">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铝液层内磁流体稳定性测试内容</w:t>
      </w:r>
    </w:p>
    <w:p w14:paraId="2EA2806F">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测试铝液中多点三维磁感应强度，分析槽内磁场分布状况，并由此判断母线配置优劣，为生产和技改提供依据。</w:t>
      </w:r>
      <w:r>
        <w:rPr>
          <w:rFonts w:hint="eastAsia" w:ascii="Times New Roman" w:hAnsi="Times New Roman" w:eastAsia="仿宋_GB2312" w:cs="Times New Roman"/>
          <w:sz w:val="32"/>
          <w:szCs w:val="32"/>
          <w:lang w:val="en-US" w:eastAsia="zh-CN"/>
        </w:rPr>
        <w:t>具体要求</w:t>
      </w:r>
      <w:r>
        <w:rPr>
          <w:rFonts w:hint="default" w:ascii="Times New Roman" w:hAnsi="Times New Roman" w:eastAsia="仿宋_GB2312" w:cs="Times New Roman"/>
          <w:sz w:val="32"/>
          <w:szCs w:val="32"/>
          <w:lang w:val="en-US" w:eastAsia="zh-CN"/>
        </w:rPr>
        <w:t>基于三维高斯计对铝电解槽铝液层多点磁感应强度的全维度测量，结合标准化测点布置与数据采集流程，系统性获取铝液层磁流体稳定性关键参数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通过定量解析BX、BY、BZ及合成磁场的空间分布特征，评估网格化母线配置对槽内磁场均衡性的调控效果。</w:t>
      </w:r>
    </w:p>
    <w:p w14:paraId="596DD0A0">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3.基于两次铜盘存测量的电解槽电流效率测试</w:t>
      </w:r>
    </w:p>
    <w:p w14:paraId="622D6616">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采用行业内高精度的“铜盘存法”进行电解槽电流效率的测定。通过在评估周期的期初和期末分别执行两次严格的铜盘存测量，精确盘点并计算出该周期内槽内铝液的真实盈亏量。结合评估期间的实际出铝量与输入的直流电量，依据法拉第定律科学推算测试期间电解槽真实的运行电流效率。</w:t>
      </w:r>
    </w:p>
    <w:p w14:paraId="4D0A5242">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4.黑电压测试</w:t>
      </w:r>
    </w:p>
    <w:p w14:paraId="19132281">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测定电解槽系列外部导电回路中的电压降（即黑电压），主要包括整流房至电解槽之间的母线压降，以及相邻电解槽间通道的母线压降。通过系统性地测量并记录系列回路中各节点的“出电”与“进电”电压值，量化评估网络化母线升级前后系列母线外部的无功电能损耗情况。该测试数据将直接用于全系列电平衡的综合计算，为优化槽外导电体截面分布、降低线路发热损耗提供精准的实测依据。</w:t>
      </w:r>
    </w:p>
    <w:p w14:paraId="30C50586">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5.综合分析与评价</w:t>
      </w:r>
    </w:p>
    <w:p w14:paraId="16CC640A">
      <w:pPr>
        <w:ind w:firstLine="640" w:firstLineChars="200"/>
        <w:rPr>
          <w:rFonts w:ascii="Times New Roman" w:hAnsi="Times New Roman" w:cs="Times New Roman"/>
          <w:sz w:val="24"/>
        </w:rPr>
      </w:pPr>
      <w:r>
        <w:rPr>
          <w:rFonts w:hint="default" w:ascii="Times New Roman" w:hAnsi="Times New Roman" w:eastAsia="仿宋_GB2312" w:cs="Times New Roman"/>
          <w:sz w:val="32"/>
          <w:szCs w:val="32"/>
          <w:lang w:val="en-US" w:eastAsia="zh-CN"/>
        </w:rPr>
        <w:t>根据铝电解槽串并联电路分布测试内容、铝液层内磁流体稳定性</w:t>
      </w:r>
      <w:r>
        <w:rPr>
          <w:rFonts w:hint="eastAsia" w:ascii="Times New Roman" w:hAnsi="Times New Roman" w:eastAsia="仿宋_GB2312" w:cs="Times New Roman"/>
          <w:sz w:val="32"/>
          <w:szCs w:val="32"/>
          <w:lang w:val="en-US" w:eastAsia="zh-CN"/>
        </w:rPr>
        <w:t>测试</w:t>
      </w:r>
      <w:r>
        <w:rPr>
          <w:rFonts w:hint="default" w:ascii="Times New Roman" w:hAnsi="Times New Roman" w:eastAsia="仿宋_GB2312" w:cs="Times New Roman"/>
          <w:sz w:val="32"/>
          <w:szCs w:val="32"/>
          <w:lang w:val="en-US" w:eastAsia="zh-CN"/>
        </w:rPr>
        <w:t>内容，就</w:t>
      </w:r>
      <w:r>
        <w:rPr>
          <w:rFonts w:hint="eastAsia" w:ascii="Times New Roman" w:hAnsi="Times New Roman" w:eastAsia="仿宋_GB2312" w:cs="Times New Roman"/>
          <w:sz w:val="32"/>
          <w:szCs w:val="32"/>
          <w:lang w:val="en-US" w:eastAsia="zh-CN"/>
        </w:rPr>
        <w:t>甲方</w:t>
      </w:r>
      <w:r>
        <w:rPr>
          <w:rFonts w:hint="default" w:ascii="Times New Roman" w:hAnsi="Times New Roman" w:eastAsia="仿宋_GB2312" w:cs="Times New Roman"/>
          <w:sz w:val="32"/>
          <w:szCs w:val="32"/>
          <w:lang w:val="en-US" w:eastAsia="zh-CN"/>
        </w:rPr>
        <w:t>500kA超大型预焙阳极铝电解槽的电磁分布进行综合分析与评价。</w:t>
      </w:r>
    </w:p>
    <w:p w14:paraId="693B83D4">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6.节能效果评估</w:t>
      </w:r>
    </w:p>
    <w:p w14:paraId="0D09F84C">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根据铝电解槽串并联电路分布测试内容、铝液层内磁流体稳定性</w:t>
      </w:r>
      <w:r>
        <w:rPr>
          <w:rFonts w:hint="eastAsia" w:ascii="Times New Roman" w:hAnsi="Times New Roman" w:eastAsia="仿宋_GB2312" w:cs="Times New Roman"/>
          <w:sz w:val="32"/>
          <w:szCs w:val="32"/>
          <w:lang w:val="en-US" w:eastAsia="zh-CN"/>
        </w:rPr>
        <w:t>测试</w:t>
      </w:r>
      <w:r>
        <w:rPr>
          <w:rFonts w:hint="default" w:ascii="Times New Roman" w:hAnsi="Times New Roman" w:eastAsia="仿宋_GB2312" w:cs="Times New Roman"/>
          <w:sz w:val="32"/>
          <w:szCs w:val="32"/>
          <w:lang w:val="en-US" w:eastAsia="zh-CN"/>
        </w:rPr>
        <w:t>内容、综合分析与评价内容、铝电解报表，就</w:t>
      </w:r>
      <w:r>
        <w:rPr>
          <w:rFonts w:hint="eastAsia" w:ascii="Times New Roman" w:hAnsi="Times New Roman" w:eastAsia="仿宋_GB2312" w:cs="Times New Roman"/>
          <w:sz w:val="32"/>
          <w:szCs w:val="32"/>
          <w:lang w:val="en-US" w:eastAsia="zh-CN"/>
        </w:rPr>
        <w:t>甲方</w:t>
      </w:r>
      <w:r>
        <w:rPr>
          <w:rFonts w:hint="default" w:ascii="Times New Roman" w:hAnsi="Times New Roman" w:eastAsia="仿宋_GB2312" w:cs="Times New Roman"/>
          <w:sz w:val="32"/>
          <w:szCs w:val="32"/>
          <w:lang w:val="en-US" w:eastAsia="zh-CN"/>
        </w:rPr>
        <w:t>500kA超大型预焙阳极铝电解槽的网格化母线磁流体稳定性原位升级项目</w:t>
      </w:r>
      <w:r>
        <w:rPr>
          <w:rFonts w:hint="eastAsia"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val="en-US" w:eastAsia="zh-CN"/>
        </w:rPr>
        <w:t>节能效果评价。</w:t>
      </w:r>
    </w:p>
    <w:p w14:paraId="7E61E3DD">
      <w:pPr>
        <w:keepNext w:val="0"/>
        <w:keepLines w:val="0"/>
        <w:pageBreakBefore w:val="0"/>
        <w:widowControl w:val="0"/>
        <w:kinsoku/>
        <w:wordWrap/>
        <w:overflowPunct/>
        <w:topLinePunct w:val="0"/>
        <w:autoSpaceDE/>
        <w:autoSpaceDN/>
        <w:bidi w:val="0"/>
        <w:adjustRightInd/>
        <w:snapToGrid/>
        <w:spacing w:line="600" w:lineRule="exact"/>
        <w:ind w:left="1" w:right="458" w:rightChars="218"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三、</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技术服务</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要求</w:t>
      </w:r>
    </w:p>
    <w:p w14:paraId="5CB20F58">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技术服务的方式</w:t>
      </w:r>
      <w:r>
        <w:rPr>
          <w:rFonts w:hint="eastAsia" w:ascii="Times New Roman" w:hAnsi="Times New Roman" w:eastAsia="仿宋_GB2312" w:cs="Times New Roman"/>
          <w:sz w:val="32"/>
          <w:szCs w:val="32"/>
          <w:lang w:val="en-US" w:eastAsia="zh-CN"/>
        </w:rPr>
        <w:t>：现场服务、远程服务。</w:t>
      </w:r>
    </w:p>
    <w:p w14:paraId="1AFCDD78">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形成完整的测试报告：与国内“物理场测试数据库”进行对比及综合评价，测试工作完成后，编制《铝电解槽网络化母线磁流体稳定性原位升级效果评估报告》，报告包含以下内容：电解槽串并联电路分布测试分析、铝液层内磁流体稳定性测试分析、基于铜盘存的电解槽电流效率分析、黑电压数据分析、综合分析与评价建议、节能效果评估。</w:t>
      </w:r>
      <w:bookmarkStart w:id="0" w:name="_GoBack"/>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8070C1-5C9F-4379-BDB3-0B7747F09A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90A12472-CCD7-471F-9A41-7B00C5BB36CD}"/>
  </w:font>
  <w:font w:name="仿宋_GB2312">
    <w:panose1 w:val="02010609060101010101"/>
    <w:charset w:val="86"/>
    <w:family w:val="auto"/>
    <w:pitch w:val="default"/>
    <w:sig w:usb0="800002BF" w:usb1="38CF7CFA" w:usb2="00000016" w:usb3="00000000" w:csb0="00040001" w:csb1="00000000"/>
    <w:embedRegular r:id="rId3" w:fontKey="{040C57B3-1140-4942-B069-6E56C897BD2E}"/>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NmZiM2Q1YTE3MGY4NmRkMGQ4MGRiOWI1ZDNiNmUifQ=="/>
  </w:docVars>
  <w:rsids>
    <w:rsidRoot w:val="1A890794"/>
    <w:rsid w:val="03A569EC"/>
    <w:rsid w:val="054719F2"/>
    <w:rsid w:val="060634B0"/>
    <w:rsid w:val="06C50E73"/>
    <w:rsid w:val="093A21B9"/>
    <w:rsid w:val="0A8D3D36"/>
    <w:rsid w:val="0DCA2A4D"/>
    <w:rsid w:val="13104FD4"/>
    <w:rsid w:val="13715A50"/>
    <w:rsid w:val="14FF732B"/>
    <w:rsid w:val="15557BEE"/>
    <w:rsid w:val="16AB3EC2"/>
    <w:rsid w:val="19200335"/>
    <w:rsid w:val="1A662EF3"/>
    <w:rsid w:val="1A890794"/>
    <w:rsid w:val="1DBB7BBC"/>
    <w:rsid w:val="1DE36D9C"/>
    <w:rsid w:val="24643570"/>
    <w:rsid w:val="25CA1508"/>
    <w:rsid w:val="26EB4D9A"/>
    <w:rsid w:val="29697032"/>
    <w:rsid w:val="2EB30ACE"/>
    <w:rsid w:val="31687EFE"/>
    <w:rsid w:val="37932BB0"/>
    <w:rsid w:val="37E311D4"/>
    <w:rsid w:val="3AAD7959"/>
    <w:rsid w:val="3BC722D6"/>
    <w:rsid w:val="3C6B3628"/>
    <w:rsid w:val="40A01DC9"/>
    <w:rsid w:val="40AB53B9"/>
    <w:rsid w:val="43644725"/>
    <w:rsid w:val="45035F97"/>
    <w:rsid w:val="45633960"/>
    <w:rsid w:val="467E7559"/>
    <w:rsid w:val="4A4E0AD2"/>
    <w:rsid w:val="4DC66256"/>
    <w:rsid w:val="4F7F3205"/>
    <w:rsid w:val="50E25E4D"/>
    <w:rsid w:val="51114236"/>
    <w:rsid w:val="542921CB"/>
    <w:rsid w:val="55E55DA1"/>
    <w:rsid w:val="56024BA5"/>
    <w:rsid w:val="58BA3B8D"/>
    <w:rsid w:val="59D54816"/>
    <w:rsid w:val="5A5534F6"/>
    <w:rsid w:val="5DEB1F0E"/>
    <w:rsid w:val="60983F8C"/>
    <w:rsid w:val="62E027D9"/>
    <w:rsid w:val="65546E2B"/>
    <w:rsid w:val="682A68F7"/>
    <w:rsid w:val="68E75692"/>
    <w:rsid w:val="6FDA7E39"/>
    <w:rsid w:val="712F5801"/>
    <w:rsid w:val="77471FC0"/>
    <w:rsid w:val="79303475"/>
    <w:rsid w:val="7D8D1023"/>
    <w:rsid w:val="7DCD7244"/>
    <w:rsid w:val="7E6A1779"/>
    <w:rsid w:val="7FB64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caption"/>
    <w:basedOn w:val="1"/>
    <w:next w:val="1"/>
    <w:autoRedefine/>
    <w:qFormat/>
    <w:uiPriority w:val="0"/>
    <w:pPr>
      <w:jc w:val="both"/>
      <w:textAlignment w:val="baseline"/>
    </w:pPr>
    <w:rPr>
      <w:rFonts w:ascii="Arial" w:hAnsi="Arial" w:eastAsia="黑体"/>
      <w:kern w:val="2"/>
      <w:sz w:val="20"/>
      <w:szCs w:val="20"/>
      <w:lang w:val="en-US" w:eastAsia="zh-CN" w:bidi="ar-SA"/>
    </w:rPr>
  </w:style>
  <w:style w:type="paragraph" w:styleId="3">
    <w:name w:val="Body Text Indent"/>
    <w:basedOn w:val="1"/>
    <w:autoRedefine/>
    <w:qFormat/>
    <w:uiPriority w:val="0"/>
    <w:pPr>
      <w:autoSpaceDE w:val="0"/>
      <w:autoSpaceDN w:val="0"/>
      <w:ind w:left="480"/>
      <w:jc w:val="left"/>
      <w:textAlignment w:val="bottom"/>
    </w:pPr>
    <w:rPr>
      <w:rFonts w:ascii="宋体" w:hAnsi="Times New Roman"/>
      <w:sz w:val="24"/>
      <w:szCs w:val="20"/>
    </w:rPr>
  </w:style>
  <w:style w:type="paragraph" w:styleId="4">
    <w:name w:val="Body Text Indent 2"/>
    <w:basedOn w:val="1"/>
    <w:autoRedefine/>
    <w:qFormat/>
    <w:uiPriority w:val="0"/>
    <w:pPr>
      <w:spacing w:after="120" w:afterLines="0" w:line="480" w:lineRule="auto"/>
      <w:ind w:left="420" w:leftChars="200"/>
    </w:pPr>
  </w:style>
  <w:style w:type="paragraph" w:styleId="5">
    <w:name w:val="Body Text First Indent 2"/>
    <w:basedOn w:val="3"/>
    <w:autoRedefine/>
    <w:qFormat/>
    <w:uiPriority w:val="0"/>
    <w:pPr>
      <w:ind w:firstLine="420" w:firstLineChars="200"/>
    </w:p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autoRedefine/>
    <w:qFormat/>
    <w:uiPriority w:val="99"/>
    <w:pPr>
      <w:ind w:firstLine="420" w:firstLineChars="200"/>
    </w:pPr>
  </w:style>
  <w:style w:type="paragraph" w:customStyle="1" w:styleId="10">
    <w:name w:val="普通(网站) Char"/>
    <w:basedOn w:val="1"/>
    <w:qFormat/>
    <w:uiPriority w:val="0"/>
    <w:pPr>
      <w:widowControl/>
      <w:spacing w:before="100" w:beforeAutospacing="1" w:after="100" w:afterAutospacing="1"/>
      <w:jc w:val="left"/>
    </w:pPr>
    <w:rPr>
      <w:rFonts w:hint="eastAsia" w:ascii="宋体" w:hAnsi="宋体"/>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b9fa99bc-1629-4044-ad83-8eac2d436bf2</errorID>
      <errorWord>，</errorWord>
      <group>L1_Word</group>
      <groupName>字词问题</groupName>
      <ability>L2_Typo</ability>
      <abilityName>字词错误</abilityName>
      <candidateList>
        <item>，在</item>
      </candidateList>
      <explain/>
      <paraID>354D7E26</paraID>
      <start>26</start>
      <end>28</end>
      <status>modified</status>
      <modifiedWord>，在</modifiedWord>
      <trackRevisions>false</trackRevisions>
    </reviewItem>
    <reviewItem>
      <errorID>2860a244-a319-4e0f-a2f8-9bb2e99b8fb9</errorID>
      <errorWord>须</errorWord>
      <group>L1_Word</group>
      <groupName>字词问题</groupName>
      <ability>L2_Typo</ability>
      <abilityName>字词错误</abilityName>
      <candidateList>
        <item>需</item>
      </candidateList>
      <explain>存在发音相同字词的误用。</explain>
      <paraID>54D4AA0D</paraID>
      <start>27</start>
      <end>28</end>
      <status>modified</status>
      <modifiedWord>需</modifiedWord>
      <trackRevisions>false</trackRevisions>
    </reviewItem>
    <reviewItem>
      <errorID>a3b9b805-87bf-42d7-8db0-f1984f3575b3</errorID>
      <errorWord>(</errorWord>
      <group>L1_Format</group>
      <groupName>格式问题</groupName>
      <ability>L2_HalfPunc</ability>
      <abilityName>全半角检查</abilityName>
      <candidateList>
        <item>（</item>
      </candidateList>
      <explain>文本全半角错误。</explain>
      <paraID> D980B42</paraID>
      <start>9</start>
      <end>10</end>
      <status>modified</status>
      <modifiedWord>（</modifiedWord>
      <trackRevisions>false</trackRevisions>
    </reviewItem>
    <reviewItem>
      <errorID>19db9c29-651f-4ef7-b4d7-d0593088d922</errorID>
      <errorWord>(</errorWord>
      <group>L1_Format</group>
      <groupName>格式问题</groupName>
      <ability>L2_HalfPunc</ability>
      <abilityName>全半角检查</abilityName>
      <candidateList>
        <item>（</item>
      </candidateList>
      <explain>文本全半角错误。</explain>
      <paraID> D980B42</paraID>
      <start>34</start>
      <end>35</end>
      <status>modified</status>
      <modifiedWord>（</modifiedWord>
      <trackRevisions>false</trackRevisions>
    </reviewItem>
    <reviewItem>
      <errorID>9e50803b-19d0-4421-9e3c-95590509488a</errorID>
      <errorWord>10%~120%</errorWord>
      <group>L1_Knowledge</group>
      <groupName>知识性问题</groupName>
      <ability>L2_Knowledge</ability>
      <abilityName>其他知识</abilityName>
      <candidateList>
        <item>10%～120%</item>
      </candidateList>
      <explain>1. “10%~120%”中的单位“%”仅出现在后一个数字上，容易引起歧义；根据《现代汉语标点符号数字用法规范手册》，数字表示范围两边需要使用统一的格式。2. 根据标点国标 4.13 中的规则，数字、时间或地域连接符应使用（视觉上更长的）“—”或“～”。</explain>
      <paraID> D980B42</paraID>
      <start>35</start>
      <end>43</end>
      <status>modified</status>
      <modifiedWord>10%～120%</modifiedWord>
      <trackRevisions>false</trackRevisions>
    </reviewItem>
    <reviewItem>
      <errorID>5f8e44c8-666e-4da9-80b7-900138821086</errorID>
      <errorWord>)</errorWord>
      <group>L1_Format</group>
      <groupName>格式问题</groupName>
      <ability>L2_HalfPunc</ability>
      <abilityName>全半角检查</abilityName>
      <candidateList>
        <item>）</item>
      </candidateList>
      <explain>文本全半角错误。</explain>
      <paraID> D980B42</paraID>
      <start>45</start>
      <end>46</end>
      <status>modified</status>
      <modifiedWord>）</modifiedWord>
      <trackRevisions>false</trackRevisions>
    </reviewItem>
    <reviewItem>
      <errorID>e5548cf8-fb92-43d6-b151-d5e15d688fee</errorID>
      <errorWord>(</errorWord>
      <group>L1_Format</group>
      <groupName>格式问题</groupName>
      <ability>L2_HalfPunc</ability>
      <abilityName>全半角检查</abilityName>
      <candidateList>
        <item>（</item>
      </candidateList>
      <explain>文本全半角错误。</explain>
      <paraID> D980B42</paraID>
      <start>55</start>
      <end>56</end>
      <status>modified</status>
      <modifiedWord>（</modifiedWord>
      <trackRevisions>false</trackRevisions>
    </reviewItem>
    <reviewItem>
      <errorID>43e2327b-2258-4512-84a9-a2e69f1d45b9</errorID>
      <errorWord>10%~120%</errorWord>
      <group>L1_Knowledge</group>
      <groupName>知识性问题</groupName>
      <ability>L2_Knowledge</ability>
      <abilityName>其他知识</abilityName>
      <candidateList>
        <item>10%～120%</item>
      </candidateList>
      <explain>1. “10%~120%”中的单位“%”仅出现在后一个数字上，容易引起歧义；根据《现代汉语标点符号数字用法规范手册》，数字表示范围两边需要使用统一的格式。2. 根据标点国标 4.13 中的规则，数字、时间或地域连接符应使用（视觉上更长的）“—”或“～”。</explain>
      <paraID> D980B42</paraID>
      <start>56</start>
      <end>64</end>
      <status>modified</status>
      <modifiedWord>10%～120%</modifiedWord>
      <trackRevisions>false</trackRevisions>
    </reviewItem>
    <reviewItem>
      <errorID>7e34fcec-9ff4-4a41-9630-02bf7341f144</errorID>
      <errorWord>)</errorWord>
      <group>L1_Format</group>
      <groupName>格式问题</groupName>
      <ability>L2_HalfPunc</ability>
      <abilityName>全半角检查</abilityName>
      <candidateList>
        <item>）</item>
      </candidateList>
      <explain>文本全半角错误。</explain>
      <paraID> D980B42</paraID>
      <start>66</start>
      <end>67</end>
      <status>modified</status>
      <modifiedWord>）</modifiedWord>
      <trackRevisions>false</trackRevisions>
    </reviewItem>
    <reviewItem>
      <errorID>39be8fd1-775c-42b7-bdee-41d088286ecc</errorID>
      <errorWord>(</errorWord>
      <group>L1_Format</group>
      <groupName>格式问题</groupName>
      <ability>L2_HalfPunc</ability>
      <abilityName>全半角检查</abilityName>
      <candidateList>
        <item>（</item>
      </candidateList>
      <explain>文本全半角错误。</explain>
      <paraID>3E9059D4</paraID>
      <start>11</start>
      <end>12</end>
      <status>modified</status>
      <modifiedWord>（</modifiedWord>
      <trackRevisions>false</trackRevisions>
    </reviewItem>
    <reviewItem>
      <errorID>0855013d-3f04-4ca3-ad38-43cde6d120f8</errorID>
      <errorWord>)</errorWord>
      <group>L1_Format</group>
      <groupName>格式问题</groupName>
      <ability>L2_HalfPunc</ability>
      <abilityName>全半角检查</abilityName>
      <candidateList>
        <item>）</item>
      </candidateList>
      <explain>文本全半角错误。</explain>
      <paraID>3E9059D4</paraID>
      <start>17</start>
      <end>18</end>
      <status>modified</status>
      <modifiedWord>）</modifiedWord>
      <trackRevisions>false</trackRevisions>
    </reviewItem>
    <reviewItem>
      <errorID>f6a44854-6e87-4ac7-ab5b-79b6b27ab096</errorID>
      <errorWord>(</errorWord>
      <group>L1_Format</group>
      <groupName>格式问题</groupName>
      <ability>L2_HalfPunc</ability>
      <abilityName>全半角检查</abilityName>
      <candidateList>
        <item>（</item>
      </candidateList>
      <explain>文本全半角错误。</explain>
      <paraID>1DCC190A</paraID>
      <start>9</start>
      <end>10</end>
      <status>modified</status>
      <modifiedWord>（</modifiedWord>
      <trackRevisions>false</trackRevisions>
    </reviewItem>
    <reviewItem>
      <errorID>d491d7cb-6669-48be-8660-2815e50c0e40</errorID>
      <errorWord>(</errorWord>
      <group>L1_Format</group>
      <groupName>格式问题</groupName>
      <ability>L2_HalfPunc</ability>
      <abilityName>全半角检查</abilityName>
      <candidateList>
        <item>（</item>
      </candidateList>
      <explain>文本全半角错误。</explain>
      <paraID>1DCC190A</paraID>
      <start>33</start>
      <end>34</end>
      <status>modified</status>
      <modifiedWord>（</modifiedWord>
      <trackRevisions>false</trackRevisions>
    </reviewItem>
    <reviewItem>
      <errorID>1fbaaae5-1d6a-41b1-ac89-14d4045c686b</errorID>
      <errorWord>10%~120%</errorWord>
      <group>L1_Knowledge</group>
      <groupName>知识性问题</groupName>
      <ability>L2_Knowledge</ability>
      <abilityName>其他知识</abilityName>
      <candidateList>
        <item>10%～120%</item>
      </candidateList>
      <explain>1. “10%~120%”中的单位“%”仅出现在后一个数字上，容易引起歧义；根据《现代汉语标点符号数字用法规范手册》，数字表示范围两边需要使用统一的格式。2. 根据标点国标 4.13 中的规则，数字、时间或地域连接符应使用（视觉上更长的）“—”或“～”。</explain>
      <paraID>1DCC190A</paraID>
      <start>34</start>
      <end>42</end>
      <status>modified</status>
      <modifiedWord>10%～120%</modifiedWord>
      <trackRevisions>false</trackRevisions>
    </reviewItem>
    <reviewItem>
      <errorID>e126f096-4a9d-4bdb-b8ca-e0f088eb2d7e</errorID>
      <errorWord>)</errorWord>
      <group>L1_Format</group>
      <groupName>格式问题</groupName>
      <ability>L2_HalfPunc</ability>
      <abilityName>全半角检查</abilityName>
      <candidateList>
        <item>）</item>
      </candidateList>
      <explain>文本全半角错误。</explain>
      <paraID>1DCC190A</paraID>
      <start>44</start>
      <end>45</end>
      <status>modified</status>
      <modifiedWord>）</modifiedWord>
      <trackRevisions>false</trackRevisions>
    </reviewItem>
    <reviewItem>
      <errorID>1f81c469-307f-48ed-aaca-9c45c76a815a</errorID>
      <errorWord>(</errorWord>
      <group>L1_Format</group>
      <groupName>格式问题</groupName>
      <ability>L2_HalfPunc</ability>
      <abilityName>全半角检查</abilityName>
      <candidateList>
        <item>（</item>
      </candidateList>
      <explain>文本全半角错误。</explain>
      <paraID>760678E6</paraID>
      <start>11</start>
      <end>12</end>
      <status>modified</status>
      <modifiedWord>（</modifiedWord>
      <trackRevisions>false</trackRevisions>
    </reviewItem>
    <reviewItem>
      <errorID>a5e76637-f911-4387-aa5b-f2911c933f43</errorID>
      <errorWord>)</errorWord>
      <group>L1_Format</group>
      <groupName>格式问题</groupName>
      <ability>L2_HalfPunc</ability>
      <abilityName>全半角检查</abilityName>
      <candidateList>
        <item>）</item>
      </candidateList>
      <explain>文本全半角错误。</explain>
      <paraID>760678E6</paraID>
      <start>17</start>
      <end>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5409244b-38da-44b4-9117-e0fa92bb91b1}">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1241</Words>
  <Characters>1571</Characters>
  <Lines>0</Lines>
  <Paragraphs>0</Paragraphs>
  <TotalTime>14</TotalTime>
  <ScaleCrop>false</ScaleCrop>
  <LinksUpToDate>false</LinksUpToDate>
  <CharactersWithSpaces>1573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2023-08-23T00:53:00Z</dcterms:created>
  <dc:creator>段中波</dc:creator>
  <cp:lastModifiedBy>清泉</cp:lastModifiedBy>
  <dcterms:modified xsi:type="dcterms:W3CDTF">2026-05-11T08:08:21Z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2CFF5632A9734A7ABDC21BA5BEAA3CC8_13</vt:lpwstr>
  </property>
  <property fmtid="{D5CDD505-2E9C-101B-9397-08002B2CF9AE}" pid="4" name="KSOTemplateDocerSaveRecord">
    <vt:lpwstr>eyJoZGlkIjoiNGY5NmM5N2E5MmZlZDkzMWE2MzljMzg5Zjc2ZDdlMjkiLCJ1c2VySWQiOiI3MzQ5MjY3MjYifQ==</vt:lpwstr>
  </property>
</Properties>
</file>