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DB36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加工标准</w:t>
      </w:r>
    </w:p>
    <w:p w14:paraId="7F1E4B2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1.高炉冷却壁、高炉炉底残铁加工质量标准：加工完成的成品废钢，最大外型尺寸≤1000×600×600mm，单体重量≤2吨。</w:t>
      </w:r>
    </w:p>
    <w:p w14:paraId="1E804B8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2.乱钢筋、金属打包带加工质量标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准：切割后为长度≤500mm的小段，或打成尺寸≤1000×600×600mm的打包块。</w:t>
      </w:r>
    </w:p>
    <w:p w14:paraId="03533FF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3.大型废钢切割质量标准：加工完成的成品废钢，最大外型尺寸≤1000×600×600mm，单体重量≤2吨；同时，需对密闭容器、危险品及非碳素废钢类杂物（包括金属和非金属）进行分离。</w:t>
      </w:r>
    </w:p>
    <w:p w14:paraId="449A0D0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4.切割后的物料必须符合厂矿的使用要求。</w:t>
      </w:r>
    </w:p>
    <w:p w14:paraId="4575ADD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5.若承揽方在切割现场搭建简易钢结构工作棚，允许采用火焰切割方式；若未搭建工作棚，则严禁使用火焰切割方式。</w:t>
      </w:r>
    </w:p>
    <w:p w14:paraId="6210FA25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411A0"/>
    <w:rsid w:val="243F7403"/>
    <w:rsid w:val="2984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2025-08-05T09:42:00Z</dcterms:created>
  <dc:creator>贺亮兴</dc:creator>
  <cp:lastModifiedBy>贺亮兴</cp:lastModifiedBy>
  <dcterms:modified xsi:type="dcterms:W3CDTF">2025-08-05T09:44:05Z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CF303B9C427F4A17BFEA91A7BDF9275C_13</vt:lpwstr>
  </property>
  <property fmtid="{D5CDD505-2E9C-101B-9397-08002B2CF9AE}" pid="4" name="KSOTemplateDocerSaveRecord">
    <vt:lpwstr>eyJoZGlkIjoiMTY2Y2ZmMTU4ZmQwNDRhY2JhOTM5NjFhYTk2OTE1ZjciLCJ1c2VySWQiOiIxNDg5MzA4NTM3In0=</vt:lpwstr>
  </property>
</Properties>
</file>