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68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离子交换树脂\001×7/FC技术要求</w:t>
      </w:r>
    </w:p>
    <w:p w14:paraId="28D2B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1、执行标准</w:t>
      </w:r>
    </w:p>
    <w:p w14:paraId="7FC10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《001×7强酸性苯乙烯系阳离子交换树脂》（GB／T13659-2008）</w:t>
      </w:r>
    </w:p>
    <w:p w14:paraId="0122E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pacing w:val="11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11"/>
          <w:sz w:val="28"/>
          <w:szCs w:val="28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>主要用途</w:t>
      </w:r>
    </w:p>
    <w:p w14:paraId="1C771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主要用于硬水软化，纯水制备。</w:t>
      </w:r>
    </w:p>
    <w:p w14:paraId="1F5F25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pacing w:val="-17"/>
          <w:position w:val="1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7"/>
          <w:position w:val="-1"/>
          <w:sz w:val="28"/>
          <w:szCs w:val="28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pacing w:val="-17"/>
          <w:position w:val="1"/>
          <w:sz w:val="28"/>
          <w:szCs w:val="28"/>
        </w:rPr>
        <w:t>外观</w:t>
      </w:r>
    </w:p>
    <w:p w14:paraId="2301F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棕黄色至棕褐色球状颗粒 。</w:t>
      </w:r>
    </w:p>
    <w:p w14:paraId="1CEDCC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pacing w:val="-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position w:val="-2"/>
          <w:sz w:val="28"/>
          <w:szCs w:val="28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出厂型式</w:t>
      </w:r>
    </w:p>
    <w:p w14:paraId="41796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钠型 </w:t>
      </w:r>
    </w:p>
    <w:p w14:paraId="271AE1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position w:val="-2"/>
          <w:sz w:val="28"/>
          <w:szCs w:val="28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理化性能</w:t>
      </w:r>
    </w:p>
    <w:tbl>
      <w:tblPr>
        <w:tblStyle w:val="5"/>
        <w:tblW w:w="500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34"/>
        <w:gridCol w:w="4701"/>
      </w:tblGrid>
      <w:tr w14:paraId="58191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21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25EA4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w w:val="100"/>
                <w:position w:val="0"/>
                <w:sz w:val="21"/>
                <w:szCs w:val="21"/>
              </w:rPr>
              <w:t>项目</w:t>
            </w:r>
          </w:p>
        </w:tc>
        <w:tc>
          <w:tcPr>
            <w:tcW w:w="2819" w:type="pc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74B4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w w:val="100"/>
                <w:position w:val="0"/>
                <w:sz w:val="21"/>
                <w:szCs w:val="21"/>
              </w:rPr>
              <w:t>001 × 7FC</w:t>
            </w:r>
          </w:p>
        </w:tc>
      </w:tr>
      <w:tr w14:paraId="3D10D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180" w:type="pct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70B03E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全交换容量/(mmol/g)</w:t>
            </w:r>
          </w:p>
        </w:tc>
        <w:tc>
          <w:tcPr>
            <w:tcW w:w="2819" w:type="pc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75A602E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≥4.5</w:t>
            </w:r>
          </w:p>
        </w:tc>
      </w:tr>
      <w:tr w14:paraId="2317C9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741A3E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体积交换容量/(mmol/mL)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75885C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≥1.90</w:t>
            </w:r>
          </w:p>
        </w:tc>
      </w:tr>
      <w:tr w14:paraId="77A99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180" w:type="pct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6F87CD4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含水量/%</w:t>
            </w:r>
          </w:p>
        </w:tc>
        <w:tc>
          <w:tcPr>
            <w:tcW w:w="2819" w:type="pc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751FE5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45</w:t>
            </w:r>
            <w:r>
              <w:rPr>
                <w:rFonts w:hint="eastAsia" w:ascii="仿宋" w:hAnsi="仿宋" w:eastAsia="仿宋" w:cs="仿宋"/>
                <w:spacing w:val="0"/>
                <w:w w:val="100"/>
                <w:position w:val="0"/>
                <w:sz w:val="21"/>
                <w:szCs w:val="21"/>
              </w:rPr>
              <w:t>～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50</w:t>
            </w:r>
          </w:p>
        </w:tc>
      </w:tr>
      <w:tr w14:paraId="60743A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45B693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湿视密度/(g/mL)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6973F9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0.78</w:t>
            </w:r>
            <w:r>
              <w:rPr>
                <w:rFonts w:hint="eastAsia" w:ascii="仿宋" w:hAnsi="仿宋" w:eastAsia="仿宋" w:cs="仿宋"/>
                <w:spacing w:val="0"/>
                <w:w w:val="100"/>
                <w:position w:val="0"/>
                <w:sz w:val="21"/>
                <w:szCs w:val="21"/>
              </w:rPr>
              <w:t>～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88</w:t>
            </w:r>
          </w:p>
        </w:tc>
      </w:tr>
      <w:tr w14:paraId="359D4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7EF613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湿真密度/(g/mL)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629BB7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1.25</w:t>
            </w:r>
            <w:r>
              <w:rPr>
                <w:rFonts w:hint="eastAsia" w:ascii="仿宋" w:hAnsi="仿宋" w:eastAsia="仿宋" w:cs="仿宋"/>
                <w:spacing w:val="0"/>
                <w:w w:val="100"/>
                <w:position w:val="0"/>
                <w:sz w:val="21"/>
                <w:szCs w:val="21"/>
              </w:rPr>
              <w:t>～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1.29</w:t>
            </w:r>
          </w:p>
        </w:tc>
      </w:tr>
      <w:tr w14:paraId="2A4F1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0D985A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有效粒径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vertAlign w:val="superscript"/>
              </w:rPr>
              <w:t>a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/mm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1FED3B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0.50</w:t>
            </w:r>
            <w:r>
              <w:rPr>
                <w:rFonts w:hint="eastAsia" w:ascii="仿宋" w:hAnsi="仿宋" w:eastAsia="仿宋" w:cs="仿宋"/>
                <w:spacing w:val="0"/>
                <w:w w:val="100"/>
                <w:position w:val="0"/>
                <w:sz w:val="21"/>
                <w:szCs w:val="21"/>
              </w:rPr>
              <w:t>～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1.0</w:t>
            </w:r>
          </w:p>
        </w:tc>
      </w:tr>
      <w:tr w14:paraId="6F6B5B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0AF011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均一系数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31C7A88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≤1.6</w:t>
            </w:r>
          </w:p>
        </w:tc>
      </w:tr>
      <w:tr w14:paraId="6BB7FA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65E3F6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范围粒度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vertAlign w:val="superscript"/>
              </w:rPr>
              <w:t>a</w:t>
            </w:r>
          </w:p>
          <w:p w14:paraId="25BAF59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%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0B2829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(0.450mm</w:t>
            </w:r>
            <w:r>
              <w:rPr>
                <w:rFonts w:hint="eastAsia" w:ascii="仿宋" w:hAnsi="仿宋" w:eastAsia="仿宋" w:cs="仿宋"/>
                <w:spacing w:val="0"/>
                <w:w w:val="100"/>
                <w:position w:val="0"/>
                <w:sz w:val="21"/>
                <w:szCs w:val="21"/>
              </w:rPr>
              <w:t>～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1.250 mm)</w:t>
            </w:r>
          </w:p>
          <w:p w14:paraId="39F0295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≥95</w:t>
            </w:r>
          </w:p>
        </w:tc>
      </w:tr>
      <w:tr w14:paraId="6E52A0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6D061E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下限粒度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vertAlign w:val="superscript"/>
              </w:rPr>
              <w:t>a</w:t>
            </w:r>
          </w:p>
          <w:p w14:paraId="3F3F80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%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41F0BA0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&lt;0.450mm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lang w:eastAsia="zh-CN"/>
              </w:rPr>
              <w:t>）</w:t>
            </w:r>
          </w:p>
          <w:p w14:paraId="7BE5F2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≤1.0</w:t>
            </w:r>
          </w:p>
        </w:tc>
      </w:tr>
      <w:tr w14:paraId="527E0D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180" w:type="pct"/>
            <w:tcBorders>
              <w:left w:val="single" w:color="000000" w:sz="6" w:space="0"/>
            </w:tcBorders>
            <w:vAlign w:val="center"/>
          </w:tcPr>
          <w:p w14:paraId="3253AE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磨后圆球率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vertAlign w:val="superscript"/>
              </w:rPr>
              <w:t>b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/</w:t>
            </w:r>
          </w:p>
          <w:p w14:paraId="054799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 xml:space="preserve"> %</w:t>
            </w:r>
          </w:p>
        </w:tc>
        <w:tc>
          <w:tcPr>
            <w:tcW w:w="2819" w:type="pct"/>
            <w:tcBorders>
              <w:right w:val="single" w:color="000000" w:sz="6" w:space="0"/>
            </w:tcBorders>
            <w:vAlign w:val="center"/>
          </w:tcPr>
          <w:p w14:paraId="016AA5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≥90.0</w:t>
            </w:r>
          </w:p>
        </w:tc>
      </w:tr>
      <w:tr w14:paraId="75812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000" w:type="pct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1CE51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10" w:firstLineChars="1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有效粒径，均一系数和范围粒度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下限粒度测定用钠型。</w:t>
            </w:r>
          </w:p>
          <w:p w14:paraId="5A0E16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10" w:firstLineChars="1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position w:val="0"/>
                <w:sz w:val="21"/>
                <w:szCs w:val="21"/>
              </w:rPr>
              <w:t>磨后圆球率测定用原样树脂。</w:t>
            </w:r>
          </w:p>
        </w:tc>
      </w:tr>
    </w:tbl>
    <w:p w14:paraId="67BC27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6"/>
          <w:w w:val="97"/>
          <w:position w:val="-1"/>
          <w:sz w:val="28"/>
          <w:szCs w:val="28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pacing w:val="-16"/>
          <w:w w:val="97"/>
          <w:position w:val="1"/>
          <w:sz w:val="28"/>
          <w:szCs w:val="28"/>
        </w:rPr>
        <w:t>标志</w:t>
      </w:r>
    </w:p>
    <w:p w14:paraId="3D2B3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每批产品应有检验报告单。每一包装件上应有清晰、牢固的标志，标明产品名称、型号、等级、批号、净重、生产日期和生产厂名。</w:t>
      </w:r>
    </w:p>
    <w:p w14:paraId="3F339B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1"/>
          <w:position w:val="-1"/>
          <w:sz w:val="28"/>
          <w:szCs w:val="28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spacing w:val="-11"/>
          <w:position w:val="1"/>
          <w:sz w:val="28"/>
          <w:szCs w:val="28"/>
        </w:rPr>
        <w:t>包装</w:t>
      </w:r>
    </w:p>
    <w:p w14:paraId="29A63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产品应包装在内衬塑料袋的编织袋或其他密闭容器中，每一包装件应附有合格证。</w:t>
      </w:r>
    </w:p>
    <w:p w14:paraId="451486C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1"/>
          <w:position w:val="-1"/>
          <w:sz w:val="28"/>
          <w:szCs w:val="28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spacing w:val="-11"/>
          <w:position w:val="1"/>
          <w:sz w:val="28"/>
          <w:szCs w:val="28"/>
        </w:rPr>
        <w:t>运输</w:t>
      </w:r>
    </w:p>
    <w:p w14:paraId="4CC28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本产品为非危险品，在运输过程中，应保持在0℃～40℃环境中，避免过冷或过热，注意不使树脂失水。</w:t>
      </w:r>
    </w:p>
    <w:p w14:paraId="6C647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pacing w:val="-10"/>
          <w:position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0"/>
          <w:position w:val="-1"/>
          <w:sz w:val="28"/>
          <w:szCs w:val="28"/>
          <w:lang w:val="en-US" w:eastAsia="zh-CN"/>
        </w:rPr>
        <w:t>9、需求数量</w:t>
      </w:r>
    </w:p>
    <w:p w14:paraId="48FAC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5000kg。</w:t>
      </w:r>
    </w:p>
    <w:p w14:paraId="0FFF1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pacing w:val="-10"/>
          <w:position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0"/>
          <w:position w:val="-1"/>
          <w:sz w:val="28"/>
          <w:szCs w:val="28"/>
          <w:lang w:val="en-US" w:eastAsia="zh-CN"/>
        </w:rPr>
        <w:t>10、交货形式</w:t>
      </w:r>
    </w:p>
    <w:p w14:paraId="611AD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一次性交货。</w:t>
      </w:r>
    </w:p>
    <w:p w14:paraId="631F5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outlineLvl w:val="9"/>
        <w:rPr>
          <w:rFonts w:hint="eastAsia" w:ascii="仿宋_GB2312" w:hAnsi="仿宋_GB2312" w:eastAsia="仿宋_GB2312" w:cs="仿宋_GB2312"/>
          <w:spacing w:val="-10"/>
          <w:position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0"/>
          <w:position w:val="-1"/>
          <w:sz w:val="28"/>
          <w:szCs w:val="28"/>
          <w:lang w:val="en-US" w:eastAsia="zh-CN"/>
        </w:rPr>
        <w:t>11、使用方式</w:t>
      </w:r>
    </w:p>
    <w:p w14:paraId="11D57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outlineLvl w:val="9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一次性整体更换，后期无需补充。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DC923">
    <w:pPr>
      <w:pStyle w:val="2"/>
      <w:spacing w:line="181" w:lineRule="auto"/>
      <w:ind w:left="9013"/>
      <w:rPr>
        <w:sz w:val="16"/>
        <w:szCs w:val="16"/>
      </w:rPr>
    </w:pPr>
    <w:r>
      <w:rPr>
        <w:sz w:val="16"/>
        <w:szCs w:val="16"/>
      </w:rPr>
      <w:t>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F57DD"/>
    <w:rsid w:val="408810DD"/>
    <w:rsid w:val="736F57DD"/>
    <w:rsid w:val="7C3E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2026-01-22T14:16:00Z</dcterms:created>
  <dc:creator>曹迪鸥</dc:creator>
  <cp:lastModifiedBy>作业区考核 </cp:lastModifiedBy>
  <dcterms:modified xsi:type="dcterms:W3CDTF">2026-01-22T14:36:06Z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ABE09BCA0CF445948D27F12F73352095_13</vt:lpwstr>
  </property>
  <property fmtid="{D5CDD505-2E9C-101B-9397-08002B2CF9AE}" pid="4" name="KSOTemplateDocerSaveRecord">
    <vt:lpwstr>eyJoZGlkIjoiNmUwNzY1NGVkY2U5ZDRjOWFkZjhlYWZlMjZhNGFiMmEiLCJ1c2VySWQiOiIxNTIxODMzMDQ4In0=</vt:lpwstr>
  </property>
</Properties>
</file>