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ABD0A">
      <w:pPr>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甘肃东兴铝业有限公司陇西分公司</w:t>
      </w:r>
    </w:p>
    <w:p w14:paraId="75AEF9D7">
      <w:pPr>
        <w:jc w:val="center"/>
        <w:rPr>
          <w:rFonts w:hint="default"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高铝质耐火砖LZ-65供货技术规格书</w:t>
      </w:r>
    </w:p>
    <w:p w14:paraId="6F0E8FEC">
      <w:pPr>
        <w:jc w:val="both"/>
        <w:rPr>
          <w:rFonts w:hint="eastAsia" w:ascii="仿宋_GB2312" w:hAnsi="华文中宋" w:eastAsia="仿宋_GB2312"/>
          <w:sz w:val="28"/>
          <w:szCs w:val="28"/>
        </w:rPr>
      </w:pPr>
      <w:r>
        <w:rPr>
          <w:rFonts w:hint="eastAsia" w:ascii="仿宋_GB2312" w:hAnsi="华文中宋" w:eastAsia="仿宋_GB2312"/>
          <w:sz w:val="28"/>
          <w:szCs w:val="28"/>
        </w:rPr>
        <w:t>需方（甲方）：甘肃东兴铝业有限公司陇西分公司</w:t>
      </w:r>
    </w:p>
    <w:p w14:paraId="748B358F">
      <w:pPr>
        <w:jc w:val="both"/>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供方（乙方）：</w:t>
      </w:r>
    </w:p>
    <w:p w14:paraId="27D12763">
      <w:pPr>
        <w:ind w:firstLine="537" w:firstLineChars="192"/>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就甘肃东兴铝业有限公司陇西分公司高铝质耐火砖LZ-65所涉及的质量技术要求及其他使用要求进行标前技术沟通，达成一致形成以下条款：</w:t>
      </w:r>
    </w:p>
    <w:tbl>
      <w:tblPr>
        <w:tblStyle w:val="6"/>
        <w:tblpPr w:leftFromText="180" w:rightFromText="180" w:vertAnchor="text" w:horzAnchor="page" w:tblpX="2655" w:tblpY="624"/>
        <w:tblOverlap w:val="never"/>
        <w:tblW w:w="6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0"/>
        <w:gridCol w:w="2025"/>
        <w:gridCol w:w="1020"/>
        <w:gridCol w:w="1541"/>
      </w:tblGrid>
      <w:tr w14:paraId="24E4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tcPr>
          <w:p w14:paraId="393FE55E">
            <w:pPr>
              <w:numPr>
                <w:ilvl w:val="0"/>
                <w:numId w:val="0"/>
              </w:numPr>
              <w:jc w:val="center"/>
              <w:rPr>
                <w:rFonts w:hint="eastAsia" w:ascii="仿宋_GB2312" w:hAnsi="华文中宋" w:eastAsia="仿宋_GB2312"/>
                <w:sz w:val="28"/>
                <w:szCs w:val="28"/>
                <w:vertAlign w:val="baseline"/>
                <w:lang w:val="en-US" w:eastAsia="zh-CN"/>
              </w:rPr>
            </w:pPr>
            <w:r>
              <w:rPr>
                <w:rFonts w:hint="eastAsia" w:ascii="仿宋_GB2312" w:hAnsi="华文中宋" w:eastAsia="仿宋_GB2312"/>
                <w:sz w:val="28"/>
                <w:szCs w:val="28"/>
                <w:vertAlign w:val="baseline"/>
                <w:lang w:val="en-US" w:eastAsia="zh-CN"/>
              </w:rPr>
              <w:t>产品名称</w:t>
            </w:r>
          </w:p>
        </w:tc>
        <w:tc>
          <w:tcPr>
            <w:tcW w:w="2025" w:type="dxa"/>
          </w:tcPr>
          <w:p w14:paraId="19F46736">
            <w:pPr>
              <w:numPr>
                <w:ilvl w:val="0"/>
                <w:numId w:val="0"/>
              </w:numPr>
              <w:jc w:val="center"/>
              <w:rPr>
                <w:rFonts w:hint="eastAsia" w:ascii="仿宋_GB2312" w:hAnsi="华文中宋" w:eastAsia="仿宋_GB2312"/>
                <w:sz w:val="28"/>
                <w:szCs w:val="28"/>
                <w:vertAlign w:val="baseline"/>
                <w:lang w:val="en-US" w:eastAsia="zh-CN"/>
              </w:rPr>
            </w:pPr>
            <w:r>
              <w:rPr>
                <w:rFonts w:hint="eastAsia" w:ascii="仿宋_GB2312" w:hAnsi="华文中宋" w:eastAsia="仿宋_GB2312"/>
                <w:sz w:val="28"/>
                <w:szCs w:val="28"/>
                <w:vertAlign w:val="baseline"/>
                <w:lang w:val="en-US" w:eastAsia="zh-CN"/>
              </w:rPr>
              <w:t>规格型号</w:t>
            </w:r>
            <w:r>
              <w:rPr>
                <w:rFonts w:hint="eastAsia" w:ascii="仿宋_GB2312" w:hAnsi="华文中宋" w:eastAsia="仿宋_GB2312"/>
                <w:sz w:val="21"/>
                <w:szCs w:val="21"/>
                <w:vertAlign w:val="baseline"/>
                <w:lang w:val="en-US" w:eastAsia="zh-CN"/>
              </w:rPr>
              <w:t>（mm）</w:t>
            </w:r>
          </w:p>
        </w:tc>
        <w:tc>
          <w:tcPr>
            <w:tcW w:w="1020" w:type="dxa"/>
          </w:tcPr>
          <w:p w14:paraId="2220DEC2">
            <w:pPr>
              <w:numPr>
                <w:ilvl w:val="0"/>
                <w:numId w:val="0"/>
              </w:numPr>
              <w:jc w:val="center"/>
              <w:rPr>
                <w:rFonts w:hint="eastAsia" w:ascii="仿宋_GB2312" w:hAnsi="华文中宋" w:eastAsia="仿宋_GB2312"/>
                <w:sz w:val="28"/>
                <w:szCs w:val="28"/>
                <w:vertAlign w:val="baseline"/>
                <w:lang w:val="en-US" w:eastAsia="zh-CN"/>
              </w:rPr>
            </w:pPr>
            <w:r>
              <w:rPr>
                <w:rFonts w:hint="eastAsia" w:ascii="仿宋_GB2312" w:hAnsi="华文中宋" w:eastAsia="仿宋_GB2312"/>
                <w:sz w:val="28"/>
                <w:szCs w:val="28"/>
                <w:vertAlign w:val="baseline"/>
                <w:lang w:val="en-US" w:eastAsia="zh-CN"/>
              </w:rPr>
              <w:t>单位</w:t>
            </w:r>
          </w:p>
        </w:tc>
        <w:tc>
          <w:tcPr>
            <w:tcW w:w="1541" w:type="dxa"/>
          </w:tcPr>
          <w:p w14:paraId="13508BE0">
            <w:pPr>
              <w:numPr>
                <w:ilvl w:val="0"/>
                <w:numId w:val="0"/>
              </w:numPr>
              <w:jc w:val="center"/>
              <w:rPr>
                <w:rFonts w:hint="eastAsia" w:ascii="仿宋_GB2312" w:hAnsi="华文中宋" w:eastAsia="仿宋_GB2312"/>
                <w:sz w:val="28"/>
                <w:szCs w:val="28"/>
                <w:vertAlign w:val="baseline"/>
                <w:lang w:val="en-US" w:eastAsia="zh-CN"/>
              </w:rPr>
            </w:pPr>
            <w:r>
              <w:rPr>
                <w:rFonts w:hint="eastAsia" w:ascii="仿宋_GB2312" w:hAnsi="华文中宋" w:eastAsia="仿宋_GB2312"/>
                <w:sz w:val="28"/>
                <w:szCs w:val="28"/>
                <w:vertAlign w:val="baseline"/>
                <w:lang w:val="en-US" w:eastAsia="zh-CN"/>
              </w:rPr>
              <w:t>数量</w:t>
            </w:r>
          </w:p>
        </w:tc>
      </w:tr>
      <w:tr w14:paraId="43E4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tcPr>
          <w:p w14:paraId="59662B4D">
            <w:pPr>
              <w:numPr>
                <w:ilvl w:val="0"/>
                <w:numId w:val="0"/>
              </w:numPr>
              <w:jc w:val="center"/>
              <w:rPr>
                <w:rFonts w:hint="default" w:ascii="仿宋_GB2312" w:hAnsi="华文中宋" w:eastAsia="仿宋_GB2312"/>
                <w:sz w:val="28"/>
                <w:szCs w:val="28"/>
                <w:vertAlign w:val="baseline"/>
                <w:lang w:val="en-US" w:eastAsia="zh-CN"/>
              </w:rPr>
            </w:pPr>
            <w:bookmarkStart w:id="0" w:name="_GoBack"/>
            <w:r>
              <w:rPr>
                <w:rFonts w:hint="eastAsia" w:ascii="仿宋_GB2312" w:hAnsi="华文中宋" w:eastAsia="仿宋_GB2312"/>
                <w:sz w:val="28"/>
                <w:szCs w:val="28"/>
                <w:lang w:val="en-US" w:eastAsia="zh-CN"/>
              </w:rPr>
              <w:t>高铝质耐火砖LZ-65</w:t>
            </w:r>
            <w:bookmarkEnd w:id="0"/>
          </w:p>
        </w:tc>
        <w:tc>
          <w:tcPr>
            <w:tcW w:w="2025" w:type="dxa"/>
            <w:vAlign w:val="center"/>
          </w:tcPr>
          <w:p w14:paraId="7EC95DA5">
            <w:pPr>
              <w:keepNext w:val="0"/>
              <w:keepLines w:val="0"/>
              <w:widowControl/>
              <w:suppressLineNumbers w:val="0"/>
              <w:jc w:val="center"/>
              <w:textAlignment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230×114×40</w:t>
            </w:r>
          </w:p>
        </w:tc>
        <w:tc>
          <w:tcPr>
            <w:tcW w:w="1020" w:type="dxa"/>
            <w:vAlign w:val="center"/>
          </w:tcPr>
          <w:p w14:paraId="6FB9F09B">
            <w:pPr>
              <w:numPr>
                <w:ilvl w:val="0"/>
                <w:numId w:val="0"/>
              </w:numPr>
              <w:jc w:val="center"/>
              <w:rPr>
                <w:rFonts w:hint="eastAsia" w:ascii="仿宋_GB2312" w:hAnsi="华文中宋" w:eastAsia="仿宋_GB2312"/>
                <w:sz w:val="28"/>
                <w:szCs w:val="28"/>
                <w:vertAlign w:val="baseline"/>
                <w:lang w:val="en-US" w:eastAsia="zh-CN"/>
              </w:rPr>
            </w:pPr>
            <w:r>
              <w:rPr>
                <w:rFonts w:hint="eastAsia" w:ascii="仿宋_GB2312" w:hAnsi="华文中宋" w:eastAsia="仿宋_GB2312"/>
                <w:sz w:val="28"/>
                <w:szCs w:val="28"/>
                <w:vertAlign w:val="baseline"/>
                <w:lang w:val="en-US" w:eastAsia="zh-CN"/>
              </w:rPr>
              <w:t>吨</w:t>
            </w:r>
          </w:p>
        </w:tc>
        <w:tc>
          <w:tcPr>
            <w:tcW w:w="1541" w:type="dxa"/>
            <w:vAlign w:val="center"/>
          </w:tcPr>
          <w:p w14:paraId="5E0A0C2A">
            <w:pPr>
              <w:keepNext w:val="0"/>
              <w:keepLines w:val="0"/>
              <w:widowControl/>
              <w:suppressLineNumbers w:val="0"/>
              <w:jc w:val="center"/>
              <w:textAlignment w:val="center"/>
              <w:rPr>
                <w:rFonts w:hint="default"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5</w:t>
            </w:r>
          </w:p>
        </w:tc>
      </w:tr>
    </w:tbl>
    <w:p w14:paraId="2C1CA10F">
      <w:pPr>
        <w:numPr>
          <w:ilvl w:val="0"/>
          <w:numId w:val="0"/>
        </w:numPr>
        <w:ind w:firstLine="560" w:firstLineChars="200"/>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1.供货范围</w:t>
      </w:r>
    </w:p>
    <w:p w14:paraId="6095AB8E">
      <w:pPr>
        <w:numPr>
          <w:ilvl w:val="0"/>
          <w:numId w:val="1"/>
        </w:numPr>
        <w:ind w:firstLine="560" w:firstLineChars="200"/>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产品质量要求</w:t>
      </w:r>
    </w:p>
    <w:p w14:paraId="5D1515A2">
      <w:pPr>
        <w:numPr>
          <w:ilvl w:val="0"/>
          <w:numId w:val="0"/>
        </w:numPr>
        <w:rPr>
          <w:rFonts w:hint="default" w:ascii="仿宋_GB2312" w:hAnsi="华文中宋" w:eastAsia="仿宋_GB2312"/>
          <w:sz w:val="28"/>
          <w:szCs w:val="28"/>
          <w:lang w:val="en-US" w:eastAsia="zh-CN"/>
        </w:rPr>
      </w:pPr>
    </w:p>
    <w:tbl>
      <w:tblPr>
        <w:tblStyle w:val="5"/>
        <w:tblpPr w:leftFromText="180" w:rightFromText="180" w:vertAnchor="text" w:horzAnchor="page" w:tblpX="2742" w:tblpY="600"/>
        <w:tblOverlap w:val="never"/>
        <w:tblW w:w="64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56"/>
        <w:gridCol w:w="2880"/>
        <w:gridCol w:w="1875"/>
      </w:tblGrid>
      <w:tr w14:paraId="35486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6DBCD">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名称</w:t>
            </w:r>
          </w:p>
        </w:tc>
        <w:tc>
          <w:tcPr>
            <w:tcW w:w="475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3412D6">
            <w:pPr>
              <w:keepNext w:val="0"/>
              <w:keepLines w:val="0"/>
              <w:widowControl/>
              <w:suppressLineNumbers w:val="0"/>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理化指标</w:t>
            </w:r>
          </w:p>
        </w:tc>
      </w:tr>
      <w:tr w14:paraId="06BB0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EBAA8">
            <w:pPr>
              <w:keepNext w:val="0"/>
              <w:keepLines w:val="0"/>
              <w:widowControl/>
              <w:suppressLineNumbers w:val="0"/>
              <w:jc w:val="center"/>
              <w:textAlignment w:val="center"/>
              <w:rPr>
                <w:rFonts w:hint="eastAsia" w:ascii="仿宋_GB2312" w:hAnsi="仿宋_GB2312" w:eastAsia="仿宋_GB2312" w:cs="仿宋_GB2312"/>
                <w:i w:val="0"/>
                <w:color w:val="auto"/>
                <w:sz w:val="24"/>
                <w:szCs w:val="24"/>
                <w:u w:val="none"/>
              </w:rPr>
            </w:pPr>
            <w:r>
              <w:rPr>
                <w:rFonts w:hint="eastAsia" w:ascii="仿宋_GB2312" w:hAnsi="华文中宋" w:eastAsia="仿宋_GB2312"/>
                <w:sz w:val="28"/>
                <w:szCs w:val="28"/>
                <w:lang w:val="en-US" w:eastAsia="zh-CN"/>
              </w:rPr>
              <w:t>高铝耐火砖LZ-65</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BD8789">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auto"/>
                <w:kern w:val="0"/>
                <w:sz w:val="24"/>
                <w:szCs w:val="24"/>
                <w:u w:val="none"/>
                <w:lang w:val="en-US" w:eastAsia="zh-CN" w:bidi="ar"/>
              </w:rPr>
              <w:t>W(Al2O3)%</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84B1C8">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000000"/>
                <w:kern w:val="0"/>
                <w:sz w:val="24"/>
                <w:szCs w:val="24"/>
                <w:u w:val="none"/>
                <w:lang w:val="en-US" w:eastAsia="zh-CN" w:bidi="ar"/>
              </w:rPr>
              <w:t>≥65</w:t>
            </w:r>
          </w:p>
        </w:tc>
      </w:tr>
      <w:tr w14:paraId="46510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19B75">
            <w:pPr>
              <w:jc w:val="center"/>
              <w:rPr>
                <w:rFonts w:hint="eastAsia" w:ascii="仿宋_GB2312" w:hAnsi="仿宋_GB2312" w:eastAsia="仿宋_GB2312" w:cs="仿宋_GB2312"/>
                <w:i w:val="0"/>
                <w:color w:val="auto"/>
                <w:sz w:val="24"/>
                <w:szCs w:val="24"/>
                <w:u w:val="none"/>
              </w:rPr>
            </w:pP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09053F">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auto"/>
                <w:kern w:val="0"/>
                <w:sz w:val="24"/>
                <w:szCs w:val="24"/>
                <w:u w:val="none"/>
                <w:lang w:val="en-US" w:eastAsia="zh-CN" w:bidi="ar"/>
              </w:rPr>
              <w:t>显气孔率（%）</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1BC5A8">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000000"/>
                <w:kern w:val="0"/>
                <w:sz w:val="24"/>
                <w:szCs w:val="24"/>
                <w:u w:val="none"/>
                <w:lang w:val="en-US" w:eastAsia="zh-CN" w:bidi="ar"/>
              </w:rPr>
              <w:t>≤24</w:t>
            </w:r>
          </w:p>
        </w:tc>
      </w:tr>
      <w:tr w14:paraId="30C2F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rPr>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C32E0">
            <w:pPr>
              <w:jc w:val="center"/>
              <w:rPr>
                <w:rFonts w:hint="eastAsia" w:ascii="仿宋_GB2312" w:hAnsi="仿宋_GB2312" w:eastAsia="仿宋_GB2312" w:cs="仿宋_GB2312"/>
                <w:i w:val="0"/>
                <w:color w:val="auto"/>
                <w:sz w:val="24"/>
                <w:szCs w:val="24"/>
                <w:u w:val="none"/>
              </w:rPr>
            </w:pP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B2374B">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auto"/>
                <w:kern w:val="0"/>
                <w:sz w:val="24"/>
                <w:szCs w:val="24"/>
                <w:u w:val="none"/>
                <w:lang w:val="en-US" w:eastAsia="zh-CN" w:bidi="ar"/>
              </w:rPr>
              <w:t>常温耐压强度MPa</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C08BD3">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000000"/>
                <w:kern w:val="0"/>
                <w:sz w:val="24"/>
                <w:szCs w:val="24"/>
                <w:u w:val="none"/>
                <w:lang w:val="en-US" w:eastAsia="zh-CN" w:bidi="ar"/>
              </w:rPr>
              <w:t>≥40</w:t>
            </w:r>
          </w:p>
        </w:tc>
      </w:tr>
      <w:tr w14:paraId="1F4E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771D6">
            <w:pPr>
              <w:jc w:val="center"/>
              <w:rPr>
                <w:rFonts w:hint="eastAsia" w:ascii="仿宋_GB2312" w:hAnsi="仿宋_GB2312" w:eastAsia="仿宋_GB2312" w:cs="仿宋_GB2312"/>
                <w:i w:val="0"/>
                <w:color w:val="auto"/>
                <w:sz w:val="24"/>
                <w:szCs w:val="24"/>
                <w:u w:val="none"/>
              </w:rPr>
            </w:pP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030AC4">
            <w:pPr>
              <w:keepNext w:val="0"/>
              <w:keepLines w:val="0"/>
              <w:widowControl/>
              <w:suppressLineNumbers w:val="0"/>
              <w:jc w:val="center"/>
              <w:textAlignment w:val="center"/>
              <w:rPr>
                <w:rFonts w:hint="eastAsia" w:ascii="宋体" w:hAnsi="宋体" w:eastAsia="宋体" w:cs="宋体"/>
                <w:i w:val="0"/>
                <w:iCs w:val="0"/>
                <w:color w:val="auto"/>
                <w:kern w:val="0"/>
                <w:sz w:val="28"/>
                <w:szCs w:val="28"/>
                <w:u w:val="none"/>
                <w:lang w:val="en-US" w:eastAsia="zh-CN" w:bidi="ar"/>
              </w:rPr>
            </w:pPr>
            <w:r>
              <w:rPr>
                <w:rFonts w:hint="eastAsia" w:ascii="宋体" w:hAnsi="宋体" w:eastAsia="宋体" w:cs="宋体"/>
                <w:i w:val="0"/>
                <w:iCs w:val="0"/>
                <w:color w:val="auto"/>
                <w:kern w:val="0"/>
                <w:sz w:val="24"/>
                <w:szCs w:val="24"/>
                <w:u w:val="none"/>
                <w:lang w:val="en-US" w:eastAsia="zh-CN" w:bidi="ar"/>
              </w:rPr>
              <w:t>0.2MPa荷重软化开始温度（℃）</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B3C754">
            <w:pPr>
              <w:keepNext w:val="0"/>
              <w:keepLines w:val="0"/>
              <w:widowControl/>
              <w:suppressLineNumbers w:val="0"/>
              <w:jc w:val="center"/>
              <w:textAlignment w:val="center"/>
              <w:rPr>
                <w:rFonts w:hint="eastAsia" w:ascii="宋体" w:hAnsi="宋体" w:eastAsia="宋体" w:cs="宋体"/>
                <w:i w:val="0"/>
                <w:iCs w:val="0"/>
                <w:color w:val="FF0000"/>
                <w:kern w:val="0"/>
                <w:sz w:val="28"/>
                <w:szCs w:val="28"/>
                <w:u w:val="none"/>
                <w:lang w:val="en-US" w:eastAsia="zh-CN" w:bidi="ar"/>
              </w:rPr>
            </w:pPr>
            <w:r>
              <w:rPr>
                <w:rFonts w:hint="eastAsia" w:ascii="宋体" w:hAnsi="宋体" w:eastAsia="宋体" w:cs="宋体"/>
                <w:i w:val="0"/>
                <w:iCs w:val="0"/>
                <w:color w:val="000000"/>
                <w:kern w:val="0"/>
                <w:sz w:val="24"/>
                <w:szCs w:val="24"/>
                <w:u w:val="none"/>
                <w:lang w:val="en-US" w:eastAsia="zh-CN" w:bidi="ar"/>
              </w:rPr>
              <w:t>≥1500</w:t>
            </w:r>
          </w:p>
        </w:tc>
      </w:tr>
      <w:tr w14:paraId="43F7E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80519">
            <w:pPr>
              <w:jc w:val="center"/>
              <w:rPr>
                <w:rFonts w:hint="eastAsia" w:ascii="仿宋_GB2312" w:hAnsi="仿宋_GB2312" w:eastAsia="仿宋_GB2312" w:cs="仿宋_GB2312"/>
                <w:i w:val="0"/>
                <w:color w:val="auto"/>
                <w:sz w:val="24"/>
                <w:szCs w:val="24"/>
                <w:u w:val="none"/>
              </w:rPr>
            </w:pP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3AFD21">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auto"/>
                <w:kern w:val="0"/>
                <w:sz w:val="24"/>
                <w:szCs w:val="24"/>
                <w:u w:val="none"/>
                <w:lang w:val="en-US" w:eastAsia="zh-CN" w:bidi="ar"/>
              </w:rPr>
              <w:t>加热永久线变化（%）1500℃*2h</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010DA9">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宋体" w:hAnsi="宋体" w:eastAsia="宋体" w:cs="宋体"/>
                <w:i w:val="0"/>
                <w:iCs w:val="0"/>
                <w:color w:val="000000"/>
                <w:kern w:val="0"/>
                <w:sz w:val="24"/>
                <w:szCs w:val="24"/>
                <w:u w:val="none"/>
                <w:lang w:val="en-US" w:eastAsia="zh-CN" w:bidi="ar"/>
              </w:rPr>
              <w:t>-0.4～0.1</w:t>
            </w:r>
          </w:p>
        </w:tc>
      </w:tr>
    </w:tbl>
    <w:p w14:paraId="677DEC04">
      <w:pPr>
        <w:numPr>
          <w:ilvl w:val="0"/>
          <w:numId w:val="0"/>
        </w:numPr>
        <w:ind w:leftChars="192"/>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 xml:space="preserve">       </w:t>
      </w:r>
    </w:p>
    <w:p w14:paraId="19BF4F4A">
      <w:pPr>
        <w:numPr>
          <w:ilvl w:val="0"/>
          <w:numId w:val="0"/>
        </w:numPr>
        <w:ind w:leftChars="192"/>
        <w:rPr>
          <w:rFonts w:hint="default" w:ascii="仿宋_GB2312" w:hAnsi="华文中宋" w:eastAsia="仿宋_GB2312"/>
          <w:sz w:val="28"/>
          <w:szCs w:val="28"/>
          <w:lang w:val="en-US" w:eastAsia="zh-CN"/>
        </w:rPr>
      </w:pPr>
    </w:p>
    <w:p w14:paraId="6A217440">
      <w:pPr>
        <w:numPr>
          <w:ilvl w:val="0"/>
          <w:numId w:val="0"/>
        </w:numPr>
        <w:ind w:leftChars="192"/>
        <w:rPr>
          <w:rFonts w:hint="eastAsia" w:ascii="仿宋_GB2312" w:hAnsi="华文中宋" w:eastAsia="仿宋_GB2312"/>
          <w:sz w:val="28"/>
          <w:szCs w:val="28"/>
          <w:lang w:val="en-US" w:eastAsia="zh-CN"/>
        </w:rPr>
      </w:pPr>
    </w:p>
    <w:p w14:paraId="3B3E87C4">
      <w:pPr>
        <w:numPr>
          <w:ilvl w:val="0"/>
          <w:numId w:val="0"/>
        </w:numPr>
        <w:ind w:leftChars="192"/>
        <w:rPr>
          <w:rFonts w:hint="eastAsia" w:ascii="仿宋_GB2312" w:hAnsi="华文中宋" w:eastAsia="仿宋_GB2312"/>
          <w:sz w:val="28"/>
          <w:szCs w:val="28"/>
          <w:lang w:val="en-US" w:eastAsia="zh-CN"/>
        </w:rPr>
      </w:pPr>
    </w:p>
    <w:p w14:paraId="6BCFF4F8">
      <w:pPr>
        <w:numPr>
          <w:ilvl w:val="0"/>
          <w:numId w:val="0"/>
        </w:numPr>
        <w:ind w:firstLine="560" w:firstLineChars="200"/>
        <w:rPr>
          <w:rFonts w:hint="eastAsia" w:ascii="仿宋_GB2312" w:hAnsi="华文中宋" w:eastAsia="仿宋_GB2312"/>
          <w:sz w:val="28"/>
          <w:szCs w:val="28"/>
          <w:lang w:val="en-US" w:eastAsia="zh-CN"/>
        </w:rPr>
      </w:pPr>
    </w:p>
    <w:p w14:paraId="71BD176E">
      <w:pPr>
        <w:numPr>
          <w:ilvl w:val="0"/>
          <w:numId w:val="0"/>
        </w:numPr>
        <w:ind w:firstLine="560" w:firstLineChars="200"/>
        <w:rPr>
          <w:rFonts w:hint="eastAsia" w:ascii="仿宋_GB2312" w:hAnsi="华文中宋" w:eastAsia="仿宋_GB2312"/>
          <w:sz w:val="28"/>
          <w:szCs w:val="28"/>
          <w:lang w:val="en-US" w:eastAsia="zh-CN"/>
        </w:rPr>
      </w:pPr>
    </w:p>
    <w:p w14:paraId="5C2DB73C">
      <w:pPr>
        <w:numPr>
          <w:ilvl w:val="0"/>
          <w:numId w:val="0"/>
        </w:numPr>
        <w:ind w:firstLine="560" w:firstLineChars="200"/>
        <w:rPr>
          <w:rFonts w:hint="eastAsia" w:ascii="仿宋_GB2312" w:hAnsi="华文中宋" w:eastAsia="仿宋_GB2312"/>
          <w:sz w:val="28"/>
          <w:szCs w:val="28"/>
          <w:lang w:val="en-US" w:eastAsia="zh-CN"/>
        </w:rPr>
      </w:pPr>
    </w:p>
    <w:p w14:paraId="6708BB4F">
      <w:pPr>
        <w:numPr>
          <w:ilvl w:val="0"/>
          <w:numId w:val="0"/>
        </w:numPr>
        <w:ind w:firstLine="560" w:firstLineChars="200"/>
        <w:rPr>
          <w:rStyle w:val="9"/>
          <w:rFonts w:hint="eastAsia" w:ascii="仿宋_GB2312" w:hAnsi="宋体" w:eastAsia="仿宋_GB2312"/>
          <w:sz w:val="28"/>
          <w:szCs w:val="28"/>
          <w:lang w:eastAsia="zh-CN"/>
        </w:rPr>
      </w:pPr>
      <w:r>
        <w:rPr>
          <w:rFonts w:hint="eastAsia" w:ascii="仿宋_GB2312" w:hAnsi="华文中宋" w:eastAsia="仿宋_GB2312"/>
          <w:sz w:val="28"/>
          <w:szCs w:val="28"/>
          <w:lang w:val="en-US" w:eastAsia="zh-CN"/>
        </w:rPr>
        <w:t>3.产品</w:t>
      </w:r>
      <w:r>
        <w:rPr>
          <w:rStyle w:val="9"/>
          <w:rFonts w:hint="eastAsia" w:ascii="仿宋_GB2312" w:hAnsi="宋体" w:eastAsia="仿宋_GB2312"/>
          <w:sz w:val="28"/>
          <w:szCs w:val="28"/>
          <w:lang w:eastAsia="zh-CN"/>
        </w:rPr>
        <w:t>售后</w:t>
      </w:r>
      <w:r>
        <w:rPr>
          <w:rStyle w:val="9"/>
          <w:rFonts w:hint="eastAsia" w:ascii="仿宋_GB2312" w:hAnsi="宋体" w:eastAsia="仿宋_GB2312"/>
          <w:sz w:val="28"/>
          <w:szCs w:val="28"/>
        </w:rPr>
        <w:t>服务</w:t>
      </w:r>
      <w:r>
        <w:rPr>
          <w:rStyle w:val="9"/>
          <w:rFonts w:hint="eastAsia" w:ascii="仿宋_GB2312" w:hAnsi="宋体" w:eastAsia="仿宋_GB2312"/>
          <w:sz w:val="28"/>
          <w:szCs w:val="28"/>
          <w:lang w:eastAsia="zh-CN"/>
        </w:rPr>
        <w:t>要求</w:t>
      </w:r>
    </w:p>
    <w:p w14:paraId="7570EE87">
      <w:pPr>
        <w:tabs>
          <w:tab w:val="left" w:pos="8280"/>
        </w:tabs>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供方</w:t>
      </w:r>
      <w:r>
        <w:rPr>
          <w:rFonts w:hint="eastAsia" w:ascii="仿宋_GB2312" w:hAnsi="宋体" w:eastAsia="仿宋_GB2312"/>
          <w:sz w:val="28"/>
          <w:szCs w:val="28"/>
          <w:lang w:eastAsia="zh-CN"/>
        </w:rPr>
        <w:t>产品在需方使用及投入生产过程中出现质量异议时</w:t>
      </w:r>
      <w:r>
        <w:rPr>
          <w:rFonts w:hint="eastAsia" w:ascii="仿宋_GB2312" w:hAnsi="宋体" w:eastAsia="仿宋_GB2312"/>
          <w:sz w:val="28"/>
          <w:szCs w:val="28"/>
        </w:rPr>
        <w:t>应</w:t>
      </w:r>
      <w:r>
        <w:rPr>
          <w:rFonts w:hint="eastAsia" w:ascii="仿宋_GB2312" w:hAnsi="宋体" w:eastAsia="仿宋_GB2312"/>
          <w:sz w:val="28"/>
          <w:szCs w:val="28"/>
          <w:lang w:eastAsia="zh-CN"/>
        </w:rPr>
        <w:t>及时</w:t>
      </w:r>
      <w:r>
        <w:rPr>
          <w:rFonts w:hint="eastAsia" w:ascii="仿宋_GB2312" w:hAnsi="宋体" w:eastAsia="仿宋_GB2312"/>
          <w:sz w:val="28"/>
          <w:szCs w:val="28"/>
        </w:rPr>
        <w:t>派技术</w:t>
      </w:r>
      <w:r>
        <w:rPr>
          <w:rFonts w:hint="eastAsia" w:ascii="仿宋_GB2312" w:hAnsi="宋体" w:eastAsia="仿宋_GB2312"/>
          <w:sz w:val="28"/>
          <w:szCs w:val="28"/>
          <w:lang w:eastAsia="zh-CN"/>
        </w:rPr>
        <w:t>人员</w:t>
      </w:r>
      <w:r>
        <w:rPr>
          <w:rFonts w:hint="eastAsia" w:ascii="仿宋_GB2312" w:hAnsi="宋体" w:eastAsia="仿宋_GB2312"/>
          <w:sz w:val="28"/>
          <w:szCs w:val="28"/>
        </w:rPr>
        <w:t>来现场进行技术交流并跟踪其产品使用情况。</w:t>
      </w:r>
    </w:p>
    <w:p w14:paraId="3390C452">
      <w:pPr>
        <w:numPr>
          <w:ilvl w:val="0"/>
          <w:numId w:val="0"/>
        </w:numPr>
        <w:ind w:left="0" w:leftChars="0" w:firstLine="560"/>
        <w:rPr>
          <w:rStyle w:val="9"/>
          <w:rFonts w:hint="eastAsia" w:ascii="仿宋_GB2312" w:hAnsi="宋体" w:eastAsia="仿宋_GB2312"/>
          <w:sz w:val="28"/>
          <w:szCs w:val="28"/>
          <w:highlight w:val="none"/>
          <w:lang w:val="en-US" w:eastAsia="zh-CN"/>
        </w:rPr>
      </w:pPr>
      <w:r>
        <w:rPr>
          <w:rStyle w:val="9"/>
          <w:rFonts w:hint="eastAsia" w:ascii="仿宋_GB2312" w:hAnsi="宋体" w:eastAsia="仿宋_GB2312"/>
          <w:sz w:val="28"/>
          <w:szCs w:val="28"/>
          <w:lang w:val="en-US" w:eastAsia="zh-CN"/>
        </w:rPr>
        <w:t>4.产品供货期限：</w:t>
      </w:r>
      <w:r>
        <w:rPr>
          <w:rStyle w:val="9"/>
          <w:rFonts w:hint="eastAsia" w:ascii="仿宋_GB2312" w:hAnsi="宋体" w:eastAsia="仿宋_GB2312"/>
          <w:sz w:val="28"/>
          <w:szCs w:val="28"/>
          <w:highlight w:val="none"/>
          <w:lang w:val="en-US" w:eastAsia="zh-CN"/>
        </w:rPr>
        <w:t>2026年6月25日前完成交货。</w:t>
      </w:r>
    </w:p>
    <w:p w14:paraId="4F192498">
      <w:pPr>
        <w:numPr>
          <w:ilvl w:val="0"/>
          <w:numId w:val="0"/>
        </w:numPr>
        <w:ind w:firstLine="560" w:firstLineChars="20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5.产品验收</w:t>
      </w:r>
    </w:p>
    <w:p w14:paraId="20367514">
      <w:pPr>
        <w:numPr>
          <w:ilvl w:val="0"/>
          <w:numId w:val="0"/>
        </w:numPr>
        <w:rPr>
          <w:rStyle w:val="9"/>
          <w:rFonts w:hint="default"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 xml:space="preserve">    5.1数量验收：以买方过磅数量为准（包装不计重、不计价、不回收）。</w:t>
      </w:r>
    </w:p>
    <w:p w14:paraId="3C16995D">
      <w:pPr>
        <w:numPr>
          <w:ilvl w:val="0"/>
          <w:numId w:val="0"/>
        </w:numPr>
        <w:ind w:left="0" w:leftChars="0" w:firstLine="560" w:firstLineChars="200"/>
        <w:rPr>
          <w:rStyle w:val="9"/>
          <w:rFonts w:hint="default" w:ascii="仿宋_GB2312" w:hAnsi="仿宋_GB2312" w:eastAsia="仿宋_GB2312" w:cs="仿宋_GB2312"/>
          <w:color w:val="auto"/>
          <w:sz w:val="28"/>
          <w:szCs w:val="28"/>
          <w:highlight w:val="none"/>
          <w:lang w:val="en-US" w:eastAsia="zh-CN"/>
        </w:rPr>
      </w:pPr>
      <w:r>
        <w:rPr>
          <w:rStyle w:val="9"/>
          <w:rFonts w:hint="eastAsia" w:ascii="仿宋_GB2312" w:hAnsi="宋体" w:eastAsia="仿宋_GB2312"/>
          <w:sz w:val="28"/>
          <w:szCs w:val="28"/>
          <w:lang w:val="en-US" w:eastAsia="zh-CN"/>
        </w:rPr>
        <w:t>5.2质量验收：物资到货后，由需方在5日内进行外在质量验收；如有外在质量问题，需方应在物资到货5日内向供方提出异议，供方应在接到异议通知3日内给予明确答复，过期则视为对异议的认可，</w:t>
      </w:r>
      <w:r>
        <w:rPr>
          <w:rStyle w:val="9"/>
          <w:rFonts w:hint="eastAsia" w:ascii="仿宋_GB2312" w:hAnsi="宋体" w:eastAsia="仿宋_GB2312"/>
          <w:sz w:val="28"/>
          <w:szCs w:val="28"/>
          <w:highlight w:val="none"/>
          <w:lang w:val="en-US" w:eastAsia="zh-CN"/>
        </w:rPr>
        <w:t>需方可据此验收资料向卖方索赔。内在质量在货物交付后由供需双方取样送至第三方专业机构检验，检验费用由供方承担。如需在供方处取样，</w:t>
      </w:r>
      <w:r>
        <w:rPr>
          <w:rStyle w:val="9"/>
          <w:rFonts w:hint="eastAsia" w:ascii="仿宋_GB2312" w:hAnsi="仿宋_GB2312" w:eastAsia="仿宋_GB2312" w:cs="仿宋_GB2312"/>
          <w:sz w:val="28"/>
          <w:szCs w:val="28"/>
          <w:highlight w:val="none"/>
          <w:lang w:val="en-US" w:eastAsia="zh-CN"/>
        </w:rPr>
        <w:t>需方提前电话通知。检验质量不合格</w:t>
      </w:r>
      <w:r>
        <w:rPr>
          <w:rStyle w:val="9"/>
          <w:rFonts w:hint="eastAsia" w:ascii="仿宋_GB2312" w:hAnsi="仿宋_GB2312" w:eastAsia="仿宋_GB2312" w:cs="仿宋_GB2312"/>
          <w:color w:val="auto"/>
          <w:sz w:val="28"/>
          <w:szCs w:val="28"/>
          <w:highlight w:val="none"/>
          <w:lang w:val="en-US" w:eastAsia="zh-CN"/>
        </w:rPr>
        <w:t>时</w:t>
      </w:r>
      <w:r>
        <w:rPr>
          <w:rStyle w:val="9"/>
          <w:rFonts w:hint="eastAsia" w:ascii="仿宋_GB2312" w:hAnsi="宋体" w:eastAsia="仿宋_GB2312" w:cs="Times New Roman"/>
          <w:color w:val="auto"/>
          <w:sz w:val="28"/>
          <w:szCs w:val="28"/>
          <w:highlight w:val="none"/>
          <w:lang w:val="en-US" w:eastAsia="zh-CN"/>
        </w:rPr>
        <w:t>按买方《进厂物资不合格品处置评判标准》降价或退货处理。</w:t>
      </w:r>
      <w:r>
        <w:rPr>
          <w:rStyle w:val="9"/>
          <w:rFonts w:hint="eastAsia" w:ascii="仿宋_GB2312" w:hAnsi="宋体" w:eastAsia="仿宋_GB2312"/>
          <w:color w:val="auto"/>
          <w:sz w:val="28"/>
          <w:szCs w:val="28"/>
          <w:highlight w:val="none"/>
          <w:lang w:val="en-US" w:eastAsia="zh-CN"/>
        </w:rPr>
        <w:t>供方若对第三方专业机构检验有异议而要求复检，复检费用仍由供方承担。</w:t>
      </w:r>
    </w:p>
    <w:p w14:paraId="579D08C4">
      <w:pPr>
        <w:numPr>
          <w:ilvl w:val="0"/>
          <w:numId w:val="0"/>
        </w:numPr>
        <w:ind w:firstLine="560" w:firstLineChars="200"/>
        <w:rPr>
          <w:rFonts w:hint="eastAsia" w:ascii="仿宋_GB2312" w:hAnsi="仿宋_GB2312" w:eastAsia="仿宋_GB2312" w:cs="仿宋_GB2312"/>
          <w:color w:val="auto"/>
          <w:sz w:val="28"/>
          <w:szCs w:val="28"/>
          <w:highlight w:val="none"/>
          <w:lang w:val="en-US" w:eastAsia="zh-CN"/>
        </w:rPr>
      </w:pPr>
      <w:r>
        <w:rPr>
          <w:rStyle w:val="9"/>
          <w:rFonts w:hint="eastAsia" w:ascii="仿宋_GB2312" w:hAnsi="宋体" w:eastAsia="仿宋_GB2312"/>
          <w:color w:val="auto"/>
          <w:sz w:val="28"/>
          <w:szCs w:val="28"/>
          <w:highlight w:val="none"/>
          <w:lang w:val="en-US" w:eastAsia="zh-CN"/>
        </w:rPr>
        <w:t>5.3</w:t>
      </w:r>
      <w:r>
        <w:rPr>
          <w:rStyle w:val="9"/>
          <w:rFonts w:hint="eastAsia" w:ascii="仿宋_GB2312" w:hAnsi="仿宋_GB2312" w:eastAsia="仿宋_GB2312" w:cs="仿宋_GB2312"/>
          <w:color w:val="auto"/>
          <w:sz w:val="28"/>
          <w:szCs w:val="28"/>
          <w:highlight w:val="none"/>
          <w:lang w:val="en-US" w:eastAsia="zh-CN"/>
        </w:rPr>
        <w:t>取样标准：</w:t>
      </w:r>
      <w:r>
        <w:rPr>
          <w:rFonts w:hint="eastAsia" w:ascii="仿宋_GB2312" w:hAnsi="仿宋_GB2312" w:eastAsia="仿宋_GB2312" w:cs="仿宋_GB2312"/>
          <w:color w:val="auto"/>
          <w:sz w:val="28"/>
          <w:szCs w:val="28"/>
          <w:highlight w:val="none"/>
          <w:lang w:val="en-US" w:eastAsia="zh-CN"/>
        </w:rPr>
        <w:t xml:space="preserve"> 依据国家标准GB/T2988</w:t>
      </w:r>
      <w:r>
        <w:rPr>
          <w:rFonts w:hint="eastAsia" w:ascii="仿宋_GB2312" w:hAnsi="仿宋_GB2312" w:eastAsia="仿宋_GB2312" w:cs="仿宋_GB2312"/>
          <w:color w:val="auto"/>
          <w:sz w:val="28"/>
          <w:szCs w:val="28"/>
          <w:highlight w:val="none"/>
          <w:lang w:eastAsia="zh-CN"/>
        </w:rPr>
        <w:t>和公司进厂物资不合格品处置材料评判标准进行外观质量和理化指标检验判定</w:t>
      </w:r>
      <w:r>
        <w:rPr>
          <w:rFonts w:hint="eastAsia" w:ascii="仿宋_GB2312" w:hAnsi="仿宋_GB2312" w:eastAsia="仿宋_GB2312" w:cs="仿宋_GB2312"/>
          <w:color w:val="auto"/>
          <w:sz w:val="28"/>
          <w:szCs w:val="28"/>
          <w:highlight w:val="none"/>
          <w:lang w:val="en-US" w:eastAsia="zh-CN"/>
        </w:rPr>
        <w:t>,按照实际情况间隔均匀照顾全面，进行外观检查和取样。</w:t>
      </w:r>
    </w:p>
    <w:p w14:paraId="6D011DCE">
      <w:pPr>
        <w:numPr>
          <w:ilvl w:val="0"/>
          <w:numId w:val="0"/>
        </w:numPr>
        <w:ind w:firstLine="560" w:firstLineChars="200"/>
        <w:rPr>
          <w:rStyle w:val="9"/>
          <w:rFonts w:hint="eastAsia" w:ascii="仿宋_GB2312" w:hAnsi="宋体" w:eastAsia="仿宋_GB2312"/>
          <w:sz w:val="28"/>
          <w:szCs w:val="28"/>
          <w:highlight w:val="none"/>
          <w:lang w:val="en-US" w:eastAsia="zh-CN"/>
        </w:rPr>
      </w:pPr>
      <w:r>
        <w:rPr>
          <w:rStyle w:val="9"/>
          <w:rFonts w:hint="eastAsia" w:ascii="仿宋_GB2312" w:hAnsi="宋体" w:eastAsia="仿宋_GB2312"/>
          <w:sz w:val="28"/>
          <w:szCs w:val="28"/>
          <w:highlight w:val="none"/>
          <w:lang w:val="en-US" w:eastAsia="zh-CN"/>
        </w:rPr>
        <w:t>6.协议有效期：自签订日起3个月。</w:t>
      </w:r>
    </w:p>
    <w:p w14:paraId="13249C31">
      <w:pPr>
        <w:numPr>
          <w:ilvl w:val="0"/>
          <w:numId w:val="0"/>
        </w:numPr>
        <w:ind w:left="0" w:leftChars="0" w:firstLine="560"/>
        <w:rPr>
          <w:rStyle w:val="9"/>
          <w:rFonts w:hint="eastAsia" w:ascii="仿宋_GB2312" w:hAnsi="宋体" w:eastAsia="仿宋_GB2312"/>
          <w:sz w:val="28"/>
          <w:szCs w:val="28"/>
          <w:lang w:val="en-US" w:eastAsia="zh-CN"/>
        </w:rPr>
      </w:pPr>
    </w:p>
    <w:p w14:paraId="64FAE42E">
      <w:pPr>
        <w:numPr>
          <w:ilvl w:val="0"/>
          <w:numId w:val="0"/>
        </w:numPr>
        <w:ind w:left="0" w:leftChars="0" w:firstLine="560"/>
        <w:rPr>
          <w:rStyle w:val="9"/>
          <w:rFonts w:hint="eastAsia" w:ascii="仿宋_GB2312" w:hAnsi="宋体" w:eastAsia="仿宋_GB2312"/>
          <w:sz w:val="28"/>
          <w:szCs w:val="28"/>
          <w:lang w:val="en-US" w:eastAsia="zh-CN"/>
        </w:rPr>
      </w:pPr>
    </w:p>
    <w:p w14:paraId="7BD1E4E7">
      <w:pPr>
        <w:numPr>
          <w:ilvl w:val="0"/>
          <w:numId w:val="0"/>
        </w:numPr>
        <w:ind w:left="0" w:leftChars="0" w:firstLine="560"/>
        <w:rPr>
          <w:rStyle w:val="9"/>
          <w:rFonts w:hint="eastAsia" w:ascii="仿宋_GB2312" w:hAnsi="宋体" w:eastAsia="仿宋_GB2312"/>
          <w:sz w:val="28"/>
          <w:szCs w:val="28"/>
          <w:lang w:val="en-US" w:eastAsia="zh-CN"/>
        </w:rPr>
      </w:pPr>
    </w:p>
    <w:p w14:paraId="4266950D">
      <w:pPr>
        <w:numPr>
          <w:ilvl w:val="0"/>
          <w:numId w:val="0"/>
        </w:numPr>
        <w:ind w:left="0" w:leftChars="0" w:firstLine="560"/>
        <w:rPr>
          <w:rStyle w:val="9"/>
          <w:rFonts w:hint="eastAsia" w:ascii="仿宋_GB2312" w:hAnsi="宋体" w:eastAsia="仿宋_GB2312"/>
          <w:sz w:val="28"/>
          <w:szCs w:val="28"/>
          <w:lang w:val="en-US" w:eastAsia="zh-CN"/>
        </w:rPr>
      </w:pPr>
    </w:p>
    <w:p w14:paraId="38EACCA9">
      <w:pPr>
        <w:numPr>
          <w:ilvl w:val="0"/>
          <w:numId w:val="0"/>
        </w:numPr>
        <w:ind w:left="0" w:leftChars="0" w:firstLine="56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7.本协议与对应合同具有同等法律效力，经双方授权代表人或委托代理人签字盖章后正式生效。</w:t>
      </w:r>
    </w:p>
    <w:p w14:paraId="73C7277F">
      <w:pPr>
        <w:widowControl/>
        <w:spacing w:line="480" w:lineRule="atLeast"/>
        <w:ind w:firstLine="537" w:firstLineChars="192"/>
        <w:rPr>
          <w:rFonts w:hint="eastAsia" w:ascii="仿宋_GB2312" w:hAnsi="华文中宋" w:eastAsia="仿宋_GB2312"/>
          <w:sz w:val="28"/>
          <w:szCs w:val="28"/>
        </w:rPr>
      </w:pPr>
      <w:r>
        <w:rPr>
          <w:rFonts w:hint="eastAsia" w:ascii="仿宋_GB2312" w:eastAsia="仿宋_GB2312"/>
          <w:kern w:val="0"/>
          <w:sz w:val="28"/>
          <w:szCs w:val="28"/>
        </w:rPr>
        <w:t>需方（甲方）：</w:t>
      </w:r>
      <w:r>
        <w:rPr>
          <w:rFonts w:hint="eastAsia" w:ascii="仿宋_GB2312" w:hAnsi="华文中宋" w:eastAsia="仿宋_GB2312"/>
          <w:sz w:val="28"/>
          <w:szCs w:val="28"/>
        </w:rPr>
        <w:t>甘肃东兴铝业有限公司陇西分公司</w:t>
      </w:r>
    </w:p>
    <w:p w14:paraId="45A79874">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需方（甲方）授权代表或委托代理人：</w:t>
      </w:r>
    </w:p>
    <w:p w14:paraId="30D022CD">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签订日期：20</w:t>
      </w:r>
      <w:r>
        <w:rPr>
          <w:rFonts w:hint="eastAsia" w:ascii="仿宋_GB2312" w:eastAsia="仿宋_GB2312"/>
          <w:kern w:val="0"/>
          <w:sz w:val="28"/>
          <w:szCs w:val="28"/>
          <w:lang w:val="en-US" w:eastAsia="zh-CN"/>
        </w:rPr>
        <w:t>26</w:t>
      </w:r>
      <w:r>
        <w:rPr>
          <w:rFonts w:hint="eastAsia" w:ascii="仿宋_GB2312" w:eastAsia="仿宋_GB2312"/>
          <w:kern w:val="0"/>
          <w:sz w:val="28"/>
          <w:szCs w:val="28"/>
        </w:rPr>
        <w:t>年  月   日</w:t>
      </w:r>
    </w:p>
    <w:p w14:paraId="64C96B4F">
      <w:pPr>
        <w:widowControl/>
        <w:spacing w:line="480" w:lineRule="atLeast"/>
        <w:rPr>
          <w:rFonts w:hint="eastAsia" w:ascii="仿宋_GB2312" w:eastAsia="仿宋_GB2312"/>
          <w:kern w:val="0"/>
          <w:sz w:val="11"/>
          <w:szCs w:val="28"/>
        </w:rPr>
      </w:pPr>
    </w:p>
    <w:p w14:paraId="18F9EA1B">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供方（乙方）：</w:t>
      </w:r>
    </w:p>
    <w:p w14:paraId="2DB78846">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供方（乙方）授权代表或委托代理人：</w:t>
      </w:r>
    </w:p>
    <w:p w14:paraId="7D9C036B">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签订日期：20</w:t>
      </w:r>
      <w:r>
        <w:rPr>
          <w:rFonts w:hint="eastAsia" w:ascii="仿宋_GB2312" w:eastAsia="仿宋_GB2312"/>
          <w:kern w:val="0"/>
          <w:sz w:val="28"/>
          <w:szCs w:val="28"/>
          <w:lang w:val="en-US" w:eastAsia="zh-CN"/>
        </w:rPr>
        <w:t>26</w:t>
      </w:r>
      <w:r>
        <w:rPr>
          <w:rFonts w:hint="eastAsia" w:ascii="仿宋_GB2312" w:eastAsia="仿宋_GB2312"/>
          <w:kern w:val="0"/>
          <w:sz w:val="28"/>
          <w:szCs w:val="28"/>
        </w:rPr>
        <w:t>年  月   日</w:t>
      </w:r>
    </w:p>
    <w:p w14:paraId="71BFF49D">
      <w:pPr>
        <w:jc w:val="both"/>
        <w:rPr>
          <w:rFonts w:hint="default" w:ascii="仿宋_GB2312" w:hAnsi="华文中宋" w:eastAsia="仿宋_GB2312"/>
          <w:sz w:val="28"/>
          <w:szCs w:val="28"/>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FB351">
    <w:pPr>
      <w:pStyle w:val="3"/>
      <w:rPr>
        <w:rFonts w:hint="eastAsia" w:eastAsiaTheme="minorEastAsia"/>
        <w:lang w:eastAsia="zh-CN"/>
      </w:rPr>
    </w:pPr>
    <w:r>
      <w:rPr>
        <w:rFonts w:hint="eastAsia" w:eastAsiaTheme="minorEastAsia"/>
        <w:lang w:eastAsia="zh-CN"/>
      </w:rPr>
      <w:drawing>
        <wp:inline distT="0" distB="0" distL="114300" distR="114300">
          <wp:extent cx="2000250" cy="514350"/>
          <wp:effectExtent l="0" t="0" r="0" b="0"/>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
                  <pic:cNvPicPr>
                    <a:picLocks noChangeAspect="1"/>
                  </pic:cNvPicPr>
                </pic:nvPicPr>
                <pic:blipFill>
                  <a:blip r:embed="rId1"/>
                  <a:stretch>
                    <a:fillRect/>
                  </a:stretch>
                </pic:blipFill>
                <pic:spPr>
                  <a:xfrm>
                    <a:off x="0" y="0"/>
                    <a:ext cx="2000250" cy="5143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05AC3"/>
    <w:multiLevelType w:val="singleLevel"/>
    <w:tmpl w:val="5C305AC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wOGJmM2Q4NDZjY2Q3YmRjYTkxMDQ5OGQ0ZTNjNDcifQ=="/>
  </w:docVars>
  <w:rsids>
    <w:rsidRoot w:val="2C417C33"/>
    <w:rsid w:val="032C5527"/>
    <w:rsid w:val="04D550AF"/>
    <w:rsid w:val="05D3434F"/>
    <w:rsid w:val="0E9F2FC1"/>
    <w:rsid w:val="12C10D87"/>
    <w:rsid w:val="13883547"/>
    <w:rsid w:val="15F76467"/>
    <w:rsid w:val="19DE56D2"/>
    <w:rsid w:val="1AC25072"/>
    <w:rsid w:val="1DD62D9C"/>
    <w:rsid w:val="24DE44E7"/>
    <w:rsid w:val="26364653"/>
    <w:rsid w:val="27F51106"/>
    <w:rsid w:val="2931135E"/>
    <w:rsid w:val="2C417C33"/>
    <w:rsid w:val="2C6512BA"/>
    <w:rsid w:val="30DF26B6"/>
    <w:rsid w:val="349E2BBE"/>
    <w:rsid w:val="351153E0"/>
    <w:rsid w:val="35A75880"/>
    <w:rsid w:val="3B9E41F9"/>
    <w:rsid w:val="403178C6"/>
    <w:rsid w:val="4F2935FA"/>
    <w:rsid w:val="56E740B5"/>
    <w:rsid w:val="597D3695"/>
    <w:rsid w:val="5D7D569B"/>
    <w:rsid w:val="5D8649AF"/>
    <w:rsid w:val="5EC62879"/>
    <w:rsid w:val="60E861AE"/>
    <w:rsid w:val="630670F7"/>
    <w:rsid w:val="66AD4631"/>
    <w:rsid w:val="67BD1695"/>
    <w:rsid w:val="68D47EC0"/>
    <w:rsid w:val="6A535578"/>
    <w:rsid w:val="6C5155A4"/>
    <w:rsid w:val="6C965C22"/>
    <w:rsid w:val="6C9B483D"/>
    <w:rsid w:val="750A1478"/>
    <w:rsid w:val="76FE438D"/>
    <w:rsid w:val="77634A57"/>
    <w:rsid w:val="78874A18"/>
    <w:rsid w:val="7DF00B14"/>
    <w:rsid w:val="7F0E6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spnmessagetext"/>
    <w:basedOn w:val="7"/>
    <w:qFormat/>
    <w:uiPriority w:val="0"/>
  </w:style>
  <w:style w:type="character" w:customStyle="1" w:styleId="10">
    <w:name w:val="font01"/>
    <w:basedOn w:val="7"/>
    <w:qFormat/>
    <w:uiPriority w:val="0"/>
    <w:rPr>
      <w:rFonts w:hint="eastAsia" w:ascii="宋体" w:hAnsi="宋体" w:eastAsia="宋体" w:cs="宋体"/>
      <w:color w:val="000000"/>
      <w:sz w:val="24"/>
      <w:szCs w:val="24"/>
      <w:u w:val="none"/>
      <w:vertAlign w:val="superscript"/>
    </w:rPr>
  </w:style>
  <w:style w:type="character" w:customStyle="1" w:styleId="11">
    <w:name w:val="font51"/>
    <w:basedOn w:val="7"/>
    <w:qFormat/>
    <w:uiPriority w:val="0"/>
    <w:rPr>
      <w:rFonts w:hint="eastAsia" w:ascii="宋体" w:hAnsi="宋体" w:eastAsia="宋体" w:cs="宋体"/>
      <w:color w:val="000000"/>
      <w:sz w:val="24"/>
      <w:szCs w:val="24"/>
      <w:u w:val="none"/>
    </w:rPr>
  </w:style>
  <w:style w:type="character" w:customStyle="1" w:styleId="12">
    <w:name w:val="font11"/>
    <w:basedOn w:val="7"/>
    <w:qFormat/>
    <w:uiPriority w:val="0"/>
    <w:rPr>
      <w:rFonts w:hint="eastAsia" w:ascii="宋体" w:hAnsi="宋体" w:eastAsia="宋体" w:cs="宋体"/>
      <w:color w:val="000000"/>
      <w:sz w:val="24"/>
      <w:szCs w:val="24"/>
      <w:u w:val="none"/>
      <w:vertAlign w:val="subscript"/>
    </w:rPr>
  </w:style>
  <w:style w:type="character" w:customStyle="1" w:styleId="13">
    <w:name w:val="font41"/>
    <w:basedOn w:val="7"/>
    <w:qFormat/>
    <w:uiPriority w:val="0"/>
    <w:rPr>
      <w:rFonts w:hint="eastAsia" w:ascii="宋体" w:hAnsi="宋体" w:eastAsia="宋体" w:cs="宋体"/>
      <w:color w:val="000000"/>
      <w:sz w:val="24"/>
      <w:szCs w:val="24"/>
      <w:u w:val="none"/>
      <w:vertAlign w:val="subscript"/>
    </w:rPr>
  </w:style>
  <w:style w:type="character" w:customStyle="1" w:styleId="14">
    <w:name w:val="font61"/>
    <w:basedOn w:val="7"/>
    <w:qFormat/>
    <w:uiPriority w:val="0"/>
    <w:rPr>
      <w:rFonts w:hint="eastAsia" w:ascii="宋体" w:hAnsi="宋体" w:eastAsia="宋体" w:cs="宋体"/>
      <w:color w:val="000000"/>
      <w:sz w:val="24"/>
      <w:szCs w:val="24"/>
      <w:u w:val="none"/>
    </w:rPr>
  </w:style>
  <w:style w:type="character" w:customStyle="1" w:styleId="15">
    <w:name w:val="font31"/>
    <w:basedOn w:val="7"/>
    <w:qFormat/>
    <w:uiPriority w:val="0"/>
    <w:rPr>
      <w:rFonts w:hint="eastAsia" w:ascii="宋体" w:hAnsi="宋体" w:eastAsia="宋体" w:cs="宋体"/>
      <w:color w:val="0000FF"/>
      <w:sz w:val="24"/>
      <w:szCs w:val="24"/>
      <w:u w:val="none"/>
      <w:vertAlign w:val="superscript"/>
    </w:rPr>
  </w:style>
  <w:style w:type="character" w:customStyle="1" w:styleId="16">
    <w:name w:val="font21"/>
    <w:basedOn w:val="7"/>
    <w:qFormat/>
    <w:uiPriority w:val="0"/>
    <w:rPr>
      <w:rFonts w:hint="eastAsia" w:ascii="宋体" w:hAnsi="宋体" w:eastAsia="宋体" w:cs="宋体"/>
      <w:color w:val="0000FF"/>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778</Words>
  <Characters>861</Characters>
  <Lines>0</Lines>
  <Paragraphs>0</Paragraphs>
  <TotalTime>1</TotalTime>
  <ScaleCrop>false</ScaleCrop>
  <LinksUpToDate>false</LinksUpToDate>
  <CharactersWithSpaces>883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2020-02-15T06:52:00Z</dcterms:created>
  <dc:creator>wsj</dc:creator>
  <cp:lastModifiedBy>相濡以沫</cp:lastModifiedBy>
  <dcterms:modified xsi:type="dcterms:W3CDTF">2026-04-01T08:34:06Z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B70CEF1080264687BBAEBA71C9C59F7D_13</vt:lpwstr>
  </property>
  <property fmtid="{D5CDD505-2E9C-101B-9397-08002B2CF9AE}" pid="4" name="KSOTemplateDocerSaveRecord">
    <vt:lpwstr>eyJoZGlkIjoiNWZmM2QyZWQ3YTNhMGZkNjcxMjRiMjliZDM4M2JjYTkiLCJ1c2VySWQiOiIyNDg1NDI5MjAifQ==</vt:lpwstr>
  </property>
</Properties>
</file>