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1AFD27">
      <w:pPr>
        <w:spacing w:line="360" w:lineRule="auto"/>
        <w:jc w:val="left"/>
        <w:rPr>
          <w:rFonts w:ascii="仿宋_GB2312" w:hAnsi="仿宋_GB2312" w:eastAsia="仿宋_GB2312" w:cs="仿宋_GB2312"/>
          <w:sz w:val="32"/>
          <w:szCs w:val="32"/>
        </w:rPr>
      </w:pPr>
    </w:p>
    <w:p w14:paraId="186D4D5B">
      <w:pPr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EE19D6F">
      <w:pPr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89D580E">
      <w:pPr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33C6904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电子吊秤技术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规格书</w:t>
      </w:r>
    </w:p>
    <w:p w14:paraId="7674C49C">
      <w:pPr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06EB5EF">
      <w:pPr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7FE6893">
      <w:pPr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EDF4979">
      <w:pPr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E1DB2F7">
      <w:pPr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F67E672">
      <w:pPr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3822B05">
      <w:pPr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3EC6789">
      <w:pPr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AD6360F"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358000CA">
      <w:pPr>
        <w:tabs>
          <w:tab w:val="left" w:pos="2235"/>
          <w:tab w:val="center" w:pos="4819"/>
        </w:tabs>
        <w:ind w:firstLine="1343" w:firstLineChars="446"/>
        <w:rPr>
          <w:rFonts w:hint="eastAsia" w:eastAsia="仿宋_GB2312"/>
          <w:b/>
          <w:bCs/>
          <w:sz w:val="30"/>
          <w:szCs w:val="30"/>
          <w:u w:val="thick"/>
        </w:rPr>
      </w:pPr>
      <w:r>
        <w:rPr>
          <w:rFonts w:hint="eastAsia" w:eastAsia="仿宋_GB2312"/>
          <w:b/>
          <w:bCs/>
          <w:sz w:val="30"/>
          <w:szCs w:val="30"/>
        </w:rPr>
        <w:t>甲</w:t>
      </w:r>
      <w:r>
        <w:rPr>
          <w:rFonts w:eastAsia="仿宋_GB2312"/>
          <w:b/>
          <w:bCs/>
          <w:sz w:val="30"/>
          <w:szCs w:val="30"/>
        </w:rPr>
        <w:t>方：</w:t>
      </w:r>
      <w:r>
        <w:rPr>
          <w:rFonts w:hint="eastAsia" w:eastAsia="仿宋_GB2312"/>
          <w:b/>
          <w:bCs/>
          <w:sz w:val="30"/>
          <w:szCs w:val="30"/>
          <w:u w:val="thick"/>
        </w:rPr>
        <w:t>甘肃酒钢集团西部重工股份有限公司</w:t>
      </w:r>
    </w:p>
    <w:p w14:paraId="06F79A92">
      <w:pPr>
        <w:tabs>
          <w:tab w:val="left" w:pos="2235"/>
          <w:tab w:val="center" w:pos="4819"/>
        </w:tabs>
        <w:spacing w:before="312" w:beforeLines="100"/>
        <w:ind w:firstLine="1343" w:firstLineChars="446"/>
        <w:rPr>
          <w:rFonts w:eastAsia="仿宋_GB2312"/>
          <w:b/>
          <w:bCs/>
          <w:sz w:val="30"/>
          <w:szCs w:val="30"/>
        </w:rPr>
      </w:pPr>
      <w:r>
        <w:rPr>
          <w:rFonts w:hint="eastAsia" w:eastAsia="仿宋_GB2312"/>
          <w:b/>
          <w:bCs/>
          <w:sz w:val="30"/>
          <w:szCs w:val="30"/>
        </w:rPr>
        <w:t>乙</w:t>
      </w:r>
      <w:r>
        <w:rPr>
          <w:rFonts w:eastAsia="仿宋_GB2312"/>
          <w:b/>
          <w:bCs/>
          <w:sz w:val="30"/>
          <w:szCs w:val="30"/>
        </w:rPr>
        <w:t>方：</w:t>
      </w:r>
      <w:r>
        <w:rPr>
          <w:rFonts w:eastAsia="仿宋_GB2312"/>
          <w:b/>
          <w:bCs/>
          <w:sz w:val="30"/>
          <w:szCs w:val="30"/>
          <w:u w:val="single"/>
        </w:rPr>
        <w:t xml:space="preserve">                         </w:t>
      </w:r>
      <w:r>
        <w:rPr>
          <w:rFonts w:hint="eastAsia" w:eastAsia="仿宋_GB2312"/>
          <w:b/>
          <w:bCs/>
          <w:sz w:val="30"/>
          <w:szCs w:val="30"/>
          <w:u w:val="single"/>
        </w:rPr>
        <w:t xml:space="preserve">        </w:t>
      </w:r>
    </w:p>
    <w:p w14:paraId="37C5C529">
      <w:pPr>
        <w:tabs>
          <w:tab w:val="left" w:pos="2235"/>
          <w:tab w:val="center" w:pos="4819"/>
        </w:tabs>
        <w:spacing w:before="312" w:beforeLines="100"/>
        <w:ind w:firstLine="1343" w:firstLineChars="446"/>
        <w:rPr>
          <w:rFonts w:hint="eastAsia" w:eastAsia="仿宋_GB2312"/>
          <w:b/>
          <w:bCs/>
          <w:sz w:val="30"/>
          <w:szCs w:val="30"/>
          <w:lang w:val="en-US" w:eastAsia="zh-CN"/>
        </w:rPr>
      </w:pPr>
      <w:r>
        <w:rPr>
          <w:rFonts w:hint="eastAsia" w:eastAsia="仿宋_GB2312"/>
          <w:b/>
          <w:bCs/>
          <w:sz w:val="30"/>
          <w:szCs w:val="30"/>
        </w:rPr>
        <w:t>日期：</w:t>
      </w:r>
      <w:r>
        <w:rPr>
          <w:rFonts w:hint="eastAsia" w:eastAsia="仿宋_GB2312"/>
          <w:b/>
          <w:bCs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eastAsia="仿宋_GB2312"/>
          <w:b/>
          <w:bCs/>
          <w:sz w:val="30"/>
          <w:szCs w:val="30"/>
          <w:u w:val="single"/>
        </w:rPr>
        <w:t>年</w:t>
      </w:r>
      <w:r>
        <w:rPr>
          <w:rFonts w:hint="eastAsia" w:eastAsia="仿宋_GB2312"/>
          <w:b/>
          <w:bCs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eastAsia="仿宋_GB2312"/>
          <w:b/>
          <w:bCs/>
          <w:sz w:val="30"/>
          <w:szCs w:val="30"/>
          <w:u w:val="single"/>
        </w:rPr>
        <w:t>月</w:t>
      </w:r>
      <w:r>
        <w:rPr>
          <w:rFonts w:hint="eastAsia" w:eastAsia="仿宋_GB2312"/>
          <w:b/>
          <w:bCs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eastAsia="仿宋_GB2312"/>
          <w:b/>
          <w:bCs/>
          <w:sz w:val="30"/>
          <w:szCs w:val="30"/>
          <w:u w:val="single"/>
        </w:rPr>
        <w:t>日</w:t>
      </w:r>
      <w:r>
        <w:rPr>
          <w:rFonts w:hint="eastAsia" w:eastAsia="仿宋_GB2312"/>
          <w:b/>
          <w:bCs/>
          <w:sz w:val="30"/>
          <w:szCs w:val="30"/>
          <w:u w:val="single"/>
          <w:lang w:val="en-US" w:eastAsia="zh-CN"/>
        </w:rPr>
        <w:t xml:space="preserve">         </w:t>
      </w:r>
    </w:p>
    <w:p w14:paraId="4D1A7C84">
      <w:pPr>
        <w:spacing w:line="500" w:lineRule="exact"/>
        <w:jc w:val="center"/>
        <w:rPr>
          <w:rFonts w:ascii="宋体" w:hAnsi="宋体"/>
          <w:b/>
          <w:sz w:val="48"/>
          <w:szCs w:val="48"/>
        </w:rPr>
      </w:pPr>
    </w:p>
    <w:p w14:paraId="757A36A8"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</w:t>
      </w:r>
    </w:p>
    <w:p w14:paraId="1125C063"/>
    <w:p w14:paraId="23322C34"/>
    <w:p w14:paraId="58D83DE6"/>
    <w:p w14:paraId="2BBB557D"/>
    <w:p w14:paraId="2F02DC5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设备概况：</w:t>
      </w:r>
    </w:p>
    <w:p w14:paraId="0B11CFF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设备名称：电子吊秤</w:t>
      </w:r>
    </w:p>
    <w:p w14:paraId="6A4B83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（二）设备用途：冶炼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铁</w:t>
      </w:r>
      <w:r>
        <w:rPr>
          <w:rFonts w:hint="eastAsia" w:ascii="仿宋_GB2312" w:hAnsi="仿宋_GB2312" w:eastAsia="仿宋_GB2312" w:cs="仿宋_GB2312"/>
          <w:sz w:val="32"/>
          <w:szCs w:val="32"/>
        </w:rPr>
        <w:t>水称重</w:t>
      </w:r>
    </w:p>
    <w:p w14:paraId="07CCA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（三）主要结构形式：仪器仪表类</w:t>
      </w:r>
    </w:p>
    <w:p w14:paraId="5DB7A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设备外形尺寸：总高度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976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mm,吊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环内径18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0mm，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吊钩内径100mm，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吊钩开口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mm。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以上尺寸需要与现场行车吊钩以及铁水包吊环核实，确保配套可用，必要时，特制加大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</w:t>
      </w:r>
    </w:p>
    <w:p w14:paraId="3450BA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（五）设备安装地点：铸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作业区</w:t>
      </w:r>
      <w:r>
        <w:rPr>
          <w:rFonts w:hint="eastAsia" w:ascii="仿宋_GB2312" w:hAnsi="仿宋_GB2312" w:eastAsia="仿宋_GB2312" w:cs="仿宋_GB2312"/>
          <w:sz w:val="32"/>
          <w:szCs w:val="32"/>
        </w:rPr>
        <w:t>厂房</w:t>
      </w:r>
    </w:p>
    <w:p w14:paraId="675EDA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（六）规格型号：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20吨</w:t>
      </w:r>
    </w:p>
    <w:p w14:paraId="36BEB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（七）性能参数：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最大称量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0000Kg，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分辨率</w:t>
      </w:r>
      <w:r>
        <w:rPr>
          <w:rFonts w:hint="eastAsia" w:ascii="仿宋_GB2312" w:hAnsi="仿宋_GB2312" w:eastAsia="仿宋_GB2312" w:cs="仿宋_GB2312"/>
          <w:sz w:val="32"/>
          <w:szCs w:val="32"/>
        </w:rPr>
        <w:t>d=10/5/2Kg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（可调），检定分度值</w:t>
      </w:r>
      <w:r>
        <w:rPr>
          <w:rFonts w:hint="eastAsia" w:ascii="仿宋_GB2312" w:hAnsi="仿宋_GB2312" w:eastAsia="仿宋_GB2312" w:cs="仿宋_GB2312"/>
          <w:sz w:val="32"/>
          <w:szCs w:val="32"/>
        </w:rPr>
        <w:t>e=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0Kg，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检定分度数</w:t>
      </w:r>
      <w:r>
        <w:rPr>
          <w:rFonts w:hint="eastAsia" w:ascii="仿宋_GB2312" w:hAnsi="仿宋_GB2312" w:eastAsia="仿宋_GB2312" w:cs="仿宋_GB2312"/>
          <w:sz w:val="32"/>
          <w:szCs w:val="32"/>
        </w:rPr>
        <w:t>n=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00，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精确度等级</w:t>
      </w:r>
      <w:r>
        <w:rPr>
          <w:rFonts w:hint="eastAsia" w:ascii="仿宋_GB2312" w:hAnsi="仿宋_GB2312" w:eastAsia="仿宋_GB2312" w:cs="仿宋_GB2312"/>
          <w:sz w:val="32"/>
          <w:szCs w:val="32"/>
        </w:rPr>
        <w:t>OIML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（Ⅲ）级，称重信号无线传输距离，开阔地：</w:t>
      </w:r>
      <w:r>
        <w:rPr>
          <w:rFonts w:hint="eastAsia" w:ascii="仿宋_GB2312" w:hAnsi="仿宋_GB2312" w:eastAsia="仿宋_GB2312" w:cs="仿宋_GB2312"/>
          <w:sz w:val="32"/>
          <w:szCs w:val="32"/>
        </w:rPr>
        <w:t>300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米，有零点跟踪功能，有超载报警功能，电池使用时间：充电一次可连续使用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15天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，称量数据智能发射，带称重显示、打印功能。</w:t>
      </w:r>
    </w:p>
    <w:p w14:paraId="112F2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（八）主要配置：（机械部分、电控部分、附件工装等）</w:t>
      </w:r>
    </w:p>
    <w:tbl>
      <w:tblPr>
        <w:tblStyle w:val="5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340"/>
        <w:gridCol w:w="2080"/>
        <w:gridCol w:w="1105"/>
        <w:gridCol w:w="973"/>
        <w:gridCol w:w="1602"/>
      </w:tblGrid>
      <w:tr w14:paraId="4A52F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900" w:type="dxa"/>
            <w:noWrap w:val="0"/>
            <w:vAlign w:val="center"/>
          </w:tcPr>
          <w:p w14:paraId="7BC8A6D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  <w:t>序号</w:t>
            </w:r>
          </w:p>
        </w:tc>
        <w:tc>
          <w:tcPr>
            <w:tcW w:w="2340" w:type="dxa"/>
            <w:noWrap w:val="0"/>
            <w:vAlign w:val="center"/>
          </w:tcPr>
          <w:p w14:paraId="6257C5C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  <w:t>名称</w:t>
            </w:r>
          </w:p>
        </w:tc>
        <w:tc>
          <w:tcPr>
            <w:tcW w:w="2080" w:type="dxa"/>
            <w:noWrap w:val="0"/>
            <w:vAlign w:val="center"/>
          </w:tcPr>
          <w:p w14:paraId="3640448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  <w:t>规格型号</w:t>
            </w:r>
          </w:p>
        </w:tc>
        <w:tc>
          <w:tcPr>
            <w:tcW w:w="1105" w:type="dxa"/>
            <w:noWrap w:val="0"/>
            <w:vAlign w:val="center"/>
          </w:tcPr>
          <w:p w14:paraId="728E08F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  <w:t>单位</w:t>
            </w:r>
          </w:p>
        </w:tc>
        <w:tc>
          <w:tcPr>
            <w:tcW w:w="973" w:type="dxa"/>
            <w:noWrap w:val="0"/>
            <w:vAlign w:val="center"/>
          </w:tcPr>
          <w:p w14:paraId="3818969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  <w:t>数量</w:t>
            </w:r>
          </w:p>
        </w:tc>
        <w:tc>
          <w:tcPr>
            <w:tcW w:w="1602" w:type="dxa"/>
            <w:noWrap w:val="0"/>
            <w:vAlign w:val="center"/>
          </w:tcPr>
          <w:p w14:paraId="73429C9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  <w:t>备注</w:t>
            </w:r>
          </w:p>
        </w:tc>
      </w:tr>
      <w:tr w14:paraId="65DEE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900" w:type="dxa"/>
            <w:noWrap w:val="0"/>
            <w:vAlign w:val="center"/>
          </w:tcPr>
          <w:p w14:paraId="7DB2DD2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bookmarkStart w:id="0" w:name="OLE_LINK2"/>
            <w:bookmarkStart w:id="1" w:name="OLE_LINK1"/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2340" w:type="dxa"/>
            <w:noWrap w:val="0"/>
            <w:vAlign w:val="center"/>
          </w:tcPr>
          <w:p w14:paraId="4AC8EF92">
            <w:pPr>
              <w:spacing w:line="300" w:lineRule="auto"/>
              <w:jc w:val="center"/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  <w:t>电子吊秤秤体</w:t>
            </w:r>
          </w:p>
        </w:tc>
        <w:tc>
          <w:tcPr>
            <w:tcW w:w="2080" w:type="dxa"/>
            <w:noWrap w:val="0"/>
            <w:vAlign w:val="center"/>
          </w:tcPr>
          <w:p w14:paraId="2140AD3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ORS-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0-XS</w:t>
            </w:r>
          </w:p>
        </w:tc>
        <w:tc>
          <w:tcPr>
            <w:tcW w:w="1105" w:type="dxa"/>
            <w:noWrap w:val="0"/>
            <w:vAlign w:val="center"/>
          </w:tcPr>
          <w:p w14:paraId="1DCBDCAF">
            <w:pPr>
              <w:spacing w:line="300" w:lineRule="auto"/>
              <w:jc w:val="center"/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  <w:t>套</w:t>
            </w:r>
          </w:p>
        </w:tc>
        <w:tc>
          <w:tcPr>
            <w:tcW w:w="973" w:type="dxa"/>
            <w:noWrap w:val="0"/>
            <w:vAlign w:val="center"/>
          </w:tcPr>
          <w:p w14:paraId="22971AC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1602" w:type="dxa"/>
            <w:noWrap w:val="0"/>
            <w:vAlign w:val="center"/>
          </w:tcPr>
          <w:p w14:paraId="44F685B3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耐高温型</w:t>
            </w:r>
          </w:p>
        </w:tc>
      </w:tr>
      <w:tr w14:paraId="0BD0D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</w:trPr>
        <w:tc>
          <w:tcPr>
            <w:tcW w:w="900" w:type="dxa"/>
            <w:noWrap w:val="0"/>
            <w:vAlign w:val="center"/>
          </w:tcPr>
          <w:p w14:paraId="521CCDE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2340" w:type="dxa"/>
            <w:noWrap w:val="0"/>
            <w:vAlign w:val="center"/>
          </w:tcPr>
          <w:p w14:paraId="284E11AB">
            <w:pPr>
              <w:spacing w:line="300" w:lineRule="auto"/>
              <w:jc w:val="center"/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  <w:t>称重显示器</w:t>
            </w:r>
          </w:p>
        </w:tc>
        <w:tc>
          <w:tcPr>
            <w:tcW w:w="2080" w:type="dxa"/>
            <w:noWrap w:val="0"/>
            <w:vAlign w:val="center"/>
          </w:tcPr>
          <w:p w14:paraId="58C831A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X07</w:t>
            </w:r>
          </w:p>
        </w:tc>
        <w:tc>
          <w:tcPr>
            <w:tcW w:w="1105" w:type="dxa"/>
            <w:noWrap w:val="0"/>
            <w:vAlign w:val="center"/>
          </w:tcPr>
          <w:p w14:paraId="09C32902">
            <w:pPr>
              <w:spacing w:line="300" w:lineRule="auto"/>
              <w:jc w:val="center"/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  <w:t>套</w:t>
            </w:r>
          </w:p>
        </w:tc>
        <w:tc>
          <w:tcPr>
            <w:tcW w:w="973" w:type="dxa"/>
            <w:noWrap w:val="0"/>
            <w:vAlign w:val="center"/>
          </w:tcPr>
          <w:p w14:paraId="237BB52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1602" w:type="dxa"/>
            <w:noWrap w:val="0"/>
            <w:vAlign w:val="center"/>
          </w:tcPr>
          <w:p w14:paraId="7F742108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63F2B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900" w:type="dxa"/>
            <w:noWrap w:val="0"/>
            <w:vAlign w:val="center"/>
          </w:tcPr>
          <w:p w14:paraId="74193D8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2340" w:type="dxa"/>
            <w:noWrap w:val="0"/>
            <w:vAlign w:val="center"/>
          </w:tcPr>
          <w:p w14:paraId="7F32D8A5">
            <w:pPr>
              <w:spacing w:line="300" w:lineRule="auto"/>
              <w:jc w:val="center"/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  <w:lang w:eastAsia="zh-CN"/>
              </w:rPr>
              <w:t>大屏幕</w:t>
            </w:r>
          </w:p>
        </w:tc>
        <w:tc>
          <w:tcPr>
            <w:tcW w:w="2080" w:type="dxa"/>
            <w:noWrap w:val="0"/>
            <w:vAlign w:val="center"/>
          </w:tcPr>
          <w:p w14:paraId="3752620B">
            <w:pPr>
              <w:spacing w:line="300" w:lineRule="auto"/>
              <w:jc w:val="center"/>
              <w:rPr>
                <w:rFonts w:hint="default" w:ascii="仿宋_GB2312" w:hAnsi="仿宋_GB2312" w:eastAsia="仿宋_GB2312" w:cs="仿宋_GB2312"/>
                <w:position w:val="-4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  <w:lang w:val="en-US" w:eastAsia="zh-CN"/>
              </w:rPr>
              <w:t>20T</w:t>
            </w:r>
          </w:p>
        </w:tc>
        <w:tc>
          <w:tcPr>
            <w:tcW w:w="1105" w:type="dxa"/>
            <w:noWrap w:val="0"/>
            <w:vAlign w:val="center"/>
          </w:tcPr>
          <w:p w14:paraId="51D1DB60">
            <w:pPr>
              <w:spacing w:line="300" w:lineRule="auto"/>
              <w:jc w:val="center"/>
              <w:rPr>
                <w:rFonts w:hint="default" w:ascii="仿宋_GB2312" w:hAnsi="仿宋_GB2312" w:eastAsia="仿宋_GB2312" w:cs="仿宋_GB2312"/>
                <w:position w:val="-4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  <w:lang w:val="en-US" w:eastAsia="zh-CN"/>
              </w:rPr>
              <w:t>套</w:t>
            </w:r>
          </w:p>
        </w:tc>
        <w:tc>
          <w:tcPr>
            <w:tcW w:w="973" w:type="dxa"/>
            <w:noWrap w:val="0"/>
            <w:vAlign w:val="center"/>
          </w:tcPr>
          <w:p w14:paraId="0115B48D">
            <w:pPr>
              <w:spacing w:line="300" w:lineRule="auto"/>
              <w:jc w:val="center"/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602" w:type="dxa"/>
            <w:noWrap w:val="0"/>
            <w:vAlign w:val="center"/>
          </w:tcPr>
          <w:p w14:paraId="3FDF5213">
            <w:pPr>
              <w:spacing w:line="30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1B713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900" w:type="dxa"/>
            <w:noWrap w:val="0"/>
            <w:vAlign w:val="center"/>
          </w:tcPr>
          <w:p w14:paraId="1EA17B4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2340" w:type="dxa"/>
            <w:noWrap w:val="0"/>
            <w:vAlign w:val="center"/>
          </w:tcPr>
          <w:p w14:paraId="049594E9">
            <w:pPr>
              <w:spacing w:line="300" w:lineRule="auto"/>
              <w:jc w:val="center"/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  <w:t>所带附件</w:t>
            </w:r>
          </w:p>
        </w:tc>
        <w:tc>
          <w:tcPr>
            <w:tcW w:w="2080" w:type="dxa"/>
            <w:noWrap w:val="0"/>
            <w:vAlign w:val="center"/>
          </w:tcPr>
          <w:p w14:paraId="4487376F">
            <w:pPr>
              <w:spacing w:line="300" w:lineRule="auto"/>
              <w:jc w:val="center"/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7646B655">
            <w:pPr>
              <w:spacing w:line="300" w:lineRule="auto"/>
              <w:jc w:val="center"/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</w:pPr>
          </w:p>
        </w:tc>
        <w:tc>
          <w:tcPr>
            <w:tcW w:w="973" w:type="dxa"/>
            <w:noWrap w:val="0"/>
            <w:vAlign w:val="center"/>
          </w:tcPr>
          <w:p w14:paraId="7EC6754D">
            <w:pPr>
              <w:spacing w:line="300" w:lineRule="auto"/>
              <w:jc w:val="center"/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</w:pPr>
          </w:p>
        </w:tc>
        <w:tc>
          <w:tcPr>
            <w:tcW w:w="1602" w:type="dxa"/>
            <w:noWrap w:val="0"/>
            <w:vAlign w:val="center"/>
          </w:tcPr>
          <w:p w14:paraId="3E7E34C7">
            <w:pPr>
              <w:spacing w:line="300" w:lineRule="auto"/>
              <w:jc w:val="center"/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position w:val="-40"/>
                <w:sz w:val="32"/>
                <w:szCs w:val="32"/>
              </w:rPr>
              <w:t>见附件表</w:t>
            </w:r>
          </w:p>
        </w:tc>
      </w:tr>
      <w:bookmarkEnd w:id="0"/>
      <w:bookmarkEnd w:id="1"/>
    </w:tbl>
    <w:p w14:paraId="359EF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（九）在设备制造时要着重考虑以下几方面问题：</w:t>
      </w:r>
    </w:p>
    <w:p w14:paraId="059F4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</w:t>
      </w:r>
      <w:r>
        <w:rPr>
          <w:rFonts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1 抗强电磁干扰、环境温升对电子吊秤的影响。</w:t>
      </w:r>
    </w:p>
    <w:p w14:paraId="783B4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</w:t>
      </w:r>
      <w:r>
        <w:rPr>
          <w:rFonts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2 高海拔、高温及高温差对电子吊秤内各元件及称重精度的影响。</w:t>
      </w:r>
    </w:p>
    <w:p w14:paraId="2D4A1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（十）其他要求：</w:t>
      </w:r>
    </w:p>
    <w:p w14:paraId="69AEA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1.设备需附带智能数据接口。</w:t>
      </w:r>
    </w:p>
    <w:p w14:paraId="134BDC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1.1、称重显示器具备RS232/RS485接口，满足称重数据可实时传输至管理计算机。</w:t>
      </w:r>
    </w:p>
    <w:p w14:paraId="6AA5D0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2.设计结构合理，制造精良，性能稳定可靠且使用维修方便造型美观，使用噪音低，寿命长，节能环保等，并符合国家现行设备设施、环保、节能、噪声相关法律法规的规定。</w:t>
      </w:r>
    </w:p>
    <w:p w14:paraId="78019F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3.随机附件明细，包含附件名称、型号、数量等信息。</w:t>
      </w:r>
    </w:p>
    <w:tbl>
      <w:tblPr>
        <w:tblStyle w:val="5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160"/>
        <w:gridCol w:w="2340"/>
        <w:gridCol w:w="1260"/>
        <w:gridCol w:w="1260"/>
        <w:gridCol w:w="1080"/>
      </w:tblGrid>
      <w:tr w14:paraId="3AF68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15B0103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序号</w:t>
            </w:r>
          </w:p>
        </w:tc>
        <w:tc>
          <w:tcPr>
            <w:tcW w:w="2160" w:type="dxa"/>
            <w:noWrap w:val="0"/>
            <w:vAlign w:val="top"/>
          </w:tcPr>
          <w:p w14:paraId="5A5366D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名称</w:t>
            </w:r>
          </w:p>
        </w:tc>
        <w:tc>
          <w:tcPr>
            <w:tcW w:w="2340" w:type="dxa"/>
            <w:noWrap w:val="0"/>
            <w:vAlign w:val="top"/>
          </w:tcPr>
          <w:p w14:paraId="7E3D127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型号</w:t>
            </w:r>
          </w:p>
        </w:tc>
        <w:tc>
          <w:tcPr>
            <w:tcW w:w="1260" w:type="dxa"/>
            <w:noWrap w:val="0"/>
            <w:vAlign w:val="top"/>
          </w:tcPr>
          <w:p w14:paraId="1C112C2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单位</w:t>
            </w:r>
          </w:p>
        </w:tc>
        <w:tc>
          <w:tcPr>
            <w:tcW w:w="1260" w:type="dxa"/>
            <w:noWrap w:val="0"/>
            <w:vAlign w:val="top"/>
          </w:tcPr>
          <w:p w14:paraId="6CCF2EA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数量</w:t>
            </w:r>
          </w:p>
        </w:tc>
        <w:tc>
          <w:tcPr>
            <w:tcW w:w="1080" w:type="dxa"/>
            <w:noWrap w:val="0"/>
            <w:vAlign w:val="top"/>
          </w:tcPr>
          <w:p w14:paraId="0E96D6E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备注</w:t>
            </w:r>
          </w:p>
        </w:tc>
      </w:tr>
      <w:tr w14:paraId="10041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5FB797C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2160" w:type="dxa"/>
            <w:noWrap w:val="0"/>
            <w:vAlign w:val="top"/>
          </w:tcPr>
          <w:p w14:paraId="2312EF0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小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>推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车</w:t>
            </w:r>
          </w:p>
        </w:tc>
        <w:tc>
          <w:tcPr>
            <w:tcW w:w="2340" w:type="dxa"/>
            <w:noWrap w:val="0"/>
            <w:vAlign w:val="top"/>
          </w:tcPr>
          <w:p w14:paraId="0FF9C16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0t</w:t>
            </w:r>
          </w:p>
        </w:tc>
        <w:tc>
          <w:tcPr>
            <w:tcW w:w="1260" w:type="dxa"/>
            <w:noWrap w:val="0"/>
            <w:vAlign w:val="top"/>
          </w:tcPr>
          <w:p w14:paraId="7A00CBB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台</w:t>
            </w:r>
          </w:p>
        </w:tc>
        <w:tc>
          <w:tcPr>
            <w:tcW w:w="1260" w:type="dxa"/>
            <w:noWrap w:val="0"/>
            <w:vAlign w:val="top"/>
          </w:tcPr>
          <w:p w14:paraId="2845448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080" w:type="dxa"/>
            <w:noWrap w:val="0"/>
            <w:vAlign w:val="top"/>
          </w:tcPr>
          <w:p w14:paraId="6BBB5DB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</w:tr>
      <w:tr w14:paraId="5B2CE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475D7CA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2160" w:type="dxa"/>
            <w:noWrap w:val="0"/>
            <w:vAlign w:val="top"/>
          </w:tcPr>
          <w:p w14:paraId="1466374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充电机</w:t>
            </w:r>
          </w:p>
        </w:tc>
        <w:tc>
          <w:tcPr>
            <w:tcW w:w="2340" w:type="dxa"/>
            <w:noWrap w:val="0"/>
            <w:vAlign w:val="top"/>
          </w:tcPr>
          <w:p w14:paraId="1646782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C9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B</w:t>
            </w:r>
          </w:p>
        </w:tc>
        <w:tc>
          <w:tcPr>
            <w:tcW w:w="1260" w:type="dxa"/>
            <w:noWrap w:val="0"/>
            <w:vAlign w:val="top"/>
          </w:tcPr>
          <w:p w14:paraId="40CCA00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个</w:t>
            </w:r>
          </w:p>
        </w:tc>
        <w:tc>
          <w:tcPr>
            <w:tcW w:w="1260" w:type="dxa"/>
            <w:noWrap w:val="0"/>
            <w:vAlign w:val="top"/>
          </w:tcPr>
          <w:p w14:paraId="584EAA5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1080" w:type="dxa"/>
            <w:noWrap w:val="0"/>
            <w:vAlign w:val="top"/>
          </w:tcPr>
          <w:p w14:paraId="18D516C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</w:tr>
      <w:tr w14:paraId="2B84E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7A93A4E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2160" w:type="dxa"/>
            <w:noWrap w:val="0"/>
            <w:vAlign w:val="top"/>
          </w:tcPr>
          <w:p w14:paraId="549796F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秤体电池</w:t>
            </w:r>
          </w:p>
        </w:tc>
        <w:tc>
          <w:tcPr>
            <w:tcW w:w="2340" w:type="dxa"/>
            <w:noWrap w:val="0"/>
            <w:vAlign w:val="top"/>
          </w:tcPr>
          <w:p w14:paraId="0BAB111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8.4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V/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Ah</w:t>
            </w:r>
          </w:p>
        </w:tc>
        <w:tc>
          <w:tcPr>
            <w:tcW w:w="1260" w:type="dxa"/>
            <w:noWrap w:val="0"/>
            <w:vAlign w:val="top"/>
          </w:tcPr>
          <w:p w14:paraId="125DB0C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组</w:t>
            </w:r>
          </w:p>
        </w:tc>
        <w:tc>
          <w:tcPr>
            <w:tcW w:w="1260" w:type="dxa"/>
            <w:noWrap w:val="0"/>
            <w:vAlign w:val="top"/>
          </w:tcPr>
          <w:p w14:paraId="5B6D16C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080" w:type="dxa"/>
            <w:noWrap w:val="0"/>
            <w:vAlign w:val="top"/>
          </w:tcPr>
          <w:p w14:paraId="431432A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</w:tr>
      <w:tr w14:paraId="72034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770460B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</w:t>
            </w:r>
          </w:p>
        </w:tc>
        <w:tc>
          <w:tcPr>
            <w:tcW w:w="2160" w:type="dxa"/>
            <w:noWrap w:val="0"/>
            <w:vAlign w:val="top"/>
          </w:tcPr>
          <w:p w14:paraId="4646FF3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天线</w:t>
            </w:r>
          </w:p>
        </w:tc>
        <w:tc>
          <w:tcPr>
            <w:tcW w:w="2340" w:type="dxa"/>
            <w:noWrap w:val="0"/>
            <w:vAlign w:val="top"/>
          </w:tcPr>
          <w:p w14:paraId="22FFADF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450MHz</w:t>
            </w:r>
          </w:p>
        </w:tc>
        <w:tc>
          <w:tcPr>
            <w:tcW w:w="1260" w:type="dxa"/>
            <w:noWrap w:val="0"/>
            <w:vAlign w:val="top"/>
          </w:tcPr>
          <w:p w14:paraId="5C6C9C9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根</w:t>
            </w:r>
          </w:p>
        </w:tc>
        <w:tc>
          <w:tcPr>
            <w:tcW w:w="1260" w:type="dxa"/>
            <w:noWrap w:val="0"/>
            <w:vAlign w:val="top"/>
          </w:tcPr>
          <w:p w14:paraId="575548B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080" w:type="dxa"/>
            <w:noWrap w:val="0"/>
            <w:vAlign w:val="top"/>
          </w:tcPr>
          <w:p w14:paraId="18B586F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</w:tr>
      <w:tr w14:paraId="3646A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562AACE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5</w:t>
            </w:r>
          </w:p>
        </w:tc>
        <w:tc>
          <w:tcPr>
            <w:tcW w:w="2160" w:type="dxa"/>
            <w:noWrap w:val="0"/>
            <w:vAlign w:val="top"/>
          </w:tcPr>
          <w:p w14:paraId="75943CA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打印纸</w:t>
            </w:r>
          </w:p>
        </w:tc>
        <w:tc>
          <w:tcPr>
            <w:tcW w:w="2340" w:type="dxa"/>
            <w:noWrap w:val="0"/>
            <w:vAlign w:val="top"/>
          </w:tcPr>
          <w:p w14:paraId="71B794D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top"/>
          </w:tcPr>
          <w:p w14:paraId="770E065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卷</w:t>
            </w:r>
          </w:p>
        </w:tc>
        <w:tc>
          <w:tcPr>
            <w:tcW w:w="1260" w:type="dxa"/>
            <w:noWrap w:val="0"/>
            <w:vAlign w:val="top"/>
          </w:tcPr>
          <w:p w14:paraId="0E44F2E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10</w:t>
            </w:r>
          </w:p>
        </w:tc>
        <w:tc>
          <w:tcPr>
            <w:tcW w:w="1080" w:type="dxa"/>
            <w:noWrap w:val="0"/>
            <w:vAlign w:val="top"/>
          </w:tcPr>
          <w:p w14:paraId="7991530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</w:tr>
      <w:tr w14:paraId="7ED64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68CEC7F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6</w:t>
            </w:r>
          </w:p>
        </w:tc>
        <w:tc>
          <w:tcPr>
            <w:tcW w:w="2160" w:type="dxa"/>
            <w:noWrap w:val="0"/>
            <w:vAlign w:val="top"/>
          </w:tcPr>
          <w:p w14:paraId="7D262EF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色带</w:t>
            </w:r>
          </w:p>
        </w:tc>
        <w:tc>
          <w:tcPr>
            <w:tcW w:w="2340" w:type="dxa"/>
            <w:noWrap w:val="0"/>
            <w:vAlign w:val="top"/>
          </w:tcPr>
          <w:p w14:paraId="650D7C6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top"/>
          </w:tcPr>
          <w:p w14:paraId="0381B6F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条</w:t>
            </w:r>
          </w:p>
        </w:tc>
        <w:tc>
          <w:tcPr>
            <w:tcW w:w="1260" w:type="dxa"/>
            <w:noWrap w:val="0"/>
            <w:vAlign w:val="top"/>
          </w:tcPr>
          <w:p w14:paraId="10385B4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1080" w:type="dxa"/>
            <w:noWrap w:val="0"/>
            <w:vAlign w:val="top"/>
          </w:tcPr>
          <w:p w14:paraId="3159D89B">
            <w:pPr>
              <w:spacing w:line="360" w:lineRule="auto"/>
              <w:jc w:val="center"/>
              <w:rPr>
                <w:rFonts w:hint="eastAsia"/>
                <w:kern w:val="0"/>
                <w:sz w:val="32"/>
                <w:szCs w:val="32"/>
              </w:rPr>
            </w:pPr>
          </w:p>
        </w:tc>
      </w:tr>
      <w:tr w14:paraId="1A8E7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70CE2819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7</w:t>
            </w:r>
          </w:p>
        </w:tc>
        <w:tc>
          <w:tcPr>
            <w:tcW w:w="2160" w:type="dxa"/>
            <w:noWrap w:val="0"/>
            <w:vAlign w:val="top"/>
          </w:tcPr>
          <w:p w14:paraId="589B57E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充电连线</w:t>
            </w:r>
          </w:p>
        </w:tc>
        <w:tc>
          <w:tcPr>
            <w:tcW w:w="2340" w:type="dxa"/>
            <w:noWrap w:val="0"/>
            <w:vAlign w:val="top"/>
          </w:tcPr>
          <w:p w14:paraId="3ECFCD2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top"/>
          </w:tcPr>
          <w:p w14:paraId="6D8D23C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条</w:t>
            </w:r>
          </w:p>
        </w:tc>
        <w:tc>
          <w:tcPr>
            <w:tcW w:w="1260" w:type="dxa"/>
            <w:noWrap w:val="0"/>
            <w:vAlign w:val="top"/>
          </w:tcPr>
          <w:p w14:paraId="0DC24B6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1080" w:type="dxa"/>
            <w:noWrap w:val="0"/>
            <w:vAlign w:val="top"/>
          </w:tcPr>
          <w:p w14:paraId="67837EF7">
            <w:pPr>
              <w:spacing w:line="360" w:lineRule="auto"/>
              <w:jc w:val="center"/>
              <w:rPr>
                <w:rFonts w:hint="eastAsia"/>
                <w:kern w:val="0"/>
                <w:sz w:val="32"/>
                <w:szCs w:val="32"/>
              </w:rPr>
            </w:pPr>
          </w:p>
        </w:tc>
      </w:tr>
      <w:tr w14:paraId="01215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 w14:paraId="324711C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8</w:t>
            </w:r>
          </w:p>
        </w:tc>
        <w:tc>
          <w:tcPr>
            <w:tcW w:w="2160" w:type="dxa"/>
            <w:noWrap w:val="0"/>
            <w:vAlign w:val="top"/>
          </w:tcPr>
          <w:p w14:paraId="03F0676D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卡簧钳</w:t>
            </w:r>
          </w:p>
        </w:tc>
        <w:tc>
          <w:tcPr>
            <w:tcW w:w="2340" w:type="dxa"/>
            <w:noWrap w:val="0"/>
            <w:vAlign w:val="top"/>
          </w:tcPr>
          <w:p w14:paraId="44EE13D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top"/>
          </w:tcPr>
          <w:p w14:paraId="721E349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个</w:t>
            </w:r>
          </w:p>
        </w:tc>
        <w:tc>
          <w:tcPr>
            <w:tcW w:w="1260" w:type="dxa"/>
            <w:noWrap w:val="0"/>
            <w:vAlign w:val="top"/>
          </w:tcPr>
          <w:p w14:paraId="032E806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1080" w:type="dxa"/>
            <w:noWrap w:val="0"/>
            <w:vAlign w:val="top"/>
          </w:tcPr>
          <w:p w14:paraId="01080C62">
            <w:pPr>
              <w:spacing w:line="360" w:lineRule="auto"/>
              <w:jc w:val="center"/>
              <w:rPr>
                <w:rFonts w:hint="eastAsia"/>
                <w:kern w:val="0"/>
                <w:sz w:val="32"/>
                <w:szCs w:val="32"/>
              </w:rPr>
            </w:pPr>
          </w:p>
        </w:tc>
      </w:tr>
    </w:tbl>
    <w:p w14:paraId="1A61BD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4.设备保养方式、主要保养点，要有明确标识。</w:t>
      </w:r>
    </w:p>
    <w:p w14:paraId="7DA3AB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5.设备要有安全防护设施，环保节能性要强并符合国家相关法律法规的要求。</w:t>
      </w:r>
    </w:p>
    <w:p w14:paraId="7EA351F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技术文件提供</w:t>
      </w:r>
    </w:p>
    <w:p w14:paraId="6B45CA4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乙方应向甲方提供设备使用说明书2份。</w:t>
      </w:r>
    </w:p>
    <w:p w14:paraId="6650A771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乙方应向甲方提供设备技术合格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证</w:t>
      </w:r>
      <w:r>
        <w:rPr>
          <w:rFonts w:hint="eastAsia" w:ascii="仿宋_GB2312" w:hAnsi="仿宋_GB2312" w:eastAsia="仿宋_GB2312" w:cs="仿宋_GB2312"/>
          <w:sz w:val="32"/>
          <w:szCs w:val="32"/>
        </w:rPr>
        <w:t>2份。</w:t>
      </w:r>
    </w:p>
    <w:p w14:paraId="73A44BC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乙方应向甲方提供设备外购件清单1份，清单内容应包含外购件的规格型号、生产厂家、数量、材质等详细信息。</w:t>
      </w:r>
    </w:p>
    <w:p w14:paraId="28AB448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乙方应向甲方提供设备发货装箱清单1份。</w:t>
      </w:r>
    </w:p>
    <w:p w14:paraId="1A63B2B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bookmarkStart w:id="2" w:name="_GoBack"/>
      <w:bookmarkEnd w:id="2"/>
      <w:r>
        <w:rPr>
          <w:rFonts w:hint="eastAsia" w:ascii="仿宋_GB2312" w:hAnsi="仿宋_GB2312" w:eastAsia="仿宋_GB2312" w:cs="仿宋_GB2312"/>
          <w:sz w:val="32"/>
          <w:szCs w:val="32"/>
        </w:rPr>
        <w:t>乙方应向甲方提供常耗件、易损件清单各1份。</w:t>
      </w:r>
    </w:p>
    <w:p w14:paraId="33AF64E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项目进度安排</w:t>
      </w:r>
    </w:p>
    <w:p w14:paraId="1F283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乙方负责在中标通知书下发后一周内制定本项目的进度计划,并反馈至甲方，经甲方同意后严格按计划内容实施,确保按合同规定时间完成本项目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乙方应为甲方提供设备全套图纸。</w:t>
      </w:r>
    </w:p>
    <w:p w14:paraId="65A9788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设备预验收</w:t>
      </w:r>
    </w:p>
    <w:p w14:paraId="377B0D1E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预验收依据</w:t>
      </w:r>
    </w:p>
    <w:p w14:paraId="34A83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卖方在产品制造、试验、配套成套中，应严格执行如下标准：</w:t>
      </w:r>
    </w:p>
    <w:tbl>
      <w:tblPr>
        <w:tblStyle w:val="5"/>
        <w:tblW w:w="899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2615"/>
        <w:gridCol w:w="2707"/>
        <w:gridCol w:w="2522"/>
      </w:tblGrid>
      <w:tr w14:paraId="49DE1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155" w:type="dxa"/>
            <w:noWrap w:val="0"/>
            <w:vAlign w:val="center"/>
          </w:tcPr>
          <w:p w14:paraId="3FA0261E"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序号</w:t>
            </w:r>
          </w:p>
        </w:tc>
        <w:tc>
          <w:tcPr>
            <w:tcW w:w="2615" w:type="dxa"/>
            <w:noWrap w:val="0"/>
            <w:vAlign w:val="center"/>
          </w:tcPr>
          <w:p w14:paraId="59FA3253"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名称</w:t>
            </w:r>
          </w:p>
        </w:tc>
        <w:tc>
          <w:tcPr>
            <w:tcW w:w="2707" w:type="dxa"/>
            <w:noWrap w:val="0"/>
            <w:vAlign w:val="center"/>
          </w:tcPr>
          <w:p w14:paraId="3E7FE7F2"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设备制造标准</w:t>
            </w:r>
          </w:p>
        </w:tc>
        <w:tc>
          <w:tcPr>
            <w:tcW w:w="2522" w:type="dxa"/>
            <w:noWrap w:val="0"/>
            <w:vAlign w:val="center"/>
          </w:tcPr>
          <w:p w14:paraId="0D548DE7"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出厂检验标准</w:t>
            </w:r>
          </w:p>
        </w:tc>
      </w:tr>
      <w:tr w14:paraId="5C5C8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155" w:type="dxa"/>
            <w:noWrap w:val="0"/>
            <w:vAlign w:val="center"/>
          </w:tcPr>
          <w:p w14:paraId="17E977C2"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2615" w:type="dxa"/>
            <w:noWrap w:val="0"/>
            <w:vAlign w:val="center"/>
          </w:tcPr>
          <w:p w14:paraId="0980E375"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电子吊秤</w:t>
            </w:r>
          </w:p>
        </w:tc>
        <w:tc>
          <w:tcPr>
            <w:tcW w:w="2707" w:type="dxa"/>
            <w:noWrap w:val="0"/>
            <w:vAlign w:val="center"/>
          </w:tcPr>
          <w:p w14:paraId="47F720AB"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GB/T11883-2017</w:t>
            </w:r>
          </w:p>
        </w:tc>
        <w:tc>
          <w:tcPr>
            <w:tcW w:w="2522" w:type="dxa"/>
            <w:noWrap w:val="0"/>
            <w:vAlign w:val="center"/>
          </w:tcPr>
          <w:p w14:paraId="68C23BB3"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JJG539-97</w:t>
            </w:r>
          </w:p>
        </w:tc>
      </w:tr>
    </w:tbl>
    <w:p w14:paraId="6601DF15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验收方式</w:t>
      </w:r>
    </w:p>
    <w:p w14:paraId="61EA3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乙方</w:t>
      </w:r>
      <w:r>
        <w:rPr>
          <w:rFonts w:hint="eastAsia" w:ascii="仿宋_GB2312" w:hAnsi="仿宋_GB2312" w:eastAsia="仿宋_GB2312" w:cs="仿宋_GB2312"/>
          <w:sz w:val="32"/>
          <w:szCs w:val="32"/>
        </w:rPr>
        <w:t>将</w:t>
      </w:r>
      <w:r>
        <w:rPr>
          <w:rFonts w:ascii="仿宋_GB2312" w:hAnsi="仿宋_GB2312" w:eastAsia="仿宋_GB2312" w:cs="仿宋_GB2312"/>
          <w:sz w:val="32"/>
          <w:szCs w:val="32"/>
        </w:rPr>
        <w:t>设备调试完毕</w:t>
      </w:r>
      <w:r>
        <w:rPr>
          <w:rFonts w:hint="eastAsia" w:ascii="仿宋_GB2312" w:hAnsi="仿宋_GB2312" w:eastAsia="仿宋_GB2312" w:cs="仿宋_GB2312"/>
          <w:sz w:val="32"/>
          <w:szCs w:val="32"/>
        </w:rPr>
        <w:t>后</w:t>
      </w:r>
      <w:r>
        <w:rPr>
          <w:rFonts w:ascii="仿宋_GB2312" w:hAnsi="仿宋_GB2312" w:eastAsia="仿宋_GB2312" w:cs="仿宋_GB2312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z w:val="32"/>
          <w:szCs w:val="32"/>
        </w:rPr>
        <w:t>应</w:t>
      </w:r>
      <w:r>
        <w:rPr>
          <w:rFonts w:ascii="仿宋_GB2312" w:hAnsi="仿宋_GB2312" w:eastAsia="仿宋_GB2312" w:cs="仿宋_GB2312"/>
          <w:sz w:val="32"/>
          <w:szCs w:val="32"/>
        </w:rPr>
        <w:t>按</w:t>
      </w:r>
      <w:r>
        <w:rPr>
          <w:rFonts w:hint="eastAsia" w:ascii="仿宋_GB2312" w:hAnsi="仿宋_GB2312" w:eastAsia="仿宋_GB2312" w:cs="仿宋_GB2312"/>
          <w:sz w:val="32"/>
          <w:szCs w:val="32"/>
        </w:rPr>
        <w:t>相</w:t>
      </w:r>
      <w:r>
        <w:rPr>
          <w:rFonts w:ascii="仿宋_GB2312" w:hAnsi="仿宋_GB2312" w:eastAsia="仿宋_GB2312" w:cs="仿宋_GB2312"/>
          <w:sz w:val="32"/>
          <w:szCs w:val="32"/>
        </w:rPr>
        <w:t>关技术标准、</w:t>
      </w:r>
      <w:r>
        <w:rPr>
          <w:rFonts w:hint="eastAsia" w:ascii="仿宋_GB2312" w:hAnsi="仿宋_GB2312" w:eastAsia="仿宋_GB2312" w:cs="仿宋_GB2312"/>
          <w:sz w:val="32"/>
          <w:szCs w:val="32"/>
        </w:rPr>
        <w:t>行业</w:t>
      </w:r>
      <w:r>
        <w:rPr>
          <w:rFonts w:ascii="仿宋_GB2312" w:hAnsi="仿宋_GB2312" w:eastAsia="仿宋_GB2312" w:cs="仿宋_GB2312"/>
          <w:sz w:val="32"/>
          <w:szCs w:val="32"/>
        </w:rPr>
        <w:t>标准</w:t>
      </w:r>
      <w:r>
        <w:rPr>
          <w:rFonts w:hint="eastAsia" w:ascii="仿宋_GB2312" w:hAnsi="仿宋_GB2312" w:eastAsia="仿宋_GB2312" w:cs="仿宋_GB2312"/>
          <w:sz w:val="32"/>
          <w:szCs w:val="32"/>
        </w:rPr>
        <w:t>的要求，先</w:t>
      </w:r>
      <w:r>
        <w:rPr>
          <w:rFonts w:ascii="仿宋_GB2312" w:hAnsi="仿宋_GB2312" w:eastAsia="仿宋_GB2312" w:cs="仿宋_GB2312"/>
          <w:sz w:val="32"/>
          <w:szCs w:val="32"/>
        </w:rPr>
        <w:t>自行验收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ascii="仿宋_GB2312" w:hAnsi="仿宋_GB2312" w:eastAsia="仿宋_GB2312" w:cs="仿宋_GB2312"/>
          <w:sz w:val="32"/>
          <w:szCs w:val="32"/>
        </w:rPr>
        <w:t>合格后,通知甲方进行设备预验收</w:t>
      </w:r>
      <w:r>
        <w:rPr>
          <w:rFonts w:hint="eastAsia" w:ascii="仿宋_GB2312" w:hAnsi="仿宋_GB2312" w:eastAsia="仿宋_GB2312" w:cs="仿宋_GB2312"/>
          <w:sz w:val="32"/>
          <w:szCs w:val="32"/>
        </w:rPr>
        <w:t>，甲方应在5个工作日内完成预验收工作。</w:t>
      </w:r>
    </w:p>
    <w:p w14:paraId="7980C98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人员培训</w:t>
      </w:r>
    </w:p>
    <w:p w14:paraId="7602F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在设备安装调试时,乙方需编写培训</w:t>
      </w:r>
      <w:r>
        <w:rPr>
          <w:rFonts w:hint="eastAsia" w:ascii="仿宋_GB2312" w:hAnsi="仿宋_GB2312" w:eastAsia="仿宋_GB2312" w:cs="仿宋_GB2312"/>
          <w:sz w:val="32"/>
          <w:szCs w:val="32"/>
        </w:rPr>
        <w:t>方案，培训方案要对培训方式、培训目的、预期效果进行明确阐述，经甲方同意后方可实施培训。乙方负责对</w:t>
      </w:r>
      <w:r>
        <w:rPr>
          <w:rFonts w:ascii="仿宋_GB2312" w:hAnsi="仿宋_GB2312" w:eastAsia="仿宋_GB2312" w:cs="仿宋_GB2312"/>
          <w:sz w:val="32"/>
          <w:szCs w:val="32"/>
        </w:rPr>
        <w:t>甲方3-5名</w:t>
      </w:r>
      <w:r>
        <w:rPr>
          <w:rFonts w:hint="eastAsia" w:ascii="仿宋_GB2312" w:hAnsi="仿宋_GB2312" w:eastAsia="仿宋_GB2312" w:cs="仿宋_GB2312"/>
          <w:sz w:val="32"/>
          <w:szCs w:val="32"/>
        </w:rPr>
        <w:t>岗位操作人员（含维修人员）</w:t>
      </w:r>
      <w:r>
        <w:rPr>
          <w:rFonts w:ascii="仿宋_GB2312" w:hAnsi="仿宋_GB2312" w:eastAsia="仿宋_GB2312" w:cs="仿宋_GB2312"/>
          <w:sz w:val="32"/>
          <w:szCs w:val="32"/>
        </w:rPr>
        <w:t>进行免费技术指导和培训,培训结束</w:t>
      </w:r>
      <w:r>
        <w:rPr>
          <w:rFonts w:hint="eastAsia" w:ascii="仿宋_GB2312" w:hAnsi="仿宋_GB2312" w:eastAsia="仿宋_GB2312" w:cs="仿宋_GB2312"/>
          <w:sz w:val="32"/>
          <w:szCs w:val="32"/>
        </w:rPr>
        <w:t>达到预期效果后</w:t>
      </w:r>
      <w:r>
        <w:rPr>
          <w:rFonts w:ascii="仿宋_GB2312" w:hAnsi="仿宋_GB2312" w:eastAsia="仿宋_GB2312" w:cs="仿宋_GB2312"/>
          <w:sz w:val="32"/>
          <w:szCs w:val="32"/>
        </w:rPr>
        <w:t>由双方签字确认</w:t>
      </w:r>
      <w:r>
        <w:rPr>
          <w:rFonts w:hint="eastAsia" w:ascii="仿宋_GB2312" w:hAnsi="仿宋_GB2312" w:eastAsia="仿宋_GB2312" w:cs="仿宋_GB2312"/>
          <w:sz w:val="32"/>
          <w:szCs w:val="32"/>
        </w:rPr>
        <w:t>，并由甲方留存培训资料。</w:t>
      </w:r>
    </w:p>
    <w:p w14:paraId="7983722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运输</w:t>
      </w:r>
    </w:p>
    <w:p w14:paraId="5930F8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乙方负责将设备运</w:t>
      </w:r>
      <w:r>
        <w:rPr>
          <w:rFonts w:hint="eastAsia" w:ascii="仿宋_GB2312" w:hAnsi="仿宋_GB2312" w:eastAsia="仿宋_GB2312" w:cs="仿宋_GB2312"/>
          <w:sz w:val="32"/>
          <w:szCs w:val="32"/>
        </w:rPr>
        <w:t>送并卸放至</w:t>
      </w:r>
      <w:r>
        <w:rPr>
          <w:rFonts w:ascii="仿宋_GB2312" w:hAnsi="仿宋_GB2312" w:eastAsia="仿宋_GB2312" w:cs="仿宋_GB2312"/>
          <w:sz w:val="32"/>
          <w:szCs w:val="32"/>
        </w:rPr>
        <w:t>甲方</w:t>
      </w:r>
      <w:r>
        <w:rPr>
          <w:rFonts w:hint="eastAsia" w:ascii="仿宋_GB2312" w:hAnsi="仿宋_GB2312" w:eastAsia="仿宋_GB2312" w:cs="仿宋_GB2312"/>
          <w:sz w:val="32"/>
          <w:szCs w:val="32"/>
        </w:rPr>
        <w:t>指定地点</w:t>
      </w:r>
      <w:r>
        <w:rPr>
          <w:rFonts w:ascii="仿宋_GB2312" w:hAnsi="仿宋_GB2312" w:eastAsia="仿宋_GB2312" w:cs="仿宋_GB2312"/>
          <w:sz w:val="32"/>
          <w:szCs w:val="32"/>
        </w:rPr>
        <w:t>,运</w:t>
      </w:r>
      <w:r>
        <w:rPr>
          <w:rFonts w:hint="eastAsia" w:ascii="仿宋_GB2312" w:hAnsi="仿宋_GB2312" w:eastAsia="仿宋_GB2312" w:cs="仿宋_GB2312"/>
          <w:sz w:val="32"/>
          <w:szCs w:val="32"/>
        </w:rPr>
        <w:t>输、卸放</w:t>
      </w:r>
      <w:r>
        <w:rPr>
          <w:rFonts w:ascii="仿宋_GB2312" w:hAnsi="仿宋_GB2312" w:eastAsia="仿宋_GB2312" w:cs="仿宋_GB2312"/>
          <w:sz w:val="32"/>
          <w:szCs w:val="32"/>
        </w:rPr>
        <w:t>费</w:t>
      </w:r>
      <w:r>
        <w:rPr>
          <w:rFonts w:hint="eastAsia" w:ascii="仿宋_GB2312" w:hAnsi="仿宋_GB2312" w:eastAsia="仿宋_GB2312" w:cs="仿宋_GB2312"/>
          <w:sz w:val="32"/>
          <w:szCs w:val="32"/>
        </w:rPr>
        <w:t>用</w:t>
      </w:r>
      <w:r>
        <w:rPr>
          <w:rFonts w:ascii="仿宋_GB2312" w:hAnsi="仿宋_GB2312" w:eastAsia="仿宋_GB2312" w:cs="仿宋_GB2312"/>
          <w:sz w:val="32"/>
          <w:szCs w:val="32"/>
        </w:rPr>
        <w:t>由乙方负责,乙方向甲方提供的产品应妥善包装,若因包装、运输对产品造成的损坏,应由乙方负</w:t>
      </w:r>
      <w:r>
        <w:rPr>
          <w:rFonts w:hint="eastAsia" w:ascii="仿宋_GB2312" w:hAnsi="仿宋_GB2312" w:eastAsia="仿宋_GB2312" w:cs="仿宋_GB2312"/>
          <w:sz w:val="32"/>
          <w:szCs w:val="32"/>
        </w:rPr>
        <w:t>全部责任，甲方不予接收，并依据合同进行索赔。</w:t>
      </w:r>
    </w:p>
    <w:p w14:paraId="140BE29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售后服务</w:t>
      </w:r>
    </w:p>
    <w:p w14:paraId="7B8F2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（一）甲方接收到乙方产品后，</w:t>
      </w:r>
      <w:r>
        <w:rPr>
          <w:rFonts w:ascii="仿宋_GB2312" w:hAnsi="仿宋_GB2312" w:eastAsia="仿宋_GB2312" w:cs="仿宋_GB2312"/>
          <w:sz w:val="32"/>
          <w:szCs w:val="32"/>
        </w:rPr>
        <w:t>乙方</w:t>
      </w:r>
      <w:r>
        <w:rPr>
          <w:rFonts w:hint="eastAsia" w:ascii="仿宋_GB2312" w:hAnsi="仿宋_GB2312" w:eastAsia="仿宋_GB2312" w:cs="仿宋_GB2312"/>
          <w:sz w:val="32"/>
          <w:szCs w:val="32"/>
        </w:rPr>
        <w:t>需</w:t>
      </w:r>
      <w:r>
        <w:rPr>
          <w:rFonts w:ascii="仿宋_GB2312" w:hAnsi="仿宋_GB2312" w:eastAsia="仿宋_GB2312" w:cs="仿宋_GB2312"/>
          <w:sz w:val="32"/>
          <w:szCs w:val="32"/>
        </w:rPr>
        <w:t>派出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</w:t>
      </w:r>
      <w:r>
        <w:rPr>
          <w:rFonts w:ascii="仿宋_GB2312" w:hAnsi="仿宋_GB2312" w:eastAsia="仿宋_GB2312" w:cs="仿宋_GB2312"/>
          <w:sz w:val="32"/>
          <w:szCs w:val="32"/>
        </w:rPr>
        <w:t>安装调试人员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ascii="仿宋_GB2312" w:hAnsi="仿宋_GB2312" w:eastAsia="仿宋_GB2312" w:cs="仿宋_GB2312"/>
          <w:sz w:val="32"/>
          <w:szCs w:val="32"/>
        </w:rPr>
        <w:t>免费安装、调试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B25B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</w:t>
      </w:r>
      <w:r>
        <w:rPr>
          <w:rFonts w:ascii="仿宋_GB2312" w:hAnsi="仿宋_GB2312" w:eastAsia="仿宋_GB2312" w:cs="仿宋_GB2312"/>
          <w:sz w:val="32"/>
          <w:szCs w:val="32"/>
        </w:rPr>
        <w:t>设备质量“三包”期为十二个月。</w:t>
      </w:r>
      <w:r>
        <w:rPr>
          <w:rFonts w:hint="eastAsia" w:ascii="仿宋_GB2312" w:hAnsi="仿宋_GB2312" w:eastAsia="仿宋_GB2312" w:cs="仿宋_GB2312"/>
          <w:sz w:val="32"/>
          <w:szCs w:val="32"/>
        </w:rPr>
        <w:t>如</w:t>
      </w:r>
      <w:r>
        <w:rPr>
          <w:rFonts w:ascii="仿宋_GB2312" w:hAnsi="仿宋_GB2312" w:eastAsia="仿宋_GB2312" w:cs="仿宋_GB2312"/>
          <w:sz w:val="32"/>
          <w:szCs w:val="32"/>
        </w:rPr>
        <w:t>设备在甲方使用过程中发现质量问题</w:t>
      </w:r>
      <w:r>
        <w:rPr>
          <w:rFonts w:hint="eastAsia" w:ascii="仿宋_GB2312" w:hAnsi="仿宋_GB2312" w:eastAsia="仿宋_GB2312" w:cs="仿宋_GB2312"/>
          <w:sz w:val="32"/>
          <w:szCs w:val="32"/>
        </w:rPr>
        <w:t>，乙方应</w:t>
      </w:r>
      <w:r>
        <w:rPr>
          <w:rFonts w:ascii="仿宋_GB2312" w:hAnsi="仿宋_GB2312" w:eastAsia="仿宋_GB2312" w:cs="仿宋_GB2312"/>
          <w:sz w:val="32"/>
          <w:szCs w:val="32"/>
        </w:rPr>
        <w:t>在接到甲方通知后</w:t>
      </w:r>
      <w:r>
        <w:rPr>
          <w:rFonts w:hint="eastAsia" w:ascii="仿宋_GB2312" w:hAnsi="仿宋_GB2312" w:eastAsia="仿宋_GB2312" w:cs="仿宋_GB2312"/>
          <w:sz w:val="32"/>
          <w:szCs w:val="32"/>
        </w:rPr>
        <w:t>24</w:t>
      </w:r>
      <w:r>
        <w:rPr>
          <w:rFonts w:ascii="仿宋_GB2312" w:hAnsi="仿宋_GB2312" w:eastAsia="仿宋_GB2312" w:cs="仿宋_GB2312"/>
          <w:sz w:val="32"/>
          <w:szCs w:val="32"/>
        </w:rPr>
        <w:t>小时内做出答复或</w:t>
      </w:r>
      <w:r>
        <w:rPr>
          <w:rFonts w:hint="eastAsia" w:ascii="仿宋_GB2312" w:hAnsi="仿宋_GB2312" w:eastAsia="仿宋_GB2312" w:cs="仿宋_GB2312"/>
          <w:sz w:val="32"/>
          <w:szCs w:val="32"/>
        </w:rPr>
        <w:t>48小时内</w:t>
      </w:r>
      <w:r>
        <w:rPr>
          <w:rFonts w:ascii="仿宋_GB2312" w:hAnsi="仿宋_GB2312" w:eastAsia="仿宋_GB2312" w:cs="仿宋_GB2312"/>
          <w:sz w:val="32"/>
          <w:szCs w:val="32"/>
        </w:rPr>
        <w:t>派出维修人</w:t>
      </w:r>
      <w:r>
        <w:rPr>
          <w:rFonts w:hint="eastAsia" w:ascii="仿宋_GB2312" w:hAnsi="仿宋_GB2312" w:eastAsia="仿宋_GB2312" w:cs="仿宋_GB2312"/>
          <w:sz w:val="32"/>
          <w:szCs w:val="32"/>
        </w:rPr>
        <w:t>员赶赴甲方现场进行无偿维修。</w:t>
      </w:r>
    </w:p>
    <w:p w14:paraId="7FB0E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</w:t>
      </w:r>
      <w:r>
        <w:rPr>
          <w:rFonts w:ascii="仿宋_GB2312" w:hAnsi="仿宋_GB2312" w:eastAsia="仿宋_GB2312" w:cs="仿宋_GB2312"/>
          <w:sz w:val="32"/>
          <w:szCs w:val="32"/>
        </w:rPr>
        <w:t>在质量“三包”期内设备出现的质量问题</w:t>
      </w:r>
      <w:r>
        <w:rPr>
          <w:rFonts w:hint="eastAsia" w:ascii="仿宋_GB2312" w:hAnsi="仿宋_GB2312" w:eastAsia="仿宋_GB2312" w:cs="仿宋_GB2312"/>
          <w:sz w:val="32"/>
          <w:szCs w:val="32"/>
        </w:rPr>
        <w:t>由</w:t>
      </w:r>
      <w:r>
        <w:rPr>
          <w:rFonts w:ascii="仿宋_GB2312" w:hAnsi="仿宋_GB2312" w:eastAsia="仿宋_GB2312" w:cs="仿宋_GB2312"/>
          <w:sz w:val="32"/>
          <w:szCs w:val="32"/>
        </w:rPr>
        <w:t>乙方负责</w:t>
      </w:r>
      <w:r>
        <w:rPr>
          <w:rFonts w:hint="eastAsia" w:ascii="仿宋_GB2312" w:hAnsi="仿宋_GB2312" w:eastAsia="仿宋_GB2312" w:cs="仿宋_GB2312"/>
          <w:sz w:val="32"/>
          <w:szCs w:val="32"/>
        </w:rPr>
        <w:t>免费</w:t>
      </w:r>
      <w:r>
        <w:rPr>
          <w:rFonts w:ascii="仿宋_GB2312" w:hAnsi="仿宋_GB2312" w:eastAsia="仿宋_GB2312" w:cs="仿宋_GB2312"/>
          <w:sz w:val="32"/>
          <w:szCs w:val="32"/>
        </w:rPr>
        <w:t>维修。在“三包”期外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ascii="仿宋_GB2312" w:hAnsi="仿宋_GB2312" w:eastAsia="仿宋_GB2312" w:cs="仿宋_GB2312"/>
          <w:sz w:val="32"/>
          <w:szCs w:val="32"/>
        </w:rPr>
        <w:t>乙方</w:t>
      </w:r>
      <w:r>
        <w:rPr>
          <w:rFonts w:hint="eastAsia" w:ascii="仿宋_GB2312" w:hAnsi="仿宋_GB2312" w:eastAsia="仿宋_GB2312" w:cs="仿宋_GB2312"/>
          <w:sz w:val="32"/>
          <w:szCs w:val="32"/>
        </w:rPr>
        <w:t>应无条件</w:t>
      </w:r>
      <w:r>
        <w:rPr>
          <w:rFonts w:ascii="仿宋_GB2312" w:hAnsi="仿宋_GB2312" w:eastAsia="仿宋_GB2312" w:cs="仿宋_GB2312"/>
          <w:sz w:val="32"/>
          <w:szCs w:val="32"/>
        </w:rPr>
        <w:t>提供终身有偿服务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519C6B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甲方职责</w:t>
      </w:r>
    </w:p>
    <w:p w14:paraId="13879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</w:t>
      </w:r>
      <w:r>
        <w:rPr>
          <w:rFonts w:ascii="仿宋_GB2312" w:hAnsi="仿宋_GB2312" w:eastAsia="仿宋_GB2312" w:cs="仿宋_GB2312"/>
          <w:sz w:val="32"/>
          <w:szCs w:val="32"/>
        </w:rPr>
        <w:t>乙方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指导</w:t>
      </w:r>
      <w:r>
        <w:rPr>
          <w:rFonts w:ascii="仿宋_GB2312" w:hAnsi="仿宋_GB2312" w:eastAsia="仿宋_GB2312" w:cs="仿宋_GB2312"/>
          <w:sz w:val="32"/>
          <w:szCs w:val="32"/>
        </w:rPr>
        <w:t>安装调试人员到达</w:t>
      </w:r>
      <w:r>
        <w:rPr>
          <w:rFonts w:hint="eastAsia" w:ascii="仿宋_GB2312" w:hAnsi="仿宋_GB2312" w:eastAsia="仿宋_GB2312" w:cs="仿宋_GB2312"/>
          <w:sz w:val="32"/>
          <w:szCs w:val="32"/>
        </w:rPr>
        <w:t>甲方</w:t>
      </w:r>
      <w:r>
        <w:rPr>
          <w:rFonts w:ascii="仿宋_GB2312" w:hAnsi="仿宋_GB2312" w:eastAsia="仿宋_GB2312" w:cs="仿宋_GB2312"/>
          <w:sz w:val="32"/>
          <w:szCs w:val="32"/>
        </w:rPr>
        <w:t>现场后,甲方应予以积极配合,以保证设备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指导</w:t>
      </w:r>
      <w:r>
        <w:rPr>
          <w:rFonts w:ascii="仿宋_GB2312" w:hAnsi="仿宋_GB2312" w:eastAsia="仿宋_GB2312" w:cs="仿宋_GB2312"/>
          <w:sz w:val="32"/>
          <w:szCs w:val="32"/>
        </w:rPr>
        <w:t>安装、调试能够顺利完成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26D19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</w:t>
      </w:r>
      <w:r>
        <w:rPr>
          <w:rFonts w:ascii="仿宋_GB2312" w:hAnsi="仿宋_GB2312" w:eastAsia="仿宋_GB2312" w:cs="仿宋_GB2312"/>
          <w:sz w:val="32"/>
          <w:szCs w:val="32"/>
        </w:rPr>
        <w:t>本协议一式陆份,甲方持伍份,乙方持壹份;作为合同的附件,与合同具有同等法律效力,双方签字生效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721D599">
      <w:pPr>
        <w:spacing w:line="360" w:lineRule="auto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九、其他</w:t>
      </w:r>
    </w:p>
    <w:p w14:paraId="522000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28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3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本规格书一式三份，甲方执二份，乙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方执一份。</w:t>
      </w:r>
    </w:p>
    <w:p w14:paraId="75E4A5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16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本规格书自双方签字之日起生效，协议事项全部完成之日后失效。</w:t>
      </w:r>
    </w:p>
    <w:p w14:paraId="4EFD9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2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5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pacing w:val="-2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其他未尽事宜，甲乙双方协商解决。</w:t>
      </w:r>
    </w:p>
    <w:p w14:paraId="53B41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04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9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pacing w:val="-9"/>
          <w:sz w:val="32"/>
          <w:szCs w:val="32"/>
        </w:rPr>
        <w:t>本规格书内容经由甲乙双方于</w:t>
      </w:r>
      <w:r>
        <w:rPr>
          <w:rFonts w:hint="eastAsia" w:ascii="仿宋" w:hAnsi="仿宋" w:eastAsia="仿宋" w:cs="仿宋"/>
          <w:spacing w:val="-9"/>
          <w:sz w:val="32"/>
          <w:szCs w:val="32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-9"/>
          <w:sz w:val="32"/>
          <w:szCs w:val="32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pacing w:val="-9"/>
          <w:sz w:val="32"/>
          <w:szCs w:val="32"/>
        </w:rPr>
        <w:t>年</w:t>
      </w:r>
      <w:r>
        <w:rPr>
          <w:rFonts w:hint="eastAsia" w:ascii="仿宋" w:hAnsi="仿宋" w:eastAsia="仿宋" w:cs="仿宋"/>
          <w:spacing w:val="37"/>
          <w:sz w:val="32"/>
          <w:szCs w:val="32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37"/>
          <w:sz w:val="32"/>
          <w:szCs w:val="32"/>
          <w:u w:val="single" w:color="auto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49"/>
          <w:sz w:val="32"/>
          <w:szCs w:val="32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-9"/>
          <w:sz w:val="32"/>
          <w:szCs w:val="32"/>
        </w:rPr>
        <w:t>月</w:t>
      </w:r>
      <w:r>
        <w:rPr>
          <w:rFonts w:hint="eastAsia" w:ascii="仿宋" w:hAnsi="仿宋" w:eastAsia="仿宋" w:cs="仿宋"/>
          <w:spacing w:val="31"/>
          <w:sz w:val="32"/>
          <w:szCs w:val="32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31"/>
          <w:sz w:val="32"/>
          <w:szCs w:val="32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-9"/>
          <w:sz w:val="32"/>
          <w:szCs w:val="32"/>
        </w:rPr>
        <w:t>日</w:t>
      </w:r>
      <w:r>
        <w:rPr>
          <w:rFonts w:hint="eastAsia" w:ascii="仿宋" w:hAnsi="仿宋" w:eastAsia="仿宋" w:cs="仿宋"/>
          <w:spacing w:val="38"/>
          <w:sz w:val="32"/>
          <w:szCs w:val="32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9"/>
          <w:sz w:val="32"/>
          <w:szCs w:val="32"/>
        </w:rPr>
        <w:t>时至</w:t>
      </w:r>
      <w:r>
        <w:rPr>
          <w:rFonts w:hint="eastAsia" w:ascii="仿宋" w:hAnsi="仿宋" w:eastAsia="仿宋" w:cs="仿宋"/>
          <w:spacing w:val="-9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-9"/>
          <w:sz w:val="32"/>
          <w:szCs w:val="32"/>
        </w:rPr>
        <w:t>时通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过</w:t>
      </w:r>
      <w:r>
        <w:rPr>
          <w:rFonts w:hint="eastAsia" w:ascii="仿宋" w:hAnsi="仿宋" w:eastAsia="仿宋" w:cs="仿宋"/>
          <w:spacing w:val="26"/>
          <w:sz w:val="32"/>
          <w:szCs w:val="32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26"/>
          <w:sz w:val="32"/>
          <w:szCs w:val="32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方式商定。</w:t>
      </w:r>
    </w:p>
    <w:p w14:paraId="218999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08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8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pacing w:val="4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8"/>
          <w:sz w:val="32"/>
          <w:szCs w:val="32"/>
        </w:rPr>
        <w:t>甲乙双方应当就签订本规格书的相关事宜保密，不得将签订主体、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时间、内容等信息透露给其他第三人。</w:t>
      </w:r>
    </w:p>
    <w:p w14:paraId="5E548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2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5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若</w:t>
      </w:r>
      <w:r>
        <w:rPr>
          <w:rFonts w:hint="eastAsia" w:ascii="仿宋" w:hAnsi="仿宋" w:eastAsia="仿宋" w:cs="仿宋"/>
          <w:spacing w:val="-5"/>
          <w:sz w:val="32"/>
          <w:szCs w:val="32"/>
          <w:u w:val="single" w:color="auto"/>
          <w:lang w:val="en-US" w:eastAsia="zh-CN"/>
        </w:rPr>
        <w:t>乙方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不中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标，本技术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规格书自动失效，双方互不承担任何责任。</w:t>
      </w:r>
    </w:p>
    <w:p w14:paraId="2D4CDC71">
      <w:pPr>
        <w:pStyle w:val="7"/>
        <w:rPr>
          <w:rFonts w:hint="default"/>
          <w:lang w:val="en-US" w:eastAsia="zh-CN"/>
        </w:rPr>
      </w:pPr>
    </w:p>
    <w:p w14:paraId="296D8AB1">
      <w:pPr>
        <w:spacing w:line="360" w:lineRule="auto"/>
        <w:jc w:val="left"/>
        <w:rPr>
          <w:rFonts w:ascii="仿宋_GB2312" w:hAnsi="仿宋_GB2312" w:eastAsia="仿宋_GB2312" w:cs="仿宋_GB2312"/>
          <w:sz w:val="32"/>
          <w:szCs w:val="32"/>
        </w:rPr>
      </w:pPr>
    </w:p>
    <w:p w14:paraId="3E346957">
      <w:pPr>
        <w:spacing w:line="360" w:lineRule="auto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甲方 ：（盖章）           乙方：（盖章）</w:t>
      </w:r>
    </w:p>
    <w:p w14:paraId="1D8699EF">
      <w:pPr>
        <w:spacing w:line="360" w:lineRule="auto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                      </w:t>
      </w:r>
    </w:p>
    <w:p w14:paraId="360C7CA5">
      <w:pPr>
        <w:spacing w:line="360" w:lineRule="auto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代表人：                 代表人：</w:t>
      </w:r>
    </w:p>
    <w:p w14:paraId="260A0F0D">
      <w:pPr>
        <w:spacing w:line="360" w:lineRule="auto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签订日期 ：              签订日期：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</w:t>
      </w:r>
      <w:r>
        <w:rPr>
          <w:rFonts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ascii="仿宋_GB2312" w:hAnsi="仿宋_GB2312" w:eastAsia="仿宋_GB2312" w:cs="仿宋_GB2312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ascii="仿宋_GB2312" w:hAnsi="仿宋_GB2312" w:eastAsia="仿宋_GB2312" w:cs="仿宋_GB2312"/>
          <w:bCs/>
          <w:sz w:val="32"/>
          <w:szCs w:val="32"/>
        </w:rPr>
        <w:t>日</w:t>
      </w:r>
    </w:p>
    <w:p w14:paraId="748B1194">
      <w:pPr>
        <w:spacing w:line="360" w:lineRule="auto"/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69325728">
      <w:pPr>
        <w:spacing w:line="360" w:lineRule="auto"/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p w14:paraId="62C30C0F"/>
    <w:sectPr>
      <w:footerReference r:id="rId3" w:type="default"/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8D9B463-DF7D-4855-A470-85BF9C3EE88D}"/>
  </w:font>
  <w:font w:name="仿宋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  <w:embedRegular r:id="rId2" w:fontKey="{7B5EE7FF-D4B0-4FCB-991C-F891BF7B5B2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3721290-D2E4-4D99-A382-B6AD3C6DCCD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9C645859-C820-4B5C-8926-F5E708FA1528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BCE78">
    <w:pPr>
      <w:pStyle w:val="3"/>
    </w:pPr>
  </w:p>
  <w:p w14:paraId="2DE15775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221341"/>
    <w:multiLevelType w:val="singleLevel"/>
    <w:tmpl w:val="1A22134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D200A1C"/>
    <w:multiLevelType w:val="singleLevel"/>
    <w:tmpl w:val="3D200A1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5B611F1"/>
    <w:multiLevelType w:val="singleLevel"/>
    <w:tmpl w:val="45B611F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4AA49173"/>
    <w:multiLevelType w:val="singleLevel"/>
    <w:tmpl w:val="4AA4917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552"/>
    <w:rsid w:val="0005505C"/>
    <w:rsid w:val="00093FE7"/>
    <w:rsid w:val="001546CD"/>
    <w:rsid w:val="004D2941"/>
    <w:rsid w:val="004F4554"/>
    <w:rsid w:val="0059779B"/>
    <w:rsid w:val="005F006A"/>
    <w:rsid w:val="00673B41"/>
    <w:rsid w:val="00713C64"/>
    <w:rsid w:val="00917552"/>
    <w:rsid w:val="009377D7"/>
    <w:rsid w:val="00A51258"/>
    <w:rsid w:val="00B45479"/>
    <w:rsid w:val="00D8590E"/>
    <w:rsid w:val="00F15F47"/>
    <w:rsid w:val="00F53B33"/>
    <w:rsid w:val="011A6DEB"/>
    <w:rsid w:val="04076096"/>
    <w:rsid w:val="0427656F"/>
    <w:rsid w:val="049C5E81"/>
    <w:rsid w:val="04DB5569"/>
    <w:rsid w:val="0CA02985"/>
    <w:rsid w:val="0D7E62FF"/>
    <w:rsid w:val="0ED832AB"/>
    <w:rsid w:val="13DE3478"/>
    <w:rsid w:val="13F51890"/>
    <w:rsid w:val="18C31112"/>
    <w:rsid w:val="1A0F5F66"/>
    <w:rsid w:val="1CAB2725"/>
    <w:rsid w:val="215D76CB"/>
    <w:rsid w:val="23845997"/>
    <w:rsid w:val="24823AE6"/>
    <w:rsid w:val="26122DE8"/>
    <w:rsid w:val="266E3B9C"/>
    <w:rsid w:val="277175D2"/>
    <w:rsid w:val="27AB61A9"/>
    <w:rsid w:val="29093F45"/>
    <w:rsid w:val="2C09261C"/>
    <w:rsid w:val="2E4331DA"/>
    <w:rsid w:val="32192B08"/>
    <w:rsid w:val="32801602"/>
    <w:rsid w:val="34A353EF"/>
    <w:rsid w:val="38C637C1"/>
    <w:rsid w:val="3B8A3AE4"/>
    <w:rsid w:val="3E1B5EB3"/>
    <w:rsid w:val="3EEE3927"/>
    <w:rsid w:val="404E5A22"/>
    <w:rsid w:val="40612840"/>
    <w:rsid w:val="442A3BDA"/>
    <w:rsid w:val="44D7543A"/>
    <w:rsid w:val="46337E6B"/>
    <w:rsid w:val="469077FC"/>
    <w:rsid w:val="53A608C0"/>
    <w:rsid w:val="54522695"/>
    <w:rsid w:val="550C7B34"/>
    <w:rsid w:val="552D26E9"/>
    <w:rsid w:val="56D02056"/>
    <w:rsid w:val="5708396D"/>
    <w:rsid w:val="57B03C49"/>
    <w:rsid w:val="608344A7"/>
    <w:rsid w:val="60EC460D"/>
    <w:rsid w:val="615F13B0"/>
    <w:rsid w:val="650A2953"/>
    <w:rsid w:val="66B87464"/>
    <w:rsid w:val="67CD45CA"/>
    <w:rsid w:val="6826476D"/>
    <w:rsid w:val="683F5D6A"/>
    <w:rsid w:val="6B867AD4"/>
    <w:rsid w:val="6FD1628E"/>
    <w:rsid w:val="70F573FE"/>
    <w:rsid w:val="71F80E40"/>
    <w:rsid w:val="72A57D81"/>
    <w:rsid w:val="7547414D"/>
    <w:rsid w:val="77B1599F"/>
    <w:rsid w:val="77E034E2"/>
    <w:rsid w:val="78731B2C"/>
    <w:rsid w:val="7883046C"/>
    <w:rsid w:val="799565A6"/>
    <w:rsid w:val="79AE6D75"/>
    <w:rsid w:val="7E3303F6"/>
    <w:rsid w:val="7F7B67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8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0">
    <w:name w:val="批注框文本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1956</Words>
  <Characters>2098</Characters>
  <Lines>18</Lines>
  <Paragraphs>5</Paragraphs>
  <TotalTime>0</TotalTime>
  <ScaleCrop>false</ScaleCrop>
  <LinksUpToDate>false</LinksUpToDate>
  <CharactersWithSpaces>2243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张文明</cp:lastModifiedBy>
  <cp:lastPrinted>2020-01-15T03:53:00Z</cp:lastPrinted>
  <dcterms:modified xsi:type="dcterms:W3CDTF">2026-02-23T10:03:04Z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eyJoZGlkIjoiZGJlOWQ3OWM5NGRlOWZjYzYzZDRkNjI3ZDBjYjc1YmUiLCJ1c2VySWQiOiIxNjUwMjA0MzI4In0=</vt:lpwstr>
  </property>
  <property fmtid="{D5CDD505-2E9C-101B-9397-08002B2CF9AE}" pid="4" name="ICV">
    <vt:lpwstr>B0A1F48BAC7849C9A00369FADD37086D_13</vt:lpwstr>
  </property>
</Properties>
</file>