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ind w:right="2" w:rightChars="1"/>
        <w:jc w:val="center"/>
        <w:rPr>
          <w:rFonts w:hint="eastAsia" w:ascii="华文中宋" w:hAnsi="华文中宋" w:eastAsia="华文中宋" w:cs="华文中宋"/>
          <w:b w:val="0"/>
          <w:bCs/>
          <w:sz w:val="44"/>
          <w:szCs w:val="44"/>
          <w:lang w:eastAsia="zh-CN"/>
        </w:rPr>
      </w:pPr>
      <w:r>
        <w:rPr>
          <w:rFonts w:hint="eastAsia" w:ascii="华文中宋" w:hAnsi="华文中宋" w:eastAsia="华文中宋" w:cs="华文中宋"/>
          <w:b w:val="0"/>
          <w:bCs/>
          <w:sz w:val="44"/>
          <w:szCs w:val="44"/>
        </w:rPr>
        <w:t>甘肃</w:t>
      </w:r>
      <w:r>
        <w:rPr>
          <w:rFonts w:hint="eastAsia" w:ascii="华文中宋" w:hAnsi="华文中宋" w:eastAsia="华文中宋" w:cs="华文中宋"/>
          <w:b w:val="0"/>
          <w:bCs/>
          <w:sz w:val="44"/>
          <w:szCs w:val="44"/>
          <w:lang w:val="en-US" w:eastAsia="zh-CN"/>
        </w:rPr>
        <w:t>东兴嘉信新材料有限</w:t>
      </w:r>
      <w:r>
        <w:rPr>
          <w:rFonts w:hint="eastAsia" w:ascii="华文中宋" w:hAnsi="华文中宋" w:eastAsia="华文中宋" w:cs="华文中宋"/>
          <w:b w:val="0"/>
          <w:bCs/>
          <w:sz w:val="44"/>
          <w:szCs w:val="44"/>
        </w:rPr>
        <w:t>公司</w:t>
      </w:r>
    </w:p>
    <w:p>
      <w:pPr>
        <w:snapToGrid w:val="0"/>
        <w:spacing w:line="360" w:lineRule="auto"/>
        <w:ind w:right="2" w:rightChars="1"/>
        <w:jc w:val="center"/>
        <w:rPr>
          <w:rFonts w:hint="eastAsia" w:ascii="华文中宋" w:hAnsi="华文中宋" w:eastAsia="华文中宋" w:cs="华文中宋"/>
          <w:b w:val="0"/>
          <w:bCs/>
          <w:sz w:val="44"/>
          <w:szCs w:val="44"/>
          <w:lang w:eastAsia="zh-CN"/>
        </w:rPr>
      </w:pPr>
      <w:r>
        <w:rPr>
          <w:rFonts w:hint="eastAsia" w:ascii="华文中宋" w:hAnsi="华文中宋" w:eastAsia="华文中宋" w:cs="华文中宋"/>
          <w:b w:val="0"/>
          <w:bCs/>
          <w:sz w:val="44"/>
          <w:szCs w:val="44"/>
          <w:lang w:val="en-US" w:eastAsia="zh-CN"/>
        </w:rPr>
        <w:t>结晶器总成</w:t>
      </w:r>
      <w:r>
        <w:rPr>
          <w:rFonts w:hint="eastAsia" w:ascii="华文中宋" w:hAnsi="华文中宋" w:eastAsia="华文中宋" w:cs="华文中宋"/>
          <w:b w:val="0"/>
          <w:bCs/>
          <w:sz w:val="44"/>
          <w:szCs w:val="44"/>
          <w:lang w:eastAsia="zh-CN"/>
        </w:rPr>
        <w:t>采购</w:t>
      </w:r>
    </w:p>
    <w:p>
      <w:pPr>
        <w:snapToGrid w:val="0"/>
        <w:spacing w:line="360" w:lineRule="auto"/>
        <w:ind w:right="2" w:rightChars="1"/>
        <w:jc w:val="center"/>
        <w:rPr>
          <w:rFonts w:hint="eastAsia" w:ascii="华文中宋" w:hAnsi="华文中宋" w:eastAsia="华文中宋" w:cs="华文中宋"/>
          <w:b w:val="0"/>
          <w:bCs/>
          <w:sz w:val="44"/>
          <w:szCs w:val="44"/>
          <w:lang w:eastAsia="zh-CN"/>
        </w:rPr>
      </w:pPr>
    </w:p>
    <w:p>
      <w:pPr>
        <w:snapToGrid w:val="0"/>
        <w:spacing w:line="360" w:lineRule="auto"/>
        <w:ind w:right="2" w:rightChars="1"/>
        <w:jc w:val="center"/>
        <w:rPr>
          <w:rFonts w:hint="eastAsia" w:ascii="华文中宋" w:hAnsi="华文中宋" w:eastAsia="华文中宋" w:cs="华文中宋"/>
          <w:b w:val="0"/>
          <w:bCs/>
          <w:sz w:val="44"/>
          <w:szCs w:val="44"/>
          <w:lang w:eastAsia="zh-CN"/>
        </w:rPr>
      </w:pPr>
      <w:r>
        <w:rPr>
          <w:rFonts w:hint="eastAsia" w:ascii="华文中宋" w:hAnsi="华文中宋" w:eastAsia="华文中宋" w:cs="华文中宋"/>
          <w:b w:val="0"/>
          <w:bCs/>
          <w:sz w:val="44"/>
          <w:szCs w:val="44"/>
          <w:lang w:eastAsia="zh-CN"/>
        </w:rPr>
        <w:t>技</w:t>
      </w:r>
    </w:p>
    <w:p>
      <w:pPr>
        <w:snapToGrid w:val="0"/>
        <w:spacing w:line="360" w:lineRule="auto"/>
        <w:ind w:right="2" w:rightChars="1"/>
        <w:jc w:val="center"/>
        <w:rPr>
          <w:rFonts w:hint="eastAsia" w:ascii="华文中宋" w:hAnsi="华文中宋" w:eastAsia="华文中宋" w:cs="华文中宋"/>
          <w:b w:val="0"/>
          <w:bCs/>
          <w:sz w:val="44"/>
          <w:szCs w:val="44"/>
          <w:lang w:eastAsia="zh-CN"/>
        </w:rPr>
      </w:pPr>
      <w:r>
        <w:rPr>
          <w:rFonts w:hint="eastAsia" w:ascii="华文中宋" w:hAnsi="华文中宋" w:eastAsia="华文中宋" w:cs="华文中宋"/>
          <w:b w:val="0"/>
          <w:bCs/>
          <w:sz w:val="44"/>
          <w:szCs w:val="44"/>
          <w:lang w:eastAsia="zh-CN"/>
        </w:rPr>
        <w:t>术</w:t>
      </w:r>
    </w:p>
    <w:p>
      <w:pPr>
        <w:snapToGrid w:val="0"/>
        <w:spacing w:line="360" w:lineRule="auto"/>
        <w:ind w:right="2" w:rightChars="1"/>
        <w:jc w:val="center"/>
        <w:rPr>
          <w:rFonts w:hint="eastAsia" w:ascii="华文中宋" w:hAnsi="华文中宋" w:eastAsia="华文中宋" w:cs="华文中宋"/>
          <w:b w:val="0"/>
          <w:bCs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/>
          <w:sz w:val="44"/>
          <w:szCs w:val="44"/>
          <w:lang w:val="en-US" w:eastAsia="zh-CN"/>
        </w:rPr>
        <w:t>规</w:t>
      </w:r>
    </w:p>
    <w:p>
      <w:pPr>
        <w:snapToGrid w:val="0"/>
        <w:spacing w:line="360" w:lineRule="auto"/>
        <w:ind w:right="2" w:rightChars="1"/>
        <w:jc w:val="center"/>
        <w:rPr>
          <w:rFonts w:hint="eastAsia" w:ascii="华文中宋" w:hAnsi="华文中宋" w:eastAsia="华文中宋" w:cs="华文中宋"/>
          <w:b w:val="0"/>
          <w:bCs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/>
          <w:sz w:val="44"/>
          <w:szCs w:val="44"/>
          <w:lang w:val="en-US" w:eastAsia="zh-CN"/>
        </w:rPr>
        <w:t>格</w:t>
      </w:r>
    </w:p>
    <w:p>
      <w:pPr>
        <w:snapToGrid w:val="0"/>
        <w:spacing w:line="360" w:lineRule="auto"/>
        <w:ind w:right="2" w:rightChars="1"/>
        <w:jc w:val="center"/>
        <w:rPr>
          <w:rFonts w:hint="eastAsia" w:ascii="华文中宋" w:hAnsi="华文中宋" w:eastAsia="华文中宋" w:cs="华文中宋"/>
          <w:b w:val="0"/>
          <w:bCs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/>
          <w:sz w:val="44"/>
          <w:szCs w:val="44"/>
          <w:lang w:val="en-US" w:eastAsia="zh-CN"/>
        </w:rPr>
        <w:t>书</w:t>
      </w:r>
    </w:p>
    <w:p>
      <w:pPr>
        <w:snapToGrid w:val="0"/>
        <w:spacing w:line="360" w:lineRule="auto"/>
        <w:ind w:right="2" w:rightChars="1"/>
        <w:jc w:val="center"/>
        <w:rPr>
          <w:rFonts w:hint="eastAsia" w:ascii="华文中宋" w:hAnsi="华文中宋" w:eastAsia="华文中宋" w:cs="华文中宋"/>
          <w:b w:val="0"/>
          <w:bCs/>
          <w:sz w:val="44"/>
          <w:szCs w:val="44"/>
          <w:lang w:val="en-US" w:eastAsia="zh-CN"/>
        </w:rPr>
      </w:pPr>
    </w:p>
    <w:p>
      <w:pPr>
        <w:snapToGrid w:val="0"/>
        <w:spacing w:line="360" w:lineRule="auto"/>
        <w:ind w:right="2" w:rightChars="1"/>
        <w:jc w:val="center"/>
        <w:rPr>
          <w:rFonts w:hint="eastAsia" w:ascii="华文中宋" w:hAnsi="华文中宋" w:eastAsia="华文中宋" w:cs="华文中宋"/>
          <w:b w:val="0"/>
          <w:bCs/>
          <w:sz w:val="32"/>
          <w:szCs w:val="32"/>
          <w:lang w:val="en-US" w:eastAsia="zh-CN"/>
        </w:rPr>
      </w:pPr>
    </w:p>
    <w:p>
      <w:pPr>
        <w:snapToGrid w:val="0"/>
        <w:spacing w:line="360" w:lineRule="auto"/>
        <w:ind w:right="2" w:rightChars="1"/>
        <w:jc w:val="center"/>
        <w:rPr>
          <w:rFonts w:hint="eastAsia" w:ascii="华文中宋" w:hAnsi="华文中宋" w:eastAsia="华文中宋" w:cs="华文中宋"/>
          <w:b w:val="0"/>
          <w:bCs/>
          <w:sz w:val="32"/>
          <w:szCs w:val="32"/>
          <w:lang w:val="en-US" w:eastAsia="zh-CN"/>
        </w:rPr>
      </w:pPr>
    </w:p>
    <w:p>
      <w:pPr>
        <w:snapToGrid w:val="0"/>
        <w:spacing w:line="360" w:lineRule="auto"/>
        <w:ind w:right="2" w:rightChars="1"/>
        <w:jc w:val="center"/>
        <w:rPr>
          <w:rFonts w:hint="eastAsia" w:ascii="华文仿宋" w:hAnsi="华文仿宋" w:eastAsia="华文仿宋" w:cs="华文仿宋"/>
          <w:b w:val="0"/>
          <w:bCs/>
          <w:sz w:val="32"/>
          <w:szCs w:val="32"/>
          <w:lang w:eastAsia="zh-CN"/>
        </w:rPr>
      </w:pPr>
      <w:r>
        <w:rPr>
          <w:rFonts w:hint="eastAsia" w:ascii="华文仿宋" w:hAnsi="华文仿宋" w:eastAsia="华文仿宋" w:cs="华文仿宋"/>
          <w:b w:val="0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/>
          <w:sz w:val="32"/>
          <w:szCs w:val="32"/>
          <w:lang w:eastAsia="zh-CN"/>
        </w:rPr>
        <w:t>甲方：甘肃</w:t>
      </w:r>
      <w:r>
        <w:rPr>
          <w:rFonts w:hint="eastAsia" w:ascii="华文仿宋" w:hAnsi="华文仿宋" w:eastAsia="华文仿宋" w:cs="华文仿宋"/>
          <w:b w:val="0"/>
          <w:bCs/>
          <w:sz w:val="32"/>
          <w:szCs w:val="32"/>
          <w:lang w:val="en-US" w:eastAsia="zh-CN"/>
        </w:rPr>
        <w:t>东兴嘉信新材料有限</w:t>
      </w:r>
      <w:r>
        <w:rPr>
          <w:rFonts w:hint="eastAsia" w:ascii="华文仿宋" w:hAnsi="华文仿宋" w:eastAsia="华文仿宋" w:cs="华文仿宋"/>
          <w:b w:val="0"/>
          <w:bCs/>
          <w:sz w:val="32"/>
          <w:szCs w:val="32"/>
          <w:lang w:eastAsia="zh-CN"/>
        </w:rPr>
        <w:t>公司</w:t>
      </w:r>
    </w:p>
    <w:p>
      <w:pPr>
        <w:snapToGrid w:val="0"/>
        <w:spacing w:line="360" w:lineRule="auto"/>
        <w:ind w:right="2" w:rightChars="1" w:firstLine="1600" w:firstLineChars="500"/>
        <w:jc w:val="both"/>
        <w:rPr>
          <w:rFonts w:hint="eastAsia" w:ascii="华文仿宋" w:hAnsi="华文仿宋" w:eastAsia="华文仿宋" w:cs="华文仿宋"/>
          <w:b w:val="0"/>
          <w:bCs/>
          <w:sz w:val="32"/>
          <w:szCs w:val="32"/>
          <w:lang w:eastAsia="zh-CN"/>
        </w:rPr>
      </w:pPr>
      <w:r>
        <w:rPr>
          <w:rFonts w:hint="eastAsia" w:ascii="华文仿宋" w:hAnsi="华文仿宋" w:eastAsia="华文仿宋" w:cs="华文仿宋"/>
          <w:b w:val="0"/>
          <w:bCs/>
          <w:sz w:val="32"/>
          <w:szCs w:val="32"/>
          <w:lang w:eastAsia="zh-CN"/>
        </w:rPr>
        <w:t>乙方：</w:t>
      </w:r>
    </w:p>
    <w:p>
      <w:pPr>
        <w:rPr>
          <w:rFonts w:hint="eastAsia" w:ascii="华文仿宋" w:hAnsi="华文仿宋" w:eastAsia="华文仿宋" w:cs="华文仿宋"/>
          <w:b w:val="0"/>
          <w:bCs/>
          <w:sz w:val="32"/>
          <w:szCs w:val="32"/>
          <w:lang w:eastAsia="zh-CN"/>
        </w:rPr>
      </w:pPr>
      <w:r>
        <w:rPr>
          <w:rFonts w:hint="eastAsia" w:ascii="华文仿宋" w:hAnsi="华文仿宋" w:eastAsia="华文仿宋" w:cs="华文仿宋"/>
          <w:b w:val="0"/>
          <w:bCs/>
          <w:sz w:val="32"/>
          <w:szCs w:val="32"/>
          <w:lang w:eastAsia="zh-CN"/>
        </w:rPr>
        <w:br w:type="page"/>
      </w:r>
    </w:p>
    <w:p>
      <w:pPr>
        <w:spacing w:line="360" w:lineRule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一、技术依据及说明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以甲方提供的订货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计划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及有关</w:t>
      </w:r>
      <w:r>
        <w:rPr>
          <w:rFonts w:hint="eastAsia" w:ascii="仿宋" w:hAnsi="仿宋" w:eastAsia="仿宋" w:cs="仿宋"/>
          <w:color w:val="000000"/>
          <w:sz w:val="28"/>
          <w:szCs w:val="28"/>
          <w:u w:val="none"/>
        </w:rPr>
        <w:t>确认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图为设计与检验依据。技术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规格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书确定了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各规格型号结晶器总成</w:t>
      </w:r>
      <w:r>
        <w:rPr>
          <w:rFonts w:hint="eastAsia" w:ascii="仿宋" w:hAnsi="仿宋" w:eastAsia="仿宋" w:cs="仿宋"/>
          <w:sz w:val="28"/>
          <w:szCs w:val="28"/>
        </w:rPr>
        <w:t>主要技术参数、甲方检验内容、乙方须提交质量资料及包装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本技术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规格</w:t>
      </w:r>
      <w:r>
        <w:rPr>
          <w:rFonts w:hint="eastAsia" w:ascii="仿宋" w:hAnsi="仿宋" w:eastAsia="仿宋" w:cs="仿宋"/>
          <w:sz w:val="28"/>
          <w:szCs w:val="28"/>
        </w:rPr>
        <w:t>作为主合同的技术定义部分，与主合同具有同样的法律效力，随主合同的生效一同生效。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技术参数指标</w:t>
      </w:r>
    </w:p>
    <w:p>
      <w:pPr>
        <w:spacing w:before="156" w:beforeLines="50" w:after="156" w:afterLines="50" w:line="300" w:lineRule="auto"/>
        <w:ind w:firstLine="241" w:firstLineChars="100"/>
        <w:jc w:val="left"/>
        <w:rPr>
          <w:rFonts w:ascii="黑体" w:hAnsi="黑体" w:eastAsia="黑体" w:cs="黑体"/>
          <w:b/>
          <w:bCs/>
          <w:color w:val="000000"/>
          <w:sz w:val="24"/>
        </w:rPr>
      </w:pPr>
      <w:r>
        <w:rPr>
          <w:rFonts w:hint="eastAsia" w:ascii="黑体" w:hAnsi="黑体" w:eastAsia="黑体" w:cs="黑体"/>
          <w:b/>
          <w:bCs/>
          <w:color w:val="000000"/>
          <w:sz w:val="24"/>
          <w:lang w:val="en-US" w:eastAsia="zh-CN"/>
        </w:rPr>
        <w:t>1</w:t>
      </w:r>
      <w:r>
        <w:rPr>
          <w:rFonts w:hint="eastAsia" w:ascii="黑体" w:hAnsi="黑体" w:eastAsia="黑体" w:cs="黑体"/>
          <w:b/>
          <w:bCs/>
          <w:color w:val="000000"/>
          <w:sz w:val="24"/>
        </w:rPr>
        <w:t>主要设备组成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1.1</w:t>
      </w:r>
      <w:r>
        <w:rPr>
          <w:rFonts w:hint="eastAsia" w:ascii="仿宋" w:hAnsi="仿宋" w:eastAsia="仿宋" w:cs="仿宋"/>
          <w:sz w:val="28"/>
          <w:szCs w:val="28"/>
        </w:rPr>
        <w:t>油气滑结晶器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总成</w:t>
      </w:r>
      <w:r>
        <w:rPr>
          <w:rFonts w:hint="eastAsia" w:ascii="仿宋" w:hAnsi="仿宋" w:eastAsia="仿宋" w:cs="仿宋"/>
          <w:sz w:val="28"/>
          <w:szCs w:val="28"/>
        </w:rPr>
        <w:t>装置（结晶器本体、石墨环、转接板、转接板压板、密封元件）等组成。</w:t>
      </w:r>
    </w:p>
    <w:p>
      <w:pPr>
        <w:spacing w:line="360" w:lineRule="auto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1.2普通热顶结晶器总成装置（结晶器本体、石墨环、压板、密封圈）等组成。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结晶器用途：用于铝合金棒的铸造。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图纸：以现场实测为准。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Merge w:val="restart"/>
          </w:tcPr>
          <w:p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spacing w:after="0" w:line="360" w:lineRule="auto"/>
              <w:jc w:val="both"/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spacing w:after="0" w:line="360" w:lineRule="auto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规格型号（包含油气滑）</w:t>
            </w:r>
          </w:p>
        </w:tc>
        <w:tc>
          <w:tcPr>
            <w:tcW w:w="4261" w:type="dxa"/>
          </w:tcPr>
          <w:p>
            <w:pPr>
              <w:spacing w:after="0" w:line="360" w:lineRule="auto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2"/>
                <w:szCs w:val="22"/>
                <w:vertAlign w:val="baseline"/>
                <w:lang w:val="en-US" w:eastAsia="zh-CN"/>
              </w:rPr>
              <w:t>结晶器总成\Φ178 6061锻造铝合金 30t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Merge w:val="continue"/>
          </w:tcPr>
          <w:p>
            <w:pPr>
              <w:spacing w:after="0" w:line="360" w:lineRule="auto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261" w:type="dxa"/>
            <w:vAlign w:val="center"/>
          </w:tcPr>
          <w:p>
            <w:pPr>
              <w:spacing w:after="0" w:line="360" w:lineRule="auto"/>
              <w:jc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  <w:lang w:val="en-US" w:eastAsia="zh-CN"/>
              </w:rPr>
              <w:t>结晶器总成\Φ127 6061锻造铝合金 30t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Merge w:val="continue"/>
          </w:tcPr>
          <w:p>
            <w:pPr>
              <w:spacing w:after="0" w:line="360" w:lineRule="auto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261" w:type="dxa"/>
            <w:vAlign w:val="center"/>
          </w:tcPr>
          <w:p>
            <w:pPr>
              <w:spacing w:after="0" w:line="360" w:lineRule="auto"/>
              <w:jc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  <w:lang w:val="en-US" w:eastAsia="zh-CN"/>
              </w:rPr>
              <w:t>结晶器总成\Φ120 6061锻造铝合金 30t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Merge w:val="continue"/>
          </w:tcPr>
          <w:p>
            <w:pPr>
              <w:spacing w:after="0" w:line="360" w:lineRule="auto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261" w:type="dxa"/>
            <w:vAlign w:val="center"/>
          </w:tcPr>
          <w:p>
            <w:pPr>
              <w:spacing w:after="0" w:line="360" w:lineRule="auto"/>
              <w:jc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  <w:lang w:val="en-US" w:eastAsia="zh-CN"/>
              </w:rPr>
              <w:t>结晶器总成\Φ152 6061锻造铝合金 30t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Merge w:val="continue"/>
          </w:tcPr>
          <w:p>
            <w:pPr>
              <w:spacing w:after="0" w:line="360" w:lineRule="auto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261" w:type="dxa"/>
            <w:vAlign w:val="center"/>
          </w:tcPr>
          <w:p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  <w:lang w:val="en-US" w:eastAsia="zh-CN"/>
              </w:rPr>
              <w:t>结晶器总成\Φ203 6061锻造铝合金 30t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Merge w:val="continue"/>
          </w:tcPr>
          <w:p>
            <w:pPr>
              <w:spacing w:after="0" w:line="360" w:lineRule="auto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261" w:type="dxa"/>
            <w:vAlign w:val="center"/>
          </w:tcPr>
          <w:p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  <w:lang w:val="en-US" w:eastAsia="zh-CN"/>
              </w:rPr>
              <w:t>结晶器总成\Φ228 6061锻造铝合金 30t</w:t>
            </w:r>
          </w:p>
        </w:tc>
      </w:tr>
    </w:tbl>
    <w:p>
      <w:pPr>
        <w:spacing w:before="156" w:beforeLines="50" w:line="300" w:lineRule="auto"/>
        <w:jc w:val="left"/>
        <w:rPr>
          <w:rFonts w:ascii="黑体" w:hAnsi="黑体" w:eastAsia="黑体" w:cs="黑体"/>
          <w:b/>
          <w:bCs/>
          <w:color w:val="000000"/>
          <w:sz w:val="24"/>
        </w:rPr>
      </w:pPr>
      <w:r>
        <w:rPr>
          <w:rFonts w:hint="eastAsia" w:ascii="黑体" w:hAnsi="黑体" w:eastAsia="黑体" w:cs="黑体"/>
          <w:color w:val="000000"/>
          <w:sz w:val="24"/>
        </w:rPr>
        <w:t xml:space="preserve"> </w:t>
      </w:r>
      <w:r>
        <w:rPr>
          <w:rFonts w:hint="eastAsia" w:ascii="黑体" w:hAnsi="黑体" w:eastAsia="黑体" w:cs="黑体"/>
          <w:color w:val="000000"/>
          <w:sz w:val="24"/>
          <w:lang w:val="en-US" w:eastAsia="zh-CN"/>
        </w:rPr>
        <w:t>2</w:t>
      </w:r>
      <w:r>
        <w:rPr>
          <w:rFonts w:hint="eastAsia" w:ascii="黑体" w:hAnsi="黑体" w:eastAsia="黑体" w:cs="黑体"/>
          <w:b/>
          <w:bCs/>
          <w:color w:val="000000"/>
          <w:sz w:val="24"/>
          <w:lang w:val="en-US" w:eastAsia="zh-CN"/>
        </w:rPr>
        <w:t>油气滑</w:t>
      </w:r>
      <w:r>
        <w:rPr>
          <w:rFonts w:hint="eastAsia" w:ascii="黑体" w:hAnsi="黑体" w:eastAsia="黑体" w:cs="黑体"/>
          <w:b/>
          <w:bCs/>
          <w:color w:val="000000"/>
          <w:sz w:val="24"/>
        </w:rPr>
        <w:t>结晶器</w:t>
      </w:r>
      <w:bookmarkStart w:id="0" w:name="_GoBack"/>
      <w:bookmarkEnd w:id="0"/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.1 由6061合金T651铝合金结晶器本体、石墨环、转接板、转接板压板、密封件组成，结晶器为整体水孔结构。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.2 采用实心的6061铝合金圆铸锭经锻造后，整体T651热处理，CNC加工成型，整体阳极氧化处理，氧化膜厚度为80-100um，硬度为HV450-500。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.3 双层水孔结构，出水角度一层22.5°，一层为45°结晶器安装转接板的丝孔全部加装丝套，结晶器要有拆卸的顶丝孔也要加装丝套。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.4 安装转接板压圈的丝孔全部加装丝套，防止滑丝，更换方便。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.5 结晶器使用寿命大于60个月或9000铸次，结晶器表面、内部不准出现腐蚀。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.6 结晶器冷却水流量均匀，角度一致，不得发生环状出水流量差异。</w:t>
      </w:r>
    </w:p>
    <w:p>
      <w:pPr>
        <w:spacing w:line="400" w:lineRule="exact"/>
        <w:rPr>
          <w:rFonts w:hint="eastAsia"/>
          <w:b/>
          <w:bCs w:val="0"/>
          <w:sz w:val="24"/>
          <w:szCs w:val="24"/>
          <w:lang w:val="en-US" w:eastAsia="zh-CN"/>
        </w:rPr>
      </w:pPr>
      <w:r>
        <w:rPr>
          <w:rFonts w:hint="eastAsia"/>
          <w:b/>
          <w:bCs w:val="0"/>
          <w:sz w:val="24"/>
          <w:szCs w:val="24"/>
          <w:lang w:val="en-US" w:eastAsia="zh-CN"/>
        </w:rPr>
        <w:t>3普通热顶结晶器</w:t>
      </w:r>
    </w:p>
    <w:p>
      <w:pPr>
        <w:spacing w:line="400" w:lineRule="exact"/>
        <w:ind w:firstLine="560" w:firstLineChars="200"/>
        <w:rPr>
          <w:rFonts w:hint="eastAsia"/>
          <w:b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由6061合金T651铝合金结晶器本体、石墨环、压板、密封件组成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该结构型腔模材质采用6061，所有结晶器都由数控加工中心精密机床加工，同种规格结晶器加工后误差±0.05mm，以确保结晶器尺寸一致，装配时可任意互换并可防止装配结晶器因漏水而影响生产。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结晶器所用的石墨环采用三高石墨，以保证结晶带具有良好的冷却及较小的摩擦系数。明显提高铸锭产品表面的光滑程度，降低铸锭结瘤、冷隔、拉痕的现象的产生。其具有500铸次的使用寿命。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三高</w:t>
      </w:r>
      <w:r>
        <w:rPr>
          <w:rFonts w:hint="eastAsia" w:ascii="仿宋" w:hAnsi="仿宋" w:eastAsia="仿宋" w:cs="仿宋"/>
          <w:sz w:val="28"/>
          <w:szCs w:val="28"/>
          <w:lang w:val="zh-CN" w:eastAsia="zh-CN"/>
        </w:rPr>
        <w:t>石墨环物理特性 ：</w:t>
      </w:r>
    </w:p>
    <w:p>
      <w:pPr>
        <w:spacing w:line="360" w:lineRule="auto"/>
        <w:ind w:firstLine="1120" w:firstLineChars="400"/>
        <w:rPr>
          <w:rFonts w:hint="eastAsia" w:ascii="仿宋" w:hAnsi="仿宋" w:eastAsia="仿宋" w:cs="仿宋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  <w:lang w:val="zh-CN" w:eastAsia="zh-CN"/>
        </w:rPr>
        <w:t xml:space="preserve">抗压强度：      42Mpa </w:t>
      </w:r>
    </w:p>
    <w:p>
      <w:pPr>
        <w:spacing w:line="360" w:lineRule="auto"/>
        <w:ind w:firstLine="1120" w:firstLineChars="400"/>
        <w:rPr>
          <w:rFonts w:hint="eastAsia" w:ascii="仿宋" w:hAnsi="仿宋" w:eastAsia="仿宋" w:cs="仿宋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  <w:lang w:val="zh-CN" w:eastAsia="zh-CN"/>
        </w:rPr>
        <w:t xml:space="preserve">灰份：          小于50ppm </w:t>
      </w:r>
    </w:p>
    <w:p>
      <w:pPr>
        <w:spacing w:line="360" w:lineRule="auto"/>
        <w:ind w:firstLine="1120" w:firstLineChars="400"/>
        <w:rPr>
          <w:rFonts w:hint="eastAsia" w:ascii="仿宋" w:hAnsi="仿宋" w:eastAsia="仿宋" w:cs="仿宋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  <w:lang w:val="zh-CN" w:eastAsia="zh-CN"/>
        </w:rPr>
        <w:t xml:space="preserve">气孔率：        小于13％ </w:t>
      </w:r>
    </w:p>
    <w:p>
      <w:pPr>
        <w:spacing w:line="360" w:lineRule="auto"/>
        <w:ind w:firstLine="1120" w:firstLineChars="400"/>
        <w:rPr>
          <w:rFonts w:hint="eastAsia" w:ascii="仿宋" w:hAnsi="仿宋" w:eastAsia="仿宋" w:cs="仿宋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  <w:lang w:val="zh-CN" w:eastAsia="zh-CN"/>
        </w:rPr>
        <w:t>密度：          1.80g/cm3</w:t>
      </w:r>
    </w:p>
    <w:p>
      <w:pPr>
        <w:spacing w:line="360" w:lineRule="auto"/>
        <w:ind w:firstLine="1120" w:firstLineChars="400"/>
        <w:rPr>
          <w:rFonts w:hint="eastAsia" w:ascii="仿宋" w:hAnsi="仿宋" w:eastAsia="仿宋" w:cs="仿宋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  <w:lang w:val="zh-CN" w:eastAsia="zh-CN"/>
        </w:rPr>
        <w:t>氧化速率：      小于10mg/cm2/h （750oC）</w:t>
      </w:r>
    </w:p>
    <w:p>
      <w:pPr>
        <w:spacing w:before="156" w:beforeLines="50" w:line="300" w:lineRule="auto"/>
        <w:jc w:val="left"/>
        <w:rPr>
          <w:rFonts w:hint="eastAsia" w:ascii="黑体" w:hAnsi="黑体" w:eastAsia="黑体" w:cs="黑体"/>
          <w:b/>
          <w:bCs/>
          <w:color w:val="000000"/>
          <w:sz w:val="24"/>
        </w:rPr>
      </w:pPr>
      <w:r>
        <w:rPr>
          <w:rFonts w:hint="eastAsia" w:ascii="黑体" w:hAnsi="黑体" w:eastAsia="黑体" w:cs="黑体"/>
          <w:b/>
          <w:bCs/>
          <w:color w:val="000000"/>
          <w:sz w:val="24"/>
          <w:lang w:val="en-US" w:eastAsia="zh-CN"/>
        </w:rPr>
        <w:t>4油气滑</w:t>
      </w:r>
      <w:r>
        <w:rPr>
          <w:rFonts w:hint="eastAsia" w:ascii="黑体" w:hAnsi="黑体" w:eastAsia="黑体" w:cs="黑体"/>
          <w:b/>
          <w:bCs/>
          <w:color w:val="000000"/>
          <w:sz w:val="24"/>
        </w:rPr>
        <w:t>石墨环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  <w:lang w:val="zh-CN" w:eastAsia="zh-CN"/>
        </w:rPr>
        <w:t>石墨环安装于结晶器本体内，来自润滑站的润滑油定时、定量地注射到石墨环的背腔，从石墨环的微孔均匀渗出，形成铸造润滑油膜,铸造气体通过石墨环形成气膜。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  <w:lang w:val="zh-CN" w:eastAsia="zh-CN"/>
        </w:rPr>
        <w:t>石墨环是形成良好油气膜的关键元件，必须具备每支石墨环通气均匀性一致、整套铸盘配套的石墨环均与性也一致的要求。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  <w:lang w:val="zh-CN" w:eastAsia="zh-CN"/>
        </w:rPr>
        <w:t>石墨环采用进口的专用铝行业用的石墨牌号，在数控车床加工完成后→在放入真空炉进行均质化处理→处理完毕后转入超声波清洗、烘干→每支石墨环都逐一通过专用气孔率检测仪器进行专业检测，行程雷达图→接入自动流量压力数显仪进行流量收集指标检测→检测良好的石墨环上下端面涂刷德国进口封口剂→包装发货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油气滑</w:t>
      </w:r>
      <w:r>
        <w:rPr>
          <w:rFonts w:hint="eastAsia" w:ascii="仿宋" w:hAnsi="仿宋" w:eastAsia="仿宋" w:cs="仿宋"/>
          <w:sz w:val="28"/>
          <w:szCs w:val="28"/>
          <w:lang w:val="zh-CN" w:eastAsia="zh-CN"/>
        </w:rPr>
        <w:t>石墨环性能指标: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  <w:lang w:val="zh-CN" w:eastAsia="zh-CN"/>
        </w:rPr>
        <w:t>材质:SGL进口高纯等静压石墨材料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  <w:lang w:val="zh-CN" w:eastAsia="zh-CN"/>
        </w:rPr>
        <w:t>体积密度（g/cm³）：:1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  <w:lang w:val="zh-CN" w:eastAsia="zh-CN"/>
        </w:rPr>
        <w:t>76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  <w:lang w:val="zh-CN" w:eastAsia="zh-CN"/>
        </w:rPr>
        <w:t>洛氏硬度HR:90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  <w:lang w:val="zh-CN" w:eastAsia="zh-CN"/>
        </w:rPr>
        <w:t>抗压强度(MPa):90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  <w:lang w:val="zh-CN" w:eastAsia="zh-CN"/>
        </w:rPr>
        <w:t>抗折强度(MPa):40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  <w:lang w:val="zh-CN" w:eastAsia="zh-CN"/>
        </w:rPr>
        <w:t>热膨胀系数(k-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1，</w:t>
      </w:r>
      <w:r>
        <w:rPr>
          <w:rFonts w:hint="eastAsia" w:ascii="仿宋" w:hAnsi="仿宋" w:eastAsia="仿宋" w:cs="仿宋"/>
          <w:sz w:val="28"/>
          <w:szCs w:val="28"/>
          <w:lang w:val="zh-CN" w:eastAsia="zh-CN"/>
        </w:rPr>
        <w:t>在20℃-200℃范围检测):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val="zh-CN" w:eastAsia="zh-CN"/>
        </w:rPr>
        <w:t>&lt;4.1x10-6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  <w:lang w:val="zh-CN" w:eastAsia="zh-CN"/>
        </w:rPr>
        <w:t>电阻率uΩm:12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  <w:lang w:val="zh-CN" w:eastAsia="zh-CN"/>
        </w:rPr>
        <w:t>渗透系数(cm2/s，环境温度):0.7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  <w:lang w:val="zh-CN" w:eastAsia="zh-CN"/>
        </w:rPr>
        <w:t>灰份含量:50ppm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  <w:lang w:val="zh-CN" w:eastAsia="zh-CN"/>
        </w:rPr>
        <w:t>使用寿命:正常使用500铸次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  <w:lang w:val="zh-CN" w:eastAsia="zh-CN"/>
        </w:rPr>
        <w:t>开口气孔率(VOL.%):13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  <w:lang w:val="zh-CN" w:eastAsia="zh-CN"/>
        </w:rPr>
        <w:t>石墨环装入结晶器内石墨环上部与结晶器边缘平台一致，防止石墨环受力过大出现裂口。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zh-CN" w:eastAsia="zh-CN"/>
        </w:rPr>
        <w:t>石墨环油道和结晶器出油孔保持在一条水平线</w:t>
      </w:r>
      <w:r>
        <w:rPr>
          <w:rFonts w:hint="eastAsia" w:ascii="宋体" w:hAnsi="宋体" w:cs="宋体"/>
          <w:color w:val="000000"/>
          <w:sz w:val="24"/>
        </w:rPr>
        <w:t>。</w:t>
      </w:r>
    </w:p>
    <w:p>
      <w:pPr>
        <w:tabs>
          <w:tab w:val="left" w:pos="1080"/>
        </w:tabs>
        <w:spacing w:before="156" w:beforeLines="50" w:line="300" w:lineRule="auto"/>
        <w:jc w:val="left"/>
        <w:rPr>
          <w:rFonts w:ascii="黑体" w:hAnsi="黑体" w:eastAsia="黑体" w:cs="黑体"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转接板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转接板物理特性要求：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密度：800kg/m³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导热系数：0.19w/m.k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最高使用温度：1000℃ 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曲折强度：9.3N/mm³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压缩强度：&gt;2.7Mpa  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转接板要求进口N17板材，连续铸造使用寿命40天以上。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不少于300铸次）</w:t>
      </w:r>
    </w:p>
    <w:p>
      <w:pPr>
        <w:widowControl/>
        <w:spacing w:line="120" w:lineRule="auto"/>
        <w:ind w:left="350" w:hanging="301" w:hangingChars="125"/>
        <w:jc w:val="left"/>
        <w:rPr>
          <w:color w:val="000000"/>
        </w:rPr>
      </w:pPr>
      <w:r>
        <w:rPr>
          <w:rFonts w:hint="eastAsia"/>
          <w:b/>
          <w:color w:val="000000"/>
          <w:sz w:val="24"/>
          <w:lang w:val="en-US" w:eastAsia="zh-CN"/>
        </w:rPr>
        <w:t>6</w:t>
      </w:r>
      <w:r>
        <w:rPr>
          <w:rFonts w:hint="eastAsia"/>
          <w:b/>
          <w:color w:val="000000"/>
          <w:sz w:val="24"/>
        </w:rPr>
        <w:t>密封</w:t>
      </w:r>
      <w:r>
        <w:rPr>
          <w:rFonts w:hint="eastAsia"/>
          <w:b/>
          <w:color w:val="000000"/>
          <w:sz w:val="22"/>
        </w:rPr>
        <w:t>圈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密封圈为氟橡胶，特点耐高温300℃、耐油性、耐腐蚀，要求连续铸造6个月不老化正常使用。</w:t>
      </w:r>
    </w:p>
    <w:p>
      <w:pPr>
        <w:widowControl/>
        <w:spacing w:line="120" w:lineRule="auto"/>
        <w:ind w:left="350" w:hanging="301" w:hangingChars="125"/>
        <w:jc w:val="left"/>
        <w:rPr>
          <w:rFonts w:hint="eastAsia"/>
          <w:b/>
          <w:color w:val="000000"/>
          <w:sz w:val="24"/>
          <w:lang w:val="en-US" w:eastAsia="zh-CN"/>
        </w:rPr>
      </w:pPr>
      <w:r>
        <w:rPr>
          <w:rFonts w:hint="eastAsia"/>
          <w:b/>
          <w:color w:val="000000"/>
          <w:sz w:val="24"/>
          <w:lang w:val="en-US" w:eastAsia="zh-CN"/>
        </w:rPr>
        <w:t>7压板</w:t>
      </w:r>
    </w:p>
    <w:p>
      <w:pPr>
        <w:widowControl/>
        <w:spacing w:line="120" w:lineRule="auto"/>
        <w:ind w:left="350" w:hanging="301" w:hangingChars="125"/>
        <w:jc w:val="left"/>
        <w:rPr>
          <w:rFonts w:hint="default"/>
          <w:b/>
          <w:color w:val="000000"/>
          <w:sz w:val="24"/>
          <w:lang w:val="en-US" w:eastAsia="zh-CN"/>
        </w:rPr>
      </w:pPr>
      <w:r>
        <w:rPr>
          <w:rFonts w:hint="eastAsia"/>
          <w:b/>
          <w:color w:val="000000"/>
          <w:sz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压板要求：镀锌</w:t>
      </w:r>
    </w:p>
    <w:p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4"/>
          <w:lang w:val="en-US" w:eastAsia="zh-CN"/>
        </w:rPr>
        <w:t>8</w:t>
      </w:r>
      <w:r>
        <w:rPr>
          <w:rFonts w:hint="eastAsia" w:ascii="宋体" w:hAnsi="宋体" w:cs="宋体"/>
          <w:b/>
          <w:bCs/>
          <w:color w:val="000000"/>
          <w:sz w:val="24"/>
        </w:rPr>
        <w:t>验收标准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.1铝合金棒验收标准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圆铸锭表面不得出现垂直拉痕、飞边、冷隔、叠痕、水渍、横向或垂直裂纹、熔析、螺旋形或竹节等缺陷。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圆铸锭铸造过程不得发生锭尾凝固、冷锭尾分离、热锭尾分离、泄漏、锭尾裂纹等情况。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.2产品性能保证值：</w:t>
      </w:r>
    </w:p>
    <w:tbl>
      <w:tblPr>
        <w:tblStyle w:val="2"/>
        <w:tblW w:w="90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1"/>
        <w:gridCol w:w="1925"/>
        <w:gridCol w:w="2340"/>
        <w:gridCol w:w="2236"/>
        <w:gridCol w:w="1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681" w:type="dxa"/>
            <w:shd w:val="clear" w:color="auto" w:fill="BEBEBE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序号</w:t>
            </w:r>
          </w:p>
        </w:tc>
        <w:tc>
          <w:tcPr>
            <w:tcW w:w="1925" w:type="dxa"/>
            <w:shd w:val="clear" w:color="auto" w:fill="BEBEBE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保证项目</w:t>
            </w:r>
          </w:p>
        </w:tc>
        <w:tc>
          <w:tcPr>
            <w:tcW w:w="2340" w:type="dxa"/>
            <w:shd w:val="clear" w:color="auto" w:fill="BEBEBE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保证指标</w:t>
            </w:r>
          </w:p>
        </w:tc>
        <w:tc>
          <w:tcPr>
            <w:tcW w:w="2236" w:type="dxa"/>
            <w:shd w:val="clear" w:color="auto" w:fill="BEBEBE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保证指标定义</w:t>
            </w:r>
          </w:p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及其条件</w:t>
            </w:r>
          </w:p>
        </w:tc>
        <w:tc>
          <w:tcPr>
            <w:tcW w:w="1854" w:type="dxa"/>
            <w:shd w:val="clear" w:color="auto" w:fill="BEBEBE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考核方法及其条件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68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</w:t>
            </w:r>
          </w:p>
        </w:tc>
        <w:tc>
          <w:tcPr>
            <w:tcW w:w="192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铸棒直径误差</w:t>
            </w:r>
          </w:p>
        </w:tc>
        <w:tc>
          <w:tcPr>
            <w:tcW w:w="234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±1mm</w:t>
            </w:r>
          </w:p>
        </w:tc>
        <w:tc>
          <w:tcPr>
            <w:tcW w:w="22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合同内的各种规格</w:t>
            </w:r>
          </w:p>
        </w:tc>
        <w:tc>
          <w:tcPr>
            <w:tcW w:w="1854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实测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68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</w:t>
            </w:r>
          </w:p>
        </w:tc>
        <w:tc>
          <w:tcPr>
            <w:tcW w:w="192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圆铸锭弯曲</w:t>
            </w:r>
          </w:p>
        </w:tc>
        <w:tc>
          <w:tcPr>
            <w:tcW w:w="234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圆铸锭弯曲：不放大铸造机产生的弯曲</w:t>
            </w:r>
          </w:p>
        </w:tc>
        <w:tc>
          <w:tcPr>
            <w:tcW w:w="22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合同内的各种规格</w:t>
            </w:r>
          </w:p>
        </w:tc>
        <w:tc>
          <w:tcPr>
            <w:tcW w:w="1854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实测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8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192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裂纹</w:t>
            </w:r>
          </w:p>
        </w:tc>
        <w:tc>
          <w:tcPr>
            <w:tcW w:w="234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无裂纹</w:t>
            </w:r>
          </w:p>
        </w:tc>
        <w:tc>
          <w:tcPr>
            <w:tcW w:w="22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合同内的各种规格</w:t>
            </w:r>
          </w:p>
        </w:tc>
        <w:tc>
          <w:tcPr>
            <w:tcW w:w="1854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探伤仪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68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4</w:t>
            </w:r>
          </w:p>
        </w:tc>
        <w:tc>
          <w:tcPr>
            <w:tcW w:w="192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偏析层厚度</w:t>
            </w:r>
          </w:p>
        </w:tc>
        <w:tc>
          <w:tcPr>
            <w:tcW w:w="234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≤0.</w:t>
            </w:r>
            <w:r>
              <w:rPr>
                <w:rFonts w:hint="default" w:ascii="宋体" w:hAnsi="宋体" w:cs="宋体"/>
                <w:color w:val="000000"/>
                <w:sz w:val="24"/>
              </w:rPr>
              <w:t>2(指标用于油气滑)</w:t>
            </w:r>
          </w:p>
        </w:tc>
        <w:tc>
          <w:tcPr>
            <w:tcW w:w="22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合同内的各种规格</w:t>
            </w:r>
          </w:p>
        </w:tc>
        <w:tc>
          <w:tcPr>
            <w:tcW w:w="1854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显微镜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68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5</w:t>
            </w:r>
          </w:p>
        </w:tc>
        <w:tc>
          <w:tcPr>
            <w:tcW w:w="192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表面质量</w:t>
            </w:r>
          </w:p>
        </w:tc>
        <w:tc>
          <w:tcPr>
            <w:tcW w:w="234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无拉痕、冷隔、竹节等</w:t>
            </w:r>
          </w:p>
        </w:tc>
        <w:tc>
          <w:tcPr>
            <w:tcW w:w="22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合同内的各种规格</w:t>
            </w:r>
          </w:p>
        </w:tc>
        <w:tc>
          <w:tcPr>
            <w:tcW w:w="1854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眼感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68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6</w:t>
            </w:r>
          </w:p>
        </w:tc>
        <w:tc>
          <w:tcPr>
            <w:tcW w:w="192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铸造晶粒度</w:t>
            </w:r>
          </w:p>
        </w:tc>
        <w:tc>
          <w:tcPr>
            <w:tcW w:w="234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不低于一级</w:t>
            </w:r>
          </w:p>
        </w:tc>
        <w:tc>
          <w:tcPr>
            <w:tcW w:w="22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合同内的各种规格</w:t>
            </w:r>
          </w:p>
        </w:tc>
        <w:tc>
          <w:tcPr>
            <w:tcW w:w="1854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显微镜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68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7</w:t>
            </w:r>
          </w:p>
        </w:tc>
        <w:tc>
          <w:tcPr>
            <w:tcW w:w="192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产品铸造合格率</w:t>
            </w:r>
          </w:p>
        </w:tc>
        <w:tc>
          <w:tcPr>
            <w:tcW w:w="234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98％</w:t>
            </w:r>
          </w:p>
        </w:tc>
        <w:tc>
          <w:tcPr>
            <w:tcW w:w="22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合同内的各种规格</w:t>
            </w:r>
          </w:p>
        </w:tc>
        <w:tc>
          <w:tcPr>
            <w:tcW w:w="1854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人工统计</w:t>
            </w:r>
          </w:p>
        </w:tc>
      </w:tr>
    </w:tbl>
    <w:p>
      <w:pPr>
        <w:spacing w:line="360" w:lineRule="auto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三、文件资料交付</w:t>
      </w:r>
    </w:p>
    <w:p>
      <w:pPr>
        <w:spacing w:line="360" w:lineRule="auto"/>
        <w:rPr>
          <w:rFonts w:hint="default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 xml:space="preserve">  卖方应在到货时间向买房提供一下资料：</w:t>
      </w:r>
    </w:p>
    <w:p>
      <w:pPr>
        <w:numPr>
          <w:ilvl w:val="0"/>
          <w:numId w:val="0"/>
        </w:numPr>
        <w:snapToGrid w:val="0"/>
        <w:spacing w:line="360" w:lineRule="auto"/>
        <w:ind w:right="2" w:rightChars="1" w:firstLine="300" w:firstLineChars="100"/>
        <w:jc w:val="both"/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  <w:t>1.安装、使用和保养说明书；</w:t>
      </w:r>
    </w:p>
    <w:p>
      <w:pPr>
        <w:numPr>
          <w:ilvl w:val="0"/>
          <w:numId w:val="0"/>
        </w:numPr>
        <w:snapToGrid w:val="0"/>
        <w:spacing w:line="360" w:lineRule="auto"/>
        <w:ind w:leftChars="0" w:right="2" w:rightChars="1" w:firstLine="300" w:firstLineChars="100"/>
        <w:jc w:val="both"/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  <w:t>2.出厂合格证；</w:t>
      </w:r>
    </w:p>
    <w:p>
      <w:pPr>
        <w:numPr>
          <w:ilvl w:val="0"/>
          <w:numId w:val="0"/>
        </w:numPr>
        <w:snapToGrid w:val="0"/>
        <w:spacing w:line="360" w:lineRule="auto"/>
        <w:ind w:leftChars="0" w:right="2" w:rightChars="1" w:firstLine="300" w:firstLineChars="100"/>
        <w:jc w:val="both"/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  <w:t>3.产品图纸；</w:t>
      </w:r>
    </w:p>
    <w:p>
      <w:pPr>
        <w:spacing w:line="360" w:lineRule="auto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四、验收</w:t>
      </w:r>
    </w:p>
    <w:p>
      <w:pPr>
        <w:numPr>
          <w:ilvl w:val="0"/>
          <w:numId w:val="0"/>
        </w:numPr>
        <w:snapToGrid w:val="0"/>
        <w:spacing w:line="360" w:lineRule="auto"/>
        <w:ind w:leftChars="0" w:right="2" w:rightChars="1" w:firstLine="300" w:firstLineChars="100"/>
        <w:jc w:val="both"/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  <w:t>1.表面光滑无杂物，尺寸符合图纸要求。</w:t>
      </w:r>
    </w:p>
    <w:p>
      <w:pPr>
        <w:numPr>
          <w:ilvl w:val="0"/>
          <w:numId w:val="0"/>
        </w:numPr>
        <w:snapToGrid w:val="0"/>
        <w:spacing w:line="360" w:lineRule="auto"/>
        <w:ind w:left="600" w:leftChars="125" w:right="2" w:rightChars="1" w:hanging="300" w:hangingChars="100"/>
        <w:jc w:val="both"/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  <w:t>2.包装完好无损，货到后开箱验货，如有磕碰伤或损毁情况，乙方负责更换。</w:t>
      </w:r>
    </w:p>
    <w:p>
      <w:pPr>
        <w:spacing w:line="360" w:lineRule="auto"/>
        <w:rPr>
          <w:rFonts w:hint="default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五、质量保证</w:t>
      </w:r>
    </w:p>
    <w:p>
      <w:pPr>
        <w:numPr>
          <w:ilvl w:val="0"/>
          <w:numId w:val="0"/>
        </w:numPr>
        <w:snapToGrid w:val="0"/>
        <w:spacing w:line="360" w:lineRule="auto"/>
        <w:ind w:leftChars="0" w:right="2" w:rightChars="1" w:firstLine="600" w:firstLineChars="200"/>
        <w:jc w:val="both"/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  <w:t>1.卖方保证货物是全新的，未经过使用的。</w:t>
      </w:r>
    </w:p>
    <w:p>
      <w:pPr>
        <w:numPr>
          <w:ilvl w:val="0"/>
          <w:numId w:val="0"/>
        </w:numPr>
        <w:snapToGrid w:val="0"/>
        <w:spacing w:line="360" w:lineRule="auto"/>
        <w:ind w:left="900" w:leftChars="250" w:right="2" w:rightChars="1" w:hanging="300" w:hangingChars="100"/>
        <w:jc w:val="both"/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  <w:t>2.任何部件材料的检验、检查和试验均符合国家标准所适用的要求。</w:t>
      </w:r>
    </w:p>
    <w:p>
      <w:pPr>
        <w:numPr>
          <w:ilvl w:val="0"/>
          <w:numId w:val="0"/>
        </w:numPr>
        <w:snapToGrid w:val="0"/>
        <w:spacing w:line="360" w:lineRule="auto"/>
        <w:ind w:leftChars="0" w:right="2" w:rightChars="1" w:firstLine="600" w:firstLineChars="200"/>
        <w:jc w:val="both"/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  <w:t>3.卖方应按照 ISO9001 质量管理体系要求从原材料进厂、        检验、制造、试验出厂的各个环节进行严格控制，特别是加强对关键工序环节的控制。给买方交付满足国家标准和本技术规范的优质产品。</w:t>
      </w:r>
    </w:p>
    <w:p>
      <w:pPr>
        <w:spacing w:line="360" w:lineRule="auto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 xml:space="preserve">六、技术和售后服务、质保期 </w:t>
      </w:r>
    </w:p>
    <w:p>
      <w:pPr>
        <w:numPr>
          <w:ilvl w:val="0"/>
          <w:numId w:val="0"/>
        </w:numPr>
        <w:snapToGrid w:val="0"/>
        <w:spacing w:line="360" w:lineRule="auto"/>
        <w:ind w:left="900" w:leftChars="250" w:right="2" w:rightChars="1" w:hanging="300" w:hangingChars="100"/>
        <w:jc w:val="both"/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  <w:t xml:space="preserve">1.对有关人员进行培训，包括相关的安装和维护等。并说明产品在使用和清理保养过程中的操作要领及注意事项。 </w:t>
      </w:r>
    </w:p>
    <w:p>
      <w:pPr>
        <w:numPr>
          <w:ilvl w:val="0"/>
          <w:numId w:val="0"/>
        </w:numPr>
        <w:snapToGrid w:val="0"/>
        <w:spacing w:line="360" w:lineRule="auto"/>
        <w:ind w:left="900" w:leftChars="250" w:right="2" w:rightChars="1" w:hanging="300" w:hangingChars="100"/>
        <w:jc w:val="both"/>
        <w:rPr>
          <w:rFonts w:hint="default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  <w:t>2.质保期内，如产品出现损坏，卖方应第一时间给出解决对应方案。如需现场进行确认，应在接到买方通知后应及时赶到买方现场，并提供损坏分析报告。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  <w:lang w:val="en-US" w:eastAsia="zh-CN"/>
        </w:rPr>
        <w:t>七、</w:t>
      </w:r>
      <w:r>
        <w:rPr>
          <w:rFonts w:hint="eastAsia" w:ascii="仿宋" w:hAnsi="仿宋" w:eastAsia="仿宋" w:cs="仿宋"/>
          <w:b/>
          <w:kern w:val="0"/>
          <w:sz w:val="28"/>
          <w:szCs w:val="28"/>
          <w:lang w:eastAsia="zh-CN"/>
        </w:rPr>
        <w:t>其他约定事项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4" w:firstLineChars="191"/>
        <w:textAlignment w:val="auto"/>
        <w:rPr>
          <w:rFonts w:hint="eastAsia" w:ascii="仿宋" w:hAnsi="仿宋" w:eastAsia="仿宋" w:cs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1本规范书一式四份，甲方三份，乙方一份。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4" w:firstLineChars="191"/>
        <w:textAlignment w:val="auto"/>
        <w:rPr>
          <w:rFonts w:hint="eastAsia" w:ascii="仿宋" w:hAnsi="仿宋" w:eastAsia="仿宋" w:cs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2此协议具有同等法律效力，但若乙方不能中标，则本技术规格书自动失效，双方互不承担任何责任。本技术规格书为附生效条件的合同，以主合同的生效为前提条件。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4" w:firstLineChars="191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3本协议内容经由甲乙双方于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年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月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日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时通过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 xml:space="preserve">方式商定。 </w:t>
      </w:r>
    </w:p>
    <w:p>
      <w:pPr>
        <w:snapToGrid w:val="0"/>
        <w:spacing w:line="360" w:lineRule="auto"/>
        <w:ind w:right="2" w:rightChars="1" w:firstLine="502"/>
        <w:jc w:val="both"/>
        <w:rPr>
          <w:rFonts w:hint="eastAsia" w:ascii="仿宋" w:hAnsi="仿宋" w:eastAsia="仿宋" w:cs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4甲乙双方应当就签订本协议的相关事宜保密，不得将签订主体、时间、内容等信息透露给其他第三人。</w:t>
      </w:r>
    </w:p>
    <w:p>
      <w:pPr>
        <w:snapToGrid w:val="0"/>
        <w:spacing w:line="360" w:lineRule="auto"/>
        <w:ind w:right="2" w:rightChars="1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snapToGrid w:val="0"/>
        <w:spacing w:line="360" w:lineRule="auto"/>
        <w:ind w:right="2" w:rightChars="1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甲方：甘肃东兴嘉信新材料有限公司  乙方：</w:t>
      </w:r>
    </w:p>
    <w:p>
      <w:pPr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代表人：                          代表人：</w:t>
      </w:r>
    </w:p>
    <w:p>
      <w:pPr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jc w:val="left"/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日  期：                          日  期：</w:t>
      </w:r>
    </w:p>
    <w:p>
      <w:pPr>
        <w:jc w:val="left"/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79BB5D3-F474-4265-A821-CDE308CEC2E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2" w:fontKey="{942A9240-4CDA-4B8B-8D68-5881E150024C}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3" w:fontKey="{7B7AA6EF-E9C6-4E70-AB49-C4C9255C36D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AE5BE400-6F9A-4EA3-BB73-3C7FFE733AD1}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5" w:fontKey="{A6C68F9C-C06F-4482-8DD7-6A4C4C1EE009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7F0026"/>
    <w:multiLevelType w:val="singleLevel"/>
    <w:tmpl w:val="4D7F002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yMGVlNGNlYjYzOGVmZTRmNDIwOTAxN2U3NzJmMGIifQ=="/>
  </w:docVars>
  <w:rsids>
    <w:rsidRoot w:val="2E6656CF"/>
    <w:rsid w:val="089037CC"/>
    <w:rsid w:val="0E085554"/>
    <w:rsid w:val="0FC06349"/>
    <w:rsid w:val="12BE5FC6"/>
    <w:rsid w:val="14C02688"/>
    <w:rsid w:val="1CEF27A2"/>
    <w:rsid w:val="1F3D7D77"/>
    <w:rsid w:val="1F792F4C"/>
    <w:rsid w:val="23A56D80"/>
    <w:rsid w:val="2620538E"/>
    <w:rsid w:val="26C24629"/>
    <w:rsid w:val="2E6656CF"/>
    <w:rsid w:val="2E914F23"/>
    <w:rsid w:val="34DE1BD2"/>
    <w:rsid w:val="36C7606F"/>
    <w:rsid w:val="39C66799"/>
    <w:rsid w:val="3B4B1C26"/>
    <w:rsid w:val="3FA937FE"/>
    <w:rsid w:val="480A2FBE"/>
    <w:rsid w:val="4845381D"/>
    <w:rsid w:val="487033C1"/>
    <w:rsid w:val="4A0F23C7"/>
    <w:rsid w:val="4F3D1966"/>
    <w:rsid w:val="51135641"/>
    <w:rsid w:val="53A66F6C"/>
    <w:rsid w:val="584B6D60"/>
    <w:rsid w:val="5A6E30AE"/>
    <w:rsid w:val="5CC55041"/>
    <w:rsid w:val="69A84C67"/>
    <w:rsid w:val="6A9D3BC8"/>
    <w:rsid w:val="7461711A"/>
    <w:rsid w:val="7A454EDD"/>
    <w:rsid w:val="7A574C10"/>
    <w:rsid w:val="7BA0693D"/>
    <w:rsid w:val="7DD0671F"/>
    <w:rsid w:val="7FE3C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</w:pPr>
    <w:rPr>
      <w:rFonts w:ascii="Times New Roman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paragraph" w:customStyle="1" w:styleId="6">
    <w:name w:val="列出段落11"/>
    <w:basedOn w:val="1"/>
    <w:qFormat/>
    <w:uiPriority w:val="0"/>
    <w:pPr>
      <w:ind w:firstLine="420" w:firstLineChars="200"/>
    </w:pPr>
    <w:rPr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2398</Words>
  <Characters>2727</Characters>
  <Lines>0</Lines>
  <Paragraphs>0</Paragraphs>
  <TotalTime>2</TotalTime>
  <ScaleCrop>false</ScaleCrop>
  <LinksUpToDate>false</LinksUpToDate>
  <CharactersWithSpaces>2897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2023-10-23T14:49:00Z</dcterms:created>
  <dc:creator>崔云龙</dc:creator>
  <cp:lastModifiedBy>付庭阁</cp:lastModifiedBy>
  <dcterms:modified xsi:type="dcterms:W3CDTF">2026-03-02T07:50:51Z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  <property fmtid="{D5CDD505-2E9C-101B-9397-08002B2CF9AE}" pid="3" name="ICV">
    <vt:lpwstr>37BDFC59A4214A409CF53631C9178821</vt:lpwstr>
  </property>
</Properties>
</file>