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4" w:lineRule="auto"/>
        <w:rPr>
          <w:rFonts w:ascii="Arial"/>
          <w:sz w:val="21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3325" w:firstLineChars="1200"/>
        <w:rPr>
          <w:rFonts w:hint="eastAsia" w:ascii="宋体" w:hAnsi="宋体" w:eastAsia="宋体" w:cs="宋体"/>
          <w:b/>
          <w:bCs/>
          <w:spacing w:val="3"/>
          <w:sz w:val="27"/>
          <w:szCs w:val="27"/>
          <w:lang w:val="en-US" w:eastAsia="zh-CN"/>
        </w:rPr>
      </w:pPr>
    </w:p>
    <w:p>
      <w:pPr>
        <w:spacing w:before="160" w:line="219" w:lineRule="auto"/>
        <w:ind w:firstLine="3325" w:firstLineChars="1200"/>
        <w:rPr>
          <w:rFonts w:hint="eastAsia" w:ascii="宋体" w:hAnsi="宋体" w:eastAsia="宋体" w:cs="宋体"/>
          <w:b/>
          <w:bCs/>
          <w:spacing w:val="3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3"/>
          <w:sz w:val="27"/>
          <w:szCs w:val="27"/>
          <w:lang w:val="en-US" w:eastAsia="zh-CN"/>
        </w:rPr>
        <w:t>管道及管件技术规格书</w:t>
      </w: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27" w:line="219" w:lineRule="auto"/>
        <w:ind w:left="4105"/>
        <w:rPr>
          <w:rFonts w:ascii="宋体" w:hAnsi="宋体" w:eastAsia="宋体" w:cs="宋体"/>
          <w:b/>
          <w:bCs/>
          <w:spacing w:val="-8"/>
          <w:sz w:val="39"/>
          <w:szCs w:val="39"/>
        </w:rPr>
      </w:pPr>
    </w:p>
    <w:p>
      <w:pPr>
        <w:spacing w:before="127" w:line="219" w:lineRule="auto"/>
        <w:ind w:left="4105"/>
        <w:rPr>
          <w:rFonts w:ascii="宋体" w:hAnsi="宋体" w:eastAsia="宋体" w:cs="宋体"/>
          <w:b/>
          <w:bCs/>
          <w:spacing w:val="-8"/>
          <w:sz w:val="39"/>
          <w:szCs w:val="39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493" w:firstLineChars="900"/>
        <w:rPr>
          <w:rFonts w:ascii="宋体" w:hAnsi="宋体" w:eastAsia="宋体" w:cs="宋体"/>
          <w:b/>
          <w:bCs/>
          <w:spacing w:val="3"/>
          <w:sz w:val="27"/>
          <w:szCs w:val="27"/>
        </w:rPr>
      </w:pPr>
    </w:p>
    <w:p>
      <w:pPr>
        <w:spacing w:before="160" w:line="219" w:lineRule="auto"/>
        <w:ind w:firstLine="2216" w:firstLineChars="800"/>
        <w:rPr>
          <w:rFonts w:hint="eastAsia" w:ascii="宋体" w:hAnsi="宋体" w:eastAsia="宋体" w:cs="宋体"/>
          <w:sz w:val="27"/>
          <w:szCs w:val="27"/>
          <w:lang w:eastAsia="zh-CN"/>
        </w:rPr>
      </w:pPr>
      <w:r>
        <w:rPr>
          <w:rFonts w:ascii="宋体" w:hAnsi="宋体" w:eastAsia="宋体" w:cs="宋体"/>
          <w:b/>
          <w:bCs/>
          <w:spacing w:val="3"/>
          <w:sz w:val="27"/>
          <w:szCs w:val="27"/>
        </w:rPr>
        <w:t>甲方：</w:t>
      </w:r>
      <w:r>
        <w:rPr>
          <w:rFonts w:hint="eastAsia" w:ascii="宋体" w:hAnsi="宋体" w:eastAsia="宋体" w:cs="宋体"/>
          <w:b/>
          <w:bCs/>
          <w:spacing w:val="3"/>
          <w:sz w:val="27"/>
          <w:szCs w:val="27"/>
          <w:lang w:eastAsia="zh-CN"/>
        </w:rPr>
        <w:t>甘肃酒钢集团西部重工股份有限公司</w:t>
      </w:r>
    </w:p>
    <w:p>
      <w:pPr>
        <w:spacing w:before="159" w:line="988" w:lineRule="exact"/>
        <w:ind w:firstLine="2216" w:firstLineChars="80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3"/>
          <w:position w:val="56"/>
          <w:sz w:val="27"/>
          <w:szCs w:val="27"/>
        </w:rPr>
        <w:t>乙方：</w:t>
      </w:r>
    </w:p>
    <w:p>
      <w:pPr>
        <w:spacing w:before="1" w:line="220" w:lineRule="auto"/>
        <w:ind w:firstLine="3112" w:firstLineChars="800"/>
        <w:rPr>
          <w:rFonts w:hint="default" w:ascii="黑体" w:hAnsi="黑体" w:eastAsia="黑体" w:cs="黑体"/>
          <w:sz w:val="27"/>
          <w:szCs w:val="27"/>
          <w:lang w:val="en-US"/>
        </w:rPr>
      </w:pPr>
      <w:r>
        <w:rPr>
          <w:rFonts w:ascii="黑体" w:hAnsi="黑体" w:eastAsia="黑体" w:cs="黑体"/>
          <w:b/>
          <w:bCs/>
          <w:spacing w:val="59"/>
          <w:sz w:val="27"/>
          <w:szCs w:val="27"/>
        </w:rPr>
        <w:t>二零二</w:t>
      </w:r>
      <w:r>
        <w:rPr>
          <w:rFonts w:hint="eastAsia" w:ascii="黑体" w:hAnsi="黑体" w:eastAsia="黑体" w:cs="黑体"/>
          <w:b/>
          <w:bCs/>
          <w:spacing w:val="59"/>
          <w:sz w:val="27"/>
          <w:szCs w:val="27"/>
          <w:lang w:eastAsia="zh-CN"/>
        </w:rPr>
        <w:t>五</w:t>
      </w:r>
      <w:r>
        <w:rPr>
          <w:rFonts w:ascii="黑体" w:hAnsi="黑体" w:eastAsia="黑体" w:cs="黑体"/>
          <w:b/>
          <w:bCs/>
          <w:spacing w:val="59"/>
          <w:sz w:val="27"/>
          <w:szCs w:val="27"/>
        </w:rPr>
        <w:t>年</w:t>
      </w:r>
      <w:r>
        <w:rPr>
          <w:rFonts w:hint="eastAsia" w:ascii="黑体" w:hAnsi="黑体" w:eastAsia="黑体" w:cs="黑体"/>
          <w:b/>
          <w:bCs/>
          <w:spacing w:val="59"/>
          <w:sz w:val="27"/>
          <w:szCs w:val="27"/>
          <w:lang w:val="en-US" w:eastAsia="zh-CN"/>
        </w:rPr>
        <w:t xml:space="preserve"> </w:t>
      </w:r>
      <w:bookmarkStart w:id="0" w:name="_GoBack"/>
      <w:bookmarkEnd w:id="0"/>
      <w:r>
        <w:rPr>
          <w:rFonts w:ascii="黑体" w:hAnsi="黑体" w:eastAsia="黑体" w:cs="黑体"/>
          <w:b/>
          <w:bCs/>
          <w:spacing w:val="59"/>
          <w:sz w:val="27"/>
          <w:szCs w:val="27"/>
        </w:rPr>
        <w:t>月</w:t>
      </w:r>
      <w:r>
        <w:rPr>
          <w:rFonts w:hint="eastAsia" w:ascii="黑体" w:hAnsi="黑体" w:eastAsia="黑体" w:cs="黑体"/>
          <w:b/>
          <w:bCs/>
          <w:spacing w:val="59"/>
          <w:sz w:val="27"/>
          <w:szCs w:val="27"/>
          <w:lang w:val="en-US" w:eastAsia="zh-CN"/>
        </w:rPr>
        <w:t xml:space="preserve"> 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ectPr>
          <w:footerReference r:id="rId5" w:type="default"/>
          <w:type w:val="continuous"/>
          <w:pgSz w:w="11900" w:h="16840"/>
          <w:pgMar w:top="1390" w:right="492" w:bottom="1" w:left="1190" w:header="0" w:footer="0" w:gutter="0"/>
          <w:cols w:equalWidth="0" w:num="1">
            <w:col w:w="10218"/>
          </w:cols>
        </w:sect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b/>
          <w:bCs/>
          <w:spacing w:val="-2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2"/>
          <w:sz w:val="21"/>
          <w:szCs w:val="21"/>
        </w:rPr>
        <w:t>总体说明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1.酒钢碳钢薄板厂炼钢区域超低排改造项目管道及管件（包括弯头、三通、变径管、盲板、加固筋、手孔、人孔、监测孔等，本文以下简称管件），售后服务、施工资料编制等工程等施工图内相关所有内容（以甲方提供图纸为准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position w:val="18"/>
          <w:sz w:val="21"/>
          <w:szCs w:val="21"/>
        </w:rPr>
        <w:t>本技术协议提出的是最低限度的技术要求，乙方应严格保证提供符合本技术协议及相关工业标准、规范的产品，并对所供材料的制造质量、使用寿命、售后服务等完全负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二、主要设计依据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1.《炼钢工业大气污染物排放标准》（GB28664-2012）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2.《工业企业煤气安全规程》（GB6222-2005）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3.《工业金属管道设计规范》（GB50316-2000(2008)）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4. 总承包技术附件及相关会议纪要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5. 本公司相关专业的设计要求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三、设备、管道安装标准及验收规范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1.《工业金属管道工程施工规范》(GB50235-2010)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2.《工业金属管道工程施工质量验收规范》(GB50184-2011)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3.《现场设备、工业管道焊接工程施工规范》(GB50236-2011)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4.《现场设备、工业管道焊接工程施工质量验收规范》(GB50683-2011)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四、管道制作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1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. 所有管道及管件均采用Q235-B钢板制作,其化学成分和性能应符合国家颁发的相关标准（GB/T700-2006）。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2.所有管道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及管件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按图纸进行制作。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3.当钢板不够大时可拼接下料，拼接宽度必须大于200mm，所有焊缝均错开200mm以上，不能有十字焊缝，加固筋焊缝与管道拼接焊缝错开大于200mm，所有拼接焊缝（包括现场拼接焊缝）管道外侧必须开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V型坡口: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drawing>
          <wp:inline distT="0" distB="0" distL="114300" distR="114300">
            <wp:extent cx="3328035" cy="762000"/>
            <wp:effectExtent l="0" t="0" r="5715" b="0"/>
            <wp:docPr id="1" name="图片 1" descr="20241104酒钢碳薄厂转炉-通风-干法除尘外网发图JQG022401-DES13.3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41104酒钢碳薄厂转炉-通风-干法除尘外网发图JQG022401-DES13.3-0"/>
                    <pic:cNvPicPr>
                      <a:picLocks noChangeAspect="1"/>
                    </pic:cNvPicPr>
                  </pic:nvPicPr>
                  <pic:blipFill>
                    <a:blip r:embed="rId8"/>
                    <a:srcRect t="19978" b="14992"/>
                    <a:stretch>
                      <a:fillRect/>
                    </a:stretch>
                  </pic:blipFill>
                  <pic:spPr>
                    <a:xfrm>
                      <a:off x="0" y="0"/>
                      <a:ext cx="332803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4.卷管的周长允许偏差及圆度允许偏差应符合《工业金属管道工程施工质量验收规范》(GB 50184-2011)中的规定，以到货卸装后状态为准，见下表：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754370" cy="1348105"/>
            <wp:effectExtent l="0" t="0" r="17780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.管道及管件均采用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为ER50-6实心焊丝或者E501T1-1药芯焊丝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施焊,焊缝高度除图中标识外,其余的均按被焊件最小厚度采用，焊接时要求焊接饱满，不得虚焊及存在夹渣气眼，构件内不得残留残渣。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6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.除与设备连接外,管道之间均采用对接焊缝，管道配件与管道焊接时均采用标准的连续角型焊缝，法兰与管道焊接时均采用双面连续的标准连续焊缝。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7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.管道及管件制作完毕后，应对焊缝进行严密程度试验，试验方法是在管道外表面涂白垩粉，内表面涂煤油，30分钟后检查管道外部焊缝，以不透油（外表面无黑色油点）为合格，否则必须铲掉重焊，直到合格。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8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.若有管道及其他管件与设备相连接的法兰，按图纸要求焊接，而且所有法兰间的衬垫，</w:t>
      </w: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highlight w:val="none"/>
          <w:lang w:eastAsia="zh-CN"/>
        </w:rPr>
        <w:t>均采用硅橡胶板（压实厚度5mm）。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9.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圆形管道及管件加固筋(四块板加固筋)按照图纸制作和施工，加固筋与管道200/100mm间断焊接，若下发图纸设计说明有要求，以图纸设计说明为准。为了便于安装，管道上应该设置吊耳。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五、除锈及刷漆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highlight w:val="red"/>
          <w:lang w:eastAsia="zh-CN"/>
        </w:rPr>
      </w:pP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eastAsia="zh-CN"/>
        </w:rPr>
        <w:t>1.管道及</w:t>
      </w:r>
      <w:r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  <w:t>管件</w:t>
      </w: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eastAsia="zh-CN"/>
        </w:rPr>
        <w:t>制作完毕后,内外面需进行防腐除锈，防腐除锈等级为St3，油漆为防腐型漆，耐酸碱、附着力强。除锈完毕后，其内外表面刷有机硅耐热底漆两遍，管道及构件安装完毕后，其外表面再刷有机硅耐热面漆两遍，内外壁漆膜实干厚度或有其他要求以下发图纸设计说明为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  <w:t>2.涂装前应对表面进行彻底检查和清理，不得有飞溅、油污和灰尘等，现场拼接焊缝50mm范围内不涂漆。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  <w:t>3.涂漆色标，底漆\中灰≥400℃、面漆\银白（参考RAL9006 White aluminium 白铝灰色）\耐高温≥400℃。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  <w:t>4.＜DN800管道内不涂漆，≥DN800管道内只涂底漆，管道外涂底漆与面漆。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210" w:firstLineChars="100"/>
        <w:jc w:val="both"/>
        <w:textAlignment w:val="baseline"/>
        <w:rPr>
          <w:rFonts w:hint="eastAsia" w:ascii="仿宋" w:hAnsi="仿宋" w:eastAsia="仿宋" w:cs="仿宋"/>
          <w:color w:val="auto"/>
          <w:position w:val="18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position w:val="18"/>
          <w:sz w:val="21"/>
          <w:szCs w:val="21"/>
          <w:lang w:val="en-US" w:eastAsia="zh-CN"/>
        </w:rPr>
        <w:t>5.注意：管道及管件运抵项目现场后，乙方配合甲方仔细检查油漆涂装的质量，达不到标准的将会被全面返工，为避免不必要损失，油漆涂装必须严格按以上要求执行。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六、</w:t>
      </w: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 xml:space="preserve">供货形式约定 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管道长度≤</w:t>
      </w: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 xml:space="preserve">12 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米时，采用整体制作供货；</w:t>
      </w: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 xml:space="preserve">12 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米＞除尘管道长度时，采用分段（12米/段，有其他长度要求甲方另行通知）制作供货。分段到货管道需注明分段标识或编号便于现场组装。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管件类原则上需整体到货不允许拆分，如确需拆分，需要甲方认可后方可实施。拆分到货的管件需注明拆分标识或编号便于现场组装。</w:t>
      </w:r>
    </w:p>
    <w:p>
      <w:pPr>
        <w:ind w:firstLine="210" w:firstLineChars="100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  <w:r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>管道及管件上的加固筋必须与管道按要求焊接后整体到货。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color w:val="FF0000"/>
          <w:position w:val="1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default" w:ascii="仿宋" w:hAnsi="仿宋" w:eastAsia="仿宋" w:cs="仿宋"/>
          <w:position w:val="18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position w:val="18"/>
          <w:sz w:val="21"/>
          <w:szCs w:val="21"/>
          <w:lang w:val="en-US" w:eastAsia="zh-CN"/>
        </w:rPr>
        <w:t xml:space="preserve">             </w:t>
      </w:r>
    </w:p>
    <w:sectPr>
      <w:footerReference r:id="rId6" w:type="default"/>
      <w:pgSz w:w="11900" w:h="16840"/>
      <w:pgMar w:top="1417" w:right="1417" w:bottom="1417" w:left="141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8DBBA"/>
    <w:multiLevelType w:val="singleLevel"/>
    <w:tmpl w:val="8E48DB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ThiODdmZjY2YmFiMzY3NjM0ZmIzNDFhMzU3NzQ2ZjQifQ=="/>
  </w:docVars>
  <w:rsids>
    <w:rsidRoot w:val="00000000"/>
    <w:rsid w:val="00A010BF"/>
    <w:rsid w:val="0216046C"/>
    <w:rsid w:val="023119D9"/>
    <w:rsid w:val="02CE17E8"/>
    <w:rsid w:val="02D84414"/>
    <w:rsid w:val="04473600"/>
    <w:rsid w:val="044A30F0"/>
    <w:rsid w:val="05DB66F5"/>
    <w:rsid w:val="06CC4290"/>
    <w:rsid w:val="07302091"/>
    <w:rsid w:val="08A6123D"/>
    <w:rsid w:val="0966277A"/>
    <w:rsid w:val="0ACC00A9"/>
    <w:rsid w:val="0BE300B2"/>
    <w:rsid w:val="0C1B4F42"/>
    <w:rsid w:val="0DF02F5A"/>
    <w:rsid w:val="0E552DBD"/>
    <w:rsid w:val="0F1C0ED5"/>
    <w:rsid w:val="10FB7C4C"/>
    <w:rsid w:val="11036B00"/>
    <w:rsid w:val="13EE1CEA"/>
    <w:rsid w:val="14496F20"/>
    <w:rsid w:val="145A112D"/>
    <w:rsid w:val="15284D87"/>
    <w:rsid w:val="157B1BF8"/>
    <w:rsid w:val="17173305"/>
    <w:rsid w:val="187A3B4C"/>
    <w:rsid w:val="19262637"/>
    <w:rsid w:val="19550115"/>
    <w:rsid w:val="19C07C84"/>
    <w:rsid w:val="19ED1DEC"/>
    <w:rsid w:val="1A7F5449"/>
    <w:rsid w:val="1D724E0F"/>
    <w:rsid w:val="1EA23DFC"/>
    <w:rsid w:val="1F8E612F"/>
    <w:rsid w:val="20474C5B"/>
    <w:rsid w:val="20992FDD"/>
    <w:rsid w:val="23607DE2"/>
    <w:rsid w:val="24F40CF4"/>
    <w:rsid w:val="25DA3E7C"/>
    <w:rsid w:val="266D0776"/>
    <w:rsid w:val="27433CA3"/>
    <w:rsid w:val="28285372"/>
    <w:rsid w:val="28D41056"/>
    <w:rsid w:val="29283150"/>
    <w:rsid w:val="293942D3"/>
    <w:rsid w:val="295126A7"/>
    <w:rsid w:val="29797A00"/>
    <w:rsid w:val="29D84B76"/>
    <w:rsid w:val="2B801021"/>
    <w:rsid w:val="2C3C763E"/>
    <w:rsid w:val="2C770676"/>
    <w:rsid w:val="2D99305E"/>
    <w:rsid w:val="2DB41456"/>
    <w:rsid w:val="2DD438A6"/>
    <w:rsid w:val="2EC4391B"/>
    <w:rsid w:val="2FDB716E"/>
    <w:rsid w:val="30C419B0"/>
    <w:rsid w:val="30F675C4"/>
    <w:rsid w:val="314D5E4A"/>
    <w:rsid w:val="319E0453"/>
    <w:rsid w:val="323E39E4"/>
    <w:rsid w:val="32827064"/>
    <w:rsid w:val="341E2D11"/>
    <w:rsid w:val="34BD5094"/>
    <w:rsid w:val="35AA386B"/>
    <w:rsid w:val="36121410"/>
    <w:rsid w:val="37C64260"/>
    <w:rsid w:val="380F1889"/>
    <w:rsid w:val="38BB7B3D"/>
    <w:rsid w:val="3915477F"/>
    <w:rsid w:val="3AB56BF1"/>
    <w:rsid w:val="3BDA652C"/>
    <w:rsid w:val="3DD376D7"/>
    <w:rsid w:val="40362C79"/>
    <w:rsid w:val="40532D51"/>
    <w:rsid w:val="40F55BB6"/>
    <w:rsid w:val="437B6846"/>
    <w:rsid w:val="45C868C6"/>
    <w:rsid w:val="45C9102B"/>
    <w:rsid w:val="46276812"/>
    <w:rsid w:val="471804C7"/>
    <w:rsid w:val="47BB0D3E"/>
    <w:rsid w:val="47D02508"/>
    <w:rsid w:val="487D52AE"/>
    <w:rsid w:val="49B77EAC"/>
    <w:rsid w:val="4A6A3171"/>
    <w:rsid w:val="4ACA1E61"/>
    <w:rsid w:val="4B58746D"/>
    <w:rsid w:val="4B64798B"/>
    <w:rsid w:val="4C9B5863"/>
    <w:rsid w:val="4D9F3131"/>
    <w:rsid w:val="4DD54DA5"/>
    <w:rsid w:val="4EA62513"/>
    <w:rsid w:val="50DB6B76"/>
    <w:rsid w:val="50F814D6"/>
    <w:rsid w:val="52C04276"/>
    <w:rsid w:val="54B90F7D"/>
    <w:rsid w:val="562B7C58"/>
    <w:rsid w:val="56644F18"/>
    <w:rsid w:val="56AA2565"/>
    <w:rsid w:val="57212E09"/>
    <w:rsid w:val="57AA2DFF"/>
    <w:rsid w:val="57D165DD"/>
    <w:rsid w:val="580544D9"/>
    <w:rsid w:val="59D14FBA"/>
    <w:rsid w:val="5CFF599B"/>
    <w:rsid w:val="5DB35BD3"/>
    <w:rsid w:val="5E7A79CF"/>
    <w:rsid w:val="601E438A"/>
    <w:rsid w:val="62702F04"/>
    <w:rsid w:val="62C03E1E"/>
    <w:rsid w:val="63760941"/>
    <w:rsid w:val="65AE605B"/>
    <w:rsid w:val="66155D23"/>
    <w:rsid w:val="690745D1"/>
    <w:rsid w:val="69360996"/>
    <w:rsid w:val="69F66377"/>
    <w:rsid w:val="6A3D5D54"/>
    <w:rsid w:val="6AC975E8"/>
    <w:rsid w:val="6CA334AE"/>
    <w:rsid w:val="6EFD7211"/>
    <w:rsid w:val="6F9A449D"/>
    <w:rsid w:val="70422316"/>
    <w:rsid w:val="70453945"/>
    <w:rsid w:val="704F058F"/>
    <w:rsid w:val="74090005"/>
    <w:rsid w:val="74583EB6"/>
    <w:rsid w:val="747D562A"/>
    <w:rsid w:val="74FD05BA"/>
    <w:rsid w:val="75104791"/>
    <w:rsid w:val="75F55735"/>
    <w:rsid w:val="76CE0460"/>
    <w:rsid w:val="76D11CFE"/>
    <w:rsid w:val="789F79F9"/>
    <w:rsid w:val="79780B57"/>
    <w:rsid w:val="7BA97FC7"/>
    <w:rsid w:val="7BB51BEE"/>
    <w:rsid w:val="7BC9569A"/>
    <w:rsid w:val="7C1032C9"/>
    <w:rsid w:val="7D545437"/>
    <w:rsid w:val="7FD12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1493</Words>
  <Characters>1708</Characters>
  <TotalTime>6</TotalTime>
  <ScaleCrop>false</ScaleCrop>
  <LinksUpToDate>false</LinksUpToDate>
  <CharactersWithSpaces>1733</CharactersWithSpaces>
  <Application>WPS Office_11.8.2.11813_F1E327BC-269C-435d-A152-05C5408002CA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2023-09-12T14:45:00Z</dcterms:created>
  <dc:creator>Kingsoft-PDF</dc:creator>
  <cp:lastModifiedBy>User</cp:lastModifiedBy>
  <dcterms:modified xsi:type="dcterms:W3CDTF">2025-01-24T07:54:15Z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2023-09-12T14:45:53Z</vt:filetime>
  </property>
  <property fmtid="{D5CDD505-2E9C-101B-9397-08002B2CF9AE}" pid="4" name="UsrData">
    <vt:lpwstr>6500091a2e6f9d001f9ee4e1wl</vt:lpwstr>
  </property>
  <property fmtid="{D5CDD505-2E9C-101B-9397-08002B2CF9AE}" pid="5" name="KSOProductBuildVer">
    <vt:lpwstr>2052-11.8.2.11813</vt:lpwstr>
  </property>
  <property fmtid="{D5CDD505-2E9C-101B-9397-08002B2CF9AE}" pid="6" name="ICV">
    <vt:lpwstr>BCD62AB8F5D5473E9152C00517D93194_12</vt:lpwstr>
  </property>
  <property fmtid="{D5CDD505-2E9C-101B-9397-08002B2CF9AE}" pid="7" name="KSOTemplateDocerSaveRecord">
    <vt:lpwstr>eyJoZGlkIjoiZThiODdmZjY2YmFiMzY3NjM0ZmIzNDFhMzU3NzQ2ZjQifQ==</vt:lpwstr>
  </property>
</Properties>
</file>