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notes.xml" ContentType="application/vnd.openxmlformats-officedocument.wordprocessingml.footnotes+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3C259C57">
      <w:pPr>
        <w:snapToGrid w:val="0"/>
        <w:spacing w:line="360" w:lineRule="auto"/>
        <w:ind w:right="2" w:rightChars="1"/>
        <w:jc w:val="center"/>
        <w:rPr>
          <w:rFonts w:hint="eastAsia" w:ascii="宋体" w:hAnsi="宋体" w:eastAsia="宋体" w:cs="Times New Roman"/>
          <w:b/>
          <w:sz w:val="44"/>
          <w:lang w:val="en-US" w:eastAsia="zh-CN"/>
        </w:rPr>
      </w:pPr>
      <w:r>
        <w:rPr>
          <w:rFonts w:hint="eastAsia" w:ascii="宋体" w:hAnsi="宋体" w:eastAsia="宋体" w:cs="Times New Roman"/>
          <w:b/>
          <w:sz w:val="44"/>
          <w:lang w:val="en-US" w:eastAsia="zh-CN"/>
        </w:rPr>
        <w:t>甘肃酒钢集团宏兴钢铁股份有限公司</w:t>
      </w:r>
    </w:p>
    <w:p w14:paraId="771258E9">
      <w:pPr>
        <w:jc w:val="center"/>
        <w:rPr>
          <w:rFonts w:hint="eastAsia" w:ascii="宋体" w:hAnsi="宋体"/>
          <w:b/>
          <w:color w:val="auto"/>
          <w:sz w:val="32"/>
          <w:szCs w:val="32"/>
          <w:highlight w:val="none"/>
        </w:rPr>
      </w:pPr>
      <w:r>
        <w:rPr>
          <w:rFonts w:hint="eastAsia" w:ascii="宋体" w:hAnsi="宋体" w:eastAsia="宋体" w:cs="Times New Roman"/>
          <w:b/>
          <w:sz w:val="44"/>
          <w:lang w:val="en-US" w:eastAsia="zh-CN"/>
        </w:rPr>
        <w:t>炼铁厂</w:t>
      </w:r>
    </w:p>
    <w:p w14:paraId="5AD47711">
      <w:pPr>
        <w:rPr>
          <w:rFonts w:hint="eastAsia" w:ascii="宋体" w:hAnsi="宋体"/>
          <w:b/>
          <w:color w:val="auto"/>
          <w:sz w:val="32"/>
          <w:szCs w:val="32"/>
          <w:highlight w:val="none"/>
        </w:rPr>
      </w:pPr>
    </w:p>
    <w:p w14:paraId="26A32575">
      <w:pPr>
        <w:snapToGrid w:val="0"/>
        <w:spacing w:line="360" w:lineRule="auto"/>
        <w:ind w:right="2" w:rightChars="1"/>
        <w:jc w:val="center"/>
        <w:rPr>
          <w:rFonts w:hint="eastAsia" w:ascii="宋体" w:hAnsi="宋体" w:eastAsia="宋体" w:cs="Times New Roman"/>
          <w:b/>
          <w:sz w:val="44"/>
          <w:lang w:val="en-US" w:eastAsia="zh-CN"/>
        </w:rPr>
      </w:pPr>
    </w:p>
    <w:p w14:paraId="17F15F4A">
      <w:pPr>
        <w:snapToGrid w:val="0"/>
        <w:spacing w:line="360" w:lineRule="auto"/>
        <w:ind w:right="2" w:rightChars="1"/>
        <w:jc w:val="center"/>
        <w:rPr>
          <w:rFonts w:hint="eastAsia" w:ascii="宋体" w:hAnsi="宋体" w:eastAsia="宋体" w:cs="Times New Roman"/>
          <w:b/>
          <w:color w:val="auto"/>
          <w:sz w:val="32"/>
          <w:szCs w:val="32"/>
          <w:highlight w:val="none"/>
          <w:lang w:val="en-US" w:eastAsia="zh-CN"/>
        </w:rPr>
      </w:pPr>
      <w:r>
        <w:rPr>
          <w:rFonts w:hint="eastAsia" w:ascii="宋体" w:hAnsi="宋体" w:eastAsia="宋体" w:cs="Times New Roman"/>
          <w:b/>
          <w:color w:val="auto"/>
          <w:sz w:val="32"/>
          <w:szCs w:val="32"/>
          <w:highlight w:val="none"/>
          <w:lang w:val="en-US" w:eastAsia="zh-CN"/>
        </w:rPr>
        <w:t>斗式提升机链条组件\DT40 P-152.4 16Mn+45#</w:t>
      </w:r>
    </w:p>
    <w:p w14:paraId="1150C2B2">
      <w:pPr>
        <w:snapToGrid w:val="0"/>
        <w:spacing w:line="360" w:lineRule="auto"/>
        <w:ind w:right="2" w:rightChars="1"/>
        <w:jc w:val="center"/>
        <w:rPr>
          <w:rFonts w:hint="eastAsia" w:ascii="宋体" w:hAnsi="宋体" w:eastAsia="宋体" w:cs="Times New Roman"/>
          <w:b/>
          <w:sz w:val="44"/>
          <w:lang w:val="en-US" w:eastAsia="zh-CN"/>
        </w:rPr>
      </w:pPr>
      <w:r>
        <w:rPr>
          <w:rFonts w:hint="eastAsia" w:ascii="宋体" w:hAnsi="宋体"/>
          <w:b/>
          <w:sz w:val="32"/>
          <w:szCs w:val="32"/>
          <w:highlight w:val="none"/>
          <w:lang w:val="en-US" w:eastAsia="zh-CN"/>
        </w:rPr>
        <w:t>采购技术规格书</w:t>
      </w:r>
    </w:p>
    <w:p w14:paraId="0E3319F4">
      <w:pPr>
        <w:snapToGrid w:val="0"/>
        <w:spacing w:line="360" w:lineRule="auto"/>
        <w:ind w:right="2" w:rightChars="1"/>
        <w:jc w:val="center"/>
        <w:rPr>
          <w:rFonts w:hint="eastAsia" w:ascii="宋体" w:hAnsi="宋体" w:eastAsia="宋体" w:cs="Times New Roman"/>
          <w:b/>
          <w:sz w:val="44"/>
          <w:lang w:val="en-US" w:eastAsia="zh-CN"/>
        </w:rPr>
      </w:pPr>
    </w:p>
    <w:p w14:paraId="6F18CCC2">
      <w:pPr>
        <w:snapToGrid w:val="0"/>
        <w:spacing w:line="360" w:lineRule="auto"/>
        <w:ind w:right="2" w:rightChars="1"/>
        <w:jc w:val="center"/>
        <w:rPr>
          <w:rFonts w:hint="eastAsia" w:ascii="宋体" w:hAnsi="宋体" w:eastAsia="宋体" w:cs="Times New Roman"/>
          <w:b/>
          <w:sz w:val="44"/>
          <w:lang w:val="en-US" w:eastAsia="zh-CN"/>
        </w:rPr>
      </w:pPr>
    </w:p>
    <w:p w14:paraId="6DA1965F">
      <w:pPr>
        <w:snapToGrid w:val="0"/>
        <w:spacing w:line="360" w:lineRule="auto"/>
        <w:ind w:right="2" w:rightChars="1"/>
        <w:jc w:val="center"/>
        <w:rPr>
          <w:rFonts w:hint="eastAsia" w:ascii="宋体" w:hAnsi="宋体" w:eastAsia="宋体" w:cs="Times New Roman"/>
          <w:b/>
          <w:sz w:val="44"/>
          <w:lang w:val="en-US" w:eastAsia="zh-CN"/>
        </w:rPr>
      </w:pPr>
    </w:p>
    <w:p w14:paraId="5C2E4D88">
      <w:pPr>
        <w:snapToGrid w:val="0"/>
        <w:spacing w:line="360" w:lineRule="auto"/>
        <w:ind w:right="2" w:rightChars="1"/>
        <w:jc w:val="center"/>
        <w:rPr>
          <w:rFonts w:hint="eastAsia" w:ascii="宋体" w:hAnsi="宋体" w:eastAsia="宋体" w:cs="Times New Roman"/>
          <w:b/>
          <w:sz w:val="44"/>
          <w:lang w:val="en-US" w:eastAsia="zh-CN"/>
        </w:rPr>
      </w:pPr>
    </w:p>
    <w:p w14:paraId="617A151E">
      <w:pPr>
        <w:snapToGrid w:val="0"/>
        <w:spacing w:line="360" w:lineRule="auto"/>
        <w:ind w:right="2" w:rightChars="1" w:firstLine="703" w:firstLineChars="250"/>
        <w:rPr>
          <w:rFonts w:hint="eastAsia" w:ascii="仿宋" w:hAnsi="仿宋" w:eastAsia="仿宋" w:cs="仿宋"/>
          <w:b/>
          <w:color w:val="auto"/>
          <w:sz w:val="28"/>
          <w:szCs w:val="28"/>
          <w:highlight w:val="none"/>
          <w:lang w:eastAsia="zh-CN"/>
        </w:rPr>
      </w:pPr>
      <w:r>
        <w:rPr>
          <w:rFonts w:hint="eastAsia" w:ascii="仿宋" w:hAnsi="仿宋" w:eastAsia="仿宋" w:cs="仿宋"/>
          <w:b/>
          <w:color w:val="auto"/>
          <w:sz w:val="28"/>
          <w:szCs w:val="28"/>
          <w:highlight w:val="none"/>
        </w:rPr>
        <w:t>甲方：甘肃酒钢集团宏兴钢铁股份有限公司</w:t>
      </w:r>
      <w:r>
        <w:rPr>
          <w:rFonts w:hint="eastAsia" w:ascii="仿宋" w:hAnsi="仿宋" w:eastAsia="仿宋" w:cs="仿宋"/>
          <w:b/>
          <w:color w:val="auto"/>
          <w:sz w:val="28"/>
          <w:szCs w:val="28"/>
          <w:highlight w:val="none"/>
          <w:lang w:eastAsia="zh-CN"/>
        </w:rPr>
        <w:t>炼铁厂</w:t>
      </w:r>
    </w:p>
    <w:p w14:paraId="77006828">
      <w:pPr>
        <w:spacing w:before="100" w:beforeAutospacing="1" w:after="100" w:afterAutospacing="1" w:line="360" w:lineRule="auto"/>
        <w:ind w:firstLine="722" w:firstLineChars="257"/>
        <w:rPr>
          <w:rFonts w:hint="eastAsia" w:ascii="仿宋" w:hAnsi="仿宋" w:eastAsia="仿宋" w:cs="仿宋"/>
          <w:b/>
          <w:bCs/>
          <w:color w:val="auto"/>
          <w:sz w:val="28"/>
          <w:szCs w:val="28"/>
          <w:highlight w:val="none"/>
        </w:rPr>
      </w:pPr>
      <w:r>
        <w:rPr>
          <w:rFonts w:hint="eastAsia" w:ascii="仿宋" w:hAnsi="仿宋" w:eastAsia="仿宋" w:cs="仿宋"/>
          <w:b/>
          <w:bCs/>
          <w:color w:val="auto"/>
          <w:sz w:val="28"/>
          <w:szCs w:val="28"/>
          <w:highlight w:val="none"/>
        </w:rPr>
        <w:t>甲方代表（签字）：</w:t>
      </w:r>
    </w:p>
    <w:p w14:paraId="501171ED">
      <w:pPr>
        <w:spacing w:before="100" w:beforeAutospacing="1" w:after="100" w:afterAutospacing="1" w:line="360" w:lineRule="auto"/>
        <w:ind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w:t>
      </w:r>
    </w:p>
    <w:p w14:paraId="4F494C89">
      <w:pPr>
        <w:snapToGrid w:val="0"/>
        <w:spacing w:before="100" w:beforeAutospacing="1" w:after="100" w:afterAutospacing="1" w:line="360" w:lineRule="auto"/>
        <w:ind w:right="-447" w:firstLine="722" w:firstLineChars="257"/>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乙方代表（签字）：</w:t>
      </w:r>
    </w:p>
    <w:p w14:paraId="4ED70FDD">
      <w:pPr>
        <w:snapToGrid w:val="0"/>
        <w:spacing w:before="100" w:beforeAutospacing="1" w:after="100" w:afterAutospacing="1" w:line="360" w:lineRule="auto"/>
        <w:ind w:right="-447" w:firstLine="1349" w:firstLineChars="420"/>
        <w:rPr>
          <w:rFonts w:hint="eastAsia" w:ascii="仿宋" w:hAnsi="仿宋" w:eastAsia="仿宋" w:cs="仿宋"/>
          <w:b/>
          <w:color w:val="auto"/>
          <w:sz w:val="32"/>
          <w:szCs w:val="32"/>
          <w:highlight w:val="none"/>
        </w:rPr>
      </w:pPr>
    </w:p>
    <w:p w14:paraId="3F127CB0">
      <w:pPr>
        <w:snapToGrid w:val="0"/>
        <w:spacing w:before="100" w:beforeAutospacing="1" w:after="100" w:afterAutospacing="1" w:line="360" w:lineRule="auto"/>
        <w:ind w:right="-447"/>
        <w:rPr>
          <w:rFonts w:hint="eastAsia" w:ascii="仿宋" w:hAnsi="仿宋" w:eastAsia="仿宋" w:cs="仿宋"/>
          <w:b/>
          <w:color w:val="auto"/>
          <w:sz w:val="32"/>
          <w:szCs w:val="32"/>
          <w:highlight w:val="none"/>
        </w:rPr>
      </w:pPr>
    </w:p>
    <w:p w14:paraId="325790B2">
      <w:pPr>
        <w:tabs>
          <w:tab w:val="left" w:pos="7020"/>
        </w:tabs>
        <w:snapToGrid w:val="0"/>
        <w:spacing w:before="100" w:beforeAutospacing="1" w:after="100" w:afterAutospacing="1" w:line="360" w:lineRule="auto"/>
        <w:ind w:right="-447" w:firstLine="5174" w:firstLineChars="1718"/>
        <w:rPr>
          <w:rFonts w:hint="eastAsia" w:ascii="宋体" w:hAnsi="宋体"/>
          <w:b/>
          <w:sz w:val="32"/>
        </w:rPr>
      </w:pPr>
      <w:r>
        <w:rPr>
          <w:rFonts w:hint="eastAsia" w:ascii="仿宋" w:hAnsi="仿宋" w:eastAsia="仿宋" w:cs="仿宋"/>
          <w:b/>
          <w:color w:val="auto"/>
          <w:sz w:val="30"/>
          <w:szCs w:val="30"/>
          <w:highlight w:val="none"/>
        </w:rPr>
        <w:t>20</w:t>
      </w:r>
      <w:r>
        <w:rPr>
          <w:rFonts w:hint="eastAsia" w:ascii="仿宋" w:hAnsi="仿宋" w:eastAsia="仿宋" w:cs="仿宋"/>
          <w:b/>
          <w:color w:val="auto"/>
          <w:sz w:val="30"/>
          <w:szCs w:val="30"/>
          <w:highlight w:val="none"/>
          <w:lang w:val="en-US" w:eastAsia="zh-CN"/>
        </w:rPr>
        <w:t>26</w:t>
      </w:r>
      <w:r>
        <w:rPr>
          <w:rFonts w:hint="eastAsia" w:ascii="仿宋" w:hAnsi="仿宋" w:eastAsia="仿宋" w:cs="仿宋"/>
          <w:b/>
          <w:color w:val="auto"/>
          <w:sz w:val="30"/>
          <w:szCs w:val="30"/>
          <w:highlight w:val="none"/>
        </w:rPr>
        <w:t xml:space="preserve">年 </w:t>
      </w:r>
      <w:r>
        <w:rPr>
          <w:rFonts w:hint="eastAsia" w:ascii="仿宋" w:hAnsi="仿宋" w:eastAsia="仿宋" w:cs="仿宋"/>
          <w:b/>
          <w:color w:val="auto"/>
          <w:sz w:val="30"/>
          <w:szCs w:val="30"/>
          <w:highlight w:val="none"/>
          <w:lang w:val="en-US" w:eastAsia="zh-CN"/>
        </w:rPr>
        <w:t>1</w:t>
      </w:r>
      <w:r>
        <w:rPr>
          <w:rFonts w:hint="eastAsia" w:ascii="仿宋" w:hAnsi="仿宋" w:eastAsia="仿宋" w:cs="仿宋"/>
          <w:b/>
          <w:color w:val="auto"/>
          <w:sz w:val="30"/>
          <w:szCs w:val="30"/>
          <w:highlight w:val="none"/>
        </w:rPr>
        <w:t>月</w:t>
      </w:r>
      <w:r>
        <w:rPr>
          <w:rFonts w:hint="eastAsia" w:ascii="仿宋" w:hAnsi="仿宋" w:eastAsia="仿宋" w:cs="仿宋"/>
          <w:b/>
          <w:color w:val="auto"/>
          <w:sz w:val="30"/>
          <w:szCs w:val="30"/>
          <w:highlight w:val="none"/>
          <w:lang w:val="en-US" w:eastAsia="zh-CN"/>
        </w:rPr>
        <w:t>15</w:t>
      </w:r>
      <w:r>
        <w:rPr>
          <w:rFonts w:hint="eastAsia" w:ascii="仿宋" w:hAnsi="仿宋" w:eastAsia="仿宋" w:cs="仿宋"/>
          <w:b/>
          <w:color w:val="auto"/>
          <w:sz w:val="30"/>
          <w:szCs w:val="30"/>
          <w:highlight w:val="none"/>
        </w:rPr>
        <w:t>日</w:t>
      </w:r>
      <w:r>
        <w:rPr>
          <w:rFonts w:hint="eastAsia" w:ascii="宋体" w:hAnsi="宋体"/>
          <w:b/>
          <w:sz w:val="32"/>
        </w:rPr>
        <w:t xml:space="preserve">     </w:t>
      </w:r>
    </w:p>
    <w:p w14:paraId="30E578AB">
      <w:pPr>
        <w:spacing w:line="360" w:lineRule="auto"/>
        <w:ind w:firstLine="3791" w:firstLineChars="1049"/>
        <w:rPr>
          <w:rFonts w:hint="eastAsia" w:ascii="仿宋" w:hAnsi="仿宋" w:eastAsia="仿宋" w:cs="仿宋"/>
          <w:b/>
          <w:color w:val="auto"/>
          <w:sz w:val="36"/>
          <w:szCs w:val="36"/>
          <w:highlight w:val="none"/>
        </w:rPr>
      </w:pPr>
      <w:r>
        <w:rPr>
          <w:rFonts w:hint="eastAsia" w:ascii="仿宋" w:hAnsi="仿宋" w:eastAsia="仿宋" w:cs="仿宋"/>
          <w:b/>
          <w:color w:val="auto"/>
          <w:sz w:val="36"/>
          <w:szCs w:val="36"/>
          <w:highlight w:val="none"/>
        </w:rPr>
        <w:t>目    录</w:t>
      </w:r>
    </w:p>
    <w:p w14:paraId="33585274">
      <w:pPr>
        <w:spacing w:line="360" w:lineRule="auto"/>
        <w:ind w:firstLine="3791" w:firstLineChars="1049"/>
        <w:rPr>
          <w:rFonts w:hint="eastAsia" w:ascii="仿宋" w:hAnsi="仿宋" w:eastAsia="仿宋" w:cs="仿宋"/>
          <w:b/>
          <w:color w:val="auto"/>
          <w:sz w:val="36"/>
          <w:szCs w:val="36"/>
          <w:highlight w:val="none"/>
        </w:rPr>
      </w:pPr>
    </w:p>
    <w:p w14:paraId="765E455A">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附件一    总则</w:t>
      </w:r>
    </w:p>
    <w:p w14:paraId="4C7AE82C">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附件二    制造要求</w:t>
      </w:r>
    </w:p>
    <w:p w14:paraId="300FB8B0">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附件三    系统设备设施供货范围</w:t>
      </w:r>
    </w:p>
    <w:p w14:paraId="560912CB">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附件四    提供资料</w:t>
      </w:r>
    </w:p>
    <w:p w14:paraId="0AA60A61">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附件五    售后服务</w:t>
      </w:r>
    </w:p>
    <w:p w14:paraId="32ED987F">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附件六    交货时间及地点</w:t>
      </w:r>
    </w:p>
    <w:p w14:paraId="1D9A4AB1">
      <w:pPr>
        <w:widowControl/>
        <w:adjustRightInd/>
        <w:spacing w:before="100" w:beforeAutospacing="1" w:after="100" w:afterAutospacing="1" w:line="480" w:lineRule="auto"/>
        <w:ind w:firstLine="2530" w:firstLineChars="900"/>
        <w:textAlignment w:val="auto"/>
        <w:rPr>
          <w:rFonts w:hint="eastAsia" w:ascii="仿宋" w:hAnsi="仿宋" w:eastAsia="仿宋" w:cs="仿宋"/>
          <w:b/>
          <w:color w:val="auto"/>
          <w:sz w:val="28"/>
          <w:szCs w:val="28"/>
          <w:highlight w:val="none"/>
        </w:rPr>
      </w:pPr>
      <w:r>
        <w:rPr>
          <w:rFonts w:hint="eastAsia" w:ascii="仿宋" w:hAnsi="仿宋" w:eastAsia="仿宋" w:cs="仿宋"/>
          <w:b/>
          <w:color w:val="auto"/>
          <w:sz w:val="28"/>
          <w:szCs w:val="28"/>
          <w:highlight w:val="none"/>
        </w:rPr>
        <w:t>附件七    其它</w:t>
      </w:r>
    </w:p>
    <w:p w14:paraId="7E1EDF17">
      <w:pPr>
        <w:tabs>
          <w:tab w:val="left" w:pos="7020"/>
        </w:tabs>
        <w:snapToGrid w:val="0"/>
        <w:spacing w:before="100" w:beforeAutospacing="1" w:after="100" w:afterAutospacing="1" w:line="360" w:lineRule="auto"/>
        <w:ind w:right="-447" w:firstLine="5519" w:firstLineChars="1718"/>
        <w:rPr>
          <w:rFonts w:hint="eastAsia" w:ascii="宋体" w:hAnsi="宋体"/>
          <w:b/>
          <w:sz w:val="32"/>
        </w:rPr>
      </w:pPr>
    </w:p>
    <w:p w14:paraId="35F42A1B">
      <w:pPr>
        <w:tabs>
          <w:tab w:val="left" w:pos="7020"/>
        </w:tabs>
        <w:snapToGrid w:val="0"/>
        <w:spacing w:before="100" w:beforeAutospacing="1" w:after="100" w:afterAutospacing="1" w:line="360" w:lineRule="auto"/>
        <w:ind w:right="-447" w:firstLine="5519" w:firstLineChars="1718"/>
        <w:rPr>
          <w:rFonts w:hint="eastAsia" w:ascii="宋体" w:hAnsi="宋体"/>
          <w:b/>
          <w:sz w:val="32"/>
        </w:rPr>
      </w:pPr>
    </w:p>
    <w:p w14:paraId="68404EDC">
      <w:pPr>
        <w:tabs>
          <w:tab w:val="left" w:pos="7020"/>
        </w:tabs>
        <w:snapToGrid w:val="0"/>
        <w:spacing w:before="100" w:beforeAutospacing="1" w:after="100" w:afterAutospacing="1" w:line="360" w:lineRule="auto"/>
        <w:ind w:right="-447" w:firstLine="5519" w:firstLineChars="1718"/>
        <w:rPr>
          <w:rFonts w:hint="eastAsia" w:ascii="宋体" w:hAnsi="宋体"/>
          <w:b/>
          <w:sz w:val="32"/>
        </w:rPr>
      </w:pPr>
    </w:p>
    <w:p w14:paraId="02E54345">
      <w:pPr>
        <w:tabs>
          <w:tab w:val="left" w:pos="7020"/>
        </w:tabs>
        <w:snapToGrid w:val="0"/>
        <w:spacing w:before="100" w:beforeAutospacing="1" w:after="100" w:afterAutospacing="1" w:line="360" w:lineRule="auto"/>
        <w:ind w:right="-447" w:firstLine="5519" w:firstLineChars="1718"/>
        <w:rPr>
          <w:rFonts w:hint="eastAsia" w:ascii="宋体" w:hAnsi="宋体"/>
          <w:b/>
          <w:sz w:val="32"/>
        </w:rPr>
      </w:pPr>
    </w:p>
    <w:p w14:paraId="00FA2654">
      <w:pPr>
        <w:tabs>
          <w:tab w:val="left" w:pos="7020"/>
        </w:tabs>
        <w:snapToGrid w:val="0"/>
        <w:spacing w:before="100" w:beforeAutospacing="1" w:after="100" w:afterAutospacing="1" w:line="360" w:lineRule="auto"/>
        <w:ind w:right="-447" w:firstLine="5519" w:firstLineChars="1718"/>
        <w:rPr>
          <w:rFonts w:hint="eastAsia" w:ascii="宋体" w:hAnsi="宋体"/>
          <w:b/>
          <w:sz w:val="32"/>
        </w:rPr>
      </w:pPr>
    </w:p>
    <w:p w14:paraId="6CCDC8F7">
      <w:pPr>
        <w:widowControl/>
        <w:spacing w:line="480" w:lineRule="auto"/>
        <w:ind w:right="72" w:rightChars="30"/>
        <w:rPr>
          <w:rFonts w:hint="eastAsia" w:ascii="宋体" w:hAnsi="宋体"/>
          <w:sz w:val="21"/>
        </w:rPr>
      </w:pPr>
    </w:p>
    <w:p w14:paraId="65BAB6F2">
      <w:pPr>
        <w:widowControl/>
        <w:autoSpaceDE w:val="0"/>
        <w:autoSpaceDN w:val="0"/>
        <w:adjustRightInd/>
        <w:spacing w:line="360" w:lineRule="auto"/>
        <w:ind w:firstLine="420" w:firstLineChars="200"/>
        <w:jc w:val="left"/>
        <w:textAlignment w:val="auto"/>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eastAsia="zh-CN"/>
        </w:rPr>
        <w:t xml:space="preserve">甘肃酒钢集团宏兴股份公司炼铁厂（以下称甲方）与                </w:t>
      </w:r>
      <w:r>
        <w:rPr>
          <w:rFonts w:hint="eastAsia" w:ascii="仿宋" w:hAnsi="仿宋" w:eastAsia="仿宋" w:cs="仿宋"/>
          <w:color w:val="auto"/>
          <w:kern w:val="2"/>
          <w:sz w:val="21"/>
          <w:szCs w:val="21"/>
          <w:highlight w:val="none"/>
          <w:lang w:val="en-US" w:eastAsia="zh-CN"/>
        </w:rPr>
        <w:t xml:space="preserve"> 有限</w:t>
      </w:r>
      <w:r>
        <w:rPr>
          <w:rFonts w:hint="eastAsia" w:ascii="仿宋" w:hAnsi="仿宋" w:eastAsia="仿宋" w:cs="仿宋"/>
          <w:color w:val="auto"/>
          <w:kern w:val="2"/>
          <w:sz w:val="21"/>
          <w:szCs w:val="21"/>
          <w:highlight w:val="none"/>
          <w:lang w:eastAsia="zh-CN"/>
        </w:rPr>
        <w:t>公司（以下称乙方）就甲方物料：</w:t>
      </w:r>
      <w:r>
        <w:rPr>
          <w:rFonts w:hint="eastAsia" w:ascii="仿宋" w:hAnsi="仿宋" w:eastAsia="仿宋" w:cs="仿宋"/>
          <w:color w:val="auto"/>
          <w:kern w:val="2"/>
          <w:sz w:val="21"/>
          <w:szCs w:val="21"/>
          <w:highlight w:val="none"/>
          <w:lang w:val="en-US" w:eastAsia="zh-CN"/>
        </w:rPr>
        <w:t>斗式提升机链条组件\DT40 P-152.4 16Mn+45#</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lang w:eastAsia="zh-CN"/>
        </w:rPr>
        <w:t>经双方友好协商，达成如下技术协议：</w:t>
      </w:r>
    </w:p>
    <w:p w14:paraId="15B6FD69">
      <w:pPr>
        <w:widowControl/>
        <w:autoSpaceDE w:val="0"/>
        <w:autoSpaceDN w:val="0"/>
        <w:adjustRightInd/>
        <w:spacing w:line="360" w:lineRule="auto"/>
        <w:ind w:firstLine="420" w:firstLineChars="200"/>
        <w:jc w:val="left"/>
        <w:textAlignment w:val="auto"/>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eastAsia="zh-CN"/>
        </w:rPr>
        <w:t>一 、总则</w:t>
      </w:r>
    </w:p>
    <w:p w14:paraId="114E4A23">
      <w:pPr>
        <w:widowControl/>
        <w:autoSpaceDE w:val="0"/>
        <w:autoSpaceDN w:val="0"/>
        <w:adjustRightInd/>
        <w:spacing w:line="360" w:lineRule="auto"/>
        <w:ind w:firstLine="420" w:firstLineChars="200"/>
        <w:jc w:val="left"/>
        <w:textAlignment w:val="auto"/>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eastAsia="zh-CN"/>
        </w:rPr>
        <w:t>本技术协议作为甲方设备订货合同的附件，与订货合同同时生效，具有同等法律效力。合同执行期间双方再协商形成的补充协议和追加条款也具有同等法律效力。</w:t>
      </w:r>
    </w:p>
    <w:p w14:paraId="3E95E739">
      <w:pPr>
        <w:widowControl/>
        <w:autoSpaceDE w:val="0"/>
        <w:autoSpaceDN w:val="0"/>
        <w:adjustRightInd/>
        <w:spacing w:line="360" w:lineRule="auto"/>
        <w:ind w:firstLine="420" w:firstLineChars="200"/>
        <w:jc w:val="left"/>
        <w:textAlignment w:val="auto"/>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1.</w:t>
      </w:r>
      <w:r>
        <w:rPr>
          <w:rFonts w:hint="eastAsia" w:ascii="仿宋" w:hAnsi="仿宋" w:eastAsia="仿宋" w:cs="仿宋"/>
          <w:color w:val="auto"/>
          <w:kern w:val="2"/>
          <w:sz w:val="21"/>
          <w:szCs w:val="21"/>
          <w:highlight w:val="none"/>
          <w:lang w:eastAsia="zh-CN"/>
        </w:rPr>
        <w:t>本技术协议所提出的是最低标准的技术要求，并未对一切技术细节做出规定，也未充分引述有关标准和规范的条文，乙方应保证提供符合有关标准和技术文件的优质产品。</w:t>
      </w:r>
    </w:p>
    <w:p w14:paraId="58AF62C2">
      <w:pPr>
        <w:widowControl/>
        <w:autoSpaceDE w:val="0"/>
        <w:autoSpaceDN w:val="0"/>
        <w:adjustRightInd/>
        <w:spacing w:line="360" w:lineRule="auto"/>
        <w:ind w:firstLine="420" w:firstLineChars="200"/>
        <w:jc w:val="left"/>
        <w:textAlignment w:val="auto"/>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2.</w:t>
      </w:r>
      <w:r>
        <w:rPr>
          <w:rFonts w:hint="eastAsia" w:ascii="仿宋" w:hAnsi="仿宋" w:eastAsia="仿宋" w:cs="仿宋"/>
          <w:color w:val="auto"/>
          <w:kern w:val="2"/>
          <w:sz w:val="21"/>
          <w:szCs w:val="21"/>
          <w:highlight w:val="none"/>
          <w:lang w:eastAsia="zh-CN"/>
        </w:rPr>
        <w:t>乙方提供的设备必须具有国内同行业近几年内的先进制造水平，采用先进工艺，合格材料，成熟的技术或专利技术。</w:t>
      </w:r>
    </w:p>
    <w:p w14:paraId="31EB7B92">
      <w:pPr>
        <w:widowControl/>
        <w:autoSpaceDE w:val="0"/>
        <w:autoSpaceDN w:val="0"/>
        <w:adjustRightInd/>
        <w:spacing w:line="360" w:lineRule="auto"/>
        <w:ind w:firstLine="420" w:firstLineChars="200"/>
        <w:jc w:val="left"/>
        <w:textAlignment w:val="auto"/>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3.</w:t>
      </w:r>
      <w:r>
        <w:rPr>
          <w:rFonts w:hint="eastAsia" w:ascii="仿宋" w:hAnsi="仿宋" w:eastAsia="仿宋" w:cs="仿宋"/>
          <w:color w:val="auto"/>
          <w:kern w:val="2"/>
          <w:sz w:val="21"/>
          <w:szCs w:val="21"/>
          <w:highlight w:val="none"/>
          <w:lang w:eastAsia="zh-CN"/>
        </w:rPr>
        <w:t>乙方提供的设备必须是全新、规范、先进的高质量可靠产品，能够确保连续稳定的工作。</w:t>
      </w:r>
    </w:p>
    <w:p w14:paraId="559122AA">
      <w:pPr>
        <w:widowControl/>
        <w:autoSpaceDE w:val="0"/>
        <w:autoSpaceDN w:val="0"/>
        <w:adjustRightInd/>
        <w:spacing w:line="360" w:lineRule="auto"/>
        <w:ind w:firstLine="420" w:firstLineChars="200"/>
        <w:jc w:val="left"/>
        <w:textAlignment w:val="auto"/>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lang w:eastAsia="zh-CN"/>
        </w:rPr>
        <w:t>乙方提供货物的制造，材料的选择，都应按照国内外通用的现行标准和相应的技术规范执行，而这些标准和技术规范应为合同签字日为止最新公布发问的标准和技术规范。</w:t>
      </w:r>
    </w:p>
    <w:p w14:paraId="10506BE6">
      <w:pPr>
        <w:widowControl/>
        <w:autoSpaceDE w:val="0"/>
        <w:autoSpaceDN w:val="0"/>
        <w:adjustRightInd/>
        <w:spacing w:line="360" w:lineRule="auto"/>
        <w:ind w:firstLine="420" w:firstLineChars="200"/>
        <w:jc w:val="left"/>
        <w:textAlignment w:val="auto"/>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5.</w:t>
      </w:r>
      <w:r>
        <w:rPr>
          <w:rFonts w:hint="eastAsia" w:ascii="仿宋" w:hAnsi="仿宋" w:eastAsia="仿宋" w:cs="仿宋"/>
          <w:color w:val="auto"/>
          <w:kern w:val="2"/>
          <w:sz w:val="21"/>
          <w:szCs w:val="21"/>
          <w:highlight w:val="none"/>
          <w:lang w:eastAsia="zh-CN"/>
        </w:rPr>
        <w:t>乙方须对本次</w:t>
      </w:r>
      <w:r>
        <w:rPr>
          <w:rFonts w:hint="eastAsia" w:ascii="仿宋" w:hAnsi="仿宋" w:eastAsia="仿宋" w:cs="仿宋"/>
          <w:color w:val="auto"/>
          <w:kern w:val="2"/>
          <w:sz w:val="21"/>
          <w:szCs w:val="21"/>
          <w:highlight w:val="none"/>
          <w:lang w:val="en-US" w:eastAsia="zh-CN"/>
        </w:rPr>
        <w:t>斗式提升机</w:t>
      </w:r>
      <w:r>
        <w:rPr>
          <w:rFonts w:hint="eastAsia" w:ascii="仿宋" w:hAnsi="仿宋" w:eastAsia="仿宋" w:cs="仿宋"/>
          <w:color w:val="auto"/>
          <w:kern w:val="2"/>
          <w:sz w:val="21"/>
          <w:szCs w:val="21"/>
          <w:highlight w:val="none"/>
          <w:lang w:eastAsia="zh-CN"/>
        </w:rPr>
        <w:t>供货质量承担全部责任。</w:t>
      </w:r>
    </w:p>
    <w:p w14:paraId="4BC0EAFE">
      <w:pPr>
        <w:widowControl/>
        <w:autoSpaceDE w:val="0"/>
        <w:autoSpaceDN w:val="0"/>
        <w:adjustRightInd/>
        <w:spacing w:line="360" w:lineRule="auto"/>
        <w:ind w:firstLine="420" w:firstLineChars="200"/>
        <w:jc w:val="left"/>
        <w:textAlignment w:val="auto"/>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6.</w:t>
      </w:r>
      <w:r>
        <w:rPr>
          <w:rFonts w:hint="eastAsia" w:ascii="仿宋" w:hAnsi="仿宋" w:eastAsia="仿宋" w:cs="仿宋"/>
          <w:color w:val="auto"/>
          <w:kern w:val="2"/>
          <w:sz w:val="21"/>
          <w:szCs w:val="21"/>
          <w:highlight w:val="none"/>
          <w:lang w:eastAsia="zh-CN"/>
        </w:rPr>
        <w:t>乙方在合同货物制造中，发生侵犯专利的行为时其侵权责任与甲方无关。</w:t>
      </w:r>
    </w:p>
    <w:p w14:paraId="4B366188">
      <w:pPr>
        <w:keepNext w:val="0"/>
        <w:keepLines w:val="0"/>
        <w:pageBreakBefore w:val="0"/>
        <w:widowControl w:val="0"/>
        <w:kinsoku/>
        <w:wordWrap/>
        <w:overflowPunct/>
        <w:topLinePunct w:val="0"/>
        <w:autoSpaceDE/>
        <w:autoSpaceDN/>
        <w:bidi w:val="0"/>
        <w:adjustRightInd/>
        <w:snapToGrid/>
        <w:spacing w:line="240" w:lineRule="auto"/>
        <w:jc w:val="left"/>
        <w:textAlignment w:val="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附件二</w:t>
      </w:r>
      <w:r>
        <w:rPr>
          <w:rFonts w:hint="eastAsia" w:ascii="仿宋" w:hAnsi="仿宋" w:eastAsia="仿宋" w:cs="仿宋"/>
          <w:b/>
          <w:color w:val="auto"/>
          <w:sz w:val="21"/>
          <w:szCs w:val="21"/>
          <w:highlight w:val="none"/>
          <w:lang w:val="en-US" w:eastAsia="zh-CN"/>
        </w:rPr>
        <w:t xml:space="preserve"> </w:t>
      </w:r>
      <w:r>
        <w:rPr>
          <w:rFonts w:hint="eastAsia" w:ascii="仿宋" w:hAnsi="仿宋" w:eastAsia="仿宋" w:cs="仿宋"/>
          <w:b/>
          <w:color w:val="auto"/>
          <w:sz w:val="21"/>
          <w:szCs w:val="21"/>
          <w:highlight w:val="none"/>
        </w:rPr>
        <w:t>制造要求</w:t>
      </w:r>
    </w:p>
    <w:p w14:paraId="11CE5E6E">
      <w:pPr>
        <w:spacing w:line="360" w:lineRule="auto"/>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海拔高度：       1626m</w:t>
      </w:r>
    </w:p>
    <w:p w14:paraId="11EA391E">
      <w:pPr>
        <w:spacing w:line="360" w:lineRule="auto"/>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 xml:space="preserve">极端最高温度：   38.4℃ </w:t>
      </w:r>
      <w:r>
        <w:rPr>
          <w:rFonts w:hint="eastAsia" w:ascii="仿宋" w:hAnsi="仿宋" w:eastAsia="仿宋" w:cs="仿宋"/>
          <w:b w:val="0"/>
          <w:bCs/>
          <w:color w:val="auto"/>
          <w:sz w:val="21"/>
          <w:szCs w:val="21"/>
          <w:highlight w:val="none"/>
          <w:lang w:val="en-US" w:eastAsia="zh-CN"/>
        </w:rPr>
        <w:br w:type="textWrapping"/>
      </w:r>
      <w:r>
        <w:rPr>
          <w:rFonts w:hint="eastAsia" w:ascii="仿宋" w:hAnsi="仿宋" w:eastAsia="仿宋" w:cs="仿宋"/>
          <w:b w:val="0"/>
          <w:bCs/>
          <w:color w:val="auto"/>
          <w:sz w:val="21"/>
          <w:szCs w:val="21"/>
          <w:highlight w:val="none"/>
          <w:lang w:val="en-US" w:eastAsia="zh-CN"/>
        </w:rPr>
        <w:t xml:space="preserve">极端最底温度：   -31.6℃ </w:t>
      </w:r>
      <w:r>
        <w:rPr>
          <w:rFonts w:hint="eastAsia" w:ascii="仿宋" w:hAnsi="仿宋" w:eastAsia="仿宋" w:cs="仿宋"/>
          <w:b w:val="0"/>
          <w:bCs/>
          <w:color w:val="auto"/>
          <w:sz w:val="21"/>
          <w:szCs w:val="21"/>
          <w:highlight w:val="none"/>
          <w:lang w:val="en-US" w:eastAsia="zh-CN"/>
        </w:rPr>
        <w:br w:type="textWrapping"/>
      </w:r>
      <w:r>
        <w:rPr>
          <w:rFonts w:hint="eastAsia" w:ascii="仿宋" w:hAnsi="仿宋" w:eastAsia="仿宋" w:cs="仿宋"/>
          <w:b w:val="0"/>
          <w:bCs/>
          <w:color w:val="auto"/>
          <w:sz w:val="21"/>
          <w:szCs w:val="21"/>
          <w:highlight w:val="none"/>
          <w:lang w:val="en-US" w:eastAsia="zh-CN"/>
        </w:rPr>
        <w:t xml:space="preserve">最热月平均温度：  28.7℃ </w:t>
      </w:r>
      <w:r>
        <w:rPr>
          <w:rFonts w:hint="eastAsia" w:ascii="仿宋" w:hAnsi="仿宋" w:eastAsia="仿宋" w:cs="仿宋"/>
          <w:b w:val="0"/>
          <w:bCs/>
          <w:color w:val="auto"/>
          <w:sz w:val="21"/>
          <w:szCs w:val="21"/>
          <w:highlight w:val="none"/>
          <w:lang w:val="en-US" w:eastAsia="zh-CN"/>
        </w:rPr>
        <w:br w:type="textWrapping"/>
      </w:r>
      <w:r>
        <w:rPr>
          <w:rFonts w:hint="eastAsia" w:ascii="仿宋" w:hAnsi="仿宋" w:eastAsia="仿宋" w:cs="仿宋"/>
          <w:b w:val="0"/>
          <w:bCs/>
          <w:color w:val="auto"/>
          <w:sz w:val="21"/>
          <w:szCs w:val="21"/>
          <w:highlight w:val="none"/>
          <w:lang w:val="en-US" w:eastAsia="zh-CN"/>
        </w:rPr>
        <w:t xml:space="preserve">最冷月平均温度： -15.6℃ </w:t>
      </w:r>
      <w:r>
        <w:rPr>
          <w:rFonts w:hint="eastAsia" w:ascii="仿宋" w:hAnsi="仿宋" w:eastAsia="仿宋" w:cs="仿宋"/>
          <w:b w:val="0"/>
          <w:bCs/>
          <w:color w:val="auto"/>
          <w:sz w:val="21"/>
          <w:szCs w:val="21"/>
          <w:highlight w:val="none"/>
          <w:lang w:val="en-US" w:eastAsia="zh-CN"/>
        </w:rPr>
        <w:br w:type="textWrapping"/>
      </w:r>
      <w:r>
        <w:rPr>
          <w:rFonts w:hint="eastAsia" w:ascii="仿宋" w:hAnsi="仿宋" w:eastAsia="仿宋" w:cs="仿宋"/>
          <w:b w:val="0"/>
          <w:bCs/>
          <w:color w:val="auto"/>
          <w:sz w:val="21"/>
          <w:szCs w:val="21"/>
          <w:highlight w:val="none"/>
          <w:lang w:val="en-US" w:eastAsia="zh-CN"/>
        </w:rPr>
        <w:t xml:space="preserve">年平均温度：       7.3℃ </w:t>
      </w:r>
      <w:r>
        <w:rPr>
          <w:rFonts w:hint="eastAsia" w:ascii="仿宋" w:hAnsi="仿宋" w:eastAsia="仿宋" w:cs="仿宋"/>
          <w:b w:val="0"/>
          <w:bCs/>
          <w:color w:val="auto"/>
          <w:sz w:val="21"/>
          <w:szCs w:val="21"/>
          <w:highlight w:val="none"/>
          <w:lang w:val="en-US" w:eastAsia="zh-CN"/>
        </w:rPr>
        <w:br w:type="textWrapping"/>
      </w:r>
      <w:r>
        <w:rPr>
          <w:rFonts w:hint="eastAsia" w:ascii="仿宋" w:hAnsi="仿宋" w:eastAsia="仿宋" w:cs="仿宋"/>
          <w:b w:val="0"/>
          <w:bCs/>
          <w:color w:val="auto"/>
          <w:sz w:val="21"/>
          <w:szCs w:val="21"/>
          <w:highlight w:val="none"/>
          <w:lang w:val="en-US" w:eastAsia="zh-CN"/>
        </w:rPr>
        <w:t xml:space="preserve">最大月平均日温差：  14℃ </w:t>
      </w:r>
      <w:r>
        <w:rPr>
          <w:rFonts w:hint="eastAsia" w:ascii="仿宋" w:hAnsi="仿宋" w:eastAsia="仿宋" w:cs="仿宋"/>
          <w:b w:val="0"/>
          <w:bCs/>
          <w:color w:val="auto"/>
          <w:sz w:val="21"/>
          <w:szCs w:val="21"/>
          <w:highlight w:val="none"/>
          <w:lang w:val="en-US" w:eastAsia="zh-CN"/>
        </w:rPr>
        <w:br w:type="textWrapping"/>
      </w:r>
      <w:r>
        <w:rPr>
          <w:rFonts w:hint="eastAsia" w:ascii="仿宋" w:hAnsi="仿宋" w:eastAsia="仿宋" w:cs="仿宋"/>
          <w:b w:val="0"/>
          <w:bCs/>
          <w:color w:val="auto"/>
          <w:sz w:val="21"/>
          <w:szCs w:val="21"/>
          <w:highlight w:val="none"/>
          <w:lang w:val="en-US" w:eastAsia="zh-CN"/>
        </w:rPr>
        <w:t xml:space="preserve">最热月平均湿度：    52 % </w:t>
      </w:r>
      <w:r>
        <w:rPr>
          <w:rFonts w:hint="eastAsia" w:ascii="仿宋" w:hAnsi="仿宋" w:eastAsia="仿宋" w:cs="仿宋"/>
          <w:b w:val="0"/>
          <w:bCs/>
          <w:color w:val="auto"/>
          <w:sz w:val="21"/>
          <w:szCs w:val="21"/>
          <w:highlight w:val="none"/>
          <w:lang w:val="en-US" w:eastAsia="zh-CN"/>
        </w:rPr>
        <w:br w:type="textWrapping"/>
      </w:r>
      <w:r>
        <w:rPr>
          <w:rFonts w:hint="eastAsia" w:ascii="仿宋" w:hAnsi="仿宋" w:eastAsia="仿宋" w:cs="仿宋"/>
          <w:b w:val="0"/>
          <w:bCs/>
          <w:color w:val="auto"/>
          <w:sz w:val="21"/>
          <w:szCs w:val="21"/>
          <w:highlight w:val="none"/>
          <w:lang w:val="en-US" w:eastAsia="zh-CN"/>
        </w:rPr>
        <w:t xml:space="preserve">最冷月平均湿度：    55 % </w:t>
      </w:r>
      <w:r>
        <w:rPr>
          <w:rFonts w:hint="eastAsia" w:ascii="仿宋" w:hAnsi="仿宋" w:eastAsia="仿宋" w:cs="仿宋"/>
          <w:b w:val="0"/>
          <w:bCs/>
          <w:color w:val="auto"/>
          <w:sz w:val="21"/>
          <w:szCs w:val="21"/>
          <w:highlight w:val="none"/>
          <w:lang w:val="en-US" w:eastAsia="zh-CN"/>
        </w:rPr>
        <w:br w:type="textWrapping"/>
      </w:r>
      <w:r>
        <w:rPr>
          <w:rFonts w:hint="eastAsia" w:ascii="仿宋" w:hAnsi="仿宋" w:eastAsia="仿宋" w:cs="仿宋"/>
          <w:b w:val="0"/>
          <w:bCs/>
          <w:color w:val="auto"/>
          <w:sz w:val="21"/>
          <w:szCs w:val="21"/>
          <w:highlight w:val="none"/>
          <w:lang w:val="en-US" w:eastAsia="zh-CN"/>
        </w:rPr>
        <w:t xml:space="preserve">相对湿度：          46 % </w:t>
      </w:r>
      <w:r>
        <w:rPr>
          <w:rFonts w:hint="eastAsia" w:ascii="仿宋" w:hAnsi="仿宋" w:eastAsia="仿宋" w:cs="仿宋"/>
          <w:b w:val="0"/>
          <w:bCs/>
          <w:color w:val="auto"/>
          <w:sz w:val="21"/>
          <w:szCs w:val="21"/>
          <w:highlight w:val="none"/>
          <w:lang w:val="en-US" w:eastAsia="zh-CN"/>
        </w:rPr>
        <w:br w:type="textWrapping"/>
      </w:r>
      <w:r>
        <w:rPr>
          <w:rFonts w:hint="eastAsia" w:ascii="仿宋" w:hAnsi="仿宋" w:eastAsia="仿宋" w:cs="仿宋"/>
          <w:b w:val="0"/>
          <w:bCs/>
          <w:color w:val="auto"/>
          <w:sz w:val="21"/>
          <w:szCs w:val="21"/>
          <w:highlight w:val="none"/>
          <w:lang w:val="en-US" w:eastAsia="zh-CN"/>
        </w:rPr>
        <w:t>年平均降雨量：    85.3mm</w:t>
      </w:r>
    </w:p>
    <w:p w14:paraId="3541A9C4">
      <w:pPr>
        <w:spacing w:line="360" w:lineRule="auto"/>
        <w:rPr>
          <w:rFonts w:hint="eastAsia"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2.工况环境</w:t>
      </w:r>
    </w:p>
    <w:p w14:paraId="0EC024BD">
      <w:pPr>
        <w:spacing w:line="360" w:lineRule="auto"/>
        <w:rPr>
          <w:rFonts w:hint="default" w:ascii="仿宋" w:hAnsi="仿宋" w:eastAsia="仿宋" w:cs="仿宋"/>
          <w:b w:val="0"/>
          <w:bCs/>
          <w:color w:val="auto"/>
          <w:sz w:val="21"/>
          <w:szCs w:val="21"/>
          <w:highlight w:val="none"/>
          <w:lang w:val="en-US" w:eastAsia="zh-CN"/>
        </w:rPr>
      </w:pPr>
      <w:r>
        <w:rPr>
          <w:rFonts w:hint="eastAsia" w:ascii="仿宋" w:hAnsi="仿宋" w:eastAsia="仿宋" w:cs="仿宋"/>
          <w:b w:val="0"/>
          <w:bCs/>
          <w:color w:val="auto"/>
          <w:sz w:val="21"/>
          <w:szCs w:val="21"/>
          <w:highlight w:val="none"/>
          <w:lang w:val="en-US" w:eastAsia="zh-CN"/>
        </w:rPr>
        <w:t>室外工作，工况温度：-25℃--40℃,  现场粉尘、噪音，工作条件：该斗式提升机链条组件\DT40 P-152.4 16Mn+45#使用工矿条件为矿粉输送，重负荷，频繁工作，发生故障无法排灰时必须在8小时以内处理完毕，防止由于长时间不排灰造成的次生事故。</w:t>
      </w:r>
    </w:p>
    <w:p w14:paraId="7A3F17D9">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jc w:val="both"/>
        <w:textAlignment w:val="auto"/>
        <w:rPr>
          <w:rFonts w:hint="eastAsia" w:ascii="宋体" w:hAnsi="宋体" w:eastAsia="宋体" w:cs="Times New Roman"/>
          <w:color w:val="auto"/>
          <w:sz w:val="20"/>
          <w:szCs w:val="20"/>
          <w:highlight w:val="none"/>
          <w:lang w:val="en-US" w:eastAsia="zh-CN"/>
        </w:rPr>
      </w:pPr>
      <w:r>
        <w:rPr>
          <w:rFonts w:hint="eastAsia" w:ascii="仿宋" w:hAnsi="仿宋" w:eastAsia="仿宋" w:cs="仿宋"/>
          <w:b/>
          <w:color w:val="auto"/>
          <w:sz w:val="21"/>
          <w:szCs w:val="21"/>
          <w:highlight w:val="none"/>
        </w:rPr>
        <w:t>2.准</w:t>
      </w:r>
      <w:r>
        <w:rPr>
          <w:rFonts w:hint="eastAsia" w:ascii="宋体" w:hAnsi="宋体" w:eastAsia="宋体" w:cs="Times New Roman"/>
          <w:color w:val="auto"/>
          <w:sz w:val="20"/>
          <w:szCs w:val="20"/>
          <w:highlight w:val="none"/>
          <w:lang w:val="en-US" w:eastAsia="zh-CN"/>
        </w:rPr>
        <w:t>工作参数</w:t>
      </w:r>
    </w:p>
    <w:p w14:paraId="51E6B54E">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jc w:val="both"/>
        <w:textAlignment w:val="auto"/>
        <w:rPr>
          <w:rFonts w:hint="eastAsia" w:ascii="宋体" w:hAnsi="宋体" w:eastAsia="宋体" w:cs="Times New Roman"/>
          <w:color w:val="auto"/>
          <w:sz w:val="20"/>
          <w:szCs w:val="20"/>
          <w:highlight w:val="none"/>
          <w:lang w:eastAsia="zh-CN"/>
        </w:rPr>
      </w:pPr>
      <w:r>
        <w:rPr>
          <w:rFonts w:hint="eastAsia" w:ascii="宋体" w:hAnsi="宋体" w:eastAsia="宋体" w:cs="Times New Roman"/>
          <w:color w:val="auto"/>
          <w:sz w:val="20"/>
          <w:szCs w:val="20"/>
          <w:highlight w:val="none"/>
          <w:lang w:val="en-US" w:eastAsia="zh-CN"/>
        </w:rPr>
        <w:t xml:space="preserve"> </w:t>
      </w:r>
      <w:r>
        <w:rPr>
          <w:rFonts w:hint="eastAsia" w:ascii="仿宋" w:hAnsi="仿宋" w:eastAsia="仿宋" w:cs="仿宋"/>
          <w:b w:val="0"/>
          <w:bCs/>
          <w:color w:val="auto"/>
          <w:sz w:val="21"/>
          <w:szCs w:val="21"/>
          <w:highlight w:val="none"/>
          <w:lang w:val="en-US" w:eastAsia="zh-CN"/>
        </w:rPr>
        <w:t>斗式提升机链条组件\DT40 P-152.4 16Mn+45#</w:t>
      </w:r>
    </w:p>
    <w:tbl>
      <w:tblPr>
        <w:tblStyle w:val="5"/>
        <w:tblW w:w="0" w:type="auto"/>
        <w:tblInd w:w="93"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529"/>
        <w:gridCol w:w="2986"/>
      </w:tblGrid>
      <w:tr w14:paraId="3CF751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529" w:type="dxa"/>
            <w:tcBorders>
              <w:tl2br w:val="nil"/>
              <w:tr2bl w:val="nil"/>
            </w:tcBorders>
            <w:noWrap w:val="0"/>
            <w:vAlign w:val="center"/>
          </w:tcPr>
          <w:p w14:paraId="33AE1873">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jc w:val="both"/>
              <w:textAlignment w:val="auto"/>
              <w:rPr>
                <w:rFonts w:hint="eastAsia" w:ascii="宋体" w:hAnsi="宋体" w:eastAsia="宋体" w:cs="Times New Roman"/>
                <w:color w:val="auto"/>
                <w:sz w:val="20"/>
                <w:szCs w:val="20"/>
                <w:highlight w:val="none"/>
                <w:lang w:val="en-US" w:eastAsia="zh-CN"/>
              </w:rPr>
            </w:pPr>
            <w:r>
              <w:rPr>
                <w:rFonts w:hint="eastAsia" w:ascii="宋体" w:hAnsi="宋体" w:eastAsia="宋体" w:cs="Times New Roman"/>
                <w:color w:val="auto"/>
                <w:sz w:val="20"/>
                <w:szCs w:val="20"/>
                <w:highlight w:val="none"/>
                <w:lang w:eastAsia="zh-CN"/>
              </w:rPr>
              <w:t>参数名称</w:t>
            </w:r>
          </w:p>
        </w:tc>
        <w:tc>
          <w:tcPr>
            <w:tcW w:w="2986" w:type="dxa"/>
            <w:tcBorders>
              <w:tl2br w:val="nil"/>
              <w:tr2bl w:val="nil"/>
            </w:tcBorders>
            <w:noWrap w:val="0"/>
            <w:vAlign w:val="center"/>
          </w:tcPr>
          <w:p w14:paraId="4A551003">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jc w:val="both"/>
              <w:textAlignment w:val="auto"/>
              <w:rPr>
                <w:rFonts w:hint="eastAsia" w:ascii="宋体" w:hAnsi="宋体" w:eastAsia="宋体" w:cs="Times New Roman"/>
                <w:color w:val="auto"/>
                <w:sz w:val="20"/>
                <w:szCs w:val="20"/>
                <w:highlight w:val="none"/>
                <w:lang w:val="en-US" w:eastAsia="zh-CN"/>
              </w:rPr>
            </w:pPr>
            <w:r>
              <w:rPr>
                <w:rFonts w:hint="eastAsia" w:ascii="宋体" w:hAnsi="宋体" w:eastAsia="宋体" w:cs="Times New Roman"/>
                <w:color w:val="auto"/>
                <w:sz w:val="20"/>
                <w:szCs w:val="20"/>
                <w:highlight w:val="none"/>
                <w:lang w:eastAsia="zh-CN"/>
              </w:rPr>
              <w:t>工作参数</w:t>
            </w:r>
          </w:p>
        </w:tc>
      </w:tr>
      <w:tr w14:paraId="20A239D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529" w:type="dxa"/>
            <w:tcBorders>
              <w:tl2br w:val="nil"/>
              <w:tr2bl w:val="nil"/>
            </w:tcBorders>
            <w:noWrap w:val="0"/>
            <w:vAlign w:val="center"/>
          </w:tcPr>
          <w:p w14:paraId="74693AB3">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jc w:val="both"/>
              <w:textAlignment w:val="auto"/>
              <w:rPr>
                <w:rFonts w:hint="eastAsia" w:ascii="宋体" w:hAnsi="宋体" w:eastAsia="宋体" w:cs="Times New Roman"/>
                <w:color w:val="auto"/>
                <w:sz w:val="21"/>
                <w:szCs w:val="21"/>
                <w:highlight w:val="none"/>
                <w:lang w:val="en-US" w:eastAsia="zh-CN"/>
              </w:rPr>
            </w:pPr>
            <w:r>
              <w:rPr>
                <w:rFonts w:hint="eastAsia" w:ascii="宋体" w:hAnsi="宋体" w:eastAsia="宋体" w:cs="Times New Roman"/>
                <w:color w:val="auto"/>
                <w:sz w:val="20"/>
                <w:szCs w:val="20"/>
                <w:highlight w:val="none"/>
                <w:lang w:eastAsia="zh-CN"/>
              </w:rPr>
              <w:t>斗式提升机链条组件型号</w:t>
            </w:r>
          </w:p>
        </w:tc>
        <w:tc>
          <w:tcPr>
            <w:tcW w:w="2986" w:type="dxa"/>
            <w:tcBorders>
              <w:tl2br w:val="nil"/>
              <w:tr2bl w:val="nil"/>
            </w:tcBorders>
            <w:noWrap w:val="0"/>
            <w:vAlign w:val="center"/>
          </w:tcPr>
          <w:p w14:paraId="01E1FA2B">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jc w:val="both"/>
              <w:textAlignment w:val="auto"/>
              <w:rPr>
                <w:rFonts w:hint="default" w:ascii="宋体" w:hAnsi="宋体" w:eastAsia="宋体" w:cs="Times New Roman"/>
                <w:color w:val="auto"/>
                <w:sz w:val="21"/>
                <w:szCs w:val="21"/>
                <w:highlight w:val="none"/>
                <w:lang w:val="en-US" w:eastAsia="zh-CN"/>
              </w:rPr>
            </w:pPr>
            <w:r>
              <w:rPr>
                <w:rFonts w:hint="eastAsia" w:ascii="宋体" w:hAnsi="宋体" w:eastAsia="宋体" w:cs="Times New Roman"/>
                <w:color w:val="auto"/>
                <w:sz w:val="20"/>
                <w:szCs w:val="20"/>
                <w:highlight w:val="none"/>
                <w:lang w:eastAsia="zh-CN"/>
              </w:rPr>
              <w:t>DT40 P-152.4 16Mn+45#</w:t>
            </w:r>
          </w:p>
        </w:tc>
      </w:tr>
      <w:tr w14:paraId="2519F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529" w:type="dxa"/>
            <w:tcBorders>
              <w:tl2br w:val="nil"/>
              <w:tr2bl w:val="nil"/>
            </w:tcBorders>
            <w:noWrap w:val="0"/>
            <w:vAlign w:val="center"/>
          </w:tcPr>
          <w:p w14:paraId="67607211">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jc w:val="both"/>
              <w:textAlignment w:val="auto"/>
              <w:rPr>
                <w:rFonts w:hint="default" w:ascii="宋体" w:hAnsi="宋体" w:eastAsia="宋体" w:cs="Times New Roman"/>
                <w:color w:val="auto"/>
                <w:sz w:val="20"/>
                <w:szCs w:val="20"/>
                <w:highlight w:val="none"/>
                <w:lang w:val="en-US" w:eastAsia="zh-CN"/>
              </w:rPr>
            </w:pPr>
            <w:r>
              <w:rPr>
                <w:rFonts w:hint="eastAsia" w:ascii="宋体" w:hAnsi="宋体" w:eastAsia="宋体" w:cs="Times New Roman"/>
                <w:color w:val="auto"/>
                <w:sz w:val="20"/>
                <w:szCs w:val="20"/>
                <w:highlight w:val="none"/>
                <w:lang w:val="en-US" w:eastAsia="zh-CN"/>
              </w:rPr>
              <w:t>材质</w:t>
            </w:r>
          </w:p>
        </w:tc>
        <w:tc>
          <w:tcPr>
            <w:tcW w:w="2986" w:type="dxa"/>
            <w:tcBorders>
              <w:tl2br w:val="nil"/>
              <w:tr2bl w:val="nil"/>
            </w:tcBorders>
            <w:noWrap w:val="0"/>
            <w:vAlign w:val="center"/>
          </w:tcPr>
          <w:p w14:paraId="1836810B">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jc w:val="both"/>
              <w:textAlignment w:val="auto"/>
              <w:rPr>
                <w:rFonts w:hint="default" w:ascii="宋体" w:hAnsi="宋体" w:eastAsia="宋体" w:cs="Times New Roman"/>
                <w:color w:val="auto"/>
                <w:sz w:val="20"/>
                <w:szCs w:val="20"/>
                <w:highlight w:val="none"/>
                <w:lang w:val="en-US" w:eastAsia="zh-CN"/>
              </w:rPr>
            </w:pPr>
            <w:r>
              <w:rPr>
                <w:rFonts w:hint="eastAsia" w:ascii="宋体" w:hAnsi="宋体" w:eastAsia="宋体" w:cs="Times New Roman"/>
                <w:color w:val="auto"/>
                <w:sz w:val="20"/>
                <w:szCs w:val="20"/>
                <w:highlight w:val="none"/>
                <w:lang w:eastAsia="zh-CN"/>
              </w:rPr>
              <w:t>16Mn+45#</w:t>
            </w:r>
          </w:p>
        </w:tc>
      </w:tr>
      <w:tr w14:paraId="187424D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529" w:type="dxa"/>
            <w:tcBorders>
              <w:tl2br w:val="nil"/>
              <w:tr2bl w:val="nil"/>
            </w:tcBorders>
            <w:noWrap w:val="0"/>
            <w:vAlign w:val="center"/>
          </w:tcPr>
          <w:p w14:paraId="24958BBE">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jc w:val="both"/>
              <w:textAlignment w:val="auto"/>
              <w:rPr>
                <w:rFonts w:hint="eastAsia" w:ascii="宋体" w:hAnsi="宋体" w:eastAsia="宋体" w:cs="Times New Roman"/>
                <w:color w:val="auto"/>
                <w:sz w:val="20"/>
                <w:szCs w:val="20"/>
                <w:highlight w:val="none"/>
                <w:lang w:eastAsia="zh-CN"/>
              </w:rPr>
            </w:pPr>
            <w:r>
              <w:rPr>
                <w:rFonts w:hint="eastAsia" w:ascii="宋体" w:hAnsi="宋体" w:eastAsia="宋体" w:cs="Times New Roman"/>
                <w:color w:val="auto"/>
                <w:sz w:val="20"/>
                <w:szCs w:val="20"/>
                <w:highlight w:val="none"/>
                <w:lang w:eastAsia="zh-CN"/>
              </w:rPr>
              <w:t>输送种类</w:t>
            </w:r>
          </w:p>
        </w:tc>
        <w:tc>
          <w:tcPr>
            <w:tcW w:w="2986" w:type="dxa"/>
            <w:tcBorders>
              <w:tl2br w:val="nil"/>
              <w:tr2bl w:val="nil"/>
            </w:tcBorders>
            <w:noWrap w:val="0"/>
            <w:vAlign w:val="center"/>
          </w:tcPr>
          <w:p w14:paraId="06DE9DC3">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jc w:val="both"/>
              <w:textAlignment w:val="auto"/>
              <w:rPr>
                <w:rFonts w:hint="default" w:ascii="宋体" w:hAnsi="宋体" w:eastAsia="宋体" w:cs="Times New Roman"/>
                <w:color w:val="auto"/>
                <w:sz w:val="20"/>
                <w:szCs w:val="20"/>
                <w:highlight w:val="none"/>
                <w:lang w:val="en-US" w:eastAsia="zh-CN"/>
              </w:rPr>
            </w:pPr>
            <w:r>
              <w:rPr>
                <w:rFonts w:hint="eastAsia" w:ascii="宋体" w:hAnsi="宋体" w:eastAsia="宋体" w:cs="Times New Roman"/>
                <w:color w:val="auto"/>
                <w:sz w:val="20"/>
                <w:szCs w:val="20"/>
                <w:highlight w:val="none"/>
                <w:lang w:eastAsia="zh-CN"/>
              </w:rPr>
              <w:t>矿粉、焦粉、烟尘</w:t>
            </w:r>
          </w:p>
        </w:tc>
      </w:tr>
      <w:tr w14:paraId="0B4197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529" w:type="dxa"/>
            <w:tcBorders>
              <w:tl2br w:val="nil"/>
              <w:tr2bl w:val="nil"/>
            </w:tcBorders>
            <w:noWrap w:val="0"/>
            <w:vAlign w:val="center"/>
          </w:tcPr>
          <w:p w14:paraId="003724B0">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jc w:val="both"/>
              <w:textAlignment w:val="auto"/>
              <w:rPr>
                <w:rFonts w:hint="eastAsia" w:ascii="宋体" w:hAnsi="宋体" w:eastAsia="宋体" w:cs="Times New Roman"/>
                <w:color w:val="auto"/>
                <w:sz w:val="20"/>
                <w:szCs w:val="20"/>
                <w:highlight w:val="none"/>
                <w:lang w:eastAsia="zh-CN"/>
              </w:rPr>
            </w:pPr>
            <w:r>
              <w:rPr>
                <w:rFonts w:hint="eastAsia" w:ascii="宋体" w:hAnsi="宋体" w:eastAsia="宋体" w:cs="Times New Roman"/>
                <w:color w:val="auto"/>
                <w:sz w:val="20"/>
                <w:szCs w:val="20"/>
                <w:highlight w:val="none"/>
                <w:lang w:val="en-US" w:eastAsia="zh-CN"/>
              </w:rPr>
              <w:t>输送能力</w:t>
            </w:r>
          </w:p>
        </w:tc>
        <w:tc>
          <w:tcPr>
            <w:tcW w:w="2986" w:type="dxa"/>
            <w:tcBorders>
              <w:tl2br w:val="nil"/>
              <w:tr2bl w:val="nil"/>
            </w:tcBorders>
            <w:noWrap w:val="0"/>
            <w:vAlign w:val="center"/>
          </w:tcPr>
          <w:p w14:paraId="05337113">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jc w:val="both"/>
              <w:textAlignment w:val="auto"/>
              <w:rPr>
                <w:rFonts w:hint="default" w:ascii="宋体" w:hAnsi="宋体" w:eastAsia="宋体" w:cs="Times New Roman"/>
                <w:color w:val="auto"/>
                <w:sz w:val="20"/>
                <w:szCs w:val="20"/>
                <w:highlight w:val="none"/>
                <w:lang w:val="en-US" w:eastAsia="zh-CN"/>
              </w:rPr>
            </w:pPr>
            <w:r>
              <w:rPr>
                <w:rFonts w:hint="eastAsia" w:ascii="宋体" w:hAnsi="宋体" w:eastAsia="宋体" w:cs="Times New Roman"/>
                <w:color w:val="auto"/>
                <w:sz w:val="20"/>
                <w:szCs w:val="20"/>
                <w:highlight w:val="none"/>
                <w:lang w:val="en-US" w:eastAsia="zh-CN"/>
              </w:rPr>
              <w:t>30M3/h</w:t>
            </w:r>
          </w:p>
        </w:tc>
      </w:tr>
      <w:tr w14:paraId="7547341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02" w:hRule="atLeast"/>
        </w:trPr>
        <w:tc>
          <w:tcPr>
            <w:tcW w:w="1529" w:type="dxa"/>
            <w:tcBorders>
              <w:tl2br w:val="nil"/>
              <w:tr2bl w:val="nil"/>
            </w:tcBorders>
            <w:noWrap w:val="0"/>
            <w:vAlign w:val="center"/>
          </w:tcPr>
          <w:p w14:paraId="13CE19BC">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jc w:val="both"/>
              <w:textAlignment w:val="auto"/>
              <w:rPr>
                <w:rFonts w:hint="eastAsia" w:ascii="宋体" w:hAnsi="宋体" w:eastAsia="宋体" w:cs="Times New Roman"/>
                <w:color w:val="auto"/>
                <w:sz w:val="20"/>
                <w:szCs w:val="20"/>
                <w:highlight w:val="none"/>
                <w:lang w:eastAsia="zh-CN"/>
              </w:rPr>
            </w:pPr>
            <w:r>
              <w:rPr>
                <w:rFonts w:hint="eastAsia" w:ascii="宋体" w:hAnsi="宋体" w:eastAsia="宋体" w:cs="Times New Roman"/>
                <w:color w:val="auto"/>
                <w:sz w:val="20"/>
                <w:szCs w:val="20"/>
                <w:highlight w:val="none"/>
                <w:lang w:eastAsia="zh-CN"/>
              </w:rPr>
              <w:t>最大输送量</w:t>
            </w:r>
          </w:p>
        </w:tc>
        <w:tc>
          <w:tcPr>
            <w:tcW w:w="2986" w:type="dxa"/>
            <w:tcBorders>
              <w:tl2br w:val="nil"/>
              <w:tr2bl w:val="nil"/>
            </w:tcBorders>
            <w:noWrap w:val="0"/>
            <w:vAlign w:val="center"/>
          </w:tcPr>
          <w:p w14:paraId="655914D9">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jc w:val="both"/>
              <w:textAlignment w:val="auto"/>
              <w:rPr>
                <w:rFonts w:hint="default" w:ascii="宋体" w:hAnsi="宋体" w:eastAsia="宋体" w:cs="Times New Roman"/>
                <w:color w:val="auto"/>
                <w:sz w:val="20"/>
                <w:szCs w:val="20"/>
                <w:highlight w:val="none"/>
                <w:lang w:val="en-US" w:eastAsia="zh-CN"/>
              </w:rPr>
            </w:pPr>
            <w:r>
              <w:rPr>
                <w:rFonts w:hint="eastAsia" w:ascii="宋体" w:hAnsi="宋体" w:eastAsia="宋体" w:cs="Times New Roman"/>
                <w:color w:val="auto"/>
                <w:sz w:val="20"/>
                <w:szCs w:val="20"/>
                <w:highlight w:val="none"/>
                <w:lang w:val="en-US" w:eastAsia="zh-CN"/>
              </w:rPr>
              <w:t>30M3/h</w:t>
            </w:r>
          </w:p>
        </w:tc>
      </w:tr>
    </w:tbl>
    <w:p w14:paraId="6C3F584E">
      <w:pPr>
        <w:spacing w:line="360" w:lineRule="auto"/>
        <w:rPr>
          <w:rFonts w:hint="eastAsia" w:ascii="仿宋" w:hAnsi="仿宋" w:eastAsia="仿宋" w:cs="仿宋"/>
          <w:b/>
          <w:color w:val="auto"/>
          <w:sz w:val="21"/>
          <w:szCs w:val="21"/>
          <w:highlight w:val="none"/>
        </w:rPr>
      </w:pPr>
    </w:p>
    <w:p w14:paraId="33452C64">
      <w:pPr>
        <w:spacing w:line="360" w:lineRule="auto"/>
        <w:rPr>
          <w:rFonts w:hint="eastAsia" w:ascii="宋体" w:hAnsi="宋体"/>
          <w:b/>
          <w:color w:val="000000"/>
          <w:spacing w:val="-4"/>
          <w:kern w:val="28"/>
          <w:sz w:val="20"/>
          <w:szCs w:val="20"/>
        </w:rPr>
      </w:pPr>
      <w:r>
        <w:rPr>
          <w:rFonts w:hint="eastAsia" w:ascii="宋体" w:hAnsi="宋体"/>
          <w:b/>
          <w:color w:val="000000"/>
          <w:spacing w:val="-4"/>
          <w:kern w:val="28"/>
          <w:sz w:val="20"/>
          <w:szCs w:val="20"/>
          <w:lang w:eastAsia="zh-CN"/>
        </w:rPr>
        <w:t>三、</w:t>
      </w:r>
      <w:r>
        <w:rPr>
          <w:rFonts w:hint="eastAsia" w:ascii="宋体" w:hAnsi="宋体"/>
          <w:b/>
          <w:color w:val="000000"/>
          <w:spacing w:val="-4"/>
          <w:kern w:val="28"/>
          <w:sz w:val="20"/>
          <w:szCs w:val="20"/>
        </w:rPr>
        <w:t>供货范围</w:t>
      </w:r>
    </w:p>
    <w:p w14:paraId="4C082D04">
      <w:pPr>
        <w:keepNext w:val="0"/>
        <w:keepLines w:val="0"/>
        <w:pageBreakBefore w:val="0"/>
        <w:kinsoku/>
        <w:wordWrap/>
        <w:overflowPunct/>
        <w:topLinePunct w:val="0"/>
        <w:autoSpaceDE/>
        <w:autoSpaceDN/>
        <w:bidi w:val="0"/>
        <w:adjustRightInd/>
        <w:snapToGrid/>
        <w:spacing w:line="240" w:lineRule="auto"/>
        <w:ind w:firstLine="201" w:firstLineChars="100"/>
        <w:jc w:val="left"/>
        <w:textAlignment w:val="auto"/>
        <w:rPr>
          <w:rFonts w:hint="eastAsia" w:ascii="宋体" w:hAnsi="宋体"/>
          <w:b/>
          <w:bCs/>
          <w:sz w:val="20"/>
          <w:szCs w:val="20"/>
          <w:lang w:val="en-US" w:eastAsia="zh-CN"/>
        </w:rPr>
      </w:pPr>
      <w:r>
        <w:rPr>
          <w:rFonts w:hint="eastAsia" w:ascii="宋体" w:hAnsi="宋体"/>
          <w:b/>
          <w:bCs/>
          <w:sz w:val="20"/>
          <w:szCs w:val="20"/>
          <w:lang w:val="en-US" w:eastAsia="zh-CN"/>
        </w:rPr>
        <w:t>1.采购内容</w:t>
      </w:r>
    </w:p>
    <w:p w14:paraId="1FE68C20">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jc w:val="both"/>
        <w:textAlignment w:val="auto"/>
        <w:rPr>
          <w:rFonts w:hint="default" w:ascii="宋体" w:hAnsi="宋体" w:eastAsia="宋体" w:cs="Times New Roman"/>
          <w:color w:val="auto"/>
          <w:sz w:val="20"/>
          <w:szCs w:val="20"/>
          <w:highlight w:val="none"/>
          <w:lang w:val="en-US" w:eastAsia="zh-CN"/>
        </w:rPr>
      </w:pPr>
      <w:r>
        <w:rPr>
          <w:rFonts w:hint="eastAsia" w:ascii="仿宋" w:hAnsi="仿宋" w:eastAsia="仿宋" w:cs="仿宋"/>
          <w:b w:val="0"/>
          <w:bCs/>
          <w:color w:val="auto"/>
          <w:sz w:val="21"/>
          <w:szCs w:val="21"/>
          <w:highlight w:val="none"/>
          <w:lang w:val="en-US" w:eastAsia="zh-CN"/>
        </w:rPr>
        <w:t>采购内容</w:t>
      </w:r>
    </w:p>
    <w:tbl>
      <w:tblPr>
        <w:tblStyle w:val="5"/>
        <w:tblW w:w="0" w:type="auto"/>
        <w:tblInd w:w="93" w:type="dxa"/>
        <w:tblLayout w:type="fixed"/>
        <w:tblCellMar>
          <w:top w:w="0" w:type="dxa"/>
          <w:left w:w="108" w:type="dxa"/>
          <w:bottom w:w="0" w:type="dxa"/>
          <w:right w:w="108" w:type="dxa"/>
        </w:tblCellMar>
      </w:tblPr>
      <w:tblGrid>
        <w:gridCol w:w="1296"/>
        <w:gridCol w:w="3219"/>
        <w:gridCol w:w="1073"/>
        <w:gridCol w:w="2688"/>
      </w:tblGrid>
      <w:tr w14:paraId="46831BB5">
        <w:tblPrEx>
          <w:tblCellMar>
            <w:top w:w="0" w:type="dxa"/>
            <w:left w:w="108" w:type="dxa"/>
            <w:bottom w:w="0" w:type="dxa"/>
            <w:right w:w="108" w:type="dxa"/>
          </w:tblCellMar>
        </w:tblPrEx>
        <w:trPr>
          <w:trHeight w:val="402" w:hRule="atLeast"/>
        </w:trPr>
        <w:tc>
          <w:tcPr>
            <w:tcW w:w="1296" w:type="dxa"/>
            <w:tcBorders>
              <w:top w:val="single" w:color="auto" w:sz="4" w:space="0"/>
              <w:left w:val="single" w:color="auto" w:sz="4" w:space="0"/>
              <w:bottom w:val="single" w:color="auto" w:sz="4" w:space="0"/>
              <w:right w:val="single" w:color="auto" w:sz="4" w:space="0"/>
            </w:tcBorders>
            <w:noWrap w:val="0"/>
            <w:vAlign w:val="center"/>
          </w:tcPr>
          <w:p w14:paraId="5D846EDE">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Times New Roman"/>
                <w:color w:val="auto"/>
                <w:sz w:val="20"/>
                <w:szCs w:val="20"/>
                <w:highlight w:val="none"/>
              </w:rPr>
            </w:pPr>
            <w:r>
              <w:rPr>
                <w:rFonts w:hint="eastAsia" w:ascii="宋体" w:hAnsi="宋体" w:eastAsia="宋体" w:cs="Times New Roman"/>
                <w:color w:val="auto"/>
                <w:sz w:val="20"/>
                <w:szCs w:val="20"/>
                <w:highlight w:val="none"/>
              </w:rPr>
              <w:t>物料编码</w:t>
            </w:r>
          </w:p>
        </w:tc>
        <w:tc>
          <w:tcPr>
            <w:tcW w:w="3219" w:type="dxa"/>
            <w:tcBorders>
              <w:top w:val="single" w:color="auto" w:sz="4" w:space="0"/>
              <w:left w:val="nil"/>
              <w:bottom w:val="single" w:color="auto" w:sz="4" w:space="0"/>
              <w:right w:val="single" w:color="auto" w:sz="4" w:space="0"/>
            </w:tcBorders>
            <w:noWrap w:val="0"/>
            <w:vAlign w:val="center"/>
          </w:tcPr>
          <w:p w14:paraId="483BB9DE">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Times New Roman"/>
                <w:color w:val="auto"/>
                <w:sz w:val="20"/>
                <w:szCs w:val="20"/>
                <w:highlight w:val="none"/>
              </w:rPr>
            </w:pPr>
            <w:r>
              <w:rPr>
                <w:rFonts w:hint="eastAsia" w:ascii="宋体" w:hAnsi="宋体" w:eastAsia="宋体" w:cs="Times New Roman"/>
                <w:color w:val="auto"/>
                <w:sz w:val="20"/>
                <w:szCs w:val="20"/>
                <w:highlight w:val="none"/>
              </w:rPr>
              <w:t>物料描述</w:t>
            </w:r>
          </w:p>
        </w:tc>
        <w:tc>
          <w:tcPr>
            <w:tcW w:w="1073" w:type="dxa"/>
            <w:tcBorders>
              <w:top w:val="single" w:color="auto" w:sz="4" w:space="0"/>
              <w:left w:val="nil"/>
              <w:bottom w:val="single" w:color="auto" w:sz="4" w:space="0"/>
              <w:right w:val="single" w:color="auto" w:sz="4" w:space="0"/>
            </w:tcBorders>
            <w:noWrap w:val="0"/>
            <w:vAlign w:val="center"/>
          </w:tcPr>
          <w:p w14:paraId="056C97C2">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Times New Roman"/>
                <w:color w:val="auto"/>
                <w:sz w:val="20"/>
                <w:szCs w:val="20"/>
                <w:highlight w:val="none"/>
              </w:rPr>
            </w:pPr>
            <w:r>
              <w:rPr>
                <w:rFonts w:hint="eastAsia" w:ascii="宋体" w:hAnsi="宋体" w:eastAsia="宋体" w:cs="Times New Roman"/>
                <w:color w:val="auto"/>
                <w:sz w:val="20"/>
                <w:szCs w:val="20"/>
                <w:highlight w:val="none"/>
              </w:rPr>
              <w:t>计量单位</w:t>
            </w:r>
          </w:p>
        </w:tc>
        <w:tc>
          <w:tcPr>
            <w:tcW w:w="2688" w:type="dxa"/>
            <w:tcBorders>
              <w:top w:val="single" w:color="auto" w:sz="4" w:space="0"/>
              <w:left w:val="nil"/>
              <w:bottom w:val="single" w:color="auto" w:sz="4" w:space="0"/>
              <w:right w:val="single" w:color="auto" w:sz="4" w:space="0"/>
            </w:tcBorders>
            <w:noWrap w:val="0"/>
            <w:vAlign w:val="center"/>
          </w:tcPr>
          <w:p w14:paraId="4C2C0EF5">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Times New Roman"/>
                <w:color w:val="auto"/>
                <w:sz w:val="20"/>
                <w:szCs w:val="20"/>
                <w:highlight w:val="none"/>
              </w:rPr>
            </w:pPr>
            <w:r>
              <w:rPr>
                <w:rFonts w:hint="eastAsia" w:ascii="宋体" w:hAnsi="宋体" w:eastAsia="宋体" w:cs="Times New Roman"/>
                <w:color w:val="auto"/>
                <w:sz w:val="20"/>
                <w:szCs w:val="20"/>
                <w:highlight w:val="none"/>
              </w:rPr>
              <w:t>数量</w:t>
            </w:r>
          </w:p>
        </w:tc>
      </w:tr>
      <w:tr w14:paraId="264188B9">
        <w:tblPrEx>
          <w:tblCellMar>
            <w:top w:w="0" w:type="dxa"/>
            <w:left w:w="108" w:type="dxa"/>
            <w:bottom w:w="0" w:type="dxa"/>
            <w:right w:w="108" w:type="dxa"/>
          </w:tblCellMar>
        </w:tblPrEx>
        <w:trPr>
          <w:trHeight w:val="402" w:hRule="atLeast"/>
        </w:trPr>
        <w:tc>
          <w:tcPr>
            <w:tcW w:w="1296" w:type="dxa"/>
            <w:tcBorders>
              <w:top w:val="nil"/>
              <w:left w:val="single" w:color="auto" w:sz="4" w:space="0"/>
              <w:bottom w:val="nil"/>
              <w:right w:val="single" w:color="auto" w:sz="4" w:space="0"/>
            </w:tcBorders>
            <w:noWrap w:val="0"/>
            <w:vAlign w:val="center"/>
          </w:tcPr>
          <w:p w14:paraId="3DF6A5B9">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Times New Roman"/>
                <w:color w:val="auto"/>
                <w:sz w:val="20"/>
                <w:szCs w:val="20"/>
                <w:highlight w:val="none"/>
              </w:rPr>
            </w:pPr>
            <w:r>
              <w:rPr>
                <w:rFonts w:hint="eastAsia" w:ascii="宋体" w:hAnsi="宋体" w:eastAsia="宋体" w:cs="Times New Roman"/>
                <w:color w:val="auto"/>
                <w:sz w:val="20"/>
                <w:szCs w:val="20"/>
                <w:highlight w:val="none"/>
                <w:lang w:val="en-US" w:eastAsia="zh-CN"/>
              </w:rPr>
              <w:t>70293676</w:t>
            </w:r>
          </w:p>
        </w:tc>
        <w:tc>
          <w:tcPr>
            <w:tcW w:w="3219" w:type="dxa"/>
            <w:tcBorders>
              <w:top w:val="nil"/>
              <w:left w:val="nil"/>
              <w:bottom w:val="nil"/>
              <w:right w:val="single" w:color="auto" w:sz="4" w:space="0"/>
            </w:tcBorders>
            <w:noWrap w:val="0"/>
            <w:vAlign w:val="center"/>
          </w:tcPr>
          <w:p w14:paraId="674E993F">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Times New Roman"/>
                <w:color w:val="auto"/>
                <w:sz w:val="20"/>
                <w:szCs w:val="20"/>
                <w:highlight w:val="none"/>
                <w:lang w:val="en-US" w:eastAsia="zh-CN"/>
              </w:rPr>
            </w:pPr>
            <w:r>
              <w:rPr>
                <w:rFonts w:hint="eastAsia" w:ascii="宋体" w:hAnsi="宋体" w:eastAsia="宋体" w:cs="Times New Roman"/>
                <w:color w:val="auto"/>
                <w:sz w:val="20"/>
                <w:szCs w:val="20"/>
                <w:highlight w:val="none"/>
                <w:lang w:eastAsia="zh-CN"/>
              </w:rPr>
              <w:t>斗式提升机链条组件\DT40 P-152.4 16Mn+45#</w:t>
            </w:r>
          </w:p>
        </w:tc>
        <w:tc>
          <w:tcPr>
            <w:tcW w:w="1073" w:type="dxa"/>
            <w:tcBorders>
              <w:top w:val="nil"/>
              <w:left w:val="nil"/>
              <w:bottom w:val="nil"/>
              <w:right w:val="single" w:color="auto" w:sz="4" w:space="0"/>
            </w:tcBorders>
            <w:noWrap w:val="0"/>
            <w:vAlign w:val="center"/>
          </w:tcPr>
          <w:p w14:paraId="52486F26">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ind w:left="0" w:leftChars="0" w:firstLine="0" w:firstLineChars="0"/>
              <w:jc w:val="both"/>
              <w:textAlignment w:val="auto"/>
              <w:rPr>
                <w:rFonts w:hint="eastAsia" w:ascii="宋体" w:hAnsi="宋体" w:eastAsia="宋体" w:cs="Times New Roman"/>
                <w:color w:val="auto"/>
                <w:sz w:val="20"/>
                <w:szCs w:val="20"/>
                <w:highlight w:val="none"/>
              </w:rPr>
            </w:pPr>
            <w:r>
              <w:rPr>
                <w:rFonts w:hint="eastAsia" w:ascii="宋体" w:hAnsi="宋体" w:eastAsia="宋体" w:cs="Times New Roman"/>
                <w:color w:val="auto"/>
                <w:sz w:val="20"/>
                <w:szCs w:val="20"/>
                <w:highlight w:val="none"/>
              </w:rPr>
              <w:t>节</w:t>
            </w:r>
          </w:p>
        </w:tc>
        <w:tc>
          <w:tcPr>
            <w:tcW w:w="2688" w:type="dxa"/>
            <w:tcBorders>
              <w:top w:val="nil"/>
              <w:left w:val="nil"/>
              <w:bottom w:val="nil"/>
              <w:right w:val="single" w:color="auto" w:sz="4" w:space="0"/>
            </w:tcBorders>
            <w:noWrap w:val="0"/>
            <w:vAlign w:val="center"/>
          </w:tcPr>
          <w:p w14:paraId="5D067268">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ind w:left="0" w:leftChars="0" w:firstLine="0" w:firstLineChars="0"/>
              <w:jc w:val="both"/>
              <w:textAlignment w:val="auto"/>
              <w:rPr>
                <w:rFonts w:hint="default" w:ascii="宋体" w:hAnsi="宋体" w:eastAsia="宋体" w:cs="Times New Roman"/>
                <w:color w:val="auto"/>
                <w:sz w:val="20"/>
                <w:szCs w:val="20"/>
                <w:highlight w:val="none"/>
                <w:lang w:val="en-US" w:eastAsia="zh-CN"/>
              </w:rPr>
            </w:pPr>
            <w:r>
              <w:rPr>
                <w:rFonts w:hint="eastAsia" w:ascii="宋体" w:hAnsi="宋体" w:eastAsia="宋体" w:cs="Times New Roman"/>
                <w:color w:val="auto"/>
                <w:sz w:val="20"/>
                <w:szCs w:val="20"/>
                <w:highlight w:val="none"/>
                <w:lang w:val="en-US" w:eastAsia="zh-CN"/>
              </w:rPr>
              <w:t>960</w:t>
            </w:r>
          </w:p>
        </w:tc>
      </w:tr>
      <w:tr w14:paraId="75D3BC15">
        <w:tblPrEx>
          <w:tblCellMar>
            <w:top w:w="0" w:type="dxa"/>
            <w:left w:w="108" w:type="dxa"/>
            <w:bottom w:w="0" w:type="dxa"/>
            <w:right w:w="108" w:type="dxa"/>
          </w:tblCellMar>
        </w:tblPrEx>
        <w:trPr>
          <w:trHeight w:val="402" w:hRule="atLeast"/>
        </w:trPr>
        <w:tc>
          <w:tcPr>
            <w:tcW w:w="1296" w:type="dxa"/>
            <w:tcBorders>
              <w:top w:val="nil"/>
              <w:left w:val="single" w:color="auto" w:sz="4" w:space="0"/>
              <w:bottom w:val="single" w:color="auto" w:sz="4" w:space="0"/>
              <w:right w:val="single" w:color="auto" w:sz="4" w:space="0"/>
            </w:tcBorders>
            <w:noWrap w:val="0"/>
            <w:vAlign w:val="center"/>
          </w:tcPr>
          <w:p w14:paraId="68B86902">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ind w:left="0" w:leftChars="0" w:firstLine="0" w:firstLineChars="0"/>
              <w:jc w:val="both"/>
              <w:textAlignment w:val="auto"/>
              <w:rPr>
                <w:rFonts w:hint="default" w:ascii="宋体" w:hAnsi="宋体" w:eastAsia="宋体" w:cs="Times New Roman"/>
                <w:color w:val="auto"/>
                <w:sz w:val="20"/>
                <w:szCs w:val="20"/>
                <w:highlight w:val="none"/>
                <w:lang w:val="en-US" w:eastAsia="zh-CN"/>
              </w:rPr>
            </w:pPr>
            <w:r>
              <w:rPr>
                <w:rFonts w:hint="eastAsia" w:ascii="宋体" w:hAnsi="宋体" w:eastAsia="宋体" w:cs="Times New Roman"/>
                <w:color w:val="auto"/>
                <w:sz w:val="20"/>
                <w:szCs w:val="20"/>
                <w:highlight w:val="none"/>
                <w:lang w:val="en-US" w:eastAsia="zh-CN"/>
              </w:rPr>
              <w:t xml:space="preserve"> </w:t>
            </w:r>
          </w:p>
        </w:tc>
        <w:tc>
          <w:tcPr>
            <w:tcW w:w="3219" w:type="dxa"/>
            <w:tcBorders>
              <w:top w:val="nil"/>
              <w:left w:val="nil"/>
              <w:bottom w:val="single" w:color="auto" w:sz="4" w:space="0"/>
              <w:right w:val="single" w:color="auto" w:sz="4" w:space="0"/>
            </w:tcBorders>
            <w:noWrap w:val="0"/>
            <w:vAlign w:val="center"/>
          </w:tcPr>
          <w:p w14:paraId="0E9399C2">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ind w:left="0" w:leftChars="0" w:firstLine="0" w:firstLineChars="0"/>
              <w:jc w:val="both"/>
              <w:textAlignment w:val="auto"/>
              <w:rPr>
                <w:rFonts w:hint="default" w:ascii="宋体" w:hAnsi="宋体" w:eastAsia="宋体" w:cs="Times New Roman"/>
                <w:color w:val="auto"/>
                <w:sz w:val="20"/>
                <w:szCs w:val="20"/>
                <w:highlight w:val="none"/>
                <w:lang w:val="en-US" w:eastAsia="zh-CN"/>
              </w:rPr>
            </w:pPr>
            <w:r>
              <w:rPr>
                <w:rFonts w:hint="eastAsia" w:ascii="宋体" w:hAnsi="宋体" w:eastAsia="宋体" w:cs="Times New Roman"/>
                <w:color w:val="auto"/>
                <w:sz w:val="20"/>
                <w:szCs w:val="20"/>
                <w:highlight w:val="none"/>
                <w:lang w:val="en-US" w:eastAsia="zh-CN"/>
              </w:rPr>
              <w:t xml:space="preserve"> </w:t>
            </w:r>
          </w:p>
        </w:tc>
        <w:tc>
          <w:tcPr>
            <w:tcW w:w="1073" w:type="dxa"/>
            <w:tcBorders>
              <w:top w:val="nil"/>
              <w:left w:val="nil"/>
              <w:bottom w:val="single" w:color="auto" w:sz="4" w:space="0"/>
              <w:right w:val="single" w:color="auto" w:sz="4" w:space="0"/>
            </w:tcBorders>
            <w:noWrap w:val="0"/>
            <w:vAlign w:val="center"/>
          </w:tcPr>
          <w:p w14:paraId="1CAB2038">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ind w:left="0" w:leftChars="0" w:firstLine="0" w:firstLineChars="0"/>
              <w:jc w:val="both"/>
              <w:textAlignment w:val="auto"/>
              <w:rPr>
                <w:rFonts w:hint="default" w:ascii="宋体" w:hAnsi="宋体" w:eastAsia="宋体" w:cs="Times New Roman"/>
                <w:color w:val="auto"/>
                <w:sz w:val="20"/>
                <w:szCs w:val="20"/>
                <w:highlight w:val="none"/>
                <w:lang w:val="en-US"/>
              </w:rPr>
            </w:pPr>
          </w:p>
        </w:tc>
        <w:tc>
          <w:tcPr>
            <w:tcW w:w="2688" w:type="dxa"/>
            <w:tcBorders>
              <w:top w:val="nil"/>
              <w:left w:val="nil"/>
              <w:bottom w:val="single" w:color="auto" w:sz="4" w:space="0"/>
              <w:right w:val="single" w:color="auto" w:sz="4" w:space="0"/>
            </w:tcBorders>
            <w:noWrap w:val="0"/>
            <w:vAlign w:val="center"/>
          </w:tcPr>
          <w:p w14:paraId="35501913">
            <w:pPr>
              <w:keepNext w:val="0"/>
              <w:keepLines w:val="0"/>
              <w:pageBreakBefore w:val="0"/>
              <w:widowControl w:val="0"/>
              <w:numPr>
                <w:ilvl w:val="0"/>
                <w:numId w:val="0"/>
              </w:numPr>
              <w:tabs>
                <w:tab w:val="left" w:pos="540"/>
                <w:tab w:val="left" w:pos="720"/>
                <w:tab w:val="left" w:pos="1080"/>
              </w:tabs>
              <w:kinsoku/>
              <w:wordWrap/>
              <w:overflowPunct/>
              <w:topLinePunct w:val="0"/>
              <w:autoSpaceDE/>
              <w:autoSpaceDN/>
              <w:bidi w:val="0"/>
              <w:adjustRightInd/>
              <w:snapToGrid/>
              <w:spacing w:line="240" w:lineRule="auto"/>
              <w:ind w:left="0" w:leftChars="0" w:firstLine="0" w:firstLineChars="0"/>
              <w:jc w:val="both"/>
              <w:textAlignment w:val="auto"/>
              <w:rPr>
                <w:rFonts w:hint="default" w:ascii="宋体" w:hAnsi="宋体" w:eastAsia="宋体" w:cs="Times New Roman"/>
                <w:color w:val="auto"/>
                <w:sz w:val="20"/>
                <w:szCs w:val="20"/>
                <w:highlight w:val="none"/>
                <w:lang w:val="en-US" w:eastAsia="zh-CN"/>
              </w:rPr>
            </w:pPr>
          </w:p>
        </w:tc>
      </w:tr>
    </w:tbl>
    <w:p w14:paraId="16C6C3D5">
      <w:pPr>
        <w:keepNext w:val="0"/>
        <w:keepLines w:val="0"/>
        <w:pageBreakBefore w:val="0"/>
        <w:kinsoku/>
        <w:wordWrap/>
        <w:overflowPunct/>
        <w:topLinePunct w:val="0"/>
        <w:autoSpaceDE/>
        <w:autoSpaceDN/>
        <w:bidi w:val="0"/>
        <w:adjustRightInd/>
        <w:snapToGrid/>
        <w:spacing w:line="240" w:lineRule="auto"/>
        <w:ind w:firstLine="201" w:firstLineChars="100"/>
        <w:jc w:val="left"/>
        <w:textAlignment w:val="auto"/>
        <w:rPr>
          <w:rFonts w:hint="eastAsia" w:ascii="宋体" w:hAnsi="宋体"/>
          <w:b/>
          <w:bCs/>
          <w:sz w:val="20"/>
          <w:szCs w:val="20"/>
          <w:lang w:val="en-US" w:eastAsia="zh-CN"/>
        </w:rPr>
      </w:pPr>
    </w:p>
    <w:p w14:paraId="69CBD2D2">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2.</w:t>
      </w:r>
      <w:r>
        <w:rPr>
          <w:rFonts w:hint="eastAsia" w:ascii="仿宋" w:hAnsi="仿宋" w:eastAsia="仿宋" w:cs="仿宋"/>
          <w:color w:val="auto"/>
          <w:kern w:val="2"/>
          <w:sz w:val="21"/>
          <w:szCs w:val="21"/>
          <w:highlight w:val="none"/>
        </w:rPr>
        <w:t>技术要求：</w:t>
      </w:r>
      <w:r>
        <w:rPr>
          <w:rFonts w:hint="eastAsia" w:ascii="仿宋" w:hAnsi="仿宋" w:eastAsia="仿宋" w:cs="仿宋"/>
          <w:color w:val="auto"/>
          <w:kern w:val="2"/>
          <w:sz w:val="21"/>
          <w:szCs w:val="21"/>
          <w:highlight w:val="none"/>
          <w:lang w:val="en-US" w:eastAsia="zh-CN"/>
        </w:rPr>
        <w:t xml:space="preserve"> </w:t>
      </w:r>
    </w:p>
    <w:p w14:paraId="2CB4F366">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1、斗式提升机链条组件\DT40 P-152.4 16Mn+45#</w:t>
      </w:r>
      <w:r>
        <w:rPr>
          <w:rFonts w:hint="eastAsia" w:ascii="仿宋" w:hAnsi="仿宋" w:eastAsia="仿宋" w:cs="仿宋"/>
          <w:color w:val="auto"/>
          <w:kern w:val="2"/>
          <w:sz w:val="21"/>
          <w:szCs w:val="21"/>
          <w:highlight w:val="none"/>
          <w:lang w:eastAsia="zh-CN"/>
        </w:rPr>
        <w:t>正常使用寿命＞</w:t>
      </w:r>
      <w:r>
        <w:rPr>
          <w:rFonts w:hint="eastAsia" w:ascii="仿宋" w:hAnsi="仿宋" w:eastAsia="仿宋" w:cs="仿宋"/>
          <w:color w:val="auto"/>
          <w:kern w:val="2"/>
          <w:sz w:val="21"/>
          <w:szCs w:val="21"/>
          <w:highlight w:val="none"/>
          <w:lang w:val="en-US" w:eastAsia="zh-CN"/>
        </w:rPr>
        <w:t>3</w:t>
      </w:r>
      <w:r>
        <w:rPr>
          <w:rFonts w:hint="eastAsia" w:ascii="仿宋" w:hAnsi="仿宋" w:eastAsia="仿宋" w:cs="仿宋"/>
          <w:color w:val="auto"/>
          <w:kern w:val="2"/>
          <w:sz w:val="21"/>
          <w:szCs w:val="21"/>
          <w:highlight w:val="none"/>
          <w:lang w:eastAsia="zh-CN"/>
        </w:rPr>
        <w:t>年（从安装之日起算）。</w:t>
      </w:r>
    </w:p>
    <w:p w14:paraId="18C107BC">
      <w:pPr>
        <w:widowControl w:val="0"/>
        <w:tabs>
          <w:tab w:val="left" w:pos="540"/>
          <w:tab w:val="left" w:pos="1080"/>
        </w:tabs>
        <w:spacing w:line="360" w:lineRule="auto"/>
        <w:jc w:val="both"/>
        <w:outlineLvl w:val="0"/>
        <w:rPr>
          <w:rFonts w:hint="default"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2、斗式提升机链条组件\DT40 P-152.4 16Mn+45#正常使用1</w:t>
      </w:r>
      <w:r>
        <w:rPr>
          <w:rFonts w:hint="eastAsia" w:ascii="仿宋" w:hAnsi="仿宋" w:eastAsia="仿宋" w:cs="仿宋"/>
          <w:color w:val="auto"/>
          <w:kern w:val="2"/>
          <w:sz w:val="21"/>
          <w:szCs w:val="21"/>
          <w:highlight w:val="none"/>
          <w:lang w:eastAsia="zh-CN"/>
        </w:rPr>
        <w:t>年</w:t>
      </w:r>
      <w:r>
        <w:rPr>
          <w:rFonts w:hint="eastAsia" w:ascii="仿宋" w:hAnsi="仿宋" w:eastAsia="仿宋" w:cs="仿宋"/>
          <w:color w:val="auto"/>
          <w:kern w:val="2"/>
          <w:sz w:val="21"/>
          <w:szCs w:val="21"/>
          <w:highlight w:val="none"/>
          <w:lang w:val="en-US" w:eastAsia="zh-CN"/>
        </w:rPr>
        <w:t>内不得出现表面裂纹、断裂、等质量问题。</w:t>
      </w:r>
    </w:p>
    <w:p w14:paraId="24585EE7">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3、</w:t>
      </w:r>
      <w:r>
        <w:rPr>
          <w:rFonts w:hint="eastAsia" w:ascii="仿宋" w:hAnsi="仿宋" w:eastAsia="仿宋" w:cs="仿宋"/>
          <w:color w:val="auto"/>
          <w:kern w:val="2"/>
          <w:sz w:val="21"/>
          <w:szCs w:val="21"/>
          <w:highlight w:val="none"/>
          <w:lang w:eastAsia="zh-CN"/>
        </w:rPr>
        <w:t>保质期内，凡是由于设备质量问题引起的损坏，乙方在接到通知</w:t>
      </w:r>
      <w:r>
        <w:rPr>
          <w:rFonts w:hint="eastAsia" w:ascii="仿宋" w:hAnsi="仿宋" w:eastAsia="仿宋" w:cs="仿宋"/>
          <w:color w:val="auto"/>
          <w:kern w:val="2"/>
          <w:sz w:val="21"/>
          <w:szCs w:val="21"/>
          <w:highlight w:val="none"/>
          <w:lang w:val="en-US" w:eastAsia="zh-CN"/>
        </w:rPr>
        <w:t>一周</w:t>
      </w:r>
      <w:r>
        <w:rPr>
          <w:rFonts w:hint="eastAsia" w:ascii="仿宋" w:hAnsi="仿宋" w:eastAsia="仿宋" w:cs="仿宋"/>
          <w:color w:val="auto"/>
          <w:kern w:val="2"/>
          <w:sz w:val="21"/>
          <w:szCs w:val="21"/>
          <w:highlight w:val="none"/>
          <w:lang w:eastAsia="zh-CN"/>
        </w:rPr>
        <w:t>内到达现场，无偿提供</w:t>
      </w:r>
      <w:r>
        <w:rPr>
          <w:rFonts w:hint="eastAsia" w:ascii="仿宋" w:hAnsi="仿宋" w:eastAsia="仿宋" w:cs="仿宋"/>
          <w:color w:val="auto"/>
          <w:kern w:val="2"/>
          <w:sz w:val="21"/>
          <w:szCs w:val="21"/>
          <w:highlight w:val="none"/>
          <w:lang w:val="en-US" w:eastAsia="zh-CN"/>
        </w:rPr>
        <w:t>斗式提升机链条组件\DT40 P-152.4 16Mn+45#</w:t>
      </w:r>
      <w:r>
        <w:rPr>
          <w:rFonts w:hint="eastAsia" w:ascii="仿宋" w:hAnsi="仿宋" w:eastAsia="仿宋" w:cs="仿宋"/>
          <w:color w:val="auto"/>
          <w:kern w:val="2"/>
          <w:sz w:val="21"/>
          <w:szCs w:val="21"/>
          <w:highlight w:val="none"/>
          <w:lang w:eastAsia="zh-CN"/>
        </w:rPr>
        <w:t>供甲方更换。</w:t>
      </w:r>
    </w:p>
    <w:p w14:paraId="5897123D">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4、斗式提升机链条组件\DT40 P-152.4 16Mn+45#</w:t>
      </w:r>
      <w:r>
        <w:rPr>
          <w:rFonts w:hint="eastAsia" w:ascii="仿宋" w:hAnsi="仿宋" w:eastAsia="仿宋" w:cs="仿宋"/>
          <w:color w:val="auto"/>
          <w:kern w:val="2"/>
          <w:sz w:val="21"/>
          <w:szCs w:val="21"/>
          <w:highlight w:val="none"/>
          <w:lang w:eastAsia="zh-CN"/>
        </w:rPr>
        <w:t>在运输过程中不能出现包装散开、合格证丢失缺陷。</w:t>
      </w:r>
    </w:p>
    <w:p w14:paraId="19E31499">
      <w:pPr>
        <w:widowControl w:val="0"/>
        <w:tabs>
          <w:tab w:val="left" w:pos="540"/>
          <w:tab w:val="left" w:pos="1080"/>
        </w:tabs>
        <w:spacing w:line="360" w:lineRule="auto"/>
        <w:jc w:val="both"/>
        <w:outlineLvl w:val="0"/>
        <w:rPr>
          <w:rFonts w:hint="default"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 xml:space="preserve"> 5、</w:t>
      </w:r>
      <w:r>
        <w:rPr>
          <w:rFonts w:hint="eastAsia" w:ascii="仿宋" w:hAnsi="仿宋" w:eastAsia="仿宋" w:cs="仿宋"/>
          <w:color w:val="auto"/>
          <w:kern w:val="2"/>
          <w:sz w:val="21"/>
          <w:szCs w:val="21"/>
          <w:highlight w:val="none"/>
          <w:lang w:eastAsia="zh-CN"/>
        </w:rPr>
        <w:t>乙方制造的</w:t>
      </w:r>
      <w:r>
        <w:rPr>
          <w:rFonts w:hint="eastAsia" w:ascii="仿宋" w:hAnsi="仿宋" w:eastAsia="仿宋" w:cs="仿宋"/>
          <w:color w:val="auto"/>
          <w:kern w:val="2"/>
          <w:sz w:val="21"/>
          <w:szCs w:val="21"/>
          <w:highlight w:val="none"/>
          <w:lang w:val="en-US" w:eastAsia="zh-CN"/>
        </w:rPr>
        <w:t>斗式提升机链条组件\DT40 P-152.4 16Mn+45#</w:t>
      </w:r>
      <w:r>
        <w:rPr>
          <w:rFonts w:hint="eastAsia" w:ascii="仿宋" w:hAnsi="仿宋" w:eastAsia="仿宋" w:cs="仿宋"/>
          <w:color w:val="auto"/>
          <w:kern w:val="2"/>
          <w:sz w:val="21"/>
          <w:szCs w:val="21"/>
          <w:highlight w:val="none"/>
          <w:lang w:eastAsia="zh-CN"/>
        </w:rPr>
        <w:t>在出厂前必须进行测试，乙方在交付设备时应同时提交以下书面报告： 提供出厂质检报告、出厂合格证、还应提供材质验收单。</w:t>
      </w:r>
    </w:p>
    <w:p w14:paraId="18672D04">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val="en-US" w:eastAsia="zh-CN"/>
        </w:rPr>
      </w:pPr>
    </w:p>
    <w:p w14:paraId="6696B895">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产品使用要求</w:t>
      </w:r>
    </w:p>
    <w:p w14:paraId="34714D66">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1、</w:t>
      </w:r>
      <w:r>
        <w:rPr>
          <w:rFonts w:hint="eastAsia" w:ascii="仿宋" w:hAnsi="仿宋" w:eastAsia="仿宋" w:cs="仿宋"/>
          <w:color w:val="auto"/>
          <w:kern w:val="2"/>
          <w:sz w:val="21"/>
          <w:szCs w:val="21"/>
          <w:highlight w:val="none"/>
          <w:lang w:eastAsia="zh-CN"/>
        </w:rPr>
        <w:t>止回阀\H41S-16DN40</w:t>
      </w:r>
      <w:r>
        <w:rPr>
          <w:rFonts w:hint="eastAsia" w:ascii="仿宋" w:hAnsi="仿宋" w:eastAsia="仿宋" w:cs="仿宋"/>
          <w:color w:val="auto"/>
          <w:kern w:val="2"/>
          <w:sz w:val="21"/>
          <w:szCs w:val="21"/>
          <w:highlight w:val="none"/>
        </w:rPr>
        <w:t>正常使用寿命＞</w:t>
      </w:r>
      <w:r>
        <w:rPr>
          <w:rFonts w:hint="eastAsia" w:ascii="仿宋" w:hAnsi="仿宋" w:eastAsia="仿宋" w:cs="仿宋"/>
          <w:color w:val="auto"/>
          <w:kern w:val="2"/>
          <w:sz w:val="21"/>
          <w:szCs w:val="21"/>
          <w:highlight w:val="none"/>
          <w:lang w:val="en-US" w:eastAsia="zh-CN"/>
        </w:rPr>
        <w:t>2</w:t>
      </w:r>
      <w:r>
        <w:rPr>
          <w:rFonts w:hint="eastAsia" w:ascii="仿宋" w:hAnsi="仿宋" w:eastAsia="仿宋" w:cs="仿宋"/>
          <w:color w:val="auto"/>
          <w:kern w:val="2"/>
          <w:sz w:val="21"/>
          <w:szCs w:val="21"/>
          <w:highlight w:val="none"/>
          <w:lang w:eastAsia="zh-CN"/>
        </w:rPr>
        <w:t>年</w:t>
      </w:r>
      <w:r>
        <w:rPr>
          <w:rFonts w:hint="eastAsia" w:ascii="仿宋" w:hAnsi="仿宋" w:eastAsia="仿宋" w:cs="仿宋"/>
          <w:color w:val="auto"/>
          <w:kern w:val="2"/>
          <w:sz w:val="21"/>
          <w:szCs w:val="21"/>
          <w:highlight w:val="none"/>
        </w:rPr>
        <w:t>（从安装之日起算）。</w:t>
      </w:r>
    </w:p>
    <w:p w14:paraId="0FCC5E4D">
      <w:pPr>
        <w:widowControl w:val="0"/>
        <w:tabs>
          <w:tab w:val="left" w:pos="540"/>
          <w:tab w:val="left" w:pos="1080"/>
        </w:tabs>
        <w:spacing w:line="360" w:lineRule="auto"/>
        <w:jc w:val="both"/>
        <w:outlineLvl w:val="0"/>
        <w:rPr>
          <w:rFonts w:hint="default" w:ascii="仿宋" w:hAnsi="仿宋" w:eastAsia="仿宋" w:cs="仿宋"/>
          <w:color w:val="auto"/>
          <w:kern w:val="2"/>
          <w:sz w:val="21"/>
          <w:szCs w:val="21"/>
          <w:highlight w:val="none"/>
          <w:lang w:val="en-US"/>
        </w:rPr>
      </w:pPr>
      <w:r>
        <w:rPr>
          <w:rFonts w:hint="eastAsia" w:ascii="仿宋" w:hAnsi="仿宋" w:eastAsia="仿宋" w:cs="仿宋"/>
          <w:color w:val="auto"/>
          <w:kern w:val="2"/>
          <w:sz w:val="21"/>
          <w:szCs w:val="21"/>
          <w:highlight w:val="none"/>
          <w:lang w:val="en-US" w:eastAsia="zh-CN"/>
        </w:rPr>
        <w:t>2、</w:t>
      </w:r>
      <w:r>
        <w:rPr>
          <w:rFonts w:hint="eastAsia" w:ascii="仿宋" w:hAnsi="仿宋" w:eastAsia="仿宋" w:cs="仿宋"/>
          <w:color w:val="auto"/>
          <w:kern w:val="2"/>
          <w:sz w:val="21"/>
          <w:szCs w:val="21"/>
          <w:highlight w:val="none"/>
          <w:lang w:eastAsia="zh-CN"/>
        </w:rPr>
        <w:t>止回阀\H41S-16DN40</w:t>
      </w:r>
      <w:r>
        <w:rPr>
          <w:rFonts w:hint="eastAsia" w:ascii="仿宋" w:hAnsi="仿宋" w:eastAsia="仿宋" w:cs="仿宋"/>
          <w:color w:val="auto"/>
          <w:kern w:val="2"/>
          <w:sz w:val="21"/>
          <w:szCs w:val="21"/>
          <w:highlight w:val="none"/>
          <w:lang w:val="en-US" w:eastAsia="zh-CN"/>
        </w:rPr>
        <w:t>使用2</w:t>
      </w:r>
      <w:r>
        <w:rPr>
          <w:rFonts w:hint="eastAsia" w:ascii="仿宋" w:hAnsi="仿宋" w:eastAsia="仿宋" w:cs="仿宋"/>
          <w:color w:val="auto"/>
          <w:kern w:val="2"/>
          <w:sz w:val="21"/>
          <w:szCs w:val="21"/>
          <w:highlight w:val="none"/>
          <w:lang w:eastAsia="zh-CN"/>
        </w:rPr>
        <w:t>年</w:t>
      </w:r>
      <w:r>
        <w:rPr>
          <w:rFonts w:hint="eastAsia" w:ascii="仿宋" w:hAnsi="仿宋" w:eastAsia="仿宋" w:cs="仿宋"/>
          <w:color w:val="auto"/>
          <w:kern w:val="2"/>
          <w:sz w:val="21"/>
          <w:szCs w:val="21"/>
          <w:highlight w:val="none"/>
          <w:lang w:val="en-US" w:eastAsia="zh-CN"/>
        </w:rPr>
        <w:t>内不得出现表面裂纹、断裂、卡组、密封损坏等质量问题。</w:t>
      </w:r>
    </w:p>
    <w:p w14:paraId="01C7CE8A">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3、</w:t>
      </w:r>
      <w:r>
        <w:rPr>
          <w:rFonts w:hint="eastAsia" w:ascii="仿宋" w:hAnsi="仿宋" w:eastAsia="仿宋" w:cs="仿宋"/>
          <w:color w:val="auto"/>
          <w:kern w:val="2"/>
          <w:sz w:val="21"/>
          <w:szCs w:val="21"/>
          <w:highlight w:val="none"/>
        </w:rPr>
        <w:t>保质期内，凡是由于设备质量问题引起的损坏，乙方在接到通知</w:t>
      </w:r>
      <w:r>
        <w:rPr>
          <w:rFonts w:hint="eastAsia" w:ascii="仿宋" w:hAnsi="仿宋" w:eastAsia="仿宋" w:cs="仿宋"/>
          <w:color w:val="auto"/>
          <w:kern w:val="2"/>
          <w:sz w:val="21"/>
          <w:szCs w:val="21"/>
          <w:highlight w:val="none"/>
          <w:lang w:val="en-US" w:eastAsia="zh-CN"/>
        </w:rPr>
        <w:t>一周</w:t>
      </w:r>
      <w:r>
        <w:rPr>
          <w:rFonts w:hint="eastAsia" w:ascii="仿宋" w:hAnsi="仿宋" w:eastAsia="仿宋" w:cs="仿宋"/>
          <w:color w:val="auto"/>
          <w:kern w:val="2"/>
          <w:sz w:val="21"/>
          <w:szCs w:val="21"/>
          <w:highlight w:val="none"/>
        </w:rPr>
        <w:t>内到达现场，无偿提供</w:t>
      </w:r>
      <w:r>
        <w:rPr>
          <w:rFonts w:hint="eastAsia" w:ascii="仿宋" w:hAnsi="仿宋" w:eastAsia="仿宋" w:cs="仿宋"/>
          <w:color w:val="auto"/>
          <w:kern w:val="2"/>
          <w:sz w:val="21"/>
          <w:szCs w:val="21"/>
          <w:highlight w:val="none"/>
          <w:lang w:eastAsia="zh-CN"/>
        </w:rPr>
        <w:t>止回阀\H41S-16DN40</w:t>
      </w:r>
      <w:r>
        <w:rPr>
          <w:rFonts w:hint="eastAsia" w:ascii="仿宋" w:hAnsi="仿宋" w:eastAsia="仿宋" w:cs="仿宋"/>
          <w:color w:val="auto"/>
          <w:kern w:val="2"/>
          <w:sz w:val="21"/>
          <w:szCs w:val="21"/>
          <w:highlight w:val="none"/>
        </w:rPr>
        <w:t>供</w:t>
      </w:r>
      <w:r>
        <w:rPr>
          <w:rFonts w:hint="eastAsia" w:ascii="仿宋" w:hAnsi="仿宋" w:eastAsia="仿宋" w:cs="仿宋"/>
          <w:color w:val="auto"/>
          <w:kern w:val="2"/>
          <w:sz w:val="21"/>
          <w:szCs w:val="21"/>
          <w:highlight w:val="none"/>
          <w:lang w:eastAsia="zh-CN"/>
        </w:rPr>
        <w:t>甲方</w:t>
      </w:r>
      <w:r>
        <w:rPr>
          <w:rFonts w:hint="eastAsia" w:ascii="仿宋" w:hAnsi="仿宋" w:eastAsia="仿宋" w:cs="仿宋"/>
          <w:color w:val="auto"/>
          <w:kern w:val="2"/>
          <w:sz w:val="21"/>
          <w:szCs w:val="21"/>
          <w:highlight w:val="none"/>
        </w:rPr>
        <w:t>更换。</w:t>
      </w:r>
    </w:p>
    <w:p w14:paraId="19A3BD1C">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val="en-US"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lang w:eastAsia="zh-CN"/>
        </w:rPr>
        <w:t>止回阀\H41S-16DN40在运输过程中不能出现包装散开、合格证丢失缺陷。</w:t>
      </w:r>
    </w:p>
    <w:p w14:paraId="0A9609CD">
      <w:pPr>
        <w:widowControl w:val="0"/>
        <w:tabs>
          <w:tab w:val="left" w:pos="540"/>
          <w:tab w:val="left" w:pos="1080"/>
        </w:tabs>
        <w:spacing w:line="360" w:lineRule="auto"/>
        <w:jc w:val="both"/>
        <w:outlineLvl w:val="0"/>
        <w:rPr>
          <w:rFonts w:hint="default" w:ascii="宋体" w:hAnsi="宋体" w:eastAsia="宋体" w:cs="Times New Roman"/>
          <w:color w:val="auto"/>
          <w:sz w:val="20"/>
          <w:szCs w:val="20"/>
          <w:highlight w:val="none"/>
          <w:lang w:val="en-US" w:eastAsia="zh-CN"/>
        </w:rPr>
      </w:pPr>
      <w:r>
        <w:rPr>
          <w:rFonts w:hint="eastAsia" w:ascii="仿宋" w:hAnsi="仿宋" w:eastAsia="仿宋" w:cs="仿宋"/>
          <w:color w:val="auto"/>
          <w:kern w:val="2"/>
          <w:sz w:val="21"/>
          <w:szCs w:val="21"/>
          <w:highlight w:val="none"/>
          <w:lang w:val="en-US" w:eastAsia="zh-CN"/>
        </w:rPr>
        <w:t>5、</w:t>
      </w:r>
      <w:r>
        <w:rPr>
          <w:rFonts w:hint="eastAsia" w:ascii="仿宋" w:hAnsi="仿宋" w:eastAsia="仿宋" w:cs="仿宋"/>
          <w:color w:val="auto"/>
          <w:kern w:val="2"/>
          <w:sz w:val="21"/>
          <w:szCs w:val="21"/>
          <w:highlight w:val="none"/>
        </w:rPr>
        <w:t>乙方制造的</w:t>
      </w:r>
      <w:r>
        <w:rPr>
          <w:rFonts w:hint="eastAsia" w:ascii="仿宋" w:hAnsi="仿宋" w:eastAsia="仿宋" w:cs="仿宋"/>
          <w:color w:val="auto"/>
          <w:kern w:val="2"/>
          <w:sz w:val="21"/>
          <w:szCs w:val="21"/>
          <w:highlight w:val="none"/>
          <w:lang w:eastAsia="zh-CN"/>
        </w:rPr>
        <w:t>止回阀\H41S-16DN40</w:t>
      </w:r>
      <w:r>
        <w:rPr>
          <w:rFonts w:hint="eastAsia" w:ascii="仿宋" w:hAnsi="仿宋" w:eastAsia="仿宋" w:cs="仿宋"/>
          <w:color w:val="auto"/>
          <w:kern w:val="2"/>
          <w:sz w:val="21"/>
          <w:szCs w:val="21"/>
          <w:highlight w:val="none"/>
        </w:rPr>
        <w:t>在出厂前必须进行测试，乙方在交付设备时应同时提交以下书面报告： 提供出厂质检报告</w:t>
      </w:r>
      <w:r>
        <w:rPr>
          <w:rFonts w:hint="eastAsia" w:ascii="仿宋" w:hAnsi="仿宋" w:eastAsia="仿宋" w:cs="仿宋"/>
          <w:color w:val="auto"/>
          <w:kern w:val="2"/>
          <w:sz w:val="21"/>
          <w:szCs w:val="21"/>
          <w:highlight w:val="none"/>
          <w:lang w:eastAsia="zh-CN"/>
        </w:rPr>
        <w:t>、</w:t>
      </w:r>
      <w:r>
        <w:rPr>
          <w:rFonts w:hint="eastAsia" w:ascii="仿宋" w:hAnsi="仿宋" w:eastAsia="仿宋" w:cs="仿宋"/>
          <w:color w:val="auto"/>
          <w:kern w:val="2"/>
          <w:sz w:val="21"/>
          <w:szCs w:val="21"/>
          <w:highlight w:val="none"/>
        </w:rPr>
        <w:t>出厂合格证</w:t>
      </w:r>
      <w:r>
        <w:rPr>
          <w:rFonts w:hint="eastAsia" w:ascii="仿宋" w:hAnsi="仿宋" w:eastAsia="仿宋" w:cs="仿宋"/>
          <w:color w:val="auto"/>
          <w:kern w:val="2"/>
          <w:sz w:val="21"/>
          <w:szCs w:val="21"/>
          <w:highlight w:val="none"/>
          <w:lang w:eastAsia="zh-CN"/>
        </w:rPr>
        <w:t>、还应提供材质验收单</w:t>
      </w:r>
      <w:r>
        <w:rPr>
          <w:rFonts w:hint="eastAsia" w:ascii="宋体" w:hAnsi="宋体" w:eastAsia="宋体" w:cs="Times New Roman"/>
          <w:color w:val="auto"/>
          <w:sz w:val="20"/>
          <w:szCs w:val="20"/>
          <w:highlight w:val="none"/>
          <w:lang w:eastAsia="zh-CN"/>
        </w:rPr>
        <w:t>。</w:t>
      </w:r>
    </w:p>
    <w:p w14:paraId="062D8AFF">
      <w:pPr>
        <w:spacing w:line="360" w:lineRule="auto"/>
        <w:ind w:left="0" w:leftChars="0" w:firstLine="0" w:firstLineChars="0"/>
        <w:rPr>
          <w:rFonts w:hint="eastAsia" w:ascii="仿宋" w:hAnsi="仿宋" w:eastAsia="仿宋" w:cs="仿宋"/>
          <w:color w:val="auto"/>
          <w:kern w:val="2"/>
          <w:sz w:val="21"/>
          <w:szCs w:val="21"/>
          <w:highlight w:val="none"/>
          <w:lang w:val="en-US" w:eastAsia="zh-CN"/>
        </w:rPr>
      </w:pPr>
      <w:r>
        <w:rPr>
          <w:rFonts w:hint="eastAsia" w:ascii="仿宋" w:hAnsi="仿宋" w:eastAsia="仿宋" w:cs="仿宋"/>
          <w:b/>
          <w:color w:val="auto"/>
          <w:spacing w:val="-4"/>
          <w:kern w:val="28"/>
          <w:sz w:val="21"/>
          <w:szCs w:val="21"/>
          <w:highlight w:val="none"/>
        </w:rPr>
        <w:t>附件四</w:t>
      </w:r>
      <w:r>
        <w:rPr>
          <w:rFonts w:hint="eastAsia" w:ascii="仿宋" w:hAnsi="仿宋" w:eastAsia="仿宋" w:cs="仿宋"/>
          <w:b/>
          <w:color w:val="auto"/>
          <w:spacing w:val="-4"/>
          <w:kern w:val="28"/>
          <w:sz w:val="21"/>
          <w:szCs w:val="21"/>
          <w:highlight w:val="none"/>
          <w:lang w:val="en-US" w:eastAsia="zh-CN"/>
        </w:rPr>
        <w:t xml:space="preserve"> </w:t>
      </w:r>
      <w:r>
        <w:rPr>
          <w:rFonts w:hint="eastAsia" w:ascii="仿宋" w:hAnsi="仿宋" w:eastAsia="仿宋" w:cs="仿宋"/>
          <w:b/>
          <w:color w:val="auto"/>
          <w:spacing w:val="-4"/>
          <w:kern w:val="28"/>
          <w:sz w:val="21"/>
          <w:szCs w:val="21"/>
          <w:highlight w:val="none"/>
        </w:rPr>
        <w:t>提供资料</w:t>
      </w:r>
    </w:p>
    <w:p w14:paraId="0B67059C">
      <w:pPr>
        <w:widowControl w:val="0"/>
        <w:tabs>
          <w:tab w:val="left" w:pos="540"/>
          <w:tab w:val="left" w:pos="1080"/>
        </w:tabs>
        <w:spacing w:line="360" w:lineRule="auto"/>
        <w:jc w:val="both"/>
        <w:outlineLvl w:val="0"/>
        <w:rPr>
          <w:rFonts w:hint="eastAsia" w:ascii="仿宋" w:hAnsi="仿宋" w:eastAsia="仿宋" w:cs="仿宋"/>
          <w:color w:val="auto"/>
          <w:kern w:val="2"/>
          <w:sz w:val="21"/>
          <w:szCs w:val="21"/>
          <w:highlight w:val="none"/>
          <w:lang w:eastAsia="zh-CN"/>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.1</w:t>
      </w:r>
      <w:r>
        <w:rPr>
          <w:rFonts w:hint="eastAsia" w:ascii="仿宋" w:hAnsi="仿宋" w:eastAsia="仿宋" w:cs="仿宋"/>
          <w:color w:val="auto"/>
          <w:kern w:val="2"/>
          <w:sz w:val="21"/>
          <w:szCs w:val="21"/>
          <w:highlight w:val="none"/>
          <w:lang w:eastAsia="zh-CN"/>
        </w:rPr>
        <w:t>乙方</w:t>
      </w:r>
      <w:r>
        <w:rPr>
          <w:rFonts w:hint="eastAsia" w:ascii="仿宋" w:hAnsi="仿宋" w:eastAsia="仿宋" w:cs="仿宋"/>
          <w:color w:val="auto"/>
          <w:kern w:val="2"/>
          <w:sz w:val="21"/>
          <w:szCs w:val="21"/>
          <w:highlight w:val="none"/>
        </w:rPr>
        <w:t>在</w:t>
      </w:r>
      <w:r>
        <w:rPr>
          <w:rFonts w:hint="eastAsia" w:ascii="仿宋" w:hAnsi="仿宋" w:eastAsia="仿宋" w:cs="仿宋"/>
          <w:color w:val="auto"/>
          <w:kern w:val="2"/>
          <w:sz w:val="21"/>
          <w:szCs w:val="21"/>
          <w:highlight w:val="none"/>
          <w:lang w:eastAsia="zh-CN"/>
        </w:rPr>
        <w:t>投标前可到甲</w:t>
      </w:r>
      <w:r>
        <w:rPr>
          <w:rFonts w:hint="eastAsia" w:ascii="仿宋" w:hAnsi="仿宋" w:eastAsia="仿宋" w:cs="仿宋"/>
          <w:color w:val="auto"/>
          <w:kern w:val="2"/>
          <w:sz w:val="21"/>
          <w:szCs w:val="21"/>
          <w:highlight w:val="none"/>
        </w:rPr>
        <w:t>方</w:t>
      </w:r>
      <w:r>
        <w:rPr>
          <w:rFonts w:hint="eastAsia" w:ascii="仿宋" w:hAnsi="仿宋" w:eastAsia="仿宋" w:cs="仿宋"/>
          <w:color w:val="auto"/>
          <w:kern w:val="2"/>
          <w:sz w:val="21"/>
          <w:szCs w:val="21"/>
          <w:highlight w:val="none"/>
          <w:lang w:eastAsia="zh-CN"/>
        </w:rPr>
        <w:t>现场现场勘察，并查看甲方在线设备资料和现场环境。</w:t>
      </w:r>
    </w:p>
    <w:p w14:paraId="511AEACC">
      <w:pPr>
        <w:widowControl w:val="0"/>
        <w:spacing w:line="360" w:lineRule="auto"/>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 xml:space="preserve">.2乙方在中标后 </w:t>
      </w:r>
      <w:r>
        <w:rPr>
          <w:rFonts w:hint="eastAsia" w:ascii="仿宋" w:hAnsi="仿宋" w:eastAsia="仿宋" w:cs="仿宋"/>
          <w:color w:val="auto"/>
          <w:kern w:val="2"/>
          <w:sz w:val="21"/>
          <w:szCs w:val="21"/>
          <w:highlight w:val="none"/>
          <w:lang w:val="en-US" w:eastAsia="zh-CN"/>
        </w:rPr>
        <w:t>7</w:t>
      </w:r>
      <w:r>
        <w:rPr>
          <w:rFonts w:hint="eastAsia" w:ascii="仿宋" w:hAnsi="仿宋" w:eastAsia="仿宋" w:cs="仿宋"/>
          <w:color w:val="auto"/>
          <w:kern w:val="2"/>
          <w:sz w:val="21"/>
          <w:szCs w:val="21"/>
          <w:highlight w:val="none"/>
        </w:rPr>
        <w:t>天内将</w:t>
      </w:r>
      <w:r>
        <w:rPr>
          <w:rFonts w:hint="eastAsia" w:ascii="仿宋" w:hAnsi="仿宋" w:eastAsia="仿宋" w:cs="仿宋"/>
          <w:color w:val="auto"/>
          <w:kern w:val="2"/>
          <w:sz w:val="21"/>
          <w:szCs w:val="21"/>
          <w:highlight w:val="none"/>
          <w:lang w:eastAsia="zh-CN"/>
        </w:rPr>
        <w:t>确认</w:t>
      </w:r>
      <w:r>
        <w:rPr>
          <w:rFonts w:hint="eastAsia" w:ascii="仿宋" w:hAnsi="仿宋" w:eastAsia="仿宋" w:cs="仿宋"/>
          <w:color w:val="auto"/>
          <w:kern w:val="2"/>
          <w:sz w:val="21"/>
          <w:szCs w:val="21"/>
          <w:highlight w:val="none"/>
        </w:rPr>
        <w:t>的纸版和电子版如下资料提供给甲方：</w:t>
      </w:r>
    </w:p>
    <w:p w14:paraId="0097DEB6">
      <w:pPr>
        <w:widowControl w:val="0"/>
        <w:tabs>
          <w:tab w:val="left" w:pos="1080"/>
        </w:tabs>
        <w:spacing w:line="360" w:lineRule="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.2.1</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外购件明细表</w:t>
      </w:r>
    </w:p>
    <w:p w14:paraId="7CB1CA63">
      <w:pPr>
        <w:widowControl w:val="0"/>
        <w:tabs>
          <w:tab w:val="left" w:pos="1080"/>
        </w:tabs>
        <w:spacing w:line="360" w:lineRule="auto"/>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.2.2</w:t>
      </w:r>
      <w:r>
        <w:rPr>
          <w:rFonts w:hint="eastAsia" w:ascii="仿宋" w:hAnsi="仿宋" w:eastAsia="仿宋" w:cs="仿宋"/>
          <w:color w:val="auto"/>
          <w:kern w:val="2"/>
          <w:sz w:val="21"/>
          <w:szCs w:val="21"/>
          <w:highlight w:val="none"/>
          <w:lang w:val="en-US" w:eastAsia="zh-CN"/>
        </w:rPr>
        <w:t xml:space="preserve"> </w:t>
      </w:r>
      <w:r>
        <w:rPr>
          <w:rFonts w:hint="eastAsia" w:ascii="仿宋" w:hAnsi="仿宋" w:eastAsia="仿宋" w:cs="仿宋"/>
          <w:color w:val="auto"/>
          <w:kern w:val="2"/>
          <w:sz w:val="21"/>
          <w:szCs w:val="21"/>
          <w:highlight w:val="none"/>
        </w:rPr>
        <w:t>备件、附件明细表</w:t>
      </w:r>
    </w:p>
    <w:p w14:paraId="79D85ADC">
      <w:pPr>
        <w:rPr>
          <w:rFonts w:hint="eastAsia" w:ascii="宋体" w:hAnsi="宋体"/>
          <w:color w:val="FF0000"/>
          <w:sz w:val="21"/>
          <w:szCs w:val="21"/>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.2.</w:t>
      </w:r>
      <w:r>
        <w:rPr>
          <w:rFonts w:hint="eastAsia" w:ascii="仿宋" w:hAnsi="仿宋" w:eastAsia="仿宋" w:cs="仿宋"/>
          <w:color w:val="auto"/>
          <w:kern w:val="2"/>
          <w:sz w:val="21"/>
          <w:szCs w:val="21"/>
          <w:highlight w:val="none"/>
          <w:lang w:val="en-US" w:eastAsia="zh-CN"/>
        </w:rPr>
        <w:t>3 产品合格证、使用说明书、备件图纸；</w:t>
      </w:r>
    </w:p>
    <w:p w14:paraId="36AD1C98">
      <w:pPr>
        <w:widowControl w:val="0"/>
        <w:spacing w:line="360" w:lineRule="auto"/>
        <w:ind w:firstLine="119" w:firstLineChars="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lang w:val="en-US" w:eastAsia="zh-CN"/>
        </w:rPr>
        <w:t>4</w:t>
      </w:r>
      <w:r>
        <w:rPr>
          <w:rFonts w:hint="eastAsia" w:ascii="仿宋" w:hAnsi="仿宋" w:eastAsia="仿宋" w:cs="仿宋"/>
          <w:color w:val="auto"/>
          <w:kern w:val="2"/>
          <w:sz w:val="21"/>
          <w:szCs w:val="21"/>
          <w:highlight w:val="none"/>
        </w:rPr>
        <w:t>.</w:t>
      </w:r>
      <w:r>
        <w:rPr>
          <w:rFonts w:hint="eastAsia" w:ascii="仿宋" w:hAnsi="仿宋" w:eastAsia="仿宋" w:cs="仿宋"/>
          <w:color w:val="auto"/>
          <w:kern w:val="2"/>
          <w:sz w:val="21"/>
          <w:szCs w:val="21"/>
          <w:highlight w:val="none"/>
          <w:lang w:val="en-US" w:eastAsia="zh-CN"/>
        </w:rPr>
        <w:t xml:space="preserve">3 </w:t>
      </w:r>
      <w:r>
        <w:rPr>
          <w:rFonts w:hint="eastAsia" w:ascii="仿宋" w:hAnsi="仿宋" w:eastAsia="仿宋" w:cs="仿宋"/>
          <w:color w:val="auto"/>
          <w:kern w:val="2"/>
          <w:sz w:val="21"/>
          <w:szCs w:val="21"/>
          <w:highlight w:val="none"/>
        </w:rPr>
        <w:t>邮寄地址</w:t>
      </w:r>
    </w:p>
    <w:p w14:paraId="2BE72646">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 xml:space="preserve">甲方邮寄信息： </w:t>
      </w:r>
    </w:p>
    <w:p w14:paraId="3C9D34F0">
      <w:pPr>
        <w:widowControl w:val="0"/>
        <w:spacing w:line="360" w:lineRule="auto"/>
        <w:ind w:firstLine="539" w:firstLineChars="257"/>
        <w:jc w:val="both"/>
        <w:rPr>
          <w:rFonts w:hint="eastAsia" w:ascii="仿宋" w:hAnsi="仿宋" w:eastAsia="仿宋" w:cs="仿宋"/>
          <w:color w:val="auto"/>
          <w:kern w:val="2"/>
          <w:sz w:val="21"/>
          <w:szCs w:val="21"/>
          <w:highlight w:val="none"/>
        </w:rPr>
      </w:pPr>
      <w:r>
        <w:rPr>
          <w:rFonts w:hint="eastAsia" w:ascii="仿宋" w:hAnsi="仿宋" w:eastAsia="仿宋" w:cs="仿宋"/>
          <w:color w:val="auto"/>
          <w:kern w:val="2"/>
          <w:sz w:val="21"/>
          <w:szCs w:val="21"/>
          <w:highlight w:val="none"/>
        </w:rPr>
        <w:t>邮政编码：735100；</w:t>
      </w:r>
    </w:p>
    <w:p w14:paraId="56E06221">
      <w:pPr>
        <w:pStyle w:val="4"/>
        <w:spacing w:line="360" w:lineRule="auto"/>
        <w:ind w:firstLine="600" w:firstLineChars="250"/>
        <w:rPr>
          <w:rFonts w:hint="eastAsia" w:ascii="仿宋" w:hAnsi="仿宋" w:eastAsia="仿宋" w:cs="仿宋"/>
          <w:color w:val="auto"/>
          <w:szCs w:val="21"/>
          <w:highlight w:val="none"/>
        </w:rPr>
      </w:pPr>
      <w:r>
        <w:rPr>
          <w:rFonts w:hint="eastAsia" w:ascii="仿宋" w:hAnsi="仿宋" w:eastAsia="仿宋" w:cs="仿宋"/>
          <w:color w:val="auto"/>
          <w:szCs w:val="21"/>
          <w:highlight w:val="none"/>
        </w:rPr>
        <w:t>收件人</w:t>
      </w:r>
      <w:r>
        <w:rPr>
          <w:rFonts w:hint="eastAsia" w:ascii="仿宋" w:hAnsi="仿宋" w:eastAsia="仿宋" w:cs="仿宋"/>
          <w:color w:val="auto"/>
          <w:szCs w:val="21"/>
          <w:highlight w:val="none"/>
          <w:lang w:eastAsia="zh-CN"/>
        </w:rPr>
        <w:t>：李银喜</w:t>
      </w:r>
      <w:r>
        <w:rPr>
          <w:rFonts w:hint="eastAsia" w:ascii="仿宋" w:hAnsi="仿宋" w:eastAsia="仿宋" w:cs="仿宋"/>
          <w:color w:val="auto"/>
          <w:szCs w:val="21"/>
          <w:highlight w:val="none"/>
          <w:lang w:val="en-US" w:eastAsia="zh-CN"/>
        </w:rPr>
        <w:t>；</w:t>
      </w:r>
      <w:r>
        <w:rPr>
          <w:rFonts w:hint="eastAsia" w:ascii="仿宋" w:hAnsi="仿宋" w:eastAsia="仿宋" w:cs="仿宋"/>
          <w:color w:val="auto"/>
          <w:szCs w:val="21"/>
          <w:highlight w:val="none"/>
        </w:rPr>
        <w:t>联系电话：</w:t>
      </w:r>
      <w:r>
        <w:rPr>
          <w:rFonts w:hint="eastAsia" w:ascii="仿宋" w:hAnsi="仿宋" w:eastAsia="仿宋" w:cs="仿宋"/>
          <w:color w:val="auto"/>
          <w:szCs w:val="21"/>
          <w:highlight w:val="none"/>
          <w:lang w:val="en-US" w:eastAsia="zh-CN"/>
        </w:rPr>
        <w:t xml:space="preserve">18093738790 </w:t>
      </w:r>
    </w:p>
    <w:p w14:paraId="21523174">
      <w:pPr>
        <w:pStyle w:val="4"/>
        <w:spacing w:line="360" w:lineRule="auto"/>
        <w:ind w:firstLine="2520" w:firstLineChars="1050"/>
        <w:rPr>
          <w:rFonts w:hint="eastAsia" w:ascii="仿宋" w:hAnsi="仿宋" w:eastAsia="仿宋" w:cs="仿宋"/>
          <w:color w:val="auto"/>
          <w:szCs w:val="21"/>
          <w:highlight w:val="none"/>
        </w:rPr>
      </w:pPr>
      <w:r>
        <w:rPr>
          <w:rFonts w:hint="eastAsia" w:ascii="仿宋" w:hAnsi="仿宋" w:eastAsia="仿宋" w:cs="仿宋"/>
          <w:color w:val="auto"/>
          <w:szCs w:val="21"/>
          <w:highlight w:val="none"/>
        </w:rPr>
        <w:t>电子邮箱：</w:t>
      </w:r>
      <w:r>
        <w:rPr>
          <w:rFonts w:hint="eastAsia" w:ascii="仿宋" w:hAnsi="仿宋" w:eastAsia="仿宋" w:cs="仿宋"/>
          <w:color w:val="auto"/>
          <w:szCs w:val="21"/>
          <w:highlight w:val="none"/>
          <w:lang w:val="en-US" w:eastAsia="zh-CN"/>
        </w:rPr>
        <w:t>liyinxi@jiugang.com</w:t>
      </w:r>
    </w:p>
    <w:p w14:paraId="574DC794">
      <w:pPr>
        <w:widowControl w:val="0"/>
        <w:spacing w:line="360" w:lineRule="auto"/>
        <w:jc w:val="both"/>
        <w:rPr>
          <w:rFonts w:hint="eastAsia" w:ascii="仿宋" w:hAnsi="仿宋" w:eastAsia="仿宋" w:cs="仿宋"/>
          <w:b/>
          <w:color w:val="auto"/>
          <w:kern w:val="2"/>
          <w:sz w:val="21"/>
          <w:szCs w:val="21"/>
          <w:highlight w:val="none"/>
        </w:rPr>
      </w:pPr>
      <w:r>
        <w:rPr>
          <w:rFonts w:hint="eastAsia" w:ascii="仿宋" w:hAnsi="仿宋" w:eastAsia="仿宋" w:cs="仿宋"/>
          <w:b/>
          <w:color w:val="auto"/>
          <w:kern w:val="2"/>
          <w:sz w:val="21"/>
          <w:szCs w:val="21"/>
          <w:highlight w:val="none"/>
        </w:rPr>
        <w:t>附件</w:t>
      </w:r>
      <w:r>
        <w:rPr>
          <w:rFonts w:hint="eastAsia" w:ascii="仿宋" w:hAnsi="仿宋" w:eastAsia="仿宋" w:cs="仿宋"/>
          <w:b/>
          <w:color w:val="auto"/>
          <w:kern w:val="2"/>
          <w:sz w:val="21"/>
          <w:szCs w:val="21"/>
          <w:highlight w:val="none"/>
          <w:lang w:eastAsia="zh-CN"/>
        </w:rPr>
        <w:t>五</w:t>
      </w:r>
      <w:r>
        <w:rPr>
          <w:rFonts w:hint="eastAsia" w:ascii="仿宋" w:hAnsi="仿宋" w:eastAsia="仿宋" w:cs="仿宋"/>
          <w:b/>
          <w:color w:val="auto"/>
          <w:kern w:val="2"/>
          <w:sz w:val="21"/>
          <w:szCs w:val="21"/>
          <w:highlight w:val="none"/>
        </w:rPr>
        <w:t xml:space="preserve"> </w:t>
      </w:r>
      <w:r>
        <w:rPr>
          <w:rFonts w:hint="eastAsia" w:ascii="仿宋" w:hAnsi="仿宋" w:eastAsia="仿宋" w:cs="仿宋"/>
          <w:b/>
          <w:color w:val="auto"/>
          <w:kern w:val="2"/>
          <w:sz w:val="21"/>
          <w:szCs w:val="21"/>
          <w:highlight w:val="none"/>
          <w:lang w:val="en-US" w:eastAsia="zh-CN"/>
        </w:rPr>
        <w:t xml:space="preserve">  </w:t>
      </w:r>
      <w:r>
        <w:rPr>
          <w:rFonts w:hint="eastAsia" w:ascii="仿宋" w:hAnsi="仿宋" w:eastAsia="仿宋" w:cs="仿宋"/>
          <w:b/>
          <w:color w:val="auto"/>
          <w:kern w:val="2"/>
          <w:sz w:val="21"/>
          <w:szCs w:val="21"/>
          <w:highlight w:val="none"/>
        </w:rPr>
        <w:t>质量保证及售后服务</w:t>
      </w:r>
    </w:p>
    <w:p w14:paraId="7F0C4ED9">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.1</w:t>
      </w:r>
      <w:r>
        <w:rPr>
          <w:rFonts w:hint="eastAsia" w:ascii="仿宋" w:hAnsi="仿宋" w:eastAsia="仿宋" w:cs="仿宋"/>
          <w:b w:val="0"/>
          <w:bCs w:val="0"/>
          <w:color w:val="auto"/>
          <w:kern w:val="2"/>
          <w:sz w:val="21"/>
          <w:szCs w:val="21"/>
          <w:highlight w:val="none"/>
          <w:lang w:eastAsia="zh-CN"/>
        </w:rPr>
        <w:t>质量</w:t>
      </w:r>
      <w:r>
        <w:rPr>
          <w:rFonts w:hint="eastAsia" w:ascii="仿宋" w:hAnsi="仿宋" w:eastAsia="仿宋" w:cs="仿宋"/>
          <w:b w:val="0"/>
          <w:bCs w:val="0"/>
          <w:color w:val="auto"/>
          <w:kern w:val="2"/>
          <w:sz w:val="21"/>
          <w:szCs w:val="21"/>
          <w:highlight w:val="none"/>
        </w:rPr>
        <w:t>保证期为投运现场使用之日起</w:t>
      </w:r>
      <w:r>
        <w:rPr>
          <w:rFonts w:hint="eastAsia" w:ascii="仿宋" w:hAnsi="仿宋" w:eastAsia="仿宋" w:cs="仿宋"/>
          <w:b w:val="0"/>
          <w:bCs w:val="0"/>
          <w:color w:val="auto"/>
          <w:kern w:val="2"/>
          <w:sz w:val="21"/>
          <w:szCs w:val="21"/>
          <w:highlight w:val="none"/>
          <w:lang w:val="en-US" w:eastAsia="zh-CN"/>
        </w:rPr>
        <w:t>24</w:t>
      </w:r>
      <w:r>
        <w:rPr>
          <w:rFonts w:hint="eastAsia" w:ascii="仿宋" w:hAnsi="仿宋" w:eastAsia="仿宋" w:cs="仿宋"/>
          <w:b w:val="0"/>
          <w:bCs w:val="0"/>
          <w:color w:val="auto"/>
          <w:kern w:val="2"/>
          <w:sz w:val="21"/>
          <w:szCs w:val="21"/>
          <w:highlight w:val="none"/>
        </w:rPr>
        <w:t>个月。</w:t>
      </w:r>
    </w:p>
    <w:p w14:paraId="031160C9">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.2在质保期内</w:t>
      </w:r>
      <w:r>
        <w:rPr>
          <w:rFonts w:hint="eastAsia" w:ascii="仿宋" w:hAnsi="仿宋" w:eastAsia="仿宋" w:cs="仿宋"/>
          <w:b w:val="0"/>
          <w:bCs w:val="0"/>
          <w:color w:val="auto"/>
          <w:kern w:val="2"/>
          <w:sz w:val="21"/>
          <w:szCs w:val="21"/>
          <w:highlight w:val="none"/>
          <w:lang w:eastAsia="zh-CN"/>
        </w:rPr>
        <w:t>出现的任何质量问题，</w:t>
      </w:r>
      <w:r>
        <w:rPr>
          <w:rFonts w:hint="eastAsia" w:ascii="仿宋" w:hAnsi="仿宋" w:eastAsia="仿宋" w:cs="仿宋"/>
          <w:b w:val="0"/>
          <w:bCs w:val="0"/>
          <w:color w:val="auto"/>
          <w:kern w:val="2"/>
          <w:sz w:val="21"/>
          <w:szCs w:val="21"/>
          <w:highlight w:val="none"/>
        </w:rPr>
        <w:t>乙方</w:t>
      </w:r>
      <w:r>
        <w:rPr>
          <w:rFonts w:hint="eastAsia" w:ascii="仿宋" w:hAnsi="仿宋" w:eastAsia="仿宋" w:cs="仿宋"/>
          <w:b w:val="0"/>
          <w:bCs w:val="0"/>
          <w:color w:val="auto"/>
          <w:kern w:val="2"/>
          <w:sz w:val="21"/>
          <w:szCs w:val="21"/>
          <w:highlight w:val="none"/>
          <w:lang w:eastAsia="zh-CN"/>
        </w:rPr>
        <w:t>无偿负责更换新备件至使用现场，产生的一切费用均由乙方承担</w:t>
      </w:r>
      <w:r>
        <w:rPr>
          <w:rFonts w:hint="eastAsia" w:ascii="仿宋" w:hAnsi="仿宋" w:eastAsia="仿宋" w:cs="仿宋"/>
          <w:b w:val="0"/>
          <w:bCs w:val="0"/>
          <w:color w:val="auto"/>
          <w:kern w:val="2"/>
          <w:sz w:val="21"/>
          <w:szCs w:val="21"/>
          <w:highlight w:val="none"/>
        </w:rPr>
        <w:t>，保证系统正常运行。</w:t>
      </w:r>
    </w:p>
    <w:p w14:paraId="3C38AC2B">
      <w:pPr>
        <w:keepNext w:val="0"/>
        <w:keepLines w:val="0"/>
        <w:pageBreakBefore w:val="0"/>
        <w:widowControl w:val="0"/>
        <w:kinsoku/>
        <w:wordWrap/>
        <w:overflowPunct/>
        <w:topLinePunct w:val="0"/>
        <w:autoSpaceDE/>
        <w:autoSpaceDN/>
        <w:bidi w:val="0"/>
        <w:adjustRightInd w:val="0"/>
        <w:snapToGrid/>
        <w:spacing w:line="360" w:lineRule="auto"/>
        <w:ind w:firstLine="420" w:firstLineChars="200"/>
        <w:jc w:val="both"/>
        <w:textAlignment w:val="baseline"/>
        <w:rPr>
          <w:rFonts w:hint="eastAsia" w:ascii="仿宋" w:hAnsi="仿宋" w:eastAsia="仿宋" w:cs="仿宋"/>
          <w:b w:val="0"/>
          <w:bCs w:val="0"/>
          <w:color w:val="auto"/>
          <w:kern w:val="2"/>
          <w:sz w:val="21"/>
          <w:szCs w:val="21"/>
          <w:highlight w:val="none"/>
        </w:rPr>
      </w:pPr>
      <w:r>
        <w:rPr>
          <w:rFonts w:hint="eastAsia" w:ascii="仿宋" w:hAnsi="仿宋" w:eastAsia="仿宋" w:cs="仿宋"/>
          <w:b w:val="0"/>
          <w:bCs w:val="0"/>
          <w:color w:val="auto"/>
          <w:kern w:val="2"/>
          <w:sz w:val="21"/>
          <w:szCs w:val="21"/>
          <w:highlight w:val="none"/>
          <w:lang w:val="en-US" w:eastAsia="zh-CN"/>
        </w:rPr>
        <w:t>5</w:t>
      </w:r>
      <w:r>
        <w:rPr>
          <w:rFonts w:hint="eastAsia" w:ascii="仿宋" w:hAnsi="仿宋" w:eastAsia="仿宋" w:cs="仿宋"/>
          <w:b w:val="0"/>
          <w:bCs w:val="0"/>
          <w:color w:val="auto"/>
          <w:kern w:val="2"/>
          <w:sz w:val="21"/>
          <w:szCs w:val="21"/>
          <w:highlight w:val="none"/>
        </w:rPr>
        <w:t>.3</w:t>
      </w:r>
      <w:r>
        <w:rPr>
          <w:rFonts w:hint="eastAsia" w:ascii="仿宋" w:hAnsi="仿宋" w:eastAsia="仿宋" w:cs="仿宋"/>
          <w:b w:val="0"/>
          <w:bCs w:val="0"/>
          <w:color w:val="auto"/>
          <w:kern w:val="2"/>
          <w:sz w:val="21"/>
          <w:szCs w:val="21"/>
          <w:highlight w:val="none"/>
          <w:lang w:eastAsia="zh-CN"/>
        </w:rPr>
        <w:t>对安装、调试后，质保期内，设备精度达不到协议要求，</w:t>
      </w:r>
      <w:r>
        <w:rPr>
          <w:rFonts w:hint="eastAsia" w:ascii="仿宋" w:hAnsi="仿宋" w:eastAsia="仿宋" w:cs="仿宋"/>
          <w:b w:val="0"/>
          <w:bCs w:val="0"/>
          <w:color w:val="auto"/>
          <w:kern w:val="2"/>
          <w:sz w:val="21"/>
          <w:szCs w:val="21"/>
          <w:highlight w:val="none"/>
        </w:rPr>
        <w:t>乙方在接到甲方服务要求后，应在24个小时内派出专业人员赶赴现场负责查找和解决系统故障</w:t>
      </w:r>
      <w:r>
        <w:rPr>
          <w:rFonts w:hint="eastAsia" w:ascii="仿宋" w:hAnsi="仿宋" w:eastAsia="仿宋" w:cs="仿宋"/>
          <w:b w:val="0"/>
          <w:bCs w:val="0"/>
          <w:color w:val="auto"/>
          <w:kern w:val="2"/>
          <w:sz w:val="21"/>
          <w:szCs w:val="21"/>
          <w:highlight w:val="none"/>
          <w:lang w:eastAsia="zh-CN"/>
        </w:rPr>
        <w:t>，直至满足现场使用要求，服务所需费用全部由乙方承担</w:t>
      </w:r>
      <w:r>
        <w:rPr>
          <w:rFonts w:hint="eastAsia" w:ascii="仿宋" w:hAnsi="仿宋" w:eastAsia="仿宋" w:cs="仿宋"/>
          <w:b w:val="0"/>
          <w:bCs w:val="0"/>
          <w:color w:val="auto"/>
          <w:kern w:val="2"/>
          <w:sz w:val="21"/>
          <w:szCs w:val="21"/>
          <w:highlight w:val="none"/>
        </w:rPr>
        <w:t>。</w:t>
      </w:r>
    </w:p>
    <w:p w14:paraId="053B49C3">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附件六  交货时间及地点</w:t>
      </w:r>
    </w:p>
    <w:p w14:paraId="0E2D1A31">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6.1</w:t>
      </w:r>
      <w:r>
        <w:rPr>
          <w:rFonts w:hint="eastAsia" w:ascii="仿宋" w:hAnsi="仿宋" w:eastAsia="仿宋" w:cs="仿宋"/>
          <w:color w:val="auto"/>
          <w:sz w:val="21"/>
          <w:szCs w:val="21"/>
          <w:highlight w:val="none"/>
        </w:rPr>
        <w:t>交货时间：</w:t>
      </w:r>
    </w:p>
    <w:p w14:paraId="6FE64C13">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eastAsia="zh-CN"/>
        </w:rPr>
        <w:t>交货时间</w:t>
      </w:r>
      <w:r>
        <w:rPr>
          <w:rFonts w:hint="eastAsia" w:ascii="仿宋" w:hAnsi="仿宋" w:eastAsia="仿宋" w:cs="仿宋"/>
          <w:color w:val="auto"/>
          <w:sz w:val="21"/>
          <w:szCs w:val="21"/>
          <w:highlight w:val="none"/>
        </w:rPr>
        <w:t>：</w:t>
      </w:r>
      <w:r>
        <w:rPr>
          <w:rFonts w:hint="eastAsia" w:ascii="仿宋" w:hAnsi="仿宋" w:eastAsia="仿宋" w:cs="仿宋"/>
          <w:color w:val="FF0000"/>
          <w:sz w:val="21"/>
          <w:szCs w:val="21"/>
        </w:rPr>
        <w:t>20</w:t>
      </w:r>
      <w:r>
        <w:rPr>
          <w:rFonts w:hint="eastAsia" w:ascii="仿宋" w:hAnsi="仿宋" w:eastAsia="仿宋" w:cs="仿宋"/>
          <w:color w:val="FF0000"/>
          <w:sz w:val="21"/>
          <w:szCs w:val="21"/>
          <w:lang w:val="en-US" w:eastAsia="zh-CN"/>
        </w:rPr>
        <w:t>26</w:t>
      </w:r>
      <w:r>
        <w:rPr>
          <w:rFonts w:hint="eastAsia" w:ascii="仿宋" w:hAnsi="仿宋" w:eastAsia="仿宋" w:cs="仿宋"/>
          <w:color w:val="FF0000"/>
          <w:sz w:val="21"/>
          <w:szCs w:val="21"/>
        </w:rPr>
        <w:t>年</w:t>
      </w:r>
      <w:r>
        <w:rPr>
          <w:rFonts w:hint="eastAsia" w:ascii="仿宋" w:hAnsi="仿宋" w:eastAsia="仿宋" w:cs="仿宋"/>
          <w:color w:val="FF0000"/>
          <w:sz w:val="21"/>
          <w:szCs w:val="21"/>
          <w:lang w:val="en-US" w:eastAsia="zh-CN"/>
        </w:rPr>
        <w:t>08</w:t>
      </w:r>
      <w:r>
        <w:rPr>
          <w:rFonts w:hint="eastAsia" w:ascii="仿宋" w:hAnsi="仿宋" w:eastAsia="仿宋" w:cs="仿宋"/>
          <w:color w:val="FF0000"/>
          <w:sz w:val="21"/>
          <w:szCs w:val="21"/>
        </w:rPr>
        <w:t>月</w:t>
      </w:r>
      <w:r>
        <w:rPr>
          <w:rFonts w:hint="eastAsia" w:ascii="仿宋" w:hAnsi="仿宋" w:eastAsia="仿宋" w:cs="仿宋"/>
          <w:color w:val="FF0000"/>
          <w:sz w:val="21"/>
          <w:szCs w:val="21"/>
          <w:lang w:val="en-US" w:eastAsia="zh-CN"/>
        </w:rPr>
        <w:t>20</w:t>
      </w:r>
      <w:r>
        <w:rPr>
          <w:rFonts w:hint="eastAsia" w:ascii="仿宋" w:hAnsi="仿宋" w:eastAsia="仿宋" w:cs="仿宋"/>
          <w:color w:val="FF0000"/>
          <w:sz w:val="21"/>
          <w:szCs w:val="21"/>
        </w:rPr>
        <w:t>日</w:t>
      </w:r>
    </w:p>
    <w:p w14:paraId="2BF3E02C">
      <w:pPr>
        <w:keepNext w:val="0"/>
        <w:keepLines w:val="0"/>
        <w:pageBreakBefore w:val="0"/>
        <w:widowControl w:val="0"/>
        <w:numPr>
          <w:ilvl w:val="0"/>
          <w:numId w:val="0"/>
        </w:numPr>
        <w:tabs>
          <w:tab w:val="left" w:pos="-180"/>
          <w:tab w:val="left" w:pos="-120"/>
          <w:tab w:val="left" w:pos="540"/>
          <w:tab w:val="left" w:pos="720"/>
        </w:tabs>
        <w:kinsoku/>
        <w:wordWrap/>
        <w:overflowPunct/>
        <w:topLinePunct w:val="0"/>
        <w:autoSpaceDE/>
        <w:autoSpaceDN/>
        <w:bidi w:val="0"/>
        <w:adjustRightInd/>
        <w:snapToGrid/>
        <w:spacing w:line="360" w:lineRule="auto"/>
        <w:ind w:left="0" w:leftChars="0" w:firstLine="420" w:firstLineChars="200"/>
        <w:jc w:val="both"/>
        <w:textAlignment w:val="auto"/>
        <w:rPr>
          <w:rFonts w:hint="eastAsia" w:ascii="仿宋" w:hAnsi="仿宋" w:eastAsia="仿宋" w:cs="仿宋"/>
          <w:color w:val="auto"/>
          <w:sz w:val="21"/>
          <w:szCs w:val="21"/>
          <w:highlight w:val="none"/>
        </w:rPr>
      </w:pPr>
      <w:r>
        <w:rPr>
          <w:rFonts w:hint="eastAsia" w:ascii="仿宋" w:hAnsi="仿宋" w:eastAsia="仿宋" w:cs="仿宋"/>
          <w:color w:val="auto"/>
          <w:sz w:val="21"/>
          <w:szCs w:val="21"/>
          <w:highlight w:val="none"/>
          <w:lang w:val="en-US" w:eastAsia="zh-CN"/>
        </w:rPr>
        <w:t>6.2</w:t>
      </w:r>
      <w:r>
        <w:rPr>
          <w:rFonts w:hint="eastAsia" w:ascii="仿宋" w:hAnsi="仿宋" w:eastAsia="仿宋" w:cs="仿宋"/>
          <w:color w:val="auto"/>
          <w:sz w:val="21"/>
          <w:szCs w:val="21"/>
          <w:highlight w:val="none"/>
        </w:rPr>
        <w:t>交货地点：甘肃省嘉峪关市酒钢储运部</w:t>
      </w:r>
      <w:r>
        <w:rPr>
          <w:rFonts w:hint="eastAsia" w:ascii="仿宋" w:hAnsi="仿宋" w:eastAsia="仿宋" w:cs="仿宋"/>
          <w:color w:val="auto"/>
          <w:sz w:val="21"/>
          <w:szCs w:val="21"/>
          <w:highlight w:val="none"/>
          <w:lang w:eastAsia="zh-CN"/>
        </w:rPr>
        <w:t>物资总库</w:t>
      </w:r>
    </w:p>
    <w:p w14:paraId="05B4EC34">
      <w:pPr>
        <w:tabs>
          <w:tab w:val="left" w:pos="0"/>
          <w:tab w:val="left" w:pos="720"/>
          <w:tab w:val="left" w:pos="900"/>
          <w:tab w:val="left" w:pos="1080"/>
        </w:tabs>
        <w:spacing w:line="360" w:lineRule="auto"/>
        <w:rPr>
          <w:rFonts w:hint="eastAsia" w:ascii="仿宋" w:hAnsi="仿宋" w:eastAsia="仿宋" w:cs="仿宋"/>
          <w:b/>
          <w:color w:val="auto"/>
          <w:sz w:val="21"/>
          <w:szCs w:val="21"/>
          <w:highlight w:val="none"/>
        </w:rPr>
      </w:pPr>
      <w:r>
        <w:rPr>
          <w:rFonts w:hint="eastAsia" w:ascii="仿宋" w:hAnsi="仿宋" w:eastAsia="仿宋" w:cs="仿宋"/>
          <w:b/>
          <w:color w:val="auto"/>
          <w:sz w:val="21"/>
          <w:szCs w:val="21"/>
          <w:highlight w:val="none"/>
        </w:rPr>
        <w:t>附件七   其它</w:t>
      </w:r>
    </w:p>
    <w:p w14:paraId="3BAA5CA0">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 xml:space="preserve">7.1本协议内容经由甲乙双方于    年   月   日   时-  时通过   方式商定。 </w:t>
      </w:r>
    </w:p>
    <w:p w14:paraId="7B88ECA2">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rPr>
      </w:pPr>
      <w:r>
        <w:rPr>
          <w:rFonts w:hint="eastAsia" w:ascii="仿宋" w:hAnsi="仿宋" w:eastAsia="仿宋" w:cs="仿宋"/>
          <w:color w:val="auto"/>
          <w:sz w:val="21"/>
          <w:highlight w:val="none"/>
          <w:lang w:val="en-US" w:eastAsia="zh-CN"/>
        </w:rPr>
        <w:t>7.2甲乙双方应当就签订本协议的相关事宜保密，不得将签订主体、时间、内容等信息透露给其他第三人。</w:t>
      </w:r>
    </w:p>
    <w:p w14:paraId="68233118">
      <w:pPr>
        <w:tabs>
          <w:tab w:val="left" w:pos="0"/>
          <w:tab w:val="left" w:pos="720"/>
          <w:tab w:val="left" w:pos="900"/>
          <w:tab w:val="left" w:pos="1080"/>
        </w:tabs>
        <w:spacing w:line="360" w:lineRule="auto"/>
        <w:ind w:firstLine="420" w:firstLineChars="200"/>
        <w:rPr>
          <w:rFonts w:hint="eastAsia" w:ascii="仿宋" w:hAnsi="仿宋" w:eastAsia="仿宋" w:cs="仿宋"/>
          <w:color w:val="auto"/>
          <w:sz w:val="21"/>
          <w:highlight w:val="none"/>
          <w:lang w:val="en-US" w:eastAsia="zh-CN"/>
        </w:rPr>
      </w:pPr>
      <w:r>
        <w:rPr>
          <w:rFonts w:hint="eastAsia" w:ascii="仿宋" w:hAnsi="仿宋" w:eastAsia="仿宋" w:cs="仿宋"/>
          <w:color w:val="auto"/>
          <w:sz w:val="21"/>
          <w:highlight w:val="none"/>
          <w:lang w:val="en-US" w:eastAsia="zh-CN"/>
        </w:rPr>
        <w:t>7.3若乙方公司不能中标，则本技术协议自动失效，双方不承担任何责任。</w:t>
      </w:r>
    </w:p>
    <w:p w14:paraId="3F3C0D22">
      <w:pPr>
        <w:ind w:firstLine="420" w:firstLineChars="200"/>
        <w:rPr>
          <w:rFonts w:hint="eastAsia" w:ascii="仿宋" w:hAnsi="仿宋" w:eastAsia="仿宋" w:cs="仿宋"/>
          <w:color w:val="auto"/>
          <w:sz w:val="21"/>
          <w:highlight w:val="none"/>
          <w:u w:val="single"/>
        </w:rPr>
      </w:pPr>
      <w:r>
        <w:rPr>
          <w:rFonts w:hint="eastAsia" w:ascii="仿宋" w:hAnsi="仿宋" w:eastAsia="仿宋" w:cs="仿宋"/>
          <w:color w:val="auto"/>
          <w:sz w:val="21"/>
          <w:highlight w:val="none"/>
          <w:lang w:val="en-US" w:eastAsia="zh-CN"/>
        </w:rPr>
        <w:t>7.4</w:t>
      </w:r>
      <w:r>
        <w:rPr>
          <w:rFonts w:hint="eastAsia" w:ascii="仿宋" w:hAnsi="仿宋" w:eastAsia="仿宋" w:cs="仿宋"/>
          <w:color w:val="auto"/>
          <w:sz w:val="21"/>
          <w:highlight w:val="none"/>
        </w:rPr>
        <w:t>本协议一式四份，甲方三份，乙方一份。</w:t>
      </w:r>
    </w:p>
    <w:p w14:paraId="654495EF">
      <w:pPr>
        <w:numPr>
          <w:ilvl w:val="0"/>
          <w:numId w:val="0"/>
        </w:numPr>
        <w:tabs>
          <w:tab w:val="left" w:pos="540"/>
          <w:tab w:val="left" w:pos="840"/>
          <w:tab w:val="left" w:pos="1080"/>
        </w:tabs>
        <w:adjustRightInd/>
        <w:spacing w:line="360" w:lineRule="auto"/>
        <w:ind w:leftChars="171"/>
        <w:jc w:val="both"/>
        <w:textAlignment w:val="auto"/>
        <w:rPr>
          <w:rFonts w:hint="eastAsia" w:ascii="仿宋" w:hAnsi="仿宋" w:eastAsia="仿宋" w:cs="仿宋"/>
          <w:color w:val="auto"/>
          <w:sz w:val="21"/>
          <w:szCs w:val="21"/>
          <w:highlight w:val="none"/>
        </w:rPr>
      </w:pPr>
    </w:p>
    <w:p w14:paraId="643C6BC5">
      <w:pPr>
        <w:pStyle w:val="2"/>
        <w:tabs>
          <w:tab w:val="left" w:pos="5094"/>
        </w:tabs>
        <w:spacing w:line="480" w:lineRule="auto"/>
        <w:ind w:right="1735"/>
        <w:rPr>
          <w:rFonts w:hint="eastAsia" w:ascii="仿宋" w:hAnsi="仿宋" w:eastAsia="仿宋" w:cs="仿宋"/>
          <w:b/>
          <w:bCs/>
          <w:color w:val="auto"/>
          <w:sz w:val="24"/>
          <w:szCs w:val="4"/>
          <w:highlight w:val="none"/>
        </w:rPr>
      </w:pPr>
      <w:r>
        <w:rPr>
          <w:rFonts w:hint="eastAsia" w:ascii="仿宋" w:hAnsi="仿宋" w:eastAsia="仿宋" w:cs="仿宋"/>
          <w:b/>
          <w:bCs/>
          <w:color w:val="auto"/>
          <w:sz w:val="24"/>
          <w:szCs w:val="4"/>
          <w:highlight w:val="none"/>
        </w:rPr>
        <w:t>甲方：甘肃酒钢集团宏兴钢铁股份有限公司炼铁厂</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乙方：</w:t>
      </w:r>
    </w:p>
    <w:p w14:paraId="3AEB3F63">
      <w:pPr>
        <w:pStyle w:val="2"/>
        <w:tabs>
          <w:tab w:val="left" w:pos="5094"/>
        </w:tabs>
        <w:spacing w:line="480" w:lineRule="auto"/>
        <w:rPr>
          <w:rFonts w:hint="eastAsia" w:ascii="仿宋" w:hAnsi="仿宋" w:eastAsia="仿宋" w:cs="仿宋"/>
          <w:b/>
          <w:bCs/>
          <w:color w:val="auto"/>
          <w:sz w:val="2"/>
          <w:szCs w:val="4"/>
          <w:highlight w:val="none"/>
        </w:rPr>
      </w:pPr>
      <w:r>
        <w:rPr>
          <w:rFonts w:hint="eastAsia" w:ascii="仿宋" w:hAnsi="仿宋" w:eastAsia="仿宋" w:cs="仿宋"/>
          <w:b/>
          <w:bCs/>
          <w:color w:val="auto"/>
          <w:sz w:val="24"/>
          <w:szCs w:val="4"/>
          <w:highlight w:val="none"/>
        </w:rPr>
        <w:t>代表：</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w w:val="95"/>
          <w:sz w:val="24"/>
          <w:szCs w:val="4"/>
          <w:highlight w:val="none"/>
        </w:rPr>
        <w:t>代表：</w:t>
      </w:r>
    </w:p>
    <w:p w14:paraId="5BCBDD48">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lang w:val="en-US" w:eastAsia="zh-CN"/>
        </w:rPr>
        <w:t xml:space="preserve">   </w:t>
      </w:r>
      <w:r>
        <w:rPr>
          <w:rFonts w:hint="eastAsia" w:ascii="仿宋" w:hAnsi="仿宋" w:eastAsia="仿宋" w:cs="仿宋"/>
          <w:b/>
          <w:bCs/>
          <w:color w:val="auto"/>
          <w:sz w:val="24"/>
          <w:szCs w:val="4"/>
          <w:highlight w:val="none"/>
        </w:rPr>
        <w:t>日期：</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年</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月</w:t>
      </w:r>
      <w:r>
        <w:rPr>
          <w:rFonts w:hint="eastAsia" w:ascii="仿宋" w:hAnsi="仿宋" w:eastAsia="仿宋" w:cs="仿宋"/>
          <w:b/>
          <w:bCs/>
          <w:color w:val="auto"/>
          <w:sz w:val="24"/>
          <w:szCs w:val="4"/>
          <w:highlight w:val="none"/>
        </w:rPr>
        <w:tab/>
      </w:r>
      <w:r>
        <w:rPr>
          <w:rFonts w:hint="eastAsia" w:ascii="仿宋" w:hAnsi="仿宋" w:eastAsia="仿宋" w:cs="仿宋"/>
          <w:b/>
          <w:bCs/>
          <w:color w:val="auto"/>
          <w:sz w:val="24"/>
          <w:szCs w:val="4"/>
          <w:highlight w:val="none"/>
        </w:rPr>
        <w:t>日</w:t>
      </w:r>
    </w:p>
    <w:sectPr>
      <w:pgSz w:w="11906" w:h="16838"/>
      <w:pgMar w:top="1440" w:right="1800" w:bottom="1440" w:left="1800" w:header="851" w:footer="992" w:gutter="0"/>
      <w:cols w:space="425"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仿宋">
    <w:panose1 w:val="02010609060101010101"/>
    <w:charset w:val="86"/>
    <w:family w:val="auto"/>
    <w:pitch w:val="default"/>
    <w:sig w:usb0="800002BF" w:usb1="38CF7CFA" w:usb2="00000016" w:usb3="00000000" w:csb0="00040001"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71F9241F"/>
    <w:rsid w:val="0DB75D23"/>
    <w:rsid w:val="54501C5A"/>
    <w:rsid w:val="71F9241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qFormat="1" w:unhideWhenUsed="0" w:uiPriority="39"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6">
    <w:name w:val="Default Paragraph Font"/>
    <w:semiHidden/>
    <w:qFormat/>
    <w:uiPriority w:val="0"/>
  </w:style>
  <w:style w:type="table" w:default="1" w:styleId="5">
    <w:name w:val="Normal Table"/>
    <w:semiHidden/>
    <w:uiPriority w:val="0"/>
    <w:tblPr>
      <w:tblCellMar>
        <w:top w:w="0" w:type="dxa"/>
        <w:left w:w="108" w:type="dxa"/>
        <w:bottom w:w="0" w:type="dxa"/>
        <w:right w:w="108" w:type="dxa"/>
      </w:tblCellMar>
    </w:tblPr>
  </w:style>
  <w:style w:type="paragraph" w:styleId="2">
    <w:name w:val="Body Text"/>
    <w:basedOn w:val="1"/>
    <w:next w:val="3"/>
    <w:uiPriority w:val="0"/>
    <w:pPr>
      <w:spacing w:after="120" w:afterLines="0"/>
    </w:pPr>
  </w:style>
  <w:style w:type="paragraph" w:styleId="3">
    <w:name w:val="toc 5"/>
    <w:basedOn w:val="1"/>
    <w:next w:val="1"/>
    <w:qFormat/>
    <w:uiPriority w:val="39"/>
    <w:pPr>
      <w:ind w:left="840"/>
      <w:jc w:val="left"/>
    </w:pPr>
    <w:rPr>
      <w:sz w:val="18"/>
      <w:szCs w:val="18"/>
    </w:rPr>
  </w:style>
  <w:style w:type="paragraph" w:styleId="4">
    <w:name w:val="Plain Text"/>
    <w:basedOn w:val="1"/>
    <w:uiPriority w:val="0"/>
    <w:pPr>
      <w:adjustRightInd/>
      <w:spacing w:line="240" w:lineRule="auto"/>
      <w:jc w:val="both"/>
      <w:textAlignment w:val="auto"/>
    </w:pPr>
    <w:rPr>
      <w:rFonts w:ascii="宋体" w:hAnsi="Courier New" w:eastAsia="宋体"/>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theme" Target="theme/theme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1843</Words>
  <Characters>2127</Characters>
  <Lines>0</Lines>
  <Paragraphs>0</Paragraphs>
  <TotalTime>1</TotalTime>
  <ScaleCrop>false</ScaleCrop>
  <LinksUpToDate>false</LinksUpToDate>
  <CharactersWithSpaces>2302</CharactersWithSpaces>
  <Application>WPS Office_12.1.0.23542_F1E327BC-269C-435d-A152-05C5408002CA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2026-01-15T01:41:00Z</dcterms:created>
  <dc:creator>我醉，一片朦胧。</dc:creator>
  <cp:lastModifiedBy>我醉，一片朦胧。</cp:lastModifiedBy>
  <dcterms:modified xsi:type="dcterms:W3CDTF">2026-01-15T02:25:31Z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2052-12.1.0.23542</vt:lpwstr>
  </property>
  <property fmtid="{D5CDD505-2E9C-101B-9397-08002B2CF9AE}" pid="3" name="ICV">
    <vt:lpwstr>07AE9A52D8574F62A1E76F9CFD91E2BD_11</vt:lpwstr>
  </property>
  <property fmtid="{D5CDD505-2E9C-101B-9397-08002B2CF9AE}" pid="4" name="KSOTemplateDocerSaveRecord">
    <vt:lpwstr>eyJoZGlkIjoiMzA1ZDZjYmZjMTZhYjE1MTk3Y2IxZTc1NmQ4YmIzYjUiLCJ1c2VySWQiOiIxMjcyODAyNjE4In0=</vt:lpwstr>
  </property>
</Properties>
</file>